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12" w:name="_Toc135143727"/>
      <w:bookmarkStart w:id="13" w:name="_Toc135143783"/>
      <w:r w:rsidRPr="006636BA">
        <w:t>Gazette</w:t>
      </w:r>
      <w:bookmarkEnd w:id="12"/>
      <w:bookmarkEnd w:id="13"/>
    </w:p>
    <w:p w14:paraId="6300508A" w14:textId="77777777" w:rsidR="00807954" w:rsidRPr="00C13DB3" w:rsidRDefault="00807954" w:rsidP="006636BA">
      <w:pPr>
        <w:pStyle w:val="GazetteCoverH2"/>
      </w:pPr>
      <w:bookmarkStart w:id="14" w:name="_Toc135143728"/>
      <w:bookmarkStart w:id="15" w:name="_Toc135143784"/>
      <w:r w:rsidRPr="00C13DB3">
        <w:t>Agricultural and veterinary chemicals</w:t>
      </w:r>
      <w:bookmarkEnd w:id="14"/>
      <w:bookmarkEnd w:id="15"/>
    </w:p>
    <w:p w14:paraId="1E1EBB57" w14:textId="751460C6" w:rsidR="00CA3C84" w:rsidRDefault="00CA3C84" w:rsidP="006636BA">
      <w:pPr>
        <w:pStyle w:val="GazetteCoverH3"/>
      </w:pPr>
      <w:bookmarkStart w:id="16" w:name="_Toc135143729"/>
      <w:bookmarkStart w:id="17" w:name="_Toc135143785"/>
      <w:r>
        <w:t xml:space="preserve">APVMA </w:t>
      </w:r>
      <w:r w:rsidR="00D85218">
        <w:t>Special Gazette</w:t>
      </w:r>
      <w:r>
        <w:t xml:space="preserve">, </w:t>
      </w:r>
      <w:bookmarkEnd w:id="16"/>
      <w:bookmarkEnd w:id="17"/>
      <w:r w:rsidR="00D85218">
        <w:t>16 December 2025</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3A767E06"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2C0C2A">
        <w:rPr>
          <w:noProof/>
        </w:rPr>
        <w:t>2025</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23B9B8EB"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r>
      <w:r w:rsidR="008E67EA" w:rsidRPr="008E67EA">
        <w:t>GPO Box 574</w:t>
      </w:r>
      <w:r w:rsidR="008E67EA">
        <w:br/>
      </w:r>
      <w:r w:rsidR="008E67EA" w:rsidRPr="008E67EA">
        <w:t>Canberra ACT 2601, Australia</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08A1FA7A"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4912D4D7"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521D582D" w14:textId="77777777" w:rsidR="00B33ED7" w:rsidRDefault="00557AEB" w:rsidP="008F6288">
      <w:pPr>
        <w:pStyle w:val="TOCHeading1"/>
        <w:rPr>
          <w:noProof/>
        </w:rPr>
      </w:pPr>
      <w:r>
        <w:lastRenderedPageBreak/>
        <w:t>Contents</w:t>
      </w:r>
      <w:r w:rsidR="008F6288">
        <w:rPr>
          <w:caps/>
          <w:szCs w:val="24"/>
        </w:rPr>
        <w:fldChar w:fldCharType="begin"/>
      </w:r>
      <w:r w:rsidR="008F6288">
        <w:rPr>
          <w:caps/>
          <w:szCs w:val="24"/>
        </w:rPr>
        <w:instrText xml:space="preserve"> TOC \h \z \t "Gazette Heading 1,1" </w:instrText>
      </w:r>
      <w:r w:rsidR="008F6288">
        <w:rPr>
          <w:caps/>
          <w:szCs w:val="24"/>
        </w:rPr>
        <w:fldChar w:fldCharType="separate"/>
      </w:r>
    </w:p>
    <w:p w14:paraId="4ACC8BB1" w14:textId="5CC968ED" w:rsidR="00B33ED7" w:rsidRDefault="00B33ED7" w:rsidP="00B33ED7">
      <w:pPr>
        <w:pStyle w:val="TOC2"/>
        <w:rPr>
          <w:rFonts w:asciiTheme="minorHAnsi" w:eastAsiaTheme="minorEastAsia" w:hAnsiTheme="minorHAnsi" w:cstheme="minorBidi"/>
          <w:kern w:val="2"/>
          <w:sz w:val="24"/>
          <w:lang w:eastAsia="en-AU"/>
          <w14:ligatures w14:val="standardContextual"/>
        </w:rPr>
      </w:pPr>
      <w:hyperlink w:anchor="_Toc216282359" w:history="1">
        <w:r w:rsidRPr="00566D54">
          <w:rPr>
            <w:rStyle w:val="Hyperlink"/>
            <w:rFonts w:eastAsia="Arial Unicode MS"/>
          </w:rPr>
          <w:t xml:space="preserve">Notice under section 34AB of the Agricultural and Veterinary Chemicals Code scheduled to the </w:t>
        </w:r>
        <w:r w:rsidRPr="00566D54">
          <w:rPr>
            <w:rStyle w:val="Hyperlink"/>
            <w:rFonts w:eastAsia="Arial Unicode MS"/>
            <w:i/>
            <w:iCs/>
          </w:rPr>
          <w:t>Agricultural and Veterinary Chemicals Code Act 1994</w:t>
        </w:r>
        <w:r w:rsidRPr="00566D54">
          <w:rPr>
            <w:rStyle w:val="Hyperlink"/>
            <w:rFonts w:eastAsia="Arial Unicode MS"/>
          </w:rPr>
          <w:t>: anticoagulant rodenticides reconsideration - proposed decision to vary and affirm active constituent approvals</w:t>
        </w:r>
        <w:r>
          <w:rPr>
            <w:webHidden/>
          </w:rPr>
          <w:tab/>
        </w:r>
        <w:r>
          <w:rPr>
            <w:webHidden/>
          </w:rPr>
          <w:fldChar w:fldCharType="begin"/>
        </w:r>
        <w:r>
          <w:rPr>
            <w:webHidden/>
          </w:rPr>
          <w:instrText xml:space="preserve"> PAGEREF _Toc216282359 \h </w:instrText>
        </w:r>
        <w:r>
          <w:rPr>
            <w:webHidden/>
          </w:rPr>
        </w:r>
        <w:r>
          <w:rPr>
            <w:webHidden/>
          </w:rPr>
          <w:fldChar w:fldCharType="separate"/>
        </w:r>
        <w:r w:rsidR="002C0C2A">
          <w:rPr>
            <w:webHidden/>
          </w:rPr>
          <w:t>1</w:t>
        </w:r>
        <w:r>
          <w:rPr>
            <w:webHidden/>
          </w:rPr>
          <w:fldChar w:fldCharType="end"/>
        </w:r>
      </w:hyperlink>
    </w:p>
    <w:p w14:paraId="2417DADF" w14:textId="5243C2C4" w:rsidR="00B33ED7" w:rsidRDefault="00B33ED7" w:rsidP="00B33ED7">
      <w:pPr>
        <w:pStyle w:val="TOC2"/>
        <w:rPr>
          <w:rFonts w:asciiTheme="minorHAnsi" w:eastAsiaTheme="minorEastAsia" w:hAnsiTheme="minorHAnsi" w:cstheme="minorBidi"/>
          <w:kern w:val="2"/>
          <w:sz w:val="24"/>
          <w:lang w:eastAsia="en-AU"/>
          <w14:ligatures w14:val="standardContextual"/>
        </w:rPr>
      </w:pPr>
      <w:hyperlink w:anchor="_Toc216282360" w:history="1">
        <w:r w:rsidRPr="00566D54">
          <w:rPr>
            <w:rStyle w:val="Hyperlink"/>
            <w:rFonts w:eastAsia="Arial Unicode MS"/>
          </w:rPr>
          <w:t>Attachment A: Anticoagulant rodenticide active constituent approvals subject to the reconsideration</w:t>
        </w:r>
        <w:r>
          <w:rPr>
            <w:webHidden/>
          </w:rPr>
          <w:tab/>
        </w:r>
        <w:r>
          <w:rPr>
            <w:webHidden/>
          </w:rPr>
          <w:fldChar w:fldCharType="begin"/>
        </w:r>
        <w:r>
          <w:rPr>
            <w:webHidden/>
          </w:rPr>
          <w:instrText xml:space="preserve"> PAGEREF _Toc216282360 \h </w:instrText>
        </w:r>
        <w:r>
          <w:rPr>
            <w:webHidden/>
          </w:rPr>
        </w:r>
        <w:r>
          <w:rPr>
            <w:webHidden/>
          </w:rPr>
          <w:fldChar w:fldCharType="separate"/>
        </w:r>
        <w:r w:rsidR="002C0C2A">
          <w:rPr>
            <w:webHidden/>
          </w:rPr>
          <w:t>3</w:t>
        </w:r>
        <w:r>
          <w:rPr>
            <w:webHidden/>
          </w:rPr>
          <w:fldChar w:fldCharType="end"/>
        </w:r>
      </w:hyperlink>
    </w:p>
    <w:p w14:paraId="4234611F" w14:textId="1A95EFAB" w:rsidR="00B33ED7" w:rsidRDefault="00B33ED7" w:rsidP="00B33ED7">
      <w:pPr>
        <w:pStyle w:val="TOC2"/>
        <w:rPr>
          <w:rFonts w:asciiTheme="minorHAnsi" w:eastAsiaTheme="minorEastAsia" w:hAnsiTheme="minorHAnsi" w:cstheme="minorBidi"/>
          <w:kern w:val="2"/>
          <w:sz w:val="24"/>
          <w:lang w:eastAsia="en-AU"/>
          <w14:ligatures w14:val="standardContextual"/>
        </w:rPr>
      </w:pPr>
      <w:hyperlink w:anchor="_Toc216282361" w:history="1">
        <w:r w:rsidRPr="00566D54">
          <w:rPr>
            <w:rStyle w:val="Hyperlink"/>
            <w:rFonts w:eastAsia="Arial Unicode MS"/>
          </w:rPr>
          <w:t>Attachment B: Draft statement of reasons for proposed decision to vary and affirm anticoagulant rodenticide active constituents</w:t>
        </w:r>
        <w:r>
          <w:rPr>
            <w:webHidden/>
          </w:rPr>
          <w:tab/>
        </w:r>
        <w:r>
          <w:rPr>
            <w:webHidden/>
          </w:rPr>
          <w:fldChar w:fldCharType="begin"/>
        </w:r>
        <w:r>
          <w:rPr>
            <w:webHidden/>
          </w:rPr>
          <w:instrText xml:space="preserve"> PAGEREF _Toc216282361 \h </w:instrText>
        </w:r>
        <w:r>
          <w:rPr>
            <w:webHidden/>
          </w:rPr>
        </w:r>
        <w:r>
          <w:rPr>
            <w:webHidden/>
          </w:rPr>
          <w:fldChar w:fldCharType="separate"/>
        </w:r>
        <w:r w:rsidR="002C0C2A">
          <w:rPr>
            <w:webHidden/>
          </w:rPr>
          <w:t>4</w:t>
        </w:r>
        <w:r>
          <w:rPr>
            <w:webHidden/>
          </w:rPr>
          <w:fldChar w:fldCharType="end"/>
        </w:r>
      </w:hyperlink>
    </w:p>
    <w:p w14:paraId="6E7EC05F" w14:textId="0D95AA57" w:rsidR="00B33ED7" w:rsidRDefault="00B33ED7" w:rsidP="00B33ED7">
      <w:pPr>
        <w:pStyle w:val="TOC2"/>
        <w:rPr>
          <w:rFonts w:asciiTheme="minorHAnsi" w:eastAsiaTheme="minorEastAsia" w:hAnsiTheme="minorHAnsi" w:cstheme="minorBidi"/>
          <w:kern w:val="2"/>
          <w:sz w:val="24"/>
          <w:lang w:eastAsia="en-AU"/>
          <w14:ligatures w14:val="standardContextual"/>
        </w:rPr>
      </w:pPr>
      <w:hyperlink w:anchor="_Toc216282362" w:history="1">
        <w:r w:rsidRPr="00566D54">
          <w:rPr>
            <w:rStyle w:val="Hyperlink"/>
            <w:rFonts w:eastAsia="Arial Unicode MS"/>
          </w:rPr>
          <w:t>Attachment C: Information on which the reasons are based</w:t>
        </w:r>
        <w:r>
          <w:rPr>
            <w:webHidden/>
          </w:rPr>
          <w:tab/>
        </w:r>
        <w:r>
          <w:rPr>
            <w:webHidden/>
          </w:rPr>
          <w:fldChar w:fldCharType="begin"/>
        </w:r>
        <w:r>
          <w:rPr>
            <w:webHidden/>
          </w:rPr>
          <w:instrText xml:space="preserve"> PAGEREF _Toc216282362 \h </w:instrText>
        </w:r>
        <w:r>
          <w:rPr>
            <w:webHidden/>
          </w:rPr>
        </w:r>
        <w:r>
          <w:rPr>
            <w:webHidden/>
          </w:rPr>
          <w:fldChar w:fldCharType="separate"/>
        </w:r>
        <w:r w:rsidR="002C0C2A">
          <w:rPr>
            <w:webHidden/>
          </w:rPr>
          <w:t>23</w:t>
        </w:r>
        <w:r>
          <w:rPr>
            <w:webHidden/>
          </w:rPr>
          <w:fldChar w:fldCharType="end"/>
        </w:r>
      </w:hyperlink>
    </w:p>
    <w:p w14:paraId="0FA6DBC0" w14:textId="44651B56" w:rsidR="00B33ED7" w:rsidRDefault="00B33ED7" w:rsidP="00B33ED7">
      <w:pPr>
        <w:pStyle w:val="TOC2"/>
        <w:rPr>
          <w:rFonts w:asciiTheme="minorHAnsi" w:eastAsiaTheme="minorEastAsia" w:hAnsiTheme="minorHAnsi" w:cstheme="minorBidi"/>
          <w:kern w:val="2"/>
          <w:sz w:val="24"/>
          <w:lang w:eastAsia="en-AU"/>
          <w14:ligatures w14:val="standardContextual"/>
        </w:rPr>
      </w:pPr>
      <w:hyperlink w:anchor="_Toc216282363" w:history="1">
        <w:r w:rsidRPr="00566D54">
          <w:rPr>
            <w:rStyle w:val="Hyperlink"/>
            <w:rFonts w:eastAsia="Arial Unicode MS"/>
          </w:rPr>
          <w:t xml:space="preserve">Notice under section 34AB of the Agricultural and Veterinary Chemicals Code scheduled to the </w:t>
        </w:r>
        <w:r w:rsidRPr="00566D54">
          <w:rPr>
            <w:rStyle w:val="Hyperlink"/>
            <w:rFonts w:eastAsia="Arial Unicode MS"/>
            <w:i/>
            <w:iCs/>
          </w:rPr>
          <w:t>Agricultural and Veterinary Chemicals Code Act 1994</w:t>
        </w:r>
        <w:r w:rsidRPr="00566D54">
          <w:rPr>
            <w:rStyle w:val="Hyperlink"/>
            <w:rFonts w:eastAsia="Arial Unicode MS"/>
          </w:rPr>
          <w:t>: anticoagulant rodenticides reconsideration - proposed decision to vary and affirm certain chemical product registrations and label approvals</w:t>
        </w:r>
        <w:r>
          <w:rPr>
            <w:webHidden/>
          </w:rPr>
          <w:tab/>
        </w:r>
        <w:r>
          <w:rPr>
            <w:webHidden/>
          </w:rPr>
          <w:fldChar w:fldCharType="begin"/>
        </w:r>
        <w:r>
          <w:rPr>
            <w:webHidden/>
          </w:rPr>
          <w:instrText xml:space="preserve"> PAGEREF _Toc216282363 \h </w:instrText>
        </w:r>
        <w:r>
          <w:rPr>
            <w:webHidden/>
          </w:rPr>
        </w:r>
        <w:r>
          <w:rPr>
            <w:webHidden/>
          </w:rPr>
          <w:fldChar w:fldCharType="separate"/>
        </w:r>
        <w:r w:rsidR="002C0C2A">
          <w:rPr>
            <w:webHidden/>
          </w:rPr>
          <w:t>25</w:t>
        </w:r>
        <w:r>
          <w:rPr>
            <w:webHidden/>
          </w:rPr>
          <w:fldChar w:fldCharType="end"/>
        </w:r>
      </w:hyperlink>
    </w:p>
    <w:p w14:paraId="0F490322" w14:textId="41E89D63" w:rsidR="00B33ED7" w:rsidRDefault="00B33ED7" w:rsidP="00B33ED7">
      <w:pPr>
        <w:pStyle w:val="TOC2"/>
        <w:rPr>
          <w:rFonts w:asciiTheme="minorHAnsi" w:eastAsiaTheme="minorEastAsia" w:hAnsiTheme="minorHAnsi" w:cstheme="minorBidi"/>
          <w:kern w:val="2"/>
          <w:sz w:val="24"/>
          <w:lang w:eastAsia="en-AU"/>
          <w14:ligatures w14:val="standardContextual"/>
        </w:rPr>
      </w:pPr>
      <w:hyperlink w:anchor="_Toc216282364" w:history="1">
        <w:r w:rsidRPr="00566D54">
          <w:rPr>
            <w:rStyle w:val="Hyperlink"/>
            <w:rFonts w:eastAsia="Arial Unicode MS"/>
          </w:rPr>
          <w:t>Attachment A: Anticoagulant rodenticide product registrations and label approvals under reconsideration that the APVMA is proposing to vary and then affirm pursuant to sections 34A(1) and 34(1) of the Agvet Code</w:t>
        </w:r>
        <w:r>
          <w:rPr>
            <w:webHidden/>
          </w:rPr>
          <w:tab/>
        </w:r>
        <w:r>
          <w:rPr>
            <w:webHidden/>
          </w:rPr>
          <w:fldChar w:fldCharType="begin"/>
        </w:r>
        <w:r>
          <w:rPr>
            <w:webHidden/>
          </w:rPr>
          <w:instrText xml:space="preserve"> PAGEREF _Toc216282364 \h </w:instrText>
        </w:r>
        <w:r>
          <w:rPr>
            <w:webHidden/>
          </w:rPr>
        </w:r>
        <w:r>
          <w:rPr>
            <w:webHidden/>
          </w:rPr>
          <w:fldChar w:fldCharType="separate"/>
        </w:r>
        <w:r w:rsidR="002C0C2A">
          <w:rPr>
            <w:webHidden/>
          </w:rPr>
          <w:t>27</w:t>
        </w:r>
        <w:r>
          <w:rPr>
            <w:webHidden/>
          </w:rPr>
          <w:fldChar w:fldCharType="end"/>
        </w:r>
      </w:hyperlink>
    </w:p>
    <w:p w14:paraId="7F09F388" w14:textId="30DCF032" w:rsidR="00B33ED7" w:rsidRDefault="00B33ED7" w:rsidP="00B33ED7">
      <w:pPr>
        <w:pStyle w:val="TOC2"/>
        <w:rPr>
          <w:rFonts w:asciiTheme="minorHAnsi" w:eastAsiaTheme="minorEastAsia" w:hAnsiTheme="minorHAnsi" w:cstheme="minorBidi"/>
          <w:kern w:val="2"/>
          <w:sz w:val="24"/>
          <w:lang w:eastAsia="en-AU"/>
          <w14:ligatures w14:val="standardContextual"/>
        </w:rPr>
      </w:pPr>
      <w:hyperlink w:anchor="_Toc216282365" w:history="1">
        <w:r w:rsidRPr="00566D54">
          <w:rPr>
            <w:rStyle w:val="Hyperlink"/>
            <w:rFonts w:eastAsia="Arial Unicode MS"/>
          </w:rPr>
          <w:t>Attachment B: Draft statement of reasons for the proposed decision to vary and affirm certain anticoagulant rodenticide products and labels</w:t>
        </w:r>
        <w:r>
          <w:rPr>
            <w:webHidden/>
          </w:rPr>
          <w:tab/>
        </w:r>
        <w:r>
          <w:rPr>
            <w:webHidden/>
          </w:rPr>
          <w:fldChar w:fldCharType="begin"/>
        </w:r>
        <w:r>
          <w:rPr>
            <w:webHidden/>
          </w:rPr>
          <w:instrText xml:space="preserve"> PAGEREF _Toc216282365 \h </w:instrText>
        </w:r>
        <w:r>
          <w:rPr>
            <w:webHidden/>
          </w:rPr>
        </w:r>
        <w:r>
          <w:rPr>
            <w:webHidden/>
          </w:rPr>
          <w:fldChar w:fldCharType="separate"/>
        </w:r>
        <w:r w:rsidR="002C0C2A">
          <w:rPr>
            <w:webHidden/>
          </w:rPr>
          <w:t>33</w:t>
        </w:r>
        <w:r>
          <w:rPr>
            <w:webHidden/>
          </w:rPr>
          <w:fldChar w:fldCharType="end"/>
        </w:r>
      </w:hyperlink>
    </w:p>
    <w:p w14:paraId="3BD0B3D9" w14:textId="7FF8ADBD" w:rsidR="00B33ED7" w:rsidRDefault="00B33ED7" w:rsidP="00B33ED7">
      <w:pPr>
        <w:pStyle w:val="TOC2"/>
        <w:rPr>
          <w:rFonts w:asciiTheme="minorHAnsi" w:eastAsiaTheme="minorEastAsia" w:hAnsiTheme="minorHAnsi" w:cstheme="minorBidi"/>
          <w:kern w:val="2"/>
          <w:sz w:val="24"/>
          <w:lang w:eastAsia="en-AU"/>
          <w14:ligatures w14:val="standardContextual"/>
        </w:rPr>
      </w:pPr>
      <w:hyperlink w:anchor="_Toc216282366" w:history="1">
        <w:r w:rsidRPr="00566D54">
          <w:rPr>
            <w:rStyle w:val="Hyperlink"/>
            <w:rFonts w:eastAsia="Arial Unicode MS"/>
          </w:rPr>
          <w:t>Attachment C: Information on which the reasons are based</w:t>
        </w:r>
        <w:r>
          <w:rPr>
            <w:webHidden/>
          </w:rPr>
          <w:tab/>
        </w:r>
        <w:r>
          <w:rPr>
            <w:webHidden/>
          </w:rPr>
          <w:fldChar w:fldCharType="begin"/>
        </w:r>
        <w:r>
          <w:rPr>
            <w:webHidden/>
          </w:rPr>
          <w:instrText xml:space="preserve"> PAGEREF _Toc216282366 \h </w:instrText>
        </w:r>
        <w:r>
          <w:rPr>
            <w:webHidden/>
          </w:rPr>
        </w:r>
        <w:r>
          <w:rPr>
            <w:webHidden/>
          </w:rPr>
          <w:fldChar w:fldCharType="separate"/>
        </w:r>
        <w:r w:rsidR="002C0C2A">
          <w:rPr>
            <w:webHidden/>
          </w:rPr>
          <w:t>93</w:t>
        </w:r>
        <w:r>
          <w:rPr>
            <w:webHidden/>
          </w:rPr>
          <w:fldChar w:fldCharType="end"/>
        </w:r>
      </w:hyperlink>
    </w:p>
    <w:p w14:paraId="50906705" w14:textId="427D7634" w:rsidR="00B33ED7" w:rsidRDefault="00B33ED7" w:rsidP="00B33ED7">
      <w:pPr>
        <w:pStyle w:val="TOC2"/>
        <w:rPr>
          <w:rFonts w:asciiTheme="minorHAnsi" w:eastAsiaTheme="minorEastAsia" w:hAnsiTheme="minorHAnsi" w:cstheme="minorBidi"/>
          <w:kern w:val="2"/>
          <w:sz w:val="24"/>
          <w:lang w:eastAsia="en-AU"/>
          <w14:ligatures w14:val="standardContextual"/>
        </w:rPr>
      </w:pPr>
      <w:hyperlink w:anchor="_Toc216282367" w:history="1">
        <w:r w:rsidRPr="00566D54">
          <w:rPr>
            <w:rStyle w:val="Hyperlink"/>
            <w:rFonts w:eastAsia="Arial Unicode MS"/>
          </w:rPr>
          <w:t>Attachment D: Templates for proposed varied anticoagulant rodenticide labels</w:t>
        </w:r>
        <w:r>
          <w:rPr>
            <w:webHidden/>
          </w:rPr>
          <w:tab/>
        </w:r>
        <w:r>
          <w:rPr>
            <w:webHidden/>
          </w:rPr>
          <w:fldChar w:fldCharType="begin"/>
        </w:r>
        <w:r>
          <w:rPr>
            <w:webHidden/>
          </w:rPr>
          <w:instrText xml:space="preserve"> PAGEREF _Toc216282367 \h </w:instrText>
        </w:r>
        <w:r>
          <w:rPr>
            <w:webHidden/>
          </w:rPr>
        </w:r>
        <w:r>
          <w:rPr>
            <w:webHidden/>
          </w:rPr>
          <w:fldChar w:fldCharType="separate"/>
        </w:r>
        <w:r w:rsidR="002C0C2A">
          <w:rPr>
            <w:webHidden/>
          </w:rPr>
          <w:t>96</w:t>
        </w:r>
        <w:r>
          <w:rPr>
            <w:webHidden/>
          </w:rPr>
          <w:fldChar w:fldCharType="end"/>
        </w:r>
      </w:hyperlink>
    </w:p>
    <w:p w14:paraId="4ECD06D4" w14:textId="5E0266BD" w:rsidR="00B33ED7" w:rsidRDefault="00B33ED7" w:rsidP="00B33ED7">
      <w:pPr>
        <w:pStyle w:val="TOC2"/>
        <w:rPr>
          <w:rFonts w:asciiTheme="minorHAnsi" w:eastAsiaTheme="minorEastAsia" w:hAnsiTheme="minorHAnsi" w:cstheme="minorBidi"/>
          <w:kern w:val="2"/>
          <w:sz w:val="24"/>
          <w:lang w:eastAsia="en-AU"/>
          <w14:ligatures w14:val="standardContextual"/>
        </w:rPr>
      </w:pPr>
      <w:hyperlink w:anchor="_Toc216282368" w:history="1">
        <w:r w:rsidRPr="00566D54">
          <w:rPr>
            <w:rStyle w:val="Hyperlink"/>
            <w:rFonts w:eastAsia="Arial Unicode MS"/>
          </w:rPr>
          <w:t xml:space="preserve">Notice under sections 34AB of the Agricultural and Veterinary Chemicals Code scheduled to the </w:t>
        </w:r>
        <w:r w:rsidRPr="00566D54">
          <w:rPr>
            <w:rStyle w:val="Hyperlink"/>
            <w:rFonts w:eastAsia="Arial Unicode MS"/>
            <w:i/>
            <w:iCs/>
          </w:rPr>
          <w:t>Agricultural and Veterinary Chemicals Code Act 1994</w:t>
        </w:r>
        <w:r w:rsidRPr="00566D54">
          <w:rPr>
            <w:rStyle w:val="Hyperlink"/>
            <w:rFonts w:eastAsia="Arial Unicode MS"/>
          </w:rPr>
          <w:t>: anticoagulant rodenticides reconsideration - proposed decision to cancel certain chemical product registrations and label approvals</w:t>
        </w:r>
        <w:r>
          <w:rPr>
            <w:webHidden/>
          </w:rPr>
          <w:tab/>
        </w:r>
        <w:r>
          <w:rPr>
            <w:webHidden/>
          </w:rPr>
          <w:fldChar w:fldCharType="begin"/>
        </w:r>
        <w:r>
          <w:rPr>
            <w:webHidden/>
          </w:rPr>
          <w:instrText xml:space="preserve"> PAGEREF _Toc216282368 \h </w:instrText>
        </w:r>
        <w:r>
          <w:rPr>
            <w:webHidden/>
          </w:rPr>
        </w:r>
        <w:r>
          <w:rPr>
            <w:webHidden/>
          </w:rPr>
          <w:fldChar w:fldCharType="separate"/>
        </w:r>
        <w:r w:rsidR="002C0C2A">
          <w:rPr>
            <w:webHidden/>
          </w:rPr>
          <w:t>277</w:t>
        </w:r>
        <w:r>
          <w:rPr>
            <w:webHidden/>
          </w:rPr>
          <w:fldChar w:fldCharType="end"/>
        </w:r>
      </w:hyperlink>
    </w:p>
    <w:p w14:paraId="2A8BCEF4" w14:textId="494ADE71" w:rsidR="00B33ED7" w:rsidRDefault="00B33ED7" w:rsidP="00B33ED7">
      <w:pPr>
        <w:pStyle w:val="TOC2"/>
        <w:rPr>
          <w:rFonts w:asciiTheme="minorHAnsi" w:eastAsiaTheme="minorEastAsia" w:hAnsiTheme="minorHAnsi" w:cstheme="minorBidi"/>
          <w:kern w:val="2"/>
          <w:sz w:val="24"/>
          <w:lang w:eastAsia="en-AU"/>
          <w14:ligatures w14:val="standardContextual"/>
        </w:rPr>
      </w:pPr>
      <w:hyperlink w:anchor="_Toc216282369" w:history="1">
        <w:r w:rsidRPr="00566D54">
          <w:rPr>
            <w:rStyle w:val="Hyperlink"/>
            <w:rFonts w:eastAsia="Arial Unicode MS"/>
          </w:rPr>
          <w:t>Attachment A: Anticoagulant rodenticide product registrations and label approvals under reconsideration that the APVMA is proposing to cancel</w:t>
        </w:r>
        <w:r>
          <w:rPr>
            <w:webHidden/>
          </w:rPr>
          <w:tab/>
        </w:r>
        <w:r>
          <w:rPr>
            <w:webHidden/>
          </w:rPr>
          <w:fldChar w:fldCharType="begin"/>
        </w:r>
        <w:r>
          <w:rPr>
            <w:webHidden/>
          </w:rPr>
          <w:instrText xml:space="preserve"> PAGEREF _Toc216282369 \h </w:instrText>
        </w:r>
        <w:r>
          <w:rPr>
            <w:webHidden/>
          </w:rPr>
        </w:r>
        <w:r>
          <w:rPr>
            <w:webHidden/>
          </w:rPr>
          <w:fldChar w:fldCharType="separate"/>
        </w:r>
        <w:r w:rsidR="002C0C2A">
          <w:rPr>
            <w:webHidden/>
          </w:rPr>
          <w:t>279</w:t>
        </w:r>
        <w:r>
          <w:rPr>
            <w:webHidden/>
          </w:rPr>
          <w:fldChar w:fldCharType="end"/>
        </w:r>
      </w:hyperlink>
    </w:p>
    <w:p w14:paraId="508F3B9C" w14:textId="547BB135" w:rsidR="00B33ED7" w:rsidRDefault="00B33ED7" w:rsidP="00B33ED7">
      <w:pPr>
        <w:pStyle w:val="TOC2"/>
        <w:rPr>
          <w:rFonts w:asciiTheme="minorHAnsi" w:eastAsiaTheme="minorEastAsia" w:hAnsiTheme="minorHAnsi" w:cstheme="minorBidi"/>
          <w:kern w:val="2"/>
          <w:sz w:val="24"/>
          <w:lang w:eastAsia="en-AU"/>
          <w14:ligatures w14:val="standardContextual"/>
        </w:rPr>
      </w:pPr>
      <w:hyperlink w:anchor="_Toc216282370" w:history="1">
        <w:r w:rsidRPr="00566D54">
          <w:rPr>
            <w:rStyle w:val="Hyperlink"/>
            <w:rFonts w:eastAsia="Arial Unicode MS"/>
          </w:rPr>
          <w:t>Attachment B: Draft statement of reasons for the proposed decision to cancel certain anticoagulant rodenticide products and labels</w:t>
        </w:r>
        <w:r>
          <w:rPr>
            <w:webHidden/>
          </w:rPr>
          <w:tab/>
        </w:r>
        <w:r>
          <w:rPr>
            <w:webHidden/>
          </w:rPr>
          <w:fldChar w:fldCharType="begin"/>
        </w:r>
        <w:r>
          <w:rPr>
            <w:webHidden/>
          </w:rPr>
          <w:instrText xml:space="preserve"> PAGEREF _Toc216282370 \h </w:instrText>
        </w:r>
        <w:r>
          <w:rPr>
            <w:webHidden/>
          </w:rPr>
        </w:r>
        <w:r>
          <w:rPr>
            <w:webHidden/>
          </w:rPr>
          <w:fldChar w:fldCharType="separate"/>
        </w:r>
        <w:r w:rsidR="002C0C2A">
          <w:rPr>
            <w:webHidden/>
          </w:rPr>
          <w:t>282</w:t>
        </w:r>
        <w:r>
          <w:rPr>
            <w:webHidden/>
          </w:rPr>
          <w:fldChar w:fldCharType="end"/>
        </w:r>
      </w:hyperlink>
    </w:p>
    <w:p w14:paraId="21EEA8C4" w14:textId="3D0CA815" w:rsidR="00B33ED7" w:rsidRDefault="00B33ED7" w:rsidP="00B33ED7">
      <w:pPr>
        <w:pStyle w:val="TOC2"/>
        <w:rPr>
          <w:rFonts w:asciiTheme="minorHAnsi" w:eastAsiaTheme="minorEastAsia" w:hAnsiTheme="minorHAnsi" w:cstheme="minorBidi"/>
          <w:kern w:val="2"/>
          <w:sz w:val="24"/>
          <w:lang w:eastAsia="en-AU"/>
          <w14:ligatures w14:val="standardContextual"/>
        </w:rPr>
      </w:pPr>
      <w:hyperlink w:anchor="_Toc216282371" w:history="1">
        <w:r w:rsidRPr="00566D54">
          <w:rPr>
            <w:rStyle w:val="Hyperlink"/>
            <w:rFonts w:eastAsia="Arial Unicode MS"/>
          </w:rPr>
          <w:t>Attachment C: Information on which the reasons are based</w:t>
        </w:r>
        <w:r>
          <w:rPr>
            <w:webHidden/>
          </w:rPr>
          <w:tab/>
        </w:r>
        <w:r>
          <w:rPr>
            <w:webHidden/>
          </w:rPr>
          <w:fldChar w:fldCharType="begin"/>
        </w:r>
        <w:r>
          <w:rPr>
            <w:webHidden/>
          </w:rPr>
          <w:instrText xml:space="preserve"> PAGEREF _Toc216282371 \h </w:instrText>
        </w:r>
        <w:r>
          <w:rPr>
            <w:webHidden/>
          </w:rPr>
        </w:r>
        <w:r>
          <w:rPr>
            <w:webHidden/>
          </w:rPr>
          <w:fldChar w:fldCharType="separate"/>
        </w:r>
        <w:r w:rsidR="002C0C2A">
          <w:rPr>
            <w:webHidden/>
          </w:rPr>
          <w:t>297</w:t>
        </w:r>
        <w:r>
          <w:rPr>
            <w:webHidden/>
          </w:rPr>
          <w:fldChar w:fldCharType="end"/>
        </w:r>
      </w:hyperlink>
    </w:p>
    <w:p w14:paraId="0D431B07" w14:textId="6E1E7592" w:rsidR="00E73E38" w:rsidRPr="00616EBE" w:rsidRDefault="008F6288" w:rsidP="00A0738F">
      <w:pPr>
        <w:pStyle w:val="TOCHeading1"/>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rPr>
          <w:caps/>
          <w:szCs w:val="24"/>
        </w:rPr>
        <w:fldChar w:fldCharType="end"/>
      </w:r>
    </w:p>
    <w:p w14:paraId="0E7F7294" w14:textId="77777777" w:rsidR="008E67EA" w:rsidRDefault="008E67EA" w:rsidP="00D4624B">
      <w:pPr>
        <w:pStyle w:val="GazetteHeading1"/>
      </w:pPr>
      <w:bookmarkStart w:id="18" w:name="_Toc216282359"/>
      <w:r w:rsidRPr="005167A2">
        <w:lastRenderedPageBreak/>
        <w:t>Notice under section 34AB of the Agricultural and Veterinary Chemicals Code</w:t>
      </w:r>
      <w:r w:rsidRPr="00795ED6">
        <w:t xml:space="preserve"> </w:t>
      </w:r>
      <w:r w:rsidRPr="00AA61B5">
        <w:t xml:space="preserve">scheduled to the </w:t>
      </w:r>
      <w:r w:rsidRPr="00795ED6">
        <w:rPr>
          <w:i/>
          <w:iCs/>
        </w:rPr>
        <w:t>Agricultural and Veterinary Chemicals Code Act 1994</w:t>
      </w:r>
      <w:r w:rsidRPr="005167A2">
        <w:t xml:space="preserve">: </w:t>
      </w:r>
      <w:r>
        <w:t>anticoagulant rodenticides reconsideration - p</w:t>
      </w:r>
      <w:r w:rsidRPr="00263C03">
        <w:t xml:space="preserve">roposed decision to vary and affirm </w:t>
      </w:r>
      <w:r>
        <w:t>active constituent approvals</w:t>
      </w:r>
      <w:bookmarkEnd w:id="18"/>
    </w:p>
    <w:p w14:paraId="4A5B4B17" w14:textId="7E2BDBA6" w:rsidR="008E67EA" w:rsidRPr="00BC4DC8" w:rsidRDefault="008E67EA" w:rsidP="00011C46">
      <w:pPr>
        <w:pStyle w:val="GazetteListNumbered"/>
        <w:ind w:left="357" w:hanging="357"/>
        <w:rPr>
          <w:lang w:val="en-AU"/>
        </w:rPr>
      </w:pPr>
      <w:r w:rsidRPr="00BC4DC8">
        <w:rPr>
          <w:lang w:val="en-AU"/>
        </w:rPr>
        <w:t xml:space="preserve">I, </w:t>
      </w:r>
      <w:bookmarkStart w:id="19" w:name="_Hlk216200806"/>
      <w:r w:rsidRPr="003A407B">
        <w:rPr>
          <w:lang w:val="en-AU"/>
        </w:rPr>
        <w:t>Maria Trainer</w:t>
      </w:r>
      <w:r w:rsidRPr="003F321D">
        <w:rPr>
          <w:lang w:val="en-AU"/>
        </w:rPr>
        <w:t>,</w:t>
      </w:r>
      <w:r>
        <w:rPr>
          <w:lang w:val="en-AU"/>
        </w:rPr>
        <w:t xml:space="preserve"> Executive Director Science and Assurance,</w:t>
      </w:r>
      <w:bookmarkEnd w:id="19"/>
      <w:r w:rsidRPr="00BC4DC8">
        <w:rPr>
          <w:lang w:val="en-AU"/>
        </w:rPr>
        <w:t xml:space="preserve"> as the delegate of the Australian Pesticides and Veterinary Medicines Authority (APVMA) am proposing to make regulatory decisions in relation to active constituents being reconsidered as part of the anticoagulant rodenticide reconsideration conducted under Part 2, Division 4 of the Agricultural and Veterinary Chemicals Code scheduled to the </w:t>
      </w:r>
      <w:r w:rsidRPr="00BC4DC8">
        <w:rPr>
          <w:i/>
          <w:iCs/>
          <w:lang w:val="en-AU"/>
        </w:rPr>
        <w:t>Agricultural and Veterinary Chemicals Code Act 1994 (Agvet Code).</w:t>
      </w:r>
    </w:p>
    <w:p w14:paraId="2B5C9B75" w14:textId="77777777" w:rsidR="008E67EA" w:rsidRPr="00BC4DC8" w:rsidRDefault="008E67EA" w:rsidP="00011C46">
      <w:pPr>
        <w:pStyle w:val="GazetteListNumbered"/>
        <w:ind w:left="357" w:hanging="357"/>
        <w:rPr>
          <w:lang w:val="en-AU"/>
        </w:rPr>
      </w:pPr>
      <w:r w:rsidRPr="00BC4DC8">
        <w:rPr>
          <w:lang w:val="en-AU"/>
        </w:rPr>
        <w:t>I have reconsidered the following anticoagulant rodenticide active constituents:</w:t>
      </w:r>
    </w:p>
    <w:p w14:paraId="1AC492C6" w14:textId="77777777" w:rsidR="008E67EA" w:rsidRPr="00966273" w:rsidRDefault="008E67EA" w:rsidP="008E67EA">
      <w:pPr>
        <w:pStyle w:val="GazetteListNumbered"/>
        <w:numPr>
          <w:ilvl w:val="1"/>
          <w:numId w:val="1"/>
        </w:numPr>
        <w:ind w:left="1080"/>
      </w:pPr>
      <w:r w:rsidRPr="00966273">
        <w:t>brodifacoum;</w:t>
      </w:r>
    </w:p>
    <w:p w14:paraId="023F8369" w14:textId="77777777" w:rsidR="008E67EA" w:rsidRPr="00966273" w:rsidRDefault="008E67EA" w:rsidP="008E67EA">
      <w:pPr>
        <w:pStyle w:val="GazetteListNumbered"/>
        <w:numPr>
          <w:ilvl w:val="1"/>
          <w:numId w:val="1"/>
        </w:numPr>
        <w:ind w:left="1080"/>
      </w:pPr>
      <w:r w:rsidRPr="00966273">
        <w:t>bromadiolone;</w:t>
      </w:r>
    </w:p>
    <w:p w14:paraId="59A0FF93" w14:textId="77777777" w:rsidR="008E67EA" w:rsidRPr="00966273" w:rsidRDefault="008E67EA" w:rsidP="008E67EA">
      <w:pPr>
        <w:pStyle w:val="GazetteListNumbered"/>
        <w:numPr>
          <w:ilvl w:val="1"/>
          <w:numId w:val="1"/>
        </w:numPr>
        <w:ind w:left="1080"/>
      </w:pPr>
      <w:r w:rsidRPr="00966273">
        <w:t xml:space="preserve">coumatetralyl; </w:t>
      </w:r>
    </w:p>
    <w:p w14:paraId="10799F99" w14:textId="77777777" w:rsidR="008E67EA" w:rsidRPr="00966273" w:rsidRDefault="008E67EA" w:rsidP="008E67EA">
      <w:pPr>
        <w:pStyle w:val="GazetteListNumbered"/>
        <w:numPr>
          <w:ilvl w:val="1"/>
          <w:numId w:val="1"/>
        </w:numPr>
        <w:ind w:left="1080"/>
      </w:pPr>
      <w:r w:rsidRPr="00966273">
        <w:t>difenacoum;</w:t>
      </w:r>
    </w:p>
    <w:p w14:paraId="24EC57FF" w14:textId="77777777" w:rsidR="008E67EA" w:rsidRPr="00966273" w:rsidRDefault="008E67EA" w:rsidP="008E67EA">
      <w:pPr>
        <w:pStyle w:val="GazetteListNumbered"/>
        <w:numPr>
          <w:ilvl w:val="1"/>
          <w:numId w:val="1"/>
        </w:numPr>
        <w:ind w:left="1080"/>
      </w:pPr>
      <w:r w:rsidRPr="00966273">
        <w:t xml:space="preserve">difethialone; </w:t>
      </w:r>
    </w:p>
    <w:p w14:paraId="19F899F2" w14:textId="77777777" w:rsidR="008E67EA" w:rsidRPr="00966273" w:rsidRDefault="008E67EA" w:rsidP="008E67EA">
      <w:pPr>
        <w:pStyle w:val="GazetteListNumbered"/>
        <w:numPr>
          <w:ilvl w:val="1"/>
          <w:numId w:val="1"/>
        </w:numPr>
        <w:ind w:left="1080"/>
      </w:pPr>
      <w:r w:rsidRPr="00966273">
        <w:t>diphacinone;</w:t>
      </w:r>
    </w:p>
    <w:p w14:paraId="71369740" w14:textId="77777777" w:rsidR="008E67EA" w:rsidRPr="00966273" w:rsidRDefault="008E67EA" w:rsidP="008E67EA">
      <w:pPr>
        <w:pStyle w:val="GazetteListNumbered"/>
        <w:numPr>
          <w:ilvl w:val="1"/>
          <w:numId w:val="1"/>
        </w:numPr>
        <w:ind w:left="1080"/>
      </w:pPr>
      <w:r w:rsidRPr="00966273">
        <w:t>flocoumafen; and</w:t>
      </w:r>
    </w:p>
    <w:p w14:paraId="5655773F" w14:textId="77777777" w:rsidR="008E67EA" w:rsidRPr="00966273" w:rsidRDefault="008E67EA" w:rsidP="008E67EA">
      <w:pPr>
        <w:pStyle w:val="GazetteListNumbered"/>
        <w:numPr>
          <w:ilvl w:val="1"/>
          <w:numId w:val="1"/>
        </w:numPr>
        <w:ind w:left="1080"/>
      </w:pPr>
      <w:r w:rsidRPr="00966273">
        <w:t>warfarin.</w:t>
      </w:r>
    </w:p>
    <w:p w14:paraId="27CC959D" w14:textId="77777777" w:rsidR="008E67EA" w:rsidRPr="00BC4DC8" w:rsidRDefault="008E67EA" w:rsidP="00011C46">
      <w:pPr>
        <w:pStyle w:val="GazetteListNumbered"/>
        <w:ind w:left="357" w:hanging="357"/>
        <w:rPr>
          <w:lang w:val="en-AU"/>
        </w:rPr>
      </w:pPr>
      <w:r w:rsidRPr="00BC4DC8">
        <w:rPr>
          <w:lang w:val="en-AU"/>
        </w:rPr>
        <w:t>This notice is issued under section 34AB of the Agvet Code and relates to the reconsideration of the anticoagulant rodenticides active constituent approvals listed in Attachment A of this notice.</w:t>
      </w:r>
    </w:p>
    <w:p w14:paraId="6E9466D3" w14:textId="77777777" w:rsidR="008E67EA" w:rsidRPr="00BC4DC8" w:rsidRDefault="008E67EA" w:rsidP="00011C46">
      <w:pPr>
        <w:pStyle w:val="GazetteListNumbered"/>
        <w:ind w:left="357" w:hanging="357"/>
        <w:rPr>
          <w:lang w:val="en-AU"/>
        </w:rPr>
      </w:pPr>
      <w:r w:rsidRPr="00BC4DC8">
        <w:rPr>
          <w:lang w:val="en-AU"/>
        </w:rPr>
        <w:t>The Draft Statement of Reasons for the proposed course of action pursuant to section 34AB(2)(c) is included as Attachment B of this notice.</w:t>
      </w:r>
    </w:p>
    <w:p w14:paraId="4E398EBC" w14:textId="77777777" w:rsidR="008E67EA" w:rsidRPr="00BC4DC8" w:rsidRDefault="008E67EA" w:rsidP="00011C46">
      <w:pPr>
        <w:pStyle w:val="GazetteListNumbered"/>
        <w:ind w:left="357" w:hanging="357"/>
        <w:rPr>
          <w:lang w:val="en-AU"/>
        </w:rPr>
      </w:pPr>
      <w:r w:rsidRPr="00BC4DC8">
        <w:rPr>
          <w:lang w:val="en-AU"/>
        </w:rPr>
        <w:t>Pursuant to section 34A(1) of the Agvet Code, I propose to:</w:t>
      </w:r>
    </w:p>
    <w:p w14:paraId="1125934C" w14:textId="77777777" w:rsidR="008E67EA" w:rsidRPr="00966273" w:rsidRDefault="008E67EA" w:rsidP="008E67EA">
      <w:pPr>
        <w:pStyle w:val="GazetteListNumbered"/>
        <w:numPr>
          <w:ilvl w:val="1"/>
          <w:numId w:val="1"/>
        </w:numPr>
        <w:ind w:left="1080"/>
      </w:pPr>
      <w:r w:rsidRPr="00966273">
        <w:t xml:space="preserve">vary relevant </w:t>
      </w:r>
      <w:r w:rsidRPr="00966273">
        <w:rPr>
          <w:color w:val="000000" w:themeColor="text1"/>
        </w:rPr>
        <w:t xml:space="preserve">conditions </w:t>
      </w:r>
      <w:r w:rsidRPr="00966273">
        <w:t>of the anticoagulant rodenticide active constituent approvals listed in Attachment A of this notice in the ways set out in the draft statement of reasons in Attachment B of this notice to allow affirmation of the approvals; and</w:t>
      </w:r>
    </w:p>
    <w:p w14:paraId="69908BA5" w14:textId="77777777" w:rsidR="008E67EA" w:rsidRPr="00BC4DC8" w:rsidRDefault="008E67EA" w:rsidP="00011C46">
      <w:pPr>
        <w:pStyle w:val="GazetteListNumbered"/>
        <w:ind w:left="357" w:hanging="357"/>
        <w:rPr>
          <w:lang w:val="en-AU"/>
        </w:rPr>
      </w:pPr>
      <w:r w:rsidRPr="00BC4DC8">
        <w:rPr>
          <w:lang w:val="en-AU"/>
        </w:rPr>
        <w:t>Pursuant to section 34(1) of the Agvet Code, I propose to:</w:t>
      </w:r>
    </w:p>
    <w:p w14:paraId="694A2C41" w14:textId="77777777" w:rsidR="008E67EA" w:rsidRPr="00966273" w:rsidRDefault="008E67EA" w:rsidP="008E67EA">
      <w:pPr>
        <w:pStyle w:val="GazetteListNumbered"/>
        <w:numPr>
          <w:ilvl w:val="1"/>
          <w:numId w:val="1"/>
        </w:numPr>
        <w:ind w:left="1080"/>
      </w:pPr>
      <w:r w:rsidRPr="00966273">
        <w:t>affirm the approval, as varied, of the anticoagulant rodenticide active constituents listed in Attachment A of this notice.</w:t>
      </w:r>
    </w:p>
    <w:p w14:paraId="5D90A85B" w14:textId="77777777" w:rsidR="008E67EA" w:rsidRPr="00BC4DC8" w:rsidRDefault="008E67EA" w:rsidP="00011C46">
      <w:pPr>
        <w:pStyle w:val="GazetteListNumbered"/>
        <w:ind w:left="357" w:hanging="357"/>
        <w:rPr>
          <w:lang w:val="en-AU"/>
        </w:rPr>
      </w:pPr>
      <w:r w:rsidRPr="00BC4DC8">
        <w:rPr>
          <w:lang w:val="en-AU"/>
        </w:rPr>
        <w:t>The information on which the reasons are based is set out in Attachment C of this notice.</w:t>
      </w:r>
    </w:p>
    <w:p w14:paraId="119796BC" w14:textId="77777777" w:rsidR="008E67EA" w:rsidRDefault="008E67EA" w:rsidP="008E67EA">
      <w:pPr>
        <w:pStyle w:val="GazetteHeading2"/>
      </w:pPr>
      <w:r w:rsidRPr="009A11F1">
        <w:t>Written submissions are invited</w:t>
      </w:r>
    </w:p>
    <w:p w14:paraId="7F7E5E72" w14:textId="77777777" w:rsidR="008E67EA" w:rsidRPr="00C235B4" w:rsidRDefault="008E67EA" w:rsidP="00011C46">
      <w:pPr>
        <w:pStyle w:val="GazetteListNumbered"/>
        <w:ind w:left="357" w:hanging="357"/>
        <w:rPr>
          <w:lang w:val="en-AU"/>
        </w:rPr>
      </w:pPr>
      <w:r w:rsidRPr="00BC4DC8">
        <w:rPr>
          <w:lang w:val="en-AU"/>
        </w:rPr>
        <w:t>I invite written submissions on the proposed course of action</w:t>
      </w:r>
      <w:r w:rsidRPr="00C235B4">
        <w:rPr>
          <w:lang w:val="en-AU"/>
        </w:rPr>
        <w:t>. All submissions will be considered by the APVMA prior to finalisation of this reconsideration.</w:t>
      </w:r>
    </w:p>
    <w:p w14:paraId="2DFA2570" w14:textId="77777777" w:rsidR="008E67EA" w:rsidRPr="00C235B4" w:rsidRDefault="008E67EA" w:rsidP="00011C46">
      <w:pPr>
        <w:pStyle w:val="GazetteListNumbered"/>
        <w:ind w:left="357" w:hanging="357"/>
        <w:rPr>
          <w:lang w:val="en-AU"/>
        </w:rPr>
      </w:pPr>
      <w:r w:rsidRPr="009A11F1">
        <w:rPr>
          <w:lang w:val="en-AU"/>
        </w:rPr>
        <w:t>Submissions or requests for further information can be sent to:</w:t>
      </w:r>
    </w:p>
    <w:p w14:paraId="707B146C" w14:textId="5E73EDA1" w:rsidR="008E67EA" w:rsidRDefault="008E67EA" w:rsidP="008E67EA">
      <w:pPr>
        <w:pStyle w:val="GazetteNormalText"/>
        <w:ind w:left="709"/>
      </w:pPr>
      <w:r>
        <w:t>Chemical Review</w:t>
      </w:r>
      <w:r>
        <w:br/>
        <w:t>Australian Pesticides and Veterinary Medicines Authority</w:t>
      </w:r>
      <w:r>
        <w:br/>
        <w:t>GPO Box 574</w:t>
      </w:r>
      <w:r>
        <w:br/>
        <w:t>Canberra ACT 2601, Australia</w:t>
      </w:r>
    </w:p>
    <w:p w14:paraId="3CCB722A" w14:textId="77777777" w:rsidR="008E67EA" w:rsidRDefault="008E67EA" w:rsidP="008E67EA">
      <w:pPr>
        <w:pStyle w:val="GazetteNormalText"/>
        <w:ind w:left="709"/>
      </w:pPr>
      <w:r w:rsidRPr="009A11F1">
        <w:rPr>
          <w:b/>
          <w:bCs/>
        </w:rPr>
        <w:lastRenderedPageBreak/>
        <w:t>Phone:</w:t>
      </w:r>
      <w:r>
        <w:t xml:space="preserve"> +61 2 6770 2400</w:t>
      </w:r>
      <w:r>
        <w:br/>
      </w:r>
      <w:r w:rsidRPr="009A11F1">
        <w:rPr>
          <w:b/>
          <w:bCs/>
        </w:rPr>
        <w:t>Email:</w:t>
      </w:r>
      <w:r>
        <w:t xml:space="preserve"> </w:t>
      </w:r>
      <w:r w:rsidRPr="003F321D">
        <w:rPr>
          <w:bCs/>
        </w:rPr>
        <w:t>chemicalreview@apvma.gov.au</w:t>
      </w:r>
    </w:p>
    <w:p w14:paraId="63E783B5" w14:textId="77777777" w:rsidR="008E67EA" w:rsidRDefault="008E67EA" w:rsidP="008E67EA">
      <w:pPr>
        <w:pStyle w:val="GazetteNormalText"/>
        <w:ind w:left="709"/>
      </w:pPr>
      <w:r>
        <w:t xml:space="preserve">Please note: Submissions will be published on the APVMA website, unless you have asked for the submission to remain confidential (see </w:t>
      </w:r>
      <w:hyperlink r:id="rId22" w:history="1">
        <w:r w:rsidRPr="00CA334D">
          <w:rPr>
            <w:rStyle w:val="Hyperlink"/>
          </w:rPr>
          <w:t>public submission coversheet</w:t>
        </w:r>
      </w:hyperlink>
      <w:r>
        <w:t>).</w:t>
      </w:r>
    </w:p>
    <w:p w14:paraId="43B49769" w14:textId="77777777" w:rsidR="008E67EA" w:rsidRDefault="008E67EA" w:rsidP="008E67EA">
      <w:pPr>
        <w:pStyle w:val="GazetteBulletList2"/>
        <w:numPr>
          <w:ilvl w:val="0"/>
          <w:numId w:val="2"/>
        </w:numPr>
        <w:ind w:left="1494" w:hanging="340"/>
      </w:pPr>
      <w:bookmarkStart w:id="20" w:name="_Hlk149568245"/>
      <w:r>
        <w:t>Please lodge your submission with a public submission coversheet, which provides options for how your submission will be published.</w:t>
      </w:r>
    </w:p>
    <w:p w14:paraId="02217D20" w14:textId="77777777" w:rsidR="008E67EA" w:rsidRDefault="008E67EA" w:rsidP="008E67EA">
      <w:pPr>
        <w:pStyle w:val="GazetteBulletList2"/>
        <w:numPr>
          <w:ilvl w:val="0"/>
          <w:numId w:val="2"/>
        </w:numPr>
        <w:ind w:left="1494" w:hanging="340"/>
      </w:pPr>
      <w:r>
        <w:t xml:space="preserve">Note that all submissions received are subject to legislative requirements, including the </w:t>
      </w:r>
      <w:r w:rsidRPr="00C235B4">
        <w:rPr>
          <w:i/>
          <w:iCs/>
        </w:rPr>
        <w:t>Freedom of Information Act 1982</w:t>
      </w:r>
      <w:r>
        <w:t xml:space="preserve">, the </w:t>
      </w:r>
      <w:r w:rsidRPr="00C235B4">
        <w:rPr>
          <w:i/>
          <w:iCs/>
        </w:rPr>
        <w:t>Privacy Act 1988</w:t>
      </w:r>
      <w:r>
        <w:t xml:space="preserve"> and the Agvet Code. In providing your submission to the APVMA, you agree to the APVMA publicly disclosing your submission in whole or summary form. The APVMA confirms that if your submission includes confidential commercial information or protected information as defined in the Agvet Code, such information will be subject to the relevant provisions of the Agvet Code including relevant limitations on use and disclosure by the APVMA.</w:t>
      </w:r>
    </w:p>
    <w:p w14:paraId="33135106" w14:textId="5368CC76" w:rsidR="008E67EA" w:rsidRDefault="008E67EA" w:rsidP="00011C46">
      <w:pPr>
        <w:pStyle w:val="GazetteListNumbered"/>
        <w:ind w:left="357" w:hanging="357"/>
      </w:pPr>
      <w:bookmarkStart w:id="21" w:name="_Toc149826750"/>
      <w:bookmarkStart w:id="22" w:name="_Toc149826852"/>
      <w:bookmarkStart w:id="23" w:name="_Toc149841785"/>
      <w:bookmarkEnd w:id="20"/>
      <w:r w:rsidRPr="00CA334D">
        <w:rPr>
          <w:lang w:val="en-AU"/>
        </w:rPr>
        <w:t xml:space="preserve">The </w:t>
      </w:r>
      <w:r>
        <w:rPr>
          <w:lang w:val="en-AU"/>
        </w:rPr>
        <w:t>closing date for submissions is 16 March 2026.</w:t>
      </w:r>
    </w:p>
    <w:p w14:paraId="07182861" w14:textId="77777777" w:rsidR="008E67EA" w:rsidRDefault="008E67EA" w:rsidP="008E67EA">
      <w:pPr>
        <w:pStyle w:val="GazetteBulletList"/>
        <w:numPr>
          <w:ilvl w:val="0"/>
          <w:numId w:val="0"/>
        </w:numPr>
        <w:rPr>
          <w:lang w:val="en-AU"/>
        </w:rPr>
      </w:pPr>
      <w:bookmarkStart w:id="24" w:name="_Hlk216200848"/>
      <w:r w:rsidRPr="009633D6">
        <w:rPr>
          <w:lang w:val="en-AU"/>
        </w:rPr>
        <w:t>Maria Trainer</w:t>
      </w:r>
    </w:p>
    <w:p w14:paraId="44D1B282" w14:textId="3B58FA00" w:rsidR="008E67EA" w:rsidRDefault="008E67EA" w:rsidP="008E67EA">
      <w:pPr>
        <w:pStyle w:val="GazetteBulletList"/>
        <w:numPr>
          <w:ilvl w:val="0"/>
          <w:numId w:val="0"/>
        </w:numPr>
        <w:rPr>
          <w:lang w:val="en-AU"/>
        </w:rPr>
      </w:pPr>
      <w:r>
        <w:rPr>
          <w:lang w:val="en-AU"/>
        </w:rPr>
        <w:t>Executive Director Science and Assurance</w:t>
      </w:r>
    </w:p>
    <w:bookmarkEnd w:id="24"/>
    <w:p w14:paraId="3BB9F194" w14:textId="06C0D4CA" w:rsidR="008E67EA" w:rsidRDefault="008E67EA" w:rsidP="008E67EA">
      <w:pPr>
        <w:pStyle w:val="GazetteBulletList"/>
        <w:numPr>
          <w:ilvl w:val="0"/>
          <w:numId w:val="0"/>
        </w:numPr>
        <w:rPr>
          <w:lang w:val="en-AU"/>
        </w:rPr>
      </w:pPr>
      <w:r w:rsidRPr="00CA334D">
        <w:rPr>
          <w:lang w:val="en-AU"/>
        </w:rPr>
        <w:t xml:space="preserve">With the delegated authority under sections 11, 32 and 44 of the </w:t>
      </w:r>
      <w:r w:rsidRPr="00C235B4">
        <w:rPr>
          <w:i/>
          <w:iCs/>
          <w:lang w:val="en-AU"/>
        </w:rPr>
        <w:t>Agricultural and Veterinary Chemicals (Administration) Act 1992</w:t>
      </w:r>
      <w:r w:rsidRPr="00CA334D">
        <w:rPr>
          <w:lang w:val="en-AU"/>
        </w:rPr>
        <w:t>.</w:t>
      </w:r>
    </w:p>
    <w:p w14:paraId="2559E9E7" w14:textId="77777777" w:rsidR="008E67EA" w:rsidRDefault="008E67EA" w:rsidP="008E67EA">
      <w:pPr>
        <w:pStyle w:val="GazetteHeading2"/>
      </w:pPr>
      <w:bookmarkStart w:id="25" w:name="_Toc149571855"/>
      <w:bookmarkStart w:id="26" w:name="_Toc149578177"/>
      <w:r w:rsidRPr="00932782">
        <w:t>Attachments:</w:t>
      </w:r>
      <w:bookmarkEnd w:id="25"/>
      <w:bookmarkEnd w:id="26"/>
    </w:p>
    <w:p w14:paraId="056F1A70" w14:textId="77777777" w:rsidR="008E67EA" w:rsidRDefault="008E67EA" w:rsidP="008E67EA">
      <w:pPr>
        <w:pStyle w:val="GazetteNormalText"/>
      </w:pPr>
      <w:r w:rsidRPr="00CA334D">
        <w:rPr>
          <w:lang w:val="en-AU"/>
        </w:rPr>
        <w:t>Note: The below Attachments form part of this Notice.</w:t>
      </w:r>
    </w:p>
    <w:p w14:paraId="1255F429" w14:textId="507F03DE" w:rsidR="008E67EA" w:rsidRDefault="008E67EA" w:rsidP="008E67EA">
      <w:pPr>
        <w:pStyle w:val="GazetteNormalText"/>
        <w:spacing w:before="120" w:after="120"/>
      </w:pPr>
      <w:r>
        <w:t xml:space="preserve">Attachment A: </w:t>
      </w:r>
      <w:r w:rsidRPr="006E015B">
        <w:t>Anticoagulant rodenticide active constituent approvals subject to the reconsideration</w:t>
      </w:r>
    </w:p>
    <w:p w14:paraId="06848896" w14:textId="77777777" w:rsidR="008E67EA" w:rsidRDefault="008E67EA" w:rsidP="008E67EA">
      <w:pPr>
        <w:pStyle w:val="GazetteNormalText"/>
        <w:spacing w:before="120" w:after="120"/>
      </w:pPr>
      <w:r>
        <w:t xml:space="preserve">Attachment B: Draft statement of reasons for the proposed </w:t>
      </w:r>
      <w:r w:rsidRPr="00B159A9">
        <w:t>decision to vary and affirm</w:t>
      </w:r>
      <w:r>
        <w:t xml:space="preserve"> anticoagulant rodenticide active constituents</w:t>
      </w:r>
    </w:p>
    <w:p w14:paraId="2578A51B" w14:textId="77777777" w:rsidR="008E67EA" w:rsidRDefault="008E67EA" w:rsidP="008E67EA">
      <w:pPr>
        <w:pStyle w:val="GazetteNormalText"/>
        <w:spacing w:before="120" w:after="120"/>
      </w:pPr>
      <w:r>
        <w:t>Attachment C: Information on which the reasons are based</w:t>
      </w:r>
    </w:p>
    <w:p w14:paraId="2062C2A5" w14:textId="77777777" w:rsidR="008E67EA" w:rsidRPr="00DA53DF" w:rsidRDefault="008E67EA" w:rsidP="008E67EA">
      <w:pPr>
        <w:pStyle w:val="GazetteHeading2"/>
      </w:pPr>
      <w:bookmarkStart w:id="27" w:name="_Toc149571854"/>
      <w:bookmarkStart w:id="28" w:name="_Toc149578176"/>
      <w:bookmarkEnd w:id="21"/>
      <w:bookmarkEnd w:id="22"/>
      <w:bookmarkEnd w:id="23"/>
      <w:r>
        <w:t>C</w:t>
      </w:r>
      <w:r w:rsidRPr="00DA53DF">
        <w:t>ontact</w:t>
      </w:r>
      <w:r>
        <w:t xml:space="preserve"> info</w:t>
      </w:r>
      <w:bookmarkEnd w:id="27"/>
      <w:bookmarkEnd w:id="28"/>
      <w:r>
        <w:t>rmation</w:t>
      </w:r>
    </w:p>
    <w:p w14:paraId="07D1F283" w14:textId="77777777" w:rsidR="008E67EA" w:rsidRDefault="008E67EA" w:rsidP="008E67EA">
      <w:pPr>
        <w:pStyle w:val="GazetteNormalText"/>
      </w:pPr>
      <w:r>
        <w:t>For any enquiries or further information about this matter, please contact:</w:t>
      </w:r>
    </w:p>
    <w:p w14:paraId="3C018F56" w14:textId="2EA6F4DA" w:rsidR="008E67EA" w:rsidRDefault="008E67EA" w:rsidP="008E67EA">
      <w:pPr>
        <w:pStyle w:val="GazetteContact"/>
        <w:rPr>
          <w:b/>
        </w:rPr>
      </w:pPr>
      <w:r>
        <w:t>Chemical Review</w:t>
      </w:r>
      <w:r>
        <w:br/>
        <w:t>Australian Pesticides and Veterinary Medicines Authority</w:t>
      </w:r>
      <w:r>
        <w:br/>
        <w:t>GPO Box 574</w:t>
      </w:r>
      <w:r>
        <w:br/>
        <w:t>Canberra ACT 2601, Australia</w:t>
      </w:r>
    </w:p>
    <w:p w14:paraId="21EFA8B5" w14:textId="248AAF1F" w:rsidR="008E67EA" w:rsidRDefault="008E67EA" w:rsidP="008E67EA">
      <w:pPr>
        <w:pStyle w:val="GazetteNormalText"/>
      </w:pPr>
      <w:r>
        <w:rPr>
          <w:b/>
        </w:rPr>
        <w:t xml:space="preserve">Phone: </w:t>
      </w:r>
      <w:r>
        <w:t>+61</w:t>
      </w:r>
      <w:r>
        <w:rPr>
          <w:lang w:val="en-AU"/>
        </w:rPr>
        <w:t xml:space="preserve"> </w:t>
      </w:r>
      <w:r w:rsidRPr="0060474C">
        <w:rPr>
          <w:lang w:val="en-AU"/>
        </w:rPr>
        <w:t>2 6770 2</w:t>
      </w:r>
      <w:r>
        <w:rPr>
          <w:lang w:val="en-AU"/>
        </w:rPr>
        <w:t>400</w:t>
      </w:r>
      <w:r>
        <w:rPr>
          <w:lang w:val="en-AU"/>
        </w:rPr>
        <w:br/>
      </w:r>
      <w:r>
        <w:rPr>
          <w:b/>
        </w:rPr>
        <w:t>Email</w:t>
      </w:r>
      <w:r>
        <w:t>:</w:t>
      </w:r>
      <w:r>
        <w:rPr>
          <w:b/>
        </w:rPr>
        <w:t xml:space="preserve"> </w:t>
      </w:r>
      <w:bookmarkStart w:id="29" w:name="_Hlk216200491"/>
      <w:r>
        <w:fldChar w:fldCharType="begin"/>
      </w:r>
      <w:r>
        <w:instrText>HYPERLINK "mailto:chemicalreview@apvma.gov.au"</w:instrText>
      </w:r>
      <w:r>
        <w:fldChar w:fldCharType="separate"/>
      </w:r>
      <w:r w:rsidRPr="001B5636">
        <w:rPr>
          <w:rStyle w:val="Hyperlink"/>
        </w:rPr>
        <w:t>chemicalreview@apvma.gov.au</w:t>
      </w:r>
      <w:r>
        <w:fldChar w:fldCharType="end"/>
      </w:r>
      <w:bookmarkEnd w:id="29"/>
    </w:p>
    <w:p w14:paraId="0227E68C" w14:textId="77777777" w:rsidR="008E67EA" w:rsidRDefault="008E67EA" w:rsidP="008E67EA">
      <w:pPr>
        <w:pStyle w:val="GazetteHeading1"/>
        <w:sectPr w:rsidR="008E67EA" w:rsidSect="00D85218">
          <w:headerReference w:type="even" r:id="rId23"/>
          <w:headerReference w:type="default" r:id="rId24"/>
          <w:pgSz w:w="11906" w:h="16838"/>
          <w:pgMar w:top="1440" w:right="1134" w:bottom="1440" w:left="1134" w:header="680" w:footer="737" w:gutter="0"/>
          <w:pgNumType w:start="1"/>
          <w:cols w:space="708"/>
          <w:docGrid w:linePitch="360"/>
        </w:sectPr>
      </w:pPr>
      <w:bookmarkStart w:id="30" w:name="_Toc149571856"/>
    </w:p>
    <w:p w14:paraId="4FC44494" w14:textId="2DA8078A" w:rsidR="008E67EA" w:rsidRPr="008E67EA" w:rsidRDefault="008E67EA" w:rsidP="008E67EA">
      <w:pPr>
        <w:pStyle w:val="GazetteHeading1"/>
      </w:pPr>
      <w:bookmarkStart w:id="31" w:name="_Toc149578178"/>
      <w:bookmarkStart w:id="32" w:name="_Toc149636195"/>
      <w:bookmarkStart w:id="33" w:name="_Toc149843026"/>
      <w:bookmarkStart w:id="34" w:name="_Toc149901888"/>
      <w:bookmarkStart w:id="35" w:name="_Toc149901948"/>
      <w:bookmarkStart w:id="36" w:name="_Toc153961900"/>
      <w:bookmarkStart w:id="37" w:name="_Toc216282360"/>
      <w:r w:rsidRPr="008E67EA">
        <w:lastRenderedPageBreak/>
        <w:t xml:space="preserve">Attachment </w:t>
      </w:r>
      <w:bookmarkEnd w:id="30"/>
      <w:bookmarkEnd w:id="31"/>
      <w:bookmarkEnd w:id="32"/>
      <w:bookmarkEnd w:id="33"/>
      <w:bookmarkEnd w:id="34"/>
      <w:bookmarkEnd w:id="35"/>
      <w:bookmarkEnd w:id="36"/>
      <w:r w:rsidRPr="008E67EA">
        <w:t>A: Anticoagulant rodenticide active constituent approvals subject to the reconsideration</w:t>
      </w:r>
      <w:bookmarkEnd w:id="37"/>
    </w:p>
    <w:tbl>
      <w:tblPr>
        <w:tblStyle w:val="TableGrid"/>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Caption w:val="example of license table"/>
      </w:tblPr>
      <w:tblGrid>
        <w:gridCol w:w="2155"/>
        <w:gridCol w:w="3599"/>
        <w:gridCol w:w="3782"/>
      </w:tblGrid>
      <w:tr w:rsidR="008E67EA" w14:paraId="111DB203" w14:textId="77777777" w:rsidTr="008E67EA">
        <w:trPr>
          <w:tblHeader/>
        </w:trPr>
        <w:tc>
          <w:tcPr>
            <w:tcW w:w="1130" w:type="pct"/>
            <w:shd w:val="clear" w:color="auto" w:fill="D9D9D9" w:themeFill="background1" w:themeFillShade="D9"/>
          </w:tcPr>
          <w:p w14:paraId="3787B2B1" w14:textId="77777777" w:rsidR="008E67EA" w:rsidRDefault="008E67EA" w:rsidP="00B44A74">
            <w:pPr>
              <w:pStyle w:val="GazetteTableHeading"/>
            </w:pPr>
            <w:r>
              <w:t>Approval number</w:t>
            </w:r>
          </w:p>
        </w:tc>
        <w:tc>
          <w:tcPr>
            <w:tcW w:w="1887" w:type="pct"/>
            <w:shd w:val="clear" w:color="auto" w:fill="D9D9D9" w:themeFill="background1" w:themeFillShade="D9"/>
          </w:tcPr>
          <w:p w14:paraId="6BDF015F" w14:textId="77777777" w:rsidR="008E67EA" w:rsidRDefault="008E67EA" w:rsidP="00B44A74">
            <w:pPr>
              <w:pStyle w:val="GazetteTableHeading"/>
            </w:pPr>
            <w:r>
              <w:t>Active constituent name</w:t>
            </w:r>
          </w:p>
        </w:tc>
        <w:tc>
          <w:tcPr>
            <w:tcW w:w="1983" w:type="pct"/>
            <w:shd w:val="clear" w:color="auto" w:fill="D9D9D9" w:themeFill="background1" w:themeFillShade="D9"/>
          </w:tcPr>
          <w:p w14:paraId="654487E1" w14:textId="77777777" w:rsidR="008E67EA" w:rsidRDefault="008E67EA" w:rsidP="00B44A74">
            <w:pPr>
              <w:pStyle w:val="GazetteTableHeading"/>
            </w:pPr>
            <w:r>
              <w:t>Holder</w:t>
            </w:r>
          </w:p>
        </w:tc>
      </w:tr>
      <w:tr w:rsidR="008E67EA" w14:paraId="0BC40DCF" w14:textId="77777777" w:rsidTr="008E67EA">
        <w:tc>
          <w:tcPr>
            <w:tcW w:w="5000" w:type="pct"/>
            <w:gridSpan w:val="3"/>
          </w:tcPr>
          <w:p w14:paraId="3B42C673" w14:textId="77777777" w:rsidR="008E67EA" w:rsidRDefault="008E67EA" w:rsidP="00B44A74">
            <w:pPr>
              <w:pStyle w:val="GazetteTableText"/>
            </w:pPr>
            <w:r w:rsidRPr="00001A49">
              <w:rPr>
                <w:rFonts w:ascii="Franklin Gothic Medium" w:hAnsi="Franklin Gothic Medium"/>
                <w:i/>
                <w:iCs/>
                <w:sz w:val="18"/>
              </w:rPr>
              <w:t>First generation anticoagulant rodenticides</w:t>
            </w:r>
          </w:p>
        </w:tc>
      </w:tr>
      <w:tr w:rsidR="008E67EA" w14:paraId="31051EBF" w14:textId="77777777" w:rsidTr="008E67EA">
        <w:tc>
          <w:tcPr>
            <w:tcW w:w="1130" w:type="pct"/>
          </w:tcPr>
          <w:p w14:paraId="7B52847B" w14:textId="77777777" w:rsidR="008E67EA" w:rsidRDefault="008E67EA" w:rsidP="00B44A74">
            <w:pPr>
              <w:pStyle w:val="GazetteTableText"/>
            </w:pPr>
            <w:r w:rsidRPr="00646536">
              <w:t>44211</w:t>
            </w:r>
          </w:p>
        </w:tc>
        <w:tc>
          <w:tcPr>
            <w:tcW w:w="1887" w:type="pct"/>
          </w:tcPr>
          <w:p w14:paraId="27B14B0F" w14:textId="77777777" w:rsidR="008E67EA" w:rsidRPr="00B75907" w:rsidRDefault="008E67EA" w:rsidP="00B44A74">
            <w:pPr>
              <w:pStyle w:val="GazetteTableText"/>
            </w:pPr>
            <w:r>
              <w:t>C</w:t>
            </w:r>
            <w:r w:rsidRPr="00001A49">
              <w:t>oumatetralyl</w:t>
            </w:r>
          </w:p>
        </w:tc>
        <w:tc>
          <w:tcPr>
            <w:tcW w:w="1983" w:type="pct"/>
          </w:tcPr>
          <w:p w14:paraId="57995956" w14:textId="77777777" w:rsidR="008E67EA" w:rsidRDefault="008E67EA" w:rsidP="00B44A74">
            <w:pPr>
              <w:pStyle w:val="GazetteTableText"/>
            </w:pPr>
            <w:r w:rsidRPr="00AD4C3B">
              <w:t>2022 Environmental Science Au Pty Ltd</w:t>
            </w:r>
          </w:p>
        </w:tc>
      </w:tr>
      <w:tr w:rsidR="008E67EA" w14:paraId="550CB234" w14:textId="77777777" w:rsidTr="008E67EA">
        <w:tc>
          <w:tcPr>
            <w:tcW w:w="1130" w:type="pct"/>
          </w:tcPr>
          <w:p w14:paraId="2C794B72" w14:textId="77777777" w:rsidR="008E67EA" w:rsidRDefault="008E67EA" w:rsidP="00B44A74">
            <w:pPr>
              <w:pStyle w:val="GazetteTableText"/>
            </w:pPr>
            <w:r w:rsidRPr="00646536">
              <w:t>64241</w:t>
            </w:r>
          </w:p>
        </w:tc>
        <w:tc>
          <w:tcPr>
            <w:tcW w:w="1887" w:type="pct"/>
          </w:tcPr>
          <w:p w14:paraId="445027E2" w14:textId="77777777" w:rsidR="008E67EA" w:rsidRPr="00B75907" w:rsidRDefault="008E67EA" w:rsidP="00B44A74">
            <w:pPr>
              <w:pStyle w:val="GazetteTableText"/>
            </w:pPr>
            <w:r>
              <w:t>C</w:t>
            </w:r>
            <w:r w:rsidRPr="00001A49">
              <w:t>oumatetralyl</w:t>
            </w:r>
          </w:p>
        </w:tc>
        <w:tc>
          <w:tcPr>
            <w:tcW w:w="1983" w:type="pct"/>
          </w:tcPr>
          <w:p w14:paraId="5216F047" w14:textId="77777777" w:rsidR="008E67EA" w:rsidRDefault="008E67EA" w:rsidP="00B44A74">
            <w:pPr>
              <w:pStyle w:val="GazetteTableText"/>
            </w:pPr>
            <w:r w:rsidRPr="00AD4C3B">
              <w:t>2022 Environmental Science Au Pty Ltd</w:t>
            </w:r>
          </w:p>
        </w:tc>
      </w:tr>
      <w:tr w:rsidR="008E67EA" w14:paraId="731D8F89" w14:textId="77777777" w:rsidTr="008E67EA">
        <w:tc>
          <w:tcPr>
            <w:tcW w:w="1130" w:type="pct"/>
          </w:tcPr>
          <w:p w14:paraId="631D49A2" w14:textId="77777777" w:rsidR="008E67EA" w:rsidRDefault="008E67EA" w:rsidP="00B44A74">
            <w:pPr>
              <w:pStyle w:val="GazetteTableText"/>
            </w:pPr>
            <w:r w:rsidRPr="00AD4C3B">
              <w:t>54768</w:t>
            </w:r>
          </w:p>
        </w:tc>
        <w:tc>
          <w:tcPr>
            <w:tcW w:w="1887" w:type="pct"/>
          </w:tcPr>
          <w:p w14:paraId="759EB666" w14:textId="77777777" w:rsidR="008E67EA" w:rsidRPr="00B75907" w:rsidRDefault="008E67EA" w:rsidP="00B44A74">
            <w:pPr>
              <w:pStyle w:val="GazetteTableText"/>
            </w:pPr>
            <w:r>
              <w:t>D</w:t>
            </w:r>
            <w:r w:rsidRPr="00001A49">
              <w:t>iphacinone</w:t>
            </w:r>
          </w:p>
        </w:tc>
        <w:tc>
          <w:tcPr>
            <w:tcW w:w="1983" w:type="pct"/>
          </w:tcPr>
          <w:p w14:paraId="64C84C22" w14:textId="77777777" w:rsidR="008E67EA" w:rsidRDefault="008E67EA" w:rsidP="00B44A74">
            <w:pPr>
              <w:pStyle w:val="GazetteTableText"/>
            </w:pPr>
            <w:r w:rsidRPr="00AD4C3B">
              <w:t>Neogen Australasia Pty Limited</w:t>
            </w:r>
          </w:p>
        </w:tc>
      </w:tr>
      <w:tr w:rsidR="008E67EA" w14:paraId="6D9A4057" w14:textId="77777777" w:rsidTr="008E67EA">
        <w:tc>
          <w:tcPr>
            <w:tcW w:w="1130" w:type="pct"/>
          </w:tcPr>
          <w:p w14:paraId="50187D25" w14:textId="77777777" w:rsidR="008E67EA" w:rsidRPr="000F742E" w:rsidRDefault="008E67EA" w:rsidP="00B44A74">
            <w:pPr>
              <w:pStyle w:val="GazetteTableText"/>
            </w:pPr>
            <w:r w:rsidRPr="00AD4C3B">
              <w:t>46121</w:t>
            </w:r>
          </w:p>
        </w:tc>
        <w:tc>
          <w:tcPr>
            <w:tcW w:w="1887" w:type="pct"/>
          </w:tcPr>
          <w:p w14:paraId="5685D061" w14:textId="77777777" w:rsidR="008E67EA" w:rsidRPr="000F742E" w:rsidRDefault="008E67EA" w:rsidP="00B44A74">
            <w:pPr>
              <w:pStyle w:val="GazetteTableText"/>
            </w:pPr>
            <w:r w:rsidRPr="00ED509C">
              <w:t>Warfarin</w:t>
            </w:r>
          </w:p>
        </w:tc>
        <w:tc>
          <w:tcPr>
            <w:tcW w:w="1983" w:type="pct"/>
          </w:tcPr>
          <w:p w14:paraId="6697EE34" w14:textId="77777777" w:rsidR="008E67EA" w:rsidRDefault="008E67EA" w:rsidP="00B44A74">
            <w:pPr>
              <w:pStyle w:val="GazetteTableText"/>
            </w:pPr>
            <w:r w:rsidRPr="00AD4C3B">
              <w:t>Ruth Consolidated Industries Pty Ltd</w:t>
            </w:r>
          </w:p>
        </w:tc>
      </w:tr>
      <w:tr w:rsidR="008E67EA" w14:paraId="00283DD1" w14:textId="77777777" w:rsidTr="008E67EA">
        <w:tc>
          <w:tcPr>
            <w:tcW w:w="5000" w:type="pct"/>
            <w:gridSpan w:val="3"/>
          </w:tcPr>
          <w:p w14:paraId="51A348AF" w14:textId="77777777" w:rsidR="008E67EA" w:rsidRPr="00AD4C3B" w:rsidRDefault="008E67EA" w:rsidP="00B44A74">
            <w:pPr>
              <w:pStyle w:val="GazetteTableText"/>
            </w:pPr>
            <w:r>
              <w:rPr>
                <w:rFonts w:ascii="Franklin Gothic Medium" w:hAnsi="Franklin Gothic Medium"/>
                <w:i/>
                <w:iCs/>
                <w:sz w:val="18"/>
              </w:rPr>
              <w:t>Second</w:t>
            </w:r>
            <w:r w:rsidRPr="00001A49">
              <w:rPr>
                <w:rFonts w:ascii="Franklin Gothic Medium" w:hAnsi="Franklin Gothic Medium"/>
                <w:i/>
                <w:iCs/>
                <w:sz w:val="18"/>
              </w:rPr>
              <w:t xml:space="preserve"> generation anticoagulant rodenticides</w:t>
            </w:r>
          </w:p>
        </w:tc>
      </w:tr>
      <w:tr w:rsidR="008E67EA" w14:paraId="59974937" w14:textId="77777777" w:rsidTr="008E67EA">
        <w:tc>
          <w:tcPr>
            <w:tcW w:w="1130" w:type="pct"/>
          </w:tcPr>
          <w:p w14:paraId="22D81F0B" w14:textId="77777777" w:rsidR="008E67EA" w:rsidRDefault="008E67EA" w:rsidP="00B44A74">
            <w:pPr>
              <w:pStyle w:val="GazetteTableText"/>
            </w:pPr>
            <w:r w:rsidRPr="00911A8A">
              <w:t>44191</w:t>
            </w:r>
          </w:p>
        </w:tc>
        <w:tc>
          <w:tcPr>
            <w:tcW w:w="1887" w:type="pct"/>
          </w:tcPr>
          <w:p w14:paraId="582BB19A" w14:textId="77777777" w:rsidR="008E67EA" w:rsidRPr="00B75907" w:rsidRDefault="008E67EA" w:rsidP="00B44A74">
            <w:pPr>
              <w:pStyle w:val="GazetteTableText"/>
            </w:pPr>
            <w:r w:rsidRPr="00663979">
              <w:t>Brodifacoum Manufacturing Concentrate</w:t>
            </w:r>
          </w:p>
        </w:tc>
        <w:tc>
          <w:tcPr>
            <w:tcW w:w="1983" w:type="pct"/>
            <w:vAlign w:val="center"/>
          </w:tcPr>
          <w:p w14:paraId="1F49498C" w14:textId="77777777" w:rsidR="008E67EA" w:rsidRDefault="008E67EA" w:rsidP="00B44A74">
            <w:pPr>
              <w:pStyle w:val="GazetteTableText"/>
            </w:pPr>
            <w:r w:rsidRPr="0019466D">
              <w:t>Syngenta Australia Pty Ltd</w:t>
            </w:r>
          </w:p>
        </w:tc>
      </w:tr>
      <w:tr w:rsidR="008E67EA" w14:paraId="4FA279A8" w14:textId="77777777" w:rsidTr="008E67EA">
        <w:tc>
          <w:tcPr>
            <w:tcW w:w="1130" w:type="pct"/>
          </w:tcPr>
          <w:p w14:paraId="1BE09627" w14:textId="77777777" w:rsidR="008E67EA" w:rsidRDefault="008E67EA" w:rsidP="00B44A74">
            <w:pPr>
              <w:pStyle w:val="GazetteTableText"/>
            </w:pPr>
            <w:r w:rsidRPr="00911A8A">
              <w:t>44192</w:t>
            </w:r>
          </w:p>
        </w:tc>
        <w:tc>
          <w:tcPr>
            <w:tcW w:w="1887" w:type="pct"/>
          </w:tcPr>
          <w:p w14:paraId="11ED2179" w14:textId="77777777" w:rsidR="008E67EA" w:rsidRPr="00B75907" w:rsidRDefault="008E67EA" w:rsidP="00B44A74">
            <w:pPr>
              <w:pStyle w:val="GazetteTableText"/>
            </w:pPr>
            <w:r w:rsidRPr="00663979">
              <w:t>Brodifacoum</w:t>
            </w:r>
          </w:p>
        </w:tc>
        <w:tc>
          <w:tcPr>
            <w:tcW w:w="1983" w:type="pct"/>
            <w:vAlign w:val="center"/>
          </w:tcPr>
          <w:p w14:paraId="5129E77D" w14:textId="77777777" w:rsidR="008E67EA" w:rsidRDefault="008E67EA" w:rsidP="00B44A74">
            <w:pPr>
              <w:pStyle w:val="GazetteTableText"/>
            </w:pPr>
            <w:r w:rsidRPr="0019466D">
              <w:t>Syngenta Australia Pty Ltd</w:t>
            </w:r>
          </w:p>
        </w:tc>
      </w:tr>
      <w:tr w:rsidR="008E67EA" w14:paraId="664EBA79" w14:textId="77777777" w:rsidTr="008E67EA">
        <w:tc>
          <w:tcPr>
            <w:tcW w:w="1130" w:type="pct"/>
          </w:tcPr>
          <w:p w14:paraId="2721F44E" w14:textId="77777777" w:rsidR="008E67EA" w:rsidRDefault="008E67EA" w:rsidP="00B44A74">
            <w:pPr>
              <w:pStyle w:val="GazetteTableText"/>
            </w:pPr>
            <w:r w:rsidRPr="00911A8A">
              <w:t>44522</w:t>
            </w:r>
          </w:p>
        </w:tc>
        <w:tc>
          <w:tcPr>
            <w:tcW w:w="1887" w:type="pct"/>
          </w:tcPr>
          <w:p w14:paraId="5CA618BE" w14:textId="77777777" w:rsidR="008E67EA" w:rsidRPr="00B75907" w:rsidRDefault="008E67EA" w:rsidP="00B44A74">
            <w:pPr>
              <w:pStyle w:val="GazetteTableText"/>
            </w:pPr>
            <w:r w:rsidRPr="00663979">
              <w:t>Brodifacoum</w:t>
            </w:r>
          </w:p>
        </w:tc>
        <w:tc>
          <w:tcPr>
            <w:tcW w:w="1983" w:type="pct"/>
            <w:vAlign w:val="center"/>
          </w:tcPr>
          <w:p w14:paraId="6B102B01" w14:textId="77777777" w:rsidR="008E67EA" w:rsidRDefault="008E67EA" w:rsidP="00B44A74">
            <w:pPr>
              <w:pStyle w:val="GazetteTableText"/>
            </w:pPr>
            <w:r w:rsidRPr="0019466D">
              <w:t>Bell Laboratories, Inc.</w:t>
            </w:r>
          </w:p>
        </w:tc>
      </w:tr>
      <w:tr w:rsidR="008E67EA" w14:paraId="19167E6A" w14:textId="77777777" w:rsidTr="008E67EA">
        <w:tc>
          <w:tcPr>
            <w:tcW w:w="1130" w:type="pct"/>
          </w:tcPr>
          <w:p w14:paraId="7554B08F" w14:textId="77777777" w:rsidR="008E67EA" w:rsidRDefault="008E67EA" w:rsidP="00B44A74">
            <w:pPr>
              <w:pStyle w:val="GazetteTableText"/>
            </w:pPr>
            <w:r w:rsidRPr="00911A8A">
              <w:t>48319</w:t>
            </w:r>
          </w:p>
        </w:tc>
        <w:tc>
          <w:tcPr>
            <w:tcW w:w="1887" w:type="pct"/>
          </w:tcPr>
          <w:p w14:paraId="4D0660C6" w14:textId="77777777" w:rsidR="008E67EA" w:rsidRPr="00B75907" w:rsidRDefault="008E67EA" w:rsidP="00B44A74">
            <w:pPr>
              <w:pStyle w:val="GazetteTableText"/>
            </w:pPr>
            <w:r w:rsidRPr="00663979">
              <w:t>Brodifacoum Manufacturing Concentrate</w:t>
            </w:r>
          </w:p>
        </w:tc>
        <w:tc>
          <w:tcPr>
            <w:tcW w:w="1983" w:type="pct"/>
            <w:vAlign w:val="center"/>
          </w:tcPr>
          <w:p w14:paraId="08BB6B78" w14:textId="77777777" w:rsidR="008E67EA" w:rsidRDefault="008E67EA" w:rsidP="00B44A74">
            <w:pPr>
              <w:pStyle w:val="GazetteTableText"/>
            </w:pPr>
            <w:r w:rsidRPr="0019466D">
              <w:t>Helidon Tech</w:t>
            </w:r>
            <w:r>
              <w:t>.</w:t>
            </w:r>
            <w:r w:rsidRPr="0019466D">
              <w:t xml:space="preserve"> Pty</w:t>
            </w:r>
            <w:r>
              <w:t>.</w:t>
            </w:r>
            <w:r w:rsidRPr="0019466D">
              <w:t xml:space="preserve"> Ltd</w:t>
            </w:r>
            <w:r>
              <w:t>.</w:t>
            </w:r>
          </w:p>
        </w:tc>
      </w:tr>
      <w:tr w:rsidR="008E67EA" w14:paraId="40D7B546" w14:textId="77777777" w:rsidTr="008E67EA">
        <w:tc>
          <w:tcPr>
            <w:tcW w:w="1130" w:type="pct"/>
          </w:tcPr>
          <w:p w14:paraId="0EFC553E" w14:textId="77777777" w:rsidR="008E67EA" w:rsidRDefault="008E67EA" w:rsidP="00B44A74">
            <w:pPr>
              <w:pStyle w:val="GazetteTableText"/>
            </w:pPr>
            <w:r w:rsidRPr="00911A8A">
              <w:t>62292</w:t>
            </w:r>
          </w:p>
        </w:tc>
        <w:tc>
          <w:tcPr>
            <w:tcW w:w="1887" w:type="pct"/>
          </w:tcPr>
          <w:p w14:paraId="015EEFDD" w14:textId="77777777" w:rsidR="008E67EA" w:rsidRPr="00B75907" w:rsidRDefault="008E67EA" w:rsidP="00B44A74">
            <w:pPr>
              <w:pStyle w:val="GazetteTableText"/>
            </w:pPr>
            <w:r w:rsidRPr="00663979">
              <w:t>Brodifacoum</w:t>
            </w:r>
          </w:p>
        </w:tc>
        <w:tc>
          <w:tcPr>
            <w:tcW w:w="1983" w:type="pct"/>
            <w:vAlign w:val="center"/>
          </w:tcPr>
          <w:p w14:paraId="32249793" w14:textId="77777777" w:rsidR="008E67EA" w:rsidRDefault="008E67EA" w:rsidP="00B44A74">
            <w:pPr>
              <w:pStyle w:val="GazetteTableText"/>
            </w:pPr>
            <w:r w:rsidRPr="0019466D">
              <w:t>4 Farmers Australia Pty Ltd</w:t>
            </w:r>
          </w:p>
        </w:tc>
      </w:tr>
      <w:tr w:rsidR="008E67EA" w:rsidRPr="00151641" w14:paraId="5CE8FE11" w14:textId="77777777" w:rsidTr="008E67EA">
        <w:tc>
          <w:tcPr>
            <w:tcW w:w="1130" w:type="pct"/>
          </w:tcPr>
          <w:p w14:paraId="2E521FBA" w14:textId="77777777" w:rsidR="008E67EA" w:rsidRDefault="008E67EA" w:rsidP="00B44A74">
            <w:pPr>
              <w:pStyle w:val="GazetteTableText"/>
            </w:pPr>
            <w:r w:rsidRPr="00911A8A">
              <w:t>67386</w:t>
            </w:r>
          </w:p>
        </w:tc>
        <w:tc>
          <w:tcPr>
            <w:tcW w:w="1887" w:type="pct"/>
          </w:tcPr>
          <w:p w14:paraId="1F97E3E9" w14:textId="77777777" w:rsidR="008E67EA" w:rsidRPr="00B75907" w:rsidRDefault="008E67EA" w:rsidP="00B44A74">
            <w:pPr>
              <w:pStyle w:val="GazetteTableText"/>
            </w:pPr>
            <w:r w:rsidRPr="00663979">
              <w:t>Brodifacoum</w:t>
            </w:r>
          </w:p>
        </w:tc>
        <w:tc>
          <w:tcPr>
            <w:tcW w:w="1983" w:type="pct"/>
            <w:vAlign w:val="center"/>
          </w:tcPr>
          <w:p w14:paraId="210F241C" w14:textId="77777777" w:rsidR="008E67EA" w:rsidRPr="00151641" w:rsidRDefault="008E67EA" w:rsidP="00B44A74">
            <w:pPr>
              <w:pStyle w:val="GazetteTableText"/>
              <w:rPr>
                <w:lang w:val="de-CH"/>
              </w:rPr>
            </w:pPr>
            <w:r w:rsidRPr="00151641">
              <w:rPr>
                <w:lang w:val="de-CH"/>
              </w:rPr>
              <w:t>Pelgar International (Aus) Pty Ltd</w:t>
            </w:r>
          </w:p>
        </w:tc>
      </w:tr>
      <w:tr w:rsidR="008E67EA" w14:paraId="55CB8BFE" w14:textId="77777777" w:rsidTr="008E67EA">
        <w:tc>
          <w:tcPr>
            <w:tcW w:w="1130" w:type="pct"/>
          </w:tcPr>
          <w:p w14:paraId="7167BF58" w14:textId="77777777" w:rsidR="008E67EA" w:rsidRDefault="008E67EA" w:rsidP="00B44A74">
            <w:pPr>
              <w:pStyle w:val="GazetteTableText"/>
            </w:pPr>
            <w:r w:rsidRPr="00911A8A">
              <w:t>85489</w:t>
            </w:r>
          </w:p>
        </w:tc>
        <w:tc>
          <w:tcPr>
            <w:tcW w:w="1887" w:type="pct"/>
          </w:tcPr>
          <w:p w14:paraId="342485C3" w14:textId="77777777" w:rsidR="008E67EA" w:rsidRPr="00B75907" w:rsidRDefault="008E67EA" w:rsidP="00B44A74">
            <w:pPr>
              <w:pStyle w:val="GazetteTableText"/>
            </w:pPr>
            <w:r w:rsidRPr="00663979">
              <w:t>Brodifacoum</w:t>
            </w:r>
          </w:p>
        </w:tc>
        <w:tc>
          <w:tcPr>
            <w:tcW w:w="1983" w:type="pct"/>
            <w:vAlign w:val="center"/>
          </w:tcPr>
          <w:p w14:paraId="782C47CD" w14:textId="77777777" w:rsidR="008E67EA" w:rsidRDefault="008E67EA" w:rsidP="00B44A74">
            <w:pPr>
              <w:pStyle w:val="GazetteTableText"/>
            </w:pPr>
            <w:r>
              <w:t>Endura S.P.A</w:t>
            </w:r>
            <w:r w:rsidRPr="0019466D">
              <w:t>.</w:t>
            </w:r>
          </w:p>
        </w:tc>
      </w:tr>
      <w:tr w:rsidR="008E67EA" w14:paraId="77F12C0A" w14:textId="77777777" w:rsidTr="008E67EA">
        <w:tc>
          <w:tcPr>
            <w:tcW w:w="1130" w:type="pct"/>
          </w:tcPr>
          <w:p w14:paraId="7CC66750" w14:textId="77777777" w:rsidR="008E67EA" w:rsidRDefault="008E67EA" w:rsidP="00B44A74">
            <w:pPr>
              <w:pStyle w:val="GazetteTableText"/>
            </w:pPr>
            <w:r w:rsidRPr="00911A8A">
              <w:t>92406</w:t>
            </w:r>
          </w:p>
        </w:tc>
        <w:tc>
          <w:tcPr>
            <w:tcW w:w="1887" w:type="pct"/>
          </w:tcPr>
          <w:p w14:paraId="6276524F" w14:textId="77777777" w:rsidR="008E67EA" w:rsidRPr="00B75907" w:rsidRDefault="008E67EA" w:rsidP="00B44A74">
            <w:pPr>
              <w:pStyle w:val="GazetteTableText"/>
            </w:pPr>
            <w:r w:rsidRPr="00663979">
              <w:t>Brodifacoum Manufacturing Concentrate</w:t>
            </w:r>
          </w:p>
        </w:tc>
        <w:tc>
          <w:tcPr>
            <w:tcW w:w="1983" w:type="pct"/>
            <w:vAlign w:val="center"/>
          </w:tcPr>
          <w:p w14:paraId="7040906A" w14:textId="77777777" w:rsidR="008E67EA" w:rsidRDefault="008E67EA" w:rsidP="00B44A74">
            <w:pPr>
              <w:pStyle w:val="GazetteTableText"/>
            </w:pPr>
            <w:r w:rsidRPr="0019466D">
              <w:t>Animal Control Products Ltd</w:t>
            </w:r>
          </w:p>
        </w:tc>
      </w:tr>
      <w:tr w:rsidR="008E67EA" w14:paraId="005CF99D" w14:textId="77777777" w:rsidTr="008E67EA">
        <w:tc>
          <w:tcPr>
            <w:tcW w:w="1130" w:type="pct"/>
          </w:tcPr>
          <w:p w14:paraId="7A336D72" w14:textId="77777777" w:rsidR="008E67EA" w:rsidRPr="00911A8A" w:rsidRDefault="008E67EA" w:rsidP="00B44A74">
            <w:pPr>
              <w:pStyle w:val="GazetteTableText"/>
            </w:pPr>
            <w:r w:rsidRPr="00812B2E">
              <w:t>44475</w:t>
            </w:r>
          </w:p>
        </w:tc>
        <w:tc>
          <w:tcPr>
            <w:tcW w:w="1887" w:type="pct"/>
          </w:tcPr>
          <w:p w14:paraId="21FAAB52" w14:textId="77777777" w:rsidR="008E67EA" w:rsidRPr="009A4983" w:rsidRDefault="008E67EA" w:rsidP="00B44A74">
            <w:pPr>
              <w:pStyle w:val="GazetteTableText"/>
            </w:pPr>
            <w:r w:rsidRPr="00812B2E">
              <w:t>Bromadiolone</w:t>
            </w:r>
          </w:p>
        </w:tc>
        <w:tc>
          <w:tcPr>
            <w:tcW w:w="1983" w:type="pct"/>
          </w:tcPr>
          <w:p w14:paraId="288B3AD6" w14:textId="77777777" w:rsidR="008E67EA" w:rsidRPr="0019466D" w:rsidRDefault="008E67EA" w:rsidP="00B44A74">
            <w:pPr>
              <w:pStyle w:val="GazetteTableText"/>
            </w:pPr>
            <w:r w:rsidRPr="005B4CC4">
              <w:t>Liphatech S.A.S.</w:t>
            </w:r>
          </w:p>
        </w:tc>
      </w:tr>
      <w:tr w:rsidR="008E67EA" w14:paraId="6E413CF8" w14:textId="77777777" w:rsidTr="008E67EA">
        <w:tc>
          <w:tcPr>
            <w:tcW w:w="1130" w:type="pct"/>
          </w:tcPr>
          <w:p w14:paraId="09E0B5A9" w14:textId="77777777" w:rsidR="008E67EA" w:rsidRDefault="008E67EA" w:rsidP="00B44A74">
            <w:pPr>
              <w:pStyle w:val="GazetteTableText"/>
            </w:pPr>
            <w:r w:rsidRPr="00812B2E">
              <w:t>47758</w:t>
            </w:r>
          </w:p>
        </w:tc>
        <w:tc>
          <w:tcPr>
            <w:tcW w:w="1887" w:type="pct"/>
          </w:tcPr>
          <w:p w14:paraId="0CA5BBA9" w14:textId="77777777" w:rsidR="008E67EA" w:rsidRPr="00B75907" w:rsidRDefault="008E67EA" w:rsidP="00B44A74">
            <w:pPr>
              <w:pStyle w:val="GazetteTableText"/>
            </w:pPr>
            <w:r w:rsidRPr="00812B2E">
              <w:t>Bromadiolone Manufacturing Concentrate</w:t>
            </w:r>
          </w:p>
        </w:tc>
        <w:tc>
          <w:tcPr>
            <w:tcW w:w="1983" w:type="pct"/>
          </w:tcPr>
          <w:p w14:paraId="4D1D0B24" w14:textId="77777777" w:rsidR="008E67EA" w:rsidRDefault="008E67EA" w:rsidP="00B44A74">
            <w:pPr>
              <w:pStyle w:val="GazetteTableText"/>
            </w:pPr>
            <w:r w:rsidRPr="005B4CC4">
              <w:t>Animal Control Technologies (Australia) Pty Ltd</w:t>
            </w:r>
          </w:p>
        </w:tc>
      </w:tr>
      <w:tr w:rsidR="008E67EA" w14:paraId="3B1C53B2" w14:textId="77777777" w:rsidTr="008E67EA">
        <w:tc>
          <w:tcPr>
            <w:tcW w:w="1130" w:type="pct"/>
          </w:tcPr>
          <w:p w14:paraId="57CCE7AF" w14:textId="77777777" w:rsidR="008E67EA" w:rsidRDefault="008E67EA" w:rsidP="00B44A74">
            <w:pPr>
              <w:pStyle w:val="GazetteTableText"/>
            </w:pPr>
            <w:r w:rsidRPr="00812B2E">
              <w:t>47789</w:t>
            </w:r>
          </w:p>
        </w:tc>
        <w:tc>
          <w:tcPr>
            <w:tcW w:w="1887" w:type="pct"/>
          </w:tcPr>
          <w:p w14:paraId="6AE10C7F" w14:textId="77777777" w:rsidR="008E67EA" w:rsidRPr="00B75907" w:rsidRDefault="008E67EA" w:rsidP="00B44A74">
            <w:pPr>
              <w:pStyle w:val="GazetteTableText"/>
            </w:pPr>
            <w:r w:rsidRPr="00812B2E">
              <w:t>Bromadiolone Manufacturing Concentrate</w:t>
            </w:r>
          </w:p>
        </w:tc>
        <w:tc>
          <w:tcPr>
            <w:tcW w:w="1983" w:type="pct"/>
          </w:tcPr>
          <w:p w14:paraId="56A961DE" w14:textId="77777777" w:rsidR="008E67EA" w:rsidRDefault="008E67EA" w:rsidP="00B44A74">
            <w:pPr>
              <w:pStyle w:val="GazetteTableText"/>
            </w:pPr>
            <w:r w:rsidRPr="005B4CC4">
              <w:t>Liphatech S.A.S.</w:t>
            </w:r>
          </w:p>
        </w:tc>
      </w:tr>
      <w:tr w:rsidR="008E67EA" w14:paraId="0012CC61" w14:textId="77777777" w:rsidTr="008E67EA">
        <w:tc>
          <w:tcPr>
            <w:tcW w:w="1130" w:type="pct"/>
          </w:tcPr>
          <w:p w14:paraId="48C3A988" w14:textId="77777777" w:rsidR="008E67EA" w:rsidRDefault="008E67EA" w:rsidP="00B44A74">
            <w:pPr>
              <w:pStyle w:val="GazetteTableText"/>
            </w:pPr>
            <w:r w:rsidRPr="00812B2E">
              <w:t>47790</w:t>
            </w:r>
          </w:p>
        </w:tc>
        <w:tc>
          <w:tcPr>
            <w:tcW w:w="1887" w:type="pct"/>
          </w:tcPr>
          <w:p w14:paraId="154BA664" w14:textId="77777777" w:rsidR="008E67EA" w:rsidRPr="00B75907" w:rsidRDefault="008E67EA" w:rsidP="00B44A74">
            <w:pPr>
              <w:pStyle w:val="GazetteTableText"/>
            </w:pPr>
            <w:r w:rsidRPr="00812B2E">
              <w:t>Bromadiolone Manufacturing Concentrate</w:t>
            </w:r>
          </w:p>
        </w:tc>
        <w:tc>
          <w:tcPr>
            <w:tcW w:w="1983" w:type="pct"/>
          </w:tcPr>
          <w:p w14:paraId="123B17F5" w14:textId="77777777" w:rsidR="008E67EA" w:rsidRDefault="008E67EA" w:rsidP="00B44A74">
            <w:pPr>
              <w:pStyle w:val="GazetteTableText"/>
            </w:pPr>
            <w:r w:rsidRPr="005B4CC4">
              <w:t xml:space="preserve">Liphatech S.A.S. </w:t>
            </w:r>
          </w:p>
        </w:tc>
      </w:tr>
      <w:tr w:rsidR="008E67EA" w14:paraId="15D77366" w14:textId="77777777" w:rsidTr="008E67EA">
        <w:tc>
          <w:tcPr>
            <w:tcW w:w="1130" w:type="pct"/>
          </w:tcPr>
          <w:p w14:paraId="6C374575" w14:textId="77777777" w:rsidR="008E67EA" w:rsidRDefault="008E67EA" w:rsidP="00B44A74">
            <w:pPr>
              <w:pStyle w:val="GazetteTableText"/>
            </w:pPr>
            <w:r w:rsidRPr="00812B2E">
              <w:t>49195</w:t>
            </w:r>
          </w:p>
        </w:tc>
        <w:tc>
          <w:tcPr>
            <w:tcW w:w="1887" w:type="pct"/>
          </w:tcPr>
          <w:p w14:paraId="1F707765" w14:textId="77777777" w:rsidR="008E67EA" w:rsidRPr="00B75907" w:rsidRDefault="008E67EA" w:rsidP="00B44A74">
            <w:pPr>
              <w:pStyle w:val="GazetteTableText"/>
            </w:pPr>
            <w:r w:rsidRPr="00812B2E">
              <w:t>Bromadiolone</w:t>
            </w:r>
          </w:p>
        </w:tc>
        <w:tc>
          <w:tcPr>
            <w:tcW w:w="1983" w:type="pct"/>
          </w:tcPr>
          <w:p w14:paraId="38A10F5F" w14:textId="77777777" w:rsidR="008E67EA" w:rsidRDefault="008E67EA" w:rsidP="00B44A74">
            <w:pPr>
              <w:pStyle w:val="GazetteTableText"/>
            </w:pPr>
            <w:r w:rsidRPr="005B4CC4">
              <w:t>Bell Laboratories, Inc.</w:t>
            </w:r>
          </w:p>
        </w:tc>
      </w:tr>
      <w:tr w:rsidR="008E67EA" w14:paraId="5FB8280F" w14:textId="77777777" w:rsidTr="008E67EA">
        <w:tc>
          <w:tcPr>
            <w:tcW w:w="1130" w:type="pct"/>
          </w:tcPr>
          <w:p w14:paraId="0572D943" w14:textId="77777777" w:rsidR="008E67EA" w:rsidRDefault="008E67EA" w:rsidP="00B44A74">
            <w:pPr>
              <w:pStyle w:val="GazetteTableText"/>
            </w:pPr>
            <w:r w:rsidRPr="00812B2E">
              <w:t>51576</w:t>
            </w:r>
          </w:p>
        </w:tc>
        <w:tc>
          <w:tcPr>
            <w:tcW w:w="1887" w:type="pct"/>
          </w:tcPr>
          <w:p w14:paraId="2205A493" w14:textId="77777777" w:rsidR="008E67EA" w:rsidRPr="00B75907" w:rsidRDefault="008E67EA" w:rsidP="00B44A74">
            <w:pPr>
              <w:pStyle w:val="GazetteTableText"/>
            </w:pPr>
            <w:r w:rsidRPr="00812B2E">
              <w:t>Bromadiolone</w:t>
            </w:r>
          </w:p>
        </w:tc>
        <w:tc>
          <w:tcPr>
            <w:tcW w:w="1983" w:type="pct"/>
          </w:tcPr>
          <w:p w14:paraId="4D876EF2" w14:textId="77777777" w:rsidR="008E67EA" w:rsidRDefault="008E67EA" w:rsidP="00B44A74">
            <w:pPr>
              <w:pStyle w:val="GazetteTableText"/>
            </w:pPr>
            <w:r w:rsidRPr="005B4CC4">
              <w:t>Animal Control Technologies (Australia) Pty Ltd</w:t>
            </w:r>
          </w:p>
        </w:tc>
      </w:tr>
      <w:tr w:rsidR="008E67EA" w14:paraId="4A731343" w14:textId="77777777" w:rsidTr="008E67EA">
        <w:tc>
          <w:tcPr>
            <w:tcW w:w="1130" w:type="pct"/>
          </w:tcPr>
          <w:p w14:paraId="36E5A1BD" w14:textId="77777777" w:rsidR="008E67EA" w:rsidRDefault="008E67EA" w:rsidP="00B44A74">
            <w:pPr>
              <w:pStyle w:val="GazetteTableText"/>
            </w:pPr>
            <w:r w:rsidRPr="00812B2E">
              <w:t>59135</w:t>
            </w:r>
          </w:p>
        </w:tc>
        <w:tc>
          <w:tcPr>
            <w:tcW w:w="1887" w:type="pct"/>
          </w:tcPr>
          <w:p w14:paraId="227AA4C8" w14:textId="77777777" w:rsidR="008E67EA" w:rsidRPr="00B75907" w:rsidRDefault="008E67EA" w:rsidP="00B44A74">
            <w:pPr>
              <w:pStyle w:val="GazetteTableText"/>
            </w:pPr>
            <w:r w:rsidRPr="00812B2E">
              <w:t>Bromadiolone</w:t>
            </w:r>
          </w:p>
        </w:tc>
        <w:tc>
          <w:tcPr>
            <w:tcW w:w="1983" w:type="pct"/>
          </w:tcPr>
          <w:p w14:paraId="56104D51" w14:textId="77777777" w:rsidR="008E67EA" w:rsidRDefault="008E67EA" w:rsidP="00B44A74">
            <w:pPr>
              <w:pStyle w:val="GazetteTableText"/>
            </w:pPr>
            <w:r w:rsidRPr="005B4CC4">
              <w:t xml:space="preserve">Babolna Bioenvironmental Centre Private Limited Company </w:t>
            </w:r>
          </w:p>
        </w:tc>
      </w:tr>
      <w:tr w:rsidR="008E67EA" w14:paraId="78EA4C16" w14:textId="77777777" w:rsidTr="008E67EA">
        <w:tc>
          <w:tcPr>
            <w:tcW w:w="1130" w:type="pct"/>
          </w:tcPr>
          <w:p w14:paraId="3BB6CE54" w14:textId="77777777" w:rsidR="008E67EA" w:rsidRDefault="008E67EA" w:rsidP="00B44A74">
            <w:pPr>
              <w:pStyle w:val="GazetteTableText"/>
            </w:pPr>
            <w:r w:rsidRPr="00812B2E">
              <w:t>67898</w:t>
            </w:r>
          </w:p>
        </w:tc>
        <w:tc>
          <w:tcPr>
            <w:tcW w:w="1887" w:type="pct"/>
          </w:tcPr>
          <w:p w14:paraId="6F162FF3" w14:textId="77777777" w:rsidR="008E67EA" w:rsidRPr="00B75907" w:rsidRDefault="008E67EA" w:rsidP="00B44A74">
            <w:pPr>
              <w:pStyle w:val="GazetteTableText"/>
            </w:pPr>
            <w:r w:rsidRPr="00812B2E">
              <w:t>Bromadiolone</w:t>
            </w:r>
          </w:p>
        </w:tc>
        <w:tc>
          <w:tcPr>
            <w:tcW w:w="1983" w:type="pct"/>
            <w:vAlign w:val="center"/>
          </w:tcPr>
          <w:p w14:paraId="413A6966" w14:textId="77777777" w:rsidR="008E67EA" w:rsidRDefault="008E67EA" w:rsidP="00B44A74">
            <w:pPr>
              <w:pStyle w:val="GazetteTableText"/>
            </w:pPr>
            <w:r>
              <w:t>Endura S.P.A</w:t>
            </w:r>
            <w:r w:rsidRPr="0019466D">
              <w:t>.</w:t>
            </w:r>
          </w:p>
        </w:tc>
      </w:tr>
      <w:tr w:rsidR="008E67EA" w:rsidRPr="00151641" w14:paraId="51621440" w14:textId="77777777" w:rsidTr="008E67EA">
        <w:tc>
          <w:tcPr>
            <w:tcW w:w="1130" w:type="pct"/>
          </w:tcPr>
          <w:p w14:paraId="4F75E69F" w14:textId="77777777" w:rsidR="008E67EA" w:rsidRDefault="008E67EA" w:rsidP="00B44A74">
            <w:pPr>
              <w:pStyle w:val="GazetteTableText"/>
            </w:pPr>
            <w:r w:rsidRPr="000F0782">
              <w:t>63286</w:t>
            </w:r>
          </w:p>
        </w:tc>
        <w:tc>
          <w:tcPr>
            <w:tcW w:w="1887" w:type="pct"/>
          </w:tcPr>
          <w:p w14:paraId="791D3AB3" w14:textId="77777777" w:rsidR="008E67EA" w:rsidRPr="00B75907" w:rsidRDefault="008E67EA" w:rsidP="00B44A74">
            <w:pPr>
              <w:pStyle w:val="GazetteTableText"/>
            </w:pPr>
            <w:r w:rsidRPr="000F0782">
              <w:t>Difenacoum</w:t>
            </w:r>
          </w:p>
        </w:tc>
        <w:tc>
          <w:tcPr>
            <w:tcW w:w="1983" w:type="pct"/>
          </w:tcPr>
          <w:p w14:paraId="7161D62B" w14:textId="77777777" w:rsidR="008E67EA" w:rsidRPr="00151641" w:rsidRDefault="008E67EA" w:rsidP="00B44A74">
            <w:pPr>
              <w:pStyle w:val="GazetteTableText"/>
              <w:rPr>
                <w:lang w:val="de-CH"/>
              </w:rPr>
            </w:pPr>
            <w:r w:rsidRPr="00151641">
              <w:rPr>
                <w:lang w:val="de-CH"/>
              </w:rPr>
              <w:t>Pelgar International (Aus) Pty Ltd</w:t>
            </w:r>
          </w:p>
        </w:tc>
      </w:tr>
      <w:tr w:rsidR="008E67EA" w14:paraId="3AB1F760" w14:textId="77777777" w:rsidTr="008E67EA">
        <w:tc>
          <w:tcPr>
            <w:tcW w:w="1130" w:type="pct"/>
          </w:tcPr>
          <w:p w14:paraId="3AAFB2FE" w14:textId="77777777" w:rsidR="008E67EA" w:rsidRDefault="008E67EA" w:rsidP="00B44A74">
            <w:pPr>
              <w:pStyle w:val="GazetteTableText"/>
            </w:pPr>
            <w:r w:rsidRPr="000F0782">
              <w:t>67881</w:t>
            </w:r>
          </w:p>
        </w:tc>
        <w:tc>
          <w:tcPr>
            <w:tcW w:w="1887" w:type="pct"/>
          </w:tcPr>
          <w:p w14:paraId="017288A7" w14:textId="77777777" w:rsidR="008E67EA" w:rsidRPr="00B75907" w:rsidRDefault="008E67EA" w:rsidP="00B44A74">
            <w:pPr>
              <w:pStyle w:val="GazetteTableText"/>
            </w:pPr>
            <w:r w:rsidRPr="000F0782">
              <w:t>Difenacoum</w:t>
            </w:r>
          </w:p>
        </w:tc>
        <w:tc>
          <w:tcPr>
            <w:tcW w:w="1983" w:type="pct"/>
            <w:vAlign w:val="center"/>
          </w:tcPr>
          <w:p w14:paraId="21F121FF" w14:textId="77777777" w:rsidR="008E67EA" w:rsidRDefault="008E67EA" w:rsidP="00B44A74">
            <w:pPr>
              <w:pStyle w:val="GazetteTableText"/>
            </w:pPr>
            <w:r>
              <w:t>Endura S.P.A</w:t>
            </w:r>
            <w:r w:rsidRPr="0019466D">
              <w:t>.</w:t>
            </w:r>
          </w:p>
        </w:tc>
      </w:tr>
      <w:tr w:rsidR="008E67EA" w14:paraId="596A8384" w14:textId="77777777" w:rsidTr="008E67EA">
        <w:tc>
          <w:tcPr>
            <w:tcW w:w="1130" w:type="pct"/>
          </w:tcPr>
          <w:p w14:paraId="586BE4A5" w14:textId="77777777" w:rsidR="008E67EA" w:rsidRDefault="008E67EA" w:rsidP="00B44A74">
            <w:pPr>
              <w:pStyle w:val="GazetteTableText"/>
            </w:pPr>
            <w:r w:rsidRPr="000F0782">
              <w:t>45234</w:t>
            </w:r>
          </w:p>
        </w:tc>
        <w:tc>
          <w:tcPr>
            <w:tcW w:w="1887" w:type="pct"/>
          </w:tcPr>
          <w:p w14:paraId="3E2F6A1B" w14:textId="77777777" w:rsidR="008E67EA" w:rsidRPr="00B75907" w:rsidRDefault="008E67EA" w:rsidP="00B44A74">
            <w:pPr>
              <w:pStyle w:val="GazetteTableText"/>
            </w:pPr>
            <w:r w:rsidRPr="000F0782">
              <w:t>Difethialone</w:t>
            </w:r>
          </w:p>
        </w:tc>
        <w:tc>
          <w:tcPr>
            <w:tcW w:w="1983" w:type="pct"/>
          </w:tcPr>
          <w:p w14:paraId="3C065152" w14:textId="77777777" w:rsidR="008E67EA" w:rsidRDefault="008E67EA" w:rsidP="00B44A74">
            <w:pPr>
              <w:pStyle w:val="GazetteTableText"/>
            </w:pPr>
            <w:r w:rsidRPr="005B4CC4">
              <w:t xml:space="preserve">Liphatech </w:t>
            </w:r>
            <w:r w:rsidRPr="00260829">
              <w:t xml:space="preserve">S.A.S. </w:t>
            </w:r>
          </w:p>
        </w:tc>
      </w:tr>
      <w:tr w:rsidR="008E67EA" w14:paraId="7531EF90" w14:textId="77777777" w:rsidTr="008E67EA">
        <w:tc>
          <w:tcPr>
            <w:tcW w:w="1130" w:type="pct"/>
          </w:tcPr>
          <w:p w14:paraId="664438CA" w14:textId="77777777" w:rsidR="008E67EA" w:rsidRDefault="008E67EA" w:rsidP="00B44A74">
            <w:pPr>
              <w:pStyle w:val="GazetteTableText"/>
            </w:pPr>
            <w:r w:rsidRPr="000F0782">
              <w:t>44267</w:t>
            </w:r>
          </w:p>
        </w:tc>
        <w:tc>
          <w:tcPr>
            <w:tcW w:w="1887" w:type="pct"/>
          </w:tcPr>
          <w:p w14:paraId="6243956B" w14:textId="77777777" w:rsidR="008E67EA" w:rsidRPr="00B75907" w:rsidRDefault="008E67EA" w:rsidP="00B44A74">
            <w:pPr>
              <w:pStyle w:val="GazetteTableText"/>
            </w:pPr>
            <w:r w:rsidRPr="000F0782">
              <w:t>Flocoumafen</w:t>
            </w:r>
          </w:p>
        </w:tc>
        <w:tc>
          <w:tcPr>
            <w:tcW w:w="1983" w:type="pct"/>
          </w:tcPr>
          <w:p w14:paraId="55C80342" w14:textId="77777777" w:rsidR="008E67EA" w:rsidRDefault="008E67EA" w:rsidP="00B44A74">
            <w:pPr>
              <w:pStyle w:val="GazetteTableText"/>
            </w:pPr>
            <w:r w:rsidRPr="00260829">
              <w:t>BASF Australia Ltd.</w:t>
            </w:r>
          </w:p>
        </w:tc>
      </w:tr>
      <w:tr w:rsidR="008E67EA" w14:paraId="21D5E4F3" w14:textId="77777777" w:rsidTr="008E67EA">
        <w:tc>
          <w:tcPr>
            <w:tcW w:w="1130" w:type="pct"/>
          </w:tcPr>
          <w:p w14:paraId="17C0596E" w14:textId="77777777" w:rsidR="008E67EA" w:rsidRDefault="008E67EA" w:rsidP="00B44A74">
            <w:pPr>
              <w:pStyle w:val="GazetteTableText"/>
            </w:pPr>
            <w:r w:rsidRPr="000F0782">
              <w:t>49436</w:t>
            </w:r>
          </w:p>
        </w:tc>
        <w:tc>
          <w:tcPr>
            <w:tcW w:w="1887" w:type="pct"/>
          </w:tcPr>
          <w:p w14:paraId="49339D03" w14:textId="77777777" w:rsidR="008E67EA" w:rsidRPr="00B75907" w:rsidRDefault="008E67EA" w:rsidP="00B44A74">
            <w:pPr>
              <w:pStyle w:val="GazetteTableText"/>
            </w:pPr>
            <w:r w:rsidRPr="000F0782">
              <w:t>Flocoumafen</w:t>
            </w:r>
          </w:p>
        </w:tc>
        <w:tc>
          <w:tcPr>
            <w:tcW w:w="1983" w:type="pct"/>
          </w:tcPr>
          <w:p w14:paraId="5C1B63F0" w14:textId="77777777" w:rsidR="008E67EA" w:rsidRDefault="008E67EA" w:rsidP="00B44A74">
            <w:pPr>
              <w:pStyle w:val="GazetteTableText"/>
            </w:pPr>
            <w:r w:rsidRPr="00260829">
              <w:t>BASF Australia Ltd.</w:t>
            </w:r>
          </w:p>
        </w:tc>
      </w:tr>
      <w:tr w:rsidR="008E67EA" w14:paraId="6E3C29D8" w14:textId="77777777" w:rsidTr="008E67EA">
        <w:tc>
          <w:tcPr>
            <w:tcW w:w="1130" w:type="pct"/>
          </w:tcPr>
          <w:p w14:paraId="25BD144C" w14:textId="77777777" w:rsidR="008E67EA" w:rsidRDefault="008E67EA" w:rsidP="00B44A74">
            <w:pPr>
              <w:pStyle w:val="GazetteTableText"/>
            </w:pPr>
            <w:r w:rsidRPr="000F0782">
              <w:t>65328</w:t>
            </w:r>
          </w:p>
        </w:tc>
        <w:tc>
          <w:tcPr>
            <w:tcW w:w="1887" w:type="pct"/>
          </w:tcPr>
          <w:p w14:paraId="61C06F2A" w14:textId="77777777" w:rsidR="008E67EA" w:rsidRPr="00B75907" w:rsidRDefault="008E67EA" w:rsidP="00B44A74">
            <w:pPr>
              <w:pStyle w:val="GazetteTableText"/>
            </w:pPr>
            <w:r w:rsidRPr="000F0782">
              <w:t>Flocoumafen</w:t>
            </w:r>
          </w:p>
        </w:tc>
        <w:tc>
          <w:tcPr>
            <w:tcW w:w="1983" w:type="pct"/>
          </w:tcPr>
          <w:p w14:paraId="2E758A02" w14:textId="77777777" w:rsidR="008E67EA" w:rsidRDefault="008E67EA" w:rsidP="00B44A74">
            <w:pPr>
              <w:pStyle w:val="GazetteTableText"/>
            </w:pPr>
            <w:r w:rsidRPr="00260829">
              <w:t>BASF Australia Ltd.</w:t>
            </w:r>
          </w:p>
        </w:tc>
      </w:tr>
    </w:tbl>
    <w:p w14:paraId="4DCECACE" w14:textId="77777777" w:rsidR="008E67EA" w:rsidRDefault="008E67EA" w:rsidP="008E67EA">
      <w:pPr>
        <w:pStyle w:val="GazetteNormalText"/>
        <w:sectPr w:rsidR="008E67EA" w:rsidSect="00CB73E0">
          <w:headerReference w:type="even" r:id="rId25"/>
          <w:headerReference w:type="default" r:id="rId26"/>
          <w:footerReference w:type="default" r:id="rId27"/>
          <w:pgSz w:w="11906" w:h="16838"/>
          <w:pgMar w:top="1440" w:right="1134" w:bottom="1440" w:left="1134" w:header="794" w:footer="737" w:gutter="0"/>
          <w:cols w:space="708"/>
          <w:docGrid w:linePitch="360"/>
        </w:sectPr>
      </w:pPr>
    </w:p>
    <w:p w14:paraId="35C4F6CA" w14:textId="77777777" w:rsidR="008E67EA" w:rsidRPr="008E67EA" w:rsidRDefault="008E67EA" w:rsidP="008E67EA">
      <w:pPr>
        <w:pStyle w:val="GazetteHeading1"/>
      </w:pPr>
      <w:bookmarkStart w:id="38" w:name="_Toc216282361"/>
      <w:r w:rsidRPr="008E67EA">
        <w:lastRenderedPageBreak/>
        <w:t>Attachment B: Draft statement of reasons for proposed decision to vary and affirm anticoagulant rodenticide active constituents</w:t>
      </w:r>
      <w:bookmarkEnd w:id="38"/>
    </w:p>
    <w:p w14:paraId="603C779A" w14:textId="6A18F0AA" w:rsidR="008E67EA" w:rsidRDefault="008E67EA" w:rsidP="008E67EA">
      <w:pPr>
        <w:pStyle w:val="GazetteHeading2"/>
        <w:rPr>
          <w:sz w:val="28"/>
          <w:szCs w:val="28"/>
        </w:rPr>
      </w:pPr>
      <w:r w:rsidRPr="00B418E9">
        <w:rPr>
          <w:sz w:val="28"/>
          <w:szCs w:val="28"/>
        </w:rPr>
        <w:t>Contents</w:t>
      </w:r>
      <w:bookmarkStart w:id="39" w:name="_Hlk153961836"/>
    </w:p>
    <w:p w14:paraId="0AC52F15" w14:textId="3CD509D0" w:rsidR="008E67EA" w:rsidRDefault="008E67EA" w:rsidP="00D4624B">
      <w:pPr>
        <w:pStyle w:val="TOC1"/>
        <w:tabs>
          <w:tab w:val="clear" w:pos="1134"/>
          <w:tab w:val="left" w:pos="1276"/>
        </w:tabs>
        <w:rPr>
          <w:rFonts w:asciiTheme="minorHAnsi" w:eastAsiaTheme="minorEastAsia" w:hAnsiTheme="minorHAnsi"/>
          <w:kern w:val="2"/>
          <w:sz w:val="24"/>
          <w:lang w:eastAsia="en-AU"/>
          <w14:ligatures w14:val="standardContextual"/>
        </w:rPr>
      </w:pPr>
      <w:r>
        <w:rPr>
          <w:rStyle w:val="Hyperlink"/>
          <w:color w:val="auto"/>
          <w:u w:val="none"/>
        </w:rPr>
        <w:fldChar w:fldCharType="begin"/>
      </w:r>
      <w:r w:rsidRPr="008E67EA">
        <w:rPr>
          <w:rStyle w:val="Hyperlink"/>
          <w:color w:val="auto"/>
          <w:u w:val="none"/>
        </w:rPr>
        <w:instrText xml:space="preserve"> TOC \h \z \t "Gazette cover H2,1,Gazette Cover H3,1,Statement of Reasons Heading 1,1,Statement of Reasons Heading 2,2,Statement of Reasons Heading 3,3" </w:instrText>
      </w:r>
      <w:r>
        <w:rPr>
          <w:rStyle w:val="Hyperlink"/>
          <w:color w:val="auto"/>
          <w:u w:val="none"/>
        </w:rPr>
        <w:fldChar w:fldCharType="separate"/>
      </w:r>
      <w:hyperlink w:anchor="_Toc214991509" w:history="1">
        <w:r w:rsidRPr="008E67EA">
          <w:rPr>
            <w:rStyle w:val="Hyperlink"/>
            <w:color w:val="auto"/>
            <w:u w:val="none"/>
          </w:rPr>
          <w:t>B</w:t>
        </w:r>
        <w:r w:rsidR="00D4624B" w:rsidRPr="008E67EA">
          <w:rPr>
            <w:rStyle w:val="Hyperlink"/>
            <w:color w:val="auto"/>
            <w:u w:val="none"/>
          </w:rPr>
          <w:t>ackground</w:t>
        </w:r>
        <w:r w:rsidR="00D4624B" w:rsidRPr="00D4624B">
          <w:rPr>
            <w:webHidden/>
          </w:rPr>
          <w:tab/>
        </w:r>
        <w:r>
          <w:rPr>
            <w:webHidden/>
          </w:rPr>
          <w:fldChar w:fldCharType="begin"/>
        </w:r>
        <w:r>
          <w:rPr>
            <w:webHidden/>
          </w:rPr>
          <w:instrText xml:space="preserve"> PAGEREF _Toc214991509 \h </w:instrText>
        </w:r>
        <w:r>
          <w:rPr>
            <w:webHidden/>
          </w:rPr>
        </w:r>
        <w:r>
          <w:rPr>
            <w:webHidden/>
          </w:rPr>
          <w:fldChar w:fldCharType="separate"/>
        </w:r>
        <w:r w:rsidR="002C0C2A">
          <w:rPr>
            <w:webHidden/>
          </w:rPr>
          <w:t>4</w:t>
        </w:r>
        <w:r>
          <w:rPr>
            <w:webHidden/>
          </w:rPr>
          <w:fldChar w:fldCharType="end"/>
        </w:r>
      </w:hyperlink>
    </w:p>
    <w:p w14:paraId="49ABEDD4" w14:textId="42CFD977" w:rsidR="008E67EA" w:rsidRDefault="008E67EA" w:rsidP="008E67EA">
      <w:pPr>
        <w:pStyle w:val="TOC2"/>
        <w:rPr>
          <w:rFonts w:asciiTheme="minorHAnsi" w:eastAsiaTheme="minorEastAsia" w:hAnsiTheme="minorHAnsi"/>
          <w:kern w:val="2"/>
          <w:sz w:val="24"/>
          <w:szCs w:val="24"/>
          <w:lang w:eastAsia="en-AU"/>
          <w14:ligatures w14:val="standardContextual"/>
        </w:rPr>
      </w:pPr>
      <w:hyperlink w:anchor="_Toc214991510" w:history="1">
        <w:r w:rsidRPr="00297CC0">
          <w:rPr>
            <w:rStyle w:val="Hyperlink"/>
          </w:rPr>
          <w:t>Reconsideration of registration or approval</w:t>
        </w:r>
        <w:r>
          <w:rPr>
            <w:webHidden/>
          </w:rPr>
          <w:tab/>
        </w:r>
        <w:r>
          <w:rPr>
            <w:webHidden/>
          </w:rPr>
          <w:fldChar w:fldCharType="begin"/>
        </w:r>
        <w:r>
          <w:rPr>
            <w:webHidden/>
          </w:rPr>
          <w:instrText xml:space="preserve"> PAGEREF _Toc214991510 \h </w:instrText>
        </w:r>
        <w:r>
          <w:rPr>
            <w:webHidden/>
          </w:rPr>
        </w:r>
        <w:r>
          <w:rPr>
            <w:webHidden/>
          </w:rPr>
          <w:fldChar w:fldCharType="separate"/>
        </w:r>
        <w:r w:rsidR="002C0C2A">
          <w:rPr>
            <w:webHidden/>
          </w:rPr>
          <w:t>4</w:t>
        </w:r>
        <w:r>
          <w:rPr>
            <w:webHidden/>
          </w:rPr>
          <w:fldChar w:fldCharType="end"/>
        </w:r>
      </w:hyperlink>
    </w:p>
    <w:p w14:paraId="63CFB681" w14:textId="501FF488" w:rsidR="008E67EA" w:rsidRDefault="008E67EA" w:rsidP="00D4624B">
      <w:pPr>
        <w:pStyle w:val="TOC1"/>
        <w:tabs>
          <w:tab w:val="clear" w:pos="1134"/>
          <w:tab w:val="left" w:pos="1560"/>
        </w:tabs>
        <w:rPr>
          <w:rFonts w:asciiTheme="minorHAnsi" w:eastAsiaTheme="minorEastAsia" w:hAnsiTheme="minorHAnsi"/>
          <w:kern w:val="2"/>
          <w:sz w:val="24"/>
          <w:lang w:eastAsia="en-AU"/>
          <w14:ligatures w14:val="standardContextual"/>
        </w:rPr>
      </w:pPr>
      <w:hyperlink w:anchor="_Toc214991511" w:history="1">
        <w:r w:rsidRPr="00297CC0">
          <w:rPr>
            <w:rStyle w:val="Hyperlink"/>
          </w:rPr>
          <w:t>L</w:t>
        </w:r>
        <w:r w:rsidR="00D4624B" w:rsidRPr="00297CC0">
          <w:rPr>
            <w:rStyle w:val="Hyperlink"/>
          </w:rPr>
          <w:t>egal framework</w:t>
        </w:r>
        <w:r w:rsidR="00D4624B" w:rsidRPr="00D4624B">
          <w:rPr>
            <w:webHidden/>
          </w:rPr>
          <w:tab/>
        </w:r>
        <w:r>
          <w:rPr>
            <w:webHidden/>
          </w:rPr>
          <w:fldChar w:fldCharType="begin"/>
        </w:r>
        <w:r>
          <w:rPr>
            <w:webHidden/>
          </w:rPr>
          <w:instrText xml:space="preserve"> PAGEREF _Toc214991511 \h </w:instrText>
        </w:r>
        <w:r>
          <w:rPr>
            <w:webHidden/>
          </w:rPr>
        </w:r>
        <w:r>
          <w:rPr>
            <w:webHidden/>
          </w:rPr>
          <w:fldChar w:fldCharType="separate"/>
        </w:r>
        <w:r w:rsidR="002C0C2A">
          <w:rPr>
            <w:webHidden/>
          </w:rPr>
          <w:t>5</w:t>
        </w:r>
        <w:r>
          <w:rPr>
            <w:webHidden/>
          </w:rPr>
          <w:fldChar w:fldCharType="end"/>
        </w:r>
      </w:hyperlink>
    </w:p>
    <w:p w14:paraId="3299608F" w14:textId="7419438B" w:rsidR="008E67EA" w:rsidRDefault="008E67EA" w:rsidP="008E67EA">
      <w:pPr>
        <w:pStyle w:val="TOC3"/>
        <w:tabs>
          <w:tab w:val="right" w:leader="dot" w:pos="9628"/>
        </w:tabs>
        <w:rPr>
          <w:rFonts w:asciiTheme="minorHAnsi" w:eastAsiaTheme="minorEastAsia" w:hAnsiTheme="minorHAnsi"/>
          <w:noProof/>
          <w:kern w:val="2"/>
          <w:sz w:val="24"/>
          <w:lang w:eastAsia="en-AU"/>
          <w14:ligatures w14:val="standardContextual"/>
        </w:rPr>
      </w:pPr>
      <w:hyperlink w:anchor="_Toc214991512" w:history="1">
        <w:r w:rsidRPr="00297CC0">
          <w:rPr>
            <w:rStyle w:val="Hyperlink"/>
            <w:noProof/>
          </w:rPr>
          <w:t>Affirmation</w:t>
        </w:r>
        <w:r>
          <w:rPr>
            <w:noProof/>
            <w:webHidden/>
          </w:rPr>
          <w:tab/>
        </w:r>
        <w:r>
          <w:rPr>
            <w:noProof/>
            <w:webHidden/>
          </w:rPr>
          <w:fldChar w:fldCharType="begin"/>
        </w:r>
        <w:r>
          <w:rPr>
            <w:noProof/>
            <w:webHidden/>
          </w:rPr>
          <w:instrText xml:space="preserve"> PAGEREF _Toc214991512 \h </w:instrText>
        </w:r>
        <w:r>
          <w:rPr>
            <w:noProof/>
            <w:webHidden/>
          </w:rPr>
        </w:r>
        <w:r>
          <w:rPr>
            <w:noProof/>
            <w:webHidden/>
          </w:rPr>
          <w:fldChar w:fldCharType="separate"/>
        </w:r>
        <w:r w:rsidR="002C0C2A">
          <w:rPr>
            <w:noProof/>
            <w:webHidden/>
          </w:rPr>
          <w:t>5</w:t>
        </w:r>
        <w:r>
          <w:rPr>
            <w:noProof/>
            <w:webHidden/>
          </w:rPr>
          <w:fldChar w:fldCharType="end"/>
        </w:r>
      </w:hyperlink>
    </w:p>
    <w:p w14:paraId="411A24CB" w14:textId="45B5151B" w:rsidR="008E67EA" w:rsidRDefault="008E67EA" w:rsidP="008E67EA">
      <w:pPr>
        <w:pStyle w:val="TOC3"/>
        <w:tabs>
          <w:tab w:val="right" w:leader="dot" w:pos="9628"/>
        </w:tabs>
        <w:rPr>
          <w:rFonts w:asciiTheme="minorHAnsi" w:eastAsiaTheme="minorEastAsia" w:hAnsiTheme="minorHAnsi"/>
          <w:noProof/>
          <w:kern w:val="2"/>
          <w:sz w:val="24"/>
          <w:lang w:eastAsia="en-AU"/>
          <w14:ligatures w14:val="standardContextual"/>
        </w:rPr>
      </w:pPr>
      <w:hyperlink w:anchor="_Toc214991513" w:history="1">
        <w:r w:rsidRPr="00297CC0">
          <w:rPr>
            <w:rStyle w:val="Hyperlink"/>
            <w:noProof/>
          </w:rPr>
          <w:t>Variation required to satisfy requirements for affirmation</w:t>
        </w:r>
        <w:r>
          <w:rPr>
            <w:noProof/>
            <w:webHidden/>
          </w:rPr>
          <w:tab/>
        </w:r>
        <w:r>
          <w:rPr>
            <w:noProof/>
            <w:webHidden/>
          </w:rPr>
          <w:fldChar w:fldCharType="begin"/>
        </w:r>
        <w:r>
          <w:rPr>
            <w:noProof/>
            <w:webHidden/>
          </w:rPr>
          <w:instrText xml:space="preserve"> PAGEREF _Toc214991513 \h </w:instrText>
        </w:r>
        <w:r>
          <w:rPr>
            <w:noProof/>
            <w:webHidden/>
          </w:rPr>
        </w:r>
        <w:r>
          <w:rPr>
            <w:noProof/>
            <w:webHidden/>
          </w:rPr>
          <w:fldChar w:fldCharType="separate"/>
        </w:r>
        <w:r w:rsidR="002C0C2A">
          <w:rPr>
            <w:noProof/>
            <w:webHidden/>
          </w:rPr>
          <w:t>5</w:t>
        </w:r>
        <w:r>
          <w:rPr>
            <w:noProof/>
            <w:webHidden/>
          </w:rPr>
          <w:fldChar w:fldCharType="end"/>
        </w:r>
      </w:hyperlink>
    </w:p>
    <w:p w14:paraId="2302473B" w14:textId="06745CD2" w:rsidR="008E67EA" w:rsidRDefault="008E67EA" w:rsidP="008E67EA">
      <w:pPr>
        <w:pStyle w:val="TOC2"/>
        <w:rPr>
          <w:rFonts w:asciiTheme="minorHAnsi" w:eastAsiaTheme="minorEastAsia" w:hAnsiTheme="minorHAnsi"/>
          <w:kern w:val="2"/>
          <w:sz w:val="24"/>
          <w:szCs w:val="24"/>
          <w:lang w:eastAsia="en-AU"/>
          <w14:ligatures w14:val="standardContextual"/>
        </w:rPr>
      </w:pPr>
      <w:hyperlink w:anchor="_Toc214991514" w:history="1">
        <w:r w:rsidRPr="00297CC0">
          <w:rPr>
            <w:rStyle w:val="Hyperlink"/>
          </w:rPr>
          <w:t>Statutory criteria</w:t>
        </w:r>
        <w:r>
          <w:rPr>
            <w:webHidden/>
          </w:rPr>
          <w:tab/>
        </w:r>
        <w:r>
          <w:rPr>
            <w:webHidden/>
          </w:rPr>
          <w:fldChar w:fldCharType="begin"/>
        </w:r>
        <w:r>
          <w:rPr>
            <w:webHidden/>
          </w:rPr>
          <w:instrText xml:space="preserve"> PAGEREF _Toc214991514 \h </w:instrText>
        </w:r>
        <w:r>
          <w:rPr>
            <w:webHidden/>
          </w:rPr>
        </w:r>
        <w:r>
          <w:rPr>
            <w:webHidden/>
          </w:rPr>
          <w:fldChar w:fldCharType="separate"/>
        </w:r>
        <w:r w:rsidR="002C0C2A">
          <w:rPr>
            <w:webHidden/>
          </w:rPr>
          <w:t>5</w:t>
        </w:r>
        <w:r>
          <w:rPr>
            <w:webHidden/>
          </w:rPr>
          <w:fldChar w:fldCharType="end"/>
        </w:r>
      </w:hyperlink>
    </w:p>
    <w:p w14:paraId="297360DA" w14:textId="258CAFA1" w:rsidR="008E67EA" w:rsidRDefault="008E67EA" w:rsidP="008E67EA">
      <w:pPr>
        <w:pStyle w:val="TOC3"/>
        <w:tabs>
          <w:tab w:val="right" w:leader="dot" w:pos="9628"/>
        </w:tabs>
        <w:rPr>
          <w:rFonts w:asciiTheme="minorHAnsi" w:eastAsiaTheme="minorEastAsia" w:hAnsiTheme="minorHAnsi"/>
          <w:noProof/>
          <w:kern w:val="2"/>
          <w:sz w:val="24"/>
          <w:lang w:eastAsia="en-AU"/>
          <w14:ligatures w14:val="standardContextual"/>
        </w:rPr>
      </w:pPr>
      <w:hyperlink w:anchor="_Toc214991515" w:history="1">
        <w:r w:rsidRPr="00297CC0">
          <w:rPr>
            <w:rStyle w:val="Hyperlink"/>
            <w:noProof/>
          </w:rPr>
          <w:t>Safety criteria</w:t>
        </w:r>
        <w:r>
          <w:rPr>
            <w:noProof/>
            <w:webHidden/>
          </w:rPr>
          <w:tab/>
        </w:r>
        <w:r>
          <w:rPr>
            <w:noProof/>
            <w:webHidden/>
          </w:rPr>
          <w:fldChar w:fldCharType="begin"/>
        </w:r>
        <w:r>
          <w:rPr>
            <w:noProof/>
            <w:webHidden/>
          </w:rPr>
          <w:instrText xml:space="preserve"> PAGEREF _Toc214991515 \h </w:instrText>
        </w:r>
        <w:r>
          <w:rPr>
            <w:noProof/>
            <w:webHidden/>
          </w:rPr>
        </w:r>
        <w:r>
          <w:rPr>
            <w:noProof/>
            <w:webHidden/>
          </w:rPr>
          <w:fldChar w:fldCharType="separate"/>
        </w:r>
        <w:r w:rsidR="002C0C2A">
          <w:rPr>
            <w:noProof/>
            <w:webHidden/>
          </w:rPr>
          <w:t>5</w:t>
        </w:r>
        <w:r>
          <w:rPr>
            <w:noProof/>
            <w:webHidden/>
          </w:rPr>
          <w:fldChar w:fldCharType="end"/>
        </w:r>
      </w:hyperlink>
    </w:p>
    <w:p w14:paraId="4A574A6F" w14:textId="59253C8C" w:rsidR="008E67EA" w:rsidRDefault="008E67EA" w:rsidP="008E67EA">
      <w:pPr>
        <w:pStyle w:val="TOC3"/>
        <w:tabs>
          <w:tab w:val="right" w:leader="dot" w:pos="9628"/>
        </w:tabs>
        <w:rPr>
          <w:rFonts w:asciiTheme="minorHAnsi" w:eastAsiaTheme="minorEastAsia" w:hAnsiTheme="minorHAnsi"/>
          <w:noProof/>
          <w:kern w:val="2"/>
          <w:sz w:val="24"/>
          <w:lang w:eastAsia="en-AU"/>
          <w14:ligatures w14:val="standardContextual"/>
        </w:rPr>
      </w:pPr>
      <w:hyperlink w:anchor="_Toc214991516" w:history="1">
        <w:r w:rsidRPr="00297CC0">
          <w:rPr>
            <w:rStyle w:val="Hyperlink"/>
            <w:noProof/>
          </w:rPr>
          <w:t>Relevant particulars</w:t>
        </w:r>
        <w:r>
          <w:rPr>
            <w:noProof/>
            <w:webHidden/>
          </w:rPr>
          <w:tab/>
        </w:r>
        <w:r>
          <w:rPr>
            <w:noProof/>
            <w:webHidden/>
          </w:rPr>
          <w:fldChar w:fldCharType="begin"/>
        </w:r>
        <w:r>
          <w:rPr>
            <w:noProof/>
            <w:webHidden/>
          </w:rPr>
          <w:instrText xml:space="preserve"> PAGEREF _Toc214991516 \h </w:instrText>
        </w:r>
        <w:r>
          <w:rPr>
            <w:noProof/>
            <w:webHidden/>
          </w:rPr>
        </w:r>
        <w:r>
          <w:rPr>
            <w:noProof/>
            <w:webHidden/>
          </w:rPr>
          <w:fldChar w:fldCharType="separate"/>
        </w:r>
        <w:r w:rsidR="002C0C2A">
          <w:rPr>
            <w:noProof/>
            <w:webHidden/>
          </w:rPr>
          <w:t>6</w:t>
        </w:r>
        <w:r>
          <w:rPr>
            <w:noProof/>
            <w:webHidden/>
          </w:rPr>
          <w:fldChar w:fldCharType="end"/>
        </w:r>
      </w:hyperlink>
    </w:p>
    <w:p w14:paraId="11CF69DB" w14:textId="3D23D12C" w:rsidR="008E67EA" w:rsidRDefault="008E67EA" w:rsidP="00D4624B">
      <w:pPr>
        <w:pStyle w:val="TOC1"/>
        <w:tabs>
          <w:tab w:val="clear" w:pos="709"/>
          <w:tab w:val="clear" w:pos="1134"/>
          <w:tab w:val="left" w:pos="284"/>
          <w:tab w:val="left" w:pos="3261"/>
        </w:tabs>
        <w:rPr>
          <w:rFonts w:asciiTheme="minorHAnsi" w:eastAsiaTheme="minorEastAsia" w:hAnsiTheme="minorHAnsi"/>
          <w:kern w:val="2"/>
          <w:sz w:val="24"/>
          <w:lang w:eastAsia="en-AU"/>
          <w14:ligatures w14:val="standardContextual"/>
        </w:rPr>
      </w:pPr>
      <w:hyperlink w:anchor="_Toc214991517" w:history="1">
        <w:r w:rsidRPr="00297CC0">
          <w:rPr>
            <w:rStyle w:val="Hyperlink"/>
          </w:rPr>
          <w:t>F</w:t>
        </w:r>
        <w:r w:rsidR="00D4624B" w:rsidRPr="00297CC0">
          <w:rPr>
            <w:rStyle w:val="Hyperlink"/>
          </w:rPr>
          <w:t>indings on material questions of fact</w:t>
        </w:r>
        <w:r>
          <w:rPr>
            <w:webHidden/>
          </w:rPr>
          <w:tab/>
        </w:r>
        <w:r>
          <w:rPr>
            <w:webHidden/>
          </w:rPr>
          <w:fldChar w:fldCharType="begin"/>
        </w:r>
        <w:r>
          <w:rPr>
            <w:webHidden/>
          </w:rPr>
          <w:instrText xml:space="preserve"> PAGEREF _Toc214991517 \h </w:instrText>
        </w:r>
        <w:r>
          <w:rPr>
            <w:webHidden/>
          </w:rPr>
        </w:r>
        <w:r>
          <w:rPr>
            <w:webHidden/>
          </w:rPr>
          <w:fldChar w:fldCharType="separate"/>
        </w:r>
        <w:r w:rsidR="002C0C2A">
          <w:rPr>
            <w:webHidden/>
          </w:rPr>
          <w:t>7</w:t>
        </w:r>
        <w:r>
          <w:rPr>
            <w:webHidden/>
          </w:rPr>
          <w:fldChar w:fldCharType="end"/>
        </w:r>
      </w:hyperlink>
    </w:p>
    <w:p w14:paraId="5D1CAEC1" w14:textId="341885B7" w:rsidR="008E67EA" w:rsidRDefault="008E67EA" w:rsidP="00D4624B">
      <w:pPr>
        <w:pStyle w:val="TOC1"/>
        <w:tabs>
          <w:tab w:val="clear" w:pos="1134"/>
          <w:tab w:val="left" w:pos="993"/>
        </w:tabs>
        <w:rPr>
          <w:rFonts w:asciiTheme="minorHAnsi" w:eastAsiaTheme="minorEastAsia" w:hAnsiTheme="minorHAnsi"/>
          <w:kern w:val="2"/>
          <w:sz w:val="24"/>
          <w:lang w:eastAsia="en-AU"/>
          <w14:ligatures w14:val="standardContextual"/>
        </w:rPr>
      </w:pPr>
      <w:hyperlink w:anchor="_Toc214991518" w:history="1">
        <w:r w:rsidRPr="00297CC0">
          <w:rPr>
            <w:rStyle w:val="Hyperlink"/>
          </w:rPr>
          <w:t>R</w:t>
        </w:r>
        <w:r w:rsidR="00D4624B" w:rsidRPr="00297CC0">
          <w:rPr>
            <w:rStyle w:val="Hyperlink"/>
          </w:rPr>
          <w:t>easons</w:t>
        </w:r>
        <w:r>
          <w:rPr>
            <w:webHidden/>
          </w:rPr>
          <w:tab/>
        </w:r>
        <w:r>
          <w:rPr>
            <w:webHidden/>
          </w:rPr>
          <w:fldChar w:fldCharType="begin"/>
        </w:r>
        <w:r>
          <w:rPr>
            <w:webHidden/>
          </w:rPr>
          <w:instrText xml:space="preserve"> PAGEREF _Toc214991518 \h </w:instrText>
        </w:r>
        <w:r>
          <w:rPr>
            <w:webHidden/>
          </w:rPr>
        </w:r>
        <w:r>
          <w:rPr>
            <w:webHidden/>
          </w:rPr>
          <w:fldChar w:fldCharType="separate"/>
        </w:r>
        <w:r w:rsidR="002C0C2A">
          <w:rPr>
            <w:webHidden/>
          </w:rPr>
          <w:t>7</w:t>
        </w:r>
        <w:r>
          <w:rPr>
            <w:webHidden/>
          </w:rPr>
          <w:fldChar w:fldCharType="end"/>
        </w:r>
      </w:hyperlink>
    </w:p>
    <w:p w14:paraId="306904CC" w14:textId="2E3FA598" w:rsidR="008E67EA" w:rsidRDefault="008E67EA" w:rsidP="008E67EA">
      <w:pPr>
        <w:pStyle w:val="TOC2"/>
        <w:rPr>
          <w:rFonts w:asciiTheme="minorHAnsi" w:eastAsiaTheme="minorEastAsia" w:hAnsiTheme="minorHAnsi"/>
          <w:kern w:val="2"/>
          <w:sz w:val="24"/>
          <w:szCs w:val="24"/>
          <w:lang w:eastAsia="en-AU"/>
          <w14:ligatures w14:val="standardContextual"/>
        </w:rPr>
      </w:pPr>
      <w:hyperlink w:anchor="_Toc214991519" w:history="1">
        <w:r w:rsidRPr="00297CC0">
          <w:rPr>
            <w:rStyle w:val="Hyperlink"/>
          </w:rPr>
          <w:t>Consideration of the safety criteria</w:t>
        </w:r>
        <w:r>
          <w:rPr>
            <w:webHidden/>
          </w:rPr>
          <w:tab/>
        </w:r>
        <w:r>
          <w:rPr>
            <w:webHidden/>
          </w:rPr>
          <w:fldChar w:fldCharType="begin"/>
        </w:r>
        <w:r>
          <w:rPr>
            <w:webHidden/>
          </w:rPr>
          <w:instrText xml:space="preserve"> PAGEREF _Toc214991519 \h </w:instrText>
        </w:r>
        <w:r>
          <w:rPr>
            <w:webHidden/>
          </w:rPr>
        </w:r>
        <w:r>
          <w:rPr>
            <w:webHidden/>
          </w:rPr>
          <w:fldChar w:fldCharType="separate"/>
        </w:r>
        <w:r w:rsidR="002C0C2A">
          <w:rPr>
            <w:webHidden/>
          </w:rPr>
          <w:t>8</w:t>
        </w:r>
        <w:r>
          <w:rPr>
            <w:webHidden/>
          </w:rPr>
          <w:fldChar w:fldCharType="end"/>
        </w:r>
      </w:hyperlink>
    </w:p>
    <w:p w14:paraId="47E9C20D" w14:textId="2623987B" w:rsidR="008E67EA" w:rsidRDefault="008E67EA" w:rsidP="008E67EA">
      <w:pPr>
        <w:pStyle w:val="TOC3"/>
        <w:tabs>
          <w:tab w:val="right" w:leader="dot" w:pos="9628"/>
        </w:tabs>
        <w:rPr>
          <w:rFonts w:asciiTheme="minorHAnsi" w:eastAsiaTheme="minorEastAsia" w:hAnsiTheme="minorHAnsi"/>
          <w:noProof/>
          <w:kern w:val="2"/>
          <w:sz w:val="24"/>
          <w:lang w:eastAsia="en-AU"/>
          <w14:ligatures w14:val="standardContextual"/>
        </w:rPr>
      </w:pPr>
      <w:hyperlink w:anchor="_Toc214991520" w:history="1">
        <w:r w:rsidRPr="00297CC0">
          <w:rPr>
            <w:rStyle w:val="Hyperlink"/>
            <w:noProof/>
          </w:rPr>
          <w:t>Toxicity of the active constituents</w:t>
        </w:r>
        <w:r>
          <w:rPr>
            <w:noProof/>
            <w:webHidden/>
          </w:rPr>
          <w:tab/>
        </w:r>
        <w:r>
          <w:rPr>
            <w:noProof/>
            <w:webHidden/>
          </w:rPr>
          <w:fldChar w:fldCharType="begin"/>
        </w:r>
        <w:r>
          <w:rPr>
            <w:noProof/>
            <w:webHidden/>
          </w:rPr>
          <w:instrText xml:space="preserve"> PAGEREF _Toc214991520 \h </w:instrText>
        </w:r>
        <w:r>
          <w:rPr>
            <w:noProof/>
            <w:webHidden/>
          </w:rPr>
        </w:r>
        <w:r>
          <w:rPr>
            <w:noProof/>
            <w:webHidden/>
          </w:rPr>
          <w:fldChar w:fldCharType="separate"/>
        </w:r>
        <w:r w:rsidR="002C0C2A">
          <w:rPr>
            <w:noProof/>
            <w:webHidden/>
          </w:rPr>
          <w:t>9</w:t>
        </w:r>
        <w:r>
          <w:rPr>
            <w:noProof/>
            <w:webHidden/>
          </w:rPr>
          <w:fldChar w:fldCharType="end"/>
        </w:r>
      </w:hyperlink>
    </w:p>
    <w:p w14:paraId="6DC6528C" w14:textId="37BDAFDE" w:rsidR="008E67EA" w:rsidRDefault="008E67EA" w:rsidP="008E67EA">
      <w:pPr>
        <w:pStyle w:val="TOC3"/>
        <w:tabs>
          <w:tab w:val="right" w:leader="dot" w:pos="9628"/>
        </w:tabs>
        <w:rPr>
          <w:rFonts w:asciiTheme="minorHAnsi" w:eastAsiaTheme="minorEastAsia" w:hAnsiTheme="minorHAnsi"/>
          <w:noProof/>
          <w:kern w:val="2"/>
          <w:sz w:val="24"/>
          <w:lang w:eastAsia="en-AU"/>
          <w14:ligatures w14:val="standardContextual"/>
        </w:rPr>
      </w:pPr>
      <w:hyperlink w:anchor="_Toc214991521" w:history="1">
        <w:r w:rsidRPr="00297CC0">
          <w:rPr>
            <w:rStyle w:val="Hyperlink"/>
            <w:noProof/>
          </w:rPr>
          <w:t>Composition and purity of active constituents</w:t>
        </w:r>
        <w:r>
          <w:rPr>
            <w:noProof/>
            <w:webHidden/>
          </w:rPr>
          <w:tab/>
        </w:r>
        <w:r>
          <w:rPr>
            <w:noProof/>
            <w:webHidden/>
          </w:rPr>
          <w:fldChar w:fldCharType="begin"/>
        </w:r>
        <w:r>
          <w:rPr>
            <w:noProof/>
            <w:webHidden/>
          </w:rPr>
          <w:instrText xml:space="preserve"> PAGEREF _Toc214991521 \h </w:instrText>
        </w:r>
        <w:r>
          <w:rPr>
            <w:noProof/>
            <w:webHidden/>
          </w:rPr>
        </w:r>
        <w:r>
          <w:rPr>
            <w:noProof/>
            <w:webHidden/>
          </w:rPr>
          <w:fldChar w:fldCharType="separate"/>
        </w:r>
        <w:r w:rsidR="002C0C2A">
          <w:rPr>
            <w:noProof/>
            <w:webHidden/>
          </w:rPr>
          <w:t>17</w:t>
        </w:r>
        <w:r>
          <w:rPr>
            <w:noProof/>
            <w:webHidden/>
          </w:rPr>
          <w:fldChar w:fldCharType="end"/>
        </w:r>
      </w:hyperlink>
    </w:p>
    <w:p w14:paraId="6C59BF4A" w14:textId="2F6ADD21" w:rsidR="008E67EA" w:rsidRDefault="008E67EA" w:rsidP="008E67EA">
      <w:pPr>
        <w:pStyle w:val="TOC3"/>
        <w:tabs>
          <w:tab w:val="right" w:leader="dot" w:pos="9628"/>
        </w:tabs>
        <w:rPr>
          <w:rFonts w:asciiTheme="minorHAnsi" w:eastAsiaTheme="minorEastAsia" w:hAnsiTheme="minorHAnsi"/>
          <w:noProof/>
          <w:kern w:val="2"/>
          <w:sz w:val="24"/>
          <w:lang w:eastAsia="en-AU"/>
          <w14:ligatures w14:val="standardContextual"/>
        </w:rPr>
      </w:pPr>
      <w:hyperlink w:anchor="_Toc214991522" w:history="1">
        <w:r w:rsidRPr="00297CC0">
          <w:rPr>
            <w:rStyle w:val="Hyperlink"/>
            <w:noProof/>
          </w:rPr>
          <w:t>Quality assurance requirements</w:t>
        </w:r>
        <w:r>
          <w:rPr>
            <w:noProof/>
            <w:webHidden/>
          </w:rPr>
          <w:tab/>
        </w:r>
        <w:r>
          <w:rPr>
            <w:noProof/>
            <w:webHidden/>
          </w:rPr>
          <w:fldChar w:fldCharType="begin"/>
        </w:r>
        <w:r>
          <w:rPr>
            <w:noProof/>
            <w:webHidden/>
          </w:rPr>
          <w:instrText xml:space="preserve"> PAGEREF _Toc214991522 \h </w:instrText>
        </w:r>
        <w:r>
          <w:rPr>
            <w:noProof/>
            <w:webHidden/>
          </w:rPr>
        </w:r>
        <w:r>
          <w:rPr>
            <w:noProof/>
            <w:webHidden/>
          </w:rPr>
          <w:fldChar w:fldCharType="separate"/>
        </w:r>
        <w:r w:rsidR="002C0C2A">
          <w:rPr>
            <w:noProof/>
            <w:webHidden/>
          </w:rPr>
          <w:t>21</w:t>
        </w:r>
        <w:r>
          <w:rPr>
            <w:noProof/>
            <w:webHidden/>
          </w:rPr>
          <w:fldChar w:fldCharType="end"/>
        </w:r>
      </w:hyperlink>
    </w:p>
    <w:p w14:paraId="4A0C7298" w14:textId="18688B19" w:rsidR="008E67EA" w:rsidRDefault="008E67EA" w:rsidP="008E67EA">
      <w:pPr>
        <w:pStyle w:val="TOC3"/>
        <w:tabs>
          <w:tab w:val="right" w:leader="dot" w:pos="9628"/>
        </w:tabs>
        <w:rPr>
          <w:rFonts w:asciiTheme="minorHAnsi" w:eastAsiaTheme="minorEastAsia" w:hAnsiTheme="minorHAnsi"/>
          <w:noProof/>
          <w:kern w:val="2"/>
          <w:sz w:val="24"/>
          <w:lang w:eastAsia="en-AU"/>
          <w14:ligatures w14:val="standardContextual"/>
        </w:rPr>
      </w:pPr>
      <w:hyperlink w:anchor="_Toc214991523" w:history="1">
        <w:r w:rsidRPr="00297CC0">
          <w:rPr>
            <w:rStyle w:val="Hyperlink"/>
            <w:noProof/>
          </w:rPr>
          <w:t>Safety criteria conclusions</w:t>
        </w:r>
        <w:r>
          <w:rPr>
            <w:noProof/>
            <w:webHidden/>
          </w:rPr>
          <w:tab/>
        </w:r>
        <w:r>
          <w:rPr>
            <w:noProof/>
            <w:webHidden/>
          </w:rPr>
          <w:fldChar w:fldCharType="begin"/>
        </w:r>
        <w:r>
          <w:rPr>
            <w:noProof/>
            <w:webHidden/>
          </w:rPr>
          <w:instrText xml:space="preserve"> PAGEREF _Toc214991523 \h </w:instrText>
        </w:r>
        <w:r>
          <w:rPr>
            <w:noProof/>
            <w:webHidden/>
          </w:rPr>
        </w:r>
        <w:r>
          <w:rPr>
            <w:noProof/>
            <w:webHidden/>
          </w:rPr>
          <w:fldChar w:fldCharType="separate"/>
        </w:r>
        <w:r w:rsidR="002C0C2A">
          <w:rPr>
            <w:noProof/>
            <w:webHidden/>
          </w:rPr>
          <w:t>22</w:t>
        </w:r>
        <w:r>
          <w:rPr>
            <w:noProof/>
            <w:webHidden/>
          </w:rPr>
          <w:fldChar w:fldCharType="end"/>
        </w:r>
      </w:hyperlink>
    </w:p>
    <w:p w14:paraId="5A94FCAC" w14:textId="503C150D" w:rsidR="008E67EA" w:rsidRDefault="008E67EA" w:rsidP="008E67EA">
      <w:pPr>
        <w:pStyle w:val="StatementofReasonsHeading1"/>
      </w:pPr>
      <w:r>
        <w:rPr>
          <w:rStyle w:val="Hyperlink"/>
          <w:noProof/>
        </w:rPr>
        <w:fldChar w:fldCharType="end"/>
      </w:r>
      <w:bookmarkStart w:id="40" w:name="_Toc214991509"/>
      <w:bookmarkEnd w:id="39"/>
      <w:r>
        <w:t>Background</w:t>
      </w:r>
      <w:bookmarkEnd w:id="40"/>
    </w:p>
    <w:p w14:paraId="20AE28F4" w14:textId="77777777" w:rsidR="008E67EA" w:rsidRDefault="008E67EA" w:rsidP="008E67EA">
      <w:pPr>
        <w:pStyle w:val="StatementofReasonsHeading2"/>
      </w:pPr>
      <w:bookmarkStart w:id="41" w:name="_Toc214991510"/>
      <w:r>
        <w:t>Reconsideration of registration or approval</w:t>
      </w:r>
      <w:bookmarkEnd w:id="41"/>
    </w:p>
    <w:p w14:paraId="5465E3A5" w14:textId="77777777" w:rsidR="008E67EA" w:rsidRDefault="008E67EA">
      <w:pPr>
        <w:pStyle w:val="NumberLevel1"/>
        <w:numPr>
          <w:ilvl w:val="0"/>
          <w:numId w:val="15"/>
        </w:numPr>
        <w:rPr>
          <w:color w:val="000000" w:themeColor="text1"/>
        </w:rPr>
      </w:pPr>
      <w:r>
        <w:rPr>
          <w:color w:val="000000" w:themeColor="text1"/>
        </w:rPr>
        <w:t>On 2 November 2021, the APVMA provided notice under section 32 of the Agvet Code that the APVMA was considering the approval of an active constituent for a proposed or existing chemical product. This r</w:t>
      </w:r>
      <w:r w:rsidRPr="002970FD">
        <w:rPr>
          <w:color w:val="000000" w:themeColor="text1"/>
        </w:rPr>
        <w:t xml:space="preserve">econsideration is to be undertaken in accordance with the provisions of Division 4 of Part 2 of the </w:t>
      </w:r>
      <w:r>
        <w:rPr>
          <w:color w:val="000000" w:themeColor="text1"/>
        </w:rPr>
        <w:t xml:space="preserve">Agvet </w:t>
      </w:r>
      <w:r w:rsidRPr="002970FD">
        <w:rPr>
          <w:color w:val="000000" w:themeColor="text1"/>
        </w:rPr>
        <w:t>Code.</w:t>
      </w:r>
    </w:p>
    <w:p w14:paraId="63DB03F6" w14:textId="77777777" w:rsidR="008E67EA" w:rsidRPr="00966273" w:rsidRDefault="008E67EA">
      <w:pPr>
        <w:pStyle w:val="NumberLevel1"/>
        <w:numPr>
          <w:ilvl w:val="0"/>
          <w:numId w:val="15"/>
        </w:numPr>
        <w:rPr>
          <w:color w:val="000000" w:themeColor="text1"/>
        </w:rPr>
      </w:pPr>
      <w:r w:rsidRPr="00966273">
        <w:rPr>
          <w:color w:val="000000" w:themeColor="text1"/>
        </w:rPr>
        <w:t>The notices issued under section 32 of the Agvet Code stated that the matters the APVMA proposed to deal with in the reconsideration included assessment of chemistry, toxicology, worker and public exposure, residues (including trade) and environment aspects of anticoagulant rodenticide active constituent approvals, product registrations and label approvals.</w:t>
      </w:r>
      <w:r>
        <w:rPr>
          <w:color w:val="000000" w:themeColor="text1"/>
        </w:rPr>
        <w:t xml:space="preserve"> </w:t>
      </w:r>
      <w:r w:rsidRPr="00966273">
        <w:rPr>
          <w:color w:val="000000" w:themeColor="text1"/>
        </w:rPr>
        <w:t>Further, in relation to active constituents, the basis of the reconsideration was whether the actives continue to meet the safety criteria set out in section 5A of the Agvet Code and</w:t>
      </w:r>
      <w:r>
        <w:rPr>
          <w:color w:val="000000" w:themeColor="text1"/>
        </w:rPr>
        <w:t xml:space="preserve"> </w:t>
      </w:r>
      <w:r w:rsidRPr="00966273">
        <w:rPr>
          <w:color w:val="000000" w:themeColor="text1"/>
        </w:rPr>
        <w:t>complies with any requirement prescribed by the Agricultural and Veterinary Chemicals Code Regulations 1995 (Agvet Regulations).</w:t>
      </w:r>
    </w:p>
    <w:p w14:paraId="6433D818" w14:textId="70A015A4" w:rsidR="008E67EA" w:rsidRPr="00F91B28" w:rsidRDefault="008E67EA">
      <w:pPr>
        <w:pStyle w:val="NumberLevel1"/>
        <w:numPr>
          <w:ilvl w:val="0"/>
          <w:numId w:val="15"/>
        </w:numPr>
        <w:rPr>
          <w:color w:val="000000" w:themeColor="text1"/>
        </w:rPr>
      </w:pPr>
      <w:r w:rsidRPr="00F91B28">
        <w:rPr>
          <w:color w:val="000000" w:themeColor="text1"/>
        </w:rPr>
        <w:t xml:space="preserve">The APVMA has finalised the technical assessments for this reconsideration. These assessments took into account information provided in response to the notices under section 32 of the Agvet Code issued on 2 November 2021, information provided in response to additional notices under section 32 of the Agvet Code issued on </w:t>
      </w:r>
      <w:r w:rsidRPr="00F91B28">
        <w:t xml:space="preserve">17 March 2025 </w:t>
      </w:r>
      <w:r w:rsidRPr="00F91B28">
        <w:rPr>
          <w:color w:val="000000" w:themeColor="text1"/>
        </w:rPr>
        <w:t xml:space="preserve">and notices under section 33 of the Agvet Code issued on </w:t>
      </w:r>
      <w:r w:rsidRPr="00F91B28">
        <w:t>28 November 2022, 27 June 2024 and 4 July 2024</w:t>
      </w:r>
      <w:r>
        <w:t>, information in the APVMA records submitted for the registration of relevant products and approval of relevant labels, and any relevant information in the public domain identified by the APVMA</w:t>
      </w:r>
      <w:r w:rsidRPr="00F91B28">
        <w:rPr>
          <w:color w:val="000000" w:themeColor="text1"/>
        </w:rPr>
        <w:t>.</w:t>
      </w:r>
    </w:p>
    <w:p w14:paraId="33F607DB" w14:textId="77777777" w:rsidR="008E67EA" w:rsidRDefault="008E67EA">
      <w:pPr>
        <w:pStyle w:val="NumberLevel1"/>
        <w:numPr>
          <w:ilvl w:val="0"/>
          <w:numId w:val="15"/>
        </w:numPr>
        <w:tabs>
          <w:tab w:val="clear" w:pos="709"/>
        </w:tabs>
        <w:rPr>
          <w:color w:val="000000" w:themeColor="text1"/>
        </w:rPr>
      </w:pPr>
      <w:r>
        <w:rPr>
          <w:color w:val="000000" w:themeColor="text1"/>
        </w:rPr>
        <w:t xml:space="preserve">I have had regard to the technical assessments before proposing to make this decision. </w:t>
      </w:r>
      <w:r w:rsidRPr="00CF429B">
        <w:rPr>
          <w:color w:val="000000" w:themeColor="text1"/>
        </w:rPr>
        <w:t xml:space="preserve">I agree with </w:t>
      </w:r>
      <w:r>
        <w:rPr>
          <w:color w:val="000000" w:themeColor="text1"/>
        </w:rPr>
        <w:t>their</w:t>
      </w:r>
      <w:r w:rsidRPr="00CF429B">
        <w:rPr>
          <w:color w:val="000000" w:themeColor="text1"/>
        </w:rPr>
        <w:t xml:space="preserve"> conclusions (except where I indicate to the contrary in this statement of reasons).</w:t>
      </w:r>
    </w:p>
    <w:p w14:paraId="00982F0F" w14:textId="2D7322D0" w:rsidR="008E67EA" w:rsidRPr="00C74275" w:rsidRDefault="008E67EA">
      <w:pPr>
        <w:pStyle w:val="NumberLevel1"/>
        <w:numPr>
          <w:ilvl w:val="0"/>
          <w:numId w:val="15"/>
        </w:numPr>
        <w:tabs>
          <w:tab w:val="clear" w:pos="709"/>
        </w:tabs>
        <w:rPr>
          <w:color w:val="000000" w:themeColor="text1"/>
        </w:rPr>
      </w:pPr>
      <w:r>
        <w:rPr>
          <w:color w:val="000000" w:themeColor="text1"/>
        </w:rPr>
        <w:lastRenderedPageBreak/>
        <w:t>I am now</w:t>
      </w:r>
      <w:r w:rsidRPr="00F153F9">
        <w:rPr>
          <w:color w:val="000000" w:themeColor="text1"/>
        </w:rPr>
        <w:t xml:space="preserve"> giving notice under section 34AB of the Agvet Code o</w:t>
      </w:r>
      <w:r>
        <w:rPr>
          <w:color w:val="000000" w:themeColor="text1"/>
        </w:rPr>
        <w:t>f</w:t>
      </w:r>
      <w:r w:rsidRPr="00F153F9">
        <w:rPr>
          <w:color w:val="000000" w:themeColor="text1"/>
        </w:rPr>
        <w:t xml:space="preserve"> </w:t>
      </w:r>
      <w:r>
        <w:rPr>
          <w:color w:val="000000" w:themeColor="text1"/>
        </w:rPr>
        <w:t>my</w:t>
      </w:r>
      <w:r w:rsidRPr="00F153F9">
        <w:rPr>
          <w:color w:val="000000" w:themeColor="text1"/>
        </w:rPr>
        <w:t xml:space="preserve"> proposed decision</w:t>
      </w:r>
      <w:r>
        <w:rPr>
          <w:color w:val="000000" w:themeColor="text1"/>
        </w:rPr>
        <w:t xml:space="preserve"> to vary and affirm the active constituent approvals listed in Attachment A of this notice.</w:t>
      </w:r>
    </w:p>
    <w:p w14:paraId="69520566" w14:textId="25FE7FBE" w:rsidR="008E67EA" w:rsidRDefault="008E67EA" w:rsidP="008E67EA">
      <w:pPr>
        <w:pStyle w:val="StatementofReasonsHeading1"/>
      </w:pPr>
      <w:bookmarkStart w:id="42" w:name="_Toc214991511"/>
      <w:r w:rsidRPr="00B418E9">
        <w:t>Legal framework</w:t>
      </w:r>
      <w:bookmarkEnd w:id="42"/>
    </w:p>
    <w:p w14:paraId="0AA607AE" w14:textId="77777777" w:rsidR="008E67EA" w:rsidRPr="008F6E78" w:rsidRDefault="008E67EA" w:rsidP="008E67EA">
      <w:pPr>
        <w:pStyle w:val="StatementofReasonsHeading3"/>
      </w:pPr>
      <w:bookmarkStart w:id="43" w:name="_Toc214991512"/>
      <w:r w:rsidRPr="008F6E78">
        <w:t>Affirmation</w:t>
      </w:r>
      <w:bookmarkEnd w:id="43"/>
    </w:p>
    <w:p w14:paraId="1E815330" w14:textId="77777777" w:rsidR="008E67EA" w:rsidRPr="00C235B4" w:rsidRDefault="008E67EA">
      <w:pPr>
        <w:pStyle w:val="NumberLevel1"/>
        <w:numPr>
          <w:ilvl w:val="0"/>
          <w:numId w:val="15"/>
        </w:numPr>
      </w:pPr>
      <w:bookmarkStart w:id="44" w:name="_Ref205200637"/>
      <w:bookmarkStart w:id="45" w:name="_Ref193708175"/>
      <w:r w:rsidRPr="00136249">
        <w:t xml:space="preserve">Section 34(1) of the Agvet Code provides for the circumstances in which the APVMA must affirm the approval of an active constituent. Relevantly it provides that the APVMA </w:t>
      </w:r>
      <w:r w:rsidRPr="00C235B4">
        <w:t>must affirm the approval of an active constituent if, and only if, it is satisfied that the constituent:</w:t>
      </w:r>
      <w:bookmarkEnd w:id="44"/>
    </w:p>
    <w:p w14:paraId="62611C05" w14:textId="77777777" w:rsidR="008E67EA" w:rsidRDefault="008E67EA">
      <w:pPr>
        <w:pStyle w:val="NumberLevel1"/>
        <w:numPr>
          <w:ilvl w:val="1"/>
          <w:numId w:val="15"/>
        </w:numPr>
      </w:pPr>
      <w:r w:rsidRPr="00C235B4">
        <w:t>meets the safety criteria (section 5A), and</w:t>
      </w:r>
    </w:p>
    <w:p w14:paraId="427CE5E0" w14:textId="77777777" w:rsidR="008E67EA" w:rsidRPr="00566E88" w:rsidRDefault="008E67EA">
      <w:pPr>
        <w:pStyle w:val="NumberLevel1"/>
        <w:numPr>
          <w:ilvl w:val="1"/>
          <w:numId w:val="15"/>
        </w:numPr>
      </w:pPr>
      <w:r w:rsidRPr="00C235B4">
        <w:t>complies with</w:t>
      </w:r>
      <w:r w:rsidRPr="00681039">
        <w:t xml:space="preserve"> any requirement prescribed by the Agvet Regulations</w:t>
      </w:r>
      <w:r w:rsidRPr="005B3B75">
        <w:t>.</w:t>
      </w:r>
      <w:bookmarkEnd w:id="45"/>
    </w:p>
    <w:p w14:paraId="4C8B9818" w14:textId="77777777" w:rsidR="008E67EA" w:rsidRDefault="008E67EA" w:rsidP="008E67EA">
      <w:pPr>
        <w:pStyle w:val="StatementofReasonsHeading3"/>
      </w:pPr>
      <w:bookmarkStart w:id="46" w:name="_Toc214991513"/>
      <w:r>
        <w:t>Variation required to satisfy requirements for affirmation</w:t>
      </w:r>
      <w:bookmarkEnd w:id="46"/>
    </w:p>
    <w:p w14:paraId="2256A2C4" w14:textId="77777777" w:rsidR="008E67EA" w:rsidRPr="005B3B75" w:rsidRDefault="008E67EA">
      <w:pPr>
        <w:pStyle w:val="NumberLevel1"/>
        <w:numPr>
          <w:ilvl w:val="0"/>
          <w:numId w:val="15"/>
        </w:numPr>
      </w:pPr>
      <w:bookmarkStart w:id="47" w:name="_Ref199167105"/>
      <w:r w:rsidRPr="005B3B75">
        <w:t>Section 34A(1) of the Agvet Code provides that if the APVMA is not satisfied under section 34(1) but is satisfied that the relevant particulars or conditions of the approval can be varied in such a way as to allow the approval to be affirmed, the APVMA must vary the relevant particulars or conditions.</w:t>
      </w:r>
    </w:p>
    <w:p w14:paraId="70AF0F11" w14:textId="0D46C035" w:rsidR="008E67EA" w:rsidRDefault="008E67EA">
      <w:pPr>
        <w:pStyle w:val="NumberLevel1"/>
        <w:numPr>
          <w:ilvl w:val="0"/>
          <w:numId w:val="15"/>
        </w:numPr>
      </w:pPr>
      <w:r w:rsidRPr="005B3B75">
        <w:t>Section 34A(2) of the Agvet Code specifies the information that the APVMA may have regard to in making a decision to vary the relevant particulars or conditions. It provides that, for the purposes of paragraph (1)(b), the APVMA may have regard only to the following:</w:t>
      </w:r>
    </w:p>
    <w:p w14:paraId="06E20587" w14:textId="77777777" w:rsidR="008E67EA" w:rsidRPr="005B3B75" w:rsidRDefault="008E67EA">
      <w:pPr>
        <w:pStyle w:val="NumberLevel1"/>
        <w:numPr>
          <w:ilvl w:val="1"/>
          <w:numId w:val="15"/>
        </w:numPr>
      </w:pPr>
      <w:r w:rsidRPr="005B3B75">
        <w:t>submissions, information, reports, results or samples that it had regard to under section 34;</w:t>
      </w:r>
    </w:p>
    <w:p w14:paraId="27FAB362" w14:textId="77777777" w:rsidR="008E67EA" w:rsidRPr="005B3B75" w:rsidRDefault="008E67EA">
      <w:pPr>
        <w:pStyle w:val="NumberLevel1"/>
        <w:numPr>
          <w:ilvl w:val="1"/>
          <w:numId w:val="15"/>
        </w:numPr>
      </w:pPr>
      <w:r w:rsidRPr="005B3B75">
        <w:t>submissions made to the APVMA in response to the invitation under paragraph 34AB(2)(f).</w:t>
      </w:r>
    </w:p>
    <w:p w14:paraId="57C077F0" w14:textId="77777777" w:rsidR="008E67EA" w:rsidRDefault="008E67EA" w:rsidP="008E67EA">
      <w:pPr>
        <w:pStyle w:val="StatementofReasonsHeading2"/>
      </w:pPr>
      <w:bookmarkStart w:id="48" w:name="_Toc214991514"/>
      <w:bookmarkEnd w:id="47"/>
      <w:r>
        <w:t>Statutory criteria</w:t>
      </w:r>
      <w:bookmarkEnd w:id="48"/>
    </w:p>
    <w:p w14:paraId="0DC61B04" w14:textId="75B63D0E" w:rsidR="008E67EA" w:rsidRPr="00816AF3" w:rsidRDefault="008E67EA">
      <w:pPr>
        <w:pStyle w:val="NumberLevel1"/>
        <w:numPr>
          <w:ilvl w:val="0"/>
          <w:numId w:val="15"/>
        </w:numPr>
      </w:pPr>
      <w:r>
        <w:t>The statutory</w:t>
      </w:r>
      <w:r w:rsidRPr="00816AF3">
        <w:t xml:space="preserve"> criteria to which reference was made in paragraphs </w:t>
      </w:r>
      <w:r>
        <w:fldChar w:fldCharType="begin"/>
      </w:r>
      <w:r>
        <w:instrText xml:space="preserve"> REF _Ref205200637 \r \h </w:instrText>
      </w:r>
      <w:r>
        <w:fldChar w:fldCharType="separate"/>
      </w:r>
      <w:r w:rsidR="002C0C2A">
        <w:t>6</w:t>
      </w:r>
      <w:r>
        <w:fldChar w:fldCharType="end"/>
      </w:r>
      <w:r w:rsidRPr="00816AF3">
        <w:t xml:space="preserve"> above in relation to the </w:t>
      </w:r>
      <w:r>
        <w:t xml:space="preserve">affirmation of the </w:t>
      </w:r>
      <w:r w:rsidRPr="00816AF3">
        <w:t>approval of an active constituent</w:t>
      </w:r>
      <w:r>
        <w:t xml:space="preserve"> are set out below</w:t>
      </w:r>
      <w:r w:rsidRPr="00816AF3">
        <w:t>.</w:t>
      </w:r>
    </w:p>
    <w:p w14:paraId="0407205B" w14:textId="77777777" w:rsidR="008E67EA" w:rsidRDefault="008E67EA" w:rsidP="008E67EA">
      <w:pPr>
        <w:pStyle w:val="StatementofReasonsHeading3"/>
      </w:pPr>
      <w:bookmarkStart w:id="49" w:name="_Toc214991515"/>
      <w:r>
        <w:t>Safety criteria</w:t>
      </w:r>
      <w:bookmarkEnd w:id="49"/>
    </w:p>
    <w:p w14:paraId="2070E381" w14:textId="77777777" w:rsidR="008E67EA" w:rsidRPr="00816AF3" w:rsidRDefault="008E67EA">
      <w:pPr>
        <w:pStyle w:val="NumberLevel1"/>
        <w:numPr>
          <w:ilvl w:val="0"/>
          <w:numId w:val="15"/>
        </w:numPr>
      </w:pPr>
      <w:bookmarkStart w:id="50" w:name="_Ref193715574"/>
      <w:r w:rsidRPr="00816AF3">
        <w:t>The definition of ‘meets the safety criteria’ with respect to an active constituent and a chemical product is set out in 5A of the Agvet Code. For active constituents, subsections 5A(1) and (2) provides:</w:t>
      </w:r>
      <w:bookmarkEnd w:id="50"/>
    </w:p>
    <w:p w14:paraId="25D4984B" w14:textId="77777777" w:rsidR="008E67EA" w:rsidRPr="002179E5" w:rsidRDefault="008E67EA" w:rsidP="008E67EA">
      <w:pPr>
        <w:pStyle w:val="Leg1SecHead1"/>
        <w:ind w:hanging="709"/>
        <w:rPr>
          <w:sz w:val="18"/>
          <w:szCs w:val="20"/>
        </w:rPr>
      </w:pPr>
      <w:r>
        <w:rPr>
          <w:sz w:val="18"/>
          <w:szCs w:val="20"/>
        </w:rPr>
        <w:t xml:space="preserve">5A </w:t>
      </w:r>
      <w:r w:rsidRPr="00100C25">
        <w:rPr>
          <w:sz w:val="18"/>
          <w:szCs w:val="20"/>
        </w:rPr>
        <w:t xml:space="preserve">Definition of </w:t>
      </w:r>
      <w:r w:rsidRPr="00100C25">
        <w:rPr>
          <w:i/>
          <w:iCs/>
          <w:sz w:val="18"/>
          <w:szCs w:val="20"/>
        </w:rPr>
        <w:t>meets the safety criteria</w:t>
      </w:r>
    </w:p>
    <w:p w14:paraId="67E33336" w14:textId="77777777" w:rsidR="008E67EA" w:rsidRPr="00100C25" w:rsidRDefault="008E67EA" w:rsidP="0071188C">
      <w:pPr>
        <w:pStyle w:val="Leg4Subsec1"/>
        <w:numPr>
          <w:ilvl w:val="0"/>
          <w:numId w:val="13"/>
        </w:numPr>
        <w:rPr>
          <w:sz w:val="18"/>
          <w:szCs w:val="20"/>
        </w:rPr>
      </w:pPr>
      <w:r w:rsidRPr="00100C25">
        <w:rPr>
          <w:sz w:val="18"/>
          <w:szCs w:val="20"/>
        </w:rPr>
        <w:t xml:space="preserve">An active constituent or chemical product </w:t>
      </w:r>
      <w:r w:rsidRPr="00B146FA">
        <w:rPr>
          <w:b/>
          <w:bCs/>
          <w:i/>
          <w:iCs/>
          <w:sz w:val="18"/>
          <w:szCs w:val="20"/>
        </w:rPr>
        <w:t>meets the safety criteria</w:t>
      </w:r>
      <w:r w:rsidRPr="00100C25">
        <w:rPr>
          <w:sz w:val="18"/>
          <w:szCs w:val="20"/>
        </w:rPr>
        <w:t xml:space="preserve"> if use of the constituent or product, in accordance with any instructions approved, or to be approved, by the APVMA for the constituent or product or contained in an established standard:</w:t>
      </w:r>
    </w:p>
    <w:p w14:paraId="123080C7" w14:textId="77777777" w:rsidR="008E67EA" w:rsidRPr="00100C25" w:rsidRDefault="008E67EA" w:rsidP="0071188C">
      <w:pPr>
        <w:pStyle w:val="Leg5Paraa"/>
        <w:numPr>
          <w:ilvl w:val="0"/>
          <w:numId w:val="11"/>
        </w:numPr>
        <w:rPr>
          <w:sz w:val="18"/>
          <w:szCs w:val="20"/>
        </w:rPr>
      </w:pPr>
      <w:r w:rsidRPr="00100C25">
        <w:rPr>
          <w:sz w:val="18"/>
          <w:szCs w:val="20"/>
        </w:rPr>
        <w:t>is not, or would not be, an undue hazard to the safety of people exposed to it during its handling or people using anything containing its residues; and</w:t>
      </w:r>
    </w:p>
    <w:p w14:paraId="69C903D1" w14:textId="77777777" w:rsidR="008E67EA" w:rsidRPr="00100C25" w:rsidRDefault="008E67EA" w:rsidP="0071188C">
      <w:pPr>
        <w:pStyle w:val="Leg5Paraa"/>
        <w:numPr>
          <w:ilvl w:val="0"/>
          <w:numId w:val="11"/>
        </w:numPr>
        <w:rPr>
          <w:sz w:val="18"/>
          <w:szCs w:val="20"/>
        </w:rPr>
      </w:pPr>
      <w:r w:rsidRPr="00100C25">
        <w:rPr>
          <w:sz w:val="18"/>
          <w:szCs w:val="20"/>
        </w:rPr>
        <w:t>is not, or would not be, likely to have an effect that is harmful to human beings; and</w:t>
      </w:r>
    </w:p>
    <w:p w14:paraId="5FA46B99" w14:textId="77777777" w:rsidR="008E67EA" w:rsidRPr="00100C25" w:rsidRDefault="008E67EA" w:rsidP="0071188C">
      <w:pPr>
        <w:pStyle w:val="Leg5Paraa"/>
        <w:numPr>
          <w:ilvl w:val="0"/>
          <w:numId w:val="11"/>
        </w:numPr>
        <w:rPr>
          <w:sz w:val="18"/>
          <w:szCs w:val="20"/>
        </w:rPr>
      </w:pPr>
      <w:r w:rsidRPr="00100C25">
        <w:rPr>
          <w:sz w:val="18"/>
          <w:szCs w:val="20"/>
        </w:rPr>
        <w:t>is not, or would not be, likely to have an unintended effect that is harmful to animals, plants or things or to the environment.</w:t>
      </w:r>
    </w:p>
    <w:p w14:paraId="41C0C465" w14:textId="77777777" w:rsidR="008E67EA" w:rsidRDefault="008E67EA" w:rsidP="0071188C">
      <w:pPr>
        <w:pStyle w:val="Leg4Subsec1"/>
        <w:numPr>
          <w:ilvl w:val="0"/>
          <w:numId w:val="13"/>
        </w:numPr>
        <w:rPr>
          <w:sz w:val="18"/>
          <w:szCs w:val="20"/>
        </w:rPr>
      </w:pPr>
      <w:r w:rsidRPr="00100C25">
        <w:rPr>
          <w:sz w:val="18"/>
          <w:szCs w:val="20"/>
        </w:rPr>
        <w:t>For the purposes of being satisfied as to whether an active constituent meets the safety criteria, the APVMA:</w:t>
      </w:r>
    </w:p>
    <w:p w14:paraId="1B3B1B2E" w14:textId="77777777" w:rsidR="008E67EA" w:rsidRDefault="008E67EA" w:rsidP="0071188C">
      <w:pPr>
        <w:pStyle w:val="Leg5Paraa"/>
        <w:numPr>
          <w:ilvl w:val="0"/>
          <w:numId w:val="12"/>
        </w:numPr>
        <w:rPr>
          <w:sz w:val="18"/>
          <w:szCs w:val="20"/>
        </w:rPr>
      </w:pPr>
      <w:r w:rsidRPr="00100C25">
        <w:rPr>
          <w:sz w:val="18"/>
          <w:szCs w:val="20"/>
        </w:rPr>
        <w:lastRenderedPageBreak/>
        <w:t>must have regard to the following:</w:t>
      </w:r>
    </w:p>
    <w:p w14:paraId="458E67F0" w14:textId="77777777" w:rsidR="008E67EA" w:rsidRPr="00100C25" w:rsidRDefault="008E67EA" w:rsidP="0071188C">
      <w:pPr>
        <w:pStyle w:val="Leg5Paraa"/>
        <w:numPr>
          <w:ilvl w:val="1"/>
          <w:numId w:val="10"/>
        </w:numPr>
        <w:rPr>
          <w:sz w:val="18"/>
          <w:szCs w:val="20"/>
        </w:rPr>
      </w:pPr>
      <w:r w:rsidRPr="00100C25">
        <w:rPr>
          <w:sz w:val="18"/>
          <w:szCs w:val="20"/>
        </w:rPr>
        <w:t>the toxicity of the constituent and its residues, including metabolites and degradation products, in relation to relevant organisms and ecosystems, including human beings;</w:t>
      </w:r>
    </w:p>
    <w:p w14:paraId="03362CD2" w14:textId="77777777" w:rsidR="008E67EA" w:rsidRPr="00100C25" w:rsidRDefault="008E67EA" w:rsidP="0071188C">
      <w:pPr>
        <w:pStyle w:val="Leg5Paraa"/>
        <w:numPr>
          <w:ilvl w:val="1"/>
          <w:numId w:val="10"/>
        </w:numPr>
        <w:rPr>
          <w:sz w:val="18"/>
          <w:szCs w:val="20"/>
        </w:rPr>
      </w:pPr>
      <w:r w:rsidRPr="00100C25">
        <w:rPr>
          <w:sz w:val="18"/>
          <w:szCs w:val="20"/>
        </w:rPr>
        <w:t>the method by which the constituent is, or is proposed to be, manufactured;</w:t>
      </w:r>
    </w:p>
    <w:p w14:paraId="50622478" w14:textId="77777777" w:rsidR="008E67EA" w:rsidRPr="00100C25" w:rsidRDefault="008E67EA" w:rsidP="0071188C">
      <w:pPr>
        <w:pStyle w:val="Leg5Paraa"/>
        <w:numPr>
          <w:ilvl w:val="1"/>
          <w:numId w:val="10"/>
        </w:numPr>
        <w:rPr>
          <w:sz w:val="18"/>
          <w:szCs w:val="20"/>
        </w:rPr>
      </w:pPr>
      <w:r w:rsidRPr="00100C25">
        <w:rPr>
          <w:sz w:val="18"/>
          <w:szCs w:val="20"/>
        </w:rPr>
        <w:t>the extent to which the constituent will contain impurities;</w:t>
      </w:r>
    </w:p>
    <w:p w14:paraId="601DE191" w14:textId="77777777" w:rsidR="008E67EA" w:rsidRPr="00100C25" w:rsidRDefault="008E67EA" w:rsidP="0071188C">
      <w:pPr>
        <w:pStyle w:val="Leg5Paraa"/>
        <w:numPr>
          <w:ilvl w:val="1"/>
          <w:numId w:val="10"/>
        </w:numPr>
        <w:rPr>
          <w:sz w:val="18"/>
          <w:szCs w:val="20"/>
        </w:rPr>
      </w:pPr>
      <w:r w:rsidRPr="00100C25">
        <w:rPr>
          <w:sz w:val="18"/>
          <w:szCs w:val="20"/>
        </w:rPr>
        <w:t>whether an analysis of the chemical composition of the constituent has been carried out and, if so, the results of the analysis;</w:t>
      </w:r>
    </w:p>
    <w:p w14:paraId="75635D93" w14:textId="77777777" w:rsidR="008E67EA" w:rsidRPr="00100C25" w:rsidRDefault="008E67EA" w:rsidP="0071188C">
      <w:pPr>
        <w:pStyle w:val="Leg5Paraa"/>
        <w:numPr>
          <w:ilvl w:val="1"/>
          <w:numId w:val="10"/>
        </w:numPr>
        <w:rPr>
          <w:sz w:val="18"/>
          <w:szCs w:val="20"/>
        </w:rPr>
      </w:pPr>
      <w:r w:rsidRPr="00100C25">
        <w:rPr>
          <w:sz w:val="18"/>
          <w:szCs w:val="20"/>
        </w:rPr>
        <w:t>any conditions to which its approval is, or would be, subject;</w:t>
      </w:r>
    </w:p>
    <w:p w14:paraId="0009D1CF" w14:textId="77777777" w:rsidR="008E67EA" w:rsidRPr="00100C25" w:rsidRDefault="008E67EA" w:rsidP="0071188C">
      <w:pPr>
        <w:pStyle w:val="Leg5Paraa"/>
        <w:numPr>
          <w:ilvl w:val="1"/>
          <w:numId w:val="10"/>
        </w:numPr>
        <w:rPr>
          <w:sz w:val="18"/>
          <w:szCs w:val="20"/>
        </w:rPr>
      </w:pPr>
      <w:r w:rsidRPr="00100C25">
        <w:rPr>
          <w:sz w:val="18"/>
          <w:szCs w:val="20"/>
        </w:rPr>
        <w:t>any relevant particulars that are, or would be, entered in the Record for the constituent;</w:t>
      </w:r>
    </w:p>
    <w:p w14:paraId="13C299FD" w14:textId="77777777" w:rsidR="008E67EA" w:rsidRPr="00100C25" w:rsidRDefault="008E67EA" w:rsidP="008E67EA">
      <w:pPr>
        <w:pStyle w:val="Leg5Paraa"/>
        <w:ind w:left="2410" w:hanging="425"/>
        <w:rPr>
          <w:sz w:val="18"/>
          <w:szCs w:val="20"/>
        </w:rPr>
      </w:pPr>
      <w:r>
        <w:rPr>
          <w:sz w:val="18"/>
          <w:szCs w:val="20"/>
        </w:rPr>
        <w:t>(v</w:t>
      </w:r>
      <w:r w:rsidRPr="00100C25">
        <w:rPr>
          <w:sz w:val="18"/>
          <w:szCs w:val="20"/>
        </w:rPr>
        <w:t>ia) whether the constituent conforms, or would conform, to any standard made for the constituent under section 6E to the extent that the standard relates to matters covered by subsection (1);</w:t>
      </w:r>
    </w:p>
    <w:p w14:paraId="2B9A43B3" w14:textId="77777777" w:rsidR="008E67EA" w:rsidRDefault="008E67EA" w:rsidP="0071188C">
      <w:pPr>
        <w:pStyle w:val="Leg5Paraa"/>
        <w:numPr>
          <w:ilvl w:val="1"/>
          <w:numId w:val="10"/>
        </w:numPr>
        <w:rPr>
          <w:sz w:val="18"/>
          <w:szCs w:val="20"/>
        </w:rPr>
      </w:pPr>
      <w:r w:rsidRPr="00100C25">
        <w:rPr>
          <w:sz w:val="18"/>
          <w:szCs w:val="20"/>
        </w:rPr>
        <w:t>any matters prescribed by the regulations; and</w:t>
      </w:r>
    </w:p>
    <w:p w14:paraId="5823E16B" w14:textId="77777777" w:rsidR="008E67EA" w:rsidRPr="002179E5" w:rsidRDefault="008E67EA" w:rsidP="0071188C">
      <w:pPr>
        <w:pStyle w:val="Leg5Paraa"/>
        <w:numPr>
          <w:ilvl w:val="0"/>
          <w:numId w:val="12"/>
        </w:numPr>
        <w:rPr>
          <w:sz w:val="18"/>
          <w:szCs w:val="20"/>
        </w:rPr>
      </w:pPr>
      <w:r w:rsidRPr="00100C25">
        <w:rPr>
          <w:sz w:val="18"/>
          <w:szCs w:val="20"/>
        </w:rPr>
        <w:t>may have regard to such other matters as it thinks relevant.</w:t>
      </w:r>
    </w:p>
    <w:p w14:paraId="738BA0C2" w14:textId="77777777" w:rsidR="008E67EA" w:rsidRPr="002E7228" w:rsidRDefault="008E67EA">
      <w:pPr>
        <w:pStyle w:val="NumberLevel1"/>
        <w:numPr>
          <w:ilvl w:val="0"/>
          <w:numId w:val="15"/>
        </w:numPr>
      </w:pPr>
      <w:r w:rsidRPr="002E7228">
        <w:t xml:space="preserve">In regard to matters prescribed by the regulations </w:t>
      </w:r>
      <w:r>
        <w:t>to which</w:t>
      </w:r>
      <w:r w:rsidRPr="002E7228">
        <w:t xml:space="preserve"> the APVMA must have regard for the purposes of being satisfied as to whether an active constituent meets the safety criteria, regulation 8AA of the Agvet Regulations prescribes the following:</w:t>
      </w:r>
    </w:p>
    <w:p w14:paraId="4EA318FA" w14:textId="08641DBB" w:rsidR="008E67EA" w:rsidRPr="00B90E4A" w:rsidRDefault="008E67EA" w:rsidP="008E67EA">
      <w:pPr>
        <w:pStyle w:val="Leg1SecHead1"/>
        <w:ind w:hanging="709"/>
        <w:rPr>
          <w:sz w:val="18"/>
          <w:szCs w:val="20"/>
        </w:rPr>
      </w:pPr>
      <w:r w:rsidRPr="00B90E4A">
        <w:rPr>
          <w:sz w:val="18"/>
          <w:szCs w:val="20"/>
        </w:rPr>
        <w:t>8AA Safety criteria—active constituents</w:t>
      </w:r>
    </w:p>
    <w:p w14:paraId="62021B3D" w14:textId="77777777" w:rsidR="008E67EA" w:rsidRPr="00B90E4A" w:rsidRDefault="008E67EA" w:rsidP="008E67EA">
      <w:pPr>
        <w:pStyle w:val="Leg4Subsec1"/>
        <w:ind w:left="851" w:firstLine="0"/>
        <w:rPr>
          <w:sz w:val="18"/>
          <w:szCs w:val="20"/>
        </w:rPr>
      </w:pPr>
      <w:r w:rsidRPr="00B90E4A">
        <w:rPr>
          <w:sz w:val="18"/>
          <w:szCs w:val="20"/>
        </w:rPr>
        <w:t xml:space="preserve">For subparagraph 5A(2)(a)(vii) of the Code, </w:t>
      </w:r>
      <w:bookmarkStart w:id="51" w:name="_Hlk199341478"/>
      <w:r w:rsidRPr="00B90E4A">
        <w:rPr>
          <w:sz w:val="18"/>
          <w:szCs w:val="20"/>
        </w:rPr>
        <w:t>the method of analysis (if any) of the chemical composition of the active constituent concerned is a prescribed matter.</w:t>
      </w:r>
      <w:bookmarkEnd w:id="51"/>
    </w:p>
    <w:p w14:paraId="05DBECFF" w14:textId="77777777" w:rsidR="008E67EA" w:rsidRDefault="008E67EA" w:rsidP="008E67EA">
      <w:pPr>
        <w:pStyle w:val="StatementofReasonsHeading3"/>
      </w:pPr>
      <w:bookmarkStart w:id="52" w:name="_Toc214991516"/>
      <w:r>
        <w:t>Relevant particulars</w:t>
      </w:r>
      <w:bookmarkEnd w:id="52"/>
    </w:p>
    <w:p w14:paraId="611FB373" w14:textId="75618C62" w:rsidR="008E67EA" w:rsidRPr="00816AF3" w:rsidRDefault="008E67EA">
      <w:pPr>
        <w:pStyle w:val="NumberLevel1"/>
        <w:numPr>
          <w:ilvl w:val="0"/>
          <w:numId w:val="15"/>
        </w:numPr>
        <w:rPr>
          <w:color w:val="000000" w:themeColor="text1"/>
        </w:rPr>
      </w:pPr>
      <w:r w:rsidRPr="00816AF3">
        <w:rPr>
          <w:color w:val="000000" w:themeColor="text1"/>
        </w:rPr>
        <w:t xml:space="preserve">As defined in section 3 of the Agvet Code, in relation to the approval of an active constituent, the </w:t>
      </w:r>
      <w:r w:rsidRPr="00C235B4">
        <w:rPr>
          <w:b/>
          <w:bCs/>
          <w:i/>
          <w:iCs/>
          <w:color w:val="000000" w:themeColor="text1"/>
        </w:rPr>
        <w:t>“relevant particulars”</w:t>
      </w:r>
      <w:r w:rsidRPr="00816AF3">
        <w:rPr>
          <w:color w:val="000000" w:themeColor="text1"/>
        </w:rPr>
        <w:t xml:space="preserve"> means the distinguishing number, any instructions for use and any other particulars required by paragraph 19(c) to be entered in the Record. The other particulars required for the purposes of paragraph 19(c) of the Agvet Code are prescribed by regulation 15 of the Agvet Regulations, as follows:</w:t>
      </w:r>
    </w:p>
    <w:p w14:paraId="18342131" w14:textId="7A0A5881" w:rsidR="008E67EA" w:rsidRPr="00833E42" w:rsidRDefault="008E67EA" w:rsidP="008E67EA">
      <w:pPr>
        <w:pStyle w:val="Leg1SecHead1"/>
        <w:ind w:hanging="709"/>
        <w:rPr>
          <w:sz w:val="18"/>
          <w:szCs w:val="18"/>
        </w:rPr>
      </w:pPr>
      <w:r w:rsidRPr="00833E42">
        <w:rPr>
          <w:sz w:val="18"/>
          <w:szCs w:val="18"/>
        </w:rPr>
        <w:t>15 Particulars of approved active constituents to be recorded</w:t>
      </w:r>
    </w:p>
    <w:p w14:paraId="22EA032F" w14:textId="77777777" w:rsidR="008E67EA" w:rsidRPr="00833E42" w:rsidRDefault="008E67EA" w:rsidP="0071188C">
      <w:pPr>
        <w:pStyle w:val="Leg4Subsec1"/>
        <w:numPr>
          <w:ilvl w:val="0"/>
          <w:numId w:val="14"/>
        </w:numPr>
        <w:rPr>
          <w:sz w:val="18"/>
          <w:szCs w:val="20"/>
        </w:rPr>
      </w:pPr>
      <w:r w:rsidRPr="00833E42">
        <w:rPr>
          <w:sz w:val="18"/>
          <w:szCs w:val="20"/>
        </w:rPr>
        <w:t>For paragraph 19(c) of the Code, the following particulars are prescribed:</w:t>
      </w:r>
    </w:p>
    <w:p w14:paraId="0688E643" w14:textId="77777777" w:rsidR="008E67EA" w:rsidRPr="00833E42" w:rsidRDefault="008E67EA" w:rsidP="008E67EA">
      <w:pPr>
        <w:pStyle w:val="Leg5Paraa"/>
        <w:ind w:left="1636" w:hanging="360"/>
        <w:rPr>
          <w:sz w:val="18"/>
          <w:szCs w:val="20"/>
        </w:rPr>
      </w:pPr>
      <w:r w:rsidRPr="00833E42">
        <w:rPr>
          <w:sz w:val="18"/>
          <w:szCs w:val="20"/>
        </w:rPr>
        <w:t> (a) if a name is given to the active constituent by the International Union of Pure and Applied Chemistry—that name;</w:t>
      </w:r>
    </w:p>
    <w:p w14:paraId="4CF6570E" w14:textId="77777777" w:rsidR="008E67EA" w:rsidRPr="00833E42" w:rsidRDefault="008E67EA" w:rsidP="008E67EA">
      <w:pPr>
        <w:pStyle w:val="Leg5Paraa"/>
        <w:ind w:left="1636" w:hanging="360"/>
        <w:rPr>
          <w:sz w:val="18"/>
          <w:szCs w:val="20"/>
        </w:rPr>
      </w:pPr>
      <w:r w:rsidRPr="00833E42">
        <w:rPr>
          <w:sz w:val="18"/>
          <w:szCs w:val="20"/>
        </w:rPr>
        <w:t> (b) if no name is given to the active constituent by the International Union of Pure and Applied Chemistry—the name given to the active constituent in the standard prescribed in respect of the active constituent for the purposes of paragraph 87(1)(a) of the Code;</w:t>
      </w:r>
    </w:p>
    <w:p w14:paraId="21768F33" w14:textId="77777777" w:rsidR="008E67EA" w:rsidRPr="00833E42" w:rsidRDefault="008E67EA" w:rsidP="008E67EA">
      <w:pPr>
        <w:pStyle w:val="Leg5Paraa"/>
        <w:ind w:left="1636" w:hanging="360"/>
        <w:rPr>
          <w:sz w:val="18"/>
          <w:szCs w:val="20"/>
        </w:rPr>
      </w:pPr>
      <w:r w:rsidRPr="00833E42">
        <w:rPr>
          <w:sz w:val="18"/>
          <w:szCs w:val="20"/>
        </w:rPr>
        <w:t> (c) the name of the active constituent;</w:t>
      </w:r>
    </w:p>
    <w:p w14:paraId="5C606C92" w14:textId="77777777" w:rsidR="008E67EA" w:rsidRPr="00833E42" w:rsidRDefault="008E67EA" w:rsidP="008E67EA">
      <w:pPr>
        <w:pStyle w:val="Leg5Paraa"/>
        <w:ind w:left="1636" w:hanging="360"/>
        <w:rPr>
          <w:sz w:val="18"/>
          <w:szCs w:val="20"/>
        </w:rPr>
      </w:pPr>
      <w:r w:rsidRPr="00833E42">
        <w:rPr>
          <w:sz w:val="18"/>
          <w:szCs w:val="20"/>
        </w:rPr>
        <w:t> (d) the composition and purity of the active constituent;</w:t>
      </w:r>
    </w:p>
    <w:p w14:paraId="7A31FD18" w14:textId="77777777" w:rsidR="008E67EA" w:rsidRPr="00833E42" w:rsidRDefault="008E67EA" w:rsidP="008E67EA">
      <w:pPr>
        <w:pStyle w:val="Leg5Paraa"/>
        <w:ind w:left="1636" w:hanging="360"/>
        <w:rPr>
          <w:sz w:val="18"/>
          <w:szCs w:val="20"/>
        </w:rPr>
      </w:pPr>
      <w:r w:rsidRPr="00833E42">
        <w:rPr>
          <w:sz w:val="18"/>
          <w:szCs w:val="20"/>
        </w:rPr>
        <w:t> (e) the name of the manufacturer of the active constituent;</w:t>
      </w:r>
    </w:p>
    <w:p w14:paraId="6AC77CAC" w14:textId="77777777" w:rsidR="008E67EA" w:rsidRPr="00833E42" w:rsidRDefault="008E67EA" w:rsidP="008E67EA">
      <w:pPr>
        <w:pStyle w:val="Leg5Paraa"/>
        <w:ind w:left="1636" w:hanging="360"/>
        <w:rPr>
          <w:sz w:val="18"/>
          <w:szCs w:val="20"/>
        </w:rPr>
      </w:pPr>
      <w:r w:rsidRPr="00833E42">
        <w:rPr>
          <w:sz w:val="18"/>
          <w:szCs w:val="20"/>
        </w:rPr>
        <w:t> (f) the address of each site at which the active constituent is manufactured by the manufacturer;</w:t>
      </w:r>
    </w:p>
    <w:p w14:paraId="0206D58A" w14:textId="58377668" w:rsidR="008E67EA" w:rsidRPr="00833E42" w:rsidRDefault="008E67EA" w:rsidP="008E67EA">
      <w:pPr>
        <w:pStyle w:val="Leg5Paraa"/>
        <w:ind w:left="1636" w:hanging="360"/>
        <w:rPr>
          <w:sz w:val="18"/>
          <w:szCs w:val="20"/>
        </w:rPr>
      </w:pPr>
      <w:r w:rsidRPr="00833E42">
        <w:rPr>
          <w:sz w:val="18"/>
          <w:szCs w:val="20"/>
        </w:rPr>
        <w:t> (g) identifying information for the holder of the approval of the active constituent;</w:t>
      </w:r>
    </w:p>
    <w:p w14:paraId="5B3AB6C5" w14:textId="77777777" w:rsidR="008E67EA" w:rsidRPr="00833E42" w:rsidRDefault="008E67EA" w:rsidP="008E67EA">
      <w:pPr>
        <w:pStyle w:val="Leg5Paraa"/>
        <w:ind w:left="1636" w:hanging="360"/>
        <w:rPr>
          <w:sz w:val="18"/>
          <w:szCs w:val="20"/>
        </w:rPr>
      </w:pPr>
      <w:r w:rsidRPr="00833E42">
        <w:rPr>
          <w:sz w:val="18"/>
          <w:szCs w:val="20"/>
        </w:rPr>
        <w:t> (h) the date of entry of these particulars in the Record of Approved Active Constituents;</w:t>
      </w:r>
    </w:p>
    <w:p w14:paraId="768280C7" w14:textId="77777777" w:rsidR="008E67EA" w:rsidRPr="00833E42" w:rsidRDefault="008E67EA" w:rsidP="008E67EA">
      <w:pPr>
        <w:pStyle w:val="Leg5Paraa"/>
        <w:ind w:left="1636" w:hanging="360"/>
        <w:rPr>
          <w:sz w:val="18"/>
          <w:szCs w:val="20"/>
        </w:rPr>
      </w:pPr>
      <w:r w:rsidRPr="00833E42">
        <w:rPr>
          <w:sz w:val="18"/>
          <w:szCs w:val="20"/>
        </w:rPr>
        <w:t> (j) identifying information for any nominated agent for the approval.</w:t>
      </w:r>
    </w:p>
    <w:p w14:paraId="079341A4" w14:textId="77777777" w:rsidR="008E67EA" w:rsidRPr="00833E42" w:rsidRDefault="008E67EA" w:rsidP="0071188C">
      <w:pPr>
        <w:pStyle w:val="Leg4Subsec1"/>
        <w:numPr>
          <w:ilvl w:val="0"/>
          <w:numId w:val="14"/>
        </w:numPr>
        <w:rPr>
          <w:sz w:val="18"/>
          <w:szCs w:val="20"/>
        </w:rPr>
      </w:pPr>
      <w:r w:rsidRPr="00833E42">
        <w:rPr>
          <w:sz w:val="18"/>
          <w:szCs w:val="20"/>
        </w:rPr>
        <w:lastRenderedPageBreak/>
        <w:t>A particular mentioned in paragraphs (1)(c) to (j) is only prescribed for an active constituent approved in accordance with section 14A of the Code if the particular is readily available to the APVMA.</w:t>
      </w:r>
    </w:p>
    <w:p w14:paraId="3749E10F" w14:textId="68D1728A" w:rsidR="008E67EA" w:rsidRPr="007662AE" w:rsidRDefault="008E67EA" w:rsidP="008E67EA">
      <w:pPr>
        <w:pStyle w:val="StatementofReasonsHeading1"/>
      </w:pPr>
      <w:bookmarkStart w:id="53" w:name="_Toc214991517"/>
      <w:r w:rsidRPr="007662AE">
        <w:t>Findings on material questions of fact</w:t>
      </w:r>
      <w:bookmarkEnd w:id="53"/>
    </w:p>
    <w:p w14:paraId="284BC3EF" w14:textId="27E6B729" w:rsidR="008E67EA" w:rsidRPr="00404FE0" w:rsidRDefault="008E67EA">
      <w:pPr>
        <w:pStyle w:val="NumberLevel1"/>
        <w:numPr>
          <w:ilvl w:val="0"/>
          <w:numId w:val="15"/>
        </w:numPr>
      </w:pPr>
      <w:r w:rsidRPr="00404FE0">
        <w:t xml:space="preserve">In relation to the anticoagulant rodenticide active constituents listed in </w:t>
      </w:r>
      <w:r w:rsidR="00566E88">
        <w:t>Attachment</w:t>
      </w:r>
      <w:r w:rsidR="00566E88" w:rsidRPr="00404FE0">
        <w:t xml:space="preserve"> </w:t>
      </w:r>
      <w:r w:rsidRPr="00404FE0">
        <w:t>A of this notice, I have decided that:</w:t>
      </w:r>
    </w:p>
    <w:p w14:paraId="7DA8663C" w14:textId="77777777" w:rsidR="008E67EA" w:rsidRPr="00404FE0" w:rsidRDefault="008E67EA">
      <w:pPr>
        <w:pStyle w:val="NumberLevel2"/>
        <w:numPr>
          <w:ilvl w:val="1"/>
          <w:numId w:val="15"/>
        </w:numPr>
      </w:pPr>
      <w:r w:rsidRPr="00C235B4">
        <w:t xml:space="preserve">Under section 34A(1)(a) of the Agvet Code, I am </w:t>
      </w:r>
      <w:r w:rsidRPr="00C235B4">
        <w:rPr>
          <w:b/>
          <w:bCs/>
        </w:rPr>
        <w:t>not satisfied</w:t>
      </w:r>
      <w:r w:rsidRPr="00404FE0">
        <w:t xml:space="preserve"> that the active constituents meet the safety criteria due to:</w:t>
      </w:r>
    </w:p>
    <w:p w14:paraId="406717C3" w14:textId="01E38AA4" w:rsidR="008E67EA" w:rsidRPr="00404FE0" w:rsidRDefault="008E67EA">
      <w:pPr>
        <w:pStyle w:val="NumberLevel3"/>
        <w:numPr>
          <w:ilvl w:val="2"/>
          <w:numId w:val="15"/>
        </w:numPr>
      </w:pPr>
      <w:r w:rsidRPr="00404FE0">
        <w:t xml:space="preserve">a legislative contradiction and unnecessary duplication in the quality assurance requirements condition imposed on all the active constituent approvals (detailed in paragraphs </w:t>
      </w:r>
      <w:r w:rsidRPr="00404FE0">
        <w:fldChar w:fldCharType="begin"/>
      </w:r>
      <w:r w:rsidRPr="00404FE0">
        <w:instrText xml:space="preserve"> REF _Ref205367579 \r \h </w:instrText>
      </w:r>
      <w:r>
        <w:instrText xml:space="preserve"> \* MERGEFORMAT </w:instrText>
      </w:r>
      <w:r w:rsidRPr="00404FE0">
        <w:fldChar w:fldCharType="separate"/>
      </w:r>
      <w:r w:rsidR="002C0C2A">
        <w:t>33</w:t>
      </w:r>
      <w:r w:rsidRPr="00404FE0">
        <w:fldChar w:fldCharType="end"/>
      </w:r>
      <w:r w:rsidRPr="00404FE0">
        <w:t xml:space="preserve">, </w:t>
      </w:r>
      <w:r w:rsidRPr="00404FE0">
        <w:fldChar w:fldCharType="begin"/>
      </w:r>
      <w:r w:rsidRPr="00404FE0">
        <w:instrText xml:space="preserve"> REF _Ref199866491 \r \h </w:instrText>
      </w:r>
      <w:r>
        <w:instrText xml:space="preserve"> \* MERGEFORMAT </w:instrText>
      </w:r>
      <w:r w:rsidRPr="00404FE0">
        <w:fldChar w:fldCharType="separate"/>
      </w:r>
      <w:r w:rsidR="002C0C2A">
        <w:t>35</w:t>
      </w:r>
      <w:r w:rsidRPr="00404FE0">
        <w:fldChar w:fldCharType="end"/>
      </w:r>
      <w:r w:rsidRPr="00404FE0">
        <w:t xml:space="preserve"> and </w:t>
      </w:r>
      <w:r w:rsidRPr="00404FE0">
        <w:fldChar w:fldCharType="begin"/>
      </w:r>
      <w:r w:rsidRPr="00404FE0">
        <w:instrText xml:space="preserve"> REF _Ref193552338 \r \h </w:instrText>
      </w:r>
      <w:r>
        <w:instrText xml:space="preserve"> \* MERGEFORMAT </w:instrText>
      </w:r>
      <w:r w:rsidRPr="00404FE0">
        <w:fldChar w:fldCharType="separate"/>
      </w:r>
      <w:r w:rsidR="002C0C2A">
        <w:t>36</w:t>
      </w:r>
      <w:r w:rsidRPr="00404FE0">
        <w:fldChar w:fldCharType="end"/>
      </w:r>
      <w:r w:rsidRPr="00404FE0">
        <w:t xml:space="preserve"> of these reasons); and</w:t>
      </w:r>
    </w:p>
    <w:p w14:paraId="4E07795E" w14:textId="5CC4A55F" w:rsidR="008E67EA" w:rsidRPr="00404FE0" w:rsidRDefault="008E67EA">
      <w:pPr>
        <w:pStyle w:val="NumberLevel3"/>
        <w:numPr>
          <w:ilvl w:val="2"/>
          <w:numId w:val="15"/>
        </w:numPr>
      </w:pPr>
      <w:r w:rsidRPr="00404FE0">
        <w:t>for specific brodifacoum, bromadiolone and difenacoum active constituent approvals, inadequate information on the composition and purity of the active constituent (detailed in paragraph</w:t>
      </w:r>
      <w:r>
        <w:t xml:space="preserve"> </w:t>
      </w:r>
      <w:r>
        <w:fldChar w:fldCharType="begin"/>
      </w:r>
      <w:r>
        <w:instrText xml:space="preserve"> REF _Ref214991547 \r \h </w:instrText>
      </w:r>
      <w:r>
        <w:fldChar w:fldCharType="separate"/>
      </w:r>
      <w:r w:rsidR="002C0C2A">
        <w:t>31.3</w:t>
      </w:r>
      <w:r>
        <w:fldChar w:fldCharType="end"/>
      </w:r>
      <w:r>
        <w:t xml:space="preserve"> </w:t>
      </w:r>
      <w:r w:rsidRPr="00404FE0">
        <w:t>these reasons).</w:t>
      </w:r>
    </w:p>
    <w:p w14:paraId="0FC7E9B6" w14:textId="77777777" w:rsidR="008E67EA" w:rsidRPr="00404FE0" w:rsidRDefault="008E67EA">
      <w:pPr>
        <w:pStyle w:val="NumberLevel2"/>
        <w:numPr>
          <w:ilvl w:val="1"/>
          <w:numId w:val="15"/>
        </w:numPr>
      </w:pPr>
      <w:r w:rsidRPr="00C235B4">
        <w:t>However, under section</w:t>
      </w:r>
      <w:r w:rsidRPr="00404FE0">
        <w:t xml:space="preserve"> </w:t>
      </w:r>
      <w:r w:rsidRPr="00C235B4">
        <w:t xml:space="preserve">34A(1)(b) of the Agvet Code, </w:t>
      </w:r>
      <w:r w:rsidRPr="00404FE0">
        <w:t>I am satisfied that the conditions of approval can be varied in such a way as to mitigate these concerns, and so that the active constituents will meet the safety criteria.</w:t>
      </w:r>
    </w:p>
    <w:p w14:paraId="035DA770" w14:textId="1896F76E" w:rsidR="008E67EA" w:rsidRPr="00404FE0" w:rsidRDefault="008E67EA">
      <w:pPr>
        <w:pStyle w:val="NumberLevel2"/>
        <w:numPr>
          <w:ilvl w:val="1"/>
          <w:numId w:val="15"/>
        </w:numPr>
      </w:pPr>
      <w:r w:rsidRPr="00C235B4">
        <w:t>I am satisfied</w:t>
      </w:r>
      <w:r w:rsidRPr="00404FE0">
        <w:t xml:space="preserve"> that t</w:t>
      </w:r>
      <w:r w:rsidRPr="00C235B4">
        <w:t>here are no requirements prescribed by the regulations</w:t>
      </w:r>
      <w:r w:rsidRPr="00404FE0">
        <w:t xml:space="preserve"> in relation to active constituents, other than regulation 8AA of the Agvet Regulations which is a prescribed matter in relation to the safety criteria. I have considered this prescribed requirement in paragraph </w:t>
      </w:r>
      <w:r>
        <w:fldChar w:fldCharType="begin"/>
      </w:r>
      <w:r>
        <w:instrText xml:space="preserve"> REF _Ref215482646 \n \h </w:instrText>
      </w:r>
      <w:r>
        <w:fldChar w:fldCharType="separate"/>
      </w:r>
      <w:r w:rsidR="002C0C2A">
        <w:t>17.3</w:t>
      </w:r>
      <w:r>
        <w:fldChar w:fldCharType="end"/>
      </w:r>
      <w:r>
        <w:t xml:space="preserve"> </w:t>
      </w:r>
      <w:r w:rsidRPr="00404FE0">
        <w:t>of these reasons as part of my determination as to whether the active constituents meet the safety criteria.</w:t>
      </w:r>
    </w:p>
    <w:p w14:paraId="3AED2FA1" w14:textId="56FD9FDE" w:rsidR="008E67EA" w:rsidRPr="00404FE0" w:rsidRDefault="008E67EA">
      <w:pPr>
        <w:pStyle w:val="NumberLevel2"/>
        <w:numPr>
          <w:ilvl w:val="1"/>
          <w:numId w:val="15"/>
        </w:numPr>
      </w:pPr>
      <w:r w:rsidRPr="00404FE0">
        <w:t>Therefore, I am satisfied that the conditions of the approval for the active constituent can be varied in such a way as to allow the active constituents to be affirmed.</w:t>
      </w:r>
    </w:p>
    <w:p w14:paraId="38491951" w14:textId="031BD2D6" w:rsidR="008E67EA" w:rsidRPr="00B418E9" w:rsidRDefault="008E67EA" w:rsidP="008E67EA">
      <w:pPr>
        <w:pStyle w:val="StatementofReasonsHeading1"/>
      </w:pPr>
      <w:bookmarkStart w:id="54" w:name="_Toc214991518"/>
      <w:r w:rsidRPr="00404FE0">
        <w:t>Reasons</w:t>
      </w:r>
      <w:bookmarkEnd w:id="54"/>
    </w:p>
    <w:p w14:paraId="675D0C7E" w14:textId="77777777" w:rsidR="008E67EA" w:rsidRPr="00404FE0" w:rsidRDefault="008E67EA">
      <w:pPr>
        <w:pStyle w:val="NumberLevel1"/>
        <w:numPr>
          <w:ilvl w:val="0"/>
          <w:numId w:val="15"/>
        </w:numPr>
      </w:pPr>
      <w:r w:rsidRPr="00404FE0">
        <w:t>For the purpose of deciding whether to affirm the approvals listed in Attachment A of this notice, or to vary the relevant particulars and conditions in such a way as to allow the approvals to be affirmed, I have decided to reconsider matters covered by subsection 34(1) of the Agvet Code. That is, whether the active constituent meets the safety criteria (s 34(1)(a)) and whether the active constituent complies with any requirement prescribed by the regulations (s 34(1)(d)).</w:t>
      </w:r>
    </w:p>
    <w:p w14:paraId="77B53654" w14:textId="7C098722" w:rsidR="008E67EA" w:rsidRPr="00404FE0" w:rsidRDefault="008E67EA">
      <w:pPr>
        <w:pStyle w:val="NumberLevel1"/>
        <w:numPr>
          <w:ilvl w:val="0"/>
          <w:numId w:val="15"/>
        </w:numPr>
      </w:pPr>
      <w:bookmarkStart w:id="55" w:name="_Ref216290428"/>
      <w:r w:rsidRPr="00404FE0">
        <w:t>In determining whether the active constituents listed in Attachment A of this notice meet the safety criteria, I have considered the criteria under s 5A of the Agvet Code with respect to the use of the constituent in accordance with any instructions approved, or to be approved, by the APVMA for the constituent.</w:t>
      </w:r>
      <w:bookmarkEnd w:id="55"/>
    </w:p>
    <w:p w14:paraId="7DF23EAE" w14:textId="57C24345" w:rsidR="008E67EA" w:rsidRDefault="008E67EA">
      <w:pPr>
        <w:pStyle w:val="NumberLevel1"/>
        <w:numPr>
          <w:ilvl w:val="0"/>
          <w:numId w:val="15"/>
        </w:numPr>
      </w:pPr>
      <w:r w:rsidRPr="00404FE0">
        <w:t>In determining whether the active constituents listed in Attachment A of this notice comply with any requirement prescribed by the regulations, I note that there are no requirements for active constituents prescribed by the regulations, other than regulation 8AA of the Agvet Regulations which is a prescribed matter in relation to the safety criteria. I have considered this requirement prescribed by the</w:t>
      </w:r>
      <w:r>
        <w:t xml:space="preserve"> regulations in paragraph </w:t>
      </w:r>
      <w:r>
        <w:rPr>
          <w:highlight w:val="lightGray"/>
        </w:rPr>
        <w:fldChar w:fldCharType="begin"/>
      </w:r>
      <w:r>
        <w:rPr>
          <w:highlight w:val="lightGray"/>
        </w:rPr>
        <w:instrText xml:space="preserve"> REF _Ref215482646 \n \h </w:instrText>
      </w:r>
      <w:r>
        <w:rPr>
          <w:highlight w:val="lightGray"/>
        </w:rPr>
      </w:r>
      <w:r>
        <w:rPr>
          <w:highlight w:val="lightGray"/>
        </w:rPr>
        <w:fldChar w:fldCharType="separate"/>
      </w:r>
      <w:r w:rsidR="002C0C2A">
        <w:rPr>
          <w:highlight w:val="lightGray"/>
        </w:rPr>
        <w:t>17.3</w:t>
      </w:r>
      <w:r>
        <w:rPr>
          <w:highlight w:val="lightGray"/>
        </w:rPr>
        <w:fldChar w:fldCharType="end"/>
      </w:r>
      <w:r>
        <w:t xml:space="preserve"> of these reasons as part of my determination as to whether the </w:t>
      </w:r>
      <w:r w:rsidRPr="00182256">
        <w:t>active constituent</w:t>
      </w:r>
      <w:r>
        <w:t>s meet the safety criteria.</w:t>
      </w:r>
    </w:p>
    <w:p w14:paraId="515B9751" w14:textId="77777777" w:rsidR="008E67EA" w:rsidRDefault="008E67EA" w:rsidP="008E67EA">
      <w:pPr>
        <w:pStyle w:val="StatementofReasonsHeading2"/>
      </w:pPr>
      <w:bookmarkStart w:id="56" w:name="_Toc214991519"/>
      <w:r>
        <w:lastRenderedPageBreak/>
        <w:t>Consideration of the safety criteria</w:t>
      </w:r>
      <w:bookmarkEnd w:id="56"/>
    </w:p>
    <w:p w14:paraId="41C8CCE0" w14:textId="77777777" w:rsidR="008E67EA" w:rsidRDefault="008E67EA">
      <w:pPr>
        <w:pStyle w:val="NumberLevel1"/>
        <w:numPr>
          <w:ilvl w:val="0"/>
          <w:numId w:val="15"/>
        </w:numPr>
      </w:pPr>
      <w:r>
        <w:t>For the purposes of being satisfied as to</w:t>
      </w:r>
      <w:r w:rsidRPr="003E6110">
        <w:t xml:space="preserve"> whether </w:t>
      </w:r>
      <w:r>
        <w:t>the active constituents listed in Attachment A of this notice</w:t>
      </w:r>
      <w:r w:rsidRPr="003E6110">
        <w:t xml:space="preserve"> meet the safety criteria</w:t>
      </w:r>
      <w:r>
        <w:t>,</w:t>
      </w:r>
      <w:r w:rsidRPr="003E6110">
        <w:t xml:space="preserve"> or</w:t>
      </w:r>
      <w:r>
        <w:t xml:space="preserve"> whether the relevant particulars or conditions of these approvals</w:t>
      </w:r>
      <w:r w:rsidRPr="003E6110">
        <w:t xml:space="preserve"> </w:t>
      </w:r>
      <w:r>
        <w:t>could be</w:t>
      </w:r>
      <w:r w:rsidRPr="003E6110">
        <w:t xml:space="preserve"> varied</w:t>
      </w:r>
      <w:r>
        <w:t xml:space="preserve"> in such a way so that the active constituents </w:t>
      </w:r>
      <w:r w:rsidRPr="003E6110">
        <w:t xml:space="preserve">meet the safety criteria, I </w:t>
      </w:r>
      <w:r>
        <w:t>have</w:t>
      </w:r>
      <w:r w:rsidRPr="003E6110">
        <w:t xml:space="preserve"> had regard to </w:t>
      </w:r>
      <w:r>
        <w:t>all matters set out</w:t>
      </w:r>
      <w:r w:rsidRPr="003E6110">
        <w:t xml:space="preserve"> section 5A(</w:t>
      </w:r>
      <w:r>
        <w:t>2</w:t>
      </w:r>
      <w:r w:rsidRPr="003E6110">
        <w:t>)</w:t>
      </w:r>
      <w:r>
        <w:t>(a)</w:t>
      </w:r>
      <w:r w:rsidRPr="003E6110">
        <w:t xml:space="preserve"> of the Agvet Code</w:t>
      </w:r>
      <w:r>
        <w:t>.</w:t>
      </w:r>
    </w:p>
    <w:p w14:paraId="4F688E08" w14:textId="338931DE" w:rsidR="008E67EA" w:rsidRPr="00404FE0" w:rsidRDefault="008E67EA">
      <w:pPr>
        <w:pStyle w:val="NumberLevel2"/>
        <w:numPr>
          <w:ilvl w:val="1"/>
          <w:numId w:val="15"/>
        </w:numPr>
      </w:pPr>
      <w:r w:rsidRPr="00404FE0">
        <w:t xml:space="preserve">My detailed consideration of the following </w:t>
      </w:r>
      <w:r>
        <w:t>matters</w:t>
      </w:r>
      <w:r w:rsidRPr="00404FE0">
        <w:t xml:space="preserve"> are set out below in the </w:t>
      </w:r>
      <w:r w:rsidRPr="00404FE0">
        <w:rPr>
          <w:i/>
          <w:iCs/>
        </w:rPr>
        <w:t xml:space="preserve">‘Toxicity of the active constituents’ </w:t>
      </w:r>
      <w:r w:rsidRPr="00537245">
        <w:t xml:space="preserve">(paragraphs </w:t>
      </w:r>
      <w:r w:rsidRPr="00404FE0">
        <w:fldChar w:fldCharType="begin"/>
      </w:r>
      <w:r w:rsidRPr="00404FE0">
        <w:instrText xml:space="preserve"> REF _Ref205367493 \r \h  \* MERGEFORMAT </w:instrText>
      </w:r>
      <w:r w:rsidRPr="00404FE0">
        <w:fldChar w:fldCharType="separate"/>
      </w:r>
      <w:r w:rsidR="002C0C2A">
        <w:t>18</w:t>
      </w:r>
      <w:r w:rsidRPr="00404FE0">
        <w:fldChar w:fldCharType="end"/>
      </w:r>
      <w:r w:rsidRPr="00537245">
        <w:t xml:space="preserve"> – </w:t>
      </w:r>
      <w:r w:rsidRPr="00404FE0">
        <w:fldChar w:fldCharType="begin"/>
      </w:r>
      <w:r w:rsidRPr="00404FE0">
        <w:instrText xml:space="preserve"> REF _Ref205367529 \r \h  \* MERGEFORMAT </w:instrText>
      </w:r>
      <w:r w:rsidRPr="00404FE0">
        <w:fldChar w:fldCharType="separate"/>
      </w:r>
      <w:r w:rsidR="002C0C2A">
        <w:t>27</w:t>
      </w:r>
      <w:r w:rsidRPr="00404FE0">
        <w:fldChar w:fldCharType="end"/>
      </w:r>
      <w:r w:rsidRPr="00537245">
        <w:t>)</w:t>
      </w:r>
      <w:r w:rsidRPr="00404FE0">
        <w:t xml:space="preserve">, </w:t>
      </w:r>
      <w:r w:rsidRPr="00404FE0">
        <w:rPr>
          <w:i/>
          <w:iCs/>
        </w:rPr>
        <w:t xml:space="preserve">‘Composition and purity of active constituents’ </w:t>
      </w:r>
      <w:r w:rsidRPr="00404FE0">
        <w:t xml:space="preserve">(paragraphs </w:t>
      </w:r>
      <w:r w:rsidRPr="00404FE0">
        <w:fldChar w:fldCharType="begin"/>
      </w:r>
      <w:r w:rsidRPr="00404FE0">
        <w:instrText xml:space="preserve"> REF _Ref200537465 \r \h  \* MERGEFORMAT </w:instrText>
      </w:r>
      <w:r w:rsidRPr="00404FE0">
        <w:fldChar w:fldCharType="separate"/>
      </w:r>
      <w:r w:rsidR="002C0C2A">
        <w:t>28</w:t>
      </w:r>
      <w:r w:rsidRPr="00404FE0">
        <w:fldChar w:fldCharType="end"/>
      </w:r>
      <w:r w:rsidRPr="00404FE0">
        <w:t xml:space="preserve"> – </w:t>
      </w:r>
      <w:r w:rsidRPr="00404FE0">
        <w:fldChar w:fldCharType="begin"/>
      </w:r>
      <w:r w:rsidRPr="00404FE0">
        <w:instrText xml:space="preserve"> REF _Ref205367572 \r \h  \* MERGEFORMAT </w:instrText>
      </w:r>
      <w:r w:rsidRPr="00404FE0">
        <w:fldChar w:fldCharType="separate"/>
      </w:r>
      <w:r w:rsidR="002C0C2A">
        <w:t>32</w:t>
      </w:r>
      <w:r w:rsidRPr="00404FE0">
        <w:fldChar w:fldCharType="end"/>
      </w:r>
      <w:r w:rsidRPr="00404FE0">
        <w:t xml:space="preserve">) and </w:t>
      </w:r>
      <w:r w:rsidRPr="00404FE0">
        <w:rPr>
          <w:i/>
          <w:iCs/>
        </w:rPr>
        <w:t xml:space="preserve">‘Quality assurance requirements’ </w:t>
      </w:r>
      <w:r w:rsidRPr="00404FE0">
        <w:t xml:space="preserve">(paragraphs </w:t>
      </w:r>
      <w:r w:rsidRPr="00404FE0">
        <w:fldChar w:fldCharType="begin"/>
      </w:r>
      <w:r w:rsidRPr="00404FE0">
        <w:instrText xml:space="preserve"> REF _Ref205367579 \r \h  \* MERGEFORMAT </w:instrText>
      </w:r>
      <w:r w:rsidRPr="00404FE0">
        <w:fldChar w:fldCharType="separate"/>
      </w:r>
      <w:r w:rsidR="002C0C2A">
        <w:t>33</w:t>
      </w:r>
      <w:r w:rsidRPr="00404FE0">
        <w:fldChar w:fldCharType="end"/>
      </w:r>
      <w:r w:rsidRPr="00404FE0">
        <w:t xml:space="preserve"> – </w:t>
      </w:r>
      <w:r w:rsidRPr="00404FE0">
        <w:fldChar w:fldCharType="begin"/>
      </w:r>
      <w:r w:rsidRPr="00404FE0">
        <w:instrText xml:space="preserve"> REF _Ref205367595 \r \h  \* MERGEFORMAT </w:instrText>
      </w:r>
      <w:r w:rsidRPr="00404FE0">
        <w:fldChar w:fldCharType="separate"/>
      </w:r>
      <w:r w:rsidR="002C0C2A">
        <w:t>37</w:t>
      </w:r>
      <w:r w:rsidRPr="00404FE0">
        <w:fldChar w:fldCharType="end"/>
      </w:r>
      <w:r w:rsidRPr="00404FE0">
        <w:t>) sections of these reasons.</w:t>
      </w:r>
    </w:p>
    <w:p w14:paraId="791DAEE1" w14:textId="77777777" w:rsidR="008E67EA" w:rsidRPr="00404FE0" w:rsidRDefault="008E67EA">
      <w:pPr>
        <w:pStyle w:val="NumberLevel3"/>
        <w:numPr>
          <w:ilvl w:val="2"/>
          <w:numId w:val="15"/>
        </w:numPr>
      </w:pPr>
      <w:r w:rsidRPr="00404FE0">
        <w:t>the toxicity of the constituent and its residues, including metabolites and degradation products, in relation to relevant organisms and ecosystems, including human beings (s 5A(2)(a)(i) of the Agvet Code); and</w:t>
      </w:r>
    </w:p>
    <w:p w14:paraId="02CAF61D" w14:textId="77777777" w:rsidR="008E67EA" w:rsidRPr="00404FE0" w:rsidRDefault="008E67EA">
      <w:pPr>
        <w:pStyle w:val="NumberLevel3"/>
        <w:numPr>
          <w:ilvl w:val="2"/>
          <w:numId w:val="15"/>
        </w:numPr>
      </w:pPr>
      <w:r w:rsidRPr="00404FE0">
        <w:rPr>
          <w:color w:val="000000" w:themeColor="text1"/>
        </w:rPr>
        <w:t>the method by which the constituent is, or is proposed to be, manufactured (s 5A(2)(a)(ii) of the Agvet Code); and</w:t>
      </w:r>
    </w:p>
    <w:p w14:paraId="3F505A20" w14:textId="77777777" w:rsidR="008E67EA" w:rsidRPr="00404FE0" w:rsidRDefault="008E67EA">
      <w:pPr>
        <w:pStyle w:val="NumberLevel3"/>
        <w:numPr>
          <w:ilvl w:val="2"/>
          <w:numId w:val="15"/>
        </w:numPr>
      </w:pPr>
      <w:r w:rsidRPr="00404FE0">
        <w:t>the extent to which the constituent will contain impurities (s 5A(2)(a)(iii) of the Agvet Code); and</w:t>
      </w:r>
    </w:p>
    <w:p w14:paraId="089E622F" w14:textId="77777777" w:rsidR="008E67EA" w:rsidRPr="00404FE0" w:rsidRDefault="008E67EA">
      <w:pPr>
        <w:pStyle w:val="NumberLevel3"/>
        <w:numPr>
          <w:ilvl w:val="2"/>
          <w:numId w:val="15"/>
        </w:numPr>
      </w:pPr>
      <w:r w:rsidRPr="00404FE0">
        <w:t>whether an analysis of the chemical composition of the constituent has been carried out and, if so, the results of the analysis (s 5A(2)(a)(iv) of the Agvet Code); and</w:t>
      </w:r>
    </w:p>
    <w:p w14:paraId="3F296669" w14:textId="77777777" w:rsidR="008E67EA" w:rsidRPr="00404FE0" w:rsidRDefault="008E67EA">
      <w:pPr>
        <w:pStyle w:val="NumberLevel3"/>
        <w:numPr>
          <w:ilvl w:val="2"/>
          <w:numId w:val="15"/>
        </w:numPr>
      </w:pPr>
      <w:r w:rsidRPr="00404FE0">
        <w:t>any conditions to which its approval is, or would be, subject (s 5A(2)(a)(v) of the Agvet Code); and</w:t>
      </w:r>
    </w:p>
    <w:p w14:paraId="324AB2F8" w14:textId="77777777" w:rsidR="008E67EA" w:rsidRPr="00404FE0" w:rsidRDefault="008E67EA">
      <w:pPr>
        <w:pStyle w:val="NumberLevel3"/>
        <w:numPr>
          <w:ilvl w:val="2"/>
          <w:numId w:val="15"/>
        </w:numPr>
      </w:pPr>
      <w:r w:rsidRPr="00404FE0">
        <w:t>the relevant particular ‘composition and purity of the active constituent’ that is, or would be, entered in the Record for the constituent (s 5A(2)(a)(vi) of the Agvet Code); and</w:t>
      </w:r>
    </w:p>
    <w:p w14:paraId="76C0B25A" w14:textId="77777777" w:rsidR="008E67EA" w:rsidRDefault="008E67EA">
      <w:pPr>
        <w:pStyle w:val="NumberLevel3"/>
        <w:numPr>
          <w:ilvl w:val="2"/>
          <w:numId w:val="15"/>
        </w:numPr>
      </w:pPr>
      <w:r w:rsidRPr="00404FE0">
        <w:t>whether the constituent conforms, or would conform, to any standard made for the constituent under section 6E to the extent that the standard relates to matters covered by subsection (1) (s 5A(2)(a)(via) of the Agvet Code).</w:t>
      </w:r>
    </w:p>
    <w:p w14:paraId="598713DD" w14:textId="68FC93C9" w:rsidR="008E67EA" w:rsidRPr="00404FE0" w:rsidRDefault="008E67EA">
      <w:pPr>
        <w:pStyle w:val="NumberLevel2"/>
        <w:numPr>
          <w:ilvl w:val="1"/>
          <w:numId w:val="15"/>
        </w:numPr>
        <w:rPr>
          <w:color w:val="000000" w:themeColor="text1"/>
        </w:rPr>
      </w:pPr>
      <w:r w:rsidRPr="00404FE0">
        <w:rPr>
          <w:color w:val="000000" w:themeColor="text1"/>
        </w:rPr>
        <w:t xml:space="preserve">Regarding any relevant particulars that are, or would be, entered in the Record for an active constituent ((s 5A(2)(a)(vi)), there has been no new information </w:t>
      </w:r>
      <w:r w:rsidRPr="00404FE0">
        <w:t xml:space="preserve">provided to the APVMA or identified by the APVMA </w:t>
      </w:r>
      <w:r w:rsidRPr="00404FE0">
        <w:rPr>
          <w:color w:val="000000" w:themeColor="text1"/>
        </w:rPr>
        <w:t xml:space="preserve">regarding the relevant particulars that are currently entered in the Record </w:t>
      </w:r>
      <w:r w:rsidRPr="00404FE0">
        <w:t>since the approval and/or variation of the active constituents listed in Attachment A of this notice</w:t>
      </w:r>
      <w:r w:rsidRPr="00404FE0">
        <w:rPr>
          <w:color w:val="000000" w:themeColor="text1"/>
        </w:rPr>
        <w:t>, with the exception of the composition and purity of the active constituent (</w:t>
      </w:r>
      <w:r w:rsidRPr="00404FE0">
        <w:t>r</w:t>
      </w:r>
      <w:r>
        <w:t>egulation</w:t>
      </w:r>
      <w:r w:rsidRPr="00404FE0">
        <w:rPr>
          <w:color w:val="000000" w:themeColor="text1"/>
        </w:rPr>
        <w:t xml:space="preserve"> 15(1)(d) of the Agvet Regulations). Therefore, I consider that there is nothing that would prevent me from being satisfied that the active constituents listed in Attachment A of this notice meets the safety criteria in relation to these matters, as listed below.</w:t>
      </w:r>
    </w:p>
    <w:p w14:paraId="2E11F827" w14:textId="25276A40" w:rsidR="008E67EA" w:rsidRPr="00404FE0" w:rsidRDefault="008E67EA">
      <w:pPr>
        <w:pStyle w:val="NumberLevel3"/>
        <w:numPr>
          <w:ilvl w:val="2"/>
          <w:numId w:val="15"/>
        </w:numPr>
      </w:pPr>
      <w:r w:rsidRPr="00404FE0">
        <w:t>For completeness sake, I note that the relevant particulars for which no new information has been provided or identified are the distinguishing number, any instructions for use, the name given to the active constituent by the International Union of Pure and Applied Chemistry or in the standard prescribed in respect of the active constituent for the purposes of paragraph 87(1)(a) of the Agvet Code (r</w:t>
      </w:r>
      <w:r>
        <w:t>egulation</w:t>
      </w:r>
      <w:r w:rsidRPr="00404FE0">
        <w:t xml:space="preserve"> 15(1)(a) and (b) of the Agvet Regulations), the name of the active constituent (r</w:t>
      </w:r>
      <w:r>
        <w:t>egulation</w:t>
      </w:r>
      <w:r w:rsidRPr="00404FE0">
        <w:t xml:space="preserve"> 15(1)(c) of the Agvet Regulations), the name of the manufacturer of the active constituent (r</w:t>
      </w:r>
      <w:r>
        <w:t>egulation</w:t>
      </w:r>
      <w:r w:rsidRPr="00404FE0">
        <w:t xml:space="preserve"> 15(1)(e) of the Agvet Regulations), the address of each site at which the active constituent is manufactured by the manufacturer (r</w:t>
      </w:r>
      <w:r>
        <w:t>egulation</w:t>
      </w:r>
      <w:r w:rsidRPr="00404FE0">
        <w:t xml:space="preserve"> 15(1)(f) of the Agvet Regulations), identifying information for the holder of the approval of the active constituent (r</w:t>
      </w:r>
      <w:r>
        <w:t>egulation</w:t>
      </w:r>
      <w:r w:rsidRPr="00404FE0">
        <w:t xml:space="preserve"> 15(1)(g) of the Agvet Regulations), the date of entry of these particulars in the Record of Approved Active Constituents (r</w:t>
      </w:r>
      <w:r>
        <w:t>egulation</w:t>
      </w:r>
      <w:r w:rsidRPr="00404FE0">
        <w:t xml:space="preserve"> 15(1)(h) of the Agvet Regulations), and identifying information for any nominated agent for the approval (r</w:t>
      </w:r>
      <w:r>
        <w:t>egulation</w:t>
      </w:r>
      <w:r w:rsidRPr="00404FE0">
        <w:t xml:space="preserve"> 15(1)(j) of the Agvet Regulations)</w:t>
      </w:r>
    </w:p>
    <w:p w14:paraId="0269B51B" w14:textId="77777777" w:rsidR="008E67EA" w:rsidRPr="00404FE0" w:rsidRDefault="008E67EA">
      <w:pPr>
        <w:pStyle w:val="NumberLevel2"/>
        <w:numPr>
          <w:ilvl w:val="1"/>
          <w:numId w:val="15"/>
        </w:numPr>
      </w:pPr>
      <w:bookmarkStart w:id="57" w:name="_Ref215482646"/>
      <w:r w:rsidRPr="00404FE0">
        <w:lastRenderedPageBreak/>
        <w:t>There has been no new information provided to the APVMA or identified by the APVMA regarding</w:t>
      </w:r>
      <w:r w:rsidRPr="00404FE0">
        <w:rPr>
          <w:color w:val="000000" w:themeColor="text1"/>
        </w:rPr>
        <w:t xml:space="preserve"> the method </w:t>
      </w:r>
      <w:r w:rsidRPr="00404FE0">
        <w:t>of analysis (if any) of the chemical composition of the active constituent (r</w:t>
      </w:r>
      <w:r>
        <w:t>egulation</w:t>
      </w:r>
      <w:r w:rsidRPr="00404FE0">
        <w:t xml:space="preserve"> 8AA of the Agvet Regulations) since the approval and/or variation of the active constituents listed in Attachment A of this notice. Therefore, I consider </w:t>
      </w:r>
      <w:r w:rsidRPr="00404FE0">
        <w:rPr>
          <w:color w:val="000000" w:themeColor="text1"/>
        </w:rPr>
        <w:t>that any method of analysis on record remain suitable for determining the chemical composition of anticoagulant rodenticide active constituents.</w:t>
      </w:r>
      <w:bookmarkEnd w:id="57"/>
    </w:p>
    <w:p w14:paraId="2C55847B" w14:textId="77777777" w:rsidR="008E67EA" w:rsidRDefault="008E67EA" w:rsidP="008E67EA">
      <w:pPr>
        <w:pStyle w:val="StatementofReasonsHeading3"/>
      </w:pPr>
      <w:bookmarkStart w:id="58" w:name="_Toc214991520"/>
      <w:bookmarkStart w:id="59" w:name="_Hlk193332357"/>
      <w:r>
        <w:t>Toxicity of the active constituents</w:t>
      </w:r>
      <w:bookmarkEnd w:id="58"/>
    </w:p>
    <w:p w14:paraId="67C83AF3" w14:textId="02544855" w:rsidR="008E67EA" w:rsidRPr="00404FE0" w:rsidRDefault="008E67EA">
      <w:pPr>
        <w:pStyle w:val="NumberLevel1"/>
        <w:numPr>
          <w:ilvl w:val="0"/>
          <w:numId w:val="15"/>
        </w:numPr>
        <w:rPr>
          <w:color w:val="000000" w:themeColor="text1"/>
        </w:rPr>
      </w:pPr>
      <w:bookmarkStart w:id="60" w:name="_Ref205367493"/>
      <w:r w:rsidRPr="00404FE0">
        <w:rPr>
          <w:color w:val="000000" w:themeColor="text1"/>
        </w:rPr>
        <w:t>I have had regard to ‘the toxicity of the constituent and its residues, including metabolites and degradation products in relation to relevant organisms and ecosystems, including human beings’ (s 5A(2)(a)(i) of the Agvet Code) for the purposes of being satisfied that an active constituent listed in Attachment A of this notice meets the safety criteria. I have reviewed and relied upon the following assessment reports completed by the APVMA’s subject matter experts. I agree with the approach and methodology and the conclusions in these assessments unless I have indicated otherwise in these reasons.</w:t>
      </w:r>
      <w:bookmarkEnd w:id="60"/>
    </w:p>
    <w:p w14:paraId="078A6C13" w14:textId="2B1FD2F1" w:rsidR="008E67EA" w:rsidRPr="00B14195" w:rsidRDefault="008E67EA">
      <w:pPr>
        <w:pStyle w:val="NumberLevel2"/>
        <w:numPr>
          <w:ilvl w:val="1"/>
          <w:numId w:val="15"/>
        </w:numPr>
      </w:pPr>
      <w:r w:rsidRPr="00B14195">
        <w:t xml:space="preserve">Studies on the toxicokinetics and metabolism of anticoagulant rodenticides in the mammalian body, as </w:t>
      </w:r>
      <w:r>
        <w:t>summarised</w:t>
      </w:r>
      <w:r w:rsidRPr="00B14195">
        <w:t xml:space="preserve"> in </w:t>
      </w:r>
      <w:r w:rsidRPr="00537245">
        <w:t>sections</w:t>
      </w:r>
      <w:r w:rsidRPr="00B14195">
        <w:t xml:space="preserve"> </w:t>
      </w:r>
      <w:r w:rsidRPr="00537245">
        <w:rPr>
          <w:i/>
          <w:iCs/>
        </w:rPr>
        <w:t>‘3.1.2 Fate and behaviour in bitoa’</w:t>
      </w:r>
      <w:r>
        <w:t xml:space="preserve"> and </w:t>
      </w:r>
      <w:r w:rsidRPr="00537245">
        <w:rPr>
          <w:i/>
          <w:iCs/>
        </w:rPr>
        <w:t xml:space="preserve">‘4.2.9 Toxicokinetics’ </w:t>
      </w:r>
      <w:r w:rsidRPr="00B14195">
        <w:t xml:space="preserve">of the </w:t>
      </w:r>
      <w:r w:rsidRPr="00B14195">
        <w:rPr>
          <w:i/>
          <w:iCs/>
        </w:rPr>
        <w:t>Anticoagulant Rodenticides Review Technical Report.</w:t>
      </w:r>
    </w:p>
    <w:p w14:paraId="6460C8AD" w14:textId="2FBF607A" w:rsidR="008E67EA" w:rsidRPr="00125A18" w:rsidRDefault="008E67EA">
      <w:pPr>
        <w:pStyle w:val="NumberLevel2"/>
        <w:numPr>
          <w:ilvl w:val="1"/>
          <w:numId w:val="15"/>
        </w:numPr>
        <w:rPr>
          <w:color w:val="000000" w:themeColor="text1"/>
        </w:rPr>
      </w:pPr>
      <w:r w:rsidRPr="00125A18">
        <w:rPr>
          <w:color w:val="000000" w:themeColor="text1"/>
        </w:rPr>
        <w:t>The following toxicity studies that examine adverse effects from administration of</w:t>
      </w:r>
      <w:r>
        <w:rPr>
          <w:color w:val="000000" w:themeColor="text1"/>
        </w:rPr>
        <w:t>,</w:t>
      </w:r>
      <w:r w:rsidRPr="00125A18">
        <w:rPr>
          <w:color w:val="000000" w:themeColor="text1"/>
        </w:rPr>
        <w:t xml:space="preserve"> or exposure to</w:t>
      </w:r>
      <w:r>
        <w:rPr>
          <w:color w:val="000000" w:themeColor="text1"/>
        </w:rPr>
        <w:t>,</w:t>
      </w:r>
      <w:r w:rsidRPr="00125A18">
        <w:rPr>
          <w:color w:val="000000" w:themeColor="text1"/>
        </w:rPr>
        <w:t xml:space="preserve"> anticoagulant rodenticides, using suitable mammalian laboratory animals as a surrogate for human beings, or</w:t>
      </w:r>
      <w:r w:rsidRPr="00125A18">
        <w:rPr>
          <w:i/>
          <w:iCs/>
          <w:color w:val="000000" w:themeColor="text1"/>
        </w:rPr>
        <w:t xml:space="preserve"> in vitro</w:t>
      </w:r>
      <w:r w:rsidRPr="00125A18">
        <w:rPr>
          <w:color w:val="000000" w:themeColor="text1"/>
        </w:rPr>
        <w:t xml:space="preserve"> studies with tissues or cell cultures, as </w:t>
      </w:r>
      <w:r>
        <w:rPr>
          <w:color w:val="000000" w:themeColor="text1"/>
        </w:rPr>
        <w:t>summarised in section ‘</w:t>
      </w:r>
      <w:r w:rsidRPr="00F01019">
        <w:rPr>
          <w:i/>
          <w:iCs/>
        </w:rPr>
        <w:t xml:space="preserve">4.2 </w:t>
      </w:r>
      <w:r>
        <w:rPr>
          <w:i/>
          <w:iCs/>
        </w:rPr>
        <w:t>Summary of available toxicological studies’</w:t>
      </w:r>
      <w:r w:rsidRPr="00125A18">
        <w:rPr>
          <w:color w:val="000000" w:themeColor="text1"/>
        </w:rPr>
        <w:t xml:space="preserve"> of the </w:t>
      </w:r>
      <w:r w:rsidRPr="00125A18">
        <w:rPr>
          <w:i/>
          <w:iCs/>
          <w:color w:val="000000" w:themeColor="text1"/>
        </w:rPr>
        <w:t>Anticoagulant Rodenticides Review Technical Report</w:t>
      </w:r>
      <w:r w:rsidRPr="00125A18">
        <w:rPr>
          <w:color w:val="000000" w:themeColor="text1"/>
        </w:rPr>
        <w:t>.</w:t>
      </w:r>
    </w:p>
    <w:p w14:paraId="6FFF8264" w14:textId="77777777" w:rsidR="008E67EA" w:rsidRPr="00966FD2" w:rsidRDefault="008E67EA">
      <w:pPr>
        <w:pStyle w:val="NumberLevel3"/>
        <w:numPr>
          <w:ilvl w:val="2"/>
          <w:numId w:val="15"/>
        </w:numPr>
        <w:rPr>
          <w:color w:val="000000" w:themeColor="text1"/>
        </w:rPr>
      </w:pPr>
      <w:r w:rsidRPr="00966FD2">
        <w:rPr>
          <w:color w:val="000000" w:themeColor="text1"/>
        </w:rPr>
        <w:t>Brodifacoum – acute toxicity (oral, dermal, inhalation, skin irritation, eye irritation and skin sensitisation), short-term oral repeat dose toxicity, sub-chronic dietary repeat dose toxicity, developmental toxicity, reproductive toxicity and genotoxicity studies.</w:t>
      </w:r>
    </w:p>
    <w:p w14:paraId="383A2599" w14:textId="77777777" w:rsidR="008E67EA" w:rsidRPr="00A879E8" w:rsidRDefault="008E67EA">
      <w:pPr>
        <w:pStyle w:val="NumberLevel3"/>
        <w:numPr>
          <w:ilvl w:val="2"/>
          <w:numId w:val="15"/>
        </w:numPr>
        <w:rPr>
          <w:color w:val="000000" w:themeColor="text1"/>
        </w:rPr>
      </w:pPr>
      <w:r w:rsidRPr="00A879E8">
        <w:rPr>
          <w:color w:val="000000" w:themeColor="text1"/>
        </w:rPr>
        <w:t xml:space="preserve">Bromadiolone – acute toxicity (oral, dermal, inhalation, skin irritation, eye irritation and skin sensitisation), sub-chronic repeat dose </w:t>
      </w:r>
      <w:r>
        <w:rPr>
          <w:color w:val="000000" w:themeColor="text1"/>
        </w:rPr>
        <w:t xml:space="preserve">oral </w:t>
      </w:r>
      <w:r w:rsidRPr="00A879E8">
        <w:rPr>
          <w:color w:val="000000" w:themeColor="text1"/>
        </w:rPr>
        <w:t>toxicity, developmental toxicity, reproductive toxicity and genotoxicity studies.</w:t>
      </w:r>
    </w:p>
    <w:p w14:paraId="29C12E62" w14:textId="77777777" w:rsidR="008E67EA" w:rsidRPr="006B7FE4" w:rsidRDefault="008E67EA">
      <w:pPr>
        <w:pStyle w:val="NumberLevel3"/>
        <w:numPr>
          <w:ilvl w:val="2"/>
          <w:numId w:val="15"/>
        </w:numPr>
        <w:rPr>
          <w:color w:val="000000" w:themeColor="text1"/>
        </w:rPr>
      </w:pPr>
      <w:r w:rsidRPr="006B7FE4">
        <w:rPr>
          <w:color w:val="000000" w:themeColor="text1"/>
        </w:rPr>
        <w:t xml:space="preserve">Coumatetralyl – acute toxicity (oral, dermal, inhalation, skin irritation, eye irritation and skin sensitisation), sub-chronic repeat dose </w:t>
      </w:r>
      <w:r w:rsidRPr="00013616">
        <w:rPr>
          <w:color w:val="000000" w:themeColor="text1"/>
        </w:rPr>
        <w:t xml:space="preserve">dietary </w:t>
      </w:r>
      <w:r>
        <w:rPr>
          <w:color w:val="000000" w:themeColor="text1"/>
        </w:rPr>
        <w:t>toxicity</w:t>
      </w:r>
      <w:r w:rsidRPr="006B7FE4">
        <w:rPr>
          <w:color w:val="000000" w:themeColor="text1"/>
        </w:rPr>
        <w:t>, developmental toxicity and genotoxicity studies.</w:t>
      </w:r>
    </w:p>
    <w:p w14:paraId="731D2A3C" w14:textId="77777777" w:rsidR="008E67EA" w:rsidRPr="00A879E8" w:rsidRDefault="008E67EA">
      <w:pPr>
        <w:pStyle w:val="NumberLevel3"/>
        <w:numPr>
          <w:ilvl w:val="2"/>
          <w:numId w:val="15"/>
        </w:numPr>
        <w:rPr>
          <w:color w:val="000000" w:themeColor="text1"/>
        </w:rPr>
      </w:pPr>
      <w:r w:rsidRPr="00A879E8">
        <w:rPr>
          <w:color w:val="000000" w:themeColor="text1"/>
        </w:rPr>
        <w:t>Difenacoum – acute toxicity (oral, dermal, inhalation, skin irritation, eye irritation and skin sensitisation),</w:t>
      </w:r>
      <w:r>
        <w:rPr>
          <w:color w:val="000000" w:themeColor="text1"/>
        </w:rPr>
        <w:t xml:space="preserve"> short-term</w:t>
      </w:r>
      <w:r w:rsidRPr="00A879E8">
        <w:rPr>
          <w:color w:val="000000" w:themeColor="text1"/>
        </w:rPr>
        <w:t xml:space="preserve"> repeat dose toxicity (oral and dermal), developmental toxicity, reproductive toxicity and genotoxicity studies.</w:t>
      </w:r>
    </w:p>
    <w:p w14:paraId="40EA2852" w14:textId="77777777" w:rsidR="008E67EA" w:rsidRPr="00E9563A" w:rsidRDefault="008E67EA">
      <w:pPr>
        <w:pStyle w:val="NumberLevel3"/>
        <w:numPr>
          <w:ilvl w:val="2"/>
          <w:numId w:val="15"/>
        </w:numPr>
        <w:rPr>
          <w:color w:val="000000" w:themeColor="text1"/>
        </w:rPr>
      </w:pPr>
      <w:r w:rsidRPr="00E9563A">
        <w:rPr>
          <w:color w:val="000000" w:themeColor="text1"/>
        </w:rPr>
        <w:t xml:space="preserve">Difethialone – acute toxicity (oral, dermal, inhalation, skin irritation, eye irritation and skin sensitisation), </w:t>
      </w:r>
      <w:r>
        <w:rPr>
          <w:color w:val="000000" w:themeColor="text1"/>
        </w:rPr>
        <w:t xml:space="preserve">short-term and </w:t>
      </w:r>
      <w:r w:rsidRPr="00E9563A">
        <w:rPr>
          <w:color w:val="000000" w:themeColor="text1"/>
        </w:rPr>
        <w:t xml:space="preserve">sub-chronic repeat dose </w:t>
      </w:r>
      <w:r>
        <w:rPr>
          <w:color w:val="000000" w:themeColor="text1"/>
        </w:rPr>
        <w:t xml:space="preserve">oral </w:t>
      </w:r>
      <w:r w:rsidRPr="00E9563A">
        <w:rPr>
          <w:color w:val="000000" w:themeColor="text1"/>
        </w:rPr>
        <w:t>toxici</w:t>
      </w:r>
      <w:r>
        <w:rPr>
          <w:color w:val="000000" w:themeColor="text1"/>
        </w:rPr>
        <w:t>ty</w:t>
      </w:r>
      <w:r w:rsidRPr="00E9563A">
        <w:rPr>
          <w:color w:val="000000" w:themeColor="text1"/>
        </w:rPr>
        <w:t>, developmental toxicity and genotoxicity studies.</w:t>
      </w:r>
    </w:p>
    <w:p w14:paraId="7219BA9C" w14:textId="676357A5" w:rsidR="008E67EA" w:rsidRPr="005B2F00" w:rsidRDefault="008E67EA">
      <w:pPr>
        <w:pStyle w:val="NumberLevel3"/>
        <w:numPr>
          <w:ilvl w:val="2"/>
          <w:numId w:val="15"/>
        </w:numPr>
        <w:rPr>
          <w:color w:val="000000" w:themeColor="text1"/>
        </w:rPr>
      </w:pPr>
      <w:r w:rsidRPr="005B2F00">
        <w:rPr>
          <w:color w:val="000000" w:themeColor="text1"/>
        </w:rPr>
        <w:t>Diphacinone – acute toxicity (oral, dermal, inhalation, skin irritation, eye irritation and skin sensitisation</w:t>
      </w:r>
      <w:r w:rsidRPr="00966FD2">
        <w:rPr>
          <w:color w:val="000000" w:themeColor="text1"/>
        </w:rPr>
        <w:t xml:space="preserve">), short-term </w:t>
      </w:r>
      <w:r w:rsidRPr="005B2F00">
        <w:rPr>
          <w:color w:val="000000" w:themeColor="text1"/>
        </w:rPr>
        <w:t xml:space="preserve">repeat dose </w:t>
      </w:r>
      <w:r>
        <w:rPr>
          <w:color w:val="000000" w:themeColor="text1"/>
        </w:rPr>
        <w:t>toxicity</w:t>
      </w:r>
      <w:r w:rsidRPr="005B2F00">
        <w:rPr>
          <w:color w:val="000000" w:themeColor="text1"/>
        </w:rPr>
        <w:t xml:space="preserve"> (oral, dermal and inhalation), developmental toxicity and genotoxicity studies.</w:t>
      </w:r>
    </w:p>
    <w:p w14:paraId="6018F74B" w14:textId="77777777" w:rsidR="008E67EA" w:rsidRPr="00125A18" w:rsidRDefault="008E67EA">
      <w:pPr>
        <w:pStyle w:val="NumberLevel3"/>
        <w:numPr>
          <w:ilvl w:val="2"/>
          <w:numId w:val="15"/>
        </w:numPr>
        <w:rPr>
          <w:color w:val="000000" w:themeColor="text1"/>
        </w:rPr>
      </w:pPr>
      <w:r w:rsidRPr="00125A18">
        <w:rPr>
          <w:color w:val="000000" w:themeColor="text1"/>
        </w:rPr>
        <w:t>Flocoumafen – acute toxicity (oral, dermal, skin irritation, eye irritation and skin sensitisation), short-term and sub-chronic repeat dose oral toxicity, developmental toxicity and genotoxicity studies.</w:t>
      </w:r>
    </w:p>
    <w:p w14:paraId="38D3E591" w14:textId="6C90688C" w:rsidR="008E67EA" w:rsidRPr="00F010E8" w:rsidRDefault="008E67EA">
      <w:pPr>
        <w:pStyle w:val="NumberLevel2"/>
        <w:numPr>
          <w:ilvl w:val="1"/>
          <w:numId w:val="15"/>
        </w:numPr>
        <w:rPr>
          <w:color w:val="000000" w:themeColor="text1"/>
        </w:rPr>
      </w:pPr>
      <w:r w:rsidRPr="00F010E8">
        <w:rPr>
          <w:color w:val="000000" w:themeColor="text1"/>
        </w:rPr>
        <w:lastRenderedPageBreak/>
        <w:t xml:space="preserve">The following environmental toxicity studies </w:t>
      </w:r>
      <w:r>
        <w:rPr>
          <w:color w:val="000000" w:themeColor="text1"/>
        </w:rPr>
        <w:t>on</w:t>
      </w:r>
      <w:r w:rsidRPr="00F010E8">
        <w:rPr>
          <w:color w:val="000000" w:themeColor="text1"/>
        </w:rPr>
        <w:t xml:space="preserve"> the </w:t>
      </w:r>
      <w:r>
        <w:rPr>
          <w:color w:val="000000" w:themeColor="text1"/>
        </w:rPr>
        <w:t>effects</w:t>
      </w:r>
      <w:r w:rsidRPr="00F010E8">
        <w:rPr>
          <w:color w:val="000000" w:themeColor="text1"/>
        </w:rPr>
        <w:t xml:space="preserve"> o</w:t>
      </w:r>
      <w:r>
        <w:rPr>
          <w:color w:val="000000" w:themeColor="text1"/>
        </w:rPr>
        <w:t xml:space="preserve">f </w:t>
      </w:r>
      <w:r w:rsidRPr="00F010E8">
        <w:rPr>
          <w:color w:val="000000" w:themeColor="text1"/>
        </w:rPr>
        <w:t xml:space="preserve">anticoagulant </w:t>
      </w:r>
      <w:r>
        <w:rPr>
          <w:color w:val="000000" w:themeColor="text1"/>
        </w:rPr>
        <w:t xml:space="preserve">rodenticides </w:t>
      </w:r>
      <w:r w:rsidRPr="00F010E8">
        <w:rPr>
          <w:color w:val="000000" w:themeColor="text1"/>
        </w:rPr>
        <w:t xml:space="preserve">on non-target animals, as </w:t>
      </w:r>
      <w:r>
        <w:rPr>
          <w:color w:val="000000" w:themeColor="text1"/>
        </w:rPr>
        <w:t>summarised</w:t>
      </w:r>
      <w:r w:rsidRPr="00F010E8">
        <w:rPr>
          <w:color w:val="000000" w:themeColor="text1"/>
        </w:rPr>
        <w:t xml:space="preserve"> in </w:t>
      </w:r>
      <w:r>
        <w:rPr>
          <w:color w:val="000000" w:themeColor="text1"/>
        </w:rPr>
        <w:t xml:space="preserve">section </w:t>
      </w:r>
      <w:r w:rsidRPr="00F01019">
        <w:rPr>
          <w:i/>
          <w:iCs/>
        </w:rPr>
        <w:t xml:space="preserve">‘3.2 </w:t>
      </w:r>
      <w:r>
        <w:rPr>
          <w:i/>
          <w:iCs/>
        </w:rPr>
        <w:t>Effects on non-target species’</w:t>
      </w:r>
      <w:r w:rsidRPr="00F010E8">
        <w:rPr>
          <w:color w:val="000000" w:themeColor="text1"/>
        </w:rPr>
        <w:t xml:space="preserve"> of the </w:t>
      </w:r>
      <w:r w:rsidRPr="00F010E8">
        <w:rPr>
          <w:i/>
          <w:iCs/>
          <w:color w:val="000000" w:themeColor="text1"/>
        </w:rPr>
        <w:t>Anticoagulant Rodenticides Review Technical Report</w:t>
      </w:r>
      <w:r w:rsidRPr="00F010E8">
        <w:rPr>
          <w:color w:val="000000" w:themeColor="text1"/>
        </w:rPr>
        <w:t>.</w:t>
      </w:r>
    </w:p>
    <w:p w14:paraId="341AC60A" w14:textId="77777777" w:rsidR="008E67EA" w:rsidRPr="005B2F00" w:rsidRDefault="008E67EA">
      <w:pPr>
        <w:pStyle w:val="NumberLevel3"/>
        <w:numPr>
          <w:ilvl w:val="2"/>
          <w:numId w:val="15"/>
        </w:numPr>
        <w:rPr>
          <w:color w:val="000000" w:themeColor="text1"/>
        </w:rPr>
      </w:pPr>
      <w:r w:rsidRPr="005B2F00">
        <w:rPr>
          <w:color w:val="000000" w:themeColor="text1"/>
        </w:rPr>
        <w:t>Brodifacoum –</w:t>
      </w:r>
      <w:r>
        <w:rPr>
          <w:color w:val="000000" w:themeColor="text1"/>
        </w:rPr>
        <w:t xml:space="preserve"> </w:t>
      </w:r>
      <w:r w:rsidRPr="00700143">
        <w:rPr>
          <w:color w:val="000000" w:themeColor="text1"/>
        </w:rPr>
        <w:t>primary poisoning studies on terrestrial vertebrates (mammals, birds and reptiles), secondary poisoning studies on terrestrial vertebrates (birds)</w:t>
      </w:r>
      <w:r>
        <w:rPr>
          <w:color w:val="000000" w:themeColor="text1"/>
        </w:rPr>
        <w:t xml:space="preserve"> </w:t>
      </w:r>
      <w:r w:rsidRPr="00700143">
        <w:rPr>
          <w:color w:val="000000" w:themeColor="text1"/>
        </w:rPr>
        <w:t>and effects studies on aquatic species (fish, invertebrates and algae), soil organisms (macro-organisms) and biological methods of sewerage treatment (activated sludge).</w:t>
      </w:r>
    </w:p>
    <w:p w14:paraId="022C49B9" w14:textId="77777777" w:rsidR="008E67EA" w:rsidRPr="00700143" w:rsidRDefault="008E67EA">
      <w:pPr>
        <w:pStyle w:val="NumberLevel3"/>
        <w:numPr>
          <w:ilvl w:val="2"/>
          <w:numId w:val="15"/>
        </w:numPr>
      </w:pPr>
      <w:r w:rsidRPr="00700143">
        <w:t>Bromadiolone – primary poisoning studies on terrestrial vertebrates (mammals and birds), secondary poisoning studies on terrestrial vertebrates (birds and reptiles)</w:t>
      </w:r>
      <w:r>
        <w:t xml:space="preserve"> </w:t>
      </w:r>
      <w:r w:rsidRPr="00700143">
        <w:t>and effects studies on aquatic species (fish, invertebrates and algae), soil organisms (macro-organisms) and biological methods of sewerage treatment (</w:t>
      </w:r>
      <w:r w:rsidRPr="00700143">
        <w:rPr>
          <w:i/>
          <w:iCs/>
          <w:szCs w:val="20"/>
        </w:rPr>
        <w:t>Pseudomonas putida</w:t>
      </w:r>
      <w:r w:rsidRPr="00700143">
        <w:rPr>
          <w:szCs w:val="20"/>
        </w:rPr>
        <w:t xml:space="preserve"> and</w:t>
      </w:r>
      <w:r w:rsidRPr="00700143">
        <w:t xml:space="preserve"> activated sludge).</w:t>
      </w:r>
    </w:p>
    <w:p w14:paraId="7814FABF" w14:textId="77777777" w:rsidR="008E67EA" w:rsidRPr="006B7FE4" w:rsidRDefault="008E67EA">
      <w:pPr>
        <w:pStyle w:val="NumberLevel3"/>
        <w:numPr>
          <w:ilvl w:val="2"/>
          <w:numId w:val="15"/>
        </w:numPr>
        <w:rPr>
          <w:color w:val="000000" w:themeColor="text1"/>
        </w:rPr>
      </w:pPr>
      <w:r w:rsidRPr="006B7FE4">
        <w:rPr>
          <w:color w:val="000000" w:themeColor="text1"/>
        </w:rPr>
        <w:t>Coumatetralyl –</w:t>
      </w:r>
      <w:r>
        <w:rPr>
          <w:color w:val="000000" w:themeColor="text1"/>
        </w:rPr>
        <w:t xml:space="preserve"> primary poisoning studies on terrestrial vertebrates (mammals, birds and reptiles), secondary poisoning studies on terrestrial vertebrates (mammals and birds) and effects studies on aquatic species (fish, invertebrates and algae), bees </w:t>
      </w:r>
      <w:r w:rsidRPr="00EF4107">
        <w:rPr>
          <w:color w:val="000000" w:themeColor="text1"/>
          <w:szCs w:val="20"/>
        </w:rPr>
        <w:t>(</w:t>
      </w:r>
      <w:r w:rsidRPr="00EF4107">
        <w:rPr>
          <w:i/>
          <w:iCs/>
          <w:szCs w:val="20"/>
        </w:rPr>
        <w:t>Apis mellifera)</w:t>
      </w:r>
      <w:r>
        <w:rPr>
          <w:color w:val="000000" w:themeColor="text1"/>
        </w:rPr>
        <w:t>, soil organisms (macro-organisms) and biological methods of sewerage treatment (activated sludge).</w:t>
      </w:r>
    </w:p>
    <w:p w14:paraId="57E46899" w14:textId="77777777" w:rsidR="008E67EA" w:rsidRPr="00700143" w:rsidRDefault="008E67EA">
      <w:pPr>
        <w:pStyle w:val="NumberLevel3"/>
        <w:numPr>
          <w:ilvl w:val="2"/>
          <w:numId w:val="15"/>
        </w:numPr>
        <w:rPr>
          <w:color w:val="000000" w:themeColor="text1"/>
        </w:rPr>
      </w:pPr>
      <w:r w:rsidRPr="00700143">
        <w:rPr>
          <w:color w:val="000000" w:themeColor="text1"/>
        </w:rPr>
        <w:t>Difenacoum – primary poisoning studies on terrestrial vertebrates (mammals and birds), secondary poisoning studies on terrestrial vertebrates (birds) and effects studies on aquatic species (fish, invertebrates and algae), soil organisms (macro-organisms) and biological methods of sewerage treatment (</w:t>
      </w:r>
      <w:r w:rsidRPr="00700143">
        <w:rPr>
          <w:i/>
          <w:iCs/>
          <w:color w:val="000000" w:themeColor="text1"/>
          <w:szCs w:val="20"/>
        </w:rPr>
        <w:t>Pseudomonas putida</w:t>
      </w:r>
      <w:r w:rsidRPr="00700143">
        <w:rPr>
          <w:color w:val="000000" w:themeColor="text1"/>
          <w:szCs w:val="20"/>
        </w:rPr>
        <w:t xml:space="preserve"> and</w:t>
      </w:r>
      <w:r w:rsidRPr="00700143">
        <w:rPr>
          <w:color w:val="000000" w:themeColor="text1"/>
        </w:rPr>
        <w:t xml:space="preserve"> activated sludge).</w:t>
      </w:r>
    </w:p>
    <w:p w14:paraId="708DA60C" w14:textId="77777777" w:rsidR="008E67EA" w:rsidRPr="00257E10" w:rsidRDefault="008E67EA">
      <w:pPr>
        <w:pStyle w:val="NumberLevel3"/>
        <w:numPr>
          <w:ilvl w:val="2"/>
          <w:numId w:val="15"/>
        </w:numPr>
        <w:rPr>
          <w:color w:val="000000" w:themeColor="text1"/>
        </w:rPr>
      </w:pPr>
      <w:r w:rsidRPr="00257E10">
        <w:rPr>
          <w:color w:val="000000" w:themeColor="text1"/>
        </w:rPr>
        <w:t>Difethialone – primary poisoning studies on terrestrial vertebrates (mammals and birds), secondary poisoning studies on terrestrial vertebrates (birds), and effects studies on aquatic species (fish, invertebrates and algae), soil organisms (macro-organisms) and biological methods of sewerage treatment (activated sludge).</w:t>
      </w:r>
    </w:p>
    <w:p w14:paraId="05280CDB" w14:textId="77777777" w:rsidR="008E67EA" w:rsidRPr="00EF4107" w:rsidRDefault="008E67EA">
      <w:pPr>
        <w:pStyle w:val="NumberLevel3"/>
        <w:numPr>
          <w:ilvl w:val="2"/>
          <w:numId w:val="15"/>
        </w:numPr>
        <w:rPr>
          <w:color w:val="000000" w:themeColor="text1"/>
        </w:rPr>
      </w:pPr>
      <w:r w:rsidRPr="00EF4107">
        <w:rPr>
          <w:color w:val="000000" w:themeColor="text1"/>
        </w:rPr>
        <w:t>Diphacinone –</w:t>
      </w:r>
      <w:r>
        <w:rPr>
          <w:color w:val="000000" w:themeColor="text1"/>
        </w:rPr>
        <w:t xml:space="preserve"> </w:t>
      </w:r>
      <w:r w:rsidRPr="00EF4107">
        <w:rPr>
          <w:color w:val="000000" w:themeColor="text1"/>
        </w:rPr>
        <w:t xml:space="preserve">primary poisoning studies </w:t>
      </w:r>
      <w:r>
        <w:rPr>
          <w:color w:val="000000" w:themeColor="text1"/>
        </w:rPr>
        <w:t>o</w:t>
      </w:r>
      <w:r w:rsidRPr="00EF4107">
        <w:rPr>
          <w:color w:val="000000" w:themeColor="text1"/>
        </w:rPr>
        <w:t xml:space="preserve">n terrestrial vertebrates (mammals, birds and reptiles), secondary poisoning studies </w:t>
      </w:r>
      <w:r>
        <w:rPr>
          <w:color w:val="000000" w:themeColor="text1"/>
        </w:rPr>
        <w:t>o</w:t>
      </w:r>
      <w:r w:rsidRPr="00EF4107">
        <w:rPr>
          <w:color w:val="000000" w:themeColor="text1"/>
        </w:rPr>
        <w:t>n terrestrial vertebrates (birds)</w:t>
      </w:r>
      <w:r>
        <w:rPr>
          <w:color w:val="000000" w:themeColor="text1"/>
        </w:rPr>
        <w:t xml:space="preserve"> </w:t>
      </w:r>
      <w:r w:rsidRPr="00EF4107">
        <w:rPr>
          <w:color w:val="000000" w:themeColor="text1"/>
        </w:rPr>
        <w:t>and effects studies on aquatic species (fish).</w:t>
      </w:r>
    </w:p>
    <w:p w14:paraId="6C81CFA6" w14:textId="77777777" w:rsidR="008E67EA" w:rsidRDefault="008E67EA">
      <w:pPr>
        <w:pStyle w:val="NumberLevel3"/>
        <w:numPr>
          <w:ilvl w:val="2"/>
          <w:numId w:val="15"/>
        </w:numPr>
        <w:rPr>
          <w:color w:val="000000" w:themeColor="text1"/>
        </w:rPr>
      </w:pPr>
      <w:r w:rsidRPr="00125A18">
        <w:rPr>
          <w:color w:val="000000" w:themeColor="text1"/>
        </w:rPr>
        <w:t xml:space="preserve">Flocoumafen – </w:t>
      </w:r>
      <w:r w:rsidRPr="00700143">
        <w:rPr>
          <w:color w:val="000000" w:themeColor="text1"/>
        </w:rPr>
        <w:t>primary poisoning studies on terrestrial vertebrates (mammals and birds), secondary poisoning studies on terrestrial vertebrates (birds)</w:t>
      </w:r>
      <w:r>
        <w:rPr>
          <w:color w:val="000000" w:themeColor="text1"/>
        </w:rPr>
        <w:t xml:space="preserve"> </w:t>
      </w:r>
      <w:r w:rsidRPr="00700143">
        <w:rPr>
          <w:color w:val="000000" w:themeColor="text1"/>
        </w:rPr>
        <w:t>and effects studies on aquatic species (fish, invertebrates and algae), soil organisms (macro-organisms) and biological methods of sewerage treatment (activated sludge).</w:t>
      </w:r>
    </w:p>
    <w:p w14:paraId="4B0805F2" w14:textId="77777777" w:rsidR="008E67EA" w:rsidRPr="00392FFC" w:rsidRDefault="008E67EA">
      <w:pPr>
        <w:pStyle w:val="NumberLevel3"/>
        <w:numPr>
          <w:ilvl w:val="2"/>
          <w:numId w:val="15"/>
        </w:numPr>
        <w:rPr>
          <w:color w:val="000000" w:themeColor="text1"/>
        </w:rPr>
      </w:pPr>
      <w:r>
        <w:rPr>
          <w:color w:val="000000" w:themeColor="text1"/>
        </w:rPr>
        <w:t xml:space="preserve">Warfarin </w:t>
      </w:r>
      <w:r w:rsidRPr="005B2F00">
        <w:rPr>
          <w:color w:val="000000" w:themeColor="text1"/>
        </w:rPr>
        <w:t>–</w:t>
      </w:r>
      <w:r>
        <w:rPr>
          <w:color w:val="000000" w:themeColor="text1"/>
        </w:rPr>
        <w:t xml:space="preserve"> </w:t>
      </w:r>
      <w:r w:rsidRPr="00700143">
        <w:rPr>
          <w:color w:val="000000" w:themeColor="text1"/>
        </w:rPr>
        <w:t>primary poisoning studies in terrestrial vertebrates (mammals, birds and reptiles)</w:t>
      </w:r>
      <w:r>
        <w:rPr>
          <w:color w:val="000000" w:themeColor="text1"/>
        </w:rPr>
        <w:t xml:space="preserve"> and </w:t>
      </w:r>
      <w:r w:rsidRPr="00700143">
        <w:rPr>
          <w:color w:val="000000" w:themeColor="text1"/>
        </w:rPr>
        <w:t>secondary poisoning studies in terrestrial vertebrates (mammals)</w:t>
      </w:r>
      <w:r>
        <w:rPr>
          <w:color w:val="000000" w:themeColor="text1"/>
        </w:rPr>
        <w:t>.</w:t>
      </w:r>
    </w:p>
    <w:p w14:paraId="0DD8EB76" w14:textId="77777777" w:rsidR="008E67EA" w:rsidRDefault="008E67EA" w:rsidP="008E67EA">
      <w:pPr>
        <w:pStyle w:val="StatementofReasonsHeading4"/>
      </w:pPr>
      <w:r>
        <w:t>Toxicology and human health</w:t>
      </w:r>
    </w:p>
    <w:p w14:paraId="55CDB979" w14:textId="1DF3A7A0" w:rsidR="008E67EA" w:rsidRPr="00187984" w:rsidRDefault="008E67EA">
      <w:pPr>
        <w:pStyle w:val="NumberLevel1"/>
        <w:numPr>
          <w:ilvl w:val="0"/>
          <w:numId w:val="15"/>
        </w:numPr>
      </w:pPr>
      <w:r w:rsidRPr="00187984">
        <w:t>The anticoagulant rodenticide active constituents coumatetralyl, diphacinone, brodifacoum, bromadiolone, difenacoum, difethialone, flocoumafen and warfarin listed in Attachment A are approved for use in agricultural chemical products (i.e. as a vertebrate poison).</w:t>
      </w:r>
    </w:p>
    <w:p w14:paraId="50514C38" w14:textId="77777777" w:rsidR="008E67EA" w:rsidRPr="00187984" w:rsidRDefault="008E67EA">
      <w:pPr>
        <w:pStyle w:val="NumberLevel1"/>
        <w:numPr>
          <w:ilvl w:val="0"/>
          <w:numId w:val="15"/>
        </w:numPr>
      </w:pPr>
      <w:r w:rsidRPr="00187984">
        <w:t xml:space="preserve">For all anticoagulant rodenticide active constituents except warfarin (i.e. coumatetralyl, diphacinone, brodifacoum, bromadiolone, difenacoum, difethialone and flocoumafen), based on my review and consideration of the assessment </w:t>
      </w:r>
      <w:r>
        <w:t>of toxicity studies, as summarised</w:t>
      </w:r>
      <w:r w:rsidRPr="00187984">
        <w:t xml:space="preserve"> in </w:t>
      </w:r>
      <w:r>
        <w:t>section</w:t>
      </w:r>
      <w:r w:rsidRPr="00537245">
        <w:rPr>
          <w:i/>
          <w:iCs/>
        </w:rPr>
        <w:t xml:space="preserve"> ‘4.5.1 Selection of points of departure for risk assessment’</w:t>
      </w:r>
      <w:r>
        <w:t xml:space="preserve"> </w:t>
      </w:r>
      <w:r w:rsidRPr="00187984">
        <w:t xml:space="preserve">of the </w:t>
      </w:r>
      <w:r w:rsidRPr="00187984">
        <w:rPr>
          <w:i/>
          <w:iCs/>
        </w:rPr>
        <w:t>Anticoagulant Rodenticides Review Technical Report</w:t>
      </w:r>
      <w:r w:rsidRPr="00187984">
        <w:t>, I consider that there is sufficient information to quantitatively assess the human health risks posed from occupational and non-professional use of these active constituents in agricultural chemical products.</w:t>
      </w:r>
    </w:p>
    <w:p w14:paraId="59E5E472" w14:textId="0027DF81" w:rsidR="008E67EA" w:rsidRPr="00187984" w:rsidRDefault="008E67EA">
      <w:pPr>
        <w:pStyle w:val="NumberLevel2"/>
        <w:numPr>
          <w:ilvl w:val="1"/>
          <w:numId w:val="15"/>
        </w:numPr>
      </w:pPr>
      <w:bookmarkStart w:id="61" w:name="_Ref199687734"/>
      <w:r w:rsidRPr="00187984">
        <w:lastRenderedPageBreak/>
        <w:t xml:space="preserve">I have considered the points of departure listed in </w:t>
      </w:r>
      <w:r w:rsidRPr="00187984">
        <w:fldChar w:fldCharType="begin"/>
      </w:r>
      <w:r w:rsidRPr="00187984">
        <w:instrText xml:space="preserve"> REF _Ref199425542 \h </w:instrText>
      </w:r>
      <w:r>
        <w:instrText xml:space="preserve"> \* MERGEFORMAT </w:instrText>
      </w:r>
      <w:r w:rsidRPr="00187984">
        <w:fldChar w:fldCharType="separate"/>
      </w:r>
      <w:r w:rsidR="002C0C2A">
        <w:t xml:space="preserve">Table </w:t>
      </w:r>
      <w:r w:rsidR="002C0C2A">
        <w:rPr>
          <w:noProof/>
        </w:rPr>
        <w:t>1</w:t>
      </w:r>
      <w:r w:rsidRPr="00187984">
        <w:fldChar w:fldCharType="end"/>
      </w:r>
      <w:r w:rsidRPr="00187984">
        <w:t>. My view is that they are appropriate to assess the effects of repeat dermal and inhalation exposure to both occupational and non-professional users. I note that these points of departure are based on the most appropriate no observed adverse effect level (NOAEL) or lowest observed adverse effect level (LOAEL) in the limited toxicology database available, based on the criteria that the point of departure is protective of the effects seen in all repeat-dose studies in the database and that it is relevant to the potential effects in humans.</w:t>
      </w:r>
      <w:bookmarkEnd w:id="61"/>
    </w:p>
    <w:p w14:paraId="6379DD07" w14:textId="73DB0100" w:rsidR="008E67EA" w:rsidRDefault="008E67EA" w:rsidP="008E67EA">
      <w:pPr>
        <w:pStyle w:val="Caption"/>
        <w:keepNext/>
        <w:ind w:firstLine="567"/>
      </w:pPr>
      <w:bookmarkStart w:id="62" w:name="_Ref199425542"/>
      <w:r>
        <w:t xml:space="preserve">Table </w:t>
      </w:r>
      <w:r>
        <w:fldChar w:fldCharType="begin"/>
      </w:r>
      <w:r>
        <w:instrText xml:space="preserve"> SEQ Table \* ARABIC </w:instrText>
      </w:r>
      <w:r>
        <w:fldChar w:fldCharType="separate"/>
      </w:r>
      <w:r w:rsidR="002C0C2A">
        <w:rPr>
          <w:noProof/>
        </w:rPr>
        <w:t>1</w:t>
      </w:r>
      <w:r>
        <w:fldChar w:fldCharType="end"/>
      </w:r>
      <w:bookmarkEnd w:id="62"/>
      <w:r>
        <w:t>: Points of departure for occupational and non-professional health risk assessments</w:t>
      </w:r>
    </w:p>
    <w:tbl>
      <w:tblPr>
        <w:tblW w:w="4859"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701"/>
        <w:gridCol w:w="2410"/>
        <w:gridCol w:w="5245"/>
      </w:tblGrid>
      <w:tr w:rsidR="008E67EA" w:rsidRPr="006B74D1" w14:paraId="5D0D44B3" w14:textId="77777777" w:rsidTr="00B44A74">
        <w:trPr>
          <w:cantSplit/>
          <w:tblHeader/>
        </w:trPr>
        <w:tc>
          <w:tcPr>
            <w:tcW w:w="909" w:type="pct"/>
            <w:tcBorders>
              <w:top w:val="single" w:sz="4" w:space="0" w:color="auto"/>
              <w:left w:val="single" w:sz="4" w:space="0" w:color="auto"/>
              <w:bottom w:val="single" w:sz="4" w:space="0" w:color="auto"/>
              <w:right w:val="single" w:sz="4" w:space="0" w:color="auto"/>
            </w:tcBorders>
            <w:shd w:val="clear" w:color="auto" w:fill="E6E6E6"/>
            <w:hideMark/>
          </w:tcPr>
          <w:p w14:paraId="552139CC" w14:textId="77777777" w:rsidR="008E67EA" w:rsidRPr="00B251FC" w:rsidRDefault="008E67EA" w:rsidP="00B44A74">
            <w:pPr>
              <w:pStyle w:val="TableHead"/>
              <w:spacing w:before="0" w:after="0"/>
              <w:rPr>
                <w:color w:val="000000" w:themeColor="text1"/>
              </w:rPr>
            </w:pPr>
            <w:bookmarkStart w:id="63" w:name="_Ref165984799"/>
            <w:r w:rsidRPr="00B251FC">
              <w:rPr>
                <w:color w:val="000000" w:themeColor="text1"/>
              </w:rPr>
              <w:t>Active</w:t>
            </w:r>
          </w:p>
        </w:tc>
        <w:tc>
          <w:tcPr>
            <w:tcW w:w="1288" w:type="pct"/>
            <w:tcBorders>
              <w:top w:val="single" w:sz="4" w:space="0" w:color="auto"/>
              <w:left w:val="single" w:sz="4" w:space="0" w:color="auto"/>
              <w:bottom w:val="single" w:sz="4" w:space="0" w:color="auto"/>
              <w:right w:val="single" w:sz="4" w:space="0" w:color="auto"/>
            </w:tcBorders>
            <w:shd w:val="clear" w:color="auto" w:fill="E6E6E6"/>
            <w:hideMark/>
          </w:tcPr>
          <w:p w14:paraId="76B3224B" w14:textId="77777777" w:rsidR="008E67EA" w:rsidRPr="00B251FC" w:rsidRDefault="008E67EA" w:rsidP="00B44A74">
            <w:pPr>
              <w:pStyle w:val="TableHead"/>
              <w:spacing w:before="0" w:after="0"/>
              <w:rPr>
                <w:color w:val="000000" w:themeColor="text1"/>
              </w:rPr>
            </w:pPr>
            <w:r w:rsidRPr="00B251FC">
              <w:rPr>
                <w:color w:val="000000" w:themeColor="text1"/>
              </w:rPr>
              <w:t xml:space="preserve">Point of Departure </w:t>
            </w:r>
            <w:r>
              <w:rPr>
                <w:color w:val="000000" w:themeColor="text1"/>
              </w:rPr>
              <w:br/>
            </w:r>
            <w:r w:rsidRPr="00B251FC">
              <w:rPr>
                <w:color w:val="000000" w:themeColor="text1"/>
              </w:rPr>
              <w:t>(mg/kg bw/day)</w:t>
            </w:r>
          </w:p>
        </w:tc>
        <w:tc>
          <w:tcPr>
            <w:tcW w:w="2803" w:type="pct"/>
            <w:tcBorders>
              <w:top w:val="single" w:sz="4" w:space="0" w:color="auto"/>
              <w:left w:val="single" w:sz="4" w:space="0" w:color="auto"/>
              <w:bottom w:val="single" w:sz="4" w:space="0" w:color="auto"/>
              <w:right w:val="single" w:sz="4" w:space="0" w:color="auto"/>
            </w:tcBorders>
            <w:shd w:val="clear" w:color="auto" w:fill="E6E6E6"/>
          </w:tcPr>
          <w:p w14:paraId="5137999F" w14:textId="77777777" w:rsidR="008E67EA" w:rsidRPr="00B251FC" w:rsidRDefault="008E67EA" w:rsidP="00B44A74">
            <w:pPr>
              <w:pStyle w:val="TableHead"/>
              <w:spacing w:before="0" w:after="0"/>
              <w:rPr>
                <w:color w:val="000000" w:themeColor="text1"/>
              </w:rPr>
            </w:pPr>
            <w:r w:rsidRPr="00B251FC">
              <w:rPr>
                <w:color w:val="000000" w:themeColor="text1"/>
              </w:rPr>
              <w:t>Study</w:t>
            </w:r>
          </w:p>
        </w:tc>
      </w:tr>
      <w:tr w:rsidR="008E67EA" w:rsidRPr="006B74D1" w14:paraId="72031EB9" w14:textId="77777777" w:rsidTr="00B44A74">
        <w:trPr>
          <w:cantSplit/>
        </w:trPr>
        <w:tc>
          <w:tcPr>
            <w:tcW w:w="5000" w:type="pct"/>
            <w:gridSpan w:val="3"/>
            <w:tcBorders>
              <w:top w:val="single" w:sz="4" w:space="0" w:color="auto"/>
              <w:left w:val="single" w:sz="4" w:space="0" w:color="auto"/>
              <w:bottom w:val="single" w:sz="4" w:space="0" w:color="auto"/>
              <w:right w:val="single" w:sz="4" w:space="0" w:color="auto"/>
            </w:tcBorders>
          </w:tcPr>
          <w:p w14:paraId="61115BFF" w14:textId="77777777" w:rsidR="008E67EA" w:rsidRPr="00B251FC" w:rsidRDefault="008E67EA" w:rsidP="00B44A74">
            <w:pPr>
              <w:pStyle w:val="APVMATableText"/>
              <w:spacing w:before="0" w:after="0"/>
              <w:rPr>
                <w:i/>
                <w:iCs/>
                <w:color w:val="000000" w:themeColor="text1"/>
              </w:rPr>
            </w:pPr>
            <w:r w:rsidRPr="00B251FC">
              <w:rPr>
                <w:i/>
                <w:iCs/>
                <w:color w:val="000000" w:themeColor="text1"/>
              </w:rPr>
              <w:t>First generation anticoagulant rodenticides</w:t>
            </w:r>
          </w:p>
        </w:tc>
      </w:tr>
      <w:tr w:rsidR="008E67EA" w:rsidRPr="006B74D1" w14:paraId="50858D7B" w14:textId="77777777" w:rsidTr="00B44A74">
        <w:trPr>
          <w:cantSplit/>
        </w:trPr>
        <w:tc>
          <w:tcPr>
            <w:tcW w:w="909" w:type="pct"/>
            <w:tcBorders>
              <w:top w:val="single" w:sz="4" w:space="0" w:color="auto"/>
              <w:left w:val="single" w:sz="4" w:space="0" w:color="auto"/>
              <w:right w:val="single" w:sz="4" w:space="0" w:color="auto"/>
            </w:tcBorders>
          </w:tcPr>
          <w:p w14:paraId="7CBE9E48" w14:textId="77777777" w:rsidR="008E67EA" w:rsidRPr="00B251FC" w:rsidRDefault="008E67EA" w:rsidP="00B44A74">
            <w:pPr>
              <w:pStyle w:val="APVMATableText"/>
              <w:spacing w:before="0" w:after="0"/>
              <w:rPr>
                <w:color w:val="000000" w:themeColor="text1"/>
              </w:rPr>
            </w:pPr>
            <w:r w:rsidRPr="00B251FC">
              <w:rPr>
                <w:color w:val="000000" w:themeColor="text1"/>
              </w:rPr>
              <w:t>Coumatetralyl</w:t>
            </w:r>
          </w:p>
        </w:tc>
        <w:tc>
          <w:tcPr>
            <w:tcW w:w="1288" w:type="pct"/>
            <w:tcBorders>
              <w:top w:val="single" w:sz="4" w:space="0" w:color="auto"/>
              <w:left w:val="single" w:sz="4" w:space="0" w:color="auto"/>
              <w:bottom w:val="single" w:sz="4" w:space="0" w:color="auto"/>
              <w:right w:val="single" w:sz="4" w:space="0" w:color="auto"/>
            </w:tcBorders>
          </w:tcPr>
          <w:p w14:paraId="37CB32C2" w14:textId="77777777" w:rsidR="008E67EA" w:rsidRPr="00B251FC" w:rsidRDefault="008E67EA" w:rsidP="00B44A74">
            <w:pPr>
              <w:pStyle w:val="APVMATableText"/>
              <w:spacing w:before="0" w:after="0"/>
              <w:rPr>
                <w:color w:val="000000" w:themeColor="text1"/>
              </w:rPr>
            </w:pPr>
            <w:r w:rsidRPr="00B251FC">
              <w:rPr>
                <w:color w:val="000000" w:themeColor="text1"/>
              </w:rPr>
              <w:t>0.0068</w:t>
            </w:r>
            <w:r>
              <w:rPr>
                <w:color w:val="000000" w:themeColor="text1"/>
              </w:rPr>
              <w:t xml:space="preserve"> (occupational and non-professional)</w:t>
            </w:r>
          </w:p>
        </w:tc>
        <w:tc>
          <w:tcPr>
            <w:tcW w:w="2803" w:type="pct"/>
            <w:tcBorders>
              <w:top w:val="single" w:sz="4" w:space="0" w:color="auto"/>
              <w:left w:val="single" w:sz="4" w:space="0" w:color="auto"/>
              <w:bottom w:val="single" w:sz="4" w:space="0" w:color="auto"/>
              <w:right w:val="single" w:sz="4" w:space="0" w:color="auto"/>
            </w:tcBorders>
          </w:tcPr>
          <w:p w14:paraId="09670709" w14:textId="77777777" w:rsidR="008E67EA" w:rsidRPr="00B251FC" w:rsidRDefault="008E67EA" w:rsidP="00B44A74">
            <w:pPr>
              <w:pStyle w:val="APVMATableText"/>
              <w:spacing w:before="0" w:after="0"/>
              <w:rPr>
                <w:color w:val="000000" w:themeColor="text1"/>
              </w:rPr>
            </w:pPr>
            <w:r w:rsidRPr="00B251FC">
              <w:rPr>
                <w:color w:val="000000" w:themeColor="text1"/>
              </w:rPr>
              <w:t>16-week dietary toxicity study in rats. NOAEL of 0.0068 mg/kg bw/day based on prolonged blood clotting (prothrombin) time at the next highest dose.</w:t>
            </w:r>
          </w:p>
        </w:tc>
      </w:tr>
      <w:tr w:rsidR="008E67EA" w:rsidRPr="006B74D1" w14:paraId="50BFC914" w14:textId="77777777" w:rsidTr="00B44A74">
        <w:trPr>
          <w:cantSplit/>
        </w:trPr>
        <w:tc>
          <w:tcPr>
            <w:tcW w:w="909" w:type="pct"/>
            <w:tcBorders>
              <w:top w:val="single" w:sz="4" w:space="0" w:color="auto"/>
              <w:left w:val="single" w:sz="4" w:space="0" w:color="auto"/>
              <w:bottom w:val="single" w:sz="4" w:space="0" w:color="auto"/>
              <w:right w:val="single" w:sz="4" w:space="0" w:color="auto"/>
            </w:tcBorders>
          </w:tcPr>
          <w:p w14:paraId="2E917DC7" w14:textId="77777777" w:rsidR="008E67EA" w:rsidRPr="00B251FC" w:rsidRDefault="008E67EA" w:rsidP="00B44A74">
            <w:pPr>
              <w:pStyle w:val="APVMATableText"/>
              <w:spacing w:before="0" w:after="0"/>
              <w:rPr>
                <w:color w:val="000000" w:themeColor="text1"/>
              </w:rPr>
            </w:pPr>
            <w:r w:rsidRPr="00B251FC">
              <w:rPr>
                <w:color w:val="000000" w:themeColor="text1"/>
              </w:rPr>
              <w:t>Diphacinone</w:t>
            </w:r>
          </w:p>
        </w:tc>
        <w:tc>
          <w:tcPr>
            <w:tcW w:w="1288" w:type="pct"/>
            <w:tcBorders>
              <w:top w:val="single" w:sz="4" w:space="0" w:color="auto"/>
              <w:left w:val="single" w:sz="4" w:space="0" w:color="auto"/>
              <w:bottom w:val="single" w:sz="4" w:space="0" w:color="auto"/>
              <w:right w:val="single" w:sz="4" w:space="0" w:color="auto"/>
            </w:tcBorders>
          </w:tcPr>
          <w:p w14:paraId="1E9309D2" w14:textId="77777777" w:rsidR="008E67EA" w:rsidRPr="00B251FC" w:rsidRDefault="008E67EA" w:rsidP="00B44A74">
            <w:pPr>
              <w:pStyle w:val="APVMATableText"/>
              <w:spacing w:before="0" w:after="0"/>
              <w:rPr>
                <w:color w:val="000000" w:themeColor="text1"/>
              </w:rPr>
            </w:pPr>
            <w:r w:rsidRPr="00B251FC">
              <w:rPr>
                <w:color w:val="000000" w:themeColor="text1"/>
              </w:rPr>
              <w:t>0.025</w:t>
            </w:r>
            <w:r>
              <w:rPr>
                <w:color w:val="000000" w:themeColor="text1"/>
              </w:rPr>
              <w:t xml:space="preserve"> (occupational and non-professional)</w:t>
            </w:r>
          </w:p>
        </w:tc>
        <w:tc>
          <w:tcPr>
            <w:tcW w:w="2803" w:type="pct"/>
            <w:tcBorders>
              <w:top w:val="single" w:sz="4" w:space="0" w:color="auto"/>
              <w:left w:val="single" w:sz="4" w:space="0" w:color="auto"/>
              <w:bottom w:val="single" w:sz="4" w:space="0" w:color="auto"/>
              <w:right w:val="single" w:sz="4" w:space="0" w:color="auto"/>
            </w:tcBorders>
          </w:tcPr>
          <w:p w14:paraId="09EC7E8E" w14:textId="77777777" w:rsidR="008E67EA" w:rsidRPr="00B251FC" w:rsidRDefault="008E67EA" w:rsidP="00B44A74">
            <w:pPr>
              <w:pStyle w:val="APVMATableText"/>
              <w:spacing w:before="0" w:after="0"/>
              <w:rPr>
                <w:color w:val="000000" w:themeColor="text1"/>
              </w:rPr>
            </w:pPr>
            <w:r w:rsidRPr="00B251FC">
              <w:rPr>
                <w:color w:val="000000" w:themeColor="text1"/>
              </w:rPr>
              <w:t xml:space="preserve">Oral developmental toxicity study in rats. </w:t>
            </w:r>
            <w:r w:rsidRPr="00B251FC">
              <w:rPr>
                <w:rFonts w:cs="Times New Roman"/>
                <w:color w:val="000000" w:themeColor="text1"/>
              </w:rPr>
              <w:t>NOAEL of 0.025 mg/kg bw/day based on maternal and embryo toxicity based on increased incidence of early resorptions and post implantation loss at the next higher dose.</w:t>
            </w:r>
          </w:p>
        </w:tc>
      </w:tr>
      <w:tr w:rsidR="008E67EA" w:rsidRPr="006B74D1" w14:paraId="404A34BD" w14:textId="77777777" w:rsidTr="00B44A74">
        <w:trPr>
          <w:cantSplit/>
        </w:trPr>
        <w:tc>
          <w:tcPr>
            <w:tcW w:w="5000" w:type="pct"/>
            <w:gridSpan w:val="3"/>
            <w:tcBorders>
              <w:top w:val="single" w:sz="4" w:space="0" w:color="auto"/>
              <w:left w:val="single" w:sz="4" w:space="0" w:color="auto"/>
              <w:bottom w:val="single" w:sz="4" w:space="0" w:color="auto"/>
              <w:right w:val="single" w:sz="4" w:space="0" w:color="auto"/>
            </w:tcBorders>
          </w:tcPr>
          <w:p w14:paraId="6891E6A5" w14:textId="77777777" w:rsidR="008E67EA" w:rsidRPr="00B251FC" w:rsidRDefault="008E67EA" w:rsidP="00B44A74">
            <w:pPr>
              <w:pStyle w:val="APVMATableText"/>
              <w:spacing w:before="0" w:after="0"/>
              <w:rPr>
                <w:color w:val="000000" w:themeColor="text1"/>
              </w:rPr>
            </w:pPr>
            <w:r w:rsidRPr="00B251FC">
              <w:rPr>
                <w:i/>
                <w:iCs/>
                <w:color w:val="000000" w:themeColor="text1"/>
              </w:rPr>
              <w:t>Second generation anticoagulant rodenticides</w:t>
            </w:r>
          </w:p>
        </w:tc>
      </w:tr>
      <w:tr w:rsidR="008E67EA" w:rsidRPr="006B74D1" w14:paraId="5A6BF313" w14:textId="77777777" w:rsidTr="00B44A74">
        <w:trPr>
          <w:cantSplit/>
        </w:trPr>
        <w:tc>
          <w:tcPr>
            <w:tcW w:w="909" w:type="pct"/>
            <w:tcBorders>
              <w:top w:val="single" w:sz="4" w:space="0" w:color="auto"/>
              <w:left w:val="single" w:sz="4" w:space="0" w:color="auto"/>
              <w:bottom w:val="single" w:sz="4" w:space="0" w:color="auto"/>
              <w:right w:val="single" w:sz="4" w:space="0" w:color="auto"/>
            </w:tcBorders>
          </w:tcPr>
          <w:p w14:paraId="79D6069B" w14:textId="77777777" w:rsidR="008E67EA" w:rsidRPr="00B251FC" w:rsidRDefault="008E67EA" w:rsidP="00B44A74">
            <w:pPr>
              <w:pStyle w:val="APVMATableText"/>
              <w:spacing w:before="0" w:after="0"/>
              <w:rPr>
                <w:color w:val="000000" w:themeColor="text1"/>
              </w:rPr>
            </w:pPr>
            <w:r w:rsidRPr="00B251FC">
              <w:rPr>
                <w:color w:val="000000" w:themeColor="text1"/>
              </w:rPr>
              <w:t>Brodifacoum</w:t>
            </w:r>
          </w:p>
        </w:tc>
        <w:tc>
          <w:tcPr>
            <w:tcW w:w="1288" w:type="pct"/>
            <w:tcBorders>
              <w:top w:val="single" w:sz="4" w:space="0" w:color="auto"/>
              <w:left w:val="single" w:sz="4" w:space="0" w:color="auto"/>
              <w:bottom w:val="single" w:sz="4" w:space="0" w:color="auto"/>
              <w:right w:val="single" w:sz="4" w:space="0" w:color="auto"/>
            </w:tcBorders>
          </w:tcPr>
          <w:p w14:paraId="22C8613F" w14:textId="77777777" w:rsidR="008E67EA" w:rsidRPr="00B251FC" w:rsidRDefault="008E67EA" w:rsidP="00B44A74">
            <w:pPr>
              <w:pStyle w:val="APVMATableText"/>
              <w:spacing w:before="0" w:after="0"/>
              <w:rPr>
                <w:color w:val="000000" w:themeColor="text1"/>
              </w:rPr>
            </w:pPr>
            <w:r w:rsidRPr="00B251FC">
              <w:rPr>
                <w:color w:val="000000" w:themeColor="text1"/>
              </w:rPr>
              <w:t>0.001</w:t>
            </w:r>
            <w:r>
              <w:rPr>
                <w:color w:val="000000" w:themeColor="text1"/>
              </w:rPr>
              <w:t xml:space="preserve"> (occupational and non-professional)</w:t>
            </w:r>
          </w:p>
        </w:tc>
        <w:tc>
          <w:tcPr>
            <w:tcW w:w="2803" w:type="pct"/>
            <w:tcBorders>
              <w:top w:val="single" w:sz="4" w:space="0" w:color="auto"/>
              <w:left w:val="single" w:sz="4" w:space="0" w:color="auto"/>
              <w:bottom w:val="single" w:sz="4" w:space="0" w:color="auto"/>
              <w:right w:val="single" w:sz="4" w:space="0" w:color="auto"/>
            </w:tcBorders>
          </w:tcPr>
          <w:p w14:paraId="7C4767F4" w14:textId="77777777" w:rsidR="008E67EA" w:rsidRPr="00B251FC" w:rsidRDefault="008E67EA" w:rsidP="00B44A74">
            <w:pPr>
              <w:pStyle w:val="APVMATableText"/>
              <w:spacing w:before="0" w:after="0"/>
              <w:rPr>
                <w:color w:val="000000" w:themeColor="text1"/>
              </w:rPr>
            </w:pPr>
            <w:r w:rsidRPr="00B251FC">
              <w:rPr>
                <w:color w:val="000000" w:themeColor="text1"/>
              </w:rPr>
              <w:t xml:space="preserve">13-week dietary toxicity study in rats. NOAEL of </w:t>
            </w:r>
            <w:r w:rsidRPr="00B251FC">
              <w:rPr>
                <w:rFonts w:cs="Times New Roman"/>
                <w:color w:val="000000" w:themeColor="text1"/>
              </w:rPr>
              <w:t>0.001 mg/kg bw/day</w:t>
            </w:r>
            <w:r w:rsidRPr="00B251FC">
              <w:rPr>
                <w:color w:val="000000" w:themeColor="text1"/>
              </w:rPr>
              <w:t xml:space="preserve"> based on prolonged blood clotting (prothrombin) time at the next higher dose.</w:t>
            </w:r>
          </w:p>
        </w:tc>
      </w:tr>
      <w:tr w:rsidR="008E67EA" w:rsidRPr="006B74D1" w14:paraId="0AECC405" w14:textId="77777777" w:rsidTr="00B44A74">
        <w:trPr>
          <w:cantSplit/>
        </w:trPr>
        <w:tc>
          <w:tcPr>
            <w:tcW w:w="909" w:type="pct"/>
            <w:vMerge w:val="restart"/>
            <w:tcBorders>
              <w:top w:val="single" w:sz="4" w:space="0" w:color="auto"/>
              <w:left w:val="single" w:sz="4" w:space="0" w:color="auto"/>
              <w:right w:val="single" w:sz="4" w:space="0" w:color="auto"/>
            </w:tcBorders>
          </w:tcPr>
          <w:p w14:paraId="7A590E6B" w14:textId="77777777" w:rsidR="008E67EA" w:rsidRPr="00B251FC" w:rsidRDefault="008E67EA" w:rsidP="00B44A74">
            <w:pPr>
              <w:pStyle w:val="APVMATableText"/>
              <w:spacing w:before="0" w:after="0"/>
              <w:rPr>
                <w:color w:val="000000" w:themeColor="text1"/>
              </w:rPr>
            </w:pPr>
            <w:r w:rsidRPr="00B251FC">
              <w:rPr>
                <w:color w:val="000000" w:themeColor="text1"/>
              </w:rPr>
              <w:t>Bromadiolone</w:t>
            </w:r>
          </w:p>
        </w:tc>
        <w:tc>
          <w:tcPr>
            <w:tcW w:w="1288" w:type="pct"/>
            <w:tcBorders>
              <w:top w:val="single" w:sz="4" w:space="0" w:color="auto"/>
              <w:left w:val="single" w:sz="4" w:space="0" w:color="auto"/>
              <w:bottom w:val="single" w:sz="4" w:space="0" w:color="auto"/>
              <w:right w:val="single" w:sz="4" w:space="0" w:color="auto"/>
            </w:tcBorders>
          </w:tcPr>
          <w:p w14:paraId="458B1C00" w14:textId="77777777" w:rsidR="008E67EA" w:rsidRPr="00694C29" w:rsidRDefault="008E67EA" w:rsidP="00B44A74">
            <w:pPr>
              <w:pStyle w:val="APVMATableText"/>
              <w:spacing w:before="0" w:after="0"/>
              <w:rPr>
                <w:color w:val="000000" w:themeColor="text1"/>
              </w:rPr>
            </w:pPr>
            <w:r w:rsidRPr="00694C29">
              <w:rPr>
                <w:color w:val="000000" w:themeColor="text1"/>
              </w:rPr>
              <w:t>0.005 (occupational)</w:t>
            </w:r>
          </w:p>
        </w:tc>
        <w:tc>
          <w:tcPr>
            <w:tcW w:w="2803" w:type="pct"/>
            <w:tcBorders>
              <w:top w:val="single" w:sz="4" w:space="0" w:color="auto"/>
              <w:left w:val="single" w:sz="4" w:space="0" w:color="auto"/>
              <w:bottom w:val="single" w:sz="4" w:space="0" w:color="auto"/>
              <w:right w:val="single" w:sz="4" w:space="0" w:color="auto"/>
            </w:tcBorders>
          </w:tcPr>
          <w:p w14:paraId="04BE1308" w14:textId="77777777" w:rsidR="008E67EA" w:rsidRPr="00694C29" w:rsidRDefault="008E67EA" w:rsidP="00B44A74">
            <w:pPr>
              <w:pStyle w:val="APVMATableText"/>
              <w:spacing w:before="0" w:after="0"/>
              <w:rPr>
                <w:rFonts w:cs="Times New Roman"/>
                <w:color w:val="000000" w:themeColor="text1"/>
              </w:rPr>
            </w:pPr>
            <w:r w:rsidRPr="00694C29">
              <w:rPr>
                <w:color w:val="000000" w:themeColor="text1"/>
              </w:rPr>
              <w:t xml:space="preserve">Oral subchronic toxicity study in rabbits. </w:t>
            </w:r>
            <w:r w:rsidRPr="00694C29">
              <w:rPr>
                <w:rFonts w:cs="Times New Roman"/>
                <w:color w:val="000000" w:themeColor="text1"/>
              </w:rPr>
              <w:t xml:space="preserve">NOAEL of 0.0005 mg/kg bw/day based </w:t>
            </w:r>
            <w:r w:rsidRPr="00694C29">
              <w:rPr>
                <w:color w:val="000000" w:themeColor="text1"/>
              </w:rPr>
              <w:t>on increased blood clotting (prothrombin) time at the next higher dose</w:t>
            </w:r>
            <w:r w:rsidRPr="00694C29">
              <w:rPr>
                <w:rFonts w:cs="Times New Roman"/>
                <w:color w:val="000000" w:themeColor="text1"/>
              </w:rPr>
              <w:t>.</w:t>
            </w:r>
          </w:p>
        </w:tc>
      </w:tr>
      <w:tr w:rsidR="008E67EA" w:rsidRPr="006B74D1" w14:paraId="23014095" w14:textId="77777777" w:rsidTr="00B44A74">
        <w:trPr>
          <w:cantSplit/>
        </w:trPr>
        <w:tc>
          <w:tcPr>
            <w:tcW w:w="909" w:type="pct"/>
            <w:vMerge/>
            <w:tcBorders>
              <w:left w:val="single" w:sz="4" w:space="0" w:color="auto"/>
              <w:bottom w:val="single" w:sz="4" w:space="0" w:color="auto"/>
              <w:right w:val="single" w:sz="4" w:space="0" w:color="auto"/>
            </w:tcBorders>
          </w:tcPr>
          <w:p w14:paraId="3828AA71" w14:textId="77777777" w:rsidR="008E67EA" w:rsidRPr="00B251FC" w:rsidRDefault="008E67EA" w:rsidP="00B44A74">
            <w:pPr>
              <w:pStyle w:val="APVMATableText"/>
              <w:spacing w:before="0" w:after="0"/>
              <w:rPr>
                <w:color w:val="000000" w:themeColor="text1"/>
              </w:rPr>
            </w:pPr>
          </w:p>
        </w:tc>
        <w:tc>
          <w:tcPr>
            <w:tcW w:w="1288" w:type="pct"/>
            <w:tcBorders>
              <w:top w:val="single" w:sz="4" w:space="0" w:color="auto"/>
              <w:left w:val="single" w:sz="4" w:space="0" w:color="auto"/>
              <w:bottom w:val="single" w:sz="4" w:space="0" w:color="auto"/>
              <w:right w:val="single" w:sz="4" w:space="0" w:color="auto"/>
            </w:tcBorders>
          </w:tcPr>
          <w:p w14:paraId="0B1F747D" w14:textId="77777777" w:rsidR="008E67EA" w:rsidRPr="00694C29" w:rsidRDefault="008E67EA" w:rsidP="00B44A74">
            <w:pPr>
              <w:pStyle w:val="APVMATableText"/>
              <w:spacing w:before="0" w:after="0"/>
              <w:rPr>
                <w:color w:val="000000" w:themeColor="text1"/>
              </w:rPr>
            </w:pPr>
            <w:r w:rsidRPr="00694C29">
              <w:rPr>
                <w:color w:val="000000" w:themeColor="text1"/>
              </w:rPr>
              <w:t>0.002 (non-professional)</w:t>
            </w:r>
          </w:p>
        </w:tc>
        <w:tc>
          <w:tcPr>
            <w:tcW w:w="2803" w:type="pct"/>
            <w:tcBorders>
              <w:top w:val="single" w:sz="4" w:space="0" w:color="auto"/>
              <w:left w:val="single" w:sz="4" w:space="0" w:color="auto"/>
              <w:bottom w:val="single" w:sz="4" w:space="0" w:color="auto"/>
              <w:right w:val="single" w:sz="4" w:space="0" w:color="auto"/>
            </w:tcBorders>
          </w:tcPr>
          <w:p w14:paraId="50C4A52B" w14:textId="77777777" w:rsidR="008E67EA" w:rsidRPr="00694C29" w:rsidRDefault="008E67EA" w:rsidP="00B44A74">
            <w:pPr>
              <w:pStyle w:val="APVMATableText"/>
              <w:spacing w:before="0" w:after="0"/>
              <w:rPr>
                <w:color w:val="000000" w:themeColor="text1"/>
              </w:rPr>
            </w:pPr>
            <w:r w:rsidRPr="00694C29">
              <w:rPr>
                <w:color w:val="000000" w:themeColor="text1"/>
              </w:rPr>
              <w:t xml:space="preserve">Developmental toxicity study in rabbits with a </w:t>
            </w:r>
            <w:r w:rsidRPr="00694C29">
              <w:rPr>
                <w:rFonts w:cs="Times New Roman"/>
                <w:color w:val="000000" w:themeColor="text1"/>
              </w:rPr>
              <w:t>LOAEL of 0.002 mg/kg bw/day</w:t>
            </w:r>
            <w:r w:rsidRPr="00694C29">
              <w:rPr>
                <w:color w:val="000000" w:themeColor="text1"/>
              </w:rPr>
              <w:t>, noting that exposure will be much less frequent for non-professional users.</w:t>
            </w:r>
          </w:p>
        </w:tc>
      </w:tr>
      <w:tr w:rsidR="008E67EA" w:rsidRPr="006B74D1" w14:paraId="79F88154" w14:textId="77777777" w:rsidTr="00B44A74">
        <w:trPr>
          <w:cantSplit/>
        </w:trPr>
        <w:tc>
          <w:tcPr>
            <w:tcW w:w="909" w:type="pct"/>
            <w:tcBorders>
              <w:top w:val="single" w:sz="4" w:space="0" w:color="auto"/>
              <w:left w:val="single" w:sz="4" w:space="0" w:color="auto"/>
              <w:right w:val="single" w:sz="4" w:space="0" w:color="auto"/>
            </w:tcBorders>
          </w:tcPr>
          <w:p w14:paraId="0217656E" w14:textId="77777777" w:rsidR="008E67EA" w:rsidRPr="00B251FC" w:rsidRDefault="008E67EA" w:rsidP="00B44A74">
            <w:pPr>
              <w:pStyle w:val="APVMATableText"/>
              <w:spacing w:before="0" w:after="0"/>
              <w:rPr>
                <w:color w:val="000000" w:themeColor="text1"/>
              </w:rPr>
            </w:pPr>
            <w:r w:rsidRPr="00B251FC">
              <w:rPr>
                <w:color w:val="000000" w:themeColor="text1"/>
              </w:rPr>
              <w:t>Difenacoum</w:t>
            </w:r>
          </w:p>
        </w:tc>
        <w:tc>
          <w:tcPr>
            <w:tcW w:w="1288" w:type="pct"/>
            <w:tcBorders>
              <w:top w:val="single" w:sz="4" w:space="0" w:color="auto"/>
              <w:left w:val="single" w:sz="4" w:space="0" w:color="auto"/>
              <w:bottom w:val="single" w:sz="4" w:space="0" w:color="auto"/>
              <w:right w:val="single" w:sz="4" w:space="0" w:color="auto"/>
            </w:tcBorders>
          </w:tcPr>
          <w:p w14:paraId="569AE382" w14:textId="77777777" w:rsidR="008E67EA" w:rsidRPr="00B251FC" w:rsidRDefault="008E67EA" w:rsidP="00B44A74">
            <w:pPr>
              <w:pStyle w:val="APVMATableText"/>
              <w:spacing w:before="0" w:after="0"/>
              <w:rPr>
                <w:color w:val="000000" w:themeColor="text1"/>
              </w:rPr>
            </w:pPr>
            <w:r w:rsidRPr="00B251FC">
              <w:rPr>
                <w:color w:val="000000" w:themeColor="text1"/>
              </w:rPr>
              <w:t>0.001</w:t>
            </w:r>
            <w:r>
              <w:rPr>
                <w:color w:val="000000" w:themeColor="text1"/>
              </w:rPr>
              <w:t xml:space="preserve"> (occupational and non-professional)</w:t>
            </w:r>
          </w:p>
        </w:tc>
        <w:tc>
          <w:tcPr>
            <w:tcW w:w="2803" w:type="pct"/>
            <w:tcBorders>
              <w:top w:val="single" w:sz="4" w:space="0" w:color="auto"/>
              <w:left w:val="single" w:sz="4" w:space="0" w:color="auto"/>
              <w:bottom w:val="single" w:sz="4" w:space="0" w:color="auto"/>
              <w:right w:val="single" w:sz="4" w:space="0" w:color="auto"/>
            </w:tcBorders>
          </w:tcPr>
          <w:p w14:paraId="0F16D510" w14:textId="77777777" w:rsidR="008E67EA" w:rsidRPr="00B251FC" w:rsidRDefault="008E67EA" w:rsidP="00B44A74">
            <w:pPr>
              <w:pStyle w:val="APVMATableText"/>
              <w:spacing w:before="0" w:after="0"/>
              <w:rPr>
                <w:color w:val="000000" w:themeColor="text1"/>
              </w:rPr>
            </w:pPr>
            <w:r>
              <w:rPr>
                <w:rFonts w:cs="Times New Roman"/>
              </w:rPr>
              <w:t>Developmental toxicity</w:t>
            </w:r>
            <w:r w:rsidRPr="000C6169">
              <w:rPr>
                <w:rFonts w:cs="Times New Roman"/>
              </w:rPr>
              <w:t xml:space="preserve"> study</w:t>
            </w:r>
            <w:r>
              <w:rPr>
                <w:rFonts w:cs="Times New Roman"/>
              </w:rPr>
              <w:t xml:space="preserve"> in rabbits. L</w:t>
            </w:r>
            <w:r w:rsidRPr="00094842">
              <w:rPr>
                <w:rFonts w:cs="Times New Roman"/>
              </w:rPr>
              <w:t xml:space="preserve">OAEL </w:t>
            </w:r>
            <w:r>
              <w:rPr>
                <w:rFonts w:cs="Times New Roman"/>
              </w:rPr>
              <w:t xml:space="preserve">of </w:t>
            </w:r>
            <w:r w:rsidRPr="005C1ABE">
              <w:rPr>
                <w:rFonts w:cs="Times New Roman"/>
              </w:rPr>
              <w:t xml:space="preserve">0.001 mg/kg bw/day </w:t>
            </w:r>
            <w:r w:rsidRPr="00094842">
              <w:rPr>
                <w:rFonts w:cs="Times New Roman"/>
              </w:rPr>
              <w:t xml:space="preserve">based on </w:t>
            </w:r>
            <w:r w:rsidRPr="00094842">
              <w:t xml:space="preserve">haemorrhage in multiple tissues/organs </w:t>
            </w:r>
            <w:r>
              <w:t>at the lowest dose tested.</w:t>
            </w:r>
          </w:p>
        </w:tc>
      </w:tr>
      <w:tr w:rsidR="008E67EA" w:rsidRPr="006B74D1" w14:paraId="7AB2FFCB" w14:textId="77777777" w:rsidTr="00B44A74">
        <w:trPr>
          <w:cantSplit/>
        </w:trPr>
        <w:tc>
          <w:tcPr>
            <w:tcW w:w="909" w:type="pct"/>
            <w:tcBorders>
              <w:top w:val="single" w:sz="4" w:space="0" w:color="auto"/>
              <w:left w:val="single" w:sz="4" w:space="0" w:color="auto"/>
              <w:bottom w:val="single" w:sz="4" w:space="0" w:color="auto"/>
              <w:right w:val="single" w:sz="4" w:space="0" w:color="auto"/>
            </w:tcBorders>
          </w:tcPr>
          <w:p w14:paraId="4D866E66" w14:textId="77777777" w:rsidR="008E67EA" w:rsidRPr="00B251FC" w:rsidRDefault="008E67EA" w:rsidP="00B44A74">
            <w:pPr>
              <w:pStyle w:val="APVMATableText"/>
              <w:spacing w:before="0" w:after="0"/>
              <w:rPr>
                <w:color w:val="000000" w:themeColor="text1"/>
              </w:rPr>
            </w:pPr>
            <w:r w:rsidRPr="00B251FC">
              <w:rPr>
                <w:color w:val="000000" w:themeColor="text1"/>
              </w:rPr>
              <w:t>Difethialone</w:t>
            </w:r>
          </w:p>
        </w:tc>
        <w:tc>
          <w:tcPr>
            <w:tcW w:w="1288" w:type="pct"/>
            <w:tcBorders>
              <w:top w:val="single" w:sz="4" w:space="0" w:color="auto"/>
              <w:left w:val="single" w:sz="4" w:space="0" w:color="auto"/>
              <w:bottom w:val="single" w:sz="4" w:space="0" w:color="auto"/>
              <w:right w:val="single" w:sz="4" w:space="0" w:color="auto"/>
            </w:tcBorders>
          </w:tcPr>
          <w:p w14:paraId="394614B3" w14:textId="77777777" w:rsidR="008E67EA" w:rsidRPr="00B251FC" w:rsidRDefault="008E67EA" w:rsidP="00B44A74">
            <w:pPr>
              <w:pStyle w:val="APVMATableText"/>
              <w:spacing w:before="0" w:after="0"/>
              <w:rPr>
                <w:color w:val="000000" w:themeColor="text1"/>
              </w:rPr>
            </w:pPr>
            <w:r w:rsidRPr="00B251FC">
              <w:rPr>
                <w:color w:val="000000" w:themeColor="text1"/>
              </w:rPr>
              <w:t>0.00125</w:t>
            </w:r>
            <w:r>
              <w:rPr>
                <w:color w:val="000000" w:themeColor="text1"/>
              </w:rPr>
              <w:t xml:space="preserve"> (occupational and non-professional)</w:t>
            </w:r>
          </w:p>
        </w:tc>
        <w:tc>
          <w:tcPr>
            <w:tcW w:w="2803" w:type="pct"/>
            <w:tcBorders>
              <w:top w:val="single" w:sz="4" w:space="0" w:color="auto"/>
              <w:left w:val="single" w:sz="4" w:space="0" w:color="auto"/>
              <w:bottom w:val="single" w:sz="4" w:space="0" w:color="auto"/>
              <w:right w:val="single" w:sz="4" w:space="0" w:color="auto"/>
            </w:tcBorders>
          </w:tcPr>
          <w:p w14:paraId="5094E21B" w14:textId="77777777" w:rsidR="008E67EA" w:rsidRPr="00B251FC" w:rsidRDefault="008E67EA" w:rsidP="00B44A74">
            <w:pPr>
              <w:pStyle w:val="APVMATableText"/>
              <w:spacing w:before="0" w:after="0"/>
              <w:rPr>
                <w:color w:val="000000" w:themeColor="text1"/>
              </w:rPr>
            </w:pPr>
            <w:r>
              <w:rPr>
                <w:rFonts w:cs="Times New Roman"/>
              </w:rPr>
              <w:t>Oral</w:t>
            </w:r>
            <w:r w:rsidRPr="00094842">
              <w:rPr>
                <w:rFonts w:cs="Times New Roman"/>
              </w:rPr>
              <w:t xml:space="preserve"> developmental </w:t>
            </w:r>
            <w:r>
              <w:rPr>
                <w:rFonts w:cs="Times New Roman"/>
              </w:rPr>
              <w:t>toxicity</w:t>
            </w:r>
            <w:r w:rsidRPr="00094842">
              <w:rPr>
                <w:rFonts w:cs="Times New Roman"/>
              </w:rPr>
              <w:t xml:space="preserve"> study </w:t>
            </w:r>
            <w:r>
              <w:rPr>
                <w:rFonts w:cs="Times New Roman"/>
              </w:rPr>
              <w:t xml:space="preserve">in rabbits. </w:t>
            </w:r>
            <w:r w:rsidRPr="00094842">
              <w:rPr>
                <w:rFonts w:cs="Times New Roman"/>
              </w:rPr>
              <w:t xml:space="preserve">NOAEL </w:t>
            </w:r>
            <w:r>
              <w:rPr>
                <w:rFonts w:cs="Times New Roman"/>
              </w:rPr>
              <w:t>of</w:t>
            </w:r>
            <w:r w:rsidRPr="00094842">
              <w:rPr>
                <w:rFonts w:cs="Times New Roman"/>
              </w:rPr>
              <w:t xml:space="preserve"> 0.00125 mg/kg bw/day based on depressed weight gain </w:t>
            </w:r>
            <w:r>
              <w:rPr>
                <w:rFonts w:cs="Times New Roman"/>
              </w:rPr>
              <w:t>i</w:t>
            </w:r>
            <w:r w:rsidRPr="00094842">
              <w:rPr>
                <w:rFonts w:cs="Times New Roman"/>
              </w:rPr>
              <w:t>n dams, elevated incidence of incompletely ossified 5th sternebra at the next highest dose of 0.0025 mg/kg bw/day.</w:t>
            </w:r>
          </w:p>
        </w:tc>
      </w:tr>
      <w:tr w:rsidR="008E67EA" w:rsidRPr="006B74D1" w14:paraId="36547DF6" w14:textId="77777777" w:rsidTr="00B44A74">
        <w:trPr>
          <w:cantSplit/>
        </w:trPr>
        <w:tc>
          <w:tcPr>
            <w:tcW w:w="909" w:type="pct"/>
            <w:tcBorders>
              <w:top w:val="single" w:sz="4" w:space="0" w:color="auto"/>
              <w:left w:val="single" w:sz="4" w:space="0" w:color="auto"/>
              <w:bottom w:val="single" w:sz="4" w:space="0" w:color="auto"/>
              <w:right w:val="single" w:sz="4" w:space="0" w:color="auto"/>
            </w:tcBorders>
          </w:tcPr>
          <w:p w14:paraId="400C14B8" w14:textId="77777777" w:rsidR="008E67EA" w:rsidRPr="00B251FC" w:rsidRDefault="008E67EA" w:rsidP="00B44A74">
            <w:pPr>
              <w:pStyle w:val="APVMATableText"/>
              <w:spacing w:before="0" w:after="0"/>
              <w:rPr>
                <w:color w:val="000000" w:themeColor="text1"/>
              </w:rPr>
            </w:pPr>
            <w:r w:rsidRPr="00B251FC">
              <w:rPr>
                <w:color w:val="000000" w:themeColor="text1"/>
              </w:rPr>
              <w:t>Flocoumafen</w:t>
            </w:r>
          </w:p>
        </w:tc>
        <w:tc>
          <w:tcPr>
            <w:tcW w:w="1288" w:type="pct"/>
            <w:tcBorders>
              <w:top w:val="single" w:sz="4" w:space="0" w:color="auto"/>
              <w:left w:val="single" w:sz="4" w:space="0" w:color="auto"/>
              <w:bottom w:val="single" w:sz="4" w:space="0" w:color="auto"/>
              <w:right w:val="single" w:sz="4" w:space="0" w:color="auto"/>
            </w:tcBorders>
          </w:tcPr>
          <w:p w14:paraId="2A83A7FE" w14:textId="77777777" w:rsidR="008E67EA" w:rsidRPr="00B251FC" w:rsidRDefault="008E67EA" w:rsidP="00B44A74">
            <w:pPr>
              <w:pStyle w:val="APVMATableText"/>
              <w:spacing w:before="0" w:after="0"/>
              <w:rPr>
                <w:color w:val="000000" w:themeColor="text1"/>
              </w:rPr>
            </w:pPr>
            <w:r w:rsidRPr="00B251FC">
              <w:rPr>
                <w:color w:val="000000" w:themeColor="text1"/>
              </w:rPr>
              <w:t>0.0014</w:t>
            </w:r>
            <w:r>
              <w:rPr>
                <w:color w:val="000000" w:themeColor="text1"/>
              </w:rPr>
              <w:t xml:space="preserve"> (occupational and non-professional)</w:t>
            </w:r>
          </w:p>
        </w:tc>
        <w:tc>
          <w:tcPr>
            <w:tcW w:w="2803" w:type="pct"/>
            <w:tcBorders>
              <w:top w:val="single" w:sz="4" w:space="0" w:color="auto"/>
              <w:left w:val="single" w:sz="4" w:space="0" w:color="auto"/>
              <w:bottom w:val="single" w:sz="4" w:space="0" w:color="auto"/>
              <w:right w:val="single" w:sz="4" w:space="0" w:color="auto"/>
            </w:tcBorders>
          </w:tcPr>
          <w:p w14:paraId="17D08A40" w14:textId="77777777" w:rsidR="008E67EA" w:rsidRPr="00B251FC" w:rsidRDefault="008E67EA" w:rsidP="00B44A74">
            <w:pPr>
              <w:pStyle w:val="APVMATableText"/>
              <w:spacing w:before="0" w:after="0"/>
              <w:rPr>
                <w:color w:val="000000" w:themeColor="text1"/>
              </w:rPr>
            </w:pPr>
            <w:r w:rsidRPr="00094842">
              <w:rPr>
                <w:rFonts w:cs="Times New Roman"/>
              </w:rPr>
              <w:t>90</w:t>
            </w:r>
            <w:r>
              <w:rPr>
                <w:rFonts w:cs="Times New Roman"/>
              </w:rPr>
              <w:t>-</w:t>
            </w:r>
            <w:r w:rsidRPr="00094842">
              <w:rPr>
                <w:rFonts w:cs="Times New Roman"/>
              </w:rPr>
              <w:t>day dietary toxicity study</w:t>
            </w:r>
            <w:r>
              <w:rPr>
                <w:rFonts w:cs="Times New Roman"/>
              </w:rPr>
              <w:t xml:space="preserve"> in rats. </w:t>
            </w:r>
            <w:r w:rsidRPr="00094842">
              <w:rPr>
                <w:rFonts w:cs="Times New Roman"/>
              </w:rPr>
              <w:t xml:space="preserve">NOAEL </w:t>
            </w:r>
            <w:r>
              <w:rPr>
                <w:rFonts w:cs="Times New Roman"/>
              </w:rPr>
              <w:t xml:space="preserve">of </w:t>
            </w:r>
            <w:r w:rsidRPr="00094842">
              <w:rPr>
                <w:rFonts w:cs="Times New Roman"/>
              </w:rPr>
              <w:t>0.0014 mg/kg bw/day (0.02 ppm) based on increased levels of serum cholesterol at the next highest dose of 0.0036 mg/kg bw/day (0.05 ppm).</w:t>
            </w:r>
          </w:p>
        </w:tc>
      </w:tr>
    </w:tbl>
    <w:p w14:paraId="62710F7F" w14:textId="77777777" w:rsidR="008E67EA" w:rsidRPr="00187984" w:rsidRDefault="008E67EA">
      <w:pPr>
        <w:pStyle w:val="NumberLevel2"/>
        <w:numPr>
          <w:ilvl w:val="1"/>
          <w:numId w:val="15"/>
        </w:numPr>
      </w:pPr>
      <w:r w:rsidRPr="00187984">
        <w:t xml:space="preserve">I find that a margin of exposure of 1000 is appropriate to assess the risks to occupational users, based on a standard 10-fold </w:t>
      </w:r>
      <w:r w:rsidRPr="00187984">
        <w:rPr>
          <w:szCs w:val="18"/>
        </w:rPr>
        <w:t>uncertainty factor (UF</w:t>
      </w:r>
      <w:r w:rsidRPr="00187984">
        <w:rPr>
          <w:rStyle w:val="FootnoteReference"/>
          <w:szCs w:val="18"/>
        </w:rPr>
        <w:footnoteReference w:id="1"/>
      </w:r>
      <w:r w:rsidRPr="00187984">
        <w:rPr>
          <w:szCs w:val="18"/>
        </w:rPr>
        <w:t xml:space="preserve">) for inter-species extrapolation, a standard 10-fold UF for intra-species differences in susceptibility to effects, and an additional 10-fold </w:t>
      </w:r>
      <w:r w:rsidRPr="00187984">
        <w:t xml:space="preserve">UF to account for </w:t>
      </w:r>
      <w:r w:rsidRPr="00187984">
        <w:rPr>
          <w:szCs w:val="18"/>
        </w:rPr>
        <w:t xml:space="preserve">the lack of chronic toxicity studies in the toxicology databases. Alternatively, I find that a margin of exposure of 300 is appropriate to assess the risks to non-professional users, based on a </w:t>
      </w:r>
      <w:r w:rsidRPr="00187984">
        <w:t xml:space="preserve">standard 10-fold </w:t>
      </w:r>
      <w:r w:rsidRPr="00187984">
        <w:rPr>
          <w:szCs w:val="18"/>
        </w:rPr>
        <w:t xml:space="preserve">UF for inter-species extrapolation, a standard 10-fold UF for intra-species differences in susceptibility to effects, and (noting </w:t>
      </w:r>
      <w:r w:rsidRPr="00187984">
        <w:rPr>
          <w:szCs w:val="18"/>
        </w:rPr>
        <w:lastRenderedPageBreak/>
        <w:t xml:space="preserve">that the frequency of non-professional use is much more sporadic compared to occupational use) an additional 3-fold </w:t>
      </w:r>
      <w:r w:rsidRPr="00187984">
        <w:t xml:space="preserve">UF to account for </w:t>
      </w:r>
      <w:r w:rsidRPr="00187984">
        <w:rPr>
          <w:szCs w:val="18"/>
        </w:rPr>
        <w:t>the lack of chronic toxicity studies in the toxicology databases.</w:t>
      </w:r>
    </w:p>
    <w:p w14:paraId="266C5FC4" w14:textId="7D8CB41A" w:rsidR="008E67EA" w:rsidRPr="00187984" w:rsidRDefault="008E67EA">
      <w:pPr>
        <w:pStyle w:val="NumberLevel1"/>
        <w:numPr>
          <w:ilvl w:val="0"/>
          <w:numId w:val="15"/>
        </w:numPr>
      </w:pPr>
      <w:r w:rsidRPr="00187984">
        <w:t xml:space="preserve">For all anticoagulant rodenticide active constituents except warfarin (i.e. coumatetralyl, diphacinone, brodifacoum, bromadiolone, difenacoum, difethialone and flocoumafen), based on my review and consideration of the assessment of toxicity studies, as summarised in section </w:t>
      </w:r>
      <w:r w:rsidRPr="00537245">
        <w:rPr>
          <w:i/>
          <w:iCs/>
        </w:rPr>
        <w:t>‘4.11 Health Based Guidance Values’</w:t>
      </w:r>
      <w:r w:rsidRPr="00187984">
        <w:t xml:space="preserve"> of the </w:t>
      </w:r>
      <w:r w:rsidRPr="00187984">
        <w:rPr>
          <w:i/>
          <w:iCs/>
        </w:rPr>
        <w:t>Anticoagulant Rodenticides Review Technical Report</w:t>
      </w:r>
      <w:r w:rsidRPr="00187984">
        <w:t xml:space="preserve">, I consider that the health-based guidance values (HBGVs) listed in </w:t>
      </w:r>
      <w:r w:rsidRPr="00187984">
        <w:fldChar w:fldCharType="begin"/>
      </w:r>
      <w:r w:rsidRPr="00187984">
        <w:instrText xml:space="preserve"> REF _Ref199430828 \h </w:instrText>
      </w:r>
      <w:r>
        <w:instrText xml:space="preserve"> \* MERGEFORMAT </w:instrText>
      </w:r>
      <w:r w:rsidRPr="00187984">
        <w:fldChar w:fldCharType="separate"/>
      </w:r>
      <w:r w:rsidR="002C0C2A" w:rsidRPr="00187984">
        <w:t xml:space="preserve">Table </w:t>
      </w:r>
      <w:r w:rsidR="002C0C2A">
        <w:rPr>
          <w:noProof/>
        </w:rPr>
        <w:t>2</w:t>
      </w:r>
      <w:r w:rsidRPr="00187984">
        <w:fldChar w:fldCharType="end"/>
      </w:r>
      <w:r w:rsidRPr="00187984">
        <w:t xml:space="preserve"> and </w:t>
      </w:r>
      <w:r w:rsidRPr="00187984">
        <w:fldChar w:fldCharType="begin"/>
      </w:r>
      <w:r w:rsidRPr="00187984">
        <w:instrText xml:space="preserve"> REF _Ref199430831 \h </w:instrText>
      </w:r>
      <w:r>
        <w:instrText xml:space="preserve"> \* MERGEFORMAT </w:instrText>
      </w:r>
      <w:r w:rsidRPr="00187984">
        <w:fldChar w:fldCharType="separate"/>
      </w:r>
      <w:r w:rsidR="002C0C2A">
        <w:t xml:space="preserve">Table </w:t>
      </w:r>
      <w:r w:rsidR="002C0C2A">
        <w:rPr>
          <w:noProof/>
        </w:rPr>
        <w:t>3</w:t>
      </w:r>
      <w:r w:rsidRPr="00187984">
        <w:fldChar w:fldCharType="end"/>
      </w:r>
      <w:r w:rsidRPr="00187984">
        <w:t xml:space="preserve"> below are appropriate to assess any potential dietary risks from the use of these active constituents in agricultural chemical products.</w:t>
      </w:r>
    </w:p>
    <w:p w14:paraId="26A2B9DF" w14:textId="77777777" w:rsidR="008E67EA" w:rsidRPr="00187984" w:rsidRDefault="008E67EA">
      <w:pPr>
        <w:pStyle w:val="NumberLevel2"/>
        <w:numPr>
          <w:ilvl w:val="1"/>
          <w:numId w:val="15"/>
        </w:numPr>
        <w:rPr>
          <w:color w:val="000000" w:themeColor="text1"/>
        </w:rPr>
      </w:pPr>
      <w:r w:rsidRPr="00187984">
        <w:rPr>
          <w:color w:val="000000" w:themeColor="text1"/>
        </w:rPr>
        <w:t xml:space="preserve">Products containing anticoagulant rodenticides are not approved for use directly on food commodities and anticoagulant rodenticide residues are not expected to occur in the food chain. However, I note that there is some evidence of the potential for anticoagulant rodenticide contamination of food commoditises. As documented in section </w:t>
      </w:r>
      <w:r w:rsidRPr="00537245">
        <w:rPr>
          <w:i/>
          <w:iCs/>
          <w:color w:val="000000" w:themeColor="text1"/>
        </w:rPr>
        <w:t xml:space="preserve">‘5.1 Potential for contamination in food producing situations’ </w:t>
      </w:r>
      <w:r w:rsidRPr="00187984">
        <w:rPr>
          <w:color w:val="000000" w:themeColor="text1"/>
        </w:rPr>
        <w:t>of the</w:t>
      </w:r>
      <w:r w:rsidRPr="00187984">
        <w:rPr>
          <w:i/>
          <w:iCs/>
        </w:rPr>
        <w:t xml:space="preserve"> Anticoagulant Rodenticides Review Technical Report, </w:t>
      </w:r>
      <w:r w:rsidRPr="00187984">
        <w:rPr>
          <w:color w:val="000000" w:themeColor="text1"/>
        </w:rPr>
        <w:t xml:space="preserve">this evidence includes potential exposure pathways for edible wildlife and game, and past low-level warfarin and coumatetralyl detections in pig livers that stemmed from the use of anticoagulant rodenticide chemical products in piggeries. As such, I have considered the toxicity of these </w:t>
      </w:r>
      <w:r w:rsidRPr="00187984">
        <w:t xml:space="preserve">active constituents with respect to any </w:t>
      </w:r>
      <w:r w:rsidRPr="00187984">
        <w:rPr>
          <w:color w:val="000000" w:themeColor="text1"/>
        </w:rPr>
        <w:t>potential anticoagulant rodenticide contaminants in food commodities.</w:t>
      </w:r>
    </w:p>
    <w:p w14:paraId="4BC1676B" w14:textId="312A64A2" w:rsidR="008E67EA" w:rsidRPr="00187984" w:rsidRDefault="008E67EA">
      <w:pPr>
        <w:pStyle w:val="NumberLevel2"/>
        <w:numPr>
          <w:ilvl w:val="1"/>
          <w:numId w:val="15"/>
        </w:numPr>
        <w:rPr>
          <w:color w:val="000000" w:themeColor="text1"/>
        </w:rPr>
      </w:pPr>
      <w:r w:rsidRPr="00187984">
        <w:rPr>
          <w:color w:val="000000" w:themeColor="text1"/>
        </w:rPr>
        <w:t>For both first- and second-generation anticoagulant rodenticides, tolerable daily intakes (TDI</w:t>
      </w:r>
      <w:r w:rsidRPr="00187984">
        <w:rPr>
          <w:vertAlign w:val="superscript"/>
        </w:rPr>
        <w:footnoteReference w:id="2"/>
      </w:r>
      <w:r w:rsidRPr="00187984">
        <w:rPr>
          <w:color w:val="000000" w:themeColor="text1"/>
        </w:rPr>
        <w:t xml:space="preserve">) are relevant to the assessment of any potential chronic dietary risks associated with chemicals contaminants that may enter the food chain. I consider that the TDIs for the active constituents </w:t>
      </w:r>
      <w:r w:rsidRPr="00187984">
        <w:t>coumatetralyl, diphacinone, brodifacoum, bromadiolone, difenacoum, difethialone and flocoumafen</w:t>
      </w:r>
      <w:r w:rsidRPr="00187984">
        <w:rPr>
          <w:color w:val="000000" w:themeColor="text1"/>
        </w:rPr>
        <w:t xml:space="preserve"> listed in </w:t>
      </w:r>
      <w:r w:rsidRPr="00187984">
        <w:rPr>
          <w:color w:val="000000" w:themeColor="text1"/>
        </w:rPr>
        <w:fldChar w:fldCharType="begin"/>
      </w:r>
      <w:r w:rsidRPr="00187984">
        <w:rPr>
          <w:color w:val="000000" w:themeColor="text1"/>
        </w:rPr>
        <w:instrText xml:space="preserve"> REF _Ref199430828 \h </w:instrText>
      </w:r>
      <w:r>
        <w:rPr>
          <w:color w:val="000000" w:themeColor="text1"/>
        </w:rPr>
        <w:instrText xml:space="preserve"> \* MERGEFORMAT </w:instrText>
      </w:r>
      <w:r w:rsidRPr="00187984">
        <w:rPr>
          <w:color w:val="000000" w:themeColor="text1"/>
        </w:rPr>
      </w:r>
      <w:r w:rsidRPr="00187984">
        <w:rPr>
          <w:color w:val="000000" w:themeColor="text1"/>
        </w:rPr>
        <w:fldChar w:fldCharType="separate"/>
      </w:r>
      <w:r w:rsidR="002C0C2A" w:rsidRPr="00187984">
        <w:t xml:space="preserve">Table </w:t>
      </w:r>
      <w:r w:rsidR="002C0C2A">
        <w:rPr>
          <w:noProof/>
        </w:rPr>
        <w:t>2</w:t>
      </w:r>
      <w:r w:rsidRPr="00187984">
        <w:rPr>
          <w:color w:val="000000" w:themeColor="text1"/>
        </w:rPr>
        <w:fldChar w:fldCharType="end"/>
      </w:r>
      <w:r w:rsidRPr="00187984">
        <w:rPr>
          <w:color w:val="000000" w:themeColor="text1"/>
        </w:rPr>
        <w:t xml:space="preserve"> are appropriate, noting that the NOAEL (or LOAEL) selected is equivalent to the point of departure selected for repeat exposure assessments (detailed in paragraph </w:t>
      </w:r>
      <w:r w:rsidRPr="00187984">
        <w:rPr>
          <w:color w:val="000000" w:themeColor="text1"/>
        </w:rPr>
        <w:fldChar w:fldCharType="begin"/>
      </w:r>
      <w:r w:rsidRPr="00187984">
        <w:rPr>
          <w:color w:val="000000" w:themeColor="text1"/>
        </w:rPr>
        <w:instrText xml:space="preserve"> REF _Ref199687734 \w \h </w:instrText>
      </w:r>
      <w:r>
        <w:rPr>
          <w:color w:val="000000" w:themeColor="text1"/>
        </w:rPr>
        <w:instrText xml:space="preserve"> \* MERGEFORMAT </w:instrText>
      </w:r>
      <w:r w:rsidRPr="00187984">
        <w:rPr>
          <w:color w:val="000000" w:themeColor="text1"/>
        </w:rPr>
      </w:r>
      <w:r w:rsidRPr="00187984">
        <w:rPr>
          <w:color w:val="000000" w:themeColor="text1"/>
        </w:rPr>
        <w:fldChar w:fldCharType="separate"/>
      </w:r>
      <w:r w:rsidR="002C0C2A">
        <w:rPr>
          <w:color w:val="000000" w:themeColor="text1"/>
        </w:rPr>
        <w:t>20.1</w:t>
      </w:r>
      <w:r w:rsidRPr="00187984">
        <w:rPr>
          <w:color w:val="000000" w:themeColor="text1"/>
        </w:rPr>
        <w:fldChar w:fldCharType="end"/>
      </w:r>
      <w:r w:rsidRPr="00187984">
        <w:rPr>
          <w:color w:val="000000" w:themeColor="text1"/>
        </w:rPr>
        <w:t xml:space="preserve"> above), the use of a standard 100-fold UF to account for inter-species extrapolation and intra-species variability in response, and the use of an additional 10-fold UF to account for all limitations in the chronic toxicology databases.</w:t>
      </w:r>
    </w:p>
    <w:p w14:paraId="55A951AE" w14:textId="5BB9E393" w:rsidR="008E67EA" w:rsidRDefault="008E67EA" w:rsidP="008E67EA">
      <w:pPr>
        <w:pStyle w:val="Caption"/>
        <w:keepNext/>
        <w:ind w:firstLine="567"/>
      </w:pPr>
      <w:bookmarkStart w:id="64" w:name="_Ref199430828"/>
      <w:r w:rsidRPr="00187984">
        <w:t xml:space="preserve">Table </w:t>
      </w:r>
      <w:r w:rsidRPr="00187984">
        <w:fldChar w:fldCharType="begin"/>
      </w:r>
      <w:r w:rsidRPr="00187984">
        <w:instrText xml:space="preserve"> SEQ Table \* ARABIC </w:instrText>
      </w:r>
      <w:r w:rsidRPr="00187984">
        <w:fldChar w:fldCharType="separate"/>
      </w:r>
      <w:r w:rsidR="002C0C2A">
        <w:rPr>
          <w:noProof/>
        </w:rPr>
        <w:t>2</w:t>
      </w:r>
      <w:r w:rsidRPr="00187984">
        <w:fldChar w:fldCharType="end"/>
      </w:r>
      <w:bookmarkEnd w:id="64"/>
      <w:r w:rsidRPr="00187984">
        <w:t>: Tolerable daily intake (TDI) for anticoagulant rodenticides</w:t>
      </w: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560"/>
        <w:gridCol w:w="1985"/>
        <w:gridCol w:w="4254"/>
        <w:gridCol w:w="1267"/>
      </w:tblGrid>
      <w:tr w:rsidR="008E67EA" w:rsidRPr="006B74D1" w14:paraId="050D486A" w14:textId="77777777" w:rsidTr="00B44A74">
        <w:trPr>
          <w:cantSplit/>
          <w:tblHeader/>
        </w:trPr>
        <w:tc>
          <w:tcPr>
            <w:tcW w:w="860" w:type="pct"/>
            <w:tcBorders>
              <w:top w:val="single" w:sz="4" w:space="0" w:color="auto"/>
              <w:left w:val="single" w:sz="4" w:space="0" w:color="auto"/>
              <w:bottom w:val="single" w:sz="4" w:space="0" w:color="auto"/>
              <w:right w:val="single" w:sz="4" w:space="0" w:color="auto"/>
            </w:tcBorders>
            <w:shd w:val="clear" w:color="auto" w:fill="E6E6E6"/>
            <w:hideMark/>
          </w:tcPr>
          <w:p w14:paraId="5BAF69EF" w14:textId="77777777" w:rsidR="008E67EA" w:rsidRPr="003C572C" w:rsidRDefault="008E67EA" w:rsidP="00B44A74">
            <w:pPr>
              <w:pStyle w:val="TableHead"/>
              <w:spacing w:before="0" w:after="0"/>
              <w:rPr>
                <w:color w:val="auto"/>
              </w:rPr>
            </w:pPr>
            <w:r w:rsidRPr="003C572C">
              <w:rPr>
                <w:color w:val="auto"/>
              </w:rPr>
              <w:t>Active</w:t>
            </w:r>
          </w:p>
        </w:tc>
        <w:tc>
          <w:tcPr>
            <w:tcW w:w="1095" w:type="pct"/>
            <w:tcBorders>
              <w:top w:val="single" w:sz="4" w:space="0" w:color="auto"/>
              <w:left w:val="single" w:sz="4" w:space="0" w:color="auto"/>
              <w:bottom w:val="single" w:sz="4" w:space="0" w:color="auto"/>
              <w:right w:val="single" w:sz="4" w:space="0" w:color="auto"/>
            </w:tcBorders>
            <w:shd w:val="clear" w:color="auto" w:fill="E6E6E6"/>
          </w:tcPr>
          <w:p w14:paraId="737FDAF9" w14:textId="77777777" w:rsidR="008E67EA" w:rsidRPr="003C572C" w:rsidRDefault="008E67EA" w:rsidP="00B44A74">
            <w:pPr>
              <w:pStyle w:val="TableHead"/>
              <w:spacing w:before="0" w:after="0"/>
              <w:rPr>
                <w:color w:val="auto"/>
              </w:rPr>
            </w:pPr>
            <w:r w:rsidRPr="003C572C">
              <w:rPr>
                <w:color w:val="auto"/>
              </w:rPr>
              <w:t>TDI (mg/kg bw/day)</w:t>
            </w:r>
          </w:p>
        </w:tc>
        <w:tc>
          <w:tcPr>
            <w:tcW w:w="2346" w:type="pct"/>
            <w:tcBorders>
              <w:top w:val="single" w:sz="4" w:space="0" w:color="auto"/>
              <w:left w:val="single" w:sz="4" w:space="0" w:color="auto"/>
              <w:bottom w:val="single" w:sz="4" w:space="0" w:color="auto"/>
              <w:right w:val="single" w:sz="4" w:space="0" w:color="auto"/>
            </w:tcBorders>
            <w:shd w:val="clear" w:color="auto" w:fill="E6E6E6"/>
          </w:tcPr>
          <w:p w14:paraId="0B008AE8" w14:textId="77777777" w:rsidR="008E67EA" w:rsidRPr="003C572C" w:rsidRDefault="008E67EA" w:rsidP="00B44A74">
            <w:pPr>
              <w:pStyle w:val="TableHead"/>
              <w:spacing w:before="0" w:after="0"/>
              <w:rPr>
                <w:color w:val="auto"/>
              </w:rPr>
            </w:pPr>
            <w:r w:rsidRPr="003C572C">
              <w:rPr>
                <w:color w:val="auto"/>
              </w:rPr>
              <w:t>Study</w:t>
            </w:r>
          </w:p>
        </w:tc>
        <w:tc>
          <w:tcPr>
            <w:tcW w:w="700" w:type="pct"/>
            <w:tcBorders>
              <w:top w:val="single" w:sz="4" w:space="0" w:color="auto"/>
              <w:left w:val="single" w:sz="4" w:space="0" w:color="auto"/>
              <w:bottom w:val="single" w:sz="4" w:space="0" w:color="auto"/>
              <w:right w:val="single" w:sz="4" w:space="0" w:color="auto"/>
            </w:tcBorders>
            <w:shd w:val="clear" w:color="auto" w:fill="E6E6E6"/>
          </w:tcPr>
          <w:p w14:paraId="2EDD90EB" w14:textId="77777777" w:rsidR="008E67EA" w:rsidRPr="003C572C" w:rsidRDefault="008E67EA" w:rsidP="00B44A74">
            <w:pPr>
              <w:pStyle w:val="TableHead"/>
              <w:spacing w:before="0" w:after="0"/>
              <w:rPr>
                <w:color w:val="auto"/>
              </w:rPr>
            </w:pPr>
            <w:r>
              <w:rPr>
                <w:color w:val="auto"/>
              </w:rPr>
              <w:t>UF</w:t>
            </w:r>
          </w:p>
        </w:tc>
      </w:tr>
      <w:tr w:rsidR="008E67EA" w:rsidRPr="006B74D1" w14:paraId="2E59D477" w14:textId="77777777" w:rsidTr="00B44A74">
        <w:trPr>
          <w:cantSplit/>
        </w:trPr>
        <w:tc>
          <w:tcPr>
            <w:tcW w:w="5000" w:type="pct"/>
            <w:gridSpan w:val="4"/>
            <w:tcBorders>
              <w:top w:val="single" w:sz="4" w:space="0" w:color="auto"/>
              <w:left w:val="single" w:sz="4" w:space="0" w:color="auto"/>
              <w:bottom w:val="single" w:sz="4" w:space="0" w:color="auto"/>
              <w:right w:val="single" w:sz="4" w:space="0" w:color="auto"/>
            </w:tcBorders>
          </w:tcPr>
          <w:p w14:paraId="699FB118" w14:textId="77777777" w:rsidR="008E67EA" w:rsidRPr="003C572C" w:rsidRDefault="008E67EA" w:rsidP="00B44A74">
            <w:pPr>
              <w:pStyle w:val="APVMATableText"/>
              <w:spacing w:before="0" w:after="0"/>
            </w:pPr>
            <w:r w:rsidRPr="003C572C">
              <w:rPr>
                <w:i/>
                <w:iCs/>
              </w:rPr>
              <w:t>First generation anticoagulant rodenticides</w:t>
            </w:r>
          </w:p>
        </w:tc>
      </w:tr>
      <w:tr w:rsidR="008E67EA" w:rsidRPr="006B74D1" w14:paraId="18C43B4B" w14:textId="77777777" w:rsidTr="00B44A74">
        <w:trPr>
          <w:cantSplit/>
        </w:trPr>
        <w:tc>
          <w:tcPr>
            <w:tcW w:w="860" w:type="pct"/>
            <w:tcBorders>
              <w:top w:val="single" w:sz="4" w:space="0" w:color="auto"/>
              <w:left w:val="single" w:sz="4" w:space="0" w:color="auto"/>
              <w:right w:val="single" w:sz="4" w:space="0" w:color="auto"/>
            </w:tcBorders>
          </w:tcPr>
          <w:p w14:paraId="47389E8A" w14:textId="77777777" w:rsidR="008E67EA" w:rsidRPr="003C572C" w:rsidRDefault="008E67EA" w:rsidP="00B44A74">
            <w:pPr>
              <w:pStyle w:val="APVMATableText"/>
              <w:spacing w:before="0" w:after="0"/>
            </w:pPr>
            <w:r w:rsidRPr="003C572C">
              <w:t>Coumatetralyl</w:t>
            </w:r>
          </w:p>
        </w:tc>
        <w:tc>
          <w:tcPr>
            <w:tcW w:w="1095" w:type="pct"/>
            <w:tcBorders>
              <w:top w:val="single" w:sz="4" w:space="0" w:color="auto"/>
              <w:left w:val="single" w:sz="4" w:space="0" w:color="auto"/>
              <w:bottom w:val="single" w:sz="4" w:space="0" w:color="auto"/>
              <w:right w:val="single" w:sz="4" w:space="0" w:color="auto"/>
            </w:tcBorders>
          </w:tcPr>
          <w:p w14:paraId="6226EEA5" w14:textId="77777777" w:rsidR="008E67EA" w:rsidRPr="003C572C" w:rsidRDefault="008E67EA" w:rsidP="00B44A74">
            <w:pPr>
              <w:pStyle w:val="APVMATableText"/>
              <w:spacing w:before="0" w:after="0"/>
            </w:pPr>
            <w:r w:rsidRPr="003C572C">
              <w:t>0.0000068</w:t>
            </w:r>
          </w:p>
        </w:tc>
        <w:tc>
          <w:tcPr>
            <w:tcW w:w="2346" w:type="pct"/>
            <w:tcBorders>
              <w:top w:val="single" w:sz="4" w:space="0" w:color="auto"/>
              <w:left w:val="single" w:sz="4" w:space="0" w:color="auto"/>
              <w:bottom w:val="single" w:sz="4" w:space="0" w:color="auto"/>
              <w:right w:val="single" w:sz="4" w:space="0" w:color="auto"/>
            </w:tcBorders>
          </w:tcPr>
          <w:p w14:paraId="0A9E19F8" w14:textId="77777777" w:rsidR="008E67EA" w:rsidRPr="003C572C" w:rsidRDefault="008E67EA" w:rsidP="00B44A74">
            <w:pPr>
              <w:pStyle w:val="APVMATableText"/>
              <w:spacing w:before="0" w:after="0"/>
            </w:pPr>
            <w:r w:rsidRPr="003C572C">
              <w:t>NOAEL of 0.0068 mg/kg bw/day for significantly increased blood clotting time and haemorrhage from a 16-week dietary toxicity study in rats.</w:t>
            </w:r>
          </w:p>
        </w:tc>
        <w:tc>
          <w:tcPr>
            <w:tcW w:w="700" w:type="pct"/>
            <w:tcBorders>
              <w:top w:val="single" w:sz="4" w:space="0" w:color="auto"/>
              <w:left w:val="single" w:sz="4" w:space="0" w:color="auto"/>
              <w:bottom w:val="single" w:sz="4" w:space="0" w:color="auto"/>
              <w:right w:val="single" w:sz="4" w:space="0" w:color="auto"/>
            </w:tcBorders>
          </w:tcPr>
          <w:p w14:paraId="6E56F364" w14:textId="77777777" w:rsidR="008E67EA" w:rsidRPr="003C572C" w:rsidRDefault="008E67EA" w:rsidP="00B44A74">
            <w:pPr>
              <w:pStyle w:val="APVMATableText"/>
              <w:spacing w:before="0" w:after="0"/>
            </w:pPr>
            <w:r w:rsidRPr="003C572C">
              <w:t>1000-fold</w:t>
            </w:r>
          </w:p>
        </w:tc>
      </w:tr>
      <w:tr w:rsidR="008E67EA" w:rsidRPr="006B74D1" w14:paraId="45C67192" w14:textId="77777777" w:rsidTr="00B44A74">
        <w:trPr>
          <w:cantSplit/>
        </w:trPr>
        <w:tc>
          <w:tcPr>
            <w:tcW w:w="860" w:type="pct"/>
            <w:tcBorders>
              <w:top w:val="single" w:sz="4" w:space="0" w:color="auto"/>
              <w:left w:val="single" w:sz="4" w:space="0" w:color="auto"/>
              <w:bottom w:val="single" w:sz="4" w:space="0" w:color="auto"/>
              <w:right w:val="single" w:sz="4" w:space="0" w:color="auto"/>
            </w:tcBorders>
          </w:tcPr>
          <w:p w14:paraId="3B235861" w14:textId="77777777" w:rsidR="008E67EA" w:rsidRPr="003C572C" w:rsidRDefault="008E67EA" w:rsidP="00B44A74">
            <w:pPr>
              <w:pStyle w:val="APVMATableText"/>
              <w:spacing w:before="0" w:after="0"/>
            </w:pPr>
            <w:r w:rsidRPr="003C572C">
              <w:t>Diphacinone</w:t>
            </w:r>
          </w:p>
        </w:tc>
        <w:tc>
          <w:tcPr>
            <w:tcW w:w="1095" w:type="pct"/>
            <w:tcBorders>
              <w:top w:val="single" w:sz="4" w:space="0" w:color="auto"/>
              <w:left w:val="single" w:sz="4" w:space="0" w:color="auto"/>
              <w:bottom w:val="single" w:sz="4" w:space="0" w:color="auto"/>
              <w:right w:val="single" w:sz="4" w:space="0" w:color="auto"/>
            </w:tcBorders>
          </w:tcPr>
          <w:p w14:paraId="56025A8D" w14:textId="77777777" w:rsidR="008E67EA" w:rsidRPr="003C572C" w:rsidRDefault="008E67EA" w:rsidP="00B44A74">
            <w:pPr>
              <w:pStyle w:val="APVMATableText"/>
              <w:spacing w:before="0" w:after="0"/>
            </w:pPr>
            <w:r w:rsidRPr="003C572C">
              <w:t>0.000025</w:t>
            </w:r>
          </w:p>
        </w:tc>
        <w:tc>
          <w:tcPr>
            <w:tcW w:w="2346" w:type="pct"/>
            <w:tcBorders>
              <w:top w:val="single" w:sz="4" w:space="0" w:color="auto"/>
              <w:left w:val="single" w:sz="4" w:space="0" w:color="auto"/>
              <w:bottom w:val="single" w:sz="4" w:space="0" w:color="auto"/>
              <w:right w:val="single" w:sz="4" w:space="0" w:color="auto"/>
            </w:tcBorders>
          </w:tcPr>
          <w:p w14:paraId="3358C0D8" w14:textId="77777777" w:rsidR="008E67EA" w:rsidRPr="003C572C" w:rsidRDefault="008E67EA" w:rsidP="00B44A74">
            <w:pPr>
              <w:pStyle w:val="APVMATableText"/>
              <w:spacing w:before="0" w:after="0"/>
            </w:pPr>
            <w:r w:rsidRPr="003C572C">
              <w:t>NOAEL of 0.025 mg/kg bw/day for increased incidence of maternal toxicity in a rat developmental toxicity study.</w:t>
            </w:r>
          </w:p>
        </w:tc>
        <w:tc>
          <w:tcPr>
            <w:tcW w:w="700" w:type="pct"/>
            <w:tcBorders>
              <w:top w:val="single" w:sz="4" w:space="0" w:color="auto"/>
              <w:left w:val="single" w:sz="4" w:space="0" w:color="auto"/>
              <w:bottom w:val="single" w:sz="4" w:space="0" w:color="auto"/>
              <w:right w:val="single" w:sz="4" w:space="0" w:color="auto"/>
            </w:tcBorders>
          </w:tcPr>
          <w:p w14:paraId="6EEAEE57" w14:textId="77777777" w:rsidR="008E67EA" w:rsidRPr="003C572C" w:rsidRDefault="008E67EA" w:rsidP="00B44A74">
            <w:pPr>
              <w:pStyle w:val="APVMATableText"/>
              <w:spacing w:before="0" w:after="0"/>
            </w:pPr>
            <w:r w:rsidRPr="003C572C">
              <w:t>1000-fold</w:t>
            </w:r>
          </w:p>
        </w:tc>
      </w:tr>
      <w:tr w:rsidR="008E67EA" w:rsidRPr="006B74D1" w14:paraId="393C020C" w14:textId="77777777" w:rsidTr="00B44A74">
        <w:trPr>
          <w:cantSplit/>
        </w:trPr>
        <w:tc>
          <w:tcPr>
            <w:tcW w:w="5000" w:type="pct"/>
            <w:gridSpan w:val="4"/>
            <w:tcBorders>
              <w:top w:val="single" w:sz="4" w:space="0" w:color="auto"/>
              <w:left w:val="single" w:sz="4" w:space="0" w:color="auto"/>
              <w:bottom w:val="single" w:sz="4" w:space="0" w:color="auto"/>
              <w:right w:val="single" w:sz="4" w:space="0" w:color="auto"/>
            </w:tcBorders>
          </w:tcPr>
          <w:p w14:paraId="68FFD284" w14:textId="77777777" w:rsidR="008E67EA" w:rsidRPr="003C572C" w:rsidRDefault="008E67EA" w:rsidP="00B44A74">
            <w:pPr>
              <w:pStyle w:val="APVMATableText"/>
              <w:spacing w:before="0" w:after="0"/>
            </w:pPr>
            <w:r w:rsidRPr="003C572C">
              <w:rPr>
                <w:i/>
                <w:iCs/>
              </w:rPr>
              <w:t>Second generation anticoagulant rodenticides</w:t>
            </w:r>
          </w:p>
        </w:tc>
      </w:tr>
      <w:tr w:rsidR="008E67EA" w:rsidRPr="006B74D1" w14:paraId="289BF327" w14:textId="77777777" w:rsidTr="00B44A74">
        <w:trPr>
          <w:cantSplit/>
        </w:trPr>
        <w:tc>
          <w:tcPr>
            <w:tcW w:w="860" w:type="pct"/>
            <w:tcBorders>
              <w:top w:val="single" w:sz="4" w:space="0" w:color="auto"/>
              <w:left w:val="single" w:sz="4" w:space="0" w:color="auto"/>
              <w:bottom w:val="single" w:sz="4" w:space="0" w:color="auto"/>
              <w:right w:val="single" w:sz="4" w:space="0" w:color="auto"/>
            </w:tcBorders>
          </w:tcPr>
          <w:p w14:paraId="4E275602" w14:textId="77777777" w:rsidR="008E67EA" w:rsidRPr="003C572C" w:rsidRDefault="008E67EA" w:rsidP="00B44A74">
            <w:pPr>
              <w:pStyle w:val="APVMATableText"/>
              <w:spacing w:before="0" w:after="0"/>
            </w:pPr>
            <w:r w:rsidRPr="003C572C">
              <w:t>Brodifacoum</w:t>
            </w:r>
          </w:p>
        </w:tc>
        <w:tc>
          <w:tcPr>
            <w:tcW w:w="1095" w:type="pct"/>
            <w:tcBorders>
              <w:top w:val="single" w:sz="4" w:space="0" w:color="auto"/>
              <w:left w:val="single" w:sz="4" w:space="0" w:color="auto"/>
              <w:bottom w:val="single" w:sz="4" w:space="0" w:color="auto"/>
              <w:right w:val="single" w:sz="4" w:space="0" w:color="auto"/>
            </w:tcBorders>
          </w:tcPr>
          <w:p w14:paraId="561B67C9" w14:textId="77777777" w:rsidR="008E67EA" w:rsidRPr="003C572C" w:rsidRDefault="008E67EA" w:rsidP="00B44A74">
            <w:pPr>
              <w:pStyle w:val="APVMATableText"/>
              <w:spacing w:before="0" w:after="0"/>
            </w:pPr>
            <w:r w:rsidRPr="003C572C">
              <w:rPr>
                <w:rFonts w:cs="Times New Roman"/>
              </w:rPr>
              <w:t>0.000001</w:t>
            </w:r>
          </w:p>
        </w:tc>
        <w:tc>
          <w:tcPr>
            <w:tcW w:w="2346" w:type="pct"/>
            <w:tcBorders>
              <w:top w:val="single" w:sz="4" w:space="0" w:color="auto"/>
              <w:left w:val="single" w:sz="4" w:space="0" w:color="auto"/>
              <w:bottom w:val="single" w:sz="4" w:space="0" w:color="auto"/>
              <w:right w:val="single" w:sz="4" w:space="0" w:color="auto"/>
            </w:tcBorders>
          </w:tcPr>
          <w:p w14:paraId="74697AC9" w14:textId="77777777" w:rsidR="008E67EA" w:rsidRPr="003C572C" w:rsidRDefault="008E67EA" w:rsidP="00B44A74">
            <w:pPr>
              <w:pStyle w:val="APVMATableText"/>
              <w:spacing w:before="0" w:after="0"/>
            </w:pPr>
            <w:r w:rsidRPr="003C572C">
              <w:t>NOAEL of 0.001 mg/kg bw/day for prolonged prothrombin time in a 90-day dietary toxicity study in rats.</w:t>
            </w:r>
          </w:p>
        </w:tc>
        <w:tc>
          <w:tcPr>
            <w:tcW w:w="700" w:type="pct"/>
            <w:tcBorders>
              <w:top w:val="single" w:sz="4" w:space="0" w:color="auto"/>
              <w:left w:val="single" w:sz="4" w:space="0" w:color="auto"/>
              <w:bottom w:val="single" w:sz="4" w:space="0" w:color="auto"/>
              <w:right w:val="single" w:sz="4" w:space="0" w:color="auto"/>
            </w:tcBorders>
          </w:tcPr>
          <w:p w14:paraId="0D985906" w14:textId="77777777" w:rsidR="008E67EA" w:rsidRPr="003C572C" w:rsidRDefault="008E67EA" w:rsidP="00B44A74">
            <w:pPr>
              <w:pStyle w:val="APVMATableText"/>
              <w:spacing w:before="0" w:after="0"/>
            </w:pPr>
            <w:r w:rsidRPr="003C572C">
              <w:t>1000-fold</w:t>
            </w:r>
          </w:p>
        </w:tc>
      </w:tr>
      <w:tr w:rsidR="008E67EA" w:rsidRPr="006B74D1" w14:paraId="52951135" w14:textId="77777777" w:rsidTr="00B44A74">
        <w:trPr>
          <w:cantSplit/>
        </w:trPr>
        <w:tc>
          <w:tcPr>
            <w:tcW w:w="860" w:type="pct"/>
            <w:tcBorders>
              <w:top w:val="single" w:sz="4" w:space="0" w:color="auto"/>
              <w:left w:val="single" w:sz="4" w:space="0" w:color="auto"/>
              <w:bottom w:val="single" w:sz="4" w:space="0" w:color="auto"/>
              <w:right w:val="single" w:sz="4" w:space="0" w:color="auto"/>
            </w:tcBorders>
          </w:tcPr>
          <w:p w14:paraId="01CBECF3" w14:textId="77777777" w:rsidR="008E67EA" w:rsidRPr="003C572C" w:rsidRDefault="008E67EA" w:rsidP="00B44A74">
            <w:pPr>
              <w:pStyle w:val="APVMATableText"/>
              <w:spacing w:before="0" w:after="0"/>
            </w:pPr>
            <w:r w:rsidRPr="003C572C">
              <w:t>Bromadiolone</w:t>
            </w:r>
          </w:p>
        </w:tc>
        <w:tc>
          <w:tcPr>
            <w:tcW w:w="1095" w:type="pct"/>
            <w:tcBorders>
              <w:top w:val="single" w:sz="4" w:space="0" w:color="auto"/>
              <w:left w:val="single" w:sz="4" w:space="0" w:color="auto"/>
              <w:bottom w:val="single" w:sz="4" w:space="0" w:color="auto"/>
              <w:right w:val="single" w:sz="4" w:space="0" w:color="auto"/>
            </w:tcBorders>
          </w:tcPr>
          <w:p w14:paraId="074DC839" w14:textId="77777777" w:rsidR="008E67EA" w:rsidRPr="003C572C" w:rsidRDefault="008E67EA" w:rsidP="00B44A74">
            <w:pPr>
              <w:pStyle w:val="APVMATableText"/>
              <w:spacing w:before="0" w:after="0"/>
            </w:pPr>
            <w:r w:rsidRPr="003C572C">
              <w:t>0.0000005</w:t>
            </w:r>
          </w:p>
        </w:tc>
        <w:tc>
          <w:tcPr>
            <w:tcW w:w="2346" w:type="pct"/>
            <w:tcBorders>
              <w:top w:val="single" w:sz="4" w:space="0" w:color="auto"/>
              <w:left w:val="single" w:sz="4" w:space="0" w:color="auto"/>
              <w:bottom w:val="single" w:sz="4" w:space="0" w:color="auto"/>
              <w:right w:val="single" w:sz="4" w:space="0" w:color="auto"/>
            </w:tcBorders>
          </w:tcPr>
          <w:p w14:paraId="4E06F10D" w14:textId="77777777" w:rsidR="008E67EA" w:rsidRPr="003C572C" w:rsidRDefault="008E67EA" w:rsidP="00B44A74">
            <w:pPr>
              <w:pStyle w:val="APVMATableText"/>
              <w:spacing w:before="0" w:after="0"/>
            </w:pPr>
            <w:r w:rsidRPr="003C572C">
              <w:t>NOAEL of 0.0005 mg/kg bw/day for increased prothrombin time in a subchronic toxicity study in rabbits.</w:t>
            </w:r>
          </w:p>
        </w:tc>
        <w:tc>
          <w:tcPr>
            <w:tcW w:w="700" w:type="pct"/>
            <w:tcBorders>
              <w:top w:val="single" w:sz="4" w:space="0" w:color="auto"/>
              <w:left w:val="single" w:sz="4" w:space="0" w:color="auto"/>
              <w:bottom w:val="single" w:sz="4" w:space="0" w:color="auto"/>
              <w:right w:val="single" w:sz="4" w:space="0" w:color="auto"/>
            </w:tcBorders>
          </w:tcPr>
          <w:p w14:paraId="7B5A4EFC" w14:textId="77777777" w:rsidR="008E67EA" w:rsidRPr="003C572C" w:rsidRDefault="008E67EA" w:rsidP="00B44A74">
            <w:pPr>
              <w:pStyle w:val="APVMATableText"/>
              <w:spacing w:before="0" w:after="0"/>
            </w:pPr>
            <w:r w:rsidRPr="003C572C">
              <w:t>1000-fold</w:t>
            </w:r>
          </w:p>
        </w:tc>
      </w:tr>
      <w:tr w:rsidR="008E67EA" w:rsidRPr="006B74D1" w14:paraId="59E4D7CA" w14:textId="77777777" w:rsidTr="00B44A74">
        <w:trPr>
          <w:cantSplit/>
        </w:trPr>
        <w:tc>
          <w:tcPr>
            <w:tcW w:w="860" w:type="pct"/>
            <w:tcBorders>
              <w:top w:val="single" w:sz="4" w:space="0" w:color="auto"/>
              <w:left w:val="single" w:sz="4" w:space="0" w:color="auto"/>
              <w:right w:val="single" w:sz="4" w:space="0" w:color="auto"/>
            </w:tcBorders>
          </w:tcPr>
          <w:p w14:paraId="3BC1FB3E" w14:textId="77777777" w:rsidR="008E67EA" w:rsidRPr="003C572C" w:rsidRDefault="008E67EA" w:rsidP="00B44A74">
            <w:pPr>
              <w:pStyle w:val="APVMATableText"/>
              <w:spacing w:before="0" w:after="0"/>
            </w:pPr>
            <w:r w:rsidRPr="003C572C">
              <w:lastRenderedPageBreak/>
              <w:t>Difenacoum</w:t>
            </w:r>
          </w:p>
        </w:tc>
        <w:tc>
          <w:tcPr>
            <w:tcW w:w="1095" w:type="pct"/>
            <w:tcBorders>
              <w:top w:val="single" w:sz="4" w:space="0" w:color="auto"/>
              <w:left w:val="single" w:sz="4" w:space="0" w:color="auto"/>
              <w:bottom w:val="single" w:sz="4" w:space="0" w:color="auto"/>
              <w:right w:val="single" w:sz="4" w:space="0" w:color="auto"/>
            </w:tcBorders>
          </w:tcPr>
          <w:p w14:paraId="1BD03CF6" w14:textId="77777777" w:rsidR="008E67EA" w:rsidRPr="003C572C" w:rsidRDefault="008E67EA" w:rsidP="00B44A74">
            <w:pPr>
              <w:pStyle w:val="APVMATableText"/>
              <w:spacing w:before="0" w:after="0"/>
            </w:pPr>
            <w:r w:rsidRPr="003C572C">
              <w:t>0.000001</w:t>
            </w:r>
          </w:p>
        </w:tc>
        <w:tc>
          <w:tcPr>
            <w:tcW w:w="2346" w:type="pct"/>
            <w:tcBorders>
              <w:top w:val="single" w:sz="4" w:space="0" w:color="auto"/>
              <w:left w:val="single" w:sz="4" w:space="0" w:color="auto"/>
              <w:bottom w:val="single" w:sz="4" w:space="0" w:color="auto"/>
              <w:right w:val="single" w:sz="4" w:space="0" w:color="auto"/>
            </w:tcBorders>
          </w:tcPr>
          <w:p w14:paraId="1EBF6F21" w14:textId="77777777" w:rsidR="008E67EA" w:rsidRPr="003C572C" w:rsidRDefault="008E67EA" w:rsidP="00B44A74">
            <w:pPr>
              <w:pStyle w:val="APVMATableText"/>
              <w:spacing w:before="0" w:after="0"/>
            </w:pPr>
            <w:r w:rsidRPr="003C572C">
              <w:t>LOAEL of 0.001 mg/kg bw/day for haemorrhage in multiple tissues/organs in a developmental toxicity study in rabbits.</w:t>
            </w:r>
          </w:p>
        </w:tc>
        <w:tc>
          <w:tcPr>
            <w:tcW w:w="700" w:type="pct"/>
            <w:tcBorders>
              <w:top w:val="single" w:sz="4" w:space="0" w:color="auto"/>
              <w:left w:val="single" w:sz="4" w:space="0" w:color="auto"/>
              <w:bottom w:val="single" w:sz="4" w:space="0" w:color="auto"/>
              <w:right w:val="single" w:sz="4" w:space="0" w:color="auto"/>
            </w:tcBorders>
          </w:tcPr>
          <w:p w14:paraId="3116FC96" w14:textId="77777777" w:rsidR="008E67EA" w:rsidRPr="003C572C" w:rsidRDefault="008E67EA" w:rsidP="00B44A74">
            <w:pPr>
              <w:pStyle w:val="APVMATableText"/>
              <w:spacing w:before="0" w:after="0"/>
            </w:pPr>
            <w:r w:rsidRPr="003C572C">
              <w:t>1000-fold</w:t>
            </w:r>
          </w:p>
        </w:tc>
      </w:tr>
      <w:tr w:rsidR="008E67EA" w:rsidRPr="006B74D1" w14:paraId="7C3A445C" w14:textId="77777777" w:rsidTr="00B44A74">
        <w:trPr>
          <w:cantSplit/>
        </w:trPr>
        <w:tc>
          <w:tcPr>
            <w:tcW w:w="860" w:type="pct"/>
            <w:tcBorders>
              <w:top w:val="single" w:sz="4" w:space="0" w:color="auto"/>
              <w:left w:val="single" w:sz="4" w:space="0" w:color="auto"/>
              <w:bottom w:val="single" w:sz="4" w:space="0" w:color="auto"/>
              <w:right w:val="single" w:sz="4" w:space="0" w:color="auto"/>
            </w:tcBorders>
          </w:tcPr>
          <w:p w14:paraId="3B373D4B" w14:textId="77777777" w:rsidR="008E67EA" w:rsidRPr="003C572C" w:rsidRDefault="008E67EA" w:rsidP="00B44A74">
            <w:pPr>
              <w:pStyle w:val="APVMATableText"/>
              <w:spacing w:before="0" w:after="0"/>
            </w:pPr>
            <w:r w:rsidRPr="003C572C">
              <w:t>Difethialone</w:t>
            </w:r>
          </w:p>
        </w:tc>
        <w:tc>
          <w:tcPr>
            <w:tcW w:w="1095" w:type="pct"/>
            <w:tcBorders>
              <w:top w:val="single" w:sz="4" w:space="0" w:color="auto"/>
              <w:left w:val="single" w:sz="4" w:space="0" w:color="auto"/>
              <w:bottom w:val="single" w:sz="4" w:space="0" w:color="auto"/>
              <w:right w:val="single" w:sz="4" w:space="0" w:color="auto"/>
            </w:tcBorders>
          </w:tcPr>
          <w:p w14:paraId="51374913" w14:textId="77777777" w:rsidR="008E67EA" w:rsidRPr="003C572C" w:rsidRDefault="008E67EA" w:rsidP="00B44A74">
            <w:pPr>
              <w:pStyle w:val="APVMATableText"/>
              <w:spacing w:before="0" w:after="0"/>
            </w:pPr>
            <w:r w:rsidRPr="003C572C">
              <w:t>0.0000013</w:t>
            </w:r>
          </w:p>
        </w:tc>
        <w:tc>
          <w:tcPr>
            <w:tcW w:w="2346" w:type="pct"/>
            <w:tcBorders>
              <w:top w:val="single" w:sz="4" w:space="0" w:color="auto"/>
              <w:left w:val="single" w:sz="4" w:space="0" w:color="auto"/>
              <w:bottom w:val="single" w:sz="4" w:space="0" w:color="auto"/>
              <w:right w:val="single" w:sz="4" w:space="0" w:color="auto"/>
            </w:tcBorders>
          </w:tcPr>
          <w:p w14:paraId="50FB4E25" w14:textId="77777777" w:rsidR="008E67EA" w:rsidRPr="003C572C" w:rsidRDefault="008E67EA" w:rsidP="00B44A74">
            <w:pPr>
              <w:pStyle w:val="APVMATableText"/>
              <w:spacing w:before="0" w:after="0"/>
            </w:pPr>
            <w:r w:rsidRPr="003C572C">
              <w:t>NOAEL of 0.00125 mg/kg bw/day for incidence of incompletely ossified sternebrae from a developmental toxicity study in rabbits.</w:t>
            </w:r>
          </w:p>
        </w:tc>
        <w:tc>
          <w:tcPr>
            <w:tcW w:w="700" w:type="pct"/>
            <w:tcBorders>
              <w:top w:val="single" w:sz="4" w:space="0" w:color="auto"/>
              <w:left w:val="single" w:sz="4" w:space="0" w:color="auto"/>
              <w:bottom w:val="single" w:sz="4" w:space="0" w:color="auto"/>
              <w:right w:val="single" w:sz="4" w:space="0" w:color="auto"/>
            </w:tcBorders>
          </w:tcPr>
          <w:p w14:paraId="53F1BF07" w14:textId="77777777" w:rsidR="008E67EA" w:rsidRPr="003C572C" w:rsidRDefault="008E67EA" w:rsidP="00B44A74">
            <w:pPr>
              <w:pStyle w:val="APVMATableText"/>
              <w:spacing w:before="0" w:after="0"/>
            </w:pPr>
            <w:r w:rsidRPr="003C572C">
              <w:t>1000-fold</w:t>
            </w:r>
          </w:p>
        </w:tc>
      </w:tr>
      <w:tr w:rsidR="008E67EA" w:rsidRPr="006B74D1" w14:paraId="005AAA35" w14:textId="77777777" w:rsidTr="00B44A74">
        <w:trPr>
          <w:cantSplit/>
        </w:trPr>
        <w:tc>
          <w:tcPr>
            <w:tcW w:w="860" w:type="pct"/>
            <w:tcBorders>
              <w:top w:val="single" w:sz="4" w:space="0" w:color="auto"/>
              <w:left w:val="single" w:sz="4" w:space="0" w:color="auto"/>
              <w:bottom w:val="single" w:sz="4" w:space="0" w:color="auto"/>
              <w:right w:val="single" w:sz="4" w:space="0" w:color="auto"/>
            </w:tcBorders>
          </w:tcPr>
          <w:p w14:paraId="625D6EF0" w14:textId="77777777" w:rsidR="008E67EA" w:rsidRPr="003C572C" w:rsidRDefault="008E67EA" w:rsidP="00B44A74">
            <w:pPr>
              <w:pStyle w:val="APVMATableText"/>
              <w:spacing w:before="0" w:after="0"/>
            </w:pPr>
            <w:r w:rsidRPr="003C572C">
              <w:t>Flocoumafen</w:t>
            </w:r>
          </w:p>
        </w:tc>
        <w:tc>
          <w:tcPr>
            <w:tcW w:w="1095" w:type="pct"/>
            <w:tcBorders>
              <w:top w:val="single" w:sz="4" w:space="0" w:color="auto"/>
              <w:left w:val="single" w:sz="4" w:space="0" w:color="auto"/>
              <w:bottom w:val="single" w:sz="4" w:space="0" w:color="auto"/>
              <w:right w:val="single" w:sz="4" w:space="0" w:color="auto"/>
            </w:tcBorders>
          </w:tcPr>
          <w:p w14:paraId="3575CE38" w14:textId="77777777" w:rsidR="008E67EA" w:rsidRPr="003C572C" w:rsidRDefault="008E67EA" w:rsidP="00B44A74">
            <w:pPr>
              <w:pStyle w:val="APVMATableText"/>
              <w:spacing w:before="0" w:after="0"/>
            </w:pPr>
            <w:r w:rsidRPr="003C572C">
              <w:t>0.0000014</w:t>
            </w:r>
          </w:p>
        </w:tc>
        <w:tc>
          <w:tcPr>
            <w:tcW w:w="2346" w:type="pct"/>
            <w:tcBorders>
              <w:top w:val="single" w:sz="4" w:space="0" w:color="auto"/>
              <w:left w:val="single" w:sz="4" w:space="0" w:color="auto"/>
              <w:bottom w:val="single" w:sz="4" w:space="0" w:color="auto"/>
              <w:right w:val="single" w:sz="4" w:space="0" w:color="auto"/>
            </w:tcBorders>
          </w:tcPr>
          <w:p w14:paraId="03751CCE" w14:textId="179241FA" w:rsidR="008E67EA" w:rsidRPr="003C572C" w:rsidRDefault="008E67EA" w:rsidP="00B44A74">
            <w:pPr>
              <w:pStyle w:val="APVMATableText"/>
              <w:spacing w:before="0" w:after="0"/>
            </w:pPr>
            <w:r w:rsidRPr="003C572C">
              <w:t>NOAEL of 0.0014 mg/kg bw/day for incidence of increased levels of serum cholesterol from a subchronic dietary toxicity study in rats.</w:t>
            </w:r>
          </w:p>
        </w:tc>
        <w:tc>
          <w:tcPr>
            <w:tcW w:w="700" w:type="pct"/>
            <w:tcBorders>
              <w:top w:val="single" w:sz="4" w:space="0" w:color="auto"/>
              <w:left w:val="single" w:sz="4" w:space="0" w:color="auto"/>
              <w:bottom w:val="single" w:sz="4" w:space="0" w:color="auto"/>
              <w:right w:val="single" w:sz="4" w:space="0" w:color="auto"/>
            </w:tcBorders>
          </w:tcPr>
          <w:p w14:paraId="3EDEB1E0" w14:textId="77777777" w:rsidR="008E67EA" w:rsidRPr="003C572C" w:rsidRDefault="008E67EA" w:rsidP="00B44A74">
            <w:pPr>
              <w:pStyle w:val="APVMATableText"/>
              <w:spacing w:before="0" w:after="0"/>
            </w:pPr>
            <w:r w:rsidRPr="003C572C">
              <w:t>1000-fold</w:t>
            </w:r>
          </w:p>
        </w:tc>
      </w:tr>
    </w:tbl>
    <w:p w14:paraId="31405FD6" w14:textId="62FD70E8" w:rsidR="008E67EA" w:rsidRPr="00187984" w:rsidRDefault="008E67EA">
      <w:pPr>
        <w:pStyle w:val="NumberLevel2"/>
        <w:numPr>
          <w:ilvl w:val="1"/>
          <w:numId w:val="15"/>
        </w:numPr>
      </w:pPr>
      <w:r w:rsidRPr="00187984">
        <w:t>Second-generation anticoagulant rodenticides are designed to effectively control rodents after one feed and therefore pose an acute poisoning risk. As such, acute tolerable intakes</w:t>
      </w:r>
      <w:r w:rsidRPr="00187984">
        <w:rPr>
          <w:rStyle w:val="FootnoteReference"/>
          <w:color w:val="000000" w:themeColor="text1"/>
        </w:rPr>
        <w:footnoteReference w:id="3"/>
      </w:r>
      <w:r w:rsidRPr="00187984">
        <w:t xml:space="preserve"> for second-generation anticoagulant rodenticides are relevant to the assessment of any potential acute dietary risks associated with chemical contaminants that may enter the food chain. I consider that the acute tolerable intakes for the second-generation anticoagulant rodenticides listed in </w:t>
      </w:r>
      <w:r w:rsidRPr="00187984">
        <w:fldChar w:fldCharType="begin"/>
      </w:r>
      <w:r w:rsidRPr="00187984">
        <w:instrText xml:space="preserve"> REF _Ref199430831 \h </w:instrText>
      </w:r>
      <w:r>
        <w:instrText xml:space="preserve"> \* MERGEFORMAT </w:instrText>
      </w:r>
      <w:r w:rsidRPr="00187984">
        <w:fldChar w:fldCharType="separate"/>
      </w:r>
      <w:r w:rsidR="002C0C2A">
        <w:t xml:space="preserve">Table </w:t>
      </w:r>
      <w:r w:rsidR="002C0C2A">
        <w:rPr>
          <w:noProof/>
        </w:rPr>
        <w:t>3</w:t>
      </w:r>
      <w:r w:rsidRPr="00187984">
        <w:fldChar w:fldCharType="end"/>
      </w:r>
      <w:r w:rsidRPr="00187984">
        <w:t xml:space="preserve"> are appropriate, noting the NOAEL (or LOAEL) from developmental toxicology studies have been selected as the effects observed could feasibly result from acute exposure, use of a standard 100-fold UF to account for inter-species extrapolation and intra-species variability in response, and use of an additional 3-fold UF where the acute tolerable intake has been derived from a LOAEL.</w:t>
      </w:r>
    </w:p>
    <w:p w14:paraId="0DA97182" w14:textId="2BE352F6" w:rsidR="008E67EA" w:rsidRDefault="008E67EA" w:rsidP="008E67EA">
      <w:pPr>
        <w:pStyle w:val="Caption"/>
        <w:keepNext/>
        <w:ind w:firstLine="567"/>
      </w:pPr>
      <w:bookmarkStart w:id="65" w:name="_Ref199430831"/>
      <w:r>
        <w:t xml:space="preserve">Table </w:t>
      </w:r>
      <w:r>
        <w:fldChar w:fldCharType="begin"/>
      </w:r>
      <w:r>
        <w:instrText xml:space="preserve"> SEQ Table \* ARABIC </w:instrText>
      </w:r>
      <w:r>
        <w:fldChar w:fldCharType="separate"/>
      </w:r>
      <w:r w:rsidR="002C0C2A">
        <w:rPr>
          <w:noProof/>
        </w:rPr>
        <w:t>3</w:t>
      </w:r>
      <w:r>
        <w:fldChar w:fldCharType="end"/>
      </w:r>
      <w:bookmarkEnd w:id="65"/>
      <w:r>
        <w:t>: Acute tolerable intake for second generation anticoagulant rodenticides</w:t>
      </w: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559"/>
        <w:gridCol w:w="1703"/>
        <w:gridCol w:w="4535"/>
        <w:gridCol w:w="1269"/>
      </w:tblGrid>
      <w:tr w:rsidR="008E67EA" w:rsidRPr="006B74D1" w14:paraId="6EE87924" w14:textId="77777777" w:rsidTr="00B44A74">
        <w:trPr>
          <w:cantSplit/>
          <w:tblHeader/>
        </w:trPr>
        <w:tc>
          <w:tcPr>
            <w:tcW w:w="860" w:type="pct"/>
            <w:tcBorders>
              <w:top w:val="single" w:sz="4" w:space="0" w:color="auto"/>
              <w:left w:val="single" w:sz="4" w:space="0" w:color="auto"/>
              <w:bottom w:val="single" w:sz="4" w:space="0" w:color="auto"/>
              <w:right w:val="single" w:sz="4" w:space="0" w:color="auto"/>
            </w:tcBorders>
            <w:shd w:val="clear" w:color="auto" w:fill="E6E6E6"/>
            <w:hideMark/>
          </w:tcPr>
          <w:p w14:paraId="38744525" w14:textId="77777777" w:rsidR="008E67EA" w:rsidRPr="003C572C" w:rsidRDefault="008E67EA" w:rsidP="00B44A74">
            <w:pPr>
              <w:pStyle w:val="TableHead"/>
              <w:spacing w:before="0" w:after="0"/>
              <w:rPr>
                <w:color w:val="auto"/>
              </w:rPr>
            </w:pPr>
            <w:r w:rsidRPr="003C572C">
              <w:rPr>
                <w:color w:val="auto"/>
              </w:rPr>
              <w:t>Active</w:t>
            </w:r>
          </w:p>
        </w:tc>
        <w:tc>
          <w:tcPr>
            <w:tcW w:w="939" w:type="pct"/>
            <w:tcBorders>
              <w:top w:val="single" w:sz="4" w:space="0" w:color="auto"/>
              <w:left w:val="single" w:sz="4" w:space="0" w:color="auto"/>
              <w:bottom w:val="single" w:sz="4" w:space="0" w:color="auto"/>
              <w:right w:val="single" w:sz="4" w:space="0" w:color="auto"/>
            </w:tcBorders>
            <w:shd w:val="clear" w:color="auto" w:fill="E6E6E6"/>
          </w:tcPr>
          <w:p w14:paraId="5F8D69C4" w14:textId="77777777" w:rsidR="008E67EA" w:rsidRPr="003C572C" w:rsidRDefault="008E67EA" w:rsidP="00B44A74">
            <w:pPr>
              <w:pStyle w:val="TableHead"/>
              <w:spacing w:before="0" w:after="0"/>
              <w:rPr>
                <w:color w:val="auto"/>
              </w:rPr>
            </w:pPr>
            <w:r w:rsidRPr="003C572C">
              <w:rPr>
                <w:color w:val="auto"/>
              </w:rPr>
              <w:t>A</w:t>
            </w:r>
            <w:r>
              <w:rPr>
                <w:color w:val="auto"/>
              </w:rPr>
              <w:t xml:space="preserve">cute tolerable intake </w:t>
            </w:r>
            <w:r w:rsidRPr="003C572C">
              <w:rPr>
                <w:color w:val="auto"/>
              </w:rPr>
              <w:t>(mg/kg bw)</w:t>
            </w:r>
          </w:p>
        </w:tc>
        <w:tc>
          <w:tcPr>
            <w:tcW w:w="2501" w:type="pct"/>
            <w:tcBorders>
              <w:top w:val="single" w:sz="4" w:space="0" w:color="auto"/>
              <w:left w:val="single" w:sz="4" w:space="0" w:color="auto"/>
              <w:bottom w:val="single" w:sz="4" w:space="0" w:color="auto"/>
              <w:right w:val="single" w:sz="4" w:space="0" w:color="auto"/>
            </w:tcBorders>
            <w:shd w:val="clear" w:color="auto" w:fill="E6E6E6"/>
          </w:tcPr>
          <w:p w14:paraId="4F1F6F6D" w14:textId="77777777" w:rsidR="008E67EA" w:rsidRPr="003C572C" w:rsidRDefault="008E67EA" w:rsidP="00B44A74">
            <w:pPr>
              <w:pStyle w:val="TableHead"/>
              <w:spacing w:before="0" w:after="0"/>
              <w:rPr>
                <w:color w:val="auto"/>
              </w:rPr>
            </w:pPr>
            <w:r w:rsidRPr="003C572C">
              <w:rPr>
                <w:color w:val="auto"/>
              </w:rPr>
              <w:t>Study</w:t>
            </w:r>
          </w:p>
        </w:tc>
        <w:tc>
          <w:tcPr>
            <w:tcW w:w="700" w:type="pct"/>
            <w:tcBorders>
              <w:top w:val="single" w:sz="4" w:space="0" w:color="auto"/>
              <w:left w:val="single" w:sz="4" w:space="0" w:color="auto"/>
              <w:bottom w:val="single" w:sz="4" w:space="0" w:color="auto"/>
              <w:right w:val="single" w:sz="4" w:space="0" w:color="auto"/>
            </w:tcBorders>
            <w:shd w:val="clear" w:color="auto" w:fill="E6E6E6"/>
          </w:tcPr>
          <w:p w14:paraId="04027FAB" w14:textId="77777777" w:rsidR="008E67EA" w:rsidRPr="003C572C" w:rsidRDefault="008E67EA" w:rsidP="00B44A74">
            <w:pPr>
              <w:pStyle w:val="TableHead"/>
              <w:spacing w:before="0" w:after="0"/>
              <w:rPr>
                <w:color w:val="auto"/>
              </w:rPr>
            </w:pPr>
            <w:r>
              <w:rPr>
                <w:color w:val="auto"/>
              </w:rPr>
              <w:t>UF</w:t>
            </w:r>
          </w:p>
        </w:tc>
      </w:tr>
      <w:tr w:rsidR="008E67EA" w:rsidRPr="006B74D1" w14:paraId="543CFF8B" w14:textId="77777777" w:rsidTr="00B44A74">
        <w:trPr>
          <w:cantSplit/>
        </w:trPr>
        <w:tc>
          <w:tcPr>
            <w:tcW w:w="860" w:type="pct"/>
            <w:tcBorders>
              <w:top w:val="single" w:sz="4" w:space="0" w:color="auto"/>
              <w:left w:val="single" w:sz="4" w:space="0" w:color="auto"/>
              <w:bottom w:val="single" w:sz="4" w:space="0" w:color="auto"/>
              <w:right w:val="single" w:sz="4" w:space="0" w:color="auto"/>
            </w:tcBorders>
          </w:tcPr>
          <w:p w14:paraId="677C58DB" w14:textId="77777777" w:rsidR="008E67EA" w:rsidRPr="003C572C" w:rsidRDefault="008E67EA" w:rsidP="00B44A74">
            <w:pPr>
              <w:pStyle w:val="APVMATableText"/>
              <w:spacing w:before="0" w:after="0"/>
            </w:pPr>
            <w:r w:rsidRPr="003C572C">
              <w:t>Brodifacoum</w:t>
            </w:r>
          </w:p>
        </w:tc>
        <w:tc>
          <w:tcPr>
            <w:tcW w:w="939" w:type="pct"/>
            <w:tcBorders>
              <w:top w:val="single" w:sz="4" w:space="0" w:color="auto"/>
              <w:left w:val="single" w:sz="4" w:space="0" w:color="auto"/>
              <w:bottom w:val="single" w:sz="4" w:space="0" w:color="auto"/>
              <w:right w:val="single" w:sz="4" w:space="0" w:color="auto"/>
            </w:tcBorders>
          </w:tcPr>
          <w:p w14:paraId="2869B049" w14:textId="77777777" w:rsidR="008E67EA" w:rsidRPr="003C572C" w:rsidRDefault="008E67EA" w:rsidP="00B44A74">
            <w:pPr>
              <w:pStyle w:val="APVMATableText"/>
              <w:spacing w:before="0" w:after="0"/>
            </w:pPr>
            <w:r w:rsidRPr="003C572C">
              <w:t>0.00001</w:t>
            </w:r>
          </w:p>
        </w:tc>
        <w:tc>
          <w:tcPr>
            <w:tcW w:w="2501" w:type="pct"/>
            <w:tcBorders>
              <w:top w:val="single" w:sz="4" w:space="0" w:color="auto"/>
              <w:left w:val="single" w:sz="4" w:space="0" w:color="auto"/>
              <w:bottom w:val="single" w:sz="4" w:space="0" w:color="auto"/>
              <w:right w:val="single" w:sz="4" w:space="0" w:color="auto"/>
            </w:tcBorders>
          </w:tcPr>
          <w:p w14:paraId="799CBB7B" w14:textId="77777777" w:rsidR="008E67EA" w:rsidRPr="003C572C" w:rsidRDefault="008E67EA" w:rsidP="00B44A74">
            <w:pPr>
              <w:pStyle w:val="APVMATableText"/>
              <w:spacing w:before="0" w:after="0"/>
            </w:pPr>
            <w:r w:rsidRPr="003C572C">
              <w:t>NOAEL of 0.001 mg/kg bw/day from both developmental toxicity studies in rats and rabbits.</w:t>
            </w:r>
          </w:p>
        </w:tc>
        <w:tc>
          <w:tcPr>
            <w:tcW w:w="700" w:type="pct"/>
            <w:tcBorders>
              <w:top w:val="single" w:sz="4" w:space="0" w:color="auto"/>
              <w:left w:val="single" w:sz="4" w:space="0" w:color="auto"/>
              <w:bottom w:val="single" w:sz="4" w:space="0" w:color="auto"/>
              <w:right w:val="single" w:sz="4" w:space="0" w:color="auto"/>
            </w:tcBorders>
          </w:tcPr>
          <w:p w14:paraId="0CD14B28" w14:textId="77777777" w:rsidR="008E67EA" w:rsidRPr="003C572C" w:rsidRDefault="008E67EA" w:rsidP="00B44A74">
            <w:pPr>
              <w:pStyle w:val="APVMATableText"/>
              <w:spacing w:before="0" w:after="0"/>
            </w:pPr>
            <w:r w:rsidRPr="003C572C">
              <w:t>100-fold</w:t>
            </w:r>
          </w:p>
        </w:tc>
      </w:tr>
      <w:tr w:rsidR="008E67EA" w:rsidRPr="006B74D1" w14:paraId="499F3FB5" w14:textId="77777777" w:rsidTr="00B44A74">
        <w:trPr>
          <w:cantSplit/>
        </w:trPr>
        <w:tc>
          <w:tcPr>
            <w:tcW w:w="860" w:type="pct"/>
            <w:tcBorders>
              <w:top w:val="single" w:sz="4" w:space="0" w:color="auto"/>
              <w:left w:val="single" w:sz="4" w:space="0" w:color="auto"/>
              <w:bottom w:val="single" w:sz="4" w:space="0" w:color="auto"/>
              <w:right w:val="single" w:sz="4" w:space="0" w:color="auto"/>
            </w:tcBorders>
          </w:tcPr>
          <w:p w14:paraId="4324524F" w14:textId="77777777" w:rsidR="008E67EA" w:rsidRPr="003C572C" w:rsidRDefault="008E67EA" w:rsidP="00B44A74">
            <w:pPr>
              <w:pStyle w:val="APVMATableText"/>
              <w:spacing w:before="0" w:after="0"/>
            </w:pPr>
            <w:r w:rsidRPr="003C572C">
              <w:t>Bromadiolone</w:t>
            </w:r>
          </w:p>
        </w:tc>
        <w:tc>
          <w:tcPr>
            <w:tcW w:w="939" w:type="pct"/>
            <w:tcBorders>
              <w:top w:val="single" w:sz="4" w:space="0" w:color="auto"/>
              <w:left w:val="single" w:sz="4" w:space="0" w:color="auto"/>
              <w:bottom w:val="single" w:sz="4" w:space="0" w:color="auto"/>
              <w:right w:val="single" w:sz="4" w:space="0" w:color="auto"/>
            </w:tcBorders>
          </w:tcPr>
          <w:p w14:paraId="6376803B" w14:textId="77777777" w:rsidR="008E67EA" w:rsidRPr="003C572C" w:rsidRDefault="008E67EA" w:rsidP="00B44A74">
            <w:pPr>
              <w:pStyle w:val="APVMATableText"/>
              <w:spacing w:before="0" w:after="0"/>
            </w:pPr>
            <w:r w:rsidRPr="003C572C">
              <w:t>0.0000007</w:t>
            </w:r>
          </w:p>
        </w:tc>
        <w:tc>
          <w:tcPr>
            <w:tcW w:w="2501" w:type="pct"/>
            <w:tcBorders>
              <w:top w:val="single" w:sz="4" w:space="0" w:color="auto"/>
              <w:left w:val="single" w:sz="4" w:space="0" w:color="auto"/>
              <w:bottom w:val="single" w:sz="4" w:space="0" w:color="auto"/>
              <w:right w:val="single" w:sz="4" w:space="0" w:color="auto"/>
            </w:tcBorders>
          </w:tcPr>
          <w:p w14:paraId="542247FA" w14:textId="77777777" w:rsidR="008E67EA" w:rsidRPr="003C572C" w:rsidRDefault="008E67EA" w:rsidP="00B44A74">
            <w:pPr>
              <w:pStyle w:val="APVMATableText"/>
              <w:spacing w:before="0" w:after="0"/>
            </w:pPr>
            <w:r w:rsidRPr="003C572C">
              <w:t>LOAEL of 0.002 mg/kg bw/day for maternal toxicity in a developmental toxicity study in rabbits.</w:t>
            </w:r>
          </w:p>
        </w:tc>
        <w:tc>
          <w:tcPr>
            <w:tcW w:w="700" w:type="pct"/>
            <w:tcBorders>
              <w:top w:val="single" w:sz="4" w:space="0" w:color="auto"/>
              <w:left w:val="single" w:sz="4" w:space="0" w:color="auto"/>
              <w:bottom w:val="single" w:sz="4" w:space="0" w:color="auto"/>
              <w:right w:val="single" w:sz="4" w:space="0" w:color="auto"/>
            </w:tcBorders>
          </w:tcPr>
          <w:p w14:paraId="423014EA" w14:textId="77777777" w:rsidR="008E67EA" w:rsidRPr="003C572C" w:rsidRDefault="008E67EA" w:rsidP="00B44A74">
            <w:pPr>
              <w:pStyle w:val="APVMATableText"/>
              <w:spacing w:before="0" w:after="0"/>
            </w:pPr>
            <w:r w:rsidRPr="003C572C">
              <w:t>300-fold</w:t>
            </w:r>
          </w:p>
        </w:tc>
      </w:tr>
      <w:tr w:rsidR="008E67EA" w:rsidRPr="006B74D1" w14:paraId="5B0D51A1" w14:textId="77777777" w:rsidTr="00B44A74">
        <w:trPr>
          <w:cantSplit/>
        </w:trPr>
        <w:tc>
          <w:tcPr>
            <w:tcW w:w="860" w:type="pct"/>
            <w:tcBorders>
              <w:top w:val="single" w:sz="4" w:space="0" w:color="auto"/>
              <w:left w:val="single" w:sz="4" w:space="0" w:color="auto"/>
              <w:right w:val="single" w:sz="4" w:space="0" w:color="auto"/>
            </w:tcBorders>
          </w:tcPr>
          <w:p w14:paraId="7D5BCF67" w14:textId="77777777" w:rsidR="008E67EA" w:rsidRPr="003C572C" w:rsidRDefault="008E67EA" w:rsidP="00B44A74">
            <w:pPr>
              <w:pStyle w:val="APVMATableText"/>
              <w:spacing w:before="0" w:after="0"/>
            </w:pPr>
            <w:r w:rsidRPr="003C572C">
              <w:t>Difenacoum</w:t>
            </w:r>
          </w:p>
        </w:tc>
        <w:tc>
          <w:tcPr>
            <w:tcW w:w="939" w:type="pct"/>
            <w:tcBorders>
              <w:top w:val="single" w:sz="4" w:space="0" w:color="auto"/>
              <w:left w:val="single" w:sz="4" w:space="0" w:color="auto"/>
              <w:bottom w:val="single" w:sz="4" w:space="0" w:color="auto"/>
              <w:right w:val="single" w:sz="4" w:space="0" w:color="auto"/>
            </w:tcBorders>
          </w:tcPr>
          <w:p w14:paraId="46309BA7" w14:textId="77777777" w:rsidR="008E67EA" w:rsidRPr="003C572C" w:rsidRDefault="008E67EA" w:rsidP="00B44A74">
            <w:pPr>
              <w:pStyle w:val="APVMATableText"/>
              <w:spacing w:before="0" w:after="0"/>
            </w:pPr>
            <w:r w:rsidRPr="003C572C">
              <w:t>0.00003</w:t>
            </w:r>
          </w:p>
        </w:tc>
        <w:tc>
          <w:tcPr>
            <w:tcW w:w="2501" w:type="pct"/>
            <w:tcBorders>
              <w:top w:val="single" w:sz="4" w:space="0" w:color="auto"/>
              <w:left w:val="single" w:sz="4" w:space="0" w:color="auto"/>
              <w:bottom w:val="single" w:sz="4" w:space="0" w:color="auto"/>
              <w:right w:val="single" w:sz="4" w:space="0" w:color="auto"/>
            </w:tcBorders>
          </w:tcPr>
          <w:p w14:paraId="51D02B9C" w14:textId="77777777" w:rsidR="008E67EA" w:rsidRPr="003C572C" w:rsidRDefault="008E67EA" w:rsidP="00B44A74">
            <w:pPr>
              <w:pStyle w:val="APVMATableText"/>
              <w:spacing w:before="0" w:after="0"/>
            </w:pPr>
            <w:r w:rsidRPr="003C572C">
              <w:t>LOAEL of 0.001 mg/kg bw in a developmental toxicity study in rabbits.</w:t>
            </w:r>
          </w:p>
        </w:tc>
        <w:tc>
          <w:tcPr>
            <w:tcW w:w="700" w:type="pct"/>
            <w:tcBorders>
              <w:top w:val="single" w:sz="4" w:space="0" w:color="auto"/>
              <w:left w:val="single" w:sz="4" w:space="0" w:color="auto"/>
              <w:bottom w:val="single" w:sz="4" w:space="0" w:color="auto"/>
              <w:right w:val="single" w:sz="4" w:space="0" w:color="auto"/>
            </w:tcBorders>
          </w:tcPr>
          <w:p w14:paraId="3A25E6A0" w14:textId="77777777" w:rsidR="008E67EA" w:rsidRPr="003C572C" w:rsidRDefault="008E67EA" w:rsidP="00B44A74">
            <w:pPr>
              <w:pStyle w:val="APVMATableText"/>
              <w:spacing w:before="0" w:after="0"/>
            </w:pPr>
            <w:r w:rsidRPr="003C572C">
              <w:t>300-fold</w:t>
            </w:r>
          </w:p>
        </w:tc>
      </w:tr>
      <w:tr w:rsidR="008E67EA" w:rsidRPr="006B74D1" w14:paraId="227E1112" w14:textId="77777777" w:rsidTr="00B44A74">
        <w:trPr>
          <w:cantSplit/>
        </w:trPr>
        <w:tc>
          <w:tcPr>
            <w:tcW w:w="860" w:type="pct"/>
            <w:tcBorders>
              <w:top w:val="single" w:sz="4" w:space="0" w:color="auto"/>
              <w:left w:val="single" w:sz="4" w:space="0" w:color="auto"/>
              <w:bottom w:val="single" w:sz="4" w:space="0" w:color="auto"/>
              <w:right w:val="single" w:sz="4" w:space="0" w:color="auto"/>
            </w:tcBorders>
          </w:tcPr>
          <w:p w14:paraId="29016E99" w14:textId="77777777" w:rsidR="008E67EA" w:rsidRPr="003C572C" w:rsidRDefault="008E67EA" w:rsidP="00B44A74">
            <w:pPr>
              <w:pStyle w:val="APVMATableText"/>
              <w:spacing w:before="0" w:after="0"/>
            </w:pPr>
            <w:r w:rsidRPr="003C572C">
              <w:t>Difethialone</w:t>
            </w:r>
          </w:p>
        </w:tc>
        <w:tc>
          <w:tcPr>
            <w:tcW w:w="939" w:type="pct"/>
            <w:tcBorders>
              <w:top w:val="single" w:sz="4" w:space="0" w:color="auto"/>
              <w:left w:val="single" w:sz="4" w:space="0" w:color="auto"/>
              <w:bottom w:val="single" w:sz="4" w:space="0" w:color="auto"/>
              <w:right w:val="single" w:sz="4" w:space="0" w:color="auto"/>
            </w:tcBorders>
          </w:tcPr>
          <w:p w14:paraId="36FCA6A5" w14:textId="77777777" w:rsidR="008E67EA" w:rsidRPr="003C572C" w:rsidRDefault="008E67EA" w:rsidP="00B44A74">
            <w:pPr>
              <w:pStyle w:val="APVMATableText"/>
              <w:spacing w:before="0" w:after="0"/>
            </w:pPr>
            <w:r w:rsidRPr="003C572C">
              <w:t>0.000013</w:t>
            </w:r>
          </w:p>
        </w:tc>
        <w:tc>
          <w:tcPr>
            <w:tcW w:w="2501" w:type="pct"/>
            <w:tcBorders>
              <w:top w:val="single" w:sz="4" w:space="0" w:color="auto"/>
              <w:left w:val="single" w:sz="4" w:space="0" w:color="auto"/>
              <w:bottom w:val="single" w:sz="4" w:space="0" w:color="auto"/>
              <w:right w:val="single" w:sz="4" w:space="0" w:color="auto"/>
            </w:tcBorders>
          </w:tcPr>
          <w:p w14:paraId="1591D139" w14:textId="77777777" w:rsidR="008E67EA" w:rsidRPr="003C572C" w:rsidRDefault="008E67EA" w:rsidP="00B44A74">
            <w:pPr>
              <w:pStyle w:val="APVMATableText"/>
              <w:spacing w:before="0" w:after="0"/>
            </w:pPr>
            <w:r w:rsidRPr="003C572C">
              <w:t>NOAEL of 0.00125 mg/kg bw/day from a developmental toxicity study in rabbits.</w:t>
            </w:r>
          </w:p>
        </w:tc>
        <w:tc>
          <w:tcPr>
            <w:tcW w:w="700" w:type="pct"/>
            <w:tcBorders>
              <w:top w:val="single" w:sz="4" w:space="0" w:color="auto"/>
              <w:left w:val="single" w:sz="4" w:space="0" w:color="auto"/>
              <w:bottom w:val="single" w:sz="4" w:space="0" w:color="auto"/>
              <w:right w:val="single" w:sz="4" w:space="0" w:color="auto"/>
            </w:tcBorders>
          </w:tcPr>
          <w:p w14:paraId="161443E9" w14:textId="77777777" w:rsidR="008E67EA" w:rsidRPr="003C572C" w:rsidRDefault="008E67EA" w:rsidP="00B44A74">
            <w:pPr>
              <w:pStyle w:val="APVMATableText"/>
              <w:spacing w:before="0" w:after="0"/>
            </w:pPr>
            <w:r>
              <w:t>1</w:t>
            </w:r>
            <w:r w:rsidRPr="003C572C">
              <w:t>00-fold</w:t>
            </w:r>
          </w:p>
        </w:tc>
      </w:tr>
      <w:tr w:rsidR="008E67EA" w:rsidRPr="006B74D1" w14:paraId="430C22CE" w14:textId="77777777" w:rsidTr="00B44A74">
        <w:trPr>
          <w:cantSplit/>
        </w:trPr>
        <w:tc>
          <w:tcPr>
            <w:tcW w:w="860" w:type="pct"/>
            <w:tcBorders>
              <w:top w:val="single" w:sz="4" w:space="0" w:color="auto"/>
              <w:left w:val="single" w:sz="4" w:space="0" w:color="auto"/>
              <w:bottom w:val="single" w:sz="4" w:space="0" w:color="auto"/>
              <w:right w:val="single" w:sz="4" w:space="0" w:color="auto"/>
            </w:tcBorders>
          </w:tcPr>
          <w:p w14:paraId="5961A7B2" w14:textId="77777777" w:rsidR="008E67EA" w:rsidRPr="003C572C" w:rsidRDefault="008E67EA" w:rsidP="00B44A74">
            <w:pPr>
              <w:pStyle w:val="APVMATableText"/>
              <w:spacing w:before="0" w:after="0"/>
            </w:pPr>
            <w:r w:rsidRPr="003C572C">
              <w:t>Flocoumafen</w:t>
            </w:r>
          </w:p>
        </w:tc>
        <w:tc>
          <w:tcPr>
            <w:tcW w:w="939" w:type="pct"/>
            <w:tcBorders>
              <w:top w:val="single" w:sz="4" w:space="0" w:color="auto"/>
              <w:left w:val="single" w:sz="4" w:space="0" w:color="auto"/>
              <w:bottom w:val="single" w:sz="4" w:space="0" w:color="auto"/>
              <w:right w:val="single" w:sz="4" w:space="0" w:color="auto"/>
            </w:tcBorders>
          </w:tcPr>
          <w:p w14:paraId="126B2E6F" w14:textId="77777777" w:rsidR="008E67EA" w:rsidRPr="003C572C" w:rsidRDefault="008E67EA" w:rsidP="00B44A74">
            <w:pPr>
              <w:pStyle w:val="APVMATableText"/>
              <w:spacing w:before="0" w:after="0"/>
            </w:pPr>
            <w:r w:rsidRPr="003C572C">
              <w:t>0.00002</w:t>
            </w:r>
          </w:p>
        </w:tc>
        <w:tc>
          <w:tcPr>
            <w:tcW w:w="2501" w:type="pct"/>
            <w:tcBorders>
              <w:top w:val="single" w:sz="4" w:space="0" w:color="auto"/>
              <w:left w:val="single" w:sz="4" w:space="0" w:color="auto"/>
              <w:bottom w:val="single" w:sz="4" w:space="0" w:color="auto"/>
              <w:right w:val="single" w:sz="4" w:space="0" w:color="auto"/>
            </w:tcBorders>
          </w:tcPr>
          <w:p w14:paraId="34E118D7" w14:textId="77777777" w:rsidR="008E67EA" w:rsidRPr="003C572C" w:rsidRDefault="008E67EA" w:rsidP="00B44A74">
            <w:pPr>
              <w:pStyle w:val="APVMATableText"/>
              <w:spacing w:before="0" w:after="0"/>
            </w:pPr>
            <w:r w:rsidRPr="003C572C">
              <w:t>NOAEL of 0.002 from a developmental toxicity study in rabbits.</w:t>
            </w:r>
          </w:p>
        </w:tc>
        <w:tc>
          <w:tcPr>
            <w:tcW w:w="700" w:type="pct"/>
            <w:tcBorders>
              <w:top w:val="single" w:sz="4" w:space="0" w:color="auto"/>
              <w:left w:val="single" w:sz="4" w:space="0" w:color="auto"/>
              <w:bottom w:val="single" w:sz="4" w:space="0" w:color="auto"/>
              <w:right w:val="single" w:sz="4" w:space="0" w:color="auto"/>
            </w:tcBorders>
          </w:tcPr>
          <w:p w14:paraId="3A82B2A4" w14:textId="77777777" w:rsidR="008E67EA" w:rsidRPr="003C572C" w:rsidRDefault="008E67EA" w:rsidP="00B44A74">
            <w:pPr>
              <w:pStyle w:val="APVMATableText"/>
              <w:spacing w:before="0" w:after="0"/>
            </w:pPr>
            <w:r w:rsidRPr="003C572C">
              <w:t>100-fold</w:t>
            </w:r>
          </w:p>
        </w:tc>
      </w:tr>
    </w:tbl>
    <w:p w14:paraId="43A021E3" w14:textId="55D14483" w:rsidR="008E67EA" w:rsidRPr="00537245" w:rsidRDefault="008E67EA">
      <w:pPr>
        <w:pStyle w:val="NumberLevel1"/>
        <w:numPr>
          <w:ilvl w:val="0"/>
          <w:numId w:val="15"/>
        </w:numPr>
        <w:rPr>
          <w:color w:val="000000" w:themeColor="text1"/>
        </w:rPr>
      </w:pPr>
      <w:r w:rsidRPr="007D5C43">
        <w:rPr>
          <w:color w:val="000000" w:themeColor="text1"/>
        </w:rPr>
        <w:t xml:space="preserve">In relation the anticoagulant rodenticide </w:t>
      </w:r>
      <w:r w:rsidRPr="007D5C43">
        <w:t xml:space="preserve">active constituent </w:t>
      </w:r>
      <w:r w:rsidRPr="007D5C43">
        <w:rPr>
          <w:color w:val="000000" w:themeColor="text1"/>
        </w:rPr>
        <w:t xml:space="preserve">warfarin, I note that the APVMA does not have access to standard toxicity studies typically used to derive points of departure and health-based guidance values for quantitative human health risk assessment purposes. However, based on my </w:t>
      </w:r>
      <w:r w:rsidRPr="007D5C43">
        <w:t xml:space="preserve">review and consideration of the human health assessment of warfarin, as summarised </w:t>
      </w:r>
      <w:r w:rsidRPr="007D5C43">
        <w:rPr>
          <w:color w:val="000000" w:themeColor="text1"/>
        </w:rPr>
        <w:t xml:space="preserve">in section </w:t>
      </w:r>
      <w:r w:rsidRPr="00537245">
        <w:rPr>
          <w:i/>
          <w:iCs/>
          <w:color w:val="000000" w:themeColor="text1"/>
        </w:rPr>
        <w:t xml:space="preserve">‘4.2.3 Warfarin’ </w:t>
      </w:r>
      <w:r w:rsidRPr="007D5C43">
        <w:rPr>
          <w:color w:val="000000" w:themeColor="text1"/>
        </w:rPr>
        <w:t xml:space="preserve">of the </w:t>
      </w:r>
      <w:r w:rsidRPr="007D5C43">
        <w:rPr>
          <w:i/>
          <w:iCs/>
          <w:color w:val="000000" w:themeColor="text1"/>
        </w:rPr>
        <w:t>Anticoagulant Rodenticides Review Technical Report</w:t>
      </w:r>
      <w:r w:rsidRPr="00537245">
        <w:rPr>
          <w:color w:val="000000" w:themeColor="text1"/>
        </w:rPr>
        <w:t>:</w:t>
      </w:r>
    </w:p>
    <w:p w14:paraId="7140CE43" w14:textId="77777777" w:rsidR="008E67EA" w:rsidRPr="007D5C43" w:rsidRDefault="008E67EA">
      <w:pPr>
        <w:pStyle w:val="NumberLevel1"/>
        <w:numPr>
          <w:ilvl w:val="1"/>
          <w:numId w:val="15"/>
        </w:numPr>
        <w:rPr>
          <w:color w:val="000000" w:themeColor="text1"/>
        </w:rPr>
      </w:pPr>
      <w:r w:rsidRPr="00537245">
        <w:rPr>
          <w:color w:val="000000" w:themeColor="text1"/>
        </w:rPr>
        <w:t xml:space="preserve">I </w:t>
      </w:r>
      <w:r w:rsidRPr="007D5C43">
        <w:rPr>
          <w:color w:val="000000" w:themeColor="text1"/>
        </w:rPr>
        <w:t>note that</w:t>
      </w:r>
      <w:r w:rsidRPr="007D5C43">
        <w:rPr>
          <w:i/>
          <w:iCs/>
          <w:color w:val="000000" w:themeColor="text1"/>
        </w:rPr>
        <w:t xml:space="preserve"> </w:t>
      </w:r>
      <w:r w:rsidRPr="007D5C43">
        <w:rPr>
          <w:color w:val="000000" w:themeColor="text1"/>
        </w:rPr>
        <w:t xml:space="preserve">warfarin (as the sodium salt) has been used </w:t>
      </w:r>
      <w:r w:rsidRPr="007D5C43">
        <w:rPr>
          <w:color w:val="000000" w:themeColor="text1"/>
          <w:szCs w:val="24"/>
        </w:rPr>
        <w:t>extensively as a human anticoagulant therapeutic medicine. The therapeutic doses of warfarin range from 1 to 10 mg daily for the prevention and treatment of venous thrombosis and its extension and pulmonary embolism (equating to approximately 0.0125 to 0.125 mg/kg bw/d).</w:t>
      </w:r>
    </w:p>
    <w:p w14:paraId="5E35E782" w14:textId="7045A3CE" w:rsidR="008E67EA" w:rsidRDefault="008E67EA">
      <w:pPr>
        <w:pStyle w:val="NumberLevel1"/>
        <w:numPr>
          <w:ilvl w:val="1"/>
          <w:numId w:val="15"/>
        </w:numPr>
        <w:rPr>
          <w:color w:val="000000" w:themeColor="text1"/>
        </w:rPr>
      </w:pPr>
      <w:r w:rsidRPr="00C77F77">
        <w:rPr>
          <w:color w:val="000000" w:themeColor="text1"/>
        </w:rPr>
        <w:lastRenderedPageBreak/>
        <w:t>A theoretical NOAEL for warfarin may be predicted at a dose ten-fold lower</w:t>
      </w:r>
      <w:r>
        <w:rPr>
          <w:color w:val="000000" w:themeColor="text1"/>
        </w:rPr>
        <w:t xml:space="preserve"> than the minimum </w:t>
      </w:r>
      <w:r w:rsidRPr="00C77F77">
        <w:rPr>
          <w:color w:val="000000" w:themeColor="text1"/>
        </w:rPr>
        <w:t xml:space="preserve">therapeutically active dose </w:t>
      </w:r>
      <w:r>
        <w:rPr>
          <w:color w:val="000000" w:themeColor="text1"/>
        </w:rPr>
        <w:t>(</w:t>
      </w:r>
      <w:r w:rsidRPr="00C77F77">
        <w:rPr>
          <w:color w:val="000000" w:themeColor="text1"/>
        </w:rPr>
        <w:t>i.e.</w:t>
      </w:r>
      <w:r>
        <w:rPr>
          <w:color w:val="000000" w:themeColor="text1"/>
        </w:rPr>
        <w:t xml:space="preserve"> a theoretical NOAEL of approximately</w:t>
      </w:r>
      <w:r w:rsidRPr="00C77F77">
        <w:rPr>
          <w:color w:val="000000" w:themeColor="text1"/>
        </w:rPr>
        <w:t xml:space="preserve"> 0.00125 mg/kg bw/d</w:t>
      </w:r>
      <w:r>
        <w:rPr>
          <w:color w:val="000000" w:themeColor="text1"/>
        </w:rPr>
        <w:t>)</w:t>
      </w:r>
      <w:r w:rsidRPr="00C77F77">
        <w:rPr>
          <w:color w:val="000000" w:themeColor="text1"/>
        </w:rPr>
        <w:t>.</w:t>
      </w:r>
      <w:r>
        <w:rPr>
          <w:color w:val="000000" w:themeColor="text1"/>
        </w:rPr>
        <w:t xml:space="preserve"> Alternatively, as agricultural chemical products containing warfarin typically only contain </w:t>
      </w:r>
      <w:r w:rsidRPr="00157067">
        <w:rPr>
          <w:color w:val="000000" w:themeColor="text1"/>
        </w:rPr>
        <w:t>0.0025 to 0.05%</w:t>
      </w:r>
      <w:r>
        <w:rPr>
          <w:color w:val="000000" w:themeColor="text1"/>
        </w:rPr>
        <w:t xml:space="preserve"> warfarin, any potential exposure to humans from the agricultural use of the active constituent warfarin is several orders of magnitude lower than the minimum </w:t>
      </w:r>
      <w:r w:rsidRPr="00C77F77">
        <w:rPr>
          <w:color w:val="000000" w:themeColor="text1"/>
        </w:rPr>
        <w:t>therapeutically active dose</w:t>
      </w:r>
      <w:r>
        <w:rPr>
          <w:color w:val="000000" w:themeColor="text1"/>
        </w:rPr>
        <w:t>. It can therefore be reasonably</w:t>
      </w:r>
      <w:r w:rsidRPr="0003325F">
        <w:rPr>
          <w:color w:val="000000" w:themeColor="text1"/>
        </w:rPr>
        <w:t xml:space="preserve"> </w:t>
      </w:r>
      <w:r>
        <w:rPr>
          <w:color w:val="000000" w:themeColor="text1"/>
        </w:rPr>
        <w:t>inferred</w:t>
      </w:r>
      <w:r w:rsidRPr="00254BC8">
        <w:rPr>
          <w:color w:val="FF0000"/>
        </w:rPr>
        <w:t xml:space="preserve"> </w:t>
      </w:r>
      <w:r w:rsidRPr="00254BC8">
        <w:rPr>
          <w:color w:val="000000" w:themeColor="text1"/>
        </w:rPr>
        <w:t>that</w:t>
      </w:r>
      <w:r>
        <w:rPr>
          <w:color w:val="000000" w:themeColor="text1"/>
        </w:rPr>
        <w:t xml:space="preserve"> any potential exposure to humans from the agricultural use of the active constituent warfarin will be less than the theoretical NOAEL with an adequate safety margin to account for any potential uncertainties in the theoretical NOAEL and any potential intra-species </w:t>
      </w:r>
      <w:r w:rsidRPr="00551F78">
        <w:rPr>
          <w:color w:val="000000" w:themeColor="text1"/>
        </w:rPr>
        <w:t>variability in</w:t>
      </w:r>
      <w:r>
        <w:rPr>
          <w:color w:val="000000" w:themeColor="text1"/>
        </w:rPr>
        <w:t xml:space="preserve"> sensitivities in humans.</w:t>
      </w:r>
    </w:p>
    <w:p w14:paraId="54FF5A24" w14:textId="77777777" w:rsidR="008E67EA" w:rsidRPr="007D5C43" w:rsidRDefault="008E67EA">
      <w:pPr>
        <w:pStyle w:val="NumberLevel1"/>
        <w:numPr>
          <w:ilvl w:val="1"/>
          <w:numId w:val="15"/>
        </w:numPr>
        <w:rPr>
          <w:color w:val="000000" w:themeColor="text1"/>
        </w:rPr>
      </w:pPr>
      <w:r w:rsidRPr="007D5C43">
        <w:rPr>
          <w:color w:val="000000" w:themeColor="text1"/>
        </w:rPr>
        <w:t xml:space="preserve">Therefore, </w:t>
      </w:r>
      <w:r w:rsidRPr="007D5C43">
        <w:t>I consider that, in this circumstance:</w:t>
      </w:r>
    </w:p>
    <w:p w14:paraId="6331F0D7" w14:textId="77777777" w:rsidR="008E67EA" w:rsidRDefault="008E67EA">
      <w:pPr>
        <w:pStyle w:val="NumberLevel1"/>
        <w:numPr>
          <w:ilvl w:val="2"/>
          <w:numId w:val="15"/>
        </w:numPr>
        <w:rPr>
          <w:color w:val="000000" w:themeColor="text1"/>
        </w:rPr>
      </w:pPr>
      <w:r>
        <w:rPr>
          <w:color w:val="000000" w:themeColor="text1"/>
        </w:rPr>
        <w:t>A q</w:t>
      </w:r>
      <w:r w:rsidRPr="00FD09A9">
        <w:rPr>
          <w:color w:val="000000" w:themeColor="text1"/>
        </w:rPr>
        <w:t xml:space="preserve">uantitative human health risk </w:t>
      </w:r>
      <w:r>
        <w:rPr>
          <w:color w:val="000000" w:themeColor="text1"/>
        </w:rPr>
        <w:t xml:space="preserve">assessment, utilising </w:t>
      </w:r>
      <w:r w:rsidRPr="001B04AC">
        <w:rPr>
          <w:color w:val="000000" w:themeColor="text1"/>
        </w:rPr>
        <w:t>point</w:t>
      </w:r>
      <w:r>
        <w:rPr>
          <w:color w:val="000000" w:themeColor="text1"/>
        </w:rPr>
        <w:t>s</w:t>
      </w:r>
      <w:r w:rsidRPr="001B04AC">
        <w:rPr>
          <w:color w:val="000000" w:themeColor="text1"/>
        </w:rPr>
        <w:t xml:space="preserve"> of departure and health-based guidance values</w:t>
      </w:r>
      <w:r>
        <w:rPr>
          <w:color w:val="000000" w:themeColor="text1"/>
        </w:rPr>
        <w:t>, is not required to adequately assess the risks to</w:t>
      </w:r>
      <w:r w:rsidRPr="00FD09A9">
        <w:t xml:space="preserve"> </w:t>
      </w:r>
      <w:r>
        <w:t>human beings posed by the current use of warfarin active constituents in agricultural chemical products</w:t>
      </w:r>
      <w:r>
        <w:rPr>
          <w:color w:val="000000" w:themeColor="text1"/>
        </w:rPr>
        <w:t>.</w:t>
      </w:r>
    </w:p>
    <w:p w14:paraId="0DF1592D" w14:textId="77777777" w:rsidR="008E67EA" w:rsidRPr="00254BC8" w:rsidRDefault="008E67EA">
      <w:pPr>
        <w:pStyle w:val="NumberLevel1"/>
        <w:numPr>
          <w:ilvl w:val="2"/>
          <w:numId w:val="15"/>
        </w:numPr>
        <w:rPr>
          <w:color w:val="000000" w:themeColor="text1"/>
        </w:rPr>
      </w:pPr>
      <w:r>
        <w:t>T</w:t>
      </w:r>
      <w:r w:rsidRPr="00896000">
        <w:t>here is sufficient toxicity information</w:t>
      </w:r>
      <w:r>
        <w:t xml:space="preserve"> available for warfarin to qualitatively assess the risks to human beings posed by the current approved use of warfarin active constituents in agricultural chemical products.</w:t>
      </w:r>
    </w:p>
    <w:p w14:paraId="7EF6CA7E" w14:textId="77777777" w:rsidR="008E67EA" w:rsidRDefault="008E67EA" w:rsidP="008E67EA">
      <w:pPr>
        <w:pStyle w:val="StatementofReasonsHeading4"/>
      </w:pPr>
      <w:r>
        <w:t>Environmental toxicology</w:t>
      </w:r>
    </w:p>
    <w:p w14:paraId="5CC337FC" w14:textId="17E6DA22" w:rsidR="008E67EA" w:rsidRPr="007D5C43" w:rsidRDefault="008E67EA">
      <w:pPr>
        <w:pStyle w:val="NumberLevel1"/>
        <w:numPr>
          <w:ilvl w:val="0"/>
          <w:numId w:val="15"/>
        </w:numPr>
        <w:rPr>
          <w:color w:val="000000" w:themeColor="text1"/>
        </w:rPr>
      </w:pPr>
      <w:r w:rsidRPr="007D5C43">
        <w:rPr>
          <w:color w:val="000000" w:themeColor="text1"/>
        </w:rPr>
        <w:t>Based on my review and consideration of the assessment of environmental toxicology studies</w:t>
      </w:r>
      <w:r>
        <w:rPr>
          <w:color w:val="000000" w:themeColor="text1"/>
        </w:rPr>
        <w:t xml:space="preserve"> set out in </w:t>
      </w:r>
      <w:r w:rsidRPr="007D5C43">
        <w:rPr>
          <w:color w:val="000000" w:themeColor="text1"/>
        </w:rPr>
        <w:t xml:space="preserve">section </w:t>
      </w:r>
      <w:r w:rsidRPr="007D5C43">
        <w:rPr>
          <w:i/>
          <w:iCs/>
        </w:rPr>
        <w:t>‘3.2</w:t>
      </w:r>
      <w:r>
        <w:rPr>
          <w:i/>
          <w:iCs/>
        </w:rPr>
        <w:t>.1</w:t>
      </w:r>
      <w:r w:rsidRPr="007D5C43">
        <w:rPr>
          <w:i/>
          <w:iCs/>
        </w:rPr>
        <w:t xml:space="preserve"> Effects on </w:t>
      </w:r>
      <w:r>
        <w:rPr>
          <w:i/>
          <w:iCs/>
        </w:rPr>
        <w:t>terrestrial vertebrates</w:t>
      </w:r>
      <w:r w:rsidRPr="007D5C43">
        <w:rPr>
          <w:i/>
          <w:iCs/>
        </w:rPr>
        <w:t>’</w:t>
      </w:r>
      <w:r w:rsidRPr="007D5C43">
        <w:rPr>
          <w:color w:val="000000" w:themeColor="text1"/>
        </w:rPr>
        <w:t xml:space="preserve"> of the </w:t>
      </w:r>
      <w:r w:rsidRPr="007D5C43">
        <w:rPr>
          <w:i/>
          <w:iCs/>
          <w:color w:val="000000" w:themeColor="text1"/>
        </w:rPr>
        <w:t>Anticoagulant Rodenticides Review Technical Report</w:t>
      </w:r>
      <w:r w:rsidRPr="007D5C43">
        <w:rPr>
          <w:color w:val="000000" w:themeColor="text1"/>
        </w:rPr>
        <w:t>, I consider that there is sufficient toxicology information to assess the risks of anticoagulant rodenticides to non-target terrestrial vertebrates. I note that r</w:t>
      </w:r>
      <w:r w:rsidRPr="007D5C43">
        <w:t xml:space="preserve">egulatory acceptable levels (RALs) for </w:t>
      </w:r>
      <w:r w:rsidRPr="007D5C43">
        <w:rPr>
          <w:color w:val="000000" w:themeColor="text1"/>
        </w:rPr>
        <w:t>anticoagulant rodenticide</w:t>
      </w:r>
      <w:r w:rsidRPr="007D5C43">
        <w:t xml:space="preserve"> exposure of terrestrial vertebrates were not derived for quantitative risk assessment purposes, as anticoagulant rodenticides are a type of vertebrate poison and it is widely accepted that exposure of terrestrial vertebrates to these vertebrate poisons has the potential to result in death.</w:t>
      </w:r>
    </w:p>
    <w:p w14:paraId="4847B442" w14:textId="7DAD3F7A" w:rsidR="008E67EA" w:rsidRDefault="008E67EA">
      <w:pPr>
        <w:pStyle w:val="NumberLevel2"/>
        <w:numPr>
          <w:ilvl w:val="1"/>
          <w:numId w:val="15"/>
        </w:numPr>
        <w:rPr>
          <w:color w:val="000000" w:themeColor="text1"/>
        </w:rPr>
      </w:pPr>
      <w:r w:rsidRPr="000B60B6">
        <w:rPr>
          <w:color w:val="000000" w:themeColor="text1"/>
        </w:rPr>
        <w:t xml:space="preserve">All anticoagulant rodenticides in scope of the reconsideration are considered to have a high toxicity to mammals </w:t>
      </w:r>
      <w:r>
        <w:rPr>
          <w:color w:val="000000" w:themeColor="text1"/>
        </w:rPr>
        <w:t>via</w:t>
      </w:r>
      <w:r w:rsidRPr="000B60B6">
        <w:rPr>
          <w:color w:val="000000" w:themeColor="text1"/>
        </w:rPr>
        <w:t xml:space="preserve"> acute exposure (i.e. gavage administration) and/or dietary exposure when rodents are considered the representative species</w:t>
      </w:r>
      <w:r>
        <w:rPr>
          <w:color w:val="000000" w:themeColor="text1"/>
        </w:rPr>
        <w:t xml:space="preserve"> </w:t>
      </w:r>
      <w:r w:rsidRPr="00C11AD9">
        <w:t>(LD</w:t>
      </w:r>
      <w:r w:rsidRPr="00C11AD9">
        <w:rPr>
          <w:vertAlign w:val="subscript"/>
        </w:rPr>
        <w:t>50</w:t>
      </w:r>
      <w:r w:rsidRPr="00C11AD9">
        <w:t xml:space="preserve"> or LC</w:t>
      </w:r>
      <w:r w:rsidRPr="00C11AD9">
        <w:rPr>
          <w:vertAlign w:val="subscript"/>
        </w:rPr>
        <w:t>50</w:t>
      </w:r>
      <w:r w:rsidRPr="00C11AD9">
        <w:t xml:space="preserve"> &lt; 100 mg/kg bw or mg/kg food; LDD</w:t>
      </w:r>
      <w:r w:rsidRPr="00C11AD9">
        <w:rPr>
          <w:vertAlign w:val="subscript"/>
        </w:rPr>
        <w:t>50</w:t>
      </w:r>
      <w:r w:rsidRPr="00C11AD9">
        <w:t xml:space="preserve"> &lt; 10 mg/kg bw/day)</w:t>
      </w:r>
      <w:r w:rsidRPr="000B60B6">
        <w:rPr>
          <w:color w:val="000000" w:themeColor="text1"/>
        </w:rPr>
        <w:t xml:space="preserve">. </w:t>
      </w:r>
      <w:r>
        <w:rPr>
          <w:color w:val="000000" w:themeColor="text1"/>
        </w:rPr>
        <w:t>Most</w:t>
      </w:r>
      <w:r w:rsidRPr="000B60B6">
        <w:rPr>
          <w:color w:val="000000" w:themeColor="text1"/>
        </w:rPr>
        <w:t xml:space="preserve"> anticoagulant rodenticides where acute and/or dietary toxicity </w:t>
      </w:r>
      <w:r>
        <w:rPr>
          <w:color w:val="000000" w:themeColor="text1"/>
        </w:rPr>
        <w:t>has been</w:t>
      </w:r>
      <w:r w:rsidRPr="000B60B6">
        <w:rPr>
          <w:color w:val="000000" w:themeColor="text1"/>
        </w:rPr>
        <w:t xml:space="preserve"> </w:t>
      </w:r>
      <w:r>
        <w:rPr>
          <w:color w:val="000000" w:themeColor="text1"/>
        </w:rPr>
        <w:t>studied</w:t>
      </w:r>
      <w:r w:rsidRPr="000B60B6">
        <w:rPr>
          <w:color w:val="000000" w:themeColor="text1"/>
        </w:rPr>
        <w:t xml:space="preserve"> in non-rodent mammalian species, brodifacoum (rabbits), bromadiolone (dogs and ferrets), difenacoum (dogs), diphacinone (ferrets) and warfarin (minks) were still determined to have a high toxicity to mammals. </w:t>
      </w:r>
      <w:r w:rsidRPr="00482255">
        <w:rPr>
          <w:color w:val="000000" w:themeColor="text1"/>
        </w:rPr>
        <w:t>However, it is noted</w:t>
      </w:r>
      <w:r w:rsidRPr="000B60B6">
        <w:rPr>
          <w:color w:val="000000" w:themeColor="text1"/>
        </w:rPr>
        <w:t xml:space="preserve"> that warfarin </w:t>
      </w:r>
      <w:r>
        <w:rPr>
          <w:color w:val="000000" w:themeColor="text1"/>
        </w:rPr>
        <w:t xml:space="preserve">only </w:t>
      </w:r>
      <w:r w:rsidRPr="000B60B6">
        <w:rPr>
          <w:color w:val="000000" w:themeColor="text1"/>
        </w:rPr>
        <w:t>had a moderate toxicity to dogs with acute exposure</w:t>
      </w:r>
      <w:r>
        <w:rPr>
          <w:color w:val="000000" w:themeColor="text1"/>
        </w:rPr>
        <w:t xml:space="preserve"> </w:t>
      </w:r>
      <w:r w:rsidRPr="00C11AD9">
        <w:t>(LD</w:t>
      </w:r>
      <w:r w:rsidRPr="00C11AD9">
        <w:rPr>
          <w:vertAlign w:val="subscript"/>
        </w:rPr>
        <w:t>50</w:t>
      </w:r>
      <w:r w:rsidRPr="00C11AD9">
        <w:t xml:space="preserve"> 100 – 2000 mg/kg bw)</w:t>
      </w:r>
      <w:r>
        <w:rPr>
          <w:color w:val="000000" w:themeColor="text1"/>
        </w:rPr>
        <w:t xml:space="preserve">, </w:t>
      </w:r>
      <w:r w:rsidRPr="000B60B6">
        <w:rPr>
          <w:color w:val="000000" w:themeColor="text1"/>
        </w:rPr>
        <w:t xml:space="preserve">and difethialone </w:t>
      </w:r>
      <w:r>
        <w:rPr>
          <w:color w:val="000000" w:themeColor="text1"/>
        </w:rPr>
        <w:t xml:space="preserve">only </w:t>
      </w:r>
      <w:r w:rsidRPr="000B60B6">
        <w:rPr>
          <w:color w:val="000000" w:themeColor="text1"/>
        </w:rPr>
        <w:t>had a low toxicity to ferrets with dietary exposure</w:t>
      </w:r>
      <w:r>
        <w:rPr>
          <w:color w:val="000000" w:themeColor="text1"/>
        </w:rPr>
        <w:t xml:space="preserve"> </w:t>
      </w:r>
      <w:r>
        <w:t>(L</w:t>
      </w:r>
      <w:r w:rsidRPr="00617481">
        <w:t>DD</w:t>
      </w:r>
      <w:r w:rsidRPr="00617481">
        <w:rPr>
          <w:vertAlign w:val="subscript"/>
        </w:rPr>
        <w:t>50</w:t>
      </w:r>
      <w:r w:rsidRPr="00617481">
        <w:t xml:space="preserve"> &gt; 200 mg/kg bw/d)</w:t>
      </w:r>
      <w:r w:rsidRPr="000B60B6">
        <w:rPr>
          <w:color w:val="000000" w:themeColor="text1"/>
        </w:rPr>
        <w:t>.</w:t>
      </w:r>
    </w:p>
    <w:p w14:paraId="01DB2F88" w14:textId="4A303894" w:rsidR="008E67EA" w:rsidRPr="000B60B6" w:rsidRDefault="008E67EA">
      <w:pPr>
        <w:pStyle w:val="NumberLevel2"/>
        <w:numPr>
          <w:ilvl w:val="1"/>
          <w:numId w:val="15"/>
        </w:numPr>
        <w:rPr>
          <w:color w:val="000000" w:themeColor="text1"/>
        </w:rPr>
      </w:pPr>
      <w:r>
        <w:rPr>
          <w:color w:val="000000" w:themeColor="text1"/>
        </w:rPr>
        <w:t xml:space="preserve">Anticoagulant rodenticides also pose a secondary poisoning risk to mammals if they consume </w:t>
      </w:r>
      <w:r w:rsidRPr="00D51CE5">
        <w:t>poisoned rats or mice, poisoned non-target animals or insects</w:t>
      </w:r>
      <w:r>
        <w:rPr>
          <w:color w:val="000000" w:themeColor="text1"/>
        </w:rPr>
        <w:t xml:space="preserve">. </w:t>
      </w:r>
      <w:r w:rsidRPr="000B60B6">
        <w:rPr>
          <w:color w:val="000000" w:themeColor="text1"/>
        </w:rPr>
        <w:t xml:space="preserve">Secondary poisoning studies </w:t>
      </w:r>
      <w:r>
        <w:rPr>
          <w:color w:val="000000" w:themeColor="text1"/>
        </w:rPr>
        <w:t>with</w:t>
      </w:r>
      <w:r w:rsidRPr="000B60B6">
        <w:rPr>
          <w:color w:val="000000" w:themeColor="text1"/>
        </w:rPr>
        <w:t xml:space="preserve"> mammal</w:t>
      </w:r>
      <w:r>
        <w:rPr>
          <w:color w:val="000000" w:themeColor="text1"/>
        </w:rPr>
        <w:t xml:space="preserve">s indicate that mortality of the test animal is possible if they consume prey with a high body burden </w:t>
      </w:r>
      <w:r>
        <w:t>i.e. high levels of the anticoagulant rodenticide are present within the prey animal)</w:t>
      </w:r>
      <w:r>
        <w:rPr>
          <w:color w:val="000000" w:themeColor="text1"/>
        </w:rPr>
        <w:t>, and that mortality of mammals generally occurred after a feeding period of 3 days onwards with no clear distinction between first-generation and second-generation anticoagulant rodenticides.</w:t>
      </w:r>
    </w:p>
    <w:p w14:paraId="50BB28EE" w14:textId="27A6FE5F" w:rsidR="008E67EA" w:rsidRDefault="008E67EA">
      <w:pPr>
        <w:pStyle w:val="NumberLevel2"/>
        <w:numPr>
          <w:ilvl w:val="1"/>
          <w:numId w:val="15"/>
        </w:numPr>
        <w:rPr>
          <w:color w:val="000000" w:themeColor="text1"/>
        </w:rPr>
      </w:pPr>
      <w:r w:rsidRPr="00655F8E">
        <w:rPr>
          <w:color w:val="000000" w:themeColor="text1"/>
        </w:rPr>
        <w:t>The toxicity of anticoagulant rodenticide</w:t>
      </w:r>
      <w:r>
        <w:rPr>
          <w:color w:val="000000" w:themeColor="text1"/>
        </w:rPr>
        <w:t>s</w:t>
      </w:r>
      <w:r w:rsidRPr="00655F8E">
        <w:rPr>
          <w:color w:val="000000" w:themeColor="text1"/>
        </w:rPr>
        <w:t xml:space="preserve"> to birds ranged from low to high dependant on the active constituent, type </w:t>
      </w:r>
      <w:r>
        <w:rPr>
          <w:color w:val="000000" w:themeColor="text1"/>
        </w:rPr>
        <w:t xml:space="preserve">of </w:t>
      </w:r>
      <w:r w:rsidRPr="00655F8E">
        <w:rPr>
          <w:color w:val="000000" w:themeColor="text1"/>
        </w:rPr>
        <w:t>exposure and species of bird</w:t>
      </w:r>
      <w:r>
        <w:rPr>
          <w:color w:val="000000" w:themeColor="text1"/>
        </w:rPr>
        <w:t xml:space="preserve"> involved in the study</w:t>
      </w:r>
      <w:r w:rsidRPr="00655F8E">
        <w:rPr>
          <w:color w:val="000000" w:themeColor="text1"/>
        </w:rPr>
        <w:t>. Based on acute exposure studies</w:t>
      </w:r>
      <w:r>
        <w:rPr>
          <w:color w:val="000000" w:themeColor="text1"/>
        </w:rPr>
        <w:t xml:space="preserve"> </w:t>
      </w:r>
      <w:r w:rsidRPr="00C11AD9">
        <w:t>(i.e. gavage administration)</w:t>
      </w:r>
      <w:r w:rsidRPr="00655F8E">
        <w:rPr>
          <w:color w:val="000000" w:themeColor="text1"/>
        </w:rPr>
        <w:t>, brodifacoum, difenacoum, difethialone and flocoumafen were determined to have a high toxicity to birds</w:t>
      </w:r>
      <w:r>
        <w:rPr>
          <w:color w:val="000000" w:themeColor="text1"/>
        </w:rPr>
        <w:t xml:space="preserve"> </w:t>
      </w:r>
      <w:r w:rsidRPr="002275A8">
        <w:t>(LD</w:t>
      </w:r>
      <w:r w:rsidRPr="002275A8">
        <w:rPr>
          <w:vertAlign w:val="subscript"/>
        </w:rPr>
        <w:t>50</w:t>
      </w:r>
      <w:r w:rsidRPr="002275A8">
        <w:t xml:space="preserve"> &lt; 100 mg/kg bw)</w:t>
      </w:r>
      <w:r w:rsidRPr="00655F8E">
        <w:rPr>
          <w:color w:val="000000" w:themeColor="text1"/>
        </w:rPr>
        <w:t xml:space="preserve">, bromadiolone was determined to have a moderate </w:t>
      </w:r>
      <w:r w:rsidRPr="00655F8E">
        <w:rPr>
          <w:color w:val="000000" w:themeColor="text1"/>
        </w:rPr>
        <w:lastRenderedPageBreak/>
        <w:t>toxicity to birds</w:t>
      </w:r>
      <w:r>
        <w:rPr>
          <w:color w:val="000000" w:themeColor="text1"/>
        </w:rPr>
        <w:t xml:space="preserve"> </w:t>
      </w:r>
      <w:r w:rsidRPr="002275A8">
        <w:t>(LD</w:t>
      </w:r>
      <w:r w:rsidRPr="002275A8">
        <w:rPr>
          <w:vertAlign w:val="subscript"/>
        </w:rPr>
        <w:t>50</w:t>
      </w:r>
      <w:r w:rsidRPr="002275A8">
        <w:t xml:space="preserve"> 100 – 2000 mg/kg bw)</w:t>
      </w:r>
      <w:r w:rsidRPr="00655F8E">
        <w:rPr>
          <w:color w:val="000000" w:themeColor="text1"/>
        </w:rPr>
        <w:t>, and the first-generation anticoagulant rodenticides coumatetralyl, diphacinone and warfarin were determined to have a low toxicity to birds</w:t>
      </w:r>
      <w:r>
        <w:rPr>
          <w:color w:val="000000" w:themeColor="text1"/>
        </w:rPr>
        <w:t xml:space="preserve"> </w:t>
      </w:r>
      <w:r w:rsidRPr="002275A8">
        <w:t>(LD</w:t>
      </w:r>
      <w:r w:rsidRPr="002275A8">
        <w:rPr>
          <w:vertAlign w:val="subscript"/>
        </w:rPr>
        <w:t>50</w:t>
      </w:r>
      <w:r w:rsidRPr="002275A8">
        <w:t xml:space="preserve"> &gt; 2000 mg/kg bw)</w:t>
      </w:r>
      <w:r w:rsidRPr="00655F8E">
        <w:rPr>
          <w:color w:val="000000" w:themeColor="text1"/>
        </w:rPr>
        <w:t>. Alternatively, based on dietary exposure studies, brodifacoum</w:t>
      </w:r>
      <w:r>
        <w:rPr>
          <w:color w:val="000000" w:themeColor="text1"/>
        </w:rPr>
        <w:t xml:space="preserve">, </w:t>
      </w:r>
      <w:r w:rsidRPr="00655F8E">
        <w:rPr>
          <w:color w:val="000000" w:themeColor="text1"/>
        </w:rPr>
        <w:t xml:space="preserve">bromadiolone, coumatetralyl, difenacoum, difethialone and flocoumafen were all determined to have a high toxicity to birds </w:t>
      </w:r>
      <w:r w:rsidRPr="002275A8">
        <w:t>(LC</w:t>
      </w:r>
      <w:r w:rsidRPr="002275A8">
        <w:rPr>
          <w:vertAlign w:val="subscript"/>
        </w:rPr>
        <w:t>50</w:t>
      </w:r>
      <w:r w:rsidRPr="002275A8">
        <w:t xml:space="preserve"> &lt; 100 mg/kg food; LDD</w:t>
      </w:r>
      <w:r w:rsidRPr="002275A8">
        <w:rPr>
          <w:vertAlign w:val="subscript"/>
        </w:rPr>
        <w:t>50</w:t>
      </w:r>
      <w:r w:rsidRPr="002275A8">
        <w:t xml:space="preserve"> &lt; 10 mg/kg bw/d)</w:t>
      </w:r>
      <w:r>
        <w:t xml:space="preserve"> </w:t>
      </w:r>
      <w:r w:rsidRPr="00655F8E">
        <w:rPr>
          <w:color w:val="000000" w:themeColor="text1"/>
        </w:rPr>
        <w:t>and diphacinone was determined to have a moderate toxicity to birds</w:t>
      </w:r>
      <w:r>
        <w:rPr>
          <w:color w:val="000000" w:themeColor="text1"/>
        </w:rPr>
        <w:t xml:space="preserve"> </w:t>
      </w:r>
      <w:r w:rsidRPr="002275A8">
        <w:t>(LC</w:t>
      </w:r>
      <w:r w:rsidRPr="002275A8">
        <w:rPr>
          <w:vertAlign w:val="subscript"/>
        </w:rPr>
        <w:t>50</w:t>
      </w:r>
      <w:r w:rsidRPr="002275A8">
        <w:t xml:space="preserve"> 100 – 2000 mg/kg food)</w:t>
      </w:r>
      <w:r w:rsidRPr="00655F8E">
        <w:rPr>
          <w:color w:val="000000" w:themeColor="text1"/>
        </w:rPr>
        <w:t>.</w:t>
      </w:r>
      <w:r w:rsidRPr="00001BDD">
        <w:rPr>
          <w:color w:val="000000" w:themeColor="text1"/>
        </w:rPr>
        <w:t xml:space="preserve"> </w:t>
      </w:r>
      <w:r>
        <w:rPr>
          <w:color w:val="000000" w:themeColor="text1"/>
        </w:rPr>
        <w:t>Further, in a reproductive study</w:t>
      </w:r>
      <w:r w:rsidRPr="00D625D3">
        <w:rPr>
          <w:color w:val="000000" w:themeColor="text1"/>
        </w:rPr>
        <w:t xml:space="preserve"> </w:t>
      </w:r>
      <w:r>
        <w:rPr>
          <w:color w:val="000000" w:themeColor="text1"/>
        </w:rPr>
        <w:t>with coumatetralyl, parental death was observed in birds with low dietary concentrations of 60 mg/kg feed.</w:t>
      </w:r>
    </w:p>
    <w:p w14:paraId="371E18F7" w14:textId="00EF2DF6" w:rsidR="008E67EA" w:rsidRPr="00655F8E" w:rsidRDefault="008E67EA">
      <w:pPr>
        <w:pStyle w:val="NumberLevel2"/>
        <w:numPr>
          <w:ilvl w:val="1"/>
          <w:numId w:val="15"/>
        </w:numPr>
        <w:rPr>
          <w:color w:val="000000" w:themeColor="text1"/>
        </w:rPr>
      </w:pPr>
      <w:r>
        <w:rPr>
          <w:color w:val="000000" w:themeColor="text1"/>
        </w:rPr>
        <w:t xml:space="preserve">In relation to secondary poisoning of birds, only second-generation anticoagulant rodenticides appear to pose a significant risk. </w:t>
      </w:r>
      <w:r w:rsidRPr="000B60B6">
        <w:rPr>
          <w:color w:val="000000" w:themeColor="text1"/>
        </w:rPr>
        <w:t>Secondary poisoning studies</w:t>
      </w:r>
      <w:r>
        <w:rPr>
          <w:color w:val="000000" w:themeColor="text1"/>
        </w:rPr>
        <w:t xml:space="preserve"> with the first-generation</w:t>
      </w:r>
      <w:r w:rsidRPr="005C38ED">
        <w:rPr>
          <w:color w:val="000000" w:themeColor="text1"/>
        </w:rPr>
        <w:t xml:space="preserve"> </w:t>
      </w:r>
      <w:r>
        <w:rPr>
          <w:color w:val="000000" w:themeColor="text1"/>
        </w:rPr>
        <w:t xml:space="preserve">anticoagulant rodenticides coumatetralyl, </w:t>
      </w:r>
      <w:r w:rsidRPr="00655F8E">
        <w:rPr>
          <w:color w:val="000000" w:themeColor="text1"/>
        </w:rPr>
        <w:t xml:space="preserve">diphacinone </w:t>
      </w:r>
      <w:r>
        <w:rPr>
          <w:color w:val="000000" w:themeColor="text1"/>
        </w:rPr>
        <w:t>and warfarin indicate that mortality of the test bird is unlikely if they consume poisoned animals. However, s</w:t>
      </w:r>
      <w:r w:rsidRPr="000B60B6">
        <w:rPr>
          <w:color w:val="000000" w:themeColor="text1"/>
        </w:rPr>
        <w:t>econdary poisoning studies</w:t>
      </w:r>
      <w:r>
        <w:rPr>
          <w:color w:val="000000" w:themeColor="text1"/>
        </w:rPr>
        <w:t xml:space="preserve"> with second-generation anticoagulant rodenticides indicate that mortality of the test bird is possible if they consume animals with high body burdens, with the secondary poisoning hazard potential being the highest for the active constituents brodifacoum and difenacoum.</w:t>
      </w:r>
    </w:p>
    <w:p w14:paraId="18B098CB" w14:textId="383212D5" w:rsidR="008E67EA" w:rsidRPr="0067031E" w:rsidRDefault="008E67EA">
      <w:pPr>
        <w:pStyle w:val="NumberLevel2"/>
        <w:numPr>
          <w:ilvl w:val="1"/>
          <w:numId w:val="15"/>
        </w:numPr>
      </w:pPr>
      <w:r w:rsidRPr="0067031E">
        <w:t xml:space="preserve">A number of sub-lethal effects have also been observed in primary and secondary </w:t>
      </w:r>
      <w:r>
        <w:t xml:space="preserve">poisoning </w:t>
      </w:r>
      <w:r w:rsidRPr="0067031E">
        <w:t>studies</w:t>
      </w:r>
      <w:r w:rsidRPr="00613D51">
        <w:t xml:space="preserve"> </w:t>
      </w:r>
      <w:r>
        <w:t>with</w:t>
      </w:r>
      <w:r w:rsidRPr="0067031E">
        <w:t xml:space="preserve"> mammals and birds. This includes sub-lethal effects </w:t>
      </w:r>
      <w:r>
        <w:t>that appear to directly relate to</w:t>
      </w:r>
      <w:r w:rsidRPr="0067031E">
        <w:t xml:space="preserve"> vitamin </w:t>
      </w:r>
      <w:r>
        <w:t>K</w:t>
      </w:r>
      <w:r w:rsidRPr="0067031E">
        <w:t xml:space="preserve"> antagonism</w:t>
      </w:r>
      <w:r>
        <w:t xml:space="preserve">, </w:t>
      </w:r>
      <w:r w:rsidRPr="0067031E">
        <w:t>the mode of action of anticoagulant rodenticides</w:t>
      </w:r>
      <w:r>
        <w:t>,</w:t>
      </w:r>
      <w:r w:rsidRPr="0067031E">
        <w:t xml:space="preserve"> such as bleeding around body orifices, metrorrhagia, blood clots and internal hematomas. </w:t>
      </w:r>
      <w:r>
        <w:t>Further, i</w:t>
      </w:r>
      <w:r w:rsidRPr="0067031E">
        <w:t>n reproductive</w:t>
      </w:r>
      <w:r>
        <w:t xml:space="preserve"> toxicity</w:t>
      </w:r>
      <w:r w:rsidRPr="0067031E">
        <w:t xml:space="preserve"> studies</w:t>
      </w:r>
      <w:r>
        <w:t xml:space="preserve">, </w:t>
      </w:r>
      <w:r w:rsidRPr="00777CE5">
        <w:rPr>
          <w:szCs w:val="20"/>
        </w:rPr>
        <w:t>possible effects on the ovarian function of rats were observed with long-term exposure to difenacoum, and a decreased numbers of surviving 14-day old chicks wa</w:t>
      </w:r>
      <w:r>
        <w:t>s observed with l</w:t>
      </w:r>
      <w:r w:rsidRPr="0067031E">
        <w:t>ong-term exposure</w:t>
      </w:r>
      <w:r>
        <w:t xml:space="preserve"> of birds</w:t>
      </w:r>
      <w:r w:rsidRPr="0067031E">
        <w:t xml:space="preserve"> to difenacoum </w:t>
      </w:r>
      <w:r>
        <w:t>or</w:t>
      </w:r>
      <w:r w:rsidRPr="0067031E">
        <w:t xml:space="preserve"> bromadiolone in drinking water</w:t>
      </w:r>
      <w:r>
        <w:t>.</w:t>
      </w:r>
    </w:p>
    <w:p w14:paraId="49E26E26" w14:textId="77F1DB0C" w:rsidR="008E67EA" w:rsidRPr="008917B7" w:rsidRDefault="008E67EA">
      <w:pPr>
        <w:pStyle w:val="NumberLevel2"/>
        <w:numPr>
          <w:ilvl w:val="1"/>
          <w:numId w:val="15"/>
        </w:numPr>
        <w:rPr>
          <w:szCs w:val="20"/>
        </w:rPr>
      </w:pPr>
      <w:r>
        <w:rPr>
          <w:szCs w:val="20"/>
        </w:rPr>
        <w:t>The limited reptile toxicity studies support the position that r</w:t>
      </w:r>
      <w:r w:rsidRPr="008917B7">
        <w:rPr>
          <w:szCs w:val="20"/>
        </w:rPr>
        <w:t xml:space="preserve">eptiles have a high tolerance to anticoagulant rodenticides poisoning. Coumatetralyl, diphacinone and brodifacoum were determined to have low toxicity to fence lizards with acute exposure. </w:t>
      </w:r>
      <w:r>
        <w:rPr>
          <w:szCs w:val="20"/>
        </w:rPr>
        <w:t>T</w:t>
      </w:r>
      <w:r w:rsidRPr="008917B7">
        <w:rPr>
          <w:szCs w:val="20"/>
        </w:rPr>
        <w:t xml:space="preserve">urtles and boas exhibited a relative insensitivity to </w:t>
      </w:r>
      <w:r w:rsidRPr="0076014C">
        <w:t>diphacinone and brodifacoum,</w:t>
      </w:r>
      <w:r>
        <w:t xml:space="preserve"> </w:t>
      </w:r>
      <w:r w:rsidRPr="008917B7">
        <w:rPr>
          <w:szCs w:val="20"/>
        </w:rPr>
        <w:t>while lizards appeared to be somewhat more sensitive.</w:t>
      </w:r>
      <w:r>
        <w:rPr>
          <w:szCs w:val="20"/>
        </w:rPr>
        <w:t xml:space="preserve"> Further, i</w:t>
      </w:r>
      <w:r w:rsidRPr="008917B7">
        <w:rPr>
          <w:szCs w:val="20"/>
        </w:rPr>
        <w:t xml:space="preserve">n relation to the effects of diphacinone and warfarin on the brown tree snake, </w:t>
      </w:r>
      <w:r>
        <w:rPr>
          <w:szCs w:val="20"/>
        </w:rPr>
        <w:t>respective</w:t>
      </w:r>
      <w:r w:rsidRPr="008917B7">
        <w:rPr>
          <w:szCs w:val="20"/>
        </w:rPr>
        <w:t xml:space="preserve"> lowest lethal doses of 10 and 40 mg/kg bw were determined.</w:t>
      </w:r>
    </w:p>
    <w:p w14:paraId="0EA88FCF" w14:textId="70217FE5" w:rsidR="008E67EA" w:rsidRPr="007D5C43" w:rsidRDefault="008E67EA">
      <w:pPr>
        <w:pStyle w:val="NumberLevel1"/>
        <w:numPr>
          <w:ilvl w:val="0"/>
          <w:numId w:val="15"/>
        </w:numPr>
        <w:rPr>
          <w:color w:val="000000" w:themeColor="text1"/>
        </w:rPr>
      </w:pPr>
      <w:r w:rsidRPr="007D5C43">
        <w:rPr>
          <w:color w:val="000000" w:themeColor="text1"/>
        </w:rPr>
        <w:t xml:space="preserve">Based on </w:t>
      </w:r>
      <w:r w:rsidRPr="00537245">
        <w:rPr>
          <w:color w:val="000000" w:themeColor="text1"/>
        </w:rPr>
        <w:t>my review and consideration</w:t>
      </w:r>
      <w:r w:rsidRPr="007D5C43">
        <w:rPr>
          <w:color w:val="000000" w:themeColor="text1"/>
        </w:rPr>
        <w:t xml:space="preserve"> the assessment of environmental toxicology studies set out in section</w:t>
      </w:r>
      <w:r>
        <w:rPr>
          <w:color w:val="000000" w:themeColor="text1"/>
        </w:rPr>
        <w:t>s</w:t>
      </w:r>
      <w:r w:rsidRPr="007D5C43">
        <w:rPr>
          <w:color w:val="000000" w:themeColor="text1"/>
        </w:rPr>
        <w:t xml:space="preserve"> </w:t>
      </w:r>
      <w:r w:rsidRPr="007D5C43">
        <w:rPr>
          <w:i/>
          <w:iCs/>
        </w:rPr>
        <w:t>‘3.2.2 Effects on other non-target species’</w:t>
      </w:r>
      <w:r w:rsidRPr="007D5C43">
        <w:rPr>
          <w:color w:val="000000" w:themeColor="text1"/>
        </w:rPr>
        <w:t xml:space="preserve"> </w:t>
      </w:r>
      <w:r>
        <w:rPr>
          <w:color w:val="000000" w:themeColor="text1"/>
        </w:rPr>
        <w:t xml:space="preserve">and </w:t>
      </w:r>
      <w:r w:rsidRPr="00537245">
        <w:rPr>
          <w:i/>
          <w:iCs/>
          <w:color w:val="000000" w:themeColor="text1"/>
        </w:rPr>
        <w:t xml:space="preserve">‘3.3.3 Risks to other non-target species’ </w:t>
      </w:r>
      <w:r w:rsidRPr="007D5C43">
        <w:rPr>
          <w:color w:val="000000" w:themeColor="text1"/>
        </w:rPr>
        <w:t xml:space="preserve">of the </w:t>
      </w:r>
      <w:r w:rsidRPr="007D5C43">
        <w:rPr>
          <w:i/>
          <w:iCs/>
          <w:color w:val="000000" w:themeColor="text1"/>
        </w:rPr>
        <w:t>Anticoagulant Rodenticides Review Technical Report</w:t>
      </w:r>
      <w:r w:rsidRPr="007D5C43">
        <w:rPr>
          <w:color w:val="000000" w:themeColor="text1"/>
        </w:rPr>
        <w:t xml:space="preserve">, </w:t>
      </w:r>
      <w:r w:rsidRPr="00537245">
        <w:rPr>
          <w:color w:val="000000" w:themeColor="text1"/>
        </w:rPr>
        <w:t>I consider</w:t>
      </w:r>
      <w:r w:rsidRPr="007D5C43">
        <w:rPr>
          <w:color w:val="000000" w:themeColor="text1"/>
        </w:rPr>
        <w:t xml:space="preserve"> that there is sufficient toxicology information to assess the risks to aquatic species, biological methods of sewerage treatments and soil organisms from the current use of anticoagulant rodenticides </w:t>
      </w:r>
      <w:r w:rsidRPr="007D5C43">
        <w:t>in agricultural chemical products</w:t>
      </w:r>
      <w:r w:rsidRPr="007D5C43">
        <w:rPr>
          <w:color w:val="000000" w:themeColor="text1"/>
        </w:rPr>
        <w:t>.</w:t>
      </w:r>
    </w:p>
    <w:p w14:paraId="73A1B02B" w14:textId="77777777" w:rsidR="008E67EA" w:rsidRPr="007D5C43" w:rsidRDefault="008E67EA">
      <w:pPr>
        <w:pStyle w:val="NumberLevel2"/>
        <w:numPr>
          <w:ilvl w:val="1"/>
          <w:numId w:val="15"/>
        </w:numPr>
        <w:rPr>
          <w:color w:val="000000" w:themeColor="text1"/>
          <w:szCs w:val="20"/>
        </w:rPr>
      </w:pPr>
      <w:r w:rsidRPr="007D5C43">
        <w:rPr>
          <w:color w:val="000000" w:themeColor="text1"/>
          <w:szCs w:val="20"/>
        </w:rPr>
        <w:t>In the available effects studies for aquatic species, brodifacoum, difenacoum, difethialone, flocoumafen were shown to be very toxic to aquatic life, diphacinone and bromadiolone were shown to be toxic to aquatic life, and coumatetralyl was found to have a low to moderate toxicity to aquatic life. There were no studies on the toxicity of warfarin to aquatic species available</w:t>
      </w:r>
      <w:r>
        <w:rPr>
          <w:color w:val="000000" w:themeColor="text1"/>
          <w:szCs w:val="20"/>
        </w:rPr>
        <w:t>.</w:t>
      </w:r>
    </w:p>
    <w:p w14:paraId="1CF055C3" w14:textId="11CAB751" w:rsidR="008E67EA" w:rsidRPr="007D5C43" w:rsidRDefault="008E67EA">
      <w:pPr>
        <w:pStyle w:val="NumberLevel2"/>
        <w:numPr>
          <w:ilvl w:val="1"/>
          <w:numId w:val="15"/>
        </w:numPr>
        <w:rPr>
          <w:color w:val="000000" w:themeColor="text1"/>
          <w:szCs w:val="20"/>
        </w:rPr>
      </w:pPr>
      <w:r w:rsidRPr="007D5C43">
        <w:rPr>
          <w:color w:val="000000" w:themeColor="text1"/>
          <w:szCs w:val="20"/>
        </w:rPr>
        <w:t xml:space="preserve">The accidental exposure of sewage treatment plants to agricultural chemicals has the potential to result in an unintended effect that is harmful to biological methods of sewage treatment. In the available effects studies for biological methods of sewage treatment, coumatetralyl and bromadiolone were shown to inhibit bacterial activity </w:t>
      </w:r>
      <w:r w:rsidRPr="007D5C43">
        <w:rPr>
          <w:szCs w:val="20"/>
        </w:rPr>
        <w:t>in an activated sludge inhibition test</w:t>
      </w:r>
      <w:r w:rsidRPr="007D5C43">
        <w:rPr>
          <w:color w:val="000000" w:themeColor="text1"/>
          <w:szCs w:val="20"/>
        </w:rPr>
        <w:t xml:space="preserve"> at relatively high concentrations. However, brodifacoum, difenacoum, difethialone and flocoumafen did not inhibit bacterial activity at the highest concentrations tested, which was limited by the solubility of these active constituents.</w:t>
      </w:r>
    </w:p>
    <w:p w14:paraId="4B16E24C" w14:textId="2DCC7FEA" w:rsidR="008E67EA" w:rsidRPr="007D5C43" w:rsidRDefault="008E67EA">
      <w:pPr>
        <w:pStyle w:val="NumberLevel2"/>
        <w:numPr>
          <w:ilvl w:val="1"/>
          <w:numId w:val="15"/>
        </w:numPr>
        <w:rPr>
          <w:color w:val="000000" w:themeColor="text1"/>
        </w:rPr>
      </w:pPr>
      <w:r w:rsidRPr="007D5C43">
        <w:rPr>
          <w:color w:val="000000" w:themeColor="text1"/>
        </w:rPr>
        <w:lastRenderedPageBreak/>
        <w:t xml:space="preserve">The difethialone and flocoumafen RALs for aquatic species and </w:t>
      </w:r>
      <w:r w:rsidRPr="007D5C43">
        <w:rPr>
          <w:color w:val="000000" w:themeColor="text1"/>
          <w:szCs w:val="20"/>
        </w:rPr>
        <w:t>biological methods of sewage treatment</w:t>
      </w:r>
      <w:r w:rsidRPr="007D5C43">
        <w:rPr>
          <w:color w:val="000000" w:themeColor="text1"/>
        </w:rPr>
        <w:t xml:space="preserve"> listed in </w:t>
      </w:r>
      <w:r w:rsidRPr="007D5C43">
        <w:rPr>
          <w:color w:val="000000" w:themeColor="text1"/>
        </w:rPr>
        <w:fldChar w:fldCharType="begin"/>
      </w:r>
      <w:r w:rsidRPr="007D5C43">
        <w:rPr>
          <w:color w:val="000000" w:themeColor="text1"/>
        </w:rPr>
        <w:instrText xml:space="preserve"> REF _Ref199880196 \h </w:instrText>
      </w:r>
      <w:r>
        <w:rPr>
          <w:color w:val="000000" w:themeColor="text1"/>
        </w:rPr>
        <w:instrText xml:space="preserve"> \* MERGEFORMAT </w:instrText>
      </w:r>
      <w:r w:rsidRPr="007D5C43">
        <w:rPr>
          <w:color w:val="000000" w:themeColor="text1"/>
        </w:rPr>
      </w:r>
      <w:r w:rsidRPr="007D5C43">
        <w:rPr>
          <w:color w:val="000000" w:themeColor="text1"/>
        </w:rPr>
        <w:fldChar w:fldCharType="separate"/>
      </w:r>
      <w:r w:rsidR="002C0C2A">
        <w:t xml:space="preserve">Table </w:t>
      </w:r>
      <w:r w:rsidR="002C0C2A">
        <w:rPr>
          <w:noProof/>
        </w:rPr>
        <w:t>4</w:t>
      </w:r>
      <w:r w:rsidRPr="007D5C43">
        <w:rPr>
          <w:color w:val="000000" w:themeColor="text1"/>
        </w:rPr>
        <w:fldChar w:fldCharType="end"/>
      </w:r>
      <w:r w:rsidRPr="007D5C43">
        <w:rPr>
          <w:color w:val="000000" w:themeColor="text1"/>
        </w:rPr>
        <w:t xml:space="preserve"> were derived for </w:t>
      </w:r>
      <w:r w:rsidRPr="007D5C43">
        <w:t xml:space="preserve">quantitative </w:t>
      </w:r>
      <w:r w:rsidRPr="007D5C43">
        <w:rPr>
          <w:color w:val="000000" w:themeColor="text1"/>
        </w:rPr>
        <w:t xml:space="preserve">risk assessment purposes, as exposure of these non-target organisms is possible due to the current approved use of difethialone and flocoumafen in sewers. These RALs were calculated based on endpoints from the most sensitive available effects studies and application of a standard 10-fold assessment factor. </w:t>
      </w:r>
      <w:r w:rsidRPr="00537245">
        <w:rPr>
          <w:color w:val="000000" w:themeColor="text1"/>
        </w:rPr>
        <w:t>I find</w:t>
      </w:r>
      <w:r w:rsidRPr="007D5C43">
        <w:rPr>
          <w:color w:val="000000" w:themeColor="text1"/>
        </w:rPr>
        <w:t xml:space="preserve"> that exposure of aquatic species and </w:t>
      </w:r>
      <w:r w:rsidRPr="007D5C43">
        <w:rPr>
          <w:color w:val="000000" w:themeColor="text1"/>
          <w:szCs w:val="20"/>
        </w:rPr>
        <w:t>biological methods of sewage treatment</w:t>
      </w:r>
      <w:r w:rsidRPr="007D5C43">
        <w:rPr>
          <w:color w:val="000000" w:themeColor="text1"/>
        </w:rPr>
        <w:t xml:space="preserve"> to the active constituents difethialone and flocoumafen below the respective RALs listed in </w:t>
      </w:r>
      <w:r w:rsidRPr="007D5C43">
        <w:rPr>
          <w:color w:val="000000" w:themeColor="text1"/>
        </w:rPr>
        <w:fldChar w:fldCharType="begin"/>
      </w:r>
      <w:r w:rsidRPr="007D5C43">
        <w:rPr>
          <w:color w:val="000000" w:themeColor="text1"/>
        </w:rPr>
        <w:instrText xml:space="preserve"> REF _Ref199880196 \h </w:instrText>
      </w:r>
      <w:r>
        <w:rPr>
          <w:color w:val="000000" w:themeColor="text1"/>
        </w:rPr>
        <w:instrText xml:space="preserve"> \* MERGEFORMAT </w:instrText>
      </w:r>
      <w:r w:rsidRPr="007D5C43">
        <w:rPr>
          <w:color w:val="000000" w:themeColor="text1"/>
        </w:rPr>
      </w:r>
      <w:r w:rsidRPr="007D5C43">
        <w:rPr>
          <w:color w:val="000000" w:themeColor="text1"/>
        </w:rPr>
        <w:fldChar w:fldCharType="separate"/>
      </w:r>
      <w:r w:rsidR="002C0C2A">
        <w:t xml:space="preserve">Table </w:t>
      </w:r>
      <w:r w:rsidR="002C0C2A">
        <w:rPr>
          <w:noProof/>
        </w:rPr>
        <w:t>4</w:t>
      </w:r>
      <w:r w:rsidRPr="007D5C43">
        <w:rPr>
          <w:color w:val="000000" w:themeColor="text1"/>
        </w:rPr>
        <w:fldChar w:fldCharType="end"/>
      </w:r>
      <w:r w:rsidRPr="007D5C43">
        <w:rPr>
          <w:color w:val="000000" w:themeColor="text1"/>
        </w:rPr>
        <w:t xml:space="preserve"> is not expected to have an effect that is harmful to these non-target organisms</w:t>
      </w:r>
      <w:r w:rsidR="00203C18">
        <w:rPr>
          <w:color w:val="000000" w:themeColor="text1"/>
        </w:rPr>
        <w:t>.</w:t>
      </w:r>
    </w:p>
    <w:p w14:paraId="47F449E3" w14:textId="5BC43F2A" w:rsidR="008E67EA" w:rsidRPr="007D5C43" w:rsidRDefault="008E67EA">
      <w:pPr>
        <w:pStyle w:val="NumberLevel2"/>
        <w:numPr>
          <w:ilvl w:val="1"/>
          <w:numId w:val="15"/>
        </w:numPr>
        <w:rPr>
          <w:color w:val="000000" w:themeColor="text1"/>
        </w:rPr>
      </w:pPr>
      <w:r w:rsidRPr="007D5C43">
        <w:rPr>
          <w:color w:val="000000" w:themeColor="text1"/>
        </w:rPr>
        <w:t xml:space="preserve">In the available effects studies for soil organisms, </w:t>
      </w:r>
      <w:bookmarkStart w:id="66" w:name="_Hlk199880618"/>
      <w:r w:rsidRPr="007D5C43">
        <w:rPr>
          <w:color w:val="000000" w:themeColor="text1"/>
        </w:rPr>
        <w:t xml:space="preserve">brodifacoum, bromadiolone, coumatetralyl, difenacoum and difethialone </w:t>
      </w:r>
      <w:bookmarkEnd w:id="66"/>
      <w:r w:rsidRPr="007D5C43">
        <w:rPr>
          <w:color w:val="000000" w:themeColor="text1"/>
        </w:rPr>
        <w:t>were shown to have a low toxicity to soil m</w:t>
      </w:r>
      <w:r w:rsidRPr="007D5C43">
        <w:rPr>
          <w:color w:val="000000" w:themeColor="text1"/>
          <w:szCs w:val="17"/>
        </w:rPr>
        <w:t>acro-organisms such as earthworms</w:t>
      </w:r>
      <w:r w:rsidRPr="007D5C43">
        <w:rPr>
          <w:color w:val="000000" w:themeColor="text1"/>
        </w:rPr>
        <w:t xml:space="preserve">, and flocoumafen was shown to have a dose-dependent inhibition effect on the reproduction of soil macro-organisms following long-term exposure. </w:t>
      </w:r>
      <w:bookmarkStart w:id="67" w:name="_Hlk199882501"/>
      <w:r w:rsidRPr="007D5C43">
        <w:rPr>
          <w:color w:val="000000" w:themeColor="text1"/>
        </w:rPr>
        <w:t xml:space="preserve">The RALs for soil organisms listed in </w:t>
      </w:r>
      <w:r w:rsidRPr="007D5C43">
        <w:rPr>
          <w:color w:val="000000" w:themeColor="text1"/>
        </w:rPr>
        <w:fldChar w:fldCharType="begin"/>
      </w:r>
      <w:r w:rsidRPr="007D5C43">
        <w:rPr>
          <w:color w:val="000000" w:themeColor="text1"/>
        </w:rPr>
        <w:instrText xml:space="preserve"> REF _Ref199880196 \h </w:instrText>
      </w:r>
      <w:r>
        <w:rPr>
          <w:color w:val="000000" w:themeColor="text1"/>
        </w:rPr>
        <w:instrText xml:space="preserve"> \* MERGEFORMAT </w:instrText>
      </w:r>
      <w:r w:rsidRPr="007D5C43">
        <w:rPr>
          <w:color w:val="000000" w:themeColor="text1"/>
        </w:rPr>
      </w:r>
      <w:r w:rsidRPr="007D5C43">
        <w:rPr>
          <w:color w:val="000000" w:themeColor="text1"/>
        </w:rPr>
        <w:fldChar w:fldCharType="separate"/>
      </w:r>
      <w:r w:rsidR="002C0C2A">
        <w:t xml:space="preserve">Table </w:t>
      </w:r>
      <w:r w:rsidR="002C0C2A">
        <w:rPr>
          <w:noProof/>
        </w:rPr>
        <w:t>4</w:t>
      </w:r>
      <w:r w:rsidRPr="007D5C43">
        <w:rPr>
          <w:color w:val="000000" w:themeColor="text1"/>
        </w:rPr>
        <w:fldChar w:fldCharType="end"/>
      </w:r>
      <w:r w:rsidRPr="007D5C43">
        <w:rPr>
          <w:color w:val="000000" w:themeColor="text1"/>
        </w:rPr>
        <w:t xml:space="preserve"> were derived for </w:t>
      </w:r>
      <w:r w:rsidRPr="007D5C43">
        <w:t xml:space="preserve">quantitative </w:t>
      </w:r>
      <w:r w:rsidRPr="007D5C43">
        <w:rPr>
          <w:color w:val="000000" w:themeColor="text1"/>
        </w:rPr>
        <w:t xml:space="preserve">risk assessment purposes, based on endpoints from the available effects studies and, for acute exposure endpoints only, application of a standard 10-fold assessment factor. </w:t>
      </w:r>
      <w:bookmarkEnd w:id="67"/>
      <w:r w:rsidRPr="00537245">
        <w:rPr>
          <w:color w:val="000000" w:themeColor="text1"/>
        </w:rPr>
        <w:t>I find</w:t>
      </w:r>
      <w:r w:rsidRPr="007D5C43">
        <w:rPr>
          <w:color w:val="000000" w:themeColor="text1"/>
        </w:rPr>
        <w:t xml:space="preserve"> that exposure of soil organisms to brodifacoum, bromadiolone, coumatetralyl, difenacoum and difethialone below the respective RALs listed in </w:t>
      </w:r>
      <w:r w:rsidRPr="007D5C43">
        <w:rPr>
          <w:color w:val="000000" w:themeColor="text1"/>
        </w:rPr>
        <w:fldChar w:fldCharType="begin"/>
      </w:r>
      <w:r w:rsidRPr="007D5C43">
        <w:rPr>
          <w:color w:val="000000" w:themeColor="text1"/>
        </w:rPr>
        <w:instrText xml:space="preserve"> REF _Ref199880196 \h </w:instrText>
      </w:r>
      <w:r>
        <w:rPr>
          <w:color w:val="000000" w:themeColor="text1"/>
        </w:rPr>
        <w:instrText xml:space="preserve"> \* MERGEFORMAT </w:instrText>
      </w:r>
      <w:r w:rsidRPr="007D5C43">
        <w:rPr>
          <w:color w:val="000000" w:themeColor="text1"/>
        </w:rPr>
      </w:r>
      <w:r w:rsidRPr="007D5C43">
        <w:rPr>
          <w:color w:val="000000" w:themeColor="text1"/>
        </w:rPr>
        <w:fldChar w:fldCharType="separate"/>
      </w:r>
      <w:r w:rsidR="002C0C2A">
        <w:t xml:space="preserve">Table </w:t>
      </w:r>
      <w:r w:rsidR="002C0C2A">
        <w:rPr>
          <w:noProof/>
        </w:rPr>
        <w:t>4</w:t>
      </w:r>
      <w:r w:rsidRPr="007D5C43">
        <w:rPr>
          <w:color w:val="000000" w:themeColor="text1"/>
        </w:rPr>
        <w:fldChar w:fldCharType="end"/>
      </w:r>
      <w:r w:rsidRPr="007D5C43">
        <w:rPr>
          <w:color w:val="000000" w:themeColor="text1"/>
        </w:rPr>
        <w:t xml:space="preserve"> is not expected to have an effect that is harmful to soil organisms.</w:t>
      </w:r>
    </w:p>
    <w:bookmarkEnd w:id="63"/>
    <w:p w14:paraId="01C35FDC" w14:textId="45491DDD" w:rsidR="008E67EA" w:rsidRPr="007D5C43" w:rsidRDefault="008E67EA">
      <w:pPr>
        <w:pStyle w:val="NumberLevel2"/>
        <w:numPr>
          <w:ilvl w:val="1"/>
          <w:numId w:val="15"/>
        </w:numPr>
      </w:pPr>
      <w:r w:rsidRPr="007D5C43">
        <w:t xml:space="preserve">There are no studies on the effects of the active constituents diphacinone and warfarin on biological methods of sewage treatment or soil organisms. </w:t>
      </w:r>
      <w:r w:rsidRPr="00537245">
        <w:t>I consider</w:t>
      </w:r>
      <w:r w:rsidRPr="007D5C43">
        <w:t xml:space="preserve"> this acceptable as exposure of biological methods of sewage treatment is not expected from these active constituents (nor brodifacoum, bromadiolone, coumatetralyl or difethialone) as they are not approved for use in sewers, and any potential soil exposure from diphacinone and warfarin may be considered insignificant as only spot contamination of soil is expected.</w:t>
      </w:r>
    </w:p>
    <w:p w14:paraId="3F413EF5" w14:textId="77777777" w:rsidR="008E67EA" w:rsidRPr="007D5C43" w:rsidRDefault="008E67EA">
      <w:pPr>
        <w:pStyle w:val="NumberLevel2"/>
        <w:numPr>
          <w:ilvl w:val="1"/>
          <w:numId w:val="15"/>
        </w:numPr>
      </w:pPr>
      <w:r w:rsidRPr="007D5C43">
        <w:t>I also note that RALs for exposure of aquatic species to the active constituents brodifacoum, bromadiolone, coumatetralyl, difethialone, diphacinone and warfarin were not derived for quantitative risks assessment purposes, as the risks to aquatic species from of these active constituents could be deemed acceptable based on the current approved uses, provided that some minor precautionary measures are taken.</w:t>
      </w:r>
    </w:p>
    <w:p w14:paraId="45191426" w14:textId="1C3091DC" w:rsidR="008E67EA" w:rsidRDefault="008E67EA" w:rsidP="008E67EA">
      <w:pPr>
        <w:pStyle w:val="Caption"/>
        <w:keepNext/>
        <w:ind w:left="567"/>
      </w:pPr>
      <w:bookmarkStart w:id="68" w:name="_Ref199880196"/>
      <w:r>
        <w:t xml:space="preserve">Table </w:t>
      </w:r>
      <w:r>
        <w:fldChar w:fldCharType="begin"/>
      </w:r>
      <w:r>
        <w:instrText xml:space="preserve"> SEQ Table \* ARABIC </w:instrText>
      </w:r>
      <w:r>
        <w:fldChar w:fldCharType="separate"/>
      </w:r>
      <w:r w:rsidR="002C0C2A">
        <w:rPr>
          <w:noProof/>
        </w:rPr>
        <w:t>4</w:t>
      </w:r>
      <w:r>
        <w:fldChar w:fldCharType="end"/>
      </w:r>
      <w:bookmarkEnd w:id="68"/>
      <w:r>
        <w:t>: Regulatory acceptable levels (RALs) for exposure of aquatic species, biological methods of sewerage treatment and soil organisms to certain anticoagulant rodenticides</w:t>
      </w:r>
    </w:p>
    <w:tbl>
      <w:tblPr>
        <w:tblW w:w="4696"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986"/>
        <w:gridCol w:w="1416"/>
        <w:gridCol w:w="3829"/>
        <w:gridCol w:w="1812"/>
      </w:tblGrid>
      <w:tr w:rsidR="008E67EA" w:rsidRPr="006B74D1" w14:paraId="65AD989F" w14:textId="77777777" w:rsidTr="00B44A74">
        <w:trPr>
          <w:cantSplit/>
          <w:tblHeader/>
        </w:trPr>
        <w:tc>
          <w:tcPr>
            <w:tcW w:w="1098" w:type="pct"/>
            <w:tcBorders>
              <w:top w:val="single" w:sz="4" w:space="0" w:color="auto"/>
              <w:left w:val="single" w:sz="4" w:space="0" w:color="auto"/>
              <w:bottom w:val="single" w:sz="4" w:space="0" w:color="auto"/>
              <w:right w:val="single" w:sz="4" w:space="0" w:color="auto"/>
            </w:tcBorders>
            <w:shd w:val="clear" w:color="auto" w:fill="E6E6E6"/>
          </w:tcPr>
          <w:p w14:paraId="6E26C9CC" w14:textId="77777777" w:rsidR="008E67EA" w:rsidRPr="003C572C" w:rsidRDefault="008E67EA" w:rsidP="00B44A74">
            <w:pPr>
              <w:pStyle w:val="TableHead"/>
              <w:spacing w:before="0" w:after="0"/>
              <w:rPr>
                <w:color w:val="auto"/>
              </w:rPr>
            </w:pPr>
            <w:r>
              <w:rPr>
                <w:color w:val="auto"/>
              </w:rPr>
              <w:t>Non-target group</w:t>
            </w:r>
          </w:p>
        </w:tc>
        <w:tc>
          <w:tcPr>
            <w:tcW w:w="783" w:type="pct"/>
            <w:tcBorders>
              <w:top w:val="single" w:sz="4" w:space="0" w:color="auto"/>
              <w:left w:val="single" w:sz="4" w:space="0" w:color="auto"/>
              <w:bottom w:val="single" w:sz="4" w:space="0" w:color="auto"/>
              <w:right w:val="single" w:sz="4" w:space="0" w:color="auto"/>
            </w:tcBorders>
            <w:shd w:val="clear" w:color="auto" w:fill="E6E6E6"/>
            <w:hideMark/>
          </w:tcPr>
          <w:p w14:paraId="611888B3" w14:textId="77777777" w:rsidR="008E67EA" w:rsidRPr="003C572C" w:rsidRDefault="008E67EA" w:rsidP="00B44A74">
            <w:pPr>
              <w:pStyle w:val="TableHead"/>
              <w:spacing w:before="0" w:after="0"/>
              <w:rPr>
                <w:color w:val="auto"/>
              </w:rPr>
            </w:pPr>
            <w:r w:rsidRPr="003C572C">
              <w:rPr>
                <w:color w:val="auto"/>
              </w:rPr>
              <w:t>Active</w:t>
            </w:r>
          </w:p>
        </w:tc>
        <w:tc>
          <w:tcPr>
            <w:tcW w:w="2117" w:type="pct"/>
            <w:tcBorders>
              <w:top w:val="single" w:sz="4" w:space="0" w:color="auto"/>
              <w:left w:val="single" w:sz="4" w:space="0" w:color="auto"/>
              <w:bottom w:val="single" w:sz="4" w:space="0" w:color="auto"/>
              <w:right w:val="single" w:sz="4" w:space="0" w:color="auto"/>
            </w:tcBorders>
            <w:shd w:val="clear" w:color="auto" w:fill="E6E6E6"/>
          </w:tcPr>
          <w:p w14:paraId="054122F5" w14:textId="77777777" w:rsidR="008E67EA" w:rsidRDefault="008E67EA" w:rsidP="00B44A74">
            <w:pPr>
              <w:pStyle w:val="TableHead"/>
              <w:spacing w:before="0" w:after="0"/>
              <w:rPr>
                <w:color w:val="auto"/>
              </w:rPr>
            </w:pPr>
            <w:r>
              <w:rPr>
                <w:color w:val="auto"/>
              </w:rPr>
              <w:t>Study</w:t>
            </w:r>
          </w:p>
        </w:tc>
        <w:tc>
          <w:tcPr>
            <w:tcW w:w="1002" w:type="pct"/>
            <w:tcBorders>
              <w:top w:val="single" w:sz="4" w:space="0" w:color="auto"/>
              <w:left w:val="single" w:sz="4" w:space="0" w:color="auto"/>
              <w:bottom w:val="single" w:sz="4" w:space="0" w:color="auto"/>
              <w:right w:val="single" w:sz="4" w:space="0" w:color="auto"/>
            </w:tcBorders>
            <w:shd w:val="clear" w:color="auto" w:fill="E6E6E6"/>
          </w:tcPr>
          <w:p w14:paraId="2EE6C202" w14:textId="77777777" w:rsidR="008E67EA" w:rsidRPr="003C572C" w:rsidRDefault="008E67EA" w:rsidP="00B44A74">
            <w:pPr>
              <w:pStyle w:val="TableHead"/>
              <w:spacing w:before="0" w:after="0"/>
              <w:rPr>
                <w:color w:val="auto"/>
              </w:rPr>
            </w:pPr>
            <w:r>
              <w:rPr>
                <w:color w:val="auto"/>
              </w:rPr>
              <w:t>RAL</w:t>
            </w:r>
          </w:p>
        </w:tc>
      </w:tr>
      <w:tr w:rsidR="008E67EA" w:rsidRPr="006B74D1" w14:paraId="7A3A6328" w14:textId="77777777" w:rsidTr="00B44A74">
        <w:trPr>
          <w:cantSplit/>
        </w:trPr>
        <w:tc>
          <w:tcPr>
            <w:tcW w:w="1098" w:type="pct"/>
            <w:vMerge w:val="restart"/>
            <w:tcBorders>
              <w:top w:val="single" w:sz="4" w:space="0" w:color="auto"/>
              <w:left w:val="single" w:sz="4" w:space="0" w:color="auto"/>
              <w:right w:val="single" w:sz="4" w:space="0" w:color="auto"/>
            </w:tcBorders>
          </w:tcPr>
          <w:p w14:paraId="4FC4FA0E" w14:textId="77777777" w:rsidR="008E67EA" w:rsidRDefault="008E67EA" w:rsidP="00B44A74">
            <w:pPr>
              <w:pStyle w:val="APVMATableText"/>
              <w:spacing w:before="0" w:after="0"/>
              <w:rPr>
                <w:szCs w:val="17"/>
              </w:rPr>
            </w:pPr>
            <w:r>
              <w:t>Aquatic species</w:t>
            </w:r>
          </w:p>
        </w:tc>
        <w:tc>
          <w:tcPr>
            <w:tcW w:w="783" w:type="pct"/>
            <w:tcBorders>
              <w:top w:val="single" w:sz="4" w:space="0" w:color="auto"/>
              <w:left w:val="single" w:sz="4" w:space="0" w:color="auto"/>
              <w:bottom w:val="single" w:sz="4" w:space="0" w:color="auto"/>
              <w:right w:val="single" w:sz="4" w:space="0" w:color="auto"/>
            </w:tcBorders>
          </w:tcPr>
          <w:p w14:paraId="52B9D34F" w14:textId="77777777" w:rsidR="008E67EA" w:rsidRPr="003C572C" w:rsidRDefault="008E67EA" w:rsidP="00B44A74">
            <w:pPr>
              <w:pStyle w:val="APVMATableText"/>
              <w:spacing w:before="0" w:after="0"/>
            </w:pPr>
            <w:r>
              <w:rPr>
                <w:szCs w:val="17"/>
              </w:rPr>
              <w:t>Difethialone</w:t>
            </w:r>
          </w:p>
        </w:tc>
        <w:tc>
          <w:tcPr>
            <w:tcW w:w="2117" w:type="pct"/>
            <w:tcBorders>
              <w:top w:val="single" w:sz="4" w:space="0" w:color="auto"/>
              <w:left w:val="single" w:sz="4" w:space="0" w:color="auto"/>
              <w:bottom w:val="single" w:sz="4" w:space="0" w:color="auto"/>
              <w:right w:val="single" w:sz="4" w:space="0" w:color="auto"/>
            </w:tcBorders>
          </w:tcPr>
          <w:p w14:paraId="3DEC70F0" w14:textId="77777777" w:rsidR="008E67EA" w:rsidRPr="003C572C" w:rsidRDefault="008E67EA" w:rsidP="00B44A74">
            <w:pPr>
              <w:pStyle w:val="APVMATableText"/>
              <w:spacing w:before="0" w:after="0"/>
            </w:pPr>
            <w:r>
              <w:rPr>
                <w:szCs w:val="17"/>
              </w:rPr>
              <w:t>EC</w:t>
            </w:r>
            <w:r w:rsidRPr="00066436">
              <w:rPr>
                <w:szCs w:val="17"/>
                <w:vertAlign w:val="subscript"/>
              </w:rPr>
              <w:t>50</w:t>
            </w:r>
            <w:r>
              <w:rPr>
                <w:szCs w:val="17"/>
              </w:rPr>
              <w:t xml:space="preserve"> 0.0044 mg/L</w:t>
            </w:r>
            <w:r>
              <w:t xml:space="preserve"> –</w:t>
            </w:r>
            <w:r>
              <w:rPr>
                <w:szCs w:val="17"/>
                <w:lang w:eastAsia="en-AU"/>
              </w:rPr>
              <w:t xml:space="preserve"> a</w:t>
            </w:r>
            <w:r w:rsidRPr="009A2082">
              <w:t xml:space="preserve">cute </w:t>
            </w:r>
            <w:r>
              <w:t>exposure of i</w:t>
            </w:r>
            <w:r w:rsidRPr="009A2082">
              <w:t>nvertebrates</w:t>
            </w:r>
            <w:r>
              <w:t xml:space="preserve"> (</w:t>
            </w:r>
            <w:r w:rsidRPr="009A2082">
              <w:rPr>
                <w:i/>
                <w:iCs/>
              </w:rPr>
              <w:t>Daphnia magna</w:t>
            </w:r>
            <w:r>
              <w:t>)</w:t>
            </w:r>
          </w:p>
        </w:tc>
        <w:tc>
          <w:tcPr>
            <w:tcW w:w="1002" w:type="pct"/>
            <w:tcBorders>
              <w:top w:val="single" w:sz="4" w:space="0" w:color="auto"/>
              <w:left w:val="single" w:sz="4" w:space="0" w:color="auto"/>
              <w:bottom w:val="single" w:sz="4" w:space="0" w:color="auto"/>
              <w:right w:val="single" w:sz="4" w:space="0" w:color="auto"/>
            </w:tcBorders>
          </w:tcPr>
          <w:p w14:paraId="32B58EF7" w14:textId="77777777" w:rsidR="008E67EA" w:rsidRPr="003C572C" w:rsidRDefault="008E67EA" w:rsidP="00B44A74">
            <w:pPr>
              <w:pStyle w:val="APVMATableText"/>
              <w:spacing w:before="0" w:after="0"/>
            </w:pPr>
            <w:r>
              <w:rPr>
                <w:szCs w:val="17"/>
              </w:rPr>
              <w:t>0.00044 mg/L</w:t>
            </w:r>
          </w:p>
        </w:tc>
      </w:tr>
      <w:tr w:rsidR="008E67EA" w:rsidRPr="006B74D1" w14:paraId="25653EDD" w14:textId="77777777" w:rsidTr="00B44A74">
        <w:trPr>
          <w:cantSplit/>
        </w:trPr>
        <w:tc>
          <w:tcPr>
            <w:tcW w:w="1098" w:type="pct"/>
            <w:vMerge/>
            <w:tcBorders>
              <w:left w:val="single" w:sz="4" w:space="0" w:color="auto"/>
              <w:bottom w:val="single" w:sz="4" w:space="0" w:color="auto"/>
              <w:right w:val="single" w:sz="4" w:space="0" w:color="auto"/>
            </w:tcBorders>
          </w:tcPr>
          <w:p w14:paraId="2CFAF609" w14:textId="77777777" w:rsidR="008E67EA" w:rsidRDefault="008E67EA" w:rsidP="00B44A74">
            <w:pPr>
              <w:pStyle w:val="APVMATableText"/>
              <w:spacing w:before="0" w:after="0"/>
              <w:rPr>
                <w:szCs w:val="17"/>
              </w:rPr>
            </w:pPr>
          </w:p>
        </w:tc>
        <w:tc>
          <w:tcPr>
            <w:tcW w:w="783" w:type="pct"/>
            <w:tcBorders>
              <w:top w:val="single" w:sz="4" w:space="0" w:color="auto"/>
              <w:left w:val="single" w:sz="4" w:space="0" w:color="auto"/>
              <w:bottom w:val="single" w:sz="4" w:space="0" w:color="auto"/>
              <w:right w:val="single" w:sz="4" w:space="0" w:color="auto"/>
            </w:tcBorders>
          </w:tcPr>
          <w:p w14:paraId="32BD7E87" w14:textId="77777777" w:rsidR="008E67EA" w:rsidRPr="003C572C" w:rsidRDefault="008E67EA" w:rsidP="00B44A74">
            <w:pPr>
              <w:pStyle w:val="APVMATableText"/>
              <w:spacing w:before="0" w:after="0"/>
            </w:pPr>
            <w:r>
              <w:rPr>
                <w:szCs w:val="17"/>
              </w:rPr>
              <w:t>Flocoumafen</w:t>
            </w:r>
          </w:p>
        </w:tc>
        <w:tc>
          <w:tcPr>
            <w:tcW w:w="2117" w:type="pct"/>
            <w:tcBorders>
              <w:top w:val="single" w:sz="4" w:space="0" w:color="auto"/>
              <w:left w:val="single" w:sz="4" w:space="0" w:color="auto"/>
              <w:bottom w:val="single" w:sz="4" w:space="0" w:color="auto"/>
              <w:right w:val="single" w:sz="4" w:space="0" w:color="auto"/>
            </w:tcBorders>
          </w:tcPr>
          <w:p w14:paraId="2AABD0EB" w14:textId="77777777" w:rsidR="008E67EA" w:rsidRPr="003C572C" w:rsidRDefault="008E67EA" w:rsidP="00B44A74">
            <w:pPr>
              <w:pStyle w:val="APVMATableText"/>
              <w:spacing w:before="0" w:after="0"/>
            </w:pPr>
            <w:r>
              <w:rPr>
                <w:szCs w:val="17"/>
              </w:rPr>
              <w:t>LC</w:t>
            </w:r>
            <w:r w:rsidRPr="009E1D83">
              <w:rPr>
                <w:szCs w:val="17"/>
                <w:vertAlign w:val="subscript"/>
              </w:rPr>
              <w:t>50</w:t>
            </w:r>
            <w:r>
              <w:rPr>
                <w:szCs w:val="17"/>
              </w:rPr>
              <w:t xml:space="preserve"> 0.070 mg/L</w:t>
            </w:r>
            <w:r w:rsidRPr="009A2082">
              <w:t xml:space="preserve"> </w:t>
            </w:r>
            <w:r>
              <w:t>– a</w:t>
            </w:r>
            <w:r w:rsidRPr="009A2082">
              <w:t xml:space="preserve">cute </w:t>
            </w:r>
            <w:r>
              <w:t>exposure of fish (</w:t>
            </w:r>
            <w:r w:rsidRPr="009A2082">
              <w:rPr>
                <w:i/>
                <w:iCs/>
              </w:rPr>
              <w:t>Oncorhynchus mykiss</w:t>
            </w:r>
            <w:r>
              <w:t>)</w:t>
            </w:r>
          </w:p>
        </w:tc>
        <w:tc>
          <w:tcPr>
            <w:tcW w:w="1002" w:type="pct"/>
            <w:tcBorders>
              <w:top w:val="single" w:sz="4" w:space="0" w:color="auto"/>
              <w:left w:val="single" w:sz="4" w:space="0" w:color="auto"/>
              <w:bottom w:val="single" w:sz="4" w:space="0" w:color="auto"/>
              <w:right w:val="single" w:sz="4" w:space="0" w:color="auto"/>
            </w:tcBorders>
          </w:tcPr>
          <w:p w14:paraId="1C7A92FA" w14:textId="77777777" w:rsidR="008E67EA" w:rsidRPr="003C572C" w:rsidRDefault="008E67EA" w:rsidP="00B44A74">
            <w:pPr>
              <w:pStyle w:val="APVMATableText"/>
              <w:spacing w:before="0" w:after="0"/>
            </w:pPr>
            <w:r>
              <w:rPr>
                <w:szCs w:val="17"/>
              </w:rPr>
              <w:t>0.0070 mg/L</w:t>
            </w:r>
          </w:p>
        </w:tc>
      </w:tr>
      <w:tr w:rsidR="008E67EA" w:rsidRPr="006B74D1" w14:paraId="0670092D" w14:textId="77777777" w:rsidTr="00B44A74">
        <w:trPr>
          <w:cantSplit/>
        </w:trPr>
        <w:tc>
          <w:tcPr>
            <w:tcW w:w="1098" w:type="pct"/>
            <w:vMerge w:val="restart"/>
            <w:tcBorders>
              <w:top w:val="single" w:sz="4" w:space="0" w:color="auto"/>
              <w:left w:val="single" w:sz="4" w:space="0" w:color="auto"/>
              <w:right w:val="single" w:sz="4" w:space="0" w:color="auto"/>
            </w:tcBorders>
          </w:tcPr>
          <w:p w14:paraId="3829670C" w14:textId="77777777" w:rsidR="008E67EA" w:rsidRDefault="008E67EA" w:rsidP="00B44A74">
            <w:pPr>
              <w:pStyle w:val="APVMATableText"/>
              <w:spacing w:before="0" w:after="0"/>
            </w:pPr>
            <w:r>
              <w:t>B</w:t>
            </w:r>
            <w:r w:rsidRPr="007D29D2">
              <w:t>iological methods of sewage treatment</w:t>
            </w:r>
          </w:p>
        </w:tc>
        <w:tc>
          <w:tcPr>
            <w:tcW w:w="783" w:type="pct"/>
            <w:tcBorders>
              <w:top w:val="single" w:sz="4" w:space="0" w:color="auto"/>
              <w:left w:val="single" w:sz="4" w:space="0" w:color="auto"/>
              <w:right w:val="single" w:sz="4" w:space="0" w:color="auto"/>
            </w:tcBorders>
          </w:tcPr>
          <w:p w14:paraId="27630B22" w14:textId="77777777" w:rsidR="008E67EA" w:rsidRDefault="008E67EA" w:rsidP="00B44A74">
            <w:pPr>
              <w:pStyle w:val="APVMATableText"/>
              <w:spacing w:before="0" w:after="0"/>
              <w:rPr>
                <w:szCs w:val="17"/>
              </w:rPr>
            </w:pPr>
            <w:r>
              <w:rPr>
                <w:szCs w:val="17"/>
              </w:rPr>
              <w:t>Difethialone</w:t>
            </w:r>
          </w:p>
        </w:tc>
        <w:tc>
          <w:tcPr>
            <w:tcW w:w="2117" w:type="pct"/>
            <w:tcBorders>
              <w:top w:val="single" w:sz="4" w:space="0" w:color="auto"/>
              <w:left w:val="single" w:sz="4" w:space="0" w:color="auto"/>
              <w:right w:val="single" w:sz="4" w:space="0" w:color="auto"/>
            </w:tcBorders>
          </w:tcPr>
          <w:p w14:paraId="1DAECDAD" w14:textId="77777777" w:rsidR="008E67EA" w:rsidRDefault="008E67EA" w:rsidP="00B44A74">
            <w:pPr>
              <w:pStyle w:val="APVMATableText"/>
              <w:spacing w:before="0" w:after="0"/>
              <w:rPr>
                <w:szCs w:val="17"/>
              </w:rPr>
            </w:pPr>
            <w:r w:rsidRPr="007F0040">
              <w:rPr>
                <w:szCs w:val="17"/>
              </w:rPr>
              <w:t>EC</w:t>
            </w:r>
            <w:r w:rsidRPr="007F0040">
              <w:rPr>
                <w:szCs w:val="17"/>
                <w:vertAlign w:val="subscript"/>
              </w:rPr>
              <w:t>50</w:t>
            </w:r>
            <w:r w:rsidRPr="007F0040">
              <w:rPr>
                <w:szCs w:val="17"/>
              </w:rPr>
              <w:t xml:space="preserve"> &gt;100 mg/L</w:t>
            </w:r>
            <w:r>
              <w:t xml:space="preserve"> –</w:t>
            </w:r>
            <w:r>
              <w:rPr>
                <w:szCs w:val="17"/>
                <w:lang w:eastAsia="en-AU"/>
              </w:rPr>
              <w:t xml:space="preserve"> a</w:t>
            </w:r>
            <w:r w:rsidRPr="007F0040">
              <w:rPr>
                <w:szCs w:val="17"/>
                <w:lang w:eastAsia="en-AU"/>
              </w:rPr>
              <w:t>ctivated sludge</w:t>
            </w:r>
          </w:p>
        </w:tc>
        <w:tc>
          <w:tcPr>
            <w:tcW w:w="1002" w:type="pct"/>
            <w:tcBorders>
              <w:top w:val="single" w:sz="4" w:space="0" w:color="auto"/>
              <w:left w:val="single" w:sz="4" w:space="0" w:color="auto"/>
              <w:bottom w:val="single" w:sz="4" w:space="0" w:color="auto"/>
              <w:right w:val="single" w:sz="4" w:space="0" w:color="auto"/>
            </w:tcBorders>
          </w:tcPr>
          <w:p w14:paraId="561533C6" w14:textId="77777777" w:rsidR="008E67EA" w:rsidRDefault="008E67EA" w:rsidP="00B44A74">
            <w:pPr>
              <w:pStyle w:val="APVMATableText"/>
              <w:spacing w:before="0" w:after="0"/>
              <w:rPr>
                <w:szCs w:val="17"/>
              </w:rPr>
            </w:pPr>
            <w:r>
              <w:rPr>
                <w:szCs w:val="17"/>
              </w:rPr>
              <w:t>10 mg/L</w:t>
            </w:r>
          </w:p>
        </w:tc>
      </w:tr>
      <w:tr w:rsidR="008E67EA" w:rsidRPr="006B74D1" w14:paraId="3C31E7E0" w14:textId="77777777" w:rsidTr="00B44A74">
        <w:trPr>
          <w:cantSplit/>
        </w:trPr>
        <w:tc>
          <w:tcPr>
            <w:tcW w:w="1098" w:type="pct"/>
            <w:vMerge/>
            <w:tcBorders>
              <w:left w:val="single" w:sz="4" w:space="0" w:color="auto"/>
              <w:right w:val="single" w:sz="4" w:space="0" w:color="auto"/>
            </w:tcBorders>
          </w:tcPr>
          <w:p w14:paraId="131CB973" w14:textId="77777777" w:rsidR="008E67EA" w:rsidRDefault="008E67EA" w:rsidP="00B44A74">
            <w:pPr>
              <w:pStyle w:val="APVMATableText"/>
              <w:spacing w:before="0" w:after="0"/>
            </w:pPr>
          </w:p>
        </w:tc>
        <w:tc>
          <w:tcPr>
            <w:tcW w:w="783" w:type="pct"/>
            <w:tcBorders>
              <w:top w:val="single" w:sz="4" w:space="0" w:color="auto"/>
              <w:left w:val="single" w:sz="4" w:space="0" w:color="auto"/>
              <w:right w:val="single" w:sz="4" w:space="0" w:color="auto"/>
            </w:tcBorders>
          </w:tcPr>
          <w:p w14:paraId="500329CC" w14:textId="77777777" w:rsidR="008E67EA" w:rsidRDefault="008E67EA" w:rsidP="00B44A74">
            <w:pPr>
              <w:pStyle w:val="APVMATableText"/>
              <w:spacing w:before="0" w:after="0"/>
              <w:rPr>
                <w:szCs w:val="17"/>
              </w:rPr>
            </w:pPr>
            <w:r>
              <w:rPr>
                <w:szCs w:val="17"/>
              </w:rPr>
              <w:t>Flocoumafen</w:t>
            </w:r>
          </w:p>
        </w:tc>
        <w:tc>
          <w:tcPr>
            <w:tcW w:w="2117" w:type="pct"/>
            <w:tcBorders>
              <w:top w:val="single" w:sz="4" w:space="0" w:color="auto"/>
              <w:left w:val="single" w:sz="4" w:space="0" w:color="auto"/>
              <w:right w:val="single" w:sz="4" w:space="0" w:color="auto"/>
            </w:tcBorders>
          </w:tcPr>
          <w:p w14:paraId="246759B8" w14:textId="77777777" w:rsidR="008E67EA" w:rsidRDefault="008E67EA" w:rsidP="00B44A74">
            <w:pPr>
              <w:pStyle w:val="APVMATableText"/>
              <w:spacing w:before="0" w:after="0"/>
              <w:rPr>
                <w:szCs w:val="17"/>
              </w:rPr>
            </w:pPr>
            <w:r w:rsidRPr="007F0040">
              <w:rPr>
                <w:szCs w:val="17"/>
              </w:rPr>
              <w:t>EC</w:t>
            </w:r>
            <w:r w:rsidRPr="007F0040">
              <w:rPr>
                <w:szCs w:val="17"/>
                <w:vertAlign w:val="subscript"/>
              </w:rPr>
              <w:t>50</w:t>
            </w:r>
            <w:r w:rsidRPr="007F0040">
              <w:rPr>
                <w:szCs w:val="17"/>
              </w:rPr>
              <w:t xml:space="preserve"> &gt;4.0 mg/L</w:t>
            </w:r>
            <w:r w:rsidRPr="007F0040">
              <w:rPr>
                <w:szCs w:val="17"/>
                <w:lang w:eastAsia="en-AU"/>
              </w:rPr>
              <w:t xml:space="preserve"> </w:t>
            </w:r>
            <w:r>
              <w:t>–</w:t>
            </w:r>
            <w:r>
              <w:rPr>
                <w:szCs w:val="17"/>
                <w:lang w:eastAsia="en-AU"/>
              </w:rPr>
              <w:t xml:space="preserve"> a</w:t>
            </w:r>
            <w:r w:rsidRPr="007F0040">
              <w:rPr>
                <w:szCs w:val="17"/>
                <w:lang w:eastAsia="en-AU"/>
              </w:rPr>
              <w:t>ctivated sludge</w:t>
            </w:r>
          </w:p>
        </w:tc>
        <w:tc>
          <w:tcPr>
            <w:tcW w:w="1002" w:type="pct"/>
            <w:tcBorders>
              <w:top w:val="single" w:sz="4" w:space="0" w:color="auto"/>
              <w:left w:val="single" w:sz="4" w:space="0" w:color="auto"/>
              <w:bottom w:val="single" w:sz="4" w:space="0" w:color="auto"/>
              <w:right w:val="single" w:sz="4" w:space="0" w:color="auto"/>
            </w:tcBorders>
          </w:tcPr>
          <w:p w14:paraId="2BE99CD2" w14:textId="77777777" w:rsidR="008E67EA" w:rsidRDefault="008E67EA" w:rsidP="00B44A74">
            <w:pPr>
              <w:pStyle w:val="APVMATableText"/>
              <w:spacing w:before="0" w:after="0"/>
              <w:rPr>
                <w:szCs w:val="17"/>
              </w:rPr>
            </w:pPr>
            <w:r>
              <w:rPr>
                <w:szCs w:val="17"/>
              </w:rPr>
              <w:t>0.40 mg/L</w:t>
            </w:r>
          </w:p>
        </w:tc>
      </w:tr>
      <w:tr w:rsidR="008E67EA" w:rsidRPr="006B74D1" w14:paraId="6B0ED657" w14:textId="77777777" w:rsidTr="00B44A74">
        <w:trPr>
          <w:cantSplit/>
        </w:trPr>
        <w:tc>
          <w:tcPr>
            <w:tcW w:w="1098" w:type="pct"/>
            <w:vMerge w:val="restart"/>
            <w:tcBorders>
              <w:top w:val="single" w:sz="4" w:space="0" w:color="auto"/>
              <w:left w:val="single" w:sz="4" w:space="0" w:color="auto"/>
              <w:right w:val="single" w:sz="4" w:space="0" w:color="auto"/>
            </w:tcBorders>
          </w:tcPr>
          <w:p w14:paraId="61995011" w14:textId="77777777" w:rsidR="008E67EA" w:rsidRPr="003C572C" w:rsidRDefault="008E67EA" w:rsidP="00B44A74">
            <w:pPr>
              <w:pStyle w:val="APVMATableText"/>
              <w:spacing w:before="0" w:after="0"/>
            </w:pPr>
            <w:r>
              <w:t>Soil organisms</w:t>
            </w:r>
          </w:p>
        </w:tc>
        <w:tc>
          <w:tcPr>
            <w:tcW w:w="783" w:type="pct"/>
            <w:tcBorders>
              <w:top w:val="single" w:sz="4" w:space="0" w:color="auto"/>
              <w:left w:val="single" w:sz="4" w:space="0" w:color="auto"/>
              <w:right w:val="single" w:sz="4" w:space="0" w:color="auto"/>
            </w:tcBorders>
          </w:tcPr>
          <w:p w14:paraId="51A19842" w14:textId="77777777" w:rsidR="008E67EA" w:rsidRPr="003C572C" w:rsidRDefault="008E67EA" w:rsidP="00B44A74">
            <w:pPr>
              <w:pStyle w:val="APVMATableText"/>
              <w:spacing w:before="0" w:after="0"/>
            </w:pPr>
            <w:r>
              <w:rPr>
                <w:szCs w:val="17"/>
              </w:rPr>
              <w:t>Coumatetralyl</w:t>
            </w:r>
          </w:p>
        </w:tc>
        <w:tc>
          <w:tcPr>
            <w:tcW w:w="2117" w:type="pct"/>
            <w:tcBorders>
              <w:top w:val="single" w:sz="4" w:space="0" w:color="auto"/>
              <w:left w:val="single" w:sz="4" w:space="0" w:color="auto"/>
              <w:right w:val="single" w:sz="4" w:space="0" w:color="auto"/>
            </w:tcBorders>
          </w:tcPr>
          <w:p w14:paraId="3F5AEE06" w14:textId="77777777" w:rsidR="008E67EA" w:rsidRPr="003C572C" w:rsidRDefault="008E67EA" w:rsidP="00B44A74">
            <w:pPr>
              <w:pStyle w:val="APVMATableText"/>
              <w:spacing w:before="0" w:after="0"/>
            </w:pPr>
            <w:r>
              <w:rPr>
                <w:szCs w:val="17"/>
              </w:rPr>
              <w:t>LC</w:t>
            </w:r>
            <w:r w:rsidRPr="00C72A63">
              <w:rPr>
                <w:szCs w:val="17"/>
                <w:vertAlign w:val="subscript"/>
              </w:rPr>
              <w:t>50</w:t>
            </w:r>
            <w:r>
              <w:rPr>
                <w:szCs w:val="17"/>
              </w:rPr>
              <w:t xml:space="preserve"> 225 mg/kg dry soil</w:t>
            </w:r>
            <w:r>
              <w:t xml:space="preserve"> – a</w:t>
            </w:r>
            <w:r w:rsidRPr="009A2082">
              <w:t xml:space="preserve">cute </w:t>
            </w:r>
            <w:r>
              <w:t>exposure of m</w:t>
            </w:r>
            <w:r>
              <w:rPr>
                <w:szCs w:val="17"/>
              </w:rPr>
              <w:t>acro-organisms (</w:t>
            </w:r>
            <w:r w:rsidRPr="00C72A63">
              <w:rPr>
                <w:i/>
                <w:iCs/>
                <w:szCs w:val="17"/>
              </w:rPr>
              <w:t>Eisenia fetida</w:t>
            </w:r>
            <w:r>
              <w:rPr>
                <w:i/>
                <w:iCs/>
                <w:szCs w:val="17"/>
              </w:rPr>
              <w:t>)</w:t>
            </w:r>
          </w:p>
        </w:tc>
        <w:tc>
          <w:tcPr>
            <w:tcW w:w="1002" w:type="pct"/>
            <w:tcBorders>
              <w:top w:val="single" w:sz="4" w:space="0" w:color="auto"/>
              <w:left w:val="single" w:sz="4" w:space="0" w:color="auto"/>
              <w:bottom w:val="single" w:sz="4" w:space="0" w:color="auto"/>
              <w:right w:val="single" w:sz="4" w:space="0" w:color="auto"/>
            </w:tcBorders>
          </w:tcPr>
          <w:p w14:paraId="1E6A320D" w14:textId="77777777" w:rsidR="008E67EA" w:rsidRPr="003C572C" w:rsidRDefault="008E67EA" w:rsidP="00B44A74">
            <w:pPr>
              <w:pStyle w:val="APVMATableText"/>
              <w:spacing w:before="0" w:after="0"/>
            </w:pPr>
            <w:r>
              <w:rPr>
                <w:szCs w:val="17"/>
              </w:rPr>
              <w:t xml:space="preserve">23 </w:t>
            </w:r>
            <w:r w:rsidRPr="007D29D2">
              <w:rPr>
                <w:bCs/>
                <w:sz w:val="16"/>
                <w:szCs w:val="16"/>
              </w:rPr>
              <w:t>mg/kg dry soil</w:t>
            </w:r>
          </w:p>
        </w:tc>
      </w:tr>
      <w:tr w:rsidR="008E67EA" w:rsidRPr="006B74D1" w14:paraId="0169564B" w14:textId="77777777" w:rsidTr="00B44A74">
        <w:trPr>
          <w:cantSplit/>
        </w:trPr>
        <w:tc>
          <w:tcPr>
            <w:tcW w:w="1098" w:type="pct"/>
            <w:vMerge/>
            <w:tcBorders>
              <w:left w:val="single" w:sz="4" w:space="0" w:color="auto"/>
              <w:right w:val="single" w:sz="4" w:space="0" w:color="auto"/>
            </w:tcBorders>
          </w:tcPr>
          <w:p w14:paraId="3341BB98" w14:textId="77777777" w:rsidR="008E67EA" w:rsidRDefault="008E67EA" w:rsidP="00B44A74">
            <w:pPr>
              <w:pStyle w:val="APVMATableText"/>
              <w:spacing w:before="0" w:after="0"/>
            </w:pPr>
          </w:p>
        </w:tc>
        <w:tc>
          <w:tcPr>
            <w:tcW w:w="783" w:type="pct"/>
            <w:tcBorders>
              <w:top w:val="single" w:sz="4" w:space="0" w:color="auto"/>
              <w:left w:val="single" w:sz="4" w:space="0" w:color="auto"/>
              <w:right w:val="single" w:sz="4" w:space="0" w:color="auto"/>
            </w:tcBorders>
          </w:tcPr>
          <w:p w14:paraId="7BC696F3" w14:textId="77777777" w:rsidR="008E67EA" w:rsidRPr="003C572C" w:rsidRDefault="008E67EA" w:rsidP="00B44A74">
            <w:pPr>
              <w:pStyle w:val="APVMATableText"/>
              <w:spacing w:before="0" w:after="0"/>
            </w:pPr>
            <w:r>
              <w:rPr>
                <w:szCs w:val="17"/>
              </w:rPr>
              <w:t>Brodifacoum</w:t>
            </w:r>
          </w:p>
        </w:tc>
        <w:tc>
          <w:tcPr>
            <w:tcW w:w="2117" w:type="pct"/>
            <w:tcBorders>
              <w:top w:val="single" w:sz="4" w:space="0" w:color="auto"/>
              <w:left w:val="single" w:sz="4" w:space="0" w:color="auto"/>
              <w:right w:val="single" w:sz="4" w:space="0" w:color="auto"/>
            </w:tcBorders>
          </w:tcPr>
          <w:p w14:paraId="0C99D53A" w14:textId="77777777" w:rsidR="008E67EA" w:rsidRPr="003C572C" w:rsidRDefault="008E67EA" w:rsidP="00B44A74">
            <w:pPr>
              <w:pStyle w:val="APVMATableText"/>
              <w:spacing w:before="0" w:after="0"/>
            </w:pPr>
            <w:r>
              <w:rPr>
                <w:szCs w:val="17"/>
              </w:rPr>
              <w:t>LC</w:t>
            </w:r>
            <w:r w:rsidRPr="00C72A63">
              <w:rPr>
                <w:szCs w:val="17"/>
                <w:vertAlign w:val="subscript"/>
              </w:rPr>
              <w:t>50</w:t>
            </w:r>
            <w:r>
              <w:rPr>
                <w:szCs w:val="17"/>
                <w:vertAlign w:val="subscript"/>
              </w:rPr>
              <w:t>corr</w:t>
            </w:r>
            <w:r>
              <w:rPr>
                <w:szCs w:val="17"/>
              </w:rPr>
              <w:t xml:space="preserve"> &gt;497 mg/kg dry soil</w:t>
            </w:r>
            <w:r>
              <w:t xml:space="preserve"> – a</w:t>
            </w:r>
            <w:r w:rsidRPr="009A2082">
              <w:t xml:space="preserve">cute </w:t>
            </w:r>
            <w:r>
              <w:t>exposure of m</w:t>
            </w:r>
            <w:r>
              <w:rPr>
                <w:szCs w:val="17"/>
              </w:rPr>
              <w:t>acro-organisms (</w:t>
            </w:r>
            <w:r w:rsidRPr="00C72A63">
              <w:rPr>
                <w:i/>
                <w:iCs/>
                <w:szCs w:val="17"/>
              </w:rPr>
              <w:t>Eisenia fetida</w:t>
            </w:r>
            <w:r>
              <w:rPr>
                <w:i/>
                <w:iCs/>
                <w:szCs w:val="17"/>
              </w:rPr>
              <w:t>)</w:t>
            </w:r>
          </w:p>
        </w:tc>
        <w:tc>
          <w:tcPr>
            <w:tcW w:w="1002" w:type="pct"/>
            <w:tcBorders>
              <w:top w:val="single" w:sz="4" w:space="0" w:color="auto"/>
              <w:left w:val="single" w:sz="4" w:space="0" w:color="auto"/>
              <w:bottom w:val="single" w:sz="4" w:space="0" w:color="auto"/>
              <w:right w:val="single" w:sz="4" w:space="0" w:color="auto"/>
            </w:tcBorders>
          </w:tcPr>
          <w:p w14:paraId="0495C9BF" w14:textId="77777777" w:rsidR="008E67EA" w:rsidRPr="003C572C" w:rsidRDefault="008E67EA" w:rsidP="00B44A74">
            <w:pPr>
              <w:pStyle w:val="APVMATableText"/>
              <w:spacing w:before="0" w:after="0"/>
            </w:pPr>
            <w:r>
              <w:rPr>
                <w:szCs w:val="17"/>
              </w:rPr>
              <w:t>50</w:t>
            </w:r>
            <w:r w:rsidRPr="007D29D2">
              <w:rPr>
                <w:bCs/>
                <w:sz w:val="16"/>
                <w:szCs w:val="16"/>
              </w:rPr>
              <w:t xml:space="preserve"> mg/kg dry soil</w:t>
            </w:r>
          </w:p>
        </w:tc>
      </w:tr>
      <w:tr w:rsidR="008E67EA" w:rsidRPr="006B74D1" w14:paraId="555064D6" w14:textId="77777777" w:rsidTr="00B44A74">
        <w:trPr>
          <w:cantSplit/>
        </w:trPr>
        <w:tc>
          <w:tcPr>
            <w:tcW w:w="1098" w:type="pct"/>
            <w:vMerge/>
            <w:tcBorders>
              <w:left w:val="single" w:sz="4" w:space="0" w:color="auto"/>
              <w:right w:val="single" w:sz="4" w:space="0" w:color="auto"/>
            </w:tcBorders>
          </w:tcPr>
          <w:p w14:paraId="41202DAC" w14:textId="77777777" w:rsidR="008E67EA" w:rsidRDefault="008E67EA" w:rsidP="00B44A74">
            <w:pPr>
              <w:pStyle w:val="APVMATableText"/>
              <w:spacing w:before="0" w:after="0"/>
            </w:pPr>
          </w:p>
        </w:tc>
        <w:tc>
          <w:tcPr>
            <w:tcW w:w="783" w:type="pct"/>
            <w:tcBorders>
              <w:top w:val="single" w:sz="4" w:space="0" w:color="auto"/>
              <w:left w:val="single" w:sz="4" w:space="0" w:color="auto"/>
              <w:right w:val="single" w:sz="4" w:space="0" w:color="auto"/>
            </w:tcBorders>
          </w:tcPr>
          <w:p w14:paraId="0A8502B2" w14:textId="77777777" w:rsidR="008E67EA" w:rsidRPr="003C572C" w:rsidRDefault="008E67EA" w:rsidP="00B44A74">
            <w:pPr>
              <w:pStyle w:val="APVMATableText"/>
              <w:spacing w:before="0" w:after="0"/>
            </w:pPr>
            <w:r>
              <w:rPr>
                <w:szCs w:val="17"/>
              </w:rPr>
              <w:t>Bromadiolone</w:t>
            </w:r>
          </w:p>
        </w:tc>
        <w:tc>
          <w:tcPr>
            <w:tcW w:w="2117" w:type="pct"/>
            <w:tcBorders>
              <w:top w:val="single" w:sz="4" w:space="0" w:color="auto"/>
              <w:left w:val="single" w:sz="4" w:space="0" w:color="auto"/>
              <w:right w:val="single" w:sz="4" w:space="0" w:color="auto"/>
            </w:tcBorders>
          </w:tcPr>
          <w:p w14:paraId="2BC51220" w14:textId="77777777" w:rsidR="008E67EA" w:rsidRPr="003C572C" w:rsidRDefault="008E67EA" w:rsidP="00B44A74">
            <w:pPr>
              <w:pStyle w:val="APVMATableText"/>
              <w:spacing w:before="0" w:after="0"/>
            </w:pPr>
            <w:r>
              <w:rPr>
                <w:szCs w:val="17"/>
              </w:rPr>
              <w:t>LC</w:t>
            </w:r>
            <w:r w:rsidRPr="00C72A63">
              <w:rPr>
                <w:szCs w:val="17"/>
                <w:vertAlign w:val="subscript"/>
              </w:rPr>
              <w:t>50</w:t>
            </w:r>
            <w:r>
              <w:rPr>
                <w:szCs w:val="17"/>
                <w:vertAlign w:val="subscript"/>
              </w:rPr>
              <w:t>corr</w:t>
            </w:r>
            <w:r>
              <w:rPr>
                <w:szCs w:val="17"/>
              </w:rPr>
              <w:t xml:space="preserve"> &gt;665 mg/kg dry soil</w:t>
            </w:r>
            <w:r>
              <w:t xml:space="preserve"> – a</w:t>
            </w:r>
            <w:r w:rsidRPr="009A2082">
              <w:t xml:space="preserve">cute </w:t>
            </w:r>
            <w:r>
              <w:t>exposure of m</w:t>
            </w:r>
            <w:r>
              <w:rPr>
                <w:szCs w:val="17"/>
              </w:rPr>
              <w:t>acro-organisms (</w:t>
            </w:r>
            <w:r w:rsidRPr="00C72A63">
              <w:rPr>
                <w:i/>
                <w:iCs/>
                <w:szCs w:val="17"/>
              </w:rPr>
              <w:t>Eisenia fetida</w:t>
            </w:r>
            <w:r>
              <w:rPr>
                <w:i/>
                <w:iCs/>
                <w:szCs w:val="17"/>
              </w:rPr>
              <w:t>)</w:t>
            </w:r>
          </w:p>
        </w:tc>
        <w:tc>
          <w:tcPr>
            <w:tcW w:w="1002" w:type="pct"/>
            <w:tcBorders>
              <w:top w:val="single" w:sz="4" w:space="0" w:color="auto"/>
              <w:left w:val="single" w:sz="4" w:space="0" w:color="auto"/>
              <w:bottom w:val="single" w:sz="4" w:space="0" w:color="auto"/>
              <w:right w:val="single" w:sz="4" w:space="0" w:color="auto"/>
            </w:tcBorders>
          </w:tcPr>
          <w:p w14:paraId="42551697" w14:textId="77777777" w:rsidR="008E67EA" w:rsidRPr="003C572C" w:rsidRDefault="008E67EA" w:rsidP="00B44A74">
            <w:pPr>
              <w:pStyle w:val="APVMATableText"/>
              <w:spacing w:before="0" w:after="0"/>
            </w:pPr>
            <w:r>
              <w:rPr>
                <w:szCs w:val="17"/>
              </w:rPr>
              <w:t>67</w:t>
            </w:r>
            <w:r w:rsidRPr="007D29D2">
              <w:rPr>
                <w:bCs/>
                <w:sz w:val="16"/>
                <w:szCs w:val="16"/>
              </w:rPr>
              <w:t xml:space="preserve"> mg/kg dry soil</w:t>
            </w:r>
          </w:p>
        </w:tc>
      </w:tr>
      <w:tr w:rsidR="008E67EA" w:rsidRPr="006B74D1" w14:paraId="3A9F2796" w14:textId="77777777" w:rsidTr="00B44A74">
        <w:trPr>
          <w:cantSplit/>
        </w:trPr>
        <w:tc>
          <w:tcPr>
            <w:tcW w:w="1098" w:type="pct"/>
            <w:vMerge/>
            <w:tcBorders>
              <w:left w:val="single" w:sz="4" w:space="0" w:color="auto"/>
              <w:right w:val="single" w:sz="4" w:space="0" w:color="auto"/>
            </w:tcBorders>
          </w:tcPr>
          <w:p w14:paraId="0839589C" w14:textId="77777777" w:rsidR="008E67EA" w:rsidRDefault="008E67EA" w:rsidP="00B44A74">
            <w:pPr>
              <w:pStyle w:val="APVMATableText"/>
              <w:spacing w:before="0" w:after="0"/>
            </w:pPr>
          </w:p>
        </w:tc>
        <w:tc>
          <w:tcPr>
            <w:tcW w:w="783" w:type="pct"/>
            <w:tcBorders>
              <w:top w:val="single" w:sz="4" w:space="0" w:color="auto"/>
              <w:left w:val="single" w:sz="4" w:space="0" w:color="auto"/>
              <w:right w:val="single" w:sz="4" w:space="0" w:color="auto"/>
            </w:tcBorders>
          </w:tcPr>
          <w:p w14:paraId="1B091D9C" w14:textId="77777777" w:rsidR="008E67EA" w:rsidRPr="003C572C" w:rsidRDefault="008E67EA" w:rsidP="00B44A74">
            <w:pPr>
              <w:pStyle w:val="APVMATableText"/>
              <w:spacing w:before="0" w:after="0"/>
            </w:pPr>
            <w:r>
              <w:rPr>
                <w:szCs w:val="17"/>
              </w:rPr>
              <w:t>Difenacoum</w:t>
            </w:r>
          </w:p>
        </w:tc>
        <w:tc>
          <w:tcPr>
            <w:tcW w:w="2117" w:type="pct"/>
            <w:tcBorders>
              <w:top w:val="single" w:sz="4" w:space="0" w:color="auto"/>
              <w:left w:val="single" w:sz="4" w:space="0" w:color="auto"/>
              <w:right w:val="single" w:sz="4" w:space="0" w:color="auto"/>
            </w:tcBorders>
          </w:tcPr>
          <w:p w14:paraId="47C1A158" w14:textId="77777777" w:rsidR="008E67EA" w:rsidRPr="003C572C" w:rsidRDefault="008E67EA" w:rsidP="00B44A74">
            <w:pPr>
              <w:pStyle w:val="APVMATableText"/>
              <w:spacing w:before="0" w:after="0"/>
            </w:pPr>
            <w:r>
              <w:rPr>
                <w:szCs w:val="17"/>
              </w:rPr>
              <w:t>LC</w:t>
            </w:r>
            <w:r w:rsidRPr="00C72A63">
              <w:rPr>
                <w:szCs w:val="17"/>
                <w:vertAlign w:val="subscript"/>
              </w:rPr>
              <w:t>50</w:t>
            </w:r>
            <w:r>
              <w:rPr>
                <w:szCs w:val="17"/>
                <w:vertAlign w:val="subscript"/>
              </w:rPr>
              <w:t>corr</w:t>
            </w:r>
            <w:r>
              <w:rPr>
                <w:szCs w:val="17"/>
              </w:rPr>
              <w:t xml:space="preserve"> &gt;497 mg/kg dry soil</w:t>
            </w:r>
            <w:r>
              <w:t xml:space="preserve"> – a</w:t>
            </w:r>
            <w:r w:rsidRPr="009A2082">
              <w:t xml:space="preserve">cute </w:t>
            </w:r>
            <w:r>
              <w:t>exposure of m</w:t>
            </w:r>
            <w:r>
              <w:rPr>
                <w:szCs w:val="17"/>
              </w:rPr>
              <w:t>acro-organisms (</w:t>
            </w:r>
            <w:r w:rsidRPr="00C72A63">
              <w:rPr>
                <w:i/>
                <w:iCs/>
                <w:szCs w:val="17"/>
              </w:rPr>
              <w:t>Eisenia fetida</w:t>
            </w:r>
            <w:r>
              <w:rPr>
                <w:i/>
                <w:iCs/>
                <w:szCs w:val="17"/>
              </w:rPr>
              <w:t>)</w:t>
            </w:r>
          </w:p>
        </w:tc>
        <w:tc>
          <w:tcPr>
            <w:tcW w:w="1002" w:type="pct"/>
            <w:tcBorders>
              <w:top w:val="single" w:sz="4" w:space="0" w:color="auto"/>
              <w:left w:val="single" w:sz="4" w:space="0" w:color="auto"/>
              <w:bottom w:val="single" w:sz="4" w:space="0" w:color="auto"/>
              <w:right w:val="single" w:sz="4" w:space="0" w:color="auto"/>
            </w:tcBorders>
          </w:tcPr>
          <w:p w14:paraId="6A57853B" w14:textId="77777777" w:rsidR="008E67EA" w:rsidRPr="003C572C" w:rsidRDefault="008E67EA" w:rsidP="00B44A74">
            <w:pPr>
              <w:pStyle w:val="APVMATableText"/>
              <w:spacing w:before="0" w:after="0"/>
            </w:pPr>
            <w:r>
              <w:rPr>
                <w:szCs w:val="17"/>
              </w:rPr>
              <w:t>50</w:t>
            </w:r>
            <w:r w:rsidRPr="007D29D2">
              <w:rPr>
                <w:bCs/>
                <w:sz w:val="16"/>
                <w:szCs w:val="16"/>
              </w:rPr>
              <w:t xml:space="preserve"> mg/kg dry soil</w:t>
            </w:r>
          </w:p>
        </w:tc>
      </w:tr>
      <w:tr w:rsidR="008E67EA" w:rsidRPr="006B74D1" w14:paraId="10BE9F38" w14:textId="77777777" w:rsidTr="00B44A74">
        <w:trPr>
          <w:cantSplit/>
        </w:trPr>
        <w:tc>
          <w:tcPr>
            <w:tcW w:w="1098" w:type="pct"/>
            <w:vMerge/>
            <w:tcBorders>
              <w:left w:val="single" w:sz="4" w:space="0" w:color="auto"/>
              <w:right w:val="single" w:sz="4" w:space="0" w:color="auto"/>
            </w:tcBorders>
          </w:tcPr>
          <w:p w14:paraId="06BE88B3" w14:textId="77777777" w:rsidR="008E67EA" w:rsidRPr="003C572C" w:rsidRDefault="008E67EA" w:rsidP="00B44A74">
            <w:pPr>
              <w:pStyle w:val="APVMATableText"/>
              <w:spacing w:before="0" w:after="0"/>
            </w:pPr>
          </w:p>
        </w:tc>
        <w:tc>
          <w:tcPr>
            <w:tcW w:w="783" w:type="pct"/>
            <w:tcBorders>
              <w:top w:val="single" w:sz="4" w:space="0" w:color="auto"/>
              <w:left w:val="single" w:sz="4" w:space="0" w:color="auto"/>
              <w:bottom w:val="single" w:sz="4" w:space="0" w:color="auto"/>
              <w:right w:val="single" w:sz="4" w:space="0" w:color="auto"/>
            </w:tcBorders>
          </w:tcPr>
          <w:p w14:paraId="568F0162" w14:textId="77777777" w:rsidR="008E67EA" w:rsidRPr="003C572C" w:rsidRDefault="008E67EA" w:rsidP="00B44A74">
            <w:pPr>
              <w:pStyle w:val="APVMATableText"/>
              <w:spacing w:before="0" w:after="0"/>
            </w:pPr>
            <w:r>
              <w:rPr>
                <w:szCs w:val="17"/>
              </w:rPr>
              <w:t>Difethialone</w:t>
            </w:r>
          </w:p>
        </w:tc>
        <w:tc>
          <w:tcPr>
            <w:tcW w:w="2117" w:type="pct"/>
            <w:tcBorders>
              <w:top w:val="single" w:sz="4" w:space="0" w:color="auto"/>
              <w:left w:val="single" w:sz="4" w:space="0" w:color="auto"/>
              <w:bottom w:val="single" w:sz="4" w:space="0" w:color="auto"/>
              <w:right w:val="single" w:sz="4" w:space="0" w:color="auto"/>
            </w:tcBorders>
          </w:tcPr>
          <w:p w14:paraId="4734FBF2" w14:textId="77777777" w:rsidR="008E67EA" w:rsidRPr="003C572C" w:rsidRDefault="008E67EA" w:rsidP="00B44A74">
            <w:pPr>
              <w:pStyle w:val="APVMATableText"/>
              <w:spacing w:before="0" w:after="0"/>
            </w:pPr>
            <w:r>
              <w:rPr>
                <w:szCs w:val="17"/>
              </w:rPr>
              <w:t>LC</w:t>
            </w:r>
            <w:r w:rsidRPr="00C72A63">
              <w:rPr>
                <w:szCs w:val="17"/>
                <w:vertAlign w:val="subscript"/>
              </w:rPr>
              <w:t>50</w:t>
            </w:r>
            <w:r>
              <w:rPr>
                <w:szCs w:val="17"/>
                <w:vertAlign w:val="subscript"/>
              </w:rPr>
              <w:t>corr</w:t>
            </w:r>
            <w:r>
              <w:rPr>
                <w:szCs w:val="17"/>
              </w:rPr>
              <w:t xml:space="preserve"> &gt;500 mg/kg dry soil</w:t>
            </w:r>
            <w:r>
              <w:t xml:space="preserve"> – a</w:t>
            </w:r>
            <w:r w:rsidRPr="009A2082">
              <w:t xml:space="preserve">cute </w:t>
            </w:r>
            <w:r>
              <w:t>exposure of m</w:t>
            </w:r>
            <w:r>
              <w:rPr>
                <w:szCs w:val="17"/>
              </w:rPr>
              <w:t>acro-organisms (</w:t>
            </w:r>
            <w:r w:rsidRPr="00C72A63">
              <w:rPr>
                <w:i/>
                <w:iCs/>
                <w:szCs w:val="17"/>
              </w:rPr>
              <w:t>Eisenia fetida</w:t>
            </w:r>
            <w:r>
              <w:rPr>
                <w:i/>
                <w:iCs/>
                <w:szCs w:val="17"/>
              </w:rPr>
              <w:t>)</w:t>
            </w:r>
          </w:p>
        </w:tc>
        <w:tc>
          <w:tcPr>
            <w:tcW w:w="1002" w:type="pct"/>
            <w:tcBorders>
              <w:top w:val="single" w:sz="4" w:space="0" w:color="auto"/>
              <w:left w:val="single" w:sz="4" w:space="0" w:color="auto"/>
              <w:bottom w:val="single" w:sz="4" w:space="0" w:color="auto"/>
              <w:right w:val="single" w:sz="4" w:space="0" w:color="auto"/>
            </w:tcBorders>
          </w:tcPr>
          <w:p w14:paraId="56B2499B" w14:textId="77777777" w:rsidR="008E67EA" w:rsidRPr="003C572C" w:rsidRDefault="008E67EA" w:rsidP="00B44A74">
            <w:pPr>
              <w:pStyle w:val="APVMATableText"/>
              <w:spacing w:before="0" w:after="0"/>
            </w:pPr>
            <w:r>
              <w:rPr>
                <w:szCs w:val="17"/>
              </w:rPr>
              <w:t>50</w:t>
            </w:r>
            <w:r w:rsidRPr="007D29D2">
              <w:rPr>
                <w:bCs/>
                <w:sz w:val="16"/>
                <w:szCs w:val="16"/>
              </w:rPr>
              <w:t xml:space="preserve"> mg/kg dry soil</w:t>
            </w:r>
          </w:p>
        </w:tc>
      </w:tr>
      <w:tr w:rsidR="008E67EA" w:rsidRPr="006B74D1" w14:paraId="5903A463" w14:textId="77777777" w:rsidTr="00B44A74">
        <w:trPr>
          <w:cantSplit/>
        </w:trPr>
        <w:tc>
          <w:tcPr>
            <w:tcW w:w="1098" w:type="pct"/>
            <w:vMerge/>
            <w:tcBorders>
              <w:left w:val="single" w:sz="4" w:space="0" w:color="auto"/>
              <w:bottom w:val="single" w:sz="4" w:space="0" w:color="auto"/>
              <w:right w:val="single" w:sz="4" w:space="0" w:color="auto"/>
            </w:tcBorders>
          </w:tcPr>
          <w:p w14:paraId="7BEEEDFF" w14:textId="77777777" w:rsidR="008E67EA" w:rsidRPr="003C572C" w:rsidRDefault="008E67EA" w:rsidP="00B44A74">
            <w:pPr>
              <w:pStyle w:val="APVMATableText"/>
              <w:spacing w:before="0" w:after="0"/>
            </w:pPr>
          </w:p>
        </w:tc>
        <w:tc>
          <w:tcPr>
            <w:tcW w:w="783" w:type="pct"/>
            <w:tcBorders>
              <w:top w:val="single" w:sz="4" w:space="0" w:color="auto"/>
              <w:left w:val="single" w:sz="4" w:space="0" w:color="auto"/>
              <w:bottom w:val="single" w:sz="4" w:space="0" w:color="auto"/>
              <w:right w:val="single" w:sz="4" w:space="0" w:color="auto"/>
            </w:tcBorders>
          </w:tcPr>
          <w:p w14:paraId="182D5ADB" w14:textId="77777777" w:rsidR="008E67EA" w:rsidRPr="003C572C" w:rsidRDefault="008E67EA" w:rsidP="00B44A74">
            <w:pPr>
              <w:pStyle w:val="APVMATableText"/>
              <w:spacing w:before="0" w:after="0"/>
            </w:pPr>
            <w:r>
              <w:rPr>
                <w:szCs w:val="17"/>
              </w:rPr>
              <w:t>Flocoumafen</w:t>
            </w:r>
          </w:p>
        </w:tc>
        <w:tc>
          <w:tcPr>
            <w:tcW w:w="2117" w:type="pct"/>
            <w:tcBorders>
              <w:top w:val="single" w:sz="4" w:space="0" w:color="auto"/>
              <w:left w:val="single" w:sz="4" w:space="0" w:color="auto"/>
              <w:bottom w:val="single" w:sz="4" w:space="0" w:color="auto"/>
              <w:right w:val="single" w:sz="4" w:space="0" w:color="auto"/>
            </w:tcBorders>
          </w:tcPr>
          <w:p w14:paraId="1F0349EB" w14:textId="77777777" w:rsidR="008E67EA" w:rsidRPr="003C572C" w:rsidRDefault="008E67EA" w:rsidP="00B44A74">
            <w:pPr>
              <w:pStyle w:val="APVMATableText"/>
              <w:spacing w:before="0" w:after="0"/>
            </w:pPr>
            <w:r>
              <w:rPr>
                <w:szCs w:val="17"/>
              </w:rPr>
              <w:t>EC</w:t>
            </w:r>
            <w:r w:rsidRPr="00F364D4">
              <w:rPr>
                <w:szCs w:val="17"/>
                <w:vertAlign w:val="subscript"/>
              </w:rPr>
              <w:t>10corr</w:t>
            </w:r>
            <w:r>
              <w:rPr>
                <w:szCs w:val="17"/>
              </w:rPr>
              <w:t xml:space="preserve"> 2.8 mg/kg dry soil </w:t>
            </w:r>
            <w:r>
              <w:t>–</w:t>
            </w:r>
            <w:r>
              <w:rPr>
                <w:szCs w:val="17"/>
              </w:rPr>
              <w:t xml:space="preserve"> chronic exposure of macro-organisms (</w:t>
            </w:r>
            <w:r w:rsidRPr="00C72A63">
              <w:rPr>
                <w:i/>
                <w:iCs/>
                <w:szCs w:val="17"/>
              </w:rPr>
              <w:t>Eisenia fetida</w:t>
            </w:r>
            <w:r>
              <w:rPr>
                <w:i/>
                <w:iCs/>
                <w:szCs w:val="17"/>
              </w:rPr>
              <w:t>)</w:t>
            </w:r>
          </w:p>
        </w:tc>
        <w:tc>
          <w:tcPr>
            <w:tcW w:w="1002" w:type="pct"/>
            <w:tcBorders>
              <w:top w:val="single" w:sz="4" w:space="0" w:color="auto"/>
              <w:left w:val="single" w:sz="4" w:space="0" w:color="auto"/>
              <w:bottom w:val="single" w:sz="4" w:space="0" w:color="auto"/>
              <w:right w:val="single" w:sz="4" w:space="0" w:color="auto"/>
            </w:tcBorders>
          </w:tcPr>
          <w:p w14:paraId="5C37855A" w14:textId="77777777" w:rsidR="008E67EA" w:rsidRPr="003C572C" w:rsidRDefault="008E67EA" w:rsidP="00B44A74">
            <w:pPr>
              <w:pStyle w:val="APVMATableText"/>
              <w:spacing w:before="0" w:after="0"/>
            </w:pPr>
            <w:r>
              <w:rPr>
                <w:szCs w:val="17"/>
              </w:rPr>
              <w:t>2.8</w:t>
            </w:r>
            <w:r w:rsidRPr="007D29D2">
              <w:rPr>
                <w:bCs/>
                <w:sz w:val="16"/>
                <w:szCs w:val="16"/>
              </w:rPr>
              <w:t xml:space="preserve"> mg/kg dry soil</w:t>
            </w:r>
          </w:p>
        </w:tc>
      </w:tr>
    </w:tbl>
    <w:p w14:paraId="7BC649DF" w14:textId="24366E10" w:rsidR="008E67EA" w:rsidRPr="007D5C43" w:rsidRDefault="008E67EA">
      <w:pPr>
        <w:pStyle w:val="NumberLevel1"/>
        <w:numPr>
          <w:ilvl w:val="0"/>
          <w:numId w:val="15"/>
        </w:numPr>
      </w:pPr>
      <w:r w:rsidRPr="007D5C43">
        <w:t xml:space="preserve">Further, based </w:t>
      </w:r>
      <w:r w:rsidRPr="007D5C43">
        <w:rPr>
          <w:color w:val="000000" w:themeColor="text1"/>
        </w:rPr>
        <w:t xml:space="preserve">on my review and consideration </w:t>
      </w:r>
      <w:r w:rsidRPr="007D5C43">
        <w:t xml:space="preserve">of the assessment in sections </w:t>
      </w:r>
      <w:r w:rsidRPr="007D5C43">
        <w:rPr>
          <w:i/>
          <w:iCs/>
        </w:rPr>
        <w:t>‘3.2.2 Effects on other non-target species’</w:t>
      </w:r>
      <w:r w:rsidRPr="007D5C43">
        <w:rPr>
          <w:color w:val="000000" w:themeColor="text1"/>
        </w:rPr>
        <w:t xml:space="preserve"> and </w:t>
      </w:r>
      <w:r w:rsidRPr="007D5C43">
        <w:rPr>
          <w:i/>
          <w:iCs/>
          <w:color w:val="000000" w:themeColor="text1"/>
        </w:rPr>
        <w:t>‘3.3.3 Risks to other non-target species’</w:t>
      </w:r>
      <w:r w:rsidRPr="007D5C43">
        <w:rPr>
          <w:color w:val="000000" w:themeColor="text1"/>
        </w:rPr>
        <w:t xml:space="preserve"> </w:t>
      </w:r>
      <w:r w:rsidRPr="007D5C43">
        <w:t xml:space="preserve">of the </w:t>
      </w:r>
      <w:r w:rsidRPr="007D5C43">
        <w:rPr>
          <w:i/>
          <w:iCs/>
        </w:rPr>
        <w:t>Anticoagulant Rodenticides Review Technical Report</w:t>
      </w:r>
      <w:r w:rsidRPr="007D5C43">
        <w:t xml:space="preserve">, I consider that there is sufficient toxicity information to assess the risks to bees and other non-target arthropods posed from </w:t>
      </w:r>
      <w:r w:rsidRPr="007D5C43">
        <w:rPr>
          <w:color w:val="000000" w:themeColor="text1"/>
        </w:rPr>
        <w:t xml:space="preserve">the current use of anticoagulant rodenticide </w:t>
      </w:r>
      <w:r w:rsidRPr="007D5C43">
        <w:t>active constituents in agricultural chemical products. The only toxicity study for bees indicates that coumatetralyl has a high toxicity to bees with contact exposure, though I note that there are no direct or indirect exposure pathways for bees associated with the current uses of anticoagulant rodenticides. Anticoagulant rodenticides are not expected to have an adverse effect on other terrestrial arthropods based on their mode of action, which is supported by observations that terrestrial arthropods (e.g. cockroaches, woodlice, ants, etc.) fed on bait pellets containing brodifacoum with no apparent effects during laboratory studies and baiting programs.</w:t>
      </w:r>
    </w:p>
    <w:p w14:paraId="010CDD09" w14:textId="2AF73ADD" w:rsidR="008E67EA" w:rsidRPr="007D5C43" w:rsidRDefault="008E67EA">
      <w:pPr>
        <w:pStyle w:val="NumberLevel1"/>
        <w:numPr>
          <w:ilvl w:val="0"/>
          <w:numId w:val="15"/>
        </w:numPr>
        <w:rPr>
          <w:color w:val="000000" w:themeColor="text1"/>
        </w:rPr>
      </w:pPr>
      <w:r w:rsidRPr="007D5C43">
        <w:rPr>
          <w:color w:val="000000" w:themeColor="text1"/>
        </w:rPr>
        <w:t xml:space="preserve">I also note that there is no toxicity information available for the effects of anticoagulant rodenticides on terrestrial plants. Based on my review and consideration of the assessment in section </w:t>
      </w:r>
      <w:r w:rsidRPr="007D5C43">
        <w:rPr>
          <w:i/>
          <w:iCs/>
          <w:color w:val="000000" w:themeColor="text1"/>
        </w:rPr>
        <w:t>‘3.3.3 Risks to other non-target species’</w:t>
      </w:r>
      <w:r w:rsidRPr="007D5C43">
        <w:rPr>
          <w:color w:val="000000" w:themeColor="text1"/>
        </w:rPr>
        <w:t xml:space="preserve"> of the </w:t>
      </w:r>
      <w:r w:rsidRPr="007D5C43">
        <w:rPr>
          <w:i/>
          <w:iCs/>
          <w:color w:val="000000" w:themeColor="text1"/>
        </w:rPr>
        <w:t>Anticoagulant Rodenticides Review Technical Report</w:t>
      </w:r>
      <w:r w:rsidRPr="007D5C43">
        <w:rPr>
          <w:color w:val="000000" w:themeColor="text1"/>
        </w:rPr>
        <w:t>, I consider that this toxicity information is not required as the risks to terrestrial plants were deemed acceptable based on the mode of action, method of application, low bioavailability in soil, and a lack of a similar blood-clotting mechanism in plants.</w:t>
      </w:r>
    </w:p>
    <w:p w14:paraId="658860D5" w14:textId="77777777" w:rsidR="008E67EA" w:rsidRDefault="008E67EA" w:rsidP="008E67EA">
      <w:pPr>
        <w:pStyle w:val="StatementofReasonsHeading4"/>
      </w:pPr>
      <w:r>
        <w:t xml:space="preserve">Conclusion on toxicity of the active constituents </w:t>
      </w:r>
    </w:p>
    <w:p w14:paraId="3BF7BEEC" w14:textId="57434C58" w:rsidR="008E67EA" w:rsidRPr="007D5C43" w:rsidRDefault="008E67EA">
      <w:pPr>
        <w:pStyle w:val="NumberLevel1"/>
        <w:numPr>
          <w:ilvl w:val="0"/>
          <w:numId w:val="15"/>
        </w:numPr>
      </w:pPr>
      <w:bookmarkStart w:id="69" w:name="_Ref205367529"/>
      <w:r w:rsidRPr="007D5C43">
        <w:t>I consider that there is sufficient toxicology information to assess the</w:t>
      </w:r>
      <w:r w:rsidRPr="007D5C43">
        <w:rPr>
          <w:color w:val="000000" w:themeColor="text1"/>
        </w:rPr>
        <w:t xml:space="preserve"> current use of the anticoagulant rodenticide </w:t>
      </w:r>
      <w:r w:rsidRPr="007D5C43">
        <w:t>active constituents coumatetralyl, diphacinone, brodifacoum, bromadiolone, difenacoum, difethialone, flocoumafen and warfarin in agricultural chemical products. Further, I consider that there are no other relevant matters for anticoagulant rodenticides active constituents with respect to the ‘the toxicity of the constituent and its residues, including metabolites and degradation products in relation to relevant organisms and ecosystems, including human beings’ (s 5A(2)(a)(i) of the Agvet Code).</w:t>
      </w:r>
      <w:bookmarkEnd w:id="69"/>
    </w:p>
    <w:p w14:paraId="2A64261F" w14:textId="77777777" w:rsidR="008E67EA" w:rsidRDefault="008E67EA" w:rsidP="008E67EA">
      <w:pPr>
        <w:pStyle w:val="StatementofReasonsHeading3"/>
      </w:pPr>
      <w:bookmarkStart w:id="70" w:name="_Toc214991521"/>
      <w:r>
        <w:t>Composition and purity of active constituents</w:t>
      </w:r>
      <w:bookmarkEnd w:id="70"/>
    </w:p>
    <w:p w14:paraId="5F174A8D" w14:textId="77777777" w:rsidR="008E67EA" w:rsidRPr="00D26A6A" w:rsidRDefault="008E67EA">
      <w:pPr>
        <w:pStyle w:val="NumberLevel1"/>
        <w:numPr>
          <w:ilvl w:val="0"/>
          <w:numId w:val="15"/>
        </w:numPr>
      </w:pPr>
      <w:bookmarkStart w:id="71" w:name="_Ref200537465"/>
      <w:bookmarkStart w:id="72" w:name="_Hlk193551219"/>
      <w:bookmarkEnd w:id="59"/>
      <w:r>
        <w:t xml:space="preserve">The </w:t>
      </w:r>
      <w:r w:rsidRPr="00D26A6A">
        <w:t xml:space="preserve">composition and purity of an active constituent can impact the overall toxicity of manufactured technical material (or manufacturing concentrate). Factors such any impurities that are likely to be present, the control of the manufacturing process to consistently produce the technical material (or manufacturing concentrate), and any specifications that have been deemed appropriate for the active constituent are relevant to the considerations on composition and purity of an active constituent, and thus the considerations of the safety risks associated with approved use of an active constituent. As such, for the purposes of being satisfied that an active constituents listed in Attachment A of this notice meets the safety criteria with respect to the composition and purity of the active constituent, </w:t>
      </w:r>
      <w:r w:rsidRPr="00537245">
        <w:t>I had regard to</w:t>
      </w:r>
      <w:r>
        <w:t xml:space="preserve"> the following matters set out in section 5(2)(a) of the Agvet Code</w:t>
      </w:r>
      <w:r w:rsidRPr="00D26A6A">
        <w:t>:</w:t>
      </w:r>
      <w:bookmarkEnd w:id="71"/>
    </w:p>
    <w:p w14:paraId="1B93F484" w14:textId="77777777" w:rsidR="008E67EA" w:rsidRPr="00D26A6A" w:rsidRDefault="008E67EA">
      <w:pPr>
        <w:pStyle w:val="NumberLevel2"/>
        <w:numPr>
          <w:ilvl w:val="1"/>
          <w:numId w:val="15"/>
        </w:numPr>
      </w:pPr>
      <w:r w:rsidRPr="00D26A6A">
        <w:rPr>
          <w:color w:val="000000" w:themeColor="text1"/>
        </w:rPr>
        <w:t>the method by which the constituent is, or is proposed to be, manufactured (s 5A(2)(a)(ii) of the Agvet Code); and</w:t>
      </w:r>
    </w:p>
    <w:p w14:paraId="16183802" w14:textId="77777777" w:rsidR="008E67EA" w:rsidRPr="00D26A6A" w:rsidRDefault="008E67EA">
      <w:pPr>
        <w:pStyle w:val="NumberLevel2"/>
        <w:numPr>
          <w:ilvl w:val="1"/>
          <w:numId w:val="15"/>
        </w:numPr>
      </w:pPr>
      <w:r w:rsidRPr="00D26A6A">
        <w:t xml:space="preserve">the extent to which the constituent will contain impurities (s 5A(2)(a)(iii) </w:t>
      </w:r>
      <w:r w:rsidRPr="00D26A6A">
        <w:rPr>
          <w:color w:val="000000" w:themeColor="text1"/>
        </w:rPr>
        <w:t>of the Agvet Code</w:t>
      </w:r>
      <w:r w:rsidRPr="00D26A6A">
        <w:t>); and</w:t>
      </w:r>
    </w:p>
    <w:p w14:paraId="3A296637" w14:textId="77777777" w:rsidR="008E67EA" w:rsidRPr="00D26A6A" w:rsidRDefault="008E67EA">
      <w:pPr>
        <w:pStyle w:val="NumberLevel2"/>
        <w:numPr>
          <w:ilvl w:val="1"/>
          <w:numId w:val="15"/>
        </w:numPr>
      </w:pPr>
      <w:r w:rsidRPr="00D26A6A">
        <w:t xml:space="preserve">whether an analysis of the chemical composition of the constituent has been carried out and, if so, the results of the analysis (s 5A(2)(a)(iv) </w:t>
      </w:r>
      <w:r w:rsidRPr="00D26A6A">
        <w:rPr>
          <w:color w:val="000000" w:themeColor="text1"/>
        </w:rPr>
        <w:t>of the Agvet Code</w:t>
      </w:r>
      <w:r w:rsidRPr="00D26A6A">
        <w:t>); and</w:t>
      </w:r>
    </w:p>
    <w:p w14:paraId="61431C60" w14:textId="77777777" w:rsidR="008E67EA" w:rsidRPr="00D26A6A" w:rsidRDefault="008E67EA">
      <w:pPr>
        <w:pStyle w:val="NumberLevel2"/>
        <w:numPr>
          <w:ilvl w:val="1"/>
          <w:numId w:val="15"/>
        </w:numPr>
      </w:pPr>
      <w:r w:rsidRPr="00D26A6A">
        <w:lastRenderedPageBreak/>
        <w:t xml:space="preserve">the relevant particular under r 15(1)(d) of the Agvet Regulations, being the ‘composition and purity of the active constituent’ that is, or would be, entered in the Record for the constituent (s 5A(2)(a)(vi) </w:t>
      </w:r>
      <w:r w:rsidRPr="00D26A6A">
        <w:rPr>
          <w:color w:val="000000" w:themeColor="text1"/>
        </w:rPr>
        <w:t>of the Agvet Code</w:t>
      </w:r>
      <w:r w:rsidRPr="00D26A6A">
        <w:t>); and</w:t>
      </w:r>
    </w:p>
    <w:p w14:paraId="66A48B41" w14:textId="77777777" w:rsidR="008E67EA" w:rsidRPr="00D26A6A" w:rsidRDefault="008E67EA">
      <w:pPr>
        <w:pStyle w:val="NumberLevel2"/>
        <w:numPr>
          <w:ilvl w:val="1"/>
          <w:numId w:val="15"/>
        </w:numPr>
      </w:pPr>
      <w:r w:rsidRPr="00D26A6A">
        <w:t xml:space="preserve">whether the constituent conforms, or would conform, to any standard made for the constituent under section 6E of the Agvet Code to the extent that the standard relates to matters covered by subsection s 5A(1) of the Agvet Code (s 5A(2)(a)(via) </w:t>
      </w:r>
      <w:r w:rsidRPr="00D26A6A">
        <w:rPr>
          <w:color w:val="000000" w:themeColor="text1"/>
        </w:rPr>
        <w:t>of the Agvet Code</w:t>
      </w:r>
      <w:r w:rsidRPr="00D26A6A">
        <w:t>).</w:t>
      </w:r>
    </w:p>
    <w:p w14:paraId="517F2A88" w14:textId="77777777" w:rsidR="008E67EA" w:rsidRDefault="008E67EA">
      <w:pPr>
        <w:pStyle w:val="NumberLevel1"/>
        <w:numPr>
          <w:ilvl w:val="0"/>
          <w:numId w:val="15"/>
        </w:numPr>
      </w:pPr>
      <w:r w:rsidRPr="00D26A6A">
        <w:t xml:space="preserve">In having regard to the above </w:t>
      </w:r>
      <w:r>
        <w:t>matters</w:t>
      </w:r>
      <w:r w:rsidRPr="00D26A6A">
        <w:t xml:space="preserve">, </w:t>
      </w:r>
      <w:r w:rsidRPr="00537245">
        <w:t>I have considered</w:t>
      </w:r>
      <w:r w:rsidRPr="00D26A6A">
        <w:t xml:space="preserve"> and agreed with the chemistry assessment report completed by the APVMA’s subject matter experts where the followi</w:t>
      </w:r>
      <w:r>
        <w:t xml:space="preserve">ng information was reviewed, as summarised in section </w:t>
      </w:r>
      <w:r w:rsidRPr="00537245">
        <w:rPr>
          <w:i/>
          <w:iCs/>
        </w:rPr>
        <w:t>‘2.1 Chemistry and Manufacture – Active Constituents’</w:t>
      </w:r>
      <w:r>
        <w:t xml:space="preserve"> of the </w:t>
      </w:r>
      <w:r>
        <w:rPr>
          <w:i/>
          <w:iCs/>
          <w:color w:val="000000" w:themeColor="text1"/>
        </w:rPr>
        <w:t>An</w:t>
      </w:r>
      <w:r w:rsidRPr="0009042B">
        <w:rPr>
          <w:i/>
          <w:iCs/>
          <w:color w:val="000000" w:themeColor="text1"/>
        </w:rPr>
        <w:t>ticoagulant Rodenticides Review Technical Report</w:t>
      </w:r>
      <w:r>
        <w:rPr>
          <w:color w:val="000000" w:themeColor="text1"/>
        </w:rPr>
        <w:t>.</w:t>
      </w:r>
    </w:p>
    <w:p w14:paraId="168F8F28" w14:textId="48B69846" w:rsidR="008E67EA" w:rsidRPr="00AF46A9" w:rsidRDefault="008E67EA">
      <w:pPr>
        <w:pStyle w:val="NumberLevel2"/>
        <w:numPr>
          <w:ilvl w:val="1"/>
          <w:numId w:val="15"/>
        </w:numPr>
        <w:rPr>
          <w:color w:val="000000" w:themeColor="text1"/>
        </w:rPr>
      </w:pPr>
      <w:r w:rsidRPr="00AF46A9">
        <w:rPr>
          <w:color w:val="000000" w:themeColor="text1"/>
        </w:rPr>
        <w:t>The manufacturing method information, batch analysis results and/or the Declaration of Composition (including minimum purity and maximum impurity levels) for all active constituent approvals listed in Attachment A of this notice, which were submitted and assessed as part of the original approval.</w:t>
      </w:r>
    </w:p>
    <w:p w14:paraId="1C73ACA7" w14:textId="78E7CFF2" w:rsidR="008E67EA" w:rsidRPr="005D70B1" w:rsidRDefault="008E67EA">
      <w:pPr>
        <w:pStyle w:val="NumberLevel2"/>
        <w:numPr>
          <w:ilvl w:val="1"/>
          <w:numId w:val="15"/>
        </w:numPr>
        <w:rPr>
          <w:color w:val="000000" w:themeColor="text1"/>
        </w:rPr>
      </w:pPr>
      <w:r w:rsidRPr="005D70B1">
        <w:rPr>
          <w:color w:val="000000" w:themeColor="text1"/>
        </w:rPr>
        <w:t>The current specifications for the active constituents brodifacoum, bromadiolone, coumatetralyl, difenacoum, difethialone</w:t>
      </w:r>
      <w:r>
        <w:rPr>
          <w:color w:val="000000" w:themeColor="text1"/>
        </w:rPr>
        <w:t>,</w:t>
      </w:r>
      <w:r w:rsidRPr="005D70B1">
        <w:rPr>
          <w:color w:val="000000" w:themeColor="text1"/>
        </w:rPr>
        <w:t xml:space="preserve"> diphacinone</w:t>
      </w:r>
      <w:r>
        <w:rPr>
          <w:color w:val="000000" w:themeColor="text1"/>
        </w:rPr>
        <w:t xml:space="preserve">, </w:t>
      </w:r>
      <w:r w:rsidRPr="005D70B1">
        <w:rPr>
          <w:color w:val="000000" w:themeColor="text1"/>
        </w:rPr>
        <w:t xml:space="preserve">flocoumafenin </w:t>
      </w:r>
      <w:r>
        <w:rPr>
          <w:color w:val="000000" w:themeColor="text1"/>
        </w:rPr>
        <w:t xml:space="preserve">and </w:t>
      </w:r>
      <w:r w:rsidRPr="005D70B1">
        <w:rPr>
          <w:color w:val="000000" w:themeColor="text1"/>
        </w:rPr>
        <w:t xml:space="preserve">warfarin in the </w:t>
      </w:r>
      <w:r w:rsidRPr="005D70B1">
        <w:rPr>
          <w:i/>
          <w:iCs/>
          <w:color w:val="000000" w:themeColor="text1"/>
        </w:rPr>
        <w:t>Agricultural and Veterinary Chemicals Code (Agricultural Active Constituents) Standards 2022</w:t>
      </w:r>
      <w:r w:rsidRPr="005D70B1">
        <w:rPr>
          <w:color w:val="000000" w:themeColor="text1"/>
        </w:rPr>
        <w:t xml:space="preserve"> (Active Constituents Standards 2022), as set out in </w:t>
      </w:r>
      <w:r w:rsidRPr="005D70B1">
        <w:rPr>
          <w:color w:val="000000" w:themeColor="text1"/>
        </w:rPr>
        <w:fldChar w:fldCharType="begin"/>
      </w:r>
      <w:r w:rsidRPr="005D70B1">
        <w:rPr>
          <w:color w:val="000000" w:themeColor="text1"/>
        </w:rPr>
        <w:instrText xml:space="preserve"> REF _Ref199857505 \h </w:instrText>
      </w:r>
      <w:r w:rsidRPr="005D70B1">
        <w:rPr>
          <w:color w:val="000000" w:themeColor="text1"/>
        </w:rPr>
      </w:r>
      <w:r w:rsidRPr="005D70B1">
        <w:rPr>
          <w:color w:val="000000" w:themeColor="text1"/>
        </w:rPr>
        <w:fldChar w:fldCharType="separate"/>
      </w:r>
      <w:r w:rsidR="002C0C2A">
        <w:t xml:space="preserve">Table </w:t>
      </w:r>
      <w:r w:rsidR="002C0C2A">
        <w:rPr>
          <w:noProof/>
        </w:rPr>
        <w:t>5</w:t>
      </w:r>
      <w:r w:rsidRPr="005D70B1">
        <w:rPr>
          <w:color w:val="000000" w:themeColor="text1"/>
        </w:rPr>
        <w:fldChar w:fldCharType="end"/>
      </w:r>
      <w:r w:rsidRPr="005D70B1">
        <w:rPr>
          <w:color w:val="000000" w:themeColor="text1"/>
        </w:rPr>
        <w:t xml:space="preserve"> below. The Active Constituents Standard 2022 is a standard made under section 6E(1) of the Agvet Code for active constituents used in agricultural chemical products, including anticoagulant rodenticides.</w:t>
      </w:r>
    </w:p>
    <w:p w14:paraId="1CB34236" w14:textId="0FD2E57D" w:rsidR="008E67EA" w:rsidRDefault="008E67EA">
      <w:pPr>
        <w:pStyle w:val="NumberLevel2"/>
        <w:numPr>
          <w:ilvl w:val="1"/>
          <w:numId w:val="15"/>
        </w:numPr>
      </w:pPr>
      <w:r w:rsidRPr="00295C26">
        <w:t xml:space="preserve">The Food and Agriculture Organization of the United Nations </w:t>
      </w:r>
      <w:r>
        <w:t xml:space="preserve">(FAO) specifications for brodifacoum technical material. The FAO </w:t>
      </w:r>
      <w:r w:rsidRPr="00295C26">
        <w:t>specification</w:t>
      </w:r>
      <w:r>
        <w:t xml:space="preserve">s </w:t>
      </w:r>
      <w:r w:rsidRPr="00295C26">
        <w:t>represent a consensus between FAO</w:t>
      </w:r>
      <w:r>
        <w:t xml:space="preserve"> and World Health Organisation (</w:t>
      </w:r>
      <w:r w:rsidRPr="00295C26">
        <w:t>WHO</w:t>
      </w:r>
      <w:r>
        <w:t>)</w:t>
      </w:r>
      <w:r w:rsidRPr="00295C26">
        <w:t xml:space="preserve"> chemistry experts regarding the acceptable composition and purity of technical actives and</w:t>
      </w:r>
      <w:r>
        <w:t>/or</w:t>
      </w:r>
      <w:r w:rsidRPr="00295C26">
        <w:t xml:space="preserve"> chemical products.</w:t>
      </w:r>
      <w:r>
        <w:t xml:space="preserve"> I note that there are no FAO specifications for the anticoagulant rodenticide active constituents bromadiolone, </w:t>
      </w:r>
      <w:r w:rsidRPr="005D70B1">
        <w:rPr>
          <w:color w:val="000000" w:themeColor="text1"/>
        </w:rPr>
        <w:t>coumatetralyl</w:t>
      </w:r>
      <w:r>
        <w:t>, difenacoum, difethialone, diphacinone, flocoumafen or warfarin.</w:t>
      </w:r>
    </w:p>
    <w:p w14:paraId="23FFC64B" w14:textId="3EB50617" w:rsidR="008E67EA" w:rsidRDefault="008E67EA" w:rsidP="008E67EA">
      <w:pPr>
        <w:pStyle w:val="Caption"/>
        <w:keepNext/>
        <w:ind w:firstLine="568"/>
      </w:pPr>
      <w:bookmarkStart w:id="73" w:name="_Ref199857505"/>
      <w:r>
        <w:t xml:space="preserve">Table </w:t>
      </w:r>
      <w:r>
        <w:fldChar w:fldCharType="begin"/>
      </w:r>
      <w:r>
        <w:instrText xml:space="preserve"> SEQ Table \* ARABIC </w:instrText>
      </w:r>
      <w:r>
        <w:fldChar w:fldCharType="separate"/>
      </w:r>
      <w:r w:rsidR="002C0C2A">
        <w:rPr>
          <w:noProof/>
        </w:rPr>
        <w:t>5</w:t>
      </w:r>
      <w:r>
        <w:fldChar w:fldCharType="end"/>
      </w:r>
      <w:bookmarkEnd w:id="73"/>
      <w:r>
        <w:t>:</w:t>
      </w:r>
      <w:r w:rsidRPr="00B56677">
        <w:t xml:space="preserve"> </w:t>
      </w:r>
      <w:r>
        <w:t xml:space="preserve">Current specifications for anticoagulant rodenticides in the </w:t>
      </w:r>
      <w:r w:rsidRPr="00EF0E52">
        <w:rPr>
          <w:iCs w:val="0"/>
          <w:color w:val="000000" w:themeColor="text1"/>
        </w:rPr>
        <w:t>Active Constituents Standards 2022</w:t>
      </w: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544"/>
        <w:gridCol w:w="2835"/>
        <w:gridCol w:w="1755"/>
        <w:gridCol w:w="932"/>
      </w:tblGrid>
      <w:tr w:rsidR="008E67EA" w:rsidRPr="00B56677" w14:paraId="7ECC98FF" w14:textId="77777777" w:rsidTr="00B44A74">
        <w:trPr>
          <w:cantSplit/>
          <w:tblHeader/>
        </w:trPr>
        <w:tc>
          <w:tcPr>
            <w:tcW w:w="1955" w:type="pct"/>
            <w:tcBorders>
              <w:top w:val="single" w:sz="4" w:space="0" w:color="auto"/>
              <w:left w:val="single" w:sz="4" w:space="0" w:color="auto"/>
              <w:bottom w:val="single" w:sz="4" w:space="0" w:color="auto"/>
              <w:right w:val="single" w:sz="4" w:space="0" w:color="auto"/>
            </w:tcBorders>
            <w:shd w:val="clear" w:color="auto" w:fill="E6E6E6"/>
            <w:hideMark/>
          </w:tcPr>
          <w:p w14:paraId="2666F953" w14:textId="77777777" w:rsidR="008E67EA" w:rsidRPr="00B56677" w:rsidRDefault="008E67EA" w:rsidP="00B44A74">
            <w:pPr>
              <w:pStyle w:val="TableHead"/>
              <w:spacing w:before="0" w:after="0"/>
              <w:rPr>
                <w:color w:val="auto"/>
              </w:rPr>
            </w:pPr>
            <w:r w:rsidRPr="00B56677">
              <w:rPr>
                <w:color w:val="auto"/>
              </w:rPr>
              <w:t>Column A</w:t>
            </w:r>
          </w:p>
          <w:p w14:paraId="5777A2F8" w14:textId="77777777" w:rsidR="008E67EA" w:rsidRPr="00BD11C0" w:rsidRDefault="008E67EA" w:rsidP="00B44A74">
            <w:pPr>
              <w:pStyle w:val="TableHead"/>
              <w:spacing w:before="0" w:after="0"/>
              <w:rPr>
                <w:color w:val="auto"/>
              </w:rPr>
            </w:pPr>
            <w:r w:rsidRPr="00B56677">
              <w:rPr>
                <w:color w:val="auto"/>
              </w:rPr>
              <w:t>Identification of the active constituent</w:t>
            </w:r>
          </w:p>
        </w:tc>
        <w:tc>
          <w:tcPr>
            <w:tcW w:w="1564" w:type="pct"/>
            <w:tcBorders>
              <w:top w:val="single" w:sz="4" w:space="0" w:color="auto"/>
              <w:left w:val="single" w:sz="4" w:space="0" w:color="auto"/>
              <w:bottom w:val="single" w:sz="4" w:space="0" w:color="auto"/>
              <w:right w:val="single" w:sz="4" w:space="0" w:color="auto"/>
            </w:tcBorders>
            <w:shd w:val="clear" w:color="auto" w:fill="E6E6E6"/>
          </w:tcPr>
          <w:p w14:paraId="23B3D851" w14:textId="77777777" w:rsidR="008E67EA" w:rsidRPr="00BD11C0" w:rsidRDefault="008E67EA" w:rsidP="00B44A74">
            <w:pPr>
              <w:pStyle w:val="TableHead"/>
              <w:spacing w:before="0" w:after="0"/>
              <w:rPr>
                <w:color w:val="auto"/>
              </w:rPr>
            </w:pPr>
            <w:r w:rsidRPr="00BD11C0">
              <w:rPr>
                <w:color w:val="auto"/>
              </w:rPr>
              <w:t>Column B</w:t>
            </w:r>
          </w:p>
          <w:p w14:paraId="457E5532" w14:textId="77777777" w:rsidR="008E67EA" w:rsidRPr="00BD11C0" w:rsidRDefault="008E67EA" w:rsidP="00B44A74">
            <w:pPr>
              <w:pStyle w:val="TableHead"/>
              <w:spacing w:before="0" w:after="0"/>
              <w:rPr>
                <w:color w:val="auto"/>
              </w:rPr>
            </w:pPr>
            <w:r w:rsidRPr="00BD11C0">
              <w:rPr>
                <w:color w:val="auto"/>
              </w:rPr>
              <w:t>Description</w:t>
            </w:r>
          </w:p>
        </w:tc>
        <w:tc>
          <w:tcPr>
            <w:tcW w:w="968" w:type="pct"/>
            <w:tcBorders>
              <w:top w:val="single" w:sz="4" w:space="0" w:color="auto"/>
              <w:left w:val="single" w:sz="4" w:space="0" w:color="auto"/>
              <w:bottom w:val="single" w:sz="4" w:space="0" w:color="auto"/>
              <w:right w:val="single" w:sz="4" w:space="0" w:color="auto"/>
            </w:tcBorders>
            <w:shd w:val="clear" w:color="auto" w:fill="E6E6E6"/>
          </w:tcPr>
          <w:p w14:paraId="1A973ABB" w14:textId="77777777" w:rsidR="008E67EA" w:rsidRPr="00BD11C0" w:rsidRDefault="008E67EA" w:rsidP="00B44A74">
            <w:pPr>
              <w:pStyle w:val="TableHead"/>
              <w:spacing w:before="0" w:after="0"/>
              <w:rPr>
                <w:color w:val="auto"/>
              </w:rPr>
            </w:pPr>
            <w:r w:rsidRPr="00BD11C0">
              <w:rPr>
                <w:color w:val="auto"/>
              </w:rPr>
              <w:t>Column C</w:t>
            </w:r>
          </w:p>
          <w:p w14:paraId="36B4CA10" w14:textId="77777777" w:rsidR="008E67EA" w:rsidRPr="00BD11C0" w:rsidRDefault="008E67EA" w:rsidP="00B44A74">
            <w:pPr>
              <w:pStyle w:val="TableHead"/>
              <w:spacing w:before="0" w:after="0"/>
              <w:rPr>
                <w:color w:val="auto"/>
              </w:rPr>
            </w:pPr>
            <w:r w:rsidRPr="00BD11C0">
              <w:rPr>
                <w:color w:val="auto"/>
              </w:rPr>
              <w:t>Minimum Purity</w:t>
            </w:r>
          </w:p>
        </w:tc>
        <w:tc>
          <w:tcPr>
            <w:tcW w:w="514" w:type="pct"/>
            <w:tcBorders>
              <w:top w:val="single" w:sz="4" w:space="0" w:color="auto"/>
              <w:left w:val="single" w:sz="4" w:space="0" w:color="auto"/>
              <w:bottom w:val="single" w:sz="4" w:space="0" w:color="auto"/>
              <w:right w:val="single" w:sz="4" w:space="0" w:color="auto"/>
            </w:tcBorders>
            <w:shd w:val="clear" w:color="auto" w:fill="E6E6E6"/>
          </w:tcPr>
          <w:p w14:paraId="50B88F25" w14:textId="77777777" w:rsidR="008E67EA" w:rsidRPr="00BD11C0" w:rsidRDefault="008E67EA" w:rsidP="00B44A74">
            <w:pPr>
              <w:pStyle w:val="TableHead"/>
              <w:spacing w:before="0" w:after="0"/>
              <w:rPr>
                <w:color w:val="auto"/>
              </w:rPr>
            </w:pPr>
            <w:r w:rsidRPr="00BD11C0">
              <w:rPr>
                <w:color w:val="auto"/>
              </w:rPr>
              <w:t>Column D</w:t>
            </w:r>
          </w:p>
          <w:p w14:paraId="53585548" w14:textId="77777777" w:rsidR="008E67EA" w:rsidRPr="00BD11C0" w:rsidRDefault="008E67EA" w:rsidP="00B44A74">
            <w:pPr>
              <w:pStyle w:val="TableHead"/>
              <w:spacing w:before="0" w:after="0"/>
              <w:rPr>
                <w:color w:val="auto"/>
              </w:rPr>
            </w:pPr>
            <w:r w:rsidRPr="00BD11C0">
              <w:rPr>
                <w:color w:val="auto"/>
              </w:rPr>
              <w:t>Maximum Impurity Levels</w:t>
            </w:r>
          </w:p>
        </w:tc>
      </w:tr>
      <w:tr w:rsidR="008E67EA" w:rsidRPr="00B56677" w14:paraId="1CA4714E" w14:textId="77777777" w:rsidTr="00B44A74">
        <w:trPr>
          <w:cantSplit/>
        </w:trPr>
        <w:tc>
          <w:tcPr>
            <w:tcW w:w="1955" w:type="pct"/>
            <w:tcBorders>
              <w:top w:val="single" w:sz="4" w:space="0" w:color="auto"/>
              <w:left w:val="single" w:sz="4" w:space="0" w:color="auto"/>
              <w:bottom w:val="single" w:sz="4" w:space="0" w:color="auto"/>
              <w:right w:val="single" w:sz="4" w:space="0" w:color="auto"/>
            </w:tcBorders>
          </w:tcPr>
          <w:p w14:paraId="0A1679C8" w14:textId="77777777" w:rsidR="008E67EA" w:rsidRPr="00BD11C0" w:rsidRDefault="008E67EA" w:rsidP="00B44A74">
            <w:pPr>
              <w:pStyle w:val="APVMATableText"/>
              <w:spacing w:before="0" w:after="0"/>
              <w:rPr>
                <w:szCs w:val="17"/>
              </w:rPr>
            </w:pPr>
            <w:r w:rsidRPr="00BD11C0">
              <w:rPr>
                <w:b/>
                <w:bCs/>
                <w:color w:val="000000"/>
                <w:szCs w:val="17"/>
              </w:rPr>
              <w:t>Common Name: </w:t>
            </w:r>
            <w:r w:rsidRPr="00BD11C0">
              <w:rPr>
                <w:color w:val="000000"/>
                <w:szCs w:val="17"/>
              </w:rPr>
              <w:t>Brodifacoum</w:t>
            </w:r>
            <w:r w:rsidRPr="00BD11C0">
              <w:rPr>
                <w:color w:val="000000"/>
                <w:szCs w:val="17"/>
              </w:rPr>
              <w:br/>
            </w:r>
            <w:r w:rsidRPr="00BD11C0">
              <w:rPr>
                <w:b/>
                <w:bCs/>
                <w:color w:val="000000"/>
                <w:szCs w:val="17"/>
              </w:rPr>
              <w:t>Chemical Name: </w:t>
            </w:r>
            <w:r w:rsidRPr="00BD11C0">
              <w:rPr>
                <w:color w:val="000000"/>
                <w:szCs w:val="17"/>
              </w:rPr>
              <w:t>3-[(1</w:t>
            </w:r>
            <w:r w:rsidRPr="00BD11C0">
              <w:rPr>
                <w:i/>
                <w:iCs/>
                <w:color w:val="000000"/>
                <w:szCs w:val="17"/>
              </w:rPr>
              <w:t>RS</w:t>
            </w:r>
            <w:r w:rsidRPr="00BD11C0">
              <w:rPr>
                <w:color w:val="000000"/>
                <w:szCs w:val="17"/>
              </w:rPr>
              <w:t>,3</w:t>
            </w:r>
            <w:r w:rsidRPr="00BD11C0">
              <w:rPr>
                <w:i/>
                <w:iCs/>
                <w:color w:val="000000"/>
                <w:szCs w:val="17"/>
              </w:rPr>
              <w:t>RS</w:t>
            </w:r>
            <w:r w:rsidRPr="00BD11C0">
              <w:rPr>
                <w:color w:val="000000"/>
                <w:szCs w:val="17"/>
              </w:rPr>
              <w:t>;1</w:t>
            </w:r>
            <w:r w:rsidRPr="00BD11C0">
              <w:rPr>
                <w:i/>
                <w:iCs/>
                <w:color w:val="000000"/>
                <w:szCs w:val="17"/>
              </w:rPr>
              <w:t>RS</w:t>
            </w:r>
            <w:r w:rsidRPr="00BD11C0">
              <w:rPr>
                <w:color w:val="000000"/>
                <w:szCs w:val="17"/>
              </w:rPr>
              <w:t>,3</w:t>
            </w:r>
            <w:r w:rsidRPr="00BD11C0">
              <w:rPr>
                <w:i/>
                <w:iCs/>
                <w:color w:val="000000"/>
                <w:szCs w:val="17"/>
              </w:rPr>
              <w:t>SR</w:t>
            </w:r>
            <w:r w:rsidRPr="00BD11C0">
              <w:rPr>
                <w:color w:val="000000"/>
                <w:szCs w:val="17"/>
              </w:rPr>
              <w:t>)-3-(4′-bromobiphenyl-4-yl)-1,2,3,4-tetrahydro-1-naphthyl]-4-hydroxy-2</w:t>
            </w:r>
            <w:r w:rsidRPr="00BD11C0">
              <w:rPr>
                <w:i/>
                <w:iCs/>
                <w:color w:val="000000"/>
                <w:szCs w:val="17"/>
              </w:rPr>
              <w:t>H</w:t>
            </w:r>
            <w:r w:rsidRPr="00BD11C0">
              <w:rPr>
                <w:color w:val="000000"/>
                <w:szCs w:val="17"/>
              </w:rPr>
              <w:t>-chromen-2-one</w:t>
            </w:r>
            <w:r w:rsidRPr="00BD11C0">
              <w:rPr>
                <w:color w:val="000000"/>
                <w:szCs w:val="17"/>
              </w:rPr>
              <w:br/>
            </w:r>
            <w:r w:rsidRPr="00BD11C0">
              <w:rPr>
                <w:b/>
                <w:bCs/>
                <w:color w:val="000000"/>
                <w:szCs w:val="17"/>
              </w:rPr>
              <w:t>CAS Number: </w:t>
            </w:r>
            <w:r w:rsidRPr="00BD11C0">
              <w:rPr>
                <w:color w:val="000000"/>
                <w:szCs w:val="17"/>
              </w:rPr>
              <w:t>56073-10-0</w:t>
            </w:r>
          </w:p>
        </w:tc>
        <w:tc>
          <w:tcPr>
            <w:tcW w:w="1564" w:type="pct"/>
            <w:tcBorders>
              <w:top w:val="single" w:sz="4" w:space="0" w:color="auto"/>
              <w:left w:val="single" w:sz="4" w:space="0" w:color="auto"/>
              <w:bottom w:val="single" w:sz="4" w:space="0" w:color="auto"/>
              <w:right w:val="single" w:sz="4" w:space="0" w:color="auto"/>
            </w:tcBorders>
          </w:tcPr>
          <w:p w14:paraId="1B4AACF9" w14:textId="77777777" w:rsidR="008E67EA" w:rsidRPr="00BD11C0" w:rsidRDefault="008E67EA" w:rsidP="00B44A74">
            <w:pPr>
              <w:pStyle w:val="APVMATableText"/>
              <w:spacing w:before="0" w:after="0"/>
              <w:rPr>
                <w:szCs w:val="17"/>
              </w:rPr>
            </w:pPr>
            <w:r w:rsidRPr="00BD11C0">
              <w:rPr>
                <w:color w:val="000000"/>
                <w:szCs w:val="17"/>
              </w:rPr>
              <w:t>The material shall consist of broadifacoum together with related manufacturing impurities and shall be an off-white to buff or beige powder, free from visible extraneous matter and added modifying agents.</w:t>
            </w:r>
          </w:p>
        </w:tc>
        <w:tc>
          <w:tcPr>
            <w:tcW w:w="968" w:type="pct"/>
            <w:tcBorders>
              <w:top w:val="single" w:sz="4" w:space="0" w:color="auto"/>
              <w:left w:val="single" w:sz="4" w:space="0" w:color="auto"/>
              <w:bottom w:val="single" w:sz="4" w:space="0" w:color="auto"/>
              <w:right w:val="single" w:sz="4" w:space="0" w:color="auto"/>
            </w:tcBorders>
          </w:tcPr>
          <w:p w14:paraId="1ADA9298" w14:textId="77777777" w:rsidR="008E67EA" w:rsidRPr="00BD11C0" w:rsidRDefault="008E67EA" w:rsidP="00B44A74">
            <w:pPr>
              <w:pStyle w:val="APVMATableText"/>
              <w:spacing w:before="0" w:after="0"/>
              <w:rPr>
                <w:szCs w:val="17"/>
              </w:rPr>
            </w:pPr>
            <w:r w:rsidRPr="00BD11C0">
              <w:rPr>
                <w:color w:val="000000"/>
                <w:szCs w:val="17"/>
              </w:rPr>
              <w:t>900 g/kg minimum</w:t>
            </w:r>
          </w:p>
        </w:tc>
        <w:tc>
          <w:tcPr>
            <w:tcW w:w="514" w:type="pct"/>
            <w:tcBorders>
              <w:top w:val="single" w:sz="4" w:space="0" w:color="auto"/>
              <w:left w:val="single" w:sz="4" w:space="0" w:color="auto"/>
              <w:bottom w:val="single" w:sz="4" w:space="0" w:color="auto"/>
              <w:right w:val="single" w:sz="4" w:space="0" w:color="auto"/>
            </w:tcBorders>
          </w:tcPr>
          <w:p w14:paraId="4E36854B" w14:textId="77777777" w:rsidR="008E67EA" w:rsidRPr="00BD11C0" w:rsidRDefault="008E67EA" w:rsidP="00B44A74">
            <w:pPr>
              <w:pStyle w:val="APVMATableText"/>
              <w:spacing w:before="0" w:after="0"/>
              <w:rPr>
                <w:szCs w:val="17"/>
              </w:rPr>
            </w:pPr>
          </w:p>
        </w:tc>
      </w:tr>
      <w:tr w:rsidR="008E67EA" w:rsidRPr="00B56677" w14:paraId="3C169EDD" w14:textId="77777777" w:rsidTr="00B44A74">
        <w:trPr>
          <w:cantSplit/>
        </w:trPr>
        <w:tc>
          <w:tcPr>
            <w:tcW w:w="1955" w:type="pct"/>
            <w:tcBorders>
              <w:top w:val="single" w:sz="4" w:space="0" w:color="auto"/>
              <w:left w:val="single" w:sz="4" w:space="0" w:color="auto"/>
              <w:bottom w:val="single" w:sz="4" w:space="0" w:color="auto"/>
              <w:right w:val="single" w:sz="4" w:space="0" w:color="auto"/>
            </w:tcBorders>
          </w:tcPr>
          <w:p w14:paraId="6B9B75C1" w14:textId="77777777" w:rsidR="008E67EA" w:rsidRPr="00BD11C0" w:rsidRDefault="008E67EA" w:rsidP="00B44A74">
            <w:pPr>
              <w:pStyle w:val="APVMATableText"/>
              <w:spacing w:before="0" w:after="0"/>
              <w:rPr>
                <w:szCs w:val="17"/>
              </w:rPr>
            </w:pPr>
            <w:r w:rsidRPr="00BD11C0">
              <w:rPr>
                <w:b/>
                <w:bCs/>
                <w:color w:val="000000"/>
                <w:szCs w:val="17"/>
              </w:rPr>
              <w:t>Common Name: </w:t>
            </w:r>
            <w:r w:rsidRPr="00BD11C0">
              <w:rPr>
                <w:color w:val="000000"/>
                <w:szCs w:val="17"/>
              </w:rPr>
              <w:t>Bromadiolone</w:t>
            </w:r>
            <w:r w:rsidRPr="00BD11C0">
              <w:rPr>
                <w:color w:val="000000"/>
                <w:szCs w:val="17"/>
              </w:rPr>
              <w:br/>
            </w:r>
            <w:r w:rsidRPr="00BD11C0">
              <w:rPr>
                <w:b/>
                <w:bCs/>
                <w:color w:val="000000"/>
                <w:szCs w:val="17"/>
              </w:rPr>
              <w:t>Chemical Name: </w:t>
            </w:r>
            <w:r w:rsidRPr="00BD11C0">
              <w:rPr>
                <w:color w:val="000000"/>
                <w:szCs w:val="17"/>
              </w:rPr>
              <w:t>Mixture of 80–100% 3-[(1</w:t>
            </w:r>
            <w:r w:rsidRPr="00BD11C0">
              <w:rPr>
                <w:i/>
                <w:iCs/>
                <w:color w:val="000000"/>
                <w:szCs w:val="17"/>
              </w:rPr>
              <w:t>RS</w:t>
            </w:r>
            <w:r w:rsidRPr="00BD11C0">
              <w:rPr>
                <w:color w:val="000000"/>
                <w:szCs w:val="17"/>
              </w:rPr>
              <w:t>,3</w:t>
            </w:r>
            <w:r w:rsidRPr="00BD11C0">
              <w:rPr>
                <w:i/>
                <w:iCs/>
                <w:color w:val="000000"/>
                <w:szCs w:val="17"/>
              </w:rPr>
              <w:t>SR</w:t>
            </w:r>
            <w:r w:rsidRPr="00BD11C0">
              <w:rPr>
                <w:color w:val="000000"/>
                <w:szCs w:val="17"/>
              </w:rPr>
              <w:t>)-3-(4′-bromobiphenyl-4-yl)-3-hydroxy-1-phenylpropyl]-4-hydroxy-2</w:t>
            </w:r>
            <w:r w:rsidRPr="00BD11C0">
              <w:rPr>
                <w:i/>
                <w:iCs/>
                <w:color w:val="000000"/>
                <w:szCs w:val="17"/>
              </w:rPr>
              <w:t>H</w:t>
            </w:r>
            <w:r w:rsidRPr="00BD11C0">
              <w:rPr>
                <w:color w:val="000000"/>
                <w:szCs w:val="17"/>
              </w:rPr>
              <w:t>-chromen-2-one and 20–0% 3-[(1</w:t>
            </w:r>
            <w:r w:rsidRPr="00BD11C0">
              <w:rPr>
                <w:i/>
                <w:iCs/>
                <w:color w:val="000000"/>
                <w:szCs w:val="17"/>
              </w:rPr>
              <w:t>RS</w:t>
            </w:r>
            <w:r w:rsidRPr="00BD11C0">
              <w:rPr>
                <w:color w:val="000000"/>
                <w:szCs w:val="17"/>
              </w:rPr>
              <w:t>,3</w:t>
            </w:r>
            <w:r w:rsidRPr="00BD11C0">
              <w:rPr>
                <w:i/>
                <w:iCs/>
                <w:color w:val="000000"/>
                <w:szCs w:val="17"/>
              </w:rPr>
              <w:t>RS</w:t>
            </w:r>
            <w:r w:rsidRPr="00BD11C0">
              <w:rPr>
                <w:color w:val="000000"/>
                <w:szCs w:val="17"/>
              </w:rPr>
              <w:t>)-3-(4′-bromobiphenyl-4-yl)-3-hydroxy-1-phenylpropyl]-4-hydroxy-2</w:t>
            </w:r>
            <w:r w:rsidRPr="00BD11C0">
              <w:rPr>
                <w:i/>
                <w:iCs/>
                <w:color w:val="000000"/>
                <w:szCs w:val="17"/>
              </w:rPr>
              <w:t>H</w:t>
            </w:r>
            <w:r w:rsidRPr="00BD11C0">
              <w:rPr>
                <w:color w:val="000000"/>
                <w:szCs w:val="17"/>
              </w:rPr>
              <w:t>-chromen-2-one</w:t>
            </w:r>
            <w:r w:rsidRPr="00BD11C0">
              <w:rPr>
                <w:color w:val="000000"/>
                <w:szCs w:val="17"/>
              </w:rPr>
              <w:br/>
            </w:r>
            <w:r w:rsidRPr="00BD11C0">
              <w:rPr>
                <w:b/>
                <w:bCs/>
                <w:color w:val="000000"/>
                <w:szCs w:val="17"/>
              </w:rPr>
              <w:t>CAS Number: </w:t>
            </w:r>
            <w:r w:rsidRPr="00BD11C0">
              <w:rPr>
                <w:color w:val="000000"/>
                <w:szCs w:val="17"/>
              </w:rPr>
              <w:t>28772-56-7</w:t>
            </w:r>
          </w:p>
        </w:tc>
        <w:tc>
          <w:tcPr>
            <w:tcW w:w="1564" w:type="pct"/>
            <w:tcBorders>
              <w:top w:val="single" w:sz="4" w:space="0" w:color="auto"/>
              <w:left w:val="single" w:sz="4" w:space="0" w:color="auto"/>
              <w:bottom w:val="single" w:sz="4" w:space="0" w:color="auto"/>
              <w:right w:val="single" w:sz="4" w:space="0" w:color="auto"/>
            </w:tcBorders>
          </w:tcPr>
          <w:p w14:paraId="460164B3" w14:textId="77777777" w:rsidR="008E67EA" w:rsidRPr="00BD11C0" w:rsidRDefault="008E67EA" w:rsidP="00B44A74">
            <w:pPr>
              <w:pStyle w:val="APVMATableText"/>
              <w:spacing w:before="0" w:after="0"/>
              <w:rPr>
                <w:szCs w:val="17"/>
              </w:rPr>
            </w:pPr>
            <w:r w:rsidRPr="00BD11C0">
              <w:rPr>
                <w:color w:val="000000"/>
                <w:szCs w:val="17"/>
              </w:rPr>
              <w:t>The material shall consist of bromadiolone together with related manufacturing impurities and shall be a yellowish powder, free from visible extraneous matter and added modifying agents.</w:t>
            </w:r>
          </w:p>
        </w:tc>
        <w:tc>
          <w:tcPr>
            <w:tcW w:w="968" w:type="pct"/>
            <w:tcBorders>
              <w:top w:val="single" w:sz="4" w:space="0" w:color="auto"/>
              <w:left w:val="single" w:sz="4" w:space="0" w:color="auto"/>
              <w:bottom w:val="single" w:sz="4" w:space="0" w:color="auto"/>
              <w:right w:val="single" w:sz="4" w:space="0" w:color="auto"/>
            </w:tcBorders>
          </w:tcPr>
          <w:p w14:paraId="3E80FCF8" w14:textId="77777777" w:rsidR="008E67EA" w:rsidRPr="00BD11C0" w:rsidRDefault="008E67EA" w:rsidP="00B44A74">
            <w:pPr>
              <w:pStyle w:val="APVMATableText"/>
              <w:spacing w:before="0" w:after="0"/>
              <w:rPr>
                <w:szCs w:val="17"/>
              </w:rPr>
            </w:pPr>
            <w:r w:rsidRPr="00BD11C0">
              <w:rPr>
                <w:color w:val="000000"/>
                <w:szCs w:val="17"/>
              </w:rPr>
              <w:t>930 g/kg minimum</w:t>
            </w:r>
          </w:p>
        </w:tc>
        <w:tc>
          <w:tcPr>
            <w:tcW w:w="514" w:type="pct"/>
            <w:tcBorders>
              <w:top w:val="single" w:sz="4" w:space="0" w:color="auto"/>
              <w:left w:val="single" w:sz="4" w:space="0" w:color="auto"/>
              <w:bottom w:val="single" w:sz="4" w:space="0" w:color="auto"/>
              <w:right w:val="single" w:sz="4" w:space="0" w:color="auto"/>
            </w:tcBorders>
          </w:tcPr>
          <w:p w14:paraId="75759D0B" w14:textId="77777777" w:rsidR="008E67EA" w:rsidRPr="00BD11C0" w:rsidRDefault="008E67EA" w:rsidP="00B44A74">
            <w:pPr>
              <w:pStyle w:val="APVMATableText"/>
              <w:spacing w:before="0" w:after="0"/>
              <w:rPr>
                <w:szCs w:val="17"/>
              </w:rPr>
            </w:pPr>
          </w:p>
        </w:tc>
      </w:tr>
      <w:tr w:rsidR="008E67EA" w:rsidRPr="00B56677" w14:paraId="0E3B78FD" w14:textId="77777777" w:rsidTr="00B44A74">
        <w:trPr>
          <w:cantSplit/>
        </w:trPr>
        <w:tc>
          <w:tcPr>
            <w:tcW w:w="1955" w:type="pct"/>
            <w:tcBorders>
              <w:top w:val="single" w:sz="4" w:space="0" w:color="auto"/>
              <w:left w:val="single" w:sz="4" w:space="0" w:color="auto"/>
              <w:bottom w:val="single" w:sz="4" w:space="0" w:color="auto"/>
              <w:right w:val="single" w:sz="4" w:space="0" w:color="auto"/>
            </w:tcBorders>
          </w:tcPr>
          <w:p w14:paraId="4AD96578" w14:textId="77777777" w:rsidR="008E67EA" w:rsidRPr="00BD11C0" w:rsidRDefault="008E67EA" w:rsidP="00B44A74">
            <w:pPr>
              <w:pStyle w:val="APVMATableText"/>
              <w:spacing w:before="0" w:after="0"/>
              <w:rPr>
                <w:b/>
                <w:bCs/>
                <w:color w:val="000000"/>
                <w:szCs w:val="17"/>
              </w:rPr>
            </w:pPr>
            <w:r w:rsidRPr="00BD11C0">
              <w:rPr>
                <w:b/>
                <w:bCs/>
                <w:color w:val="000000"/>
                <w:szCs w:val="17"/>
              </w:rPr>
              <w:lastRenderedPageBreak/>
              <w:t>Common Name: </w:t>
            </w:r>
            <w:r w:rsidRPr="00BD11C0">
              <w:rPr>
                <w:color w:val="000000"/>
                <w:szCs w:val="17"/>
              </w:rPr>
              <w:t>Coumatetralyl</w:t>
            </w:r>
            <w:r w:rsidRPr="00BD11C0">
              <w:rPr>
                <w:color w:val="000000"/>
                <w:szCs w:val="17"/>
              </w:rPr>
              <w:br/>
            </w:r>
            <w:r w:rsidRPr="00BD11C0">
              <w:rPr>
                <w:b/>
                <w:bCs/>
                <w:color w:val="000000"/>
                <w:szCs w:val="17"/>
              </w:rPr>
              <w:t>Chemical Name: </w:t>
            </w:r>
            <w:r w:rsidRPr="00BD11C0">
              <w:rPr>
                <w:color w:val="000000"/>
                <w:szCs w:val="17"/>
              </w:rPr>
              <w:t>4-hydroxy-3-[(1</w:t>
            </w:r>
            <w:r w:rsidRPr="00BD11C0">
              <w:rPr>
                <w:i/>
                <w:iCs/>
                <w:color w:val="000000"/>
                <w:szCs w:val="17"/>
              </w:rPr>
              <w:t>RS</w:t>
            </w:r>
            <w:r w:rsidRPr="00BD11C0">
              <w:rPr>
                <w:color w:val="000000"/>
                <w:szCs w:val="17"/>
              </w:rPr>
              <w:t>)-1,2,3,4-tetrahydro-1-naphthyl]-2</w:t>
            </w:r>
            <w:r w:rsidRPr="00BD11C0">
              <w:rPr>
                <w:i/>
                <w:iCs/>
                <w:color w:val="000000"/>
                <w:szCs w:val="17"/>
              </w:rPr>
              <w:t>H</w:t>
            </w:r>
            <w:r w:rsidRPr="00BD11C0">
              <w:rPr>
                <w:color w:val="000000"/>
                <w:szCs w:val="17"/>
              </w:rPr>
              <w:t>-chromen-2-one</w:t>
            </w:r>
            <w:r w:rsidRPr="00BD11C0">
              <w:rPr>
                <w:color w:val="000000"/>
                <w:szCs w:val="17"/>
              </w:rPr>
              <w:br/>
            </w:r>
            <w:r w:rsidRPr="00BD11C0">
              <w:rPr>
                <w:b/>
                <w:bCs/>
                <w:color w:val="000000"/>
                <w:szCs w:val="17"/>
              </w:rPr>
              <w:t>CAS Number: </w:t>
            </w:r>
            <w:r w:rsidRPr="00BD11C0">
              <w:rPr>
                <w:color w:val="000000"/>
                <w:szCs w:val="17"/>
              </w:rPr>
              <w:t>5836-29-3</w:t>
            </w:r>
          </w:p>
        </w:tc>
        <w:tc>
          <w:tcPr>
            <w:tcW w:w="1564" w:type="pct"/>
            <w:tcBorders>
              <w:top w:val="single" w:sz="4" w:space="0" w:color="auto"/>
              <w:left w:val="single" w:sz="4" w:space="0" w:color="auto"/>
              <w:bottom w:val="single" w:sz="4" w:space="0" w:color="auto"/>
              <w:right w:val="single" w:sz="4" w:space="0" w:color="auto"/>
            </w:tcBorders>
          </w:tcPr>
          <w:p w14:paraId="111676A0" w14:textId="77777777" w:rsidR="008E67EA" w:rsidRPr="00BD11C0" w:rsidRDefault="008E67EA" w:rsidP="00B44A74">
            <w:pPr>
              <w:pStyle w:val="APVMATableText"/>
              <w:spacing w:before="0" w:after="0"/>
              <w:rPr>
                <w:color w:val="000000"/>
                <w:szCs w:val="17"/>
              </w:rPr>
            </w:pPr>
            <w:r w:rsidRPr="00BD11C0">
              <w:rPr>
                <w:color w:val="000000"/>
                <w:szCs w:val="17"/>
              </w:rPr>
              <w:t>The material shall consist of coumatetralyl together with related manufacturing impurities and shall be colourless to yellowish crystals, free from visible extraneous matter and added modifying agents.</w:t>
            </w:r>
          </w:p>
        </w:tc>
        <w:tc>
          <w:tcPr>
            <w:tcW w:w="968" w:type="pct"/>
            <w:tcBorders>
              <w:top w:val="single" w:sz="4" w:space="0" w:color="auto"/>
              <w:left w:val="single" w:sz="4" w:space="0" w:color="auto"/>
              <w:bottom w:val="single" w:sz="4" w:space="0" w:color="auto"/>
              <w:right w:val="single" w:sz="4" w:space="0" w:color="auto"/>
            </w:tcBorders>
          </w:tcPr>
          <w:p w14:paraId="25D19D49" w14:textId="77777777" w:rsidR="008E67EA" w:rsidRPr="00BD11C0" w:rsidRDefault="008E67EA" w:rsidP="00B44A74">
            <w:pPr>
              <w:pStyle w:val="APVMATableText"/>
              <w:spacing w:before="0" w:after="0"/>
              <w:rPr>
                <w:color w:val="000000"/>
                <w:szCs w:val="17"/>
              </w:rPr>
            </w:pPr>
            <w:r w:rsidRPr="00BD11C0">
              <w:rPr>
                <w:color w:val="000000"/>
                <w:szCs w:val="17"/>
              </w:rPr>
              <w:t>980 g/kg minimum</w:t>
            </w:r>
          </w:p>
        </w:tc>
        <w:tc>
          <w:tcPr>
            <w:tcW w:w="514" w:type="pct"/>
            <w:tcBorders>
              <w:top w:val="single" w:sz="4" w:space="0" w:color="auto"/>
              <w:left w:val="single" w:sz="4" w:space="0" w:color="auto"/>
              <w:bottom w:val="single" w:sz="4" w:space="0" w:color="auto"/>
              <w:right w:val="single" w:sz="4" w:space="0" w:color="auto"/>
            </w:tcBorders>
          </w:tcPr>
          <w:p w14:paraId="758BC618" w14:textId="77777777" w:rsidR="008E67EA" w:rsidRPr="00BD11C0" w:rsidRDefault="008E67EA" w:rsidP="00B44A74">
            <w:pPr>
              <w:pStyle w:val="APVMATableText"/>
              <w:spacing w:before="0" w:after="0"/>
              <w:rPr>
                <w:szCs w:val="17"/>
              </w:rPr>
            </w:pPr>
          </w:p>
        </w:tc>
      </w:tr>
      <w:tr w:rsidR="008E67EA" w:rsidRPr="00B56677" w14:paraId="4E496869" w14:textId="77777777" w:rsidTr="00B44A74">
        <w:trPr>
          <w:cantSplit/>
        </w:trPr>
        <w:tc>
          <w:tcPr>
            <w:tcW w:w="1955" w:type="pct"/>
            <w:tcBorders>
              <w:top w:val="single" w:sz="4" w:space="0" w:color="auto"/>
              <w:left w:val="single" w:sz="4" w:space="0" w:color="auto"/>
              <w:right w:val="single" w:sz="4" w:space="0" w:color="auto"/>
            </w:tcBorders>
          </w:tcPr>
          <w:p w14:paraId="1A9D358A" w14:textId="77777777" w:rsidR="008E67EA" w:rsidRPr="00BD11C0" w:rsidRDefault="008E67EA" w:rsidP="00B44A74">
            <w:pPr>
              <w:pStyle w:val="APVMATableText"/>
              <w:spacing w:before="0" w:after="0"/>
              <w:rPr>
                <w:szCs w:val="17"/>
              </w:rPr>
            </w:pPr>
            <w:r w:rsidRPr="00BD11C0">
              <w:rPr>
                <w:b/>
                <w:bCs/>
                <w:color w:val="000000"/>
                <w:szCs w:val="17"/>
              </w:rPr>
              <w:t>Common Name: </w:t>
            </w:r>
            <w:r w:rsidRPr="00BD11C0">
              <w:rPr>
                <w:color w:val="000000"/>
                <w:szCs w:val="17"/>
              </w:rPr>
              <w:t>Difenacoum</w:t>
            </w:r>
            <w:r w:rsidRPr="00BD11C0">
              <w:rPr>
                <w:color w:val="000000"/>
                <w:szCs w:val="17"/>
              </w:rPr>
              <w:br/>
            </w:r>
            <w:r w:rsidRPr="00BD11C0">
              <w:rPr>
                <w:b/>
                <w:bCs/>
                <w:color w:val="000000"/>
                <w:szCs w:val="17"/>
              </w:rPr>
              <w:t>Chemical Name: </w:t>
            </w:r>
            <w:r w:rsidRPr="00BD11C0">
              <w:rPr>
                <w:color w:val="000000"/>
                <w:szCs w:val="17"/>
              </w:rPr>
              <w:t>3-[(1</w:t>
            </w:r>
            <w:r w:rsidRPr="00BD11C0">
              <w:rPr>
                <w:i/>
                <w:iCs/>
                <w:color w:val="000000"/>
                <w:szCs w:val="17"/>
              </w:rPr>
              <w:t>RS</w:t>
            </w:r>
            <w:r w:rsidRPr="00BD11C0">
              <w:rPr>
                <w:color w:val="000000"/>
                <w:szCs w:val="17"/>
              </w:rPr>
              <w:t>,3</w:t>
            </w:r>
            <w:r w:rsidRPr="00BD11C0">
              <w:rPr>
                <w:i/>
                <w:iCs/>
                <w:color w:val="000000"/>
                <w:szCs w:val="17"/>
              </w:rPr>
              <w:t>RS</w:t>
            </w:r>
            <w:r w:rsidRPr="00BD11C0">
              <w:rPr>
                <w:color w:val="000000"/>
                <w:szCs w:val="17"/>
              </w:rPr>
              <w:t>;1</w:t>
            </w:r>
            <w:r w:rsidRPr="00BD11C0">
              <w:rPr>
                <w:i/>
                <w:iCs/>
                <w:color w:val="000000"/>
                <w:szCs w:val="17"/>
              </w:rPr>
              <w:t>RS</w:t>
            </w:r>
            <w:r w:rsidRPr="00BD11C0">
              <w:rPr>
                <w:color w:val="000000"/>
                <w:szCs w:val="17"/>
              </w:rPr>
              <w:t>,3</w:t>
            </w:r>
            <w:r w:rsidRPr="00BD11C0">
              <w:rPr>
                <w:i/>
                <w:iCs/>
                <w:color w:val="000000"/>
                <w:szCs w:val="17"/>
              </w:rPr>
              <w:t>SR</w:t>
            </w:r>
            <w:r w:rsidRPr="00BD11C0">
              <w:rPr>
                <w:color w:val="000000"/>
                <w:szCs w:val="17"/>
              </w:rPr>
              <w:t>)-3-biphenyl-4-yl-1,2,3,4-tetrahydro-1-naphthyl]-4-hydroxy-2</w:t>
            </w:r>
            <w:r w:rsidRPr="00BD11C0">
              <w:rPr>
                <w:i/>
                <w:iCs/>
                <w:color w:val="000000"/>
                <w:szCs w:val="17"/>
              </w:rPr>
              <w:t>H</w:t>
            </w:r>
            <w:r w:rsidRPr="00BD11C0">
              <w:rPr>
                <w:color w:val="000000"/>
                <w:szCs w:val="17"/>
              </w:rPr>
              <w:t>-chromen-2-one</w:t>
            </w:r>
            <w:r w:rsidRPr="00BD11C0">
              <w:rPr>
                <w:color w:val="000000"/>
                <w:szCs w:val="17"/>
              </w:rPr>
              <w:br/>
            </w:r>
            <w:r w:rsidRPr="00BD11C0">
              <w:rPr>
                <w:b/>
                <w:bCs/>
                <w:color w:val="000000"/>
                <w:szCs w:val="17"/>
              </w:rPr>
              <w:t>CAS Number: </w:t>
            </w:r>
            <w:r w:rsidRPr="00BD11C0">
              <w:rPr>
                <w:color w:val="000000"/>
                <w:szCs w:val="17"/>
              </w:rPr>
              <w:t>56073-07-5</w:t>
            </w:r>
          </w:p>
        </w:tc>
        <w:tc>
          <w:tcPr>
            <w:tcW w:w="1564" w:type="pct"/>
            <w:tcBorders>
              <w:top w:val="single" w:sz="4" w:space="0" w:color="auto"/>
              <w:left w:val="single" w:sz="4" w:space="0" w:color="auto"/>
              <w:bottom w:val="single" w:sz="4" w:space="0" w:color="auto"/>
              <w:right w:val="single" w:sz="4" w:space="0" w:color="auto"/>
            </w:tcBorders>
          </w:tcPr>
          <w:p w14:paraId="1C1BA861" w14:textId="77777777" w:rsidR="008E67EA" w:rsidRPr="00BD11C0" w:rsidRDefault="008E67EA" w:rsidP="00B44A74">
            <w:pPr>
              <w:pStyle w:val="APVMATableText"/>
              <w:spacing w:before="0" w:after="0"/>
              <w:rPr>
                <w:szCs w:val="17"/>
              </w:rPr>
            </w:pPr>
            <w:r w:rsidRPr="00BD11C0">
              <w:rPr>
                <w:color w:val="000000"/>
                <w:szCs w:val="17"/>
              </w:rPr>
              <w:t>The material shall consist of difenacoum with related manufacturing impurities and shall be a buff/beige powder, free from visible extraneous matter and added modifying agents.</w:t>
            </w:r>
          </w:p>
        </w:tc>
        <w:tc>
          <w:tcPr>
            <w:tcW w:w="968" w:type="pct"/>
            <w:tcBorders>
              <w:top w:val="single" w:sz="4" w:space="0" w:color="auto"/>
              <w:left w:val="single" w:sz="4" w:space="0" w:color="auto"/>
              <w:bottom w:val="single" w:sz="4" w:space="0" w:color="auto"/>
              <w:right w:val="single" w:sz="4" w:space="0" w:color="auto"/>
            </w:tcBorders>
          </w:tcPr>
          <w:p w14:paraId="6C176262" w14:textId="77777777" w:rsidR="008E67EA" w:rsidRPr="00BD11C0" w:rsidRDefault="008E67EA" w:rsidP="00B44A74">
            <w:pPr>
              <w:pStyle w:val="APVMATableText"/>
              <w:spacing w:before="0" w:after="0"/>
              <w:rPr>
                <w:szCs w:val="17"/>
              </w:rPr>
            </w:pPr>
            <w:r w:rsidRPr="00BD11C0">
              <w:rPr>
                <w:color w:val="000000"/>
                <w:szCs w:val="17"/>
              </w:rPr>
              <w:t>960 g/kg minimum</w:t>
            </w:r>
          </w:p>
        </w:tc>
        <w:tc>
          <w:tcPr>
            <w:tcW w:w="514" w:type="pct"/>
            <w:tcBorders>
              <w:top w:val="single" w:sz="4" w:space="0" w:color="auto"/>
              <w:left w:val="single" w:sz="4" w:space="0" w:color="auto"/>
              <w:bottom w:val="single" w:sz="4" w:space="0" w:color="auto"/>
              <w:right w:val="single" w:sz="4" w:space="0" w:color="auto"/>
            </w:tcBorders>
          </w:tcPr>
          <w:p w14:paraId="58263EF0" w14:textId="77777777" w:rsidR="008E67EA" w:rsidRPr="00BD11C0" w:rsidRDefault="008E67EA" w:rsidP="00B44A74">
            <w:pPr>
              <w:pStyle w:val="APVMATableText"/>
              <w:spacing w:before="0" w:after="0"/>
              <w:rPr>
                <w:szCs w:val="17"/>
              </w:rPr>
            </w:pPr>
          </w:p>
        </w:tc>
      </w:tr>
      <w:tr w:rsidR="008E67EA" w:rsidRPr="00B56677" w14:paraId="2EB615DC" w14:textId="77777777" w:rsidTr="00B44A74">
        <w:trPr>
          <w:cantSplit/>
        </w:trPr>
        <w:tc>
          <w:tcPr>
            <w:tcW w:w="1955" w:type="pct"/>
            <w:tcBorders>
              <w:top w:val="single" w:sz="4" w:space="0" w:color="auto"/>
              <w:left w:val="single" w:sz="4" w:space="0" w:color="auto"/>
              <w:bottom w:val="single" w:sz="4" w:space="0" w:color="auto"/>
              <w:right w:val="single" w:sz="4" w:space="0" w:color="auto"/>
            </w:tcBorders>
          </w:tcPr>
          <w:p w14:paraId="71375B35" w14:textId="77777777" w:rsidR="008E67EA" w:rsidRPr="00BD11C0" w:rsidRDefault="008E67EA" w:rsidP="00B44A74">
            <w:pPr>
              <w:pStyle w:val="APVMATableText"/>
              <w:spacing w:before="0" w:after="0"/>
              <w:rPr>
                <w:szCs w:val="17"/>
              </w:rPr>
            </w:pPr>
            <w:r w:rsidRPr="00BD11C0">
              <w:rPr>
                <w:b/>
                <w:bCs/>
                <w:color w:val="000000"/>
                <w:szCs w:val="17"/>
              </w:rPr>
              <w:t>Common Name: </w:t>
            </w:r>
            <w:r w:rsidRPr="00BD11C0">
              <w:rPr>
                <w:color w:val="000000"/>
                <w:szCs w:val="17"/>
              </w:rPr>
              <w:t>Difethialone</w:t>
            </w:r>
            <w:r w:rsidRPr="00BD11C0">
              <w:rPr>
                <w:color w:val="000000"/>
                <w:szCs w:val="17"/>
              </w:rPr>
              <w:br/>
            </w:r>
            <w:r w:rsidRPr="00BD11C0">
              <w:rPr>
                <w:b/>
                <w:bCs/>
                <w:color w:val="000000"/>
                <w:szCs w:val="17"/>
              </w:rPr>
              <w:t>Chemical Name: </w:t>
            </w:r>
            <w:r w:rsidRPr="00BD11C0">
              <w:rPr>
                <w:color w:val="000000"/>
                <w:szCs w:val="17"/>
              </w:rPr>
              <w:t>3-[(1</w:t>
            </w:r>
            <w:r w:rsidRPr="00BD11C0">
              <w:rPr>
                <w:i/>
                <w:iCs/>
                <w:color w:val="000000"/>
                <w:szCs w:val="17"/>
              </w:rPr>
              <w:t>RS</w:t>
            </w:r>
            <w:r w:rsidRPr="00BD11C0">
              <w:rPr>
                <w:color w:val="000000"/>
                <w:szCs w:val="17"/>
              </w:rPr>
              <w:t>,3</w:t>
            </w:r>
            <w:r w:rsidRPr="00BD11C0">
              <w:rPr>
                <w:i/>
                <w:iCs/>
                <w:color w:val="000000"/>
                <w:szCs w:val="17"/>
              </w:rPr>
              <w:t>RS</w:t>
            </w:r>
            <w:r w:rsidRPr="00BD11C0">
              <w:rPr>
                <w:color w:val="000000"/>
                <w:szCs w:val="17"/>
              </w:rPr>
              <w:t>;1</w:t>
            </w:r>
            <w:r w:rsidRPr="00BD11C0">
              <w:rPr>
                <w:i/>
                <w:iCs/>
                <w:color w:val="000000"/>
                <w:szCs w:val="17"/>
              </w:rPr>
              <w:t>RS</w:t>
            </w:r>
            <w:r w:rsidRPr="00BD11C0">
              <w:rPr>
                <w:color w:val="000000"/>
                <w:szCs w:val="17"/>
              </w:rPr>
              <w:t>,3</w:t>
            </w:r>
            <w:r w:rsidRPr="00BD11C0">
              <w:rPr>
                <w:i/>
                <w:iCs/>
                <w:color w:val="000000"/>
                <w:szCs w:val="17"/>
              </w:rPr>
              <w:t>SR</w:t>
            </w:r>
            <w:r w:rsidRPr="00BD11C0">
              <w:rPr>
                <w:color w:val="000000"/>
                <w:szCs w:val="17"/>
              </w:rPr>
              <w:t>)-3-(4′-bromobiphenyl-4-yl)-1,2,3,4-tetrahydro-1-naphthyl]-4-hydroxy-1-benzothiin-2-one containing 0–15% of the (1</w:t>
            </w:r>
            <w:r w:rsidRPr="00BD11C0">
              <w:rPr>
                <w:i/>
                <w:iCs/>
                <w:color w:val="000000"/>
                <w:szCs w:val="17"/>
              </w:rPr>
              <w:t>RS</w:t>
            </w:r>
            <w:r w:rsidRPr="00BD11C0">
              <w:rPr>
                <w:color w:val="000000"/>
                <w:szCs w:val="17"/>
              </w:rPr>
              <w:t>,3</w:t>
            </w:r>
            <w:r w:rsidRPr="00BD11C0">
              <w:rPr>
                <w:i/>
                <w:iCs/>
                <w:color w:val="000000"/>
                <w:szCs w:val="17"/>
              </w:rPr>
              <w:t>RS</w:t>
            </w:r>
            <w:r w:rsidRPr="00BD11C0">
              <w:rPr>
                <w:color w:val="000000"/>
                <w:szCs w:val="17"/>
              </w:rPr>
              <w:t>)-racemate and 85–100% of the (1</w:t>
            </w:r>
            <w:r w:rsidRPr="00BD11C0">
              <w:rPr>
                <w:i/>
                <w:iCs/>
                <w:color w:val="000000"/>
                <w:szCs w:val="17"/>
              </w:rPr>
              <w:t>RS</w:t>
            </w:r>
            <w:r w:rsidRPr="00BD11C0">
              <w:rPr>
                <w:color w:val="000000"/>
                <w:szCs w:val="17"/>
              </w:rPr>
              <w:t>,3</w:t>
            </w:r>
            <w:r w:rsidRPr="00BD11C0">
              <w:rPr>
                <w:i/>
                <w:iCs/>
                <w:color w:val="000000"/>
                <w:szCs w:val="17"/>
              </w:rPr>
              <w:t>SR</w:t>
            </w:r>
            <w:r w:rsidRPr="00BD11C0">
              <w:rPr>
                <w:color w:val="000000"/>
                <w:szCs w:val="17"/>
              </w:rPr>
              <w:t>)-racemate</w:t>
            </w:r>
            <w:r w:rsidRPr="00BD11C0">
              <w:rPr>
                <w:color w:val="000000"/>
                <w:szCs w:val="17"/>
              </w:rPr>
              <w:br/>
            </w:r>
            <w:r w:rsidRPr="00BD11C0">
              <w:rPr>
                <w:b/>
                <w:bCs/>
                <w:color w:val="000000"/>
                <w:szCs w:val="17"/>
              </w:rPr>
              <w:t>CAS Number: </w:t>
            </w:r>
            <w:r w:rsidRPr="00BD11C0">
              <w:rPr>
                <w:color w:val="000000"/>
                <w:szCs w:val="17"/>
              </w:rPr>
              <w:t>104653-34-1</w:t>
            </w:r>
          </w:p>
        </w:tc>
        <w:tc>
          <w:tcPr>
            <w:tcW w:w="1564" w:type="pct"/>
            <w:tcBorders>
              <w:top w:val="single" w:sz="4" w:space="0" w:color="auto"/>
              <w:left w:val="single" w:sz="4" w:space="0" w:color="auto"/>
              <w:bottom w:val="single" w:sz="4" w:space="0" w:color="auto"/>
              <w:right w:val="single" w:sz="4" w:space="0" w:color="auto"/>
            </w:tcBorders>
          </w:tcPr>
          <w:p w14:paraId="73B30300" w14:textId="77777777" w:rsidR="008E67EA" w:rsidRPr="00BD11C0" w:rsidRDefault="008E67EA" w:rsidP="00B44A74">
            <w:pPr>
              <w:pStyle w:val="APVMATableText"/>
              <w:spacing w:before="0" w:after="0"/>
              <w:rPr>
                <w:szCs w:val="17"/>
              </w:rPr>
            </w:pPr>
            <w:r w:rsidRPr="00BD11C0">
              <w:rPr>
                <w:color w:val="000000"/>
                <w:szCs w:val="17"/>
              </w:rPr>
              <w:t>The material shall consist of difethialone together with related manufacturing impurities and shall be a white to slightly yellowish powder, free from visible extraneous matter and added modifying agents.</w:t>
            </w:r>
          </w:p>
        </w:tc>
        <w:tc>
          <w:tcPr>
            <w:tcW w:w="968" w:type="pct"/>
            <w:tcBorders>
              <w:top w:val="single" w:sz="4" w:space="0" w:color="auto"/>
              <w:left w:val="single" w:sz="4" w:space="0" w:color="auto"/>
              <w:bottom w:val="single" w:sz="4" w:space="0" w:color="auto"/>
              <w:right w:val="single" w:sz="4" w:space="0" w:color="auto"/>
            </w:tcBorders>
          </w:tcPr>
          <w:p w14:paraId="358715DB" w14:textId="77777777" w:rsidR="008E67EA" w:rsidRPr="00BD11C0" w:rsidRDefault="008E67EA" w:rsidP="00B44A74">
            <w:pPr>
              <w:pStyle w:val="NormalWeb"/>
              <w:spacing w:before="0" w:beforeAutospacing="0" w:after="0" w:afterAutospacing="0"/>
              <w:rPr>
                <w:rFonts w:ascii="Arial" w:hAnsi="Arial" w:cs="Arial"/>
                <w:color w:val="000000"/>
                <w:sz w:val="17"/>
                <w:szCs w:val="17"/>
              </w:rPr>
            </w:pPr>
            <w:r w:rsidRPr="00BD11C0">
              <w:rPr>
                <w:rFonts w:ascii="Arial" w:hAnsi="Arial" w:cs="Arial"/>
                <w:color w:val="000000"/>
                <w:sz w:val="17"/>
                <w:szCs w:val="17"/>
              </w:rPr>
              <w:t>The sum of isomers is 980 g/kg minimum;</w:t>
            </w:r>
          </w:p>
          <w:p w14:paraId="1A5E39F8" w14:textId="77777777" w:rsidR="008E67EA" w:rsidRPr="00BD11C0" w:rsidRDefault="008E67EA" w:rsidP="00B44A74">
            <w:pPr>
              <w:pStyle w:val="APVMATableText"/>
              <w:spacing w:before="0" w:after="0"/>
              <w:rPr>
                <w:szCs w:val="17"/>
              </w:rPr>
            </w:pPr>
            <w:r w:rsidRPr="00BD11C0">
              <w:rPr>
                <w:color w:val="000000"/>
                <w:szCs w:val="17"/>
              </w:rPr>
              <w:t>The ratio of (1RS,3RS) isomers to (1RS,3SR) isomers shall be in the range 0-15 to 85-100.</w:t>
            </w:r>
          </w:p>
        </w:tc>
        <w:tc>
          <w:tcPr>
            <w:tcW w:w="514" w:type="pct"/>
            <w:tcBorders>
              <w:top w:val="single" w:sz="4" w:space="0" w:color="auto"/>
              <w:left w:val="single" w:sz="4" w:space="0" w:color="auto"/>
              <w:bottom w:val="single" w:sz="4" w:space="0" w:color="auto"/>
              <w:right w:val="single" w:sz="4" w:space="0" w:color="auto"/>
            </w:tcBorders>
          </w:tcPr>
          <w:p w14:paraId="2BE2968B" w14:textId="77777777" w:rsidR="008E67EA" w:rsidRPr="00BD11C0" w:rsidRDefault="008E67EA" w:rsidP="00B44A74">
            <w:pPr>
              <w:pStyle w:val="APVMATableText"/>
              <w:spacing w:before="0" w:after="0"/>
              <w:rPr>
                <w:szCs w:val="17"/>
              </w:rPr>
            </w:pPr>
          </w:p>
        </w:tc>
      </w:tr>
      <w:tr w:rsidR="008E67EA" w:rsidRPr="00B56677" w14:paraId="052FC0B2" w14:textId="77777777" w:rsidTr="00B44A74">
        <w:trPr>
          <w:cantSplit/>
        </w:trPr>
        <w:tc>
          <w:tcPr>
            <w:tcW w:w="1955" w:type="pct"/>
            <w:tcBorders>
              <w:top w:val="single" w:sz="4" w:space="0" w:color="auto"/>
              <w:left w:val="single" w:sz="4" w:space="0" w:color="auto"/>
              <w:bottom w:val="single" w:sz="4" w:space="0" w:color="auto"/>
              <w:right w:val="single" w:sz="4" w:space="0" w:color="auto"/>
            </w:tcBorders>
          </w:tcPr>
          <w:p w14:paraId="1A7157B7" w14:textId="77777777" w:rsidR="008E67EA" w:rsidRPr="00BD11C0" w:rsidRDefault="008E67EA" w:rsidP="00B44A74">
            <w:pPr>
              <w:pStyle w:val="APVMATableText"/>
              <w:spacing w:before="0" w:after="0"/>
              <w:rPr>
                <w:b/>
                <w:bCs/>
                <w:color w:val="000000"/>
                <w:szCs w:val="17"/>
              </w:rPr>
            </w:pPr>
            <w:r w:rsidRPr="00BD11C0">
              <w:rPr>
                <w:b/>
                <w:bCs/>
                <w:color w:val="000000"/>
                <w:szCs w:val="17"/>
              </w:rPr>
              <w:t>Common Name: </w:t>
            </w:r>
            <w:r w:rsidRPr="00BD11C0">
              <w:rPr>
                <w:color w:val="000000"/>
                <w:szCs w:val="17"/>
              </w:rPr>
              <w:t>Diphacinone</w:t>
            </w:r>
            <w:r w:rsidRPr="00BD11C0">
              <w:rPr>
                <w:color w:val="000000"/>
                <w:szCs w:val="17"/>
              </w:rPr>
              <w:br/>
            </w:r>
            <w:r w:rsidRPr="00BD11C0">
              <w:rPr>
                <w:b/>
                <w:bCs/>
                <w:color w:val="000000"/>
                <w:szCs w:val="17"/>
              </w:rPr>
              <w:t>Chemical Name: </w:t>
            </w:r>
            <w:r w:rsidRPr="00BD11C0">
              <w:rPr>
                <w:color w:val="000000"/>
                <w:szCs w:val="17"/>
              </w:rPr>
              <w:t>2-(diphenylacetyl)indane-1,3-dione</w:t>
            </w:r>
            <w:r w:rsidRPr="00BD11C0">
              <w:rPr>
                <w:color w:val="000000"/>
                <w:szCs w:val="17"/>
              </w:rPr>
              <w:br/>
            </w:r>
            <w:r w:rsidRPr="00BD11C0">
              <w:rPr>
                <w:b/>
                <w:bCs/>
                <w:color w:val="000000"/>
                <w:szCs w:val="17"/>
              </w:rPr>
              <w:t>CAS Number: </w:t>
            </w:r>
            <w:r w:rsidRPr="00BD11C0">
              <w:rPr>
                <w:color w:val="000000"/>
                <w:szCs w:val="17"/>
              </w:rPr>
              <w:t>82-66-6</w:t>
            </w:r>
          </w:p>
        </w:tc>
        <w:tc>
          <w:tcPr>
            <w:tcW w:w="1564" w:type="pct"/>
            <w:tcBorders>
              <w:top w:val="single" w:sz="4" w:space="0" w:color="auto"/>
              <w:left w:val="single" w:sz="4" w:space="0" w:color="auto"/>
              <w:bottom w:val="single" w:sz="4" w:space="0" w:color="auto"/>
              <w:right w:val="single" w:sz="4" w:space="0" w:color="auto"/>
            </w:tcBorders>
          </w:tcPr>
          <w:p w14:paraId="093EC334" w14:textId="77777777" w:rsidR="008E67EA" w:rsidRPr="00BD11C0" w:rsidRDefault="008E67EA" w:rsidP="00B44A74">
            <w:pPr>
              <w:pStyle w:val="APVMATableText"/>
              <w:spacing w:before="0" w:after="0"/>
              <w:rPr>
                <w:color w:val="000000"/>
                <w:szCs w:val="17"/>
              </w:rPr>
            </w:pPr>
            <w:r w:rsidRPr="00BD11C0">
              <w:rPr>
                <w:color w:val="000000"/>
                <w:szCs w:val="17"/>
              </w:rPr>
              <w:t>The material shall consist of diphacinone with related manufacturing impurities and shall be a yellow powder.</w:t>
            </w:r>
          </w:p>
        </w:tc>
        <w:tc>
          <w:tcPr>
            <w:tcW w:w="968" w:type="pct"/>
            <w:tcBorders>
              <w:top w:val="single" w:sz="4" w:space="0" w:color="auto"/>
              <w:left w:val="single" w:sz="4" w:space="0" w:color="auto"/>
              <w:bottom w:val="single" w:sz="4" w:space="0" w:color="auto"/>
              <w:right w:val="single" w:sz="4" w:space="0" w:color="auto"/>
            </w:tcBorders>
          </w:tcPr>
          <w:p w14:paraId="47D34C73" w14:textId="77777777" w:rsidR="008E67EA" w:rsidRPr="00BD11C0" w:rsidRDefault="008E67EA" w:rsidP="00B44A74">
            <w:pPr>
              <w:pStyle w:val="NormalWeb"/>
              <w:spacing w:before="0" w:beforeAutospacing="0" w:after="0" w:afterAutospacing="0"/>
              <w:rPr>
                <w:rFonts w:ascii="Arial" w:hAnsi="Arial" w:cs="Arial"/>
                <w:color w:val="000000"/>
                <w:sz w:val="17"/>
                <w:szCs w:val="17"/>
              </w:rPr>
            </w:pPr>
            <w:r w:rsidRPr="00BD11C0">
              <w:rPr>
                <w:rFonts w:ascii="Arial" w:hAnsi="Arial" w:cs="Arial"/>
                <w:color w:val="000000"/>
                <w:sz w:val="17"/>
                <w:szCs w:val="17"/>
              </w:rPr>
              <w:t>983 g/kg minimum</w:t>
            </w:r>
          </w:p>
        </w:tc>
        <w:tc>
          <w:tcPr>
            <w:tcW w:w="514" w:type="pct"/>
            <w:tcBorders>
              <w:top w:val="single" w:sz="4" w:space="0" w:color="auto"/>
              <w:left w:val="single" w:sz="4" w:space="0" w:color="auto"/>
              <w:bottom w:val="single" w:sz="4" w:space="0" w:color="auto"/>
              <w:right w:val="single" w:sz="4" w:space="0" w:color="auto"/>
            </w:tcBorders>
          </w:tcPr>
          <w:p w14:paraId="1028B837" w14:textId="77777777" w:rsidR="008E67EA" w:rsidRPr="00BD11C0" w:rsidRDefault="008E67EA" w:rsidP="00B44A74">
            <w:pPr>
              <w:pStyle w:val="APVMATableText"/>
              <w:spacing w:before="0" w:after="0"/>
              <w:rPr>
                <w:szCs w:val="17"/>
              </w:rPr>
            </w:pPr>
          </w:p>
        </w:tc>
      </w:tr>
      <w:tr w:rsidR="008E67EA" w:rsidRPr="00B56677" w14:paraId="4E54CE44" w14:textId="77777777" w:rsidTr="00B44A74">
        <w:trPr>
          <w:cantSplit/>
        </w:trPr>
        <w:tc>
          <w:tcPr>
            <w:tcW w:w="1955" w:type="pct"/>
            <w:tcBorders>
              <w:top w:val="single" w:sz="4" w:space="0" w:color="auto"/>
              <w:left w:val="single" w:sz="4" w:space="0" w:color="auto"/>
              <w:bottom w:val="single" w:sz="4" w:space="0" w:color="auto"/>
              <w:right w:val="single" w:sz="4" w:space="0" w:color="auto"/>
            </w:tcBorders>
          </w:tcPr>
          <w:p w14:paraId="14000E4F" w14:textId="77777777" w:rsidR="008E67EA" w:rsidRPr="00BD11C0" w:rsidRDefault="008E67EA" w:rsidP="00B44A74">
            <w:pPr>
              <w:pStyle w:val="APVMATableText"/>
              <w:spacing w:before="0" w:after="0"/>
              <w:rPr>
                <w:szCs w:val="17"/>
              </w:rPr>
            </w:pPr>
            <w:r w:rsidRPr="00BD11C0">
              <w:rPr>
                <w:b/>
                <w:bCs/>
                <w:color w:val="000000"/>
                <w:szCs w:val="17"/>
              </w:rPr>
              <w:t>Common Name: </w:t>
            </w:r>
            <w:r w:rsidRPr="00BD11C0">
              <w:rPr>
                <w:color w:val="000000"/>
                <w:szCs w:val="17"/>
              </w:rPr>
              <w:t>Flocoumafen</w:t>
            </w:r>
            <w:r w:rsidRPr="00BD11C0">
              <w:rPr>
                <w:color w:val="000000"/>
                <w:szCs w:val="17"/>
              </w:rPr>
              <w:br/>
            </w:r>
            <w:r w:rsidRPr="00BD11C0">
              <w:rPr>
                <w:b/>
                <w:bCs/>
                <w:color w:val="000000"/>
                <w:szCs w:val="17"/>
              </w:rPr>
              <w:t>Chemical Name: </w:t>
            </w:r>
            <w:r w:rsidRPr="00BD11C0">
              <w:rPr>
                <w:color w:val="000000"/>
                <w:szCs w:val="17"/>
              </w:rPr>
              <w:t>mixture of 50–80% </w:t>
            </w:r>
            <w:r w:rsidRPr="00BD11C0">
              <w:rPr>
                <w:i/>
                <w:iCs/>
                <w:color w:val="000000"/>
                <w:szCs w:val="17"/>
              </w:rPr>
              <w:t>cis</w:t>
            </w:r>
            <w:r w:rsidRPr="00BD11C0">
              <w:rPr>
                <w:color w:val="000000"/>
                <w:szCs w:val="17"/>
              </w:rPr>
              <w:t>-isomers 4-hydroxy-3-[(1</w:t>
            </w:r>
            <w:r w:rsidRPr="00BD11C0">
              <w:rPr>
                <w:i/>
                <w:iCs/>
                <w:color w:val="000000"/>
                <w:szCs w:val="17"/>
              </w:rPr>
              <w:t>RS</w:t>
            </w:r>
            <w:r w:rsidRPr="00BD11C0">
              <w:rPr>
                <w:color w:val="000000"/>
                <w:szCs w:val="17"/>
              </w:rPr>
              <w:t>,3</w:t>
            </w:r>
            <w:r w:rsidRPr="00BD11C0">
              <w:rPr>
                <w:i/>
                <w:iCs/>
                <w:color w:val="000000"/>
                <w:szCs w:val="17"/>
              </w:rPr>
              <w:t>SR</w:t>
            </w:r>
            <w:r w:rsidRPr="00BD11C0">
              <w:rPr>
                <w:color w:val="000000"/>
                <w:szCs w:val="17"/>
              </w:rPr>
              <w:t>)-3-(4-{[4-(trifluoromethyl)phenyl]methoxy}phenyl)-1,2,3,4-tetrahydro-1-naphthyl]-2</w:t>
            </w:r>
            <w:r w:rsidRPr="00BD11C0">
              <w:rPr>
                <w:i/>
                <w:iCs/>
                <w:color w:val="000000"/>
                <w:szCs w:val="17"/>
              </w:rPr>
              <w:t>H</w:t>
            </w:r>
            <w:r w:rsidRPr="00BD11C0">
              <w:rPr>
                <w:color w:val="000000"/>
                <w:szCs w:val="17"/>
              </w:rPr>
              <w:t>-chromen-2-one and 50–20% </w:t>
            </w:r>
            <w:r w:rsidRPr="00BD11C0">
              <w:rPr>
                <w:i/>
                <w:iCs/>
                <w:color w:val="000000"/>
                <w:szCs w:val="17"/>
              </w:rPr>
              <w:t>trans</w:t>
            </w:r>
            <w:r w:rsidRPr="00BD11C0">
              <w:rPr>
                <w:color w:val="000000"/>
                <w:szCs w:val="17"/>
              </w:rPr>
              <w:t>-isomers 4-hydroxy-3-[(1</w:t>
            </w:r>
            <w:r w:rsidRPr="00BD11C0">
              <w:rPr>
                <w:i/>
                <w:iCs/>
                <w:color w:val="000000"/>
                <w:szCs w:val="17"/>
              </w:rPr>
              <w:t>RS</w:t>
            </w:r>
            <w:r w:rsidRPr="00BD11C0">
              <w:rPr>
                <w:color w:val="000000"/>
                <w:szCs w:val="17"/>
              </w:rPr>
              <w:t>,3</w:t>
            </w:r>
            <w:r w:rsidRPr="00BD11C0">
              <w:rPr>
                <w:i/>
                <w:iCs/>
                <w:color w:val="000000"/>
                <w:szCs w:val="17"/>
              </w:rPr>
              <w:t>RS</w:t>
            </w:r>
            <w:r w:rsidRPr="00BD11C0">
              <w:rPr>
                <w:color w:val="000000"/>
                <w:szCs w:val="17"/>
              </w:rPr>
              <w:t>)-3-(4-{[4-(trifluoromethyl)phenyl]methoxy}phenyl)-1,2,3,4-tetrahydro-1-naphthyl]-2</w:t>
            </w:r>
            <w:r w:rsidRPr="00BD11C0">
              <w:rPr>
                <w:i/>
                <w:iCs/>
                <w:color w:val="000000"/>
                <w:szCs w:val="17"/>
              </w:rPr>
              <w:t>H</w:t>
            </w:r>
            <w:r w:rsidRPr="00BD11C0">
              <w:rPr>
                <w:color w:val="000000"/>
                <w:szCs w:val="17"/>
              </w:rPr>
              <w:t>-chromen-2-one</w:t>
            </w:r>
            <w:r w:rsidRPr="00BD11C0">
              <w:rPr>
                <w:color w:val="000000"/>
                <w:szCs w:val="17"/>
              </w:rPr>
              <w:br/>
            </w:r>
            <w:r w:rsidRPr="00BD11C0">
              <w:rPr>
                <w:b/>
                <w:bCs/>
                <w:color w:val="000000"/>
                <w:szCs w:val="17"/>
              </w:rPr>
              <w:t>CAS Number: </w:t>
            </w:r>
            <w:r w:rsidRPr="00BD11C0">
              <w:rPr>
                <w:color w:val="000000"/>
                <w:szCs w:val="17"/>
              </w:rPr>
              <w:t>90035-08-8</w:t>
            </w:r>
          </w:p>
        </w:tc>
        <w:tc>
          <w:tcPr>
            <w:tcW w:w="1564" w:type="pct"/>
            <w:tcBorders>
              <w:top w:val="single" w:sz="4" w:space="0" w:color="auto"/>
              <w:left w:val="single" w:sz="4" w:space="0" w:color="auto"/>
              <w:bottom w:val="single" w:sz="4" w:space="0" w:color="auto"/>
              <w:right w:val="single" w:sz="4" w:space="0" w:color="auto"/>
            </w:tcBorders>
          </w:tcPr>
          <w:p w14:paraId="6131B587" w14:textId="77777777" w:rsidR="008E67EA" w:rsidRPr="00BD11C0" w:rsidRDefault="008E67EA" w:rsidP="00B44A74">
            <w:pPr>
              <w:pStyle w:val="APVMATableText"/>
              <w:spacing w:before="0" w:after="0"/>
              <w:rPr>
                <w:szCs w:val="17"/>
              </w:rPr>
            </w:pPr>
            <w:r w:rsidRPr="00BD11C0">
              <w:rPr>
                <w:color w:val="000000"/>
                <w:szCs w:val="17"/>
              </w:rPr>
              <w:t>The material shall consist of flocoumafen together with related manufacturing impurities and shall be an off-white solid, free from visible extraneous matter and added modifying agents.</w:t>
            </w:r>
          </w:p>
        </w:tc>
        <w:tc>
          <w:tcPr>
            <w:tcW w:w="968" w:type="pct"/>
            <w:tcBorders>
              <w:top w:val="single" w:sz="4" w:space="0" w:color="auto"/>
              <w:left w:val="single" w:sz="4" w:space="0" w:color="auto"/>
              <w:bottom w:val="single" w:sz="4" w:space="0" w:color="auto"/>
              <w:right w:val="single" w:sz="4" w:space="0" w:color="auto"/>
            </w:tcBorders>
          </w:tcPr>
          <w:p w14:paraId="4B0DEB29" w14:textId="77777777" w:rsidR="008E67EA" w:rsidRPr="00BD11C0" w:rsidRDefault="008E67EA" w:rsidP="00B44A74">
            <w:pPr>
              <w:pStyle w:val="APVMATableText"/>
              <w:spacing w:before="0" w:after="0"/>
              <w:rPr>
                <w:szCs w:val="17"/>
              </w:rPr>
            </w:pPr>
            <w:r w:rsidRPr="00BD11C0">
              <w:rPr>
                <w:color w:val="000000"/>
                <w:szCs w:val="17"/>
              </w:rPr>
              <w:t>950 g/kg minimum</w:t>
            </w:r>
          </w:p>
        </w:tc>
        <w:tc>
          <w:tcPr>
            <w:tcW w:w="514" w:type="pct"/>
            <w:tcBorders>
              <w:top w:val="single" w:sz="4" w:space="0" w:color="auto"/>
              <w:left w:val="single" w:sz="4" w:space="0" w:color="auto"/>
              <w:bottom w:val="single" w:sz="4" w:space="0" w:color="auto"/>
              <w:right w:val="single" w:sz="4" w:space="0" w:color="auto"/>
            </w:tcBorders>
          </w:tcPr>
          <w:p w14:paraId="70036C0B" w14:textId="77777777" w:rsidR="008E67EA" w:rsidRPr="00BD11C0" w:rsidRDefault="008E67EA" w:rsidP="00B44A74">
            <w:pPr>
              <w:pStyle w:val="APVMATableText"/>
              <w:spacing w:before="0" w:after="0"/>
              <w:rPr>
                <w:szCs w:val="17"/>
              </w:rPr>
            </w:pPr>
          </w:p>
        </w:tc>
      </w:tr>
      <w:tr w:rsidR="008E67EA" w:rsidRPr="00B56677" w14:paraId="3618247A" w14:textId="77777777" w:rsidTr="00B44A74">
        <w:trPr>
          <w:cantSplit/>
        </w:trPr>
        <w:tc>
          <w:tcPr>
            <w:tcW w:w="1955" w:type="pct"/>
            <w:tcBorders>
              <w:top w:val="single" w:sz="4" w:space="0" w:color="auto"/>
              <w:left w:val="single" w:sz="4" w:space="0" w:color="auto"/>
              <w:bottom w:val="single" w:sz="4" w:space="0" w:color="auto"/>
              <w:right w:val="single" w:sz="4" w:space="0" w:color="auto"/>
            </w:tcBorders>
          </w:tcPr>
          <w:p w14:paraId="2679F2AD" w14:textId="77777777" w:rsidR="008E67EA" w:rsidRPr="00BD11C0" w:rsidRDefault="008E67EA" w:rsidP="00B44A74">
            <w:pPr>
              <w:pStyle w:val="APVMATableText"/>
              <w:spacing w:before="0" w:after="0"/>
              <w:rPr>
                <w:b/>
                <w:bCs/>
                <w:color w:val="000000"/>
                <w:szCs w:val="17"/>
              </w:rPr>
            </w:pPr>
            <w:r w:rsidRPr="00BD11C0">
              <w:rPr>
                <w:b/>
                <w:bCs/>
                <w:color w:val="000000"/>
                <w:szCs w:val="17"/>
              </w:rPr>
              <w:t>Common Name: </w:t>
            </w:r>
            <w:r w:rsidRPr="00BD11C0">
              <w:rPr>
                <w:color w:val="000000"/>
                <w:szCs w:val="17"/>
              </w:rPr>
              <w:t>Warfarin</w:t>
            </w:r>
            <w:r w:rsidRPr="00BD11C0">
              <w:rPr>
                <w:color w:val="000000"/>
                <w:szCs w:val="17"/>
              </w:rPr>
              <w:br/>
            </w:r>
            <w:r w:rsidRPr="00BD11C0">
              <w:rPr>
                <w:b/>
                <w:bCs/>
                <w:color w:val="000000"/>
                <w:szCs w:val="17"/>
              </w:rPr>
              <w:t>Chemical Name: </w:t>
            </w:r>
            <w:r w:rsidRPr="00BD11C0">
              <w:rPr>
                <w:color w:val="000000"/>
                <w:szCs w:val="17"/>
              </w:rPr>
              <w:t>4-hydroxy-3-[(1</w:t>
            </w:r>
            <w:r w:rsidRPr="00BD11C0">
              <w:rPr>
                <w:i/>
                <w:iCs/>
                <w:color w:val="000000"/>
                <w:szCs w:val="17"/>
              </w:rPr>
              <w:t>RS</w:t>
            </w:r>
            <w:r w:rsidRPr="00BD11C0">
              <w:rPr>
                <w:color w:val="000000"/>
                <w:szCs w:val="17"/>
              </w:rPr>
              <w:t>)-3-oxo-1-phenylbutyl]-2</w:t>
            </w:r>
            <w:r w:rsidRPr="00BD11C0">
              <w:rPr>
                <w:i/>
                <w:iCs/>
                <w:color w:val="000000"/>
                <w:szCs w:val="17"/>
              </w:rPr>
              <w:t>H</w:t>
            </w:r>
            <w:r w:rsidRPr="00BD11C0">
              <w:rPr>
                <w:color w:val="000000"/>
                <w:szCs w:val="17"/>
              </w:rPr>
              <w:t>-chromen-2-one</w:t>
            </w:r>
            <w:r w:rsidRPr="00BD11C0">
              <w:rPr>
                <w:color w:val="000000"/>
                <w:szCs w:val="17"/>
              </w:rPr>
              <w:br/>
            </w:r>
            <w:r w:rsidRPr="00BD11C0">
              <w:rPr>
                <w:b/>
                <w:bCs/>
                <w:color w:val="000000"/>
                <w:szCs w:val="17"/>
              </w:rPr>
              <w:t>CAS Number: </w:t>
            </w:r>
            <w:r w:rsidRPr="00BD11C0">
              <w:rPr>
                <w:color w:val="000000"/>
                <w:szCs w:val="17"/>
              </w:rPr>
              <w:t>81-81-2</w:t>
            </w:r>
          </w:p>
        </w:tc>
        <w:tc>
          <w:tcPr>
            <w:tcW w:w="1564" w:type="pct"/>
            <w:tcBorders>
              <w:top w:val="single" w:sz="4" w:space="0" w:color="auto"/>
              <w:left w:val="single" w:sz="4" w:space="0" w:color="auto"/>
              <w:bottom w:val="single" w:sz="4" w:space="0" w:color="auto"/>
              <w:right w:val="single" w:sz="4" w:space="0" w:color="auto"/>
            </w:tcBorders>
          </w:tcPr>
          <w:p w14:paraId="2F5FA6DF" w14:textId="77777777" w:rsidR="008E67EA" w:rsidRPr="00BD11C0" w:rsidRDefault="008E67EA" w:rsidP="00B44A74">
            <w:pPr>
              <w:pStyle w:val="APVMATableText"/>
              <w:spacing w:before="0" w:after="0"/>
              <w:rPr>
                <w:color w:val="000000"/>
                <w:szCs w:val="17"/>
              </w:rPr>
            </w:pPr>
            <w:r w:rsidRPr="00BD11C0">
              <w:rPr>
                <w:color w:val="000000"/>
                <w:szCs w:val="17"/>
              </w:rPr>
              <w:t>The material shall consist of warfarin together with related manufacturing impurities and shall be colourless crystals, free from visible extraneous matter and added modifying agents.</w:t>
            </w:r>
          </w:p>
        </w:tc>
        <w:tc>
          <w:tcPr>
            <w:tcW w:w="968" w:type="pct"/>
            <w:tcBorders>
              <w:top w:val="single" w:sz="4" w:space="0" w:color="auto"/>
              <w:left w:val="single" w:sz="4" w:space="0" w:color="auto"/>
              <w:bottom w:val="single" w:sz="4" w:space="0" w:color="auto"/>
              <w:right w:val="single" w:sz="4" w:space="0" w:color="auto"/>
            </w:tcBorders>
          </w:tcPr>
          <w:p w14:paraId="0391928E" w14:textId="77777777" w:rsidR="008E67EA" w:rsidRPr="00BD11C0" w:rsidRDefault="008E67EA" w:rsidP="00B44A74">
            <w:pPr>
              <w:pStyle w:val="APVMATableText"/>
              <w:spacing w:before="0" w:after="0"/>
              <w:rPr>
                <w:color w:val="000000"/>
                <w:szCs w:val="17"/>
              </w:rPr>
            </w:pPr>
            <w:r w:rsidRPr="00BD11C0">
              <w:rPr>
                <w:color w:val="000000"/>
                <w:szCs w:val="17"/>
              </w:rPr>
              <w:t>990 g/kg minimum</w:t>
            </w:r>
          </w:p>
        </w:tc>
        <w:tc>
          <w:tcPr>
            <w:tcW w:w="514" w:type="pct"/>
            <w:tcBorders>
              <w:top w:val="single" w:sz="4" w:space="0" w:color="auto"/>
              <w:left w:val="single" w:sz="4" w:space="0" w:color="auto"/>
              <w:bottom w:val="single" w:sz="4" w:space="0" w:color="auto"/>
              <w:right w:val="single" w:sz="4" w:space="0" w:color="auto"/>
            </w:tcBorders>
          </w:tcPr>
          <w:p w14:paraId="02B00763" w14:textId="77777777" w:rsidR="008E67EA" w:rsidRPr="00BD11C0" w:rsidRDefault="008E67EA" w:rsidP="00B44A74">
            <w:pPr>
              <w:pStyle w:val="APVMATableText"/>
              <w:spacing w:before="0" w:after="0"/>
              <w:rPr>
                <w:szCs w:val="17"/>
              </w:rPr>
            </w:pPr>
          </w:p>
        </w:tc>
      </w:tr>
    </w:tbl>
    <w:p w14:paraId="573C290C" w14:textId="465071BB" w:rsidR="008E67EA" w:rsidRDefault="008E67EA">
      <w:pPr>
        <w:pStyle w:val="NumberLevel1"/>
        <w:numPr>
          <w:ilvl w:val="0"/>
          <w:numId w:val="15"/>
        </w:numPr>
      </w:pPr>
      <w:bookmarkStart w:id="74" w:name="_Ref205371792"/>
      <w:r w:rsidRPr="00C72D9B">
        <w:t>Based on my consideration of the outcomes of the chemistry risk assessments for the active constituents c</w:t>
      </w:r>
      <w:r w:rsidRPr="00FC0A06">
        <w:t>oumatetralyl</w:t>
      </w:r>
      <w:r>
        <w:t xml:space="preserve">, </w:t>
      </w:r>
      <w:bookmarkStart w:id="75" w:name="_Hlk214987836"/>
      <w:r>
        <w:t>difethialone</w:t>
      </w:r>
      <w:bookmarkEnd w:id="75"/>
      <w:r>
        <w:t xml:space="preserve">, </w:t>
      </w:r>
      <w:r w:rsidRPr="00537245">
        <w:t xml:space="preserve">diphacinone, </w:t>
      </w:r>
      <w:r>
        <w:t>flocoumafen</w:t>
      </w:r>
      <w:r w:rsidRPr="00764CEC">
        <w:t xml:space="preserve"> </w:t>
      </w:r>
      <w:r w:rsidRPr="00537245">
        <w:t xml:space="preserve">and warfarin, </w:t>
      </w:r>
      <w:r>
        <w:t xml:space="preserve">as </w:t>
      </w:r>
      <w:r w:rsidRPr="00537245">
        <w:t xml:space="preserve">summarised respectively in sections </w:t>
      </w:r>
      <w:r w:rsidRPr="00537245">
        <w:rPr>
          <w:i/>
          <w:iCs/>
        </w:rPr>
        <w:t>‘2.1.3 Active Constituent – C</w:t>
      </w:r>
      <w:r w:rsidRPr="00C72D9B">
        <w:rPr>
          <w:i/>
          <w:iCs/>
        </w:rPr>
        <w:t>oumatetralyl’</w:t>
      </w:r>
      <w:r w:rsidRPr="00537245">
        <w:t xml:space="preserve">, </w:t>
      </w:r>
      <w:r w:rsidRPr="00537245">
        <w:rPr>
          <w:i/>
          <w:iCs/>
        </w:rPr>
        <w:t>‘2.1.5 Active Constituent – Difethialone</w:t>
      </w:r>
      <w:r w:rsidRPr="00C72D9B">
        <w:rPr>
          <w:i/>
          <w:iCs/>
        </w:rPr>
        <w:t>’</w:t>
      </w:r>
      <w:r w:rsidRPr="00537245">
        <w:t xml:space="preserve">, </w:t>
      </w:r>
      <w:r w:rsidRPr="00C72D9B">
        <w:rPr>
          <w:i/>
          <w:iCs/>
        </w:rPr>
        <w:t>‘</w:t>
      </w:r>
      <w:r w:rsidRPr="00537245">
        <w:rPr>
          <w:i/>
          <w:iCs/>
        </w:rPr>
        <w:t>2.1.6 Active Constituent – Diphacinone’</w:t>
      </w:r>
      <w:r w:rsidRPr="00537245">
        <w:t>, ‘</w:t>
      </w:r>
      <w:r w:rsidRPr="00537245">
        <w:rPr>
          <w:i/>
          <w:iCs/>
        </w:rPr>
        <w:t>2.1.7 Active Constituent – Flocoumafen</w:t>
      </w:r>
      <w:r>
        <w:rPr>
          <w:i/>
          <w:iCs/>
        </w:rPr>
        <w:t>’</w:t>
      </w:r>
      <w:r w:rsidRPr="00537245">
        <w:rPr>
          <w:i/>
          <w:iCs/>
        </w:rPr>
        <w:t xml:space="preserve"> </w:t>
      </w:r>
      <w:r w:rsidRPr="00537245">
        <w:t xml:space="preserve">and </w:t>
      </w:r>
      <w:r w:rsidRPr="00C72D9B">
        <w:rPr>
          <w:i/>
          <w:iCs/>
        </w:rPr>
        <w:t>‘</w:t>
      </w:r>
      <w:r w:rsidRPr="00537245">
        <w:rPr>
          <w:i/>
          <w:iCs/>
        </w:rPr>
        <w:t>2.1.8 Active Constituent – Warfarin</w:t>
      </w:r>
      <w:r>
        <w:t>’</w:t>
      </w:r>
      <w:r w:rsidRPr="00537245">
        <w:t xml:space="preserve"> of the </w:t>
      </w:r>
      <w:r w:rsidRPr="00537245">
        <w:rPr>
          <w:i/>
          <w:iCs/>
        </w:rPr>
        <w:t>Anticoagulant Rodenticides Review Technical Report</w:t>
      </w:r>
      <w:r w:rsidRPr="00537245">
        <w:t xml:space="preserve">, I note that </w:t>
      </w:r>
      <w:r w:rsidRPr="00764CEC">
        <w:t>the specifications for c</w:t>
      </w:r>
      <w:r w:rsidRPr="00FC0A06">
        <w:t>oumatetralyl</w:t>
      </w:r>
      <w:r>
        <w:t>, difethialone,</w:t>
      </w:r>
      <w:r w:rsidRPr="00764CEC">
        <w:t xml:space="preserve"> diphacinone</w:t>
      </w:r>
      <w:r>
        <w:t>, flocoumafen</w:t>
      </w:r>
      <w:r w:rsidRPr="00764CEC">
        <w:t xml:space="preserve"> and warfarin in the </w:t>
      </w:r>
      <w:r w:rsidRPr="00C72D9B">
        <w:rPr>
          <w:i/>
          <w:iCs/>
        </w:rPr>
        <w:t>Active Constituents Standards 2022</w:t>
      </w:r>
      <w:r w:rsidRPr="00764CEC">
        <w:t xml:space="preserve"> remain appropriate</w:t>
      </w:r>
      <w:r>
        <w:t>. Further,</w:t>
      </w:r>
      <w:r w:rsidRPr="00764CEC">
        <w:t xml:space="preserve"> </w:t>
      </w:r>
      <w:r w:rsidRPr="00537245">
        <w:t>I find</w:t>
      </w:r>
      <w:r>
        <w:t xml:space="preserve"> that all</w:t>
      </w:r>
      <w:r w:rsidRPr="00764CEC">
        <w:t xml:space="preserve"> c</w:t>
      </w:r>
      <w:r w:rsidRPr="00FC0A06">
        <w:t>oumatetralyl</w:t>
      </w:r>
      <w:r>
        <w:t xml:space="preserve">, difethialone, </w:t>
      </w:r>
      <w:r w:rsidRPr="00764CEC">
        <w:t>diphacinone</w:t>
      </w:r>
      <w:r>
        <w:t>, flocoumafen</w:t>
      </w:r>
      <w:r w:rsidRPr="00764CEC">
        <w:t xml:space="preserve"> and warfarin active constituent approvals listed in Attachment A of this notice </w:t>
      </w:r>
      <w:r>
        <w:t xml:space="preserve">can be consistently manufactured to </w:t>
      </w:r>
      <w:r w:rsidRPr="00764CEC">
        <w:t xml:space="preserve">comply with this </w:t>
      </w:r>
      <w:r>
        <w:t>s</w:t>
      </w:r>
      <w:r w:rsidRPr="00764CEC">
        <w:t>tandard.</w:t>
      </w:r>
    </w:p>
    <w:p w14:paraId="39FFA234" w14:textId="77777777" w:rsidR="008E67EA" w:rsidRPr="005001F0" w:rsidRDefault="008E67EA">
      <w:pPr>
        <w:pStyle w:val="NumberLevel1"/>
        <w:numPr>
          <w:ilvl w:val="0"/>
          <w:numId w:val="15"/>
        </w:numPr>
      </w:pPr>
      <w:r w:rsidRPr="005001F0">
        <w:t xml:space="preserve">In relation to the brodifacoum, bromodiolone and difenacoum active constituents listed in Attachment A of this notice, based on </w:t>
      </w:r>
      <w:r w:rsidRPr="005001F0">
        <w:rPr>
          <w:color w:val="000000" w:themeColor="text1"/>
        </w:rPr>
        <w:t xml:space="preserve">my review and considerations of </w:t>
      </w:r>
      <w:r w:rsidRPr="005001F0">
        <w:t xml:space="preserve">the outcomes of the chemistry assessment summarised </w:t>
      </w:r>
      <w:r w:rsidRPr="005001F0">
        <w:lastRenderedPageBreak/>
        <w:t xml:space="preserve">respectively in sections </w:t>
      </w:r>
      <w:r w:rsidRPr="005001F0">
        <w:rPr>
          <w:i/>
          <w:iCs/>
        </w:rPr>
        <w:t>‘2.1.1 Active Constituent – Brodifacoum’</w:t>
      </w:r>
      <w:r w:rsidRPr="005001F0">
        <w:t>, ‘</w:t>
      </w:r>
      <w:r w:rsidRPr="005001F0">
        <w:rPr>
          <w:i/>
          <w:iCs/>
        </w:rPr>
        <w:t xml:space="preserve">2.1.2 Active Constituent – Bromadiolone </w:t>
      </w:r>
      <w:r w:rsidRPr="005001F0">
        <w:t xml:space="preserve">and </w:t>
      </w:r>
      <w:r w:rsidRPr="005001F0">
        <w:rPr>
          <w:i/>
          <w:iCs/>
        </w:rPr>
        <w:t>‘2.1.4 Active Constituent – Difenacoum</w:t>
      </w:r>
      <w:r w:rsidRPr="005001F0">
        <w:t xml:space="preserve"> of the </w:t>
      </w:r>
      <w:r w:rsidRPr="005001F0">
        <w:rPr>
          <w:i/>
          <w:iCs/>
        </w:rPr>
        <w:t>Anticoagulant Rodenticides Review Technical Report</w:t>
      </w:r>
      <w:r w:rsidRPr="005001F0">
        <w:t>:</w:t>
      </w:r>
      <w:bookmarkEnd w:id="74"/>
    </w:p>
    <w:p w14:paraId="1EFE6D80" w14:textId="5DF88680" w:rsidR="008E67EA" w:rsidRDefault="008E67EA">
      <w:pPr>
        <w:pStyle w:val="NumberLevel2"/>
        <w:numPr>
          <w:ilvl w:val="1"/>
          <w:numId w:val="15"/>
        </w:numPr>
      </w:pPr>
      <w:r w:rsidRPr="00537245">
        <w:t xml:space="preserve">I note that </w:t>
      </w:r>
      <w:r w:rsidRPr="00764CEC">
        <w:t xml:space="preserve">the specifications for </w:t>
      </w:r>
      <w:r>
        <w:t>bromadiolone and difenacoum technical material</w:t>
      </w:r>
      <w:r w:rsidRPr="00764CEC">
        <w:t xml:space="preserve"> in the </w:t>
      </w:r>
      <w:r w:rsidRPr="00D44EDD">
        <w:rPr>
          <w:i/>
          <w:iCs/>
        </w:rPr>
        <w:t>Active Constituents Standards 2022</w:t>
      </w:r>
      <w:r w:rsidRPr="00764CEC">
        <w:t xml:space="preserve"> </w:t>
      </w:r>
      <w:r w:rsidRPr="009D4A14">
        <w:t>(</w:t>
      </w:r>
      <w:r w:rsidRPr="009D4A14">
        <w:fldChar w:fldCharType="begin"/>
      </w:r>
      <w:r w:rsidRPr="009D4A14">
        <w:instrText xml:space="preserve"> REF _Ref199857505 \h  \* MERGEFORMAT </w:instrText>
      </w:r>
      <w:r w:rsidRPr="009D4A14">
        <w:fldChar w:fldCharType="separate"/>
      </w:r>
      <w:r w:rsidR="002C0C2A">
        <w:t xml:space="preserve">Table </w:t>
      </w:r>
      <w:r w:rsidR="002C0C2A">
        <w:rPr>
          <w:noProof/>
        </w:rPr>
        <w:t>5</w:t>
      </w:r>
      <w:r w:rsidRPr="009D4A14">
        <w:fldChar w:fldCharType="end"/>
      </w:r>
      <w:r w:rsidRPr="009D4A14">
        <w:t>)</w:t>
      </w:r>
      <w:r>
        <w:t xml:space="preserve"> </w:t>
      </w:r>
      <w:r w:rsidRPr="00764CEC">
        <w:t>remain appropriate</w:t>
      </w:r>
      <w:r>
        <w:t xml:space="preserve">. I also note that the FAO specification for brodifacoum technical material has a higher minimum purity (i.e., a minimum purity of 950 g/kg) than the brodifacoum technical material specification in the </w:t>
      </w:r>
      <w:r w:rsidRPr="00D44EDD">
        <w:rPr>
          <w:i/>
          <w:iCs/>
        </w:rPr>
        <w:t xml:space="preserve">Active Constituents Standards 2022 </w:t>
      </w:r>
      <w:r w:rsidRPr="009D4A14">
        <w:t>(</w:t>
      </w:r>
      <w:r w:rsidRPr="009D4A14">
        <w:fldChar w:fldCharType="begin"/>
      </w:r>
      <w:r w:rsidRPr="009D4A14">
        <w:instrText xml:space="preserve"> REF _Ref199857505 \h  \* MERGEFORMAT </w:instrText>
      </w:r>
      <w:r w:rsidRPr="009D4A14">
        <w:fldChar w:fldCharType="separate"/>
      </w:r>
      <w:r w:rsidR="002C0C2A">
        <w:t xml:space="preserve">Table </w:t>
      </w:r>
      <w:r w:rsidR="002C0C2A">
        <w:rPr>
          <w:noProof/>
        </w:rPr>
        <w:t>5</w:t>
      </w:r>
      <w:r w:rsidRPr="009D4A14">
        <w:fldChar w:fldCharType="end"/>
      </w:r>
      <w:r w:rsidRPr="009D4A14">
        <w:t>)</w:t>
      </w:r>
      <w:r>
        <w:t xml:space="preserve">, and that variation of the </w:t>
      </w:r>
      <w:r w:rsidRPr="00D44EDD">
        <w:rPr>
          <w:i/>
          <w:iCs/>
        </w:rPr>
        <w:t>Active Constituents Standards 2022</w:t>
      </w:r>
      <w:r w:rsidRPr="002D4F1E">
        <w:t xml:space="preserve"> </w:t>
      </w:r>
      <w:r>
        <w:t xml:space="preserve">would ensure the provision of higher quality, higher purity technical active constituent to the Australian market and maintain consistency with international standards. </w:t>
      </w:r>
      <w:r w:rsidRPr="002D4F1E">
        <w:t>However, this has not been considered as part of this anticoagulant rodenticides reconsideration conducted under Division 4 of the Agvet Code, as variation to the Active Constituent Standards is a separate legislative process and there have been no safety implications identified with respect to use of a brodifacoum technical active constituent with a purity in the range of 900 g/kg to 950 g/kg.</w:t>
      </w:r>
    </w:p>
    <w:p w14:paraId="21BB7B5A" w14:textId="77777777" w:rsidR="008E67EA" w:rsidRPr="00203C18" w:rsidRDefault="008E67EA">
      <w:pPr>
        <w:pStyle w:val="NumberLevel2"/>
        <w:numPr>
          <w:ilvl w:val="1"/>
          <w:numId w:val="15"/>
        </w:numPr>
        <w:rPr>
          <w:szCs w:val="18"/>
        </w:rPr>
      </w:pPr>
      <w:r w:rsidRPr="00203C18">
        <w:rPr>
          <w:szCs w:val="18"/>
        </w:rPr>
        <w:t xml:space="preserve">I note that the </w:t>
      </w:r>
      <w:r w:rsidRPr="00203C18">
        <w:rPr>
          <w:i/>
          <w:iCs/>
          <w:szCs w:val="18"/>
        </w:rPr>
        <w:t xml:space="preserve">Active Constituents Standards 2022 </w:t>
      </w:r>
      <w:r w:rsidRPr="00203C18">
        <w:rPr>
          <w:szCs w:val="18"/>
        </w:rPr>
        <w:t xml:space="preserve">does not currently include an entry for brodifacoum, bromadiolone or difenacoum manufacturing concentrates and it is anticipated that the APVMA will propose to vary the </w:t>
      </w:r>
      <w:r w:rsidRPr="00203C18">
        <w:rPr>
          <w:rStyle w:val="NormalTextChar"/>
          <w:i/>
          <w:iCs/>
          <w:sz w:val="18"/>
          <w:szCs w:val="18"/>
        </w:rPr>
        <w:t>Active Constituent Standards</w:t>
      </w:r>
      <w:r w:rsidRPr="00203C18">
        <w:rPr>
          <w:rStyle w:val="NormalTextChar"/>
          <w:sz w:val="18"/>
          <w:szCs w:val="18"/>
        </w:rPr>
        <w:t xml:space="preserve"> </w:t>
      </w:r>
      <w:r w:rsidRPr="00203C18">
        <w:rPr>
          <w:i/>
          <w:iCs/>
          <w:szCs w:val="18"/>
        </w:rPr>
        <w:t xml:space="preserve">2022 </w:t>
      </w:r>
      <w:r w:rsidRPr="00203C18">
        <w:rPr>
          <w:rStyle w:val="NormalTextChar"/>
          <w:sz w:val="18"/>
          <w:szCs w:val="18"/>
        </w:rPr>
        <w:t xml:space="preserve">in future to include such entries. However, this has not been considered as part of this anticoagulant rodenticides reconsideration conducted under Division 4 of the Agvet Code, as variation to the </w:t>
      </w:r>
      <w:r w:rsidRPr="00203C18">
        <w:rPr>
          <w:rStyle w:val="NormalTextChar"/>
          <w:i/>
          <w:iCs/>
          <w:sz w:val="18"/>
          <w:szCs w:val="18"/>
        </w:rPr>
        <w:t>Active Constituent Standards</w:t>
      </w:r>
      <w:r w:rsidRPr="00203C18">
        <w:rPr>
          <w:rStyle w:val="NormalTextChar"/>
          <w:sz w:val="18"/>
          <w:szCs w:val="18"/>
        </w:rPr>
        <w:t xml:space="preserve"> </w:t>
      </w:r>
      <w:r w:rsidRPr="00203C18">
        <w:rPr>
          <w:rStyle w:val="NormalTextChar"/>
          <w:i/>
          <w:iCs/>
          <w:sz w:val="18"/>
          <w:szCs w:val="18"/>
        </w:rPr>
        <w:t>2022</w:t>
      </w:r>
      <w:r w:rsidRPr="00203C18">
        <w:rPr>
          <w:rStyle w:val="NormalTextChar"/>
          <w:sz w:val="18"/>
          <w:szCs w:val="18"/>
        </w:rPr>
        <w:t xml:space="preserve"> is a separate legislative process and there have been no safety implications identified with respect to use of brodifacoum or bromadiolone manufacturing concentrates with a composition and purity aligning with the Declaration of Composition in the APVMA Record.</w:t>
      </w:r>
    </w:p>
    <w:p w14:paraId="3077F9D9" w14:textId="0612988C" w:rsidR="008E67EA" w:rsidRPr="00A259EC" w:rsidRDefault="008E67EA">
      <w:pPr>
        <w:pStyle w:val="NumberLevel2"/>
        <w:numPr>
          <w:ilvl w:val="1"/>
          <w:numId w:val="15"/>
        </w:numPr>
        <w:rPr>
          <w:color w:val="000000" w:themeColor="text1"/>
        </w:rPr>
      </w:pPr>
      <w:bookmarkStart w:id="76" w:name="_Ref200960825"/>
      <w:bookmarkStart w:id="77" w:name="_Ref214991547"/>
      <w:r w:rsidRPr="009D4A14">
        <w:t xml:space="preserve">For the majority of </w:t>
      </w:r>
      <w:r>
        <w:t>brodifacoum</w:t>
      </w:r>
      <w:r w:rsidRPr="005001F0">
        <w:t>, bromodiolone and difenacoum active constituent approvals listed in Attachment A of this notice, I find that there is sufficient evidence to demonstrate they can be consistently manufactured to comply with the</w:t>
      </w:r>
      <w:r w:rsidRPr="009D4A14">
        <w:t xml:space="preserve"> specifications for technical material in the </w:t>
      </w:r>
      <w:r w:rsidRPr="00A259EC">
        <w:rPr>
          <w:i/>
          <w:iCs/>
        </w:rPr>
        <w:t xml:space="preserve">Active Constituents Standards 2022 </w:t>
      </w:r>
      <w:r w:rsidRPr="009D4A14">
        <w:t>(</w:t>
      </w:r>
      <w:r w:rsidRPr="009D4A14">
        <w:fldChar w:fldCharType="begin"/>
      </w:r>
      <w:r w:rsidRPr="009D4A14">
        <w:instrText xml:space="preserve"> REF _Ref199857505 \h  \* MERGEFORMAT </w:instrText>
      </w:r>
      <w:r w:rsidRPr="009D4A14">
        <w:fldChar w:fldCharType="separate"/>
      </w:r>
      <w:r w:rsidR="002C0C2A">
        <w:t xml:space="preserve">Table </w:t>
      </w:r>
      <w:r w:rsidR="002C0C2A">
        <w:rPr>
          <w:noProof/>
        </w:rPr>
        <w:t>5</w:t>
      </w:r>
      <w:r w:rsidRPr="009D4A14">
        <w:fldChar w:fldCharType="end"/>
      </w:r>
      <w:r w:rsidRPr="009D4A14">
        <w:t>)</w:t>
      </w:r>
      <w:r w:rsidRPr="00A259EC">
        <w:rPr>
          <w:i/>
          <w:iCs/>
        </w:rPr>
        <w:t xml:space="preserve"> </w:t>
      </w:r>
      <w:r w:rsidRPr="00537245">
        <w:t>and/</w:t>
      </w:r>
      <w:r w:rsidRPr="009D4A14">
        <w:t xml:space="preserve">or the </w:t>
      </w:r>
      <w:r>
        <w:t xml:space="preserve">Declaration of Composition in the APVMA Record for the approval. </w:t>
      </w:r>
      <w:r w:rsidRPr="00A259EC">
        <w:rPr>
          <w:color w:val="000000" w:themeColor="text1"/>
        </w:rPr>
        <w:t xml:space="preserve">However, for a small number of </w:t>
      </w:r>
      <w:r>
        <w:t>brodifacoum,</w:t>
      </w:r>
      <w:r w:rsidRPr="00A259EC">
        <w:rPr>
          <w:color w:val="000000" w:themeColor="text1"/>
        </w:rPr>
        <w:t xml:space="preserve"> bromodiolone and difenacoum active constituent </w:t>
      </w:r>
      <w:r w:rsidRPr="00FA2D5C">
        <w:rPr>
          <w:color w:val="000000" w:themeColor="text1"/>
        </w:rPr>
        <w:t>approvals (</w:t>
      </w:r>
      <w:r w:rsidRPr="00FA2D5C">
        <w:t>44192, 67898, 67881)</w:t>
      </w:r>
      <w:r w:rsidRPr="00FA2D5C">
        <w:rPr>
          <w:color w:val="000000" w:themeColor="text1"/>
        </w:rPr>
        <w:t xml:space="preserve"> there</w:t>
      </w:r>
      <w:r w:rsidRPr="00A259EC">
        <w:rPr>
          <w:color w:val="000000" w:themeColor="text1"/>
        </w:rPr>
        <w:t xml:space="preserve"> are inconsistencies in </w:t>
      </w:r>
      <w:r>
        <w:rPr>
          <w:color w:val="000000" w:themeColor="text1"/>
        </w:rPr>
        <w:t xml:space="preserve">the </w:t>
      </w:r>
      <w:r w:rsidRPr="00A259EC">
        <w:rPr>
          <w:color w:val="000000" w:themeColor="text1"/>
        </w:rPr>
        <w:t xml:space="preserve">information </w:t>
      </w:r>
      <w:r>
        <w:rPr>
          <w:color w:val="000000" w:themeColor="text1"/>
        </w:rPr>
        <w:t>supplied</w:t>
      </w:r>
      <w:r w:rsidRPr="00A259EC">
        <w:rPr>
          <w:color w:val="000000" w:themeColor="text1"/>
        </w:rPr>
        <w:t xml:space="preserve"> to</w:t>
      </w:r>
      <w:r>
        <w:rPr>
          <w:color w:val="000000" w:themeColor="text1"/>
        </w:rPr>
        <w:t xml:space="preserve"> the APVMA as to</w:t>
      </w:r>
      <w:r w:rsidRPr="00A259EC">
        <w:rPr>
          <w:color w:val="000000" w:themeColor="text1"/>
        </w:rPr>
        <w:t xml:space="preserve"> whether the active constituent is manufactured and supplied as technical material or manufacturing concentrate. Therefore, I propose to add the following condition to these active constituent approvals to ensure the accuracy of </w:t>
      </w:r>
      <w:r>
        <w:rPr>
          <w:color w:val="000000" w:themeColor="text1"/>
        </w:rPr>
        <w:t xml:space="preserve">APVMA records on </w:t>
      </w:r>
      <w:r w:rsidRPr="00A259EC">
        <w:rPr>
          <w:color w:val="000000" w:themeColor="text1"/>
        </w:rPr>
        <w:t>the composition</w:t>
      </w:r>
      <w:r>
        <w:rPr>
          <w:color w:val="000000" w:themeColor="text1"/>
        </w:rPr>
        <w:t xml:space="preserve"> and purity</w:t>
      </w:r>
      <w:r w:rsidRPr="00A259EC">
        <w:rPr>
          <w:color w:val="000000" w:themeColor="text1"/>
        </w:rPr>
        <w:t xml:space="preserve"> of the</w:t>
      </w:r>
      <w:r>
        <w:rPr>
          <w:color w:val="000000" w:themeColor="text1"/>
        </w:rPr>
        <w:t>se</w:t>
      </w:r>
      <w:r w:rsidRPr="00A259EC">
        <w:rPr>
          <w:color w:val="000000" w:themeColor="text1"/>
        </w:rPr>
        <w:t xml:space="preserve"> active constituent</w:t>
      </w:r>
      <w:r>
        <w:rPr>
          <w:color w:val="000000" w:themeColor="text1"/>
        </w:rPr>
        <w:t>s</w:t>
      </w:r>
      <w:bookmarkEnd w:id="76"/>
      <w:r>
        <w:rPr>
          <w:color w:val="000000" w:themeColor="text1"/>
        </w:rPr>
        <w:t>:</w:t>
      </w:r>
      <w:bookmarkEnd w:id="77"/>
    </w:p>
    <w:p w14:paraId="05B8BE9F" w14:textId="77777777" w:rsidR="008E67EA" w:rsidRPr="00281392" w:rsidRDefault="008E67EA">
      <w:pPr>
        <w:pStyle w:val="NumberLevel3"/>
        <w:numPr>
          <w:ilvl w:val="2"/>
          <w:numId w:val="15"/>
        </w:numPr>
        <w:rPr>
          <w:i/>
          <w:iCs/>
          <w:color w:val="000000" w:themeColor="text1"/>
        </w:rPr>
      </w:pPr>
      <w:r w:rsidRPr="00281392">
        <w:rPr>
          <w:i/>
          <w:iCs/>
          <w:color w:val="000000" w:themeColor="text1"/>
        </w:rPr>
        <w:t xml:space="preserve">‘Condition of approval: Within one year of publication of the section 34AC notice of the anticoagulant rodenticides final regulatory decision, you are required to provide evidence of whether the active constituent is supplied as technical material and/or a manufacturing concentrate and evidence </w:t>
      </w:r>
      <w:r>
        <w:rPr>
          <w:i/>
          <w:iCs/>
          <w:color w:val="000000" w:themeColor="text1"/>
        </w:rPr>
        <w:t>of the composition and purity of the active constituent</w:t>
      </w:r>
      <w:r w:rsidRPr="00281392">
        <w:rPr>
          <w:i/>
          <w:iCs/>
          <w:color w:val="000000" w:themeColor="text1"/>
        </w:rPr>
        <w:t xml:space="preserve">. This evidence </w:t>
      </w:r>
      <w:r>
        <w:rPr>
          <w:i/>
          <w:iCs/>
          <w:color w:val="000000" w:themeColor="text1"/>
        </w:rPr>
        <w:t>may</w:t>
      </w:r>
      <w:r w:rsidRPr="00281392">
        <w:rPr>
          <w:i/>
          <w:iCs/>
          <w:color w:val="000000" w:themeColor="text1"/>
        </w:rPr>
        <w:t xml:space="preserve"> include an updated Declaration of Composition and a certificate of analysis for a batch of active constituent manufactured within the last 5 years.’</w:t>
      </w:r>
    </w:p>
    <w:p w14:paraId="1B758380" w14:textId="6EFA2516" w:rsidR="008E67EA" w:rsidRDefault="008E67EA">
      <w:pPr>
        <w:pStyle w:val="NumberLevel1"/>
        <w:numPr>
          <w:ilvl w:val="0"/>
          <w:numId w:val="15"/>
        </w:numPr>
        <w:rPr>
          <w:color w:val="000000" w:themeColor="text1"/>
        </w:rPr>
      </w:pPr>
      <w:bookmarkStart w:id="78" w:name="_Ref205367572"/>
      <w:r w:rsidRPr="00EE3FA8">
        <w:rPr>
          <w:color w:val="000000" w:themeColor="text1"/>
        </w:rPr>
        <w:t>I consider that there are no other relevant matters with respect to the composition and purity of anticoagulant rodenticide</w:t>
      </w:r>
      <w:r w:rsidRPr="00297250">
        <w:rPr>
          <w:color w:val="000000" w:themeColor="text1"/>
        </w:rPr>
        <w:t xml:space="preserve"> active constituents. Therefore, in relation </w:t>
      </w:r>
      <w:r>
        <w:rPr>
          <w:color w:val="000000" w:themeColor="text1"/>
        </w:rPr>
        <w:t xml:space="preserve">composition and purity of the active </w:t>
      </w:r>
      <w:r w:rsidRPr="00D44EDD">
        <w:rPr>
          <w:color w:val="000000" w:themeColor="text1"/>
        </w:rPr>
        <w:t xml:space="preserve">constituents and the associated </w:t>
      </w:r>
      <w:r>
        <w:rPr>
          <w:color w:val="000000" w:themeColor="text1"/>
        </w:rPr>
        <w:t>matters to which I must have regard</w:t>
      </w:r>
      <w:r w:rsidRPr="00D44EDD">
        <w:rPr>
          <w:color w:val="000000" w:themeColor="text1"/>
        </w:rPr>
        <w:t xml:space="preserve"> set out in paragraph </w:t>
      </w:r>
      <w:r w:rsidRPr="00D44EDD">
        <w:rPr>
          <w:color w:val="000000" w:themeColor="text1"/>
        </w:rPr>
        <w:fldChar w:fldCharType="begin"/>
      </w:r>
      <w:r w:rsidRPr="00D44EDD">
        <w:rPr>
          <w:color w:val="000000" w:themeColor="text1"/>
        </w:rPr>
        <w:instrText xml:space="preserve"> REF _Ref200537465 \w \h </w:instrText>
      </w:r>
      <w:r>
        <w:rPr>
          <w:color w:val="000000" w:themeColor="text1"/>
        </w:rPr>
        <w:instrText xml:space="preserve"> \* MERGEFORMAT </w:instrText>
      </w:r>
      <w:r w:rsidRPr="00D44EDD">
        <w:rPr>
          <w:color w:val="000000" w:themeColor="text1"/>
        </w:rPr>
      </w:r>
      <w:r w:rsidRPr="00D44EDD">
        <w:rPr>
          <w:color w:val="000000" w:themeColor="text1"/>
        </w:rPr>
        <w:fldChar w:fldCharType="separate"/>
      </w:r>
      <w:r w:rsidR="002C0C2A">
        <w:rPr>
          <w:color w:val="000000" w:themeColor="text1"/>
        </w:rPr>
        <w:t>28</w:t>
      </w:r>
      <w:r w:rsidRPr="00D44EDD">
        <w:rPr>
          <w:color w:val="000000" w:themeColor="text1"/>
        </w:rPr>
        <w:fldChar w:fldCharType="end"/>
      </w:r>
      <w:r w:rsidRPr="00D44EDD">
        <w:rPr>
          <w:color w:val="000000" w:themeColor="text1"/>
        </w:rPr>
        <w:t xml:space="preserve"> of these reasons, after variation of the conditions for certain brodifacoum, bromadiolone and difenacoum active constituent </w:t>
      </w:r>
      <w:r w:rsidRPr="00FA2D5C">
        <w:rPr>
          <w:color w:val="000000" w:themeColor="text1"/>
        </w:rPr>
        <w:t>approvals (</w:t>
      </w:r>
      <w:r w:rsidRPr="00FA2D5C">
        <w:t>44192, 67898, 67881)</w:t>
      </w:r>
      <w:r w:rsidRPr="00FA2D5C">
        <w:rPr>
          <w:color w:val="000000" w:themeColor="text1"/>
        </w:rPr>
        <w:t xml:space="preserve"> as</w:t>
      </w:r>
      <w:r w:rsidRPr="00D44EDD">
        <w:rPr>
          <w:color w:val="000000" w:themeColor="text1"/>
        </w:rPr>
        <w:t xml:space="preserve"> discussed above in paragraph </w:t>
      </w:r>
      <w:r w:rsidRPr="00D44EDD">
        <w:rPr>
          <w:color w:val="000000" w:themeColor="text1"/>
        </w:rPr>
        <w:fldChar w:fldCharType="begin"/>
      </w:r>
      <w:r w:rsidRPr="00D44EDD">
        <w:rPr>
          <w:color w:val="000000" w:themeColor="text1"/>
        </w:rPr>
        <w:instrText xml:space="preserve"> REF _Ref200960825 \w \h  \* MERGEFORMAT </w:instrText>
      </w:r>
      <w:r w:rsidRPr="00D44EDD">
        <w:rPr>
          <w:color w:val="000000" w:themeColor="text1"/>
        </w:rPr>
      </w:r>
      <w:r w:rsidRPr="00D44EDD">
        <w:rPr>
          <w:color w:val="000000" w:themeColor="text1"/>
        </w:rPr>
        <w:fldChar w:fldCharType="separate"/>
      </w:r>
      <w:r w:rsidR="002C0C2A">
        <w:rPr>
          <w:color w:val="000000" w:themeColor="text1"/>
        </w:rPr>
        <w:t>31.3</w:t>
      </w:r>
      <w:r w:rsidRPr="00D44EDD">
        <w:rPr>
          <w:color w:val="000000" w:themeColor="text1"/>
        </w:rPr>
        <w:fldChar w:fldCharType="end"/>
      </w:r>
      <w:r w:rsidRPr="00D44EDD">
        <w:rPr>
          <w:color w:val="000000" w:themeColor="text1"/>
        </w:rPr>
        <w:t xml:space="preserve"> of these reasons, </w:t>
      </w:r>
      <w:r w:rsidRPr="00537245">
        <w:rPr>
          <w:color w:val="000000" w:themeColor="text1"/>
        </w:rPr>
        <w:t>I find</w:t>
      </w:r>
      <w:r w:rsidRPr="00D44EDD">
        <w:rPr>
          <w:color w:val="000000" w:themeColor="text1"/>
        </w:rPr>
        <w:t xml:space="preserve"> that there is nothing that would prevent me from being satisfied that the active constituents listed in Attachment A of this notice would meet the safety criteria.</w:t>
      </w:r>
      <w:bookmarkEnd w:id="78"/>
    </w:p>
    <w:p w14:paraId="107CB4F9" w14:textId="77777777" w:rsidR="00203C18" w:rsidRDefault="00203C18" w:rsidP="00203C18">
      <w:pPr>
        <w:pStyle w:val="NumberLevel1"/>
        <w:numPr>
          <w:ilvl w:val="0"/>
          <w:numId w:val="0"/>
        </w:numPr>
        <w:ind w:left="567" w:hanging="567"/>
        <w:rPr>
          <w:color w:val="000000" w:themeColor="text1"/>
        </w:rPr>
      </w:pPr>
    </w:p>
    <w:p w14:paraId="6A333415" w14:textId="77777777" w:rsidR="00203C18" w:rsidRPr="00297250" w:rsidRDefault="00203C18" w:rsidP="00203C18">
      <w:pPr>
        <w:pStyle w:val="NumberLevel1"/>
        <w:numPr>
          <w:ilvl w:val="0"/>
          <w:numId w:val="0"/>
        </w:numPr>
        <w:ind w:left="567" w:hanging="567"/>
        <w:rPr>
          <w:color w:val="000000" w:themeColor="text1"/>
        </w:rPr>
      </w:pPr>
    </w:p>
    <w:p w14:paraId="06427FA6" w14:textId="77777777" w:rsidR="008E67EA" w:rsidRDefault="008E67EA" w:rsidP="008E67EA">
      <w:pPr>
        <w:pStyle w:val="StatementofReasonsHeading3"/>
      </w:pPr>
      <w:bookmarkStart w:id="79" w:name="_Toc214991522"/>
      <w:bookmarkStart w:id="80" w:name="_Hlk193448999"/>
      <w:bookmarkEnd w:id="72"/>
      <w:r>
        <w:lastRenderedPageBreak/>
        <w:t>Quality assurance requirements</w:t>
      </w:r>
      <w:bookmarkEnd w:id="79"/>
    </w:p>
    <w:p w14:paraId="4027B4FC" w14:textId="5984DC38" w:rsidR="008E67EA" w:rsidRPr="007D5C43" w:rsidRDefault="008E67EA">
      <w:pPr>
        <w:pStyle w:val="NumberLevel1"/>
        <w:numPr>
          <w:ilvl w:val="0"/>
          <w:numId w:val="15"/>
        </w:numPr>
        <w:rPr>
          <w:color w:val="000000" w:themeColor="text1"/>
        </w:rPr>
      </w:pPr>
      <w:bookmarkStart w:id="81" w:name="_Ref205367579"/>
      <w:bookmarkEnd w:id="80"/>
      <w:r w:rsidRPr="007D5C43">
        <w:rPr>
          <w:color w:val="000000" w:themeColor="text1"/>
        </w:rPr>
        <w:t>The APVMA’s scientific risk assessments and other considerations on the safety risks associated with the use of an agricultural or veterinary chemicals are predicated on the fact that supplied active constituents will be manufactured in accordance with the particulars that are, or would be, entered into the Record. The quality assurance process to ensure that the particulars of supplied agricultural active constituents are consistent with the particulars entered into the Record is, in part, managed by conditions to which agricultural active constituent approve are subject</w:t>
      </w:r>
      <w:r w:rsidRPr="007D5C43">
        <w:rPr>
          <w:i/>
          <w:iCs/>
          <w:color w:val="000000" w:themeColor="text1"/>
        </w:rPr>
        <w:t>.</w:t>
      </w:r>
      <w:r w:rsidRPr="007D5C43">
        <w:rPr>
          <w:color w:val="000000" w:themeColor="text1"/>
        </w:rPr>
        <w:t xml:space="preserve"> Therefore, I have regard to any conditions to which its approval is, or would be, subject (s 5A(2)(a)(v) of the Agvet Code) for the purposes of being satisfied that a product listed in Attachment A of this notice meets the safety criteria with respect to quality assurance processes.</w:t>
      </w:r>
      <w:bookmarkEnd w:id="81"/>
    </w:p>
    <w:p w14:paraId="4E56EB6E" w14:textId="77777777" w:rsidR="008E67EA" w:rsidRPr="007D5C43" w:rsidRDefault="008E67EA">
      <w:pPr>
        <w:pStyle w:val="NumberLevel1"/>
        <w:numPr>
          <w:ilvl w:val="0"/>
          <w:numId w:val="15"/>
        </w:numPr>
      </w:pPr>
      <w:r w:rsidRPr="007D5C43">
        <w:t>As part of this consideration, I note that the agricultural active constituent approvals listed in Attachment A of this notice are subject to conditions in accordance with section 23(1)(a) of the Agvet Code, as follows:</w:t>
      </w:r>
    </w:p>
    <w:p w14:paraId="7792CA87" w14:textId="77777777" w:rsidR="008E67EA" w:rsidRPr="007D5C43" w:rsidRDefault="008E67EA">
      <w:pPr>
        <w:pStyle w:val="NumberLevel2"/>
        <w:numPr>
          <w:ilvl w:val="1"/>
          <w:numId w:val="15"/>
        </w:numPr>
        <w:rPr>
          <w:color w:val="000000" w:themeColor="text1"/>
        </w:rPr>
      </w:pPr>
      <w:r w:rsidRPr="007D5C43">
        <w:rPr>
          <w:color w:val="000000" w:themeColor="text1"/>
        </w:rPr>
        <w:t xml:space="preserve">Regulation 17C(1) of the Agvet Regulations prescribes conditions to which the registration of a chemical product is subject. </w:t>
      </w:r>
    </w:p>
    <w:p w14:paraId="557088A4" w14:textId="7B8CAC14" w:rsidR="008E67EA" w:rsidRPr="007D5C43" w:rsidRDefault="008E67EA">
      <w:pPr>
        <w:pStyle w:val="NumberLevel2"/>
        <w:numPr>
          <w:ilvl w:val="1"/>
          <w:numId w:val="15"/>
        </w:numPr>
      </w:pPr>
      <w:bookmarkStart w:id="82" w:name="_Ref193551832"/>
      <w:r w:rsidRPr="007D5C43">
        <w:t xml:space="preserve">Section 5 of the </w:t>
      </w:r>
      <w:r w:rsidRPr="007D5C43">
        <w:rPr>
          <w:i/>
          <w:iCs/>
        </w:rPr>
        <w:t>Agricultural and Veterinary Chemicals Code (Conditions of Approval or Registration) Order 2021</w:t>
      </w:r>
      <w:r w:rsidRPr="007D5C43">
        <w:t xml:space="preserve"> </w:t>
      </w:r>
      <w:r w:rsidRPr="007D5C43">
        <w:rPr>
          <w:color w:val="000000" w:themeColor="text1"/>
        </w:rPr>
        <w:t>(Conditions of Approval or Registration Order) prescribes conditions which apply to the approval of an active constituent for a proposed or existing chemical product.</w:t>
      </w:r>
    </w:p>
    <w:p w14:paraId="5936CF1F" w14:textId="77777777" w:rsidR="008E67EA" w:rsidRPr="007D5C43" w:rsidRDefault="008E67EA">
      <w:pPr>
        <w:pStyle w:val="NumberLevel1"/>
        <w:numPr>
          <w:ilvl w:val="0"/>
          <w:numId w:val="15"/>
        </w:numPr>
      </w:pPr>
      <w:bookmarkStart w:id="83" w:name="_Ref199866491"/>
      <w:r w:rsidRPr="007D5C43">
        <w:t xml:space="preserve">The active constituent listed in Attachment A of this notice are subject to additional conditions referred to as the </w:t>
      </w:r>
      <w:r w:rsidRPr="007D5C43">
        <w:rPr>
          <w:i/>
          <w:iCs/>
        </w:rPr>
        <w:t xml:space="preserve">‘Agricultural Active Constituent Quality Assurance Requirements’, </w:t>
      </w:r>
      <w:r w:rsidRPr="007D5C43">
        <w:t xml:space="preserve">which have been imposed by the APVMA under section 23(1)(b) of the Agvet Code. I </w:t>
      </w:r>
      <w:r w:rsidRPr="007D5C43">
        <w:rPr>
          <w:b/>
          <w:bCs/>
        </w:rPr>
        <w:t>do not</w:t>
      </w:r>
      <w:r w:rsidRPr="007D5C43">
        <w:t xml:space="preserve"> consider that this condition as currently imposed remains appropriate for the following reasons:</w:t>
      </w:r>
      <w:bookmarkEnd w:id="82"/>
      <w:bookmarkEnd w:id="83"/>
    </w:p>
    <w:p w14:paraId="26B4C668" w14:textId="77777777" w:rsidR="008E67EA" w:rsidRPr="007D5C43" w:rsidRDefault="008E67EA">
      <w:pPr>
        <w:pStyle w:val="NumberLevel2"/>
        <w:numPr>
          <w:ilvl w:val="1"/>
          <w:numId w:val="15"/>
        </w:numPr>
        <w:rPr>
          <w:color w:val="000000" w:themeColor="text1"/>
        </w:rPr>
      </w:pPr>
      <w:r w:rsidRPr="007D5C43">
        <w:rPr>
          <w:color w:val="000000" w:themeColor="text1"/>
        </w:rPr>
        <w:t xml:space="preserve">The condition contains an obsolete definition which may be misleading, as it introduces a contradiction with legislative requirements into the condition. Specifically, the condition refers to the ‘APVMA Standard’ available on the APVMA Website, which has been replaced by the legislative instrument Active Constituents Standards 2022. </w:t>
      </w:r>
    </w:p>
    <w:p w14:paraId="002C5E13" w14:textId="6FACC79A" w:rsidR="008E67EA" w:rsidRPr="007D5C43" w:rsidRDefault="008E67EA">
      <w:pPr>
        <w:pStyle w:val="NumberLevel2"/>
        <w:numPr>
          <w:ilvl w:val="1"/>
          <w:numId w:val="15"/>
        </w:numPr>
        <w:rPr>
          <w:color w:val="000000" w:themeColor="text1"/>
        </w:rPr>
      </w:pPr>
      <w:r w:rsidRPr="007D5C43">
        <w:rPr>
          <w:color w:val="000000" w:themeColor="text1"/>
        </w:rPr>
        <w:t>The condition is substantially redundant given the requirements of the Active Constituents Standards 2022 and Regulation 17C(1) of the Agvet Regulations.</w:t>
      </w:r>
    </w:p>
    <w:p w14:paraId="4121ADA8" w14:textId="198ED5EA" w:rsidR="008E67EA" w:rsidRPr="007D5C43" w:rsidRDefault="008E67EA">
      <w:pPr>
        <w:pStyle w:val="NumberLevel1"/>
        <w:numPr>
          <w:ilvl w:val="0"/>
          <w:numId w:val="15"/>
        </w:numPr>
      </w:pPr>
      <w:bookmarkStart w:id="84" w:name="_Ref193552338"/>
      <w:r w:rsidRPr="007D5C43">
        <w:t xml:space="preserve">To remove the legislative contradiction and unnecessary duplication discussed in above paragraph </w:t>
      </w:r>
      <w:r w:rsidRPr="007D5C43">
        <w:fldChar w:fldCharType="begin"/>
      </w:r>
      <w:r w:rsidRPr="007D5C43">
        <w:instrText xml:space="preserve"> REF _Ref199866491 \w \h </w:instrText>
      </w:r>
      <w:r>
        <w:instrText xml:space="preserve"> \* MERGEFORMAT </w:instrText>
      </w:r>
      <w:r w:rsidRPr="007D5C43">
        <w:fldChar w:fldCharType="separate"/>
      </w:r>
      <w:r w:rsidR="002C0C2A">
        <w:t>35</w:t>
      </w:r>
      <w:r w:rsidRPr="007D5C43">
        <w:fldChar w:fldCharType="end"/>
      </w:r>
      <w:r w:rsidRPr="007D5C43">
        <w:t xml:space="preserve"> of these reasons, I propose to vary the condition referred to as the </w:t>
      </w:r>
      <w:r w:rsidRPr="007D5C43">
        <w:rPr>
          <w:i/>
          <w:iCs/>
        </w:rPr>
        <w:t xml:space="preserve">‘Agricultural Products Active Constituent Quality Assurance Requirements’ </w:t>
      </w:r>
      <w:r w:rsidRPr="007D5C43">
        <w:t>to the following:</w:t>
      </w:r>
      <w:bookmarkEnd w:id="84"/>
    </w:p>
    <w:p w14:paraId="440FED0F" w14:textId="77777777" w:rsidR="008E67EA" w:rsidRPr="007D5C43" w:rsidRDefault="008E67EA">
      <w:pPr>
        <w:pStyle w:val="NumberLevel2"/>
        <w:numPr>
          <w:ilvl w:val="1"/>
          <w:numId w:val="15"/>
        </w:numPr>
        <w:rPr>
          <w:i/>
          <w:iCs/>
        </w:rPr>
      </w:pPr>
      <w:r w:rsidRPr="007D5C43">
        <w:rPr>
          <w:i/>
          <w:iCs/>
        </w:rPr>
        <w:t>Condition of approval: Agricultural Active Constituent Quality Assurance Requirements</w:t>
      </w:r>
    </w:p>
    <w:p w14:paraId="3206374F" w14:textId="77777777" w:rsidR="008E67EA" w:rsidRPr="007B3D0C" w:rsidRDefault="008E67EA" w:rsidP="008E67EA">
      <w:pPr>
        <w:pStyle w:val="NumberLevel2"/>
        <w:numPr>
          <w:ilvl w:val="0"/>
          <w:numId w:val="0"/>
        </w:numPr>
        <w:ind w:left="1135"/>
        <w:rPr>
          <w:i/>
          <w:iCs/>
        </w:rPr>
      </w:pPr>
      <w:r w:rsidRPr="007D5C43">
        <w:rPr>
          <w:i/>
          <w:iCs/>
        </w:rPr>
        <w:t>A person supplying any quantity of a Batch of active constituent to another</w:t>
      </w:r>
      <w:r w:rsidRPr="007B3D0C">
        <w:rPr>
          <w:i/>
          <w:iCs/>
        </w:rPr>
        <w:t xml:space="preserve"> person must, at the time of supply, give the Batch Number for that Batch of active constituent to the person to whom the active constituent is being supplied. </w:t>
      </w:r>
    </w:p>
    <w:p w14:paraId="3384A9E4" w14:textId="77777777" w:rsidR="008E67EA" w:rsidRPr="007B3D0C" w:rsidRDefault="008E67EA" w:rsidP="008E67EA">
      <w:pPr>
        <w:pStyle w:val="NumberLevel2"/>
        <w:numPr>
          <w:ilvl w:val="0"/>
          <w:numId w:val="0"/>
        </w:numPr>
        <w:ind w:left="1135"/>
        <w:rPr>
          <w:i/>
          <w:iCs/>
          <w:u w:val="single"/>
        </w:rPr>
      </w:pPr>
      <w:r w:rsidRPr="007B3D0C">
        <w:rPr>
          <w:i/>
          <w:iCs/>
          <w:u w:val="single"/>
        </w:rPr>
        <w:t>Definitions and Interpretation</w:t>
      </w:r>
    </w:p>
    <w:p w14:paraId="037661A7" w14:textId="77777777" w:rsidR="008E67EA" w:rsidRPr="007B3D0C" w:rsidRDefault="008E67EA" w:rsidP="008E67EA">
      <w:pPr>
        <w:pStyle w:val="NumberLevel2"/>
        <w:numPr>
          <w:ilvl w:val="0"/>
          <w:numId w:val="0"/>
        </w:numPr>
        <w:ind w:left="1135"/>
        <w:rPr>
          <w:i/>
          <w:iCs/>
        </w:rPr>
      </w:pPr>
      <w:r w:rsidRPr="007B3D0C">
        <w:rPr>
          <w:i/>
          <w:iCs/>
        </w:rPr>
        <w:t>Batch means a defined quantity of material produced in a single series of operations.</w:t>
      </w:r>
    </w:p>
    <w:p w14:paraId="6F8D04A1" w14:textId="77777777" w:rsidR="008E67EA" w:rsidRPr="007B3D0C" w:rsidRDefault="008E67EA" w:rsidP="008E67EA">
      <w:pPr>
        <w:pStyle w:val="NumberLevel2"/>
        <w:numPr>
          <w:ilvl w:val="0"/>
          <w:numId w:val="0"/>
        </w:numPr>
        <w:ind w:left="1135"/>
        <w:rPr>
          <w:i/>
          <w:iCs/>
        </w:rPr>
      </w:pPr>
      <w:r w:rsidRPr="007B3D0C">
        <w:rPr>
          <w:i/>
          <w:iCs/>
        </w:rPr>
        <w:t>Batch Number means a distinctive combination of numbers and/or letters that specifically identifies a Batch and from which the production history can be determined.</w:t>
      </w:r>
    </w:p>
    <w:p w14:paraId="0FF780D6" w14:textId="77777777" w:rsidR="008E67EA" w:rsidRPr="007B3D0C" w:rsidRDefault="008E67EA" w:rsidP="008E67EA">
      <w:pPr>
        <w:pStyle w:val="NumberLevel2"/>
        <w:numPr>
          <w:ilvl w:val="0"/>
          <w:numId w:val="0"/>
        </w:numPr>
        <w:ind w:left="1135"/>
        <w:rPr>
          <w:i/>
          <w:iCs/>
        </w:rPr>
      </w:pPr>
      <w:r w:rsidRPr="007B3D0C">
        <w:rPr>
          <w:i/>
          <w:iCs/>
        </w:rPr>
        <w:lastRenderedPageBreak/>
        <w:t>Supply has the same meaning as in Section 3 of the Agricultural and Veterinary Chemicals Code Act 1994 (Agvet Code).</w:t>
      </w:r>
    </w:p>
    <w:p w14:paraId="25165E65" w14:textId="6D90A182" w:rsidR="008E67EA" w:rsidRPr="007D5C43" w:rsidRDefault="008E67EA">
      <w:pPr>
        <w:pStyle w:val="NumberLevel1"/>
        <w:numPr>
          <w:ilvl w:val="0"/>
          <w:numId w:val="15"/>
        </w:numPr>
      </w:pPr>
      <w:bookmarkStart w:id="85" w:name="_Ref205367595"/>
      <w:r w:rsidRPr="007D5C43">
        <w:t xml:space="preserve">I consider that there are no other relevant matters with respect to the quality assurance processes for anticoagulant rodenticide active constituents. Therefore, in relation to quality assurance processes, after variation of the condition discussed above in paragraph </w:t>
      </w:r>
      <w:r w:rsidRPr="007D5C43">
        <w:fldChar w:fldCharType="begin"/>
      </w:r>
      <w:r w:rsidRPr="007D5C43">
        <w:instrText xml:space="preserve"> REF _Ref193552338 \r \h </w:instrText>
      </w:r>
      <w:r>
        <w:instrText xml:space="preserve"> \* MERGEFORMAT </w:instrText>
      </w:r>
      <w:r w:rsidRPr="007D5C43">
        <w:fldChar w:fldCharType="separate"/>
      </w:r>
      <w:r w:rsidR="002C0C2A">
        <w:t>36</w:t>
      </w:r>
      <w:r w:rsidRPr="007D5C43">
        <w:fldChar w:fldCharType="end"/>
      </w:r>
      <w:r w:rsidRPr="007D5C43">
        <w:t xml:space="preserve"> of these reasons, I find that there is nothing that would prevent me from being satisfied that the active constituents listed in Attachment A of this notice would meet the safety criteria.</w:t>
      </w:r>
      <w:bookmarkEnd w:id="85"/>
    </w:p>
    <w:p w14:paraId="66301B8F" w14:textId="77777777" w:rsidR="008E67EA" w:rsidRDefault="008E67EA" w:rsidP="008E67EA">
      <w:pPr>
        <w:pStyle w:val="StatementofReasonsHeading3"/>
      </w:pPr>
      <w:bookmarkStart w:id="86" w:name="_Toc214991523"/>
      <w:r>
        <w:t>Safety criteria conclusions</w:t>
      </w:r>
      <w:bookmarkEnd w:id="86"/>
    </w:p>
    <w:p w14:paraId="5E9E391B" w14:textId="4AABEF08" w:rsidR="008E67EA" w:rsidRPr="007D5C43" w:rsidRDefault="008E67EA">
      <w:pPr>
        <w:pStyle w:val="NumberLevel1"/>
        <w:numPr>
          <w:ilvl w:val="0"/>
          <w:numId w:val="15"/>
        </w:numPr>
      </w:pPr>
      <w:r w:rsidRPr="007D5C43">
        <w:rPr>
          <w:color w:val="000000" w:themeColor="text1"/>
        </w:rPr>
        <w:t>Having regard to the matters and findings set out above i</w:t>
      </w:r>
      <w:r w:rsidRPr="007D5C43">
        <w:t xml:space="preserve">n relation to the anticoagulant rodenticide active constituents listed in </w:t>
      </w:r>
      <w:r w:rsidR="00D5006D">
        <w:t>Attachment</w:t>
      </w:r>
      <w:r w:rsidR="00D5006D" w:rsidRPr="007D5C43">
        <w:t xml:space="preserve"> </w:t>
      </w:r>
      <w:r w:rsidRPr="007D5C43">
        <w:t xml:space="preserve">A of this notice, I am </w:t>
      </w:r>
      <w:r w:rsidRPr="007D5C43">
        <w:rPr>
          <w:b/>
          <w:bCs/>
        </w:rPr>
        <w:t>not satisfied</w:t>
      </w:r>
      <w:r w:rsidRPr="007D5C43">
        <w:t xml:space="preserve"> the active constituents meet the safety criteria due to:</w:t>
      </w:r>
    </w:p>
    <w:p w14:paraId="770199D2" w14:textId="0D885FA6" w:rsidR="008E67EA" w:rsidRDefault="008E67EA">
      <w:pPr>
        <w:pStyle w:val="NumberLevel2"/>
        <w:numPr>
          <w:ilvl w:val="1"/>
          <w:numId w:val="15"/>
        </w:numPr>
      </w:pPr>
      <w:r>
        <w:t xml:space="preserve">a legislative contradiction and unnecessary duplication in the quality assurance requirement condition imposed on all the active constituent approvals (detailed in paragraphs </w:t>
      </w:r>
      <w:r>
        <w:fldChar w:fldCharType="begin"/>
      </w:r>
      <w:r>
        <w:instrText xml:space="preserve"> REF _Ref205367579 \r \h </w:instrText>
      </w:r>
      <w:r>
        <w:fldChar w:fldCharType="separate"/>
      </w:r>
      <w:r w:rsidR="002C0C2A">
        <w:t>33</w:t>
      </w:r>
      <w:r>
        <w:fldChar w:fldCharType="end"/>
      </w:r>
      <w:r>
        <w:t xml:space="preserve">, </w:t>
      </w:r>
      <w:r>
        <w:fldChar w:fldCharType="begin"/>
      </w:r>
      <w:r>
        <w:instrText xml:space="preserve"> REF _Ref199866491 \r \h </w:instrText>
      </w:r>
      <w:r>
        <w:fldChar w:fldCharType="separate"/>
      </w:r>
      <w:r w:rsidR="002C0C2A">
        <w:t>35</w:t>
      </w:r>
      <w:r>
        <w:fldChar w:fldCharType="end"/>
      </w:r>
      <w:r>
        <w:t xml:space="preserve"> and </w:t>
      </w:r>
      <w:r>
        <w:fldChar w:fldCharType="begin"/>
      </w:r>
      <w:r>
        <w:instrText xml:space="preserve"> REF _Ref193552338 \r \h </w:instrText>
      </w:r>
      <w:r>
        <w:fldChar w:fldCharType="separate"/>
      </w:r>
      <w:r w:rsidR="002C0C2A">
        <w:t>36</w:t>
      </w:r>
      <w:r>
        <w:fldChar w:fldCharType="end"/>
      </w:r>
      <w:r>
        <w:t xml:space="preserve"> of these reasons); and</w:t>
      </w:r>
    </w:p>
    <w:p w14:paraId="13770567" w14:textId="3BCA3D77" w:rsidR="008E67EA" w:rsidRPr="00FA2D5C" w:rsidRDefault="008E67EA">
      <w:pPr>
        <w:pStyle w:val="NumberLevel2"/>
        <w:numPr>
          <w:ilvl w:val="1"/>
          <w:numId w:val="15"/>
        </w:numPr>
      </w:pPr>
      <w:r w:rsidRPr="00FA2D5C">
        <w:t xml:space="preserve">for specific brodifacoum, bromadiolone and difenacoum active constituent approvals (44192, 67898, 67881), inadequate information on the composition and purity of the active constituent (detailed in paragraphs </w:t>
      </w:r>
      <w:r w:rsidRPr="00FA2D5C">
        <w:rPr>
          <w:color w:val="000000" w:themeColor="text1"/>
        </w:rPr>
        <w:fldChar w:fldCharType="begin"/>
      </w:r>
      <w:r w:rsidRPr="00FA2D5C">
        <w:rPr>
          <w:color w:val="000000" w:themeColor="text1"/>
        </w:rPr>
        <w:instrText xml:space="preserve"> REF _Ref200960825 \w \h  \* MERGEFORMAT </w:instrText>
      </w:r>
      <w:r w:rsidRPr="00FA2D5C">
        <w:rPr>
          <w:color w:val="000000" w:themeColor="text1"/>
        </w:rPr>
      </w:r>
      <w:r w:rsidRPr="00FA2D5C">
        <w:rPr>
          <w:color w:val="000000" w:themeColor="text1"/>
        </w:rPr>
        <w:fldChar w:fldCharType="separate"/>
      </w:r>
      <w:r w:rsidR="002C0C2A">
        <w:rPr>
          <w:color w:val="000000" w:themeColor="text1"/>
        </w:rPr>
        <w:t>31.3</w:t>
      </w:r>
      <w:r w:rsidRPr="00FA2D5C">
        <w:rPr>
          <w:color w:val="000000" w:themeColor="text1"/>
        </w:rPr>
        <w:fldChar w:fldCharType="end"/>
      </w:r>
      <w:r w:rsidRPr="00FA2D5C">
        <w:t xml:space="preserve"> of these reasons).</w:t>
      </w:r>
    </w:p>
    <w:p w14:paraId="6DB10352" w14:textId="0DABE04E" w:rsidR="00203C18" w:rsidRDefault="008E67EA">
      <w:pPr>
        <w:pStyle w:val="NumberLevel1"/>
        <w:numPr>
          <w:ilvl w:val="0"/>
          <w:numId w:val="15"/>
        </w:numPr>
        <w:sectPr w:rsidR="00203C18" w:rsidSect="00CB73E0">
          <w:headerReference w:type="even" r:id="rId28"/>
          <w:pgSz w:w="11906" w:h="16838"/>
          <w:pgMar w:top="1440" w:right="1134" w:bottom="1440" w:left="1134" w:header="794" w:footer="737" w:gutter="0"/>
          <w:cols w:space="708"/>
          <w:docGrid w:linePitch="360"/>
        </w:sectPr>
      </w:pPr>
      <w:r w:rsidRPr="00537245">
        <w:t xml:space="preserve">However, I am satisfied the conditions of the anticoagulant rodenticide active constituents listed in </w:t>
      </w:r>
      <w:r w:rsidR="00D5006D">
        <w:t>Attachment A</w:t>
      </w:r>
      <w:r w:rsidRPr="00537245">
        <w:t xml:space="preserve"> of this notice can be varied in the ways set out in paragraphs </w:t>
      </w:r>
      <w:r w:rsidRPr="00537245">
        <w:rPr>
          <w:color w:val="000000" w:themeColor="text1"/>
        </w:rPr>
        <w:fldChar w:fldCharType="begin"/>
      </w:r>
      <w:r w:rsidRPr="00537245">
        <w:rPr>
          <w:color w:val="000000" w:themeColor="text1"/>
        </w:rPr>
        <w:instrText xml:space="preserve"> REF _Ref200960825 \w \h  \* MERGEFORMAT </w:instrText>
      </w:r>
      <w:r w:rsidRPr="00537245">
        <w:rPr>
          <w:color w:val="000000" w:themeColor="text1"/>
        </w:rPr>
      </w:r>
      <w:r w:rsidRPr="00537245">
        <w:rPr>
          <w:color w:val="000000" w:themeColor="text1"/>
        </w:rPr>
        <w:fldChar w:fldCharType="separate"/>
      </w:r>
      <w:r w:rsidR="002C0C2A">
        <w:rPr>
          <w:color w:val="000000" w:themeColor="text1"/>
        </w:rPr>
        <w:t>31.3</w:t>
      </w:r>
      <w:r w:rsidRPr="00537245">
        <w:rPr>
          <w:color w:val="000000" w:themeColor="text1"/>
        </w:rPr>
        <w:fldChar w:fldCharType="end"/>
      </w:r>
      <w:r w:rsidRPr="00537245">
        <w:rPr>
          <w:color w:val="000000" w:themeColor="text1"/>
        </w:rPr>
        <w:t xml:space="preserve"> and </w:t>
      </w:r>
      <w:r w:rsidRPr="00537245">
        <w:fldChar w:fldCharType="begin"/>
      </w:r>
      <w:r w:rsidRPr="00537245">
        <w:instrText xml:space="preserve"> REF _Ref193552338 \r \h  \* MERGEFORMAT </w:instrText>
      </w:r>
      <w:r w:rsidRPr="00537245">
        <w:fldChar w:fldCharType="separate"/>
      </w:r>
      <w:r w:rsidR="002C0C2A">
        <w:t>36</w:t>
      </w:r>
      <w:r w:rsidRPr="00537245">
        <w:fldChar w:fldCharType="end"/>
      </w:r>
      <w:r w:rsidRPr="00537245">
        <w:t xml:space="preserve"> of these reasons to mitigate these concerns, and so that the active constituents will meet the safety criteria</w:t>
      </w:r>
      <w:r w:rsidR="00D4624B">
        <w:t>.</w:t>
      </w:r>
    </w:p>
    <w:p w14:paraId="04945E7D" w14:textId="77777777" w:rsidR="008E67EA" w:rsidRDefault="008E67EA" w:rsidP="008E67EA">
      <w:pPr>
        <w:pStyle w:val="GazetteHeading1"/>
      </w:pPr>
      <w:bookmarkStart w:id="87" w:name="_Toc216282362"/>
      <w:r>
        <w:lastRenderedPageBreak/>
        <w:t>Attachment C</w:t>
      </w:r>
      <w:r w:rsidRPr="00B418E9">
        <w:t xml:space="preserve">: </w:t>
      </w:r>
      <w:r>
        <w:t>Information on which the reasons are based</w:t>
      </w:r>
      <w:bookmarkEnd w:id="87"/>
    </w:p>
    <w:p w14:paraId="4AF9830D" w14:textId="77777777" w:rsidR="008E67EA" w:rsidRPr="00203C18" w:rsidRDefault="008E67EA" w:rsidP="00203C18">
      <w:pPr>
        <w:pStyle w:val="GazetteNormalText"/>
      </w:pPr>
      <w:r w:rsidRPr="00203C18">
        <w:t>The information on which the reasons in the draft statement of reasons for proposed course of action are set out below.</w:t>
      </w:r>
    </w:p>
    <w:p w14:paraId="612578EA" w14:textId="637EC8BF" w:rsidR="008E67EA" w:rsidRDefault="008E67EA">
      <w:pPr>
        <w:pStyle w:val="GazetteListNumbered"/>
        <w:numPr>
          <w:ilvl w:val="0"/>
          <w:numId w:val="43"/>
        </w:numPr>
        <w:ind w:left="357" w:hanging="357"/>
      </w:pPr>
      <w:r>
        <w:t>Information provided to the APVMA in response to notices as</w:t>
      </w:r>
      <w:r w:rsidRPr="000B255E">
        <w:t xml:space="preserve"> listed in </w:t>
      </w:r>
      <w:r>
        <w:t xml:space="preserve">the </w:t>
      </w:r>
      <w:hyperlink r:id="rId29" w:history="1">
        <w:r w:rsidRPr="00477E90">
          <w:rPr>
            <w:rStyle w:val="Hyperlink"/>
          </w:rPr>
          <w:t>Anticoagulant Rodenticides Data List</w:t>
        </w:r>
      </w:hyperlink>
      <w:r w:rsidR="00B33ED7">
        <w:t xml:space="preserve"> </w:t>
      </w:r>
      <w:r w:rsidRPr="000B255E">
        <w:t xml:space="preserve">and cited in the </w:t>
      </w:r>
      <w:r>
        <w:t>R</w:t>
      </w:r>
      <w:r w:rsidRPr="000B255E">
        <w:t xml:space="preserve">eview </w:t>
      </w:r>
      <w:r>
        <w:t>T</w:t>
      </w:r>
      <w:r w:rsidRPr="000B255E">
        <w:t xml:space="preserve">echnical </w:t>
      </w:r>
      <w:r>
        <w:t>R</w:t>
      </w:r>
      <w:r w:rsidRPr="000B255E">
        <w:t xml:space="preserve">eport, noting that </w:t>
      </w:r>
      <w:r>
        <w:t xml:space="preserve">Confidential Commercial Information </w:t>
      </w:r>
      <w:r w:rsidRPr="000B255E">
        <w:t xml:space="preserve">restrictions limit access to </w:t>
      </w:r>
      <w:r>
        <w:t xml:space="preserve">some of </w:t>
      </w:r>
      <w:r w:rsidRPr="000B255E">
        <w:t>these data</w:t>
      </w:r>
      <w:r>
        <w:t>:</w:t>
      </w:r>
    </w:p>
    <w:p w14:paraId="759C9820" w14:textId="77777777" w:rsidR="008E67EA" w:rsidRPr="00011C46" w:rsidRDefault="008E67EA" w:rsidP="00011C46">
      <w:pPr>
        <w:pStyle w:val="GazetteListNumbered"/>
        <w:numPr>
          <w:ilvl w:val="1"/>
          <w:numId w:val="1"/>
        </w:numPr>
        <w:ind w:left="1080"/>
      </w:pPr>
      <w:r w:rsidRPr="00011C46">
        <w:t xml:space="preserve">Issued to holders of anticoagulant rodenticide approvals and registrations on 21 November 2021 and 17 March 2025 under section 32 of the Agvet Code. </w:t>
      </w:r>
    </w:p>
    <w:p w14:paraId="1384EBC7" w14:textId="77777777" w:rsidR="008E67EA" w:rsidRPr="00011C46" w:rsidRDefault="008E67EA" w:rsidP="00011C46">
      <w:pPr>
        <w:pStyle w:val="GazetteListNumbered"/>
        <w:numPr>
          <w:ilvl w:val="1"/>
          <w:numId w:val="1"/>
        </w:numPr>
        <w:ind w:left="1080"/>
      </w:pPr>
      <w:r w:rsidRPr="00011C46">
        <w:t xml:space="preserve">Published in the APVMA Gazette on 21 November 2021 under section 32 of the Agvet Code. </w:t>
      </w:r>
    </w:p>
    <w:p w14:paraId="6D55F759" w14:textId="77777777" w:rsidR="008E67EA" w:rsidRPr="00011C46" w:rsidRDefault="008E67EA" w:rsidP="00011C46">
      <w:pPr>
        <w:pStyle w:val="GazetteListNumbered"/>
        <w:numPr>
          <w:ilvl w:val="1"/>
          <w:numId w:val="1"/>
        </w:numPr>
        <w:ind w:left="1080"/>
      </w:pPr>
      <w:r w:rsidRPr="00011C46">
        <w:t>Issued to holders of anticoagulant rodenticide approvals and registrations under section 33 of the Agvet Code on 28 November 2022, 27 June 2024 and 4 July 2024.</w:t>
      </w:r>
    </w:p>
    <w:p w14:paraId="15FF0B2B" w14:textId="77777777" w:rsidR="008E67EA" w:rsidRDefault="008E67EA" w:rsidP="00011C46">
      <w:pPr>
        <w:pStyle w:val="GazetteListNumbered"/>
        <w:ind w:left="357" w:hanging="357"/>
      </w:pPr>
      <w:r>
        <w:t xml:space="preserve">The APVMA records for the approval of relevant active constituents, including information submitted and assessed at the time of approval. </w:t>
      </w:r>
    </w:p>
    <w:p w14:paraId="745C3195" w14:textId="77777777" w:rsidR="008E67EA" w:rsidRDefault="008E67EA" w:rsidP="00011C46">
      <w:pPr>
        <w:pStyle w:val="GazetteListNumbered"/>
        <w:ind w:left="357" w:hanging="357"/>
      </w:pPr>
      <w:r>
        <w:t>Information assessed by the APVMA and summarised in the following published report:</w:t>
      </w:r>
    </w:p>
    <w:p w14:paraId="0FE70D7A" w14:textId="680EDD93" w:rsidR="008E67EA" w:rsidRDefault="008E67EA" w:rsidP="00011C46">
      <w:pPr>
        <w:pStyle w:val="GazetteListNumbered"/>
        <w:numPr>
          <w:ilvl w:val="1"/>
          <w:numId w:val="1"/>
        </w:numPr>
        <w:ind w:left="1080"/>
      </w:pPr>
      <w:r>
        <w:t xml:space="preserve">Anticoagulant Rodenticides </w:t>
      </w:r>
      <w:hyperlink r:id="rId30" w:history="1">
        <w:r w:rsidRPr="00477E90">
          <w:rPr>
            <w:rStyle w:val="Hyperlink"/>
          </w:rPr>
          <w:t>Review Technical Report</w:t>
        </w:r>
      </w:hyperlink>
      <w:r>
        <w:t xml:space="preserve"> </w:t>
      </w:r>
    </w:p>
    <w:p w14:paraId="2DFCCDF9" w14:textId="77777777" w:rsidR="008E67EA" w:rsidRDefault="008E67EA" w:rsidP="00011C46">
      <w:pPr>
        <w:pStyle w:val="GazetteListNumbered"/>
        <w:ind w:left="357" w:hanging="357"/>
      </w:pPr>
      <w:r>
        <w:t>Information assessed by the APVMA in the following unpublished reports (these are internal APVMA reports which include confidential commercial information belonging to multiple parties):</w:t>
      </w:r>
    </w:p>
    <w:p w14:paraId="56769C54" w14:textId="77777777" w:rsidR="008E67EA" w:rsidRDefault="008E67EA" w:rsidP="00011C46">
      <w:pPr>
        <w:pStyle w:val="GazetteListNumbered"/>
        <w:numPr>
          <w:ilvl w:val="1"/>
          <w:numId w:val="1"/>
        </w:numPr>
        <w:ind w:left="1080"/>
      </w:pPr>
      <w:r>
        <w:t xml:space="preserve">Anticoagulant rodenticides </w:t>
      </w:r>
      <w:r>
        <w:t>–</w:t>
      </w:r>
      <w:r>
        <w:t xml:space="preserve"> chemistry and manufacture</w:t>
      </w:r>
      <w:r w:rsidRPr="00EC3B14">
        <w:t xml:space="preserve"> </w:t>
      </w:r>
      <w:r>
        <w:t xml:space="preserve">risk </w:t>
      </w:r>
      <w:r w:rsidRPr="00EC3B14">
        <w:t>assessment</w:t>
      </w:r>
      <w:r>
        <w:t xml:space="preserve"> </w:t>
      </w:r>
      <w:bookmarkStart w:id="88" w:name="_Hlk216041354"/>
      <w:r>
        <w:t xml:space="preserve">(Ref: </w:t>
      </w:r>
      <w:r w:rsidRPr="00E14A32">
        <w:t>A3652378</w:t>
      </w:r>
      <w:r>
        <w:t xml:space="preserve">, </w:t>
      </w:r>
      <w:r w:rsidRPr="00E14A32">
        <w:t>A3537438</w:t>
      </w:r>
      <w:r>
        <w:t>)</w:t>
      </w:r>
    </w:p>
    <w:bookmarkEnd w:id="88"/>
    <w:p w14:paraId="1F581850" w14:textId="77777777" w:rsidR="008E67EA" w:rsidRDefault="008E67EA" w:rsidP="00011C46">
      <w:pPr>
        <w:pStyle w:val="GazetteListNumbered"/>
        <w:numPr>
          <w:ilvl w:val="1"/>
          <w:numId w:val="1"/>
        </w:numPr>
        <w:ind w:left="1080"/>
      </w:pPr>
      <w:r>
        <w:t xml:space="preserve">Anticoagulant rodenticides </w:t>
      </w:r>
      <w:r>
        <w:t>–</w:t>
      </w:r>
      <w:r>
        <w:t xml:space="preserve"> h</w:t>
      </w:r>
      <w:r w:rsidRPr="00EC3B14">
        <w:t>uman health risk assessment</w:t>
      </w:r>
      <w:r>
        <w:t xml:space="preserve"> </w:t>
      </w:r>
      <w:bookmarkStart w:id="89" w:name="_Hlk216041371"/>
      <w:r>
        <w:t xml:space="preserve">(Ref: </w:t>
      </w:r>
      <w:r w:rsidRPr="00E14A32">
        <w:t>A3429050</w:t>
      </w:r>
      <w:r>
        <w:t>)</w:t>
      </w:r>
      <w:bookmarkEnd w:id="89"/>
    </w:p>
    <w:p w14:paraId="11A967B8" w14:textId="77777777" w:rsidR="008E67EA" w:rsidRDefault="008E67EA" w:rsidP="00011C46">
      <w:pPr>
        <w:pStyle w:val="GazetteListNumbered"/>
        <w:numPr>
          <w:ilvl w:val="1"/>
          <w:numId w:val="1"/>
        </w:numPr>
        <w:ind w:left="1080"/>
      </w:pPr>
      <w:r w:rsidRPr="00EC3B14">
        <w:t xml:space="preserve">Anticoagulant rodenticides </w:t>
      </w:r>
      <w:r>
        <w:t>–</w:t>
      </w:r>
      <w:r>
        <w:t xml:space="preserve"> fate and behaviour in the environment </w:t>
      </w:r>
      <w:bookmarkStart w:id="90" w:name="_Hlk216041377"/>
      <w:r>
        <w:t xml:space="preserve">(Ref: </w:t>
      </w:r>
      <w:r w:rsidRPr="00E14A32">
        <w:t>A3217354</w:t>
      </w:r>
      <w:r>
        <w:t>)</w:t>
      </w:r>
      <w:bookmarkEnd w:id="90"/>
    </w:p>
    <w:p w14:paraId="2AFCA93B" w14:textId="77777777" w:rsidR="008E67EA" w:rsidRDefault="008E67EA" w:rsidP="00011C46">
      <w:pPr>
        <w:pStyle w:val="GazetteListNumbered"/>
        <w:numPr>
          <w:ilvl w:val="1"/>
          <w:numId w:val="1"/>
        </w:numPr>
        <w:ind w:left="1080"/>
      </w:pPr>
      <w:r w:rsidRPr="00EC3B14">
        <w:t xml:space="preserve">Anticoagulant rodenticides </w:t>
      </w:r>
      <w:r>
        <w:t>–</w:t>
      </w:r>
      <w:r>
        <w:t xml:space="preserve"> effects on non-target species </w:t>
      </w:r>
      <w:bookmarkStart w:id="91" w:name="_Hlk216041387"/>
      <w:r>
        <w:t xml:space="preserve">(Ref: </w:t>
      </w:r>
      <w:r w:rsidRPr="00E14A32">
        <w:t>A3218224</w:t>
      </w:r>
      <w:r>
        <w:t>)</w:t>
      </w:r>
      <w:bookmarkEnd w:id="91"/>
    </w:p>
    <w:p w14:paraId="39F4F66E" w14:textId="77777777" w:rsidR="008E67EA" w:rsidRDefault="008E67EA" w:rsidP="00011C46">
      <w:pPr>
        <w:pStyle w:val="GazetteListNumbered"/>
        <w:numPr>
          <w:ilvl w:val="1"/>
          <w:numId w:val="1"/>
        </w:numPr>
        <w:ind w:left="1080"/>
      </w:pPr>
      <w:r w:rsidRPr="00EC3B14">
        <w:t xml:space="preserve">Anticoagulant rodenticides </w:t>
      </w:r>
      <w:r>
        <w:t>–</w:t>
      </w:r>
      <w:r>
        <w:t xml:space="preserve"> environment assessment report </w:t>
      </w:r>
      <w:bookmarkStart w:id="92" w:name="_Hlk216041393"/>
      <w:r>
        <w:t xml:space="preserve">(Ref: </w:t>
      </w:r>
      <w:r w:rsidRPr="00E14A32">
        <w:t>A2913026</w:t>
      </w:r>
      <w:r>
        <w:t>)</w:t>
      </w:r>
      <w:bookmarkEnd w:id="92"/>
    </w:p>
    <w:p w14:paraId="059EA412" w14:textId="77777777" w:rsidR="008E67EA" w:rsidRDefault="008E67EA" w:rsidP="00011C46">
      <w:pPr>
        <w:pStyle w:val="GazetteListNumbered"/>
        <w:numPr>
          <w:ilvl w:val="1"/>
          <w:numId w:val="1"/>
        </w:numPr>
        <w:ind w:left="1080"/>
      </w:pPr>
      <w:r>
        <w:t xml:space="preserve">Anticoagulant rodenticides </w:t>
      </w:r>
      <w:r>
        <w:t>–</w:t>
      </w:r>
      <w:r>
        <w:t xml:space="preserve"> residues and trade assessment report </w:t>
      </w:r>
      <w:bookmarkStart w:id="93" w:name="_Hlk216041397"/>
      <w:r>
        <w:t xml:space="preserve">(Ref: </w:t>
      </w:r>
      <w:r w:rsidRPr="00E14A32">
        <w:t>A3462884</w:t>
      </w:r>
      <w:r>
        <w:t>)</w:t>
      </w:r>
      <w:bookmarkEnd w:id="93"/>
    </w:p>
    <w:p w14:paraId="3208EC4E" w14:textId="77777777" w:rsidR="008E67EA" w:rsidRDefault="008E67EA" w:rsidP="00011C46">
      <w:pPr>
        <w:pStyle w:val="GazetteListNumbered"/>
        <w:ind w:left="357" w:hanging="357"/>
      </w:pPr>
      <w:r>
        <w:t>The relevant provisions of the Agvet Code and instruments under that Code, in particular those set out in the tables below:</w:t>
      </w:r>
    </w:p>
    <w:p w14:paraId="1B5E34CB" w14:textId="3A84AAB9" w:rsidR="008E67EA" w:rsidRPr="00BD0F4B" w:rsidRDefault="008E67EA" w:rsidP="008E67EA">
      <w:pPr>
        <w:pStyle w:val="StatementofReasonsTableCaption"/>
        <w:ind w:left="567"/>
      </w:pPr>
      <w:bookmarkStart w:id="94" w:name="_Toc149826757"/>
      <w:bookmarkStart w:id="95" w:name="_Toc149826894"/>
      <w:bookmarkStart w:id="96" w:name="_Toc149901657"/>
      <w:r w:rsidRPr="00BD0F4B">
        <w:t xml:space="preserve">Table </w:t>
      </w:r>
      <w:bookmarkEnd w:id="94"/>
      <w:r w:rsidRPr="00BD0F4B">
        <w:t>C</w:t>
      </w:r>
      <w:r w:rsidRPr="00BD0F4B">
        <w:fldChar w:fldCharType="begin"/>
      </w:r>
      <w:r w:rsidRPr="00BD0F4B">
        <w:instrText xml:space="preserve"> SEQ Table_A \* ARABIC </w:instrText>
      </w:r>
      <w:r w:rsidRPr="00BD0F4B">
        <w:fldChar w:fldCharType="separate"/>
      </w:r>
      <w:r w:rsidR="002C0C2A">
        <w:rPr>
          <w:noProof/>
        </w:rPr>
        <w:t>1</w:t>
      </w:r>
      <w:r w:rsidRPr="00BD0F4B">
        <w:fldChar w:fldCharType="end"/>
      </w:r>
      <w:r w:rsidRPr="00BD0F4B">
        <w:t xml:space="preserve">: </w:t>
      </w:r>
      <w:bookmarkStart w:id="97" w:name="_Hlk151633188"/>
      <w:bookmarkEnd w:id="95"/>
      <w:bookmarkEnd w:id="96"/>
      <w:r w:rsidRPr="00BD0F4B">
        <w:rPr>
          <w:i/>
          <w:iCs w:val="0"/>
        </w:rPr>
        <w:t>Agricultural and Veterinary Chemicals Code Act 1994</w:t>
      </w:r>
      <w:bookmarkEnd w:id="97"/>
    </w:p>
    <w:tbl>
      <w:tblPr>
        <w:tblStyle w:val="TableGrid"/>
        <w:tblW w:w="4490" w:type="pct"/>
        <w:tblInd w:w="562" w:type="dxa"/>
        <w:shd w:val="clear" w:color="auto" w:fill="D9D9D9" w:themeFill="background1" w:themeFillShade="D9"/>
        <w:tblLook w:val="04A0" w:firstRow="1" w:lastRow="0" w:firstColumn="1" w:lastColumn="0" w:noHBand="0" w:noVBand="1"/>
      </w:tblPr>
      <w:tblGrid>
        <w:gridCol w:w="1702"/>
        <w:gridCol w:w="6944"/>
      </w:tblGrid>
      <w:tr w:rsidR="008E67EA" w14:paraId="7BC6136F" w14:textId="77777777" w:rsidTr="00B44A74">
        <w:trPr>
          <w:tblHeader/>
        </w:trPr>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1C1C07" w14:textId="77777777" w:rsidR="008E67EA" w:rsidRPr="00BD0F4B" w:rsidRDefault="008E67EA" w:rsidP="00B44A74">
            <w:pPr>
              <w:pStyle w:val="GazetteTableHeading"/>
            </w:pPr>
            <w:r w:rsidRPr="00BD0F4B">
              <w:t>Section</w:t>
            </w:r>
          </w:p>
        </w:tc>
        <w:tc>
          <w:tcPr>
            <w:tcW w:w="401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6BE893" w14:textId="77777777" w:rsidR="008E67EA" w:rsidRPr="00BD0F4B" w:rsidRDefault="008E67EA" w:rsidP="00B44A74">
            <w:pPr>
              <w:pStyle w:val="GazetteTableHeading"/>
            </w:pPr>
            <w:r w:rsidRPr="00BD0F4B">
              <w:t>Section Heading</w:t>
            </w:r>
          </w:p>
        </w:tc>
      </w:tr>
      <w:tr w:rsidR="008E67EA" w14:paraId="37A22EC1"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hideMark/>
          </w:tcPr>
          <w:p w14:paraId="78E486D3" w14:textId="77777777" w:rsidR="008E67EA" w:rsidRDefault="008E67EA" w:rsidP="00B44A74">
            <w:pPr>
              <w:pStyle w:val="GazetteTableText"/>
              <w:rPr>
                <w:b/>
                <w:bCs/>
                <w:sz w:val="18"/>
                <w:szCs w:val="20"/>
              </w:rPr>
            </w:pPr>
            <w:r>
              <w:rPr>
                <w:b/>
                <w:color w:val="000000" w:themeColor="text1"/>
                <w:sz w:val="18"/>
                <w:szCs w:val="22"/>
              </w:rPr>
              <w:t>3</w:t>
            </w:r>
          </w:p>
        </w:tc>
        <w:tc>
          <w:tcPr>
            <w:tcW w:w="4016" w:type="pct"/>
            <w:tcBorders>
              <w:top w:val="single" w:sz="4" w:space="0" w:color="auto"/>
              <w:left w:val="single" w:sz="4" w:space="0" w:color="auto"/>
              <w:bottom w:val="single" w:sz="4" w:space="0" w:color="auto"/>
              <w:right w:val="single" w:sz="4" w:space="0" w:color="auto"/>
            </w:tcBorders>
            <w:hideMark/>
          </w:tcPr>
          <w:p w14:paraId="72155671" w14:textId="77777777" w:rsidR="008E67EA" w:rsidRDefault="008E67EA" w:rsidP="00B44A74">
            <w:pPr>
              <w:pStyle w:val="GazetteTableText"/>
              <w:rPr>
                <w:sz w:val="18"/>
                <w:szCs w:val="20"/>
              </w:rPr>
            </w:pPr>
            <w:r>
              <w:rPr>
                <w:color w:val="000000" w:themeColor="text1"/>
                <w:sz w:val="18"/>
                <w:szCs w:val="19"/>
              </w:rPr>
              <w:t>Definitions</w:t>
            </w:r>
          </w:p>
        </w:tc>
      </w:tr>
      <w:tr w:rsidR="008E67EA" w14:paraId="288293D1"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hideMark/>
          </w:tcPr>
          <w:p w14:paraId="63E865C6" w14:textId="77777777" w:rsidR="008E67EA" w:rsidRDefault="008E67EA" w:rsidP="00B44A74">
            <w:pPr>
              <w:pStyle w:val="GazetteTableText"/>
              <w:rPr>
                <w:b/>
                <w:bCs/>
                <w:sz w:val="18"/>
                <w:szCs w:val="20"/>
              </w:rPr>
            </w:pPr>
            <w:r>
              <w:rPr>
                <w:b/>
                <w:bCs/>
                <w:color w:val="000000" w:themeColor="text1"/>
                <w:sz w:val="18"/>
                <w:szCs w:val="22"/>
              </w:rPr>
              <w:t>5A</w:t>
            </w:r>
          </w:p>
        </w:tc>
        <w:tc>
          <w:tcPr>
            <w:tcW w:w="4016" w:type="pct"/>
            <w:tcBorders>
              <w:top w:val="single" w:sz="4" w:space="0" w:color="auto"/>
              <w:left w:val="single" w:sz="4" w:space="0" w:color="auto"/>
              <w:bottom w:val="single" w:sz="4" w:space="0" w:color="auto"/>
              <w:right w:val="single" w:sz="4" w:space="0" w:color="auto"/>
            </w:tcBorders>
            <w:hideMark/>
          </w:tcPr>
          <w:p w14:paraId="65953797" w14:textId="77777777" w:rsidR="008E67EA" w:rsidRDefault="008E67EA" w:rsidP="00B44A74">
            <w:pPr>
              <w:pStyle w:val="GazetteTableText"/>
              <w:rPr>
                <w:sz w:val="18"/>
                <w:szCs w:val="20"/>
              </w:rPr>
            </w:pPr>
            <w:r>
              <w:rPr>
                <w:color w:val="000000" w:themeColor="text1"/>
                <w:sz w:val="18"/>
                <w:szCs w:val="19"/>
              </w:rPr>
              <w:t xml:space="preserve">Definition of </w:t>
            </w:r>
            <w:r>
              <w:rPr>
                <w:i/>
                <w:color w:val="000000" w:themeColor="text1"/>
                <w:sz w:val="18"/>
                <w:szCs w:val="19"/>
              </w:rPr>
              <w:t>meets the safety criteria</w:t>
            </w:r>
          </w:p>
        </w:tc>
      </w:tr>
      <w:tr w:rsidR="008E67EA" w14:paraId="14388998"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hideMark/>
          </w:tcPr>
          <w:p w14:paraId="346D8B59" w14:textId="77777777" w:rsidR="008E67EA" w:rsidRDefault="008E67EA" w:rsidP="00B44A74">
            <w:pPr>
              <w:pStyle w:val="GazetteTableText"/>
              <w:rPr>
                <w:b/>
                <w:bCs/>
                <w:sz w:val="18"/>
                <w:szCs w:val="20"/>
              </w:rPr>
            </w:pPr>
            <w:r>
              <w:rPr>
                <w:b/>
                <w:bCs/>
                <w:color w:val="000000" w:themeColor="text1"/>
                <w:sz w:val="18"/>
                <w:szCs w:val="22"/>
              </w:rPr>
              <w:t>6E</w:t>
            </w:r>
          </w:p>
        </w:tc>
        <w:tc>
          <w:tcPr>
            <w:tcW w:w="4016" w:type="pct"/>
            <w:tcBorders>
              <w:top w:val="single" w:sz="4" w:space="0" w:color="auto"/>
              <w:left w:val="single" w:sz="4" w:space="0" w:color="auto"/>
              <w:bottom w:val="single" w:sz="4" w:space="0" w:color="auto"/>
              <w:right w:val="single" w:sz="4" w:space="0" w:color="auto"/>
            </w:tcBorders>
            <w:hideMark/>
          </w:tcPr>
          <w:p w14:paraId="6987A7AD" w14:textId="77777777" w:rsidR="008E67EA" w:rsidRDefault="008E67EA" w:rsidP="00B44A74">
            <w:pPr>
              <w:pStyle w:val="GazetteTableText"/>
              <w:rPr>
                <w:sz w:val="18"/>
                <w:szCs w:val="20"/>
              </w:rPr>
            </w:pPr>
            <w:r>
              <w:rPr>
                <w:rFonts w:eastAsiaTheme="minorEastAsia"/>
                <w:bCs/>
                <w:color w:val="000000" w:themeColor="text1"/>
                <w:sz w:val="18"/>
                <w:szCs w:val="19"/>
              </w:rPr>
              <w:t>The APVMA may make standards</w:t>
            </w:r>
          </w:p>
        </w:tc>
      </w:tr>
      <w:tr w:rsidR="008E67EA" w14:paraId="6440E4B8"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hideMark/>
          </w:tcPr>
          <w:p w14:paraId="5803355A" w14:textId="77777777" w:rsidR="008E67EA" w:rsidRDefault="008E67EA" w:rsidP="00B44A74">
            <w:pPr>
              <w:pStyle w:val="GazetteTableText"/>
              <w:rPr>
                <w:b/>
                <w:bCs/>
                <w:sz w:val="18"/>
                <w:szCs w:val="20"/>
              </w:rPr>
            </w:pPr>
            <w:r>
              <w:rPr>
                <w:rFonts w:eastAsiaTheme="minorEastAsia"/>
                <w:b/>
                <w:bCs/>
                <w:color w:val="000000" w:themeColor="text1"/>
                <w:sz w:val="18"/>
                <w:szCs w:val="22"/>
              </w:rPr>
              <w:t>19</w:t>
            </w:r>
          </w:p>
        </w:tc>
        <w:tc>
          <w:tcPr>
            <w:tcW w:w="4016" w:type="pct"/>
            <w:tcBorders>
              <w:top w:val="single" w:sz="4" w:space="0" w:color="auto"/>
              <w:left w:val="single" w:sz="4" w:space="0" w:color="auto"/>
              <w:bottom w:val="single" w:sz="4" w:space="0" w:color="auto"/>
              <w:right w:val="single" w:sz="4" w:space="0" w:color="auto"/>
            </w:tcBorders>
            <w:hideMark/>
          </w:tcPr>
          <w:p w14:paraId="0E22B330" w14:textId="77777777" w:rsidR="008E67EA" w:rsidRDefault="008E67EA" w:rsidP="00B44A74">
            <w:pPr>
              <w:pStyle w:val="GazetteTableText"/>
              <w:rPr>
                <w:sz w:val="18"/>
                <w:szCs w:val="20"/>
              </w:rPr>
            </w:pPr>
            <w:r>
              <w:rPr>
                <w:rFonts w:eastAsiaTheme="minorEastAsia"/>
                <w:bCs/>
                <w:color w:val="000000" w:themeColor="text1"/>
                <w:sz w:val="18"/>
                <w:szCs w:val="19"/>
              </w:rPr>
              <w:t>How approval of active constituent takes place</w:t>
            </w:r>
          </w:p>
        </w:tc>
      </w:tr>
      <w:tr w:rsidR="008E67EA" w14:paraId="310093B5"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hideMark/>
          </w:tcPr>
          <w:p w14:paraId="28934E19" w14:textId="77777777" w:rsidR="008E67EA" w:rsidRDefault="008E67EA" w:rsidP="00B44A74">
            <w:pPr>
              <w:pStyle w:val="GazetteTableText"/>
              <w:rPr>
                <w:b/>
                <w:bCs/>
                <w:sz w:val="18"/>
                <w:szCs w:val="20"/>
              </w:rPr>
            </w:pPr>
            <w:r>
              <w:rPr>
                <w:rFonts w:eastAsiaTheme="minorEastAsia"/>
                <w:b/>
                <w:bCs/>
                <w:color w:val="000000" w:themeColor="text1"/>
                <w:sz w:val="18"/>
                <w:szCs w:val="22"/>
              </w:rPr>
              <w:t>23</w:t>
            </w:r>
          </w:p>
        </w:tc>
        <w:tc>
          <w:tcPr>
            <w:tcW w:w="4016" w:type="pct"/>
            <w:tcBorders>
              <w:top w:val="single" w:sz="4" w:space="0" w:color="auto"/>
              <w:left w:val="single" w:sz="4" w:space="0" w:color="auto"/>
              <w:bottom w:val="single" w:sz="4" w:space="0" w:color="auto"/>
              <w:right w:val="single" w:sz="4" w:space="0" w:color="auto"/>
            </w:tcBorders>
            <w:hideMark/>
          </w:tcPr>
          <w:p w14:paraId="3627D419" w14:textId="77777777" w:rsidR="008E67EA" w:rsidRDefault="008E67EA" w:rsidP="00B44A74">
            <w:pPr>
              <w:pStyle w:val="GazetteTableText"/>
              <w:rPr>
                <w:sz w:val="18"/>
                <w:szCs w:val="20"/>
              </w:rPr>
            </w:pPr>
            <w:r>
              <w:rPr>
                <w:rFonts w:eastAsiaTheme="minorEastAsia"/>
                <w:bCs/>
                <w:color w:val="000000" w:themeColor="text1"/>
                <w:sz w:val="18"/>
                <w:szCs w:val="19"/>
              </w:rPr>
              <w:t>Conditions of approval or registration</w:t>
            </w:r>
          </w:p>
        </w:tc>
      </w:tr>
      <w:tr w:rsidR="008E67EA" w14:paraId="16A2236C"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hideMark/>
          </w:tcPr>
          <w:p w14:paraId="7E2F4B4F" w14:textId="77777777" w:rsidR="008E67EA" w:rsidRDefault="008E67EA" w:rsidP="00B44A74">
            <w:pPr>
              <w:pStyle w:val="GazetteTableText"/>
              <w:rPr>
                <w:b/>
                <w:bCs/>
                <w:sz w:val="18"/>
                <w:szCs w:val="20"/>
              </w:rPr>
            </w:pPr>
            <w:r>
              <w:rPr>
                <w:b/>
                <w:bCs/>
                <w:color w:val="000000" w:themeColor="text1"/>
                <w:sz w:val="18"/>
                <w:szCs w:val="22"/>
              </w:rPr>
              <w:t>31</w:t>
            </w:r>
          </w:p>
        </w:tc>
        <w:tc>
          <w:tcPr>
            <w:tcW w:w="4016" w:type="pct"/>
            <w:tcBorders>
              <w:top w:val="single" w:sz="4" w:space="0" w:color="auto"/>
              <w:left w:val="single" w:sz="4" w:space="0" w:color="auto"/>
              <w:bottom w:val="single" w:sz="4" w:space="0" w:color="auto"/>
              <w:right w:val="single" w:sz="4" w:space="0" w:color="auto"/>
            </w:tcBorders>
            <w:hideMark/>
          </w:tcPr>
          <w:p w14:paraId="77691D9E" w14:textId="77777777" w:rsidR="008E67EA" w:rsidRDefault="008E67EA" w:rsidP="00B44A74">
            <w:pPr>
              <w:pStyle w:val="GazetteTableText"/>
              <w:rPr>
                <w:sz w:val="18"/>
                <w:szCs w:val="20"/>
              </w:rPr>
            </w:pPr>
            <w:r>
              <w:rPr>
                <w:color w:val="000000" w:themeColor="text1"/>
                <w:sz w:val="18"/>
                <w:szCs w:val="19"/>
              </w:rPr>
              <w:t>APVMA may reconsider an approval or registration</w:t>
            </w:r>
          </w:p>
        </w:tc>
      </w:tr>
      <w:tr w:rsidR="008E67EA" w14:paraId="5CE4D297"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hideMark/>
          </w:tcPr>
          <w:p w14:paraId="6535A4CC" w14:textId="77777777" w:rsidR="008E67EA" w:rsidRDefault="008E67EA" w:rsidP="00B44A74">
            <w:pPr>
              <w:pStyle w:val="GazetteTableText"/>
              <w:rPr>
                <w:b/>
                <w:bCs/>
                <w:sz w:val="18"/>
                <w:szCs w:val="20"/>
              </w:rPr>
            </w:pPr>
            <w:r>
              <w:rPr>
                <w:b/>
                <w:bCs/>
                <w:color w:val="000000" w:themeColor="text1"/>
                <w:sz w:val="18"/>
                <w:szCs w:val="22"/>
              </w:rPr>
              <w:t>33</w:t>
            </w:r>
          </w:p>
        </w:tc>
        <w:tc>
          <w:tcPr>
            <w:tcW w:w="4016" w:type="pct"/>
            <w:tcBorders>
              <w:top w:val="single" w:sz="4" w:space="0" w:color="auto"/>
              <w:left w:val="single" w:sz="4" w:space="0" w:color="auto"/>
              <w:bottom w:val="single" w:sz="4" w:space="0" w:color="auto"/>
              <w:right w:val="single" w:sz="4" w:space="0" w:color="auto"/>
            </w:tcBorders>
            <w:hideMark/>
          </w:tcPr>
          <w:p w14:paraId="560019A6" w14:textId="77777777" w:rsidR="008E67EA" w:rsidRDefault="008E67EA" w:rsidP="00B44A74">
            <w:pPr>
              <w:pStyle w:val="GazetteTableText"/>
              <w:rPr>
                <w:sz w:val="18"/>
                <w:szCs w:val="20"/>
              </w:rPr>
            </w:pPr>
            <w:r>
              <w:rPr>
                <w:color w:val="000000" w:themeColor="text1"/>
                <w:sz w:val="18"/>
                <w:szCs w:val="19"/>
              </w:rPr>
              <w:t>APVMA may require information, reports, results or samples</w:t>
            </w:r>
          </w:p>
        </w:tc>
      </w:tr>
      <w:tr w:rsidR="008E67EA" w14:paraId="77AF98A6"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hideMark/>
          </w:tcPr>
          <w:p w14:paraId="516FCA2A" w14:textId="77777777" w:rsidR="008E67EA" w:rsidRDefault="008E67EA" w:rsidP="00B44A74">
            <w:pPr>
              <w:pStyle w:val="GazetteTableText"/>
              <w:rPr>
                <w:b/>
                <w:bCs/>
                <w:sz w:val="18"/>
                <w:szCs w:val="20"/>
              </w:rPr>
            </w:pPr>
            <w:r>
              <w:rPr>
                <w:b/>
                <w:bCs/>
                <w:color w:val="000000" w:themeColor="text1"/>
                <w:sz w:val="18"/>
                <w:szCs w:val="22"/>
              </w:rPr>
              <w:t>34</w:t>
            </w:r>
          </w:p>
        </w:tc>
        <w:tc>
          <w:tcPr>
            <w:tcW w:w="4016" w:type="pct"/>
            <w:tcBorders>
              <w:top w:val="single" w:sz="4" w:space="0" w:color="auto"/>
              <w:left w:val="single" w:sz="4" w:space="0" w:color="auto"/>
              <w:bottom w:val="single" w:sz="4" w:space="0" w:color="auto"/>
              <w:right w:val="single" w:sz="4" w:space="0" w:color="auto"/>
            </w:tcBorders>
            <w:hideMark/>
          </w:tcPr>
          <w:p w14:paraId="48AB88E5" w14:textId="77777777" w:rsidR="008E67EA" w:rsidRDefault="008E67EA" w:rsidP="00B44A74">
            <w:pPr>
              <w:pStyle w:val="GazetteTableText"/>
              <w:rPr>
                <w:sz w:val="18"/>
                <w:szCs w:val="20"/>
              </w:rPr>
            </w:pPr>
            <w:r>
              <w:rPr>
                <w:color w:val="000000" w:themeColor="text1"/>
                <w:sz w:val="18"/>
                <w:szCs w:val="19"/>
              </w:rPr>
              <w:t>Reconsideration by APVMA</w:t>
            </w:r>
          </w:p>
        </w:tc>
      </w:tr>
      <w:tr w:rsidR="008E67EA" w14:paraId="5E6FB9D5"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hideMark/>
          </w:tcPr>
          <w:p w14:paraId="268001E1" w14:textId="77777777" w:rsidR="008E67EA" w:rsidRDefault="008E67EA" w:rsidP="00B44A74">
            <w:pPr>
              <w:pStyle w:val="GazetteTableText"/>
              <w:rPr>
                <w:b/>
                <w:bCs/>
                <w:sz w:val="18"/>
                <w:szCs w:val="20"/>
              </w:rPr>
            </w:pPr>
            <w:r>
              <w:rPr>
                <w:b/>
                <w:bCs/>
                <w:color w:val="000000" w:themeColor="text1"/>
                <w:sz w:val="18"/>
                <w:szCs w:val="22"/>
              </w:rPr>
              <w:lastRenderedPageBreak/>
              <w:t>34A</w:t>
            </w:r>
          </w:p>
        </w:tc>
        <w:tc>
          <w:tcPr>
            <w:tcW w:w="4016" w:type="pct"/>
            <w:tcBorders>
              <w:top w:val="single" w:sz="4" w:space="0" w:color="auto"/>
              <w:left w:val="single" w:sz="4" w:space="0" w:color="auto"/>
              <w:bottom w:val="single" w:sz="4" w:space="0" w:color="auto"/>
              <w:right w:val="single" w:sz="4" w:space="0" w:color="auto"/>
            </w:tcBorders>
            <w:hideMark/>
          </w:tcPr>
          <w:p w14:paraId="17D4EC08" w14:textId="77777777" w:rsidR="008E67EA" w:rsidRDefault="008E67EA" w:rsidP="00B44A74">
            <w:pPr>
              <w:pStyle w:val="GazetteTableText"/>
              <w:rPr>
                <w:sz w:val="18"/>
                <w:szCs w:val="20"/>
              </w:rPr>
            </w:pPr>
            <w:r>
              <w:rPr>
                <w:color w:val="000000" w:themeColor="text1"/>
                <w:sz w:val="18"/>
                <w:szCs w:val="19"/>
              </w:rPr>
              <w:t>Varying relevant particulars or conditions to allow affirmation</w:t>
            </w:r>
          </w:p>
        </w:tc>
      </w:tr>
      <w:tr w:rsidR="008E67EA" w14:paraId="5C4C0721"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hideMark/>
          </w:tcPr>
          <w:p w14:paraId="7F3912CA" w14:textId="77777777" w:rsidR="008E67EA" w:rsidRDefault="008E67EA" w:rsidP="00B44A74">
            <w:pPr>
              <w:pStyle w:val="GazetteTableText"/>
              <w:rPr>
                <w:b/>
                <w:bCs/>
                <w:sz w:val="18"/>
                <w:szCs w:val="20"/>
              </w:rPr>
            </w:pPr>
            <w:r>
              <w:rPr>
                <w:b/>
                <w:bCs/>
                <w:color w:val="000000" w:themeColor="text1"/>
                <w:sz w:val="18"/>
                <w:szCs w:val="22"/>
              </w:rPr>
              <w:t>34AA</w:t>
            </w:r>
          </w:p>
        </w:tc>
        <w:tc>
          <w:tcPr>
            <w:tcW w:w="4016" w:type="pct"/>
            <w:tcBorders>
              <w:top w:val="single" w:sz="4" w:space="0" w:color="auto"/>
              <w:left w:val="single" w:sz="4" w:space="0" w:color="auto"/>
              <w:bottom w:val="single" w:sz="4" w:space="0" w:color="auto"/>
              <w:right w:val="single" w:sz="4" w:space="0" w:color="auto"/>
            </w:tcBorders>
            <w:hideMark/>
          </w:tcPr>
          <w:p w14:paraId="4B92DD99" w14:textId="77777777" w:rsidR="008E67EA" w:rsidRDefault="008E67EA" w:rsidP="00B44A74">
            <w:pPr>
              <w:pStyle w:val="GazetteTableText"/>
              <w:rPr>
                <w:sz w:val="18"/>
                <w:szCs w:val="20"/>
              </w:rPr>
            </w:pPr>
            <w:r>
              <w:rPr>
                <w:color w:val="000000" w:themeColor="text1"/>
                <w:sz w:val="18"/>
                <w:szCs w:val="19"/>
              </w:rPr>
              <w:t>Suspension or cancellation</w:t>
            </w:r>
          </w:p>
        </w:tc>
      </w:tr>
      <w:tr w:rsidR="008E67EA" w14:paraId="108B14A5"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hideMark/>
          </w:tcPr>
          <w:p w14:paraId="6BBA60F1" w14:textId="77777777" w:rsidR="008E67EA" w:rsidRDefault="008E67EA" w:rsidP="00B44A74">
            <w:pPr>
              <w:pStyle w:val="GazetteTableText"/>
              <w:rPr>
                <w:b/>
                <w:bCs/>
                <w:sz w:val="18"/>
                <w:szCs w:val="20"/>
              </w:rPr>
            </w:pPr>
            <w:r>
              <w:rPr>
                <w:b/>
                <w:bCs/>
                <w:color w:val="000000" w:themeColor="text1"/>
                <w:sz w:val="18"/>
                <w:szCs w:val="22"/>
              </w:rPr>
              <w:t>34AB</w:t>
            </w:r>
          </w:p>
        </w:tc>
        <w:tc>
          <w:tcPr>
            <w:tcW w:w="4016" w:type="pct"/>
            <w:tcBorders>
              <w:top w:val="single" w:sz="4" w:space="0" w:color="auto"/>
              <w:left w:val="single" w:sz="4" w:space="0" w:color="auto"/>
              <w:bottom w:val="single" w:sz="4" w:space="0" w:color="auto"/>
              <w:right w:val="single" w:sz="4" w:space="0" w:color="auto"/>
            </w:tcBorders>
            <w:hideMark/>
          </w:tcPr>
          <w:p w14:paraId="6825E33A" w14:textId="77777777" w:rsidR="008E67EA" w:rsidRDefault="008E67EA" w:rsidP="00B44A74">
            <w:pPr>
              <w:pStyle w:val="GazetteTableText"/>
              <w:rPr>
                <w:sz w:val="18"/>
                <w:szCs w:val="20"/>
              </w:rPr>
            </w:pPr>
            <w:r>
              <w:rPr>
                <w:color w:val="000000" w:themeColor="text1"/>
                <w:sz w:val="18"/>
                <w:szCs w:val="19"/>
              </w:rPr>
              <w:t>Notice of proposed decision</w:t>
            </w:r>
          </w:p>
        </w:tc>
      </w:tr>
    </w:tbl>
    <w:p w14:paraId="42A3B8FC" w14:textId="74DB959D" w:rsidR="008E67EA" w:rsidRPr="00816AF3" w:rsidRDefault="008E67EA" w:rsidP="008E67EA">
      <w:pPr>
        <w:pStyle w:val="StatementofReasonsTableCaption"/>
        <w:ind w:left="567"/>
      </w:pPr>
      <w:r w:rsidRPr="00816AF3">
        <w:t>Table C</w:t>
      </w:r>
      <w:r w:rsidRPr="00816AF3">
        <w:fldChar w:fldCharType="begin"/>
      </w:r>
      <w:r w:rsidRPr="00816AF3">
        <w:instrText xml:space="preserve"> SEQ Table_A \* ARABIC </w:instrText>
      </w:r>
      <w:r w:rsidRPr="00816AF3">
        <w:fldChar w:fldCharType="separate"/>
      </w:r>
      <w:r w:rsidR="002C0C2A">
        <w:rPr>
          <w:noProof/>
        </w:rPr>
        <w:t>2</w:t>
      </w:r>
      <w:r w:rsidRPr="00816AF3">
        <w:rPr>
          <w:noProof/>
        </w:rPr>
        <w:fldChar w:fldCharType="end"/>
      </w:r>
      <w:r w:rsidRPr="00816AF3">
        <w:t xml:space="preserve">: </w:t>
      </w:r>
      <w:r w:rsidRPr="00BD0F4B">
        <w:rPr>
          <w:i/>
          <w:iCs w:val="0"/>
        </w:rPr>
        <w:t>Agricultural and Veterinary Chemicals Code Regulations 1995</w:t>
      </w:r>
    </w:p>
    <w:tbl>
      <w:tblPr>
        <w:tblStyle w:val="TableGrid"/>
        <w:tblW w:w="4490" w:type="pct"/>
        <w:tblInd w:w="562" w:type="dxa"/>
        <w:shd w:val="clear" w:color="auto" w:fill="D9D9D9" w:themeFill="background1" w:themeFillShade="D9"/>
        <w:tblLook w:val="04A0" w:firstRow="1" w:lastRow="0" w:firstColumn="1" w:lastColumn="0" w:noHBand="0" w:noVBand="1"/>
      </w:tblPr>
      <w:tblGrid>
        <w:gridCol w:w="1702"/>
        <w:gridCol w:w="6944"/>
      </w:tblGrid>
      <w:tr w:rsidR="008E67EA" w14:paraId="1247EF2C" w14:textId="77777777" w:rsidTr="00B44A74">
        <w:trPr>
          <w:tblHeader/>
        </w:trPr>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FC7A7C" w14:textId="77777777" w:rsidR="008E67EA" w:rsidRPr="00BD0F4B" w:rsidRDefault="008E67EA" w:rsidP="00B44A74">
            <w:pPr>
              <w:pStyle w:val="GazetteTableHeading"/>
            </w:pPr>
            <w:r w:rsidRPr="00BD0F4B">
              <w:t>Section</w:t>
            </w:r>
          </w:p>
        </w:tc>
        <w:tc>
          <w:tcPr>
            <w:tcW w:w="401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F39FD7" w14:textId="77777777" w:rsidR="008E67EA" w:rsidRPr="00BD0F4B" w:rsidRDefault="008E67EA" w:rsidP="00B44A74">
            <w:pPr>
              <w:pStyle w:val="GazetteTableHeading"/>
            </w:pPr>
            <w:r w:rsidRPr="00BD0F4B">
              <w:t>Section Heading</w:t>
            </w:r>
          </w:p>
        </w:tc>
      </w:tr>
      <w:tr w:rsidR="008E67EA" w14:paraId="1C038530"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hideMark/>
          </w:tcPr>
          <w:p w14:paraId="6CAF2C65" w14:textId="77777777" w:rsidR="008E67EA" w:rsidRDefault="008E67EA" w:rsidP="00B44A74">
            <w:pPr>
              <w:pStyle w:val="GazetteTableText"/>
              <w:rPr>
                <w:b/>
                <w:bCs/>
                <w:sz w:val="18"/>
                <w:szCs w:val="20"/>
              </w:rPr>
            </w:pPr>
            <w:r>
              <w:rPr>
                <w:b/>
                <w:bCs/>
                <w:color w:val="000000" w:themeColor="text1"/>
                <w:sz w:val="18"/>
                <w:szCs w:val="22"/>
              </w:rPr>
              <w:t>8AA</w:t>
            </w:r>
          </w:p>
        </w:tc>
        <w:tc>
          <w:tcPr>
            <w:tcW w:w="4016" w:type="pct"/>
            <w:tcBorders>
              <w:top w:val="single" w:sz="4" w:space="0" w:color="auto"/>
              <w:left w:val="single" w:sz="4" w:space="0" w:color="auto"/>
              <w:bottom w:val="single" w:sz="4" w:space="0" w:color="auto"/>
              <w:right w:val="single" w:sz="4" w:space="0" w:color="auto"/>
            </w:tcBorders>
            <w:hideMark/>
          </w:tcPr>
          <w:p w14:paraId="17470E7D" w14:textId="77777777" w:rsidR="008E67EA" w:rsidRDefault="008E67EA" w:rsidP="00B44A74">
            <w:pPr>
              <w:pStyle w:val="GazetteTableText"/>
              <w:rPr>
                <w:sz w:val="18"/>
                <w:szCs w:val="20"/>
              </w:rPr>
            </w:pPr>
            <w:r>
              <w:rPr>
                <w:color w:val="000000" w:themeColor="text1"/>
                <w:sz w:val="18"/>
                <w:szCs w:val="19"/>
              </w:rPr>
              <w:t xml:space="preserve">Safety Criteria </w:t>
            </w:r>
            <w:r>
              <w:rPr>
                <w:rFonts w:hint="eastAsia"/>
                <w:color w:val="000000" w:themeColor="text1"/>
                <w:sz w:val="18"/>
                <w:szCs w:val="19"/>
              </w:rPr>
              <w:t>–</w:t>
            </w:r>
            <w:r>
              <w:rPr>
                <w:color w:val="000000" w:themeColor="text1"/>
                <w:sz w:val="18"/>
                <w:szCs w:val="19"/>
              </w:rPr>
              <w:t xml:space="preserve"> active constituents</w:t>
            </w:r>
          </w:p>
        </w:tc>
      </w:tr>
      <w:tr w:rsidR="008E67EA" w14:paraId="5A5A6CD8"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hideMark/>
          </w:tcPr>
          <w:p w14:paraId="4E19499E" w14:textId="77777777" w:rsidR="008E67EA" w:rsidRDefault="008E67EA" w:rsidP="00B44A74">
            <w:pPr>
              <w:pStyle w:val="GazetteTableText"/>
              <w:rPr>
                <w:b/>
                <w:bCs/>
                <w:sz w:val="18"/>
                <w:szCs w:val="20"/>
              </w:rPr>
            </w:pPr>
            <w:r>
              <w:rPr>
                <w:b/>
                <w:bCs/>
                <w:color w:val="000000" w:themeColor="text1"/>
                <w:sz w:val="18"/>
                <w:szCs w:val="22"/>
              </w:rPr>
              <w:t>15</w:t>
            </w:r>
          </w:p>
        </w:tc>
        <w:tc>
          <w:tcPr>
            <w:tcW w:w="4016" w:type="pct"/>
            <w:tcBorders>
              <w:top w:val="single" w:sz="4" w:space="0" w:color="auto"/>
              <w:left w:val="single" w:sz="4" w:space="0" w:color="auto"/>
              <w:bottom w:val="single" w:sz="4" w:space="0" w:color="auto"/>
              <w:right w:val="single" w:sz="4" w:space="0" w:color="auto"/>
            </w:tcBorders>
            <w:hideMark/>
          </w:tcPr>
          <w:p w14:paraId="3B2A21AB" w14:textId="77777777" w:rsidR="008E67EA" w:rsidRDefault="008E67EA" w:rsidP="00B44A74">
            <w:pPr>
              <w:pStyle w:val="GazetteTableText"/>
              <w:rPr>
                <w:sz w:val="18"/>
                <w:szCs w:val="20"/>
              </w:rPr>
            </w:pPr>
            <w:r>
              <w:rPr>
                <w:color w:val="000000" w:themeColor="text1"/>
                <w:sz w:val="18"/>
                <w:szCs w:val="19"/>
              </w:rPr>
              <w:t>Particulars of approved active constituents to be recorded</w:t>
            </w:r>
          </w:p>
        </w:tc>
      </w:tr>
      <w:tr w:rsidR="008E67EA" w14:paraId="1E657309"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hideMark/>
          </w:tcPr>
          <w:p w14:paraId="5A0E7E7F" w14:textId="77777777" w:rsidR="008E67EA" w:rsidRDefault="008E67EA" w:rsidP="00B44A74">
            <w:pPr>
              <w:pStyle w:val="GazetteTableText"/>
              <w:rPr>
                <w:b/>
                <w:bCs/>
                <w:sz w:val="18"/>
                <w:szCs w:val="20"/>
              </w:rPr>
            </w:pPr>
            <w:r>
              <w:rPr>
                <w:b/>
                <w:bCs/>
                <w:color w:val="000000" w:themeColor="text1"/>
                <w:sz w:val="18"/>
                <w:szCs w:val="22"/>
              </w:rPr>
              <w:t>17C</w:t>
            </w:r>
          </w:p>
        </w:tc>
        <w:tc>
          <w:tcPr>
            <w:tcW w:w="4016" w:type="pct"/>
            <w:tcBorders>
              <w:top w:val="single" w:sz="4" w:space="0" w:color="auto"/>
              <w:left w:val="single" w:sz="4" w:space="0" w:color="auto"/>
              <w:bottom w:val="single" w:sz="4" w:space="0" w:color="auto"/>
              <w:right w:val="single" w:sz="4" w:space="0" w:color="auto"/>
            </w:tcBorders>
            <w:hideMark/>
          </w:tcPr>
          <w:p w14:paraId="7917BAC8" w14:textId="77777777" w:rsidR="008E67EA" w:rsidRDefault="008E67EA" w:rsidP="00B44A74">
            <w:pPr>
              <w:pStyle w:val="GazetteTableText"/>
              <w:rPr>
                <w:sz w:val="18"/>
                <w:szCs w:val="20"/>
              </w:rPr>
            </w:pPr>
            <w:r>
              <w:rPr>
                <w:color w:val="000000" w:themeColor="text1"/>
                <w:sz w:val="18"/>
                <w:szCs w:val="19"/>
              </w:rPr>
              <w:t xml:space="preserve">Conditions of approval or registration </w:t>
            </w:r>
            <w:r>
              <w:rPr>
                <w:rFonts w:hint="eastAsia"/>
                <w:color w:val="000000" w:themeColor="text1"/>
                <w:sz w:val="18"/>
                <w:szCs w:val="19"/>
              </w:rPr>
              <w:t>–</w:t>
            </w:r>
            <w:r>
              <w:rPr>
                <w:color w:val="000000" w:themeColor="text1"/>
                <w:sz w:val="18"/>
                <w:szCs w:val="19"/>
              </w:rPr>
              <w:t xml:space="preserve"> active constituents and chemical products</w:t>
            </w:r>
          </w:p>
        </w:tc>
      </w:tr>
    </w:tbl>
    <w:p w14:paraId="34FAD4CC" w14:textId="5C8FDC52" w:rsidR="008E67EA" w:rsidRPr="00816AF3" w:rsidRDefault="008E67EA" w:rsidP="008E67EA">
      <w:pPr>
        <w:pStyle w:val="StatementofReasonsTableCaption"/>
        <w:ind w:left="567"/>
        <w:rPr>
          <w:i/>
          <w:iCs w:val="0"/>
        </w:rPr>
      </w:pPr>
      <w:r w:rsidRPr="00816AF3">
        <w:t>Table C</w:t>
      </w:r>
      <w:r w:rsidRPr="00816AF3">
        <w:fldChar w:fldCharType="begin"/>
      </w:r>
      <w:r w:rsidRPr="00816AF3">
        <w:instrText xml:space="preserve"> SEQ Table_A \* ARABIC </w:instrText>
      </w:r>
      <w:r w:rsidRPr="00816AF3">
        <w:fldChar w:fldCharType="separate"/>
      </w:r>
      <w:r w:rsidR="002C0C2A">
        <w:rPr>
          <w:noProof/>
        </w:rPr>
        <w:t>3</w:t>
      </w:r>
      <w:r w:rsidRPr="00816AF3">
        <w:rPr>
          <w:noProof/>
        </w:rPr>
        <w:fldChar w:fldCharType="end"/>
      </w:r>
      <w:r w:rsidRPr="00816AF3">
        <w:t xml:space="preserve">: Other legislative instruments under the </w:t>
      </w:r>
      <w:r w:rsidRPr="00816AF3">
        <w:rPr>
          <w:i/>
          <w:iCs w:val="0"/>
        </w:rPr>
        <w:t>Agricultural and Veterinary Chemicals Code Act 1994</w:t>
      </w:r>
    </w:p>
    <w:tbl>
      <w:tblPr>
        <w:tblStyle w:val="TableGrid"/>
        <w:tblW w:w="4490" w:type="pct"/>
        <w:tblInd w:w="562" w:type="dxa"/>
        <w:shd w:val="clear" w:color="auto" w:fill="D9D9D9" w:themeFill="background1" w:themeFillShade="D9"/>
        <w:tblLook w:val="04A0" w:firstRow="1" w:lastRow="0" w:firstColumn="1" w:lastColumn="0" w:noHBand="0" w:noVBand="1"/>
      </w:tblPr>
      <w:tblGrid>
        <w:gridCol w:w="8646"/>
      </w:tblGrid>
      <w:tr w:rsidR="008E67EA" w14:paraId="5B739B4E" w14:textId="77777777" w:rsidTr="00B44A74">
        <w:trPr>
          <w:tblHead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C25640" w14:textId="77777777" w:rsidR="008E67EA" w:rsidRPr="00BD0F4B" w:rsidRDefault="008E67EA" w:rsidP="00B44A74">
            <w:pPr>
              <w:pStyle w:val="GazetteTableHeading"/>
            </w:pPr>
            <w:r w:rsidRPr="00BD0F4B">
              <w:t>Legislative instruments</w:t>
            </w:r>
          </w:p>
        </w:tc>
      </w:tr>
      <w:tr w:rsidR="008E67EA" w14:paraId="6878CDCC" w14:textId="77777777" w:rsidTr="00B44A74">
        <w:trPr>
          <w:trHeight w:val="463"/>
        </w:trPr>
        <w:tc>
          <w:tcPr>
            <w:tcW w:w="5000" w:type="pct"/>
            <w:tcBorders>
              <w:top w:val="single" w:sz="4" w:space="0" w:color="auto"/>
              <w:left w:val="single" w:sz="4" w:space="0" w:color="auto"/>
              <w:bottom w:val="single" w:sz="4" w:space="0" w:color="auto"/>
              <w:right w:val="single" w:sz="4" w:space="0" w:color="auto"/>
            </w:tcBorders>
            <w:hideMark/>
          </w:tcPr>
          <w:p w14:paraId="7D19F92A" w14:textId="2512C068" w:rsidR="008E67EA" w:rsidRDefault="008E67EA" w:rsidP="00B44A74">
            <w:pPr>
              <w:pStyle w:val="GazetteTableText"/>
              <w:rPr>
                <w:b/>
                <w:bCs/>
                <w:sz w:val="18"/>
                <w:szCs w:val="20"/>
              </w:rPr>
            </w:pPr>
            <w:hyperlink r:id="rId31" w:history="1">
              <w:r>
                <w:rPr>
                  <w:rStyle w:val="Hyperlink"/>
                  <w:sz w:val="18"/>
                  <w:szCs w:val="22"/>
                </w:rPr>
                <w:t>Agricultural and Veterinary Chemicals Code (Conditions of Approval or Registration) Order 2021</w:t>
              </w:r>
            </w:hyperlink>
          </w:p>
        </w:tc>
      </w:tr>
      <w:tr w:rsidR="008E67EA" w14:paraId="15BD47EF" w14:textId="77777777" w:rsidTr="00B44A74">
        <w:trPr>
          <w:trHeight w:val="463"/>
        </w:trPr>
        <w:tc>
          <w:tcPr>
            <w:tcW w:w="5000" w:type="pct"/>
            <w:tcBorders>
              <w:top w:val="single" w:sz="4" w:space="0" w:color="auto"/>
              <w:left w:val="single" w:sz="4" w:space="0" w:color="auto"/>
              <w:bottom w:val="single" w:sz="4" w:space="0" w:color="auto"/>
              <w:right w:val="single" w:sz="4" w:space="0" w:color="auto"/>
            </w:tcBorders>
            <w:hideMark/>
          </w:tcPr>
          <w:p w14:paraId="7D7BE997" w14:textId="5F99E1DF" w:rsidR="008E67EA" w:rsidRDefault="008E67EA" w:rsidP="00B44A74">
            <w:pPr>
              <w:pStyle w:val="GazetteTableText"/>
              <w:rPr>
                <w:b/>
                <w:bCs/>
                <w:sz w:val="18"/>
                <w:szCs w:val="20"/>
              </w:rPr>
            </w:pPr>
            <w:hyperlink r:id="rId32" w:history="1">
              <w:r>
                <w:rPr>
                  <w:rStyle w:val="Hyperlink"/>
                  <w:sz w:val="18"/>
                  <w:szCs w:val="22"/>
                </w:rPr>
                <w:t>Agricultural and Veterinary Chemicals Code (Agricultural Active Constituents) Standards 2022</w:t>
              </w:r>
            </w:hyperlink>
          </w:p>
        </w:tc>
      </w:tr>
    </w:tbl>
    <w:p w14:paraId="197D5BE4" w14:textId="77777777" w:rsidR="008E67EA" w:rsidRDefault="008E67EA" w:rsidP="00011C46">
      <w:pPr>
        <w:pStyle w:val="GazetteListNumbered"/>
        <w:ind w:left="357" w:hanging="357"/>
      </w:pPr>
      <w:r>
        <w:t>Relevant APVMA risk assessment manuals, as published on the APVMA website:</w:t>
      </w:r>
    </w:p>
    <w:p w14:paraId="793AF8EA" w14:textId="67C882E7" w:rsidR="008E67EA" w:rsidRDefault="008E67EA" w:rsidP="00011C46">
      <w:pPr>
        <w:pStyle w:val="GazetteListNumbered"/>
        <w:numPr>
          <w:ilvl w:val="1"/>
          <w:numId w:val="1"/>
        </w:numPr>
        <w:ind w:left="1080"/>
      </w:pPr>
      <w:r>
        <w:t>Chemistry and manufacture (</w:t>
      </w:r>
      <w:hyperlink r:id="rId33" w:history="1">
        <w:r w:rsidRPr="00011C46">
          <w:t>https://www.apvma.gov.au/registrations-and-permits/data-guidelines/risk-assessment-manuals/chemistry-manufacture</w:t>
        </w:r>
      </w:hyperlink>
      <w:r>
        <w:t>)</w:t>
      </w:r>
    </w:p>
    <w:p w14:paraId="666C26F6" w14:textId="0B65BB0A" w:rsidR="008E67EA" w:rsidRDefault="008E67EA" w:rsidP="00011C46">
      <w:pPr>
        <w:pStyle w:val="GazetteListNumbered"/>
        <w:numPr>
          <w:ilvl w:val="1"/>
          <w:numId w:val="1"/>
        </w:numPr>
        <w:ind w:left="1080"/>
      </w:pPr>
      <w:r>
        <w:t>Environment (</w:t>
      </w:r>
      <w:hyperlink r:id="rId34" w:history="1">
        <w:r w:rsidRPr="00011C46">
          <w:t>https://www.apvma.gov.au/registrations-and-permits/data-guidelines/risk-assessment-manuals/environment</w:t>
        </w:r>
      </w:hyperlink>
      <w:r>
        <w:t>)</w:t>
      </w:r>
    </w:p>
    <w:p w14:paraId="5E1F923E" w14:textId="1B89D711" w:rsidR="008E67EA" w:rsidRDefault="008E67EA" w:rsidP="00011C46">
      <w:pPr>
        <w:pStyle w:val="GazetteListNumbered"/>
        <w:numPr>
          <w:ilvl w:val="1"/>
          <w:numId w:val="1"/>
        </w:numPr>
        <w:ind w:left="1080"/>
      </w:pPr>
      <w:r>
        <w:t>Human health (</w:t>
      </w:r>
      <w:hyperlink r:id="rId35" w:history="1">
        <w:r w:rsidRPr="00011C46">
          <w:t>https://www.apvma.gov.au/registrations-and-permits/data-guidelines/risk-assessment-manuals/human-health</w:t>
        </w:r>
      </w:hyperlink>
      <w:r>
        <w:t>)</w:t>
      </w:r>
    </w:p>
    <w:p w14:paraId="7C3A3D6B" w14:textId="7E9FAE9B" w:rsidR="008E67EA" w:rsidRDefault="008E67EA" w:rsidP="00011C46">
      <w:pPr>
        <w:pStyle w:val="GazetteListNumbered"/>
        <w:numPr>
          <w:ilvl w:val="1"/>
          <w:numId w:val="1"/>
        </w:numPr>
        <w:ind w:left="1080"/>
      </w:pPr>
      <w:r>
        <w:t>Residues and trade (</w:t>
      </w:r>
      <w:hyperlink r:id="rId36" w:history="1">
        <w:r w:rsidRPr="00011C46">
          <w:t>https://www.apvma.gov.au/registrations-and-permits/data-guidelines/risk-assessment-manuals/residues-trade</w:t>
        </w:r>
      </w:hyperlink>
      <w:r>
        <w:t>)</w:t>
      </w:r>
    </w:p>
    <w:p w14:paraId="6F0A13D7" w14:textId="760C222B" w:rsidR="00D4624B" w:rsidRDefault="008E67EA" w:rsidP="00011C46">
      <w:pPr>
        <w:pStyle w:val="GazetteListNumbered"/>
        <w:ind w:left="357" w:hanging="357"/>
      </w:pPr>
      <w:r>
        <w:t>Food and Agriculture Organization of the United Nations (FAO) Specifications and Evaluations for Agricultural Pesticides: Brodifacoum. 3-[3-(4'-bromobiphenyl-4-yl)-1,2,3,4- tetrahydro-1-naphthyl]- 4-hydroxycoumarin. 2015. (</w:t>
      </w:r>
      <w:hyperlink r:id="rId37" w:history="1">
        <w:r w:rsidRPr="001B2CB7">
          <w:rPr>
            <w:rStyle w:val="Hyperlink"/>
          </w:rPr>
          <w:t>https://openknowledge.fao.org/server/api/core/bitstreams/e4bf9cc0-99c1-472b-8360-972093d4d897/content</w:t>
        </w:r>
      </w:hyperlink>
      <w:r>
        <w:t>)</w:t>
      </w:r>
    </w:p>
    <w:p w14:paraId="0F4CCCB4" w14:textId="77777777" w:rsidR="00E84DF8" w:rsidRDefault="00E84DF8">
      <w:pPr>
        <w:pStyle w:val="NumberLevel1"/>
        <w:numPr>
          <w:ilvl w:val="0"/>
          <w:numId w:val="0"/>
        </w:numPr>
        <w:sectPr w:rsidR="00E84DF8" w:rsidSect="00CB73E0">
          <w:pgSz w:w="11906" w:h="16838"/>
          <w:pgMar w:top="1440" w:right="1134" w:bottom="1440" w:left="1134" w:header="794" w:footer="737" w:gutter="0"/>
          <w:cols w:space="708"/>
          <w:docGrid w:linePitch="360"/>
        </w:sectPr>
      </w:pPr>
    </w:p>
    <w:p w14:paraId="03F46DCE" w14:textId="77777777" w:rsidR="00D4624B" w:rsidRDefault="00D4624B">
      <w:pPr>
        <w:pStyle w:val="NumberLevel1"/>
        <w:numPr>
          <w:ilvl w:val="0"/>
          <w:numId w:val="0"/>
        </w:numPr>
        <w:sectPr w:rsidR="00D4624B" w:rsidSect="00CB73E0">
          <w:pgSz w:w="11906" w:h="16838"/>
          <w:pgMar w:top="1440" w:right="1134" w:bottom="1440" w:left="1134" w:header="794" w:footer="737" w:gutter="0"/>
          <w:cols w:space="708"/>
          <w:docGrid w:linePitch="360"/>
        </w:sectPr>
      </w:pPr>
    </w:p>
    <w:p w14:paraId="7B715064" w14:textId="77777777" w:rsidR="008E67EA" w:rsidRDefault="008E67EA" w:rsidP="00D4624B">
      <w:pPr>
        <w:pStyle w:val="GazetteHeading1"/>
      </w:pPr>
      <w:bookmarkStart w:id="98" w:name="_Toc216282363"/>
      <w:r w:rsidRPr="005167A2">
        <w:t>Notice under section 34AB of the Agricultural and Veterinary Chemicals Code</w:t>
      </w:r>
      <w:r>
        <w:t xml:space="preserve"> </w:t>
      </w:r>
      <w:r w:rsidRPr="00AA61B5">
        <w:t xml:space="preserve">scheduled to the </w:t>
      </w:r>
      <w:r w:rsidRPr="009D3B49">
        <w:rPr>
          <w:i/>
          <w:iCs/>
        </w:rPr>
        <w:t>Agricultural and Veterinary Chemicals Code Act 1994</w:t>
      </w:r>
      <w:r w:rsidRPr="005167A2">
        <w:t xml:space="preserve">: </w:t>
      </w:r>
      <w:r>
        <w:t>anticoagulant rodenticides reconsideration - p</w:t>
      </w:r>
      <w:r w:rsidRPr="00263C03">
        <w:t>roposed decision to vary and affirm certain chemical product</w:t>
      </w:r>
      <w:r>
        <w:t xml:space="preserve"> </w:t>
      </w:r>
      <w:r w:rsidRPr="00263C03">
        <w:t>registrations and label approvals</w:t>
      </w:r>
      <w:bookmarkEnd w:id="98"/>
    </w:p>
    <w:p w14:paraId="452601D1" w14:textId="77777777" w:rsidR="008E67EA" w:rsidRDefault="008E67EA">
      <w:pPr>
        <w:pStyle w:val="GazetteListNumbered"/>
        <w:numPr>
          <w:ilvl w:val="0"/>
          <w:numId w:val="42"/>
        </w:numPr>
        <w:tabs>
          <w:tab w:val="clear" w:pos="720"/>
        </w:tabs>
        <w:ind w:left="426" w:hanging="426"/>
      </w:pPr>
      <w:bookmarkStart w:id="99" w:name="_Hlk213100686"/>
      <w:r>
        <w:t xml:space="preserve">I, </w:t>
      </w:r>
      <w:r w:rsidRPr="00011C46">
        <w:t>Maria Trainer, Executive Director Science and Assurance,</w:t>
      </w:r>
      <w:r>
        <w:t xml:space="preserve"> as the delegate of the Australian Pesticides and Veterinary Medicines Authority (APVMA) have </w:t>
      </w:r>
      <w:r w:rsidRPr="000A2B08">
        <w:t>reconsidered</w:t>
      </w:r>
      <w:r>
        <w:t xml:space="preserve"> the </w:t>
      </w:r>
      <w:r w:rsidRPr="000A2B08">
        <w:t>registrations</w:t>
      </w:r>
      <w:r>
        <w:t xml:space="preserve"> of certain anticoagulant rodenticides</w:t>
      </w:r>
      <w:r w:rsidRPr="000A2B08">
        <w:t>, and</w:t>
      </w:r>
      <w:r>
        <w:t xml:space="preserve"> their associated</w:t>
      </w:r>
      <w:r w:rsidRPr="000A2B08">
        <w:t xml:space="preserve"> label approvals under Part 2, Division 4 of the </w:t>
      </w:r>
      <w:r w:rsidRPr="00011C46">
        <w:t xml:space="preserve">Agricultural and Veterinary Chemicals Code </w:t>
      </w:r>
      <w:r w:rsidRPr="000A2B08">
        <w:t>schedule</w:t>
      </w:r>
      <w:r>
        <w:t>d</w:t>
      </w:r>
      <w:r w:rsidRPr="000A2B08">
        <w:t xml:space="preserve"> to the </w:t>
      </w:r>
      <w:r w:rsidRPr="00011C46">
        <w:t>Agricultural and Veterinary Chemicals Code Act 1994</w:t>
      </w:r>
      <w:r w:rsidRPr="000A2B08">
        <w:t xml:space="preserve"> (Agvet Code).</w:t>
      </w:r>
      <w:r w:rsidRPr="000B52AD">
        <w:t xml:space="preserve"> The chemical product registrations and label approvals subject to th</w:t>
      </w:r>
      <w:r>
        <w:t xml:space="preserve">e proposed decisions included in this notice </w:t>
      </w:r>
      <w:r w:rsidRPr="000B52AD">
        <w:t>are set out in Attachment A, and the reasons for my decision are set out in Attachment B</w:t>
      </w:r>
      <w:r>
        <w:t>.</w:t>
      </w:r>
    </w:p>
    <w:p w14:paraId="5E208192" w14:textId="77777777" w:rsidR="008E67EA" w:rsidRDefault="008E67EA" w:rsidP="008E67EA">
      <w:pPr>
        <w:pStyle w:val="GazetteListNumbered"/>
        <w:ind w:left="360"/>
      </w:pPr>
      <w:bookmarkStart w:id="100" w:name="_Hlk213100744"/>
      <w:bookmarkEnd w:id="99"/>
      <w:r>
        <w:t>This notice is issued under section 34AB of the Agvet Code and sets out my proposed decisions in relation to the anticoagulant rodenticides product registrations and label approvals listed in Attachment A of this notice.</w:t>
      </w:r>
    </w:p>
    <w:p w14:paraId="2017A54B" w14:textId="77777777" w:rsidR="008E67EA" w:rsidRPr="0084183D" w:rsidRDefault="008E67EA" w:rsidP="008E67EA">
      <w:pPr>
        <w:pStyle w:val="GazetteListNumbered"/>
        <w:ind w:left="360"/>
      </w:pPr>
      <w:bookmarkStart w:id="101" w:name="_Hlk213100887"/>
      <w:bookmarkEnd w:id="100"/>
      <w:r>
        <w:t>P</w:t>
      </w:r>
      <w:r w:rsidRPr="0084183D">
        <w:t>ursuant to section 34A(1) of the Agvet Code, I propose to:</w:t>
      </w:r>
    </w:p>
    <w:p w14:paraId="462CED43" w14:textId="77777777" w:rsidR="008E67EA" w:rsidRPr="007026BC" w:rsidRDefault="008E67EA" w:rsidP="008E67EA">
      <w:pPr>
        <w:pStyle w:val="GazetteListNumbered"/>
        <w:numPr>
          <w:ilvl w:val="1"/>
          <w:numId w:val="1"/>
        </w:numPr>
        <w:ind w:left="1080"/>
      </w:pPr>
      <w:r w:rsidRPr="007026BC">
        <w:t>vary relevant particulars and conditions of the anticoagulant rodenticide chemical product registrations listed in Attachment A of this notice in the ways set out in the draft statement of reasons in Attachment B of this notice to allow affirmation of the registrations; and</w:t>
      </w:r>
    </w:p>
    <w:p w14:paraId="4496F3F6" w14:textId="77777777" w:rsidR="008E67EA" w:rsidRPr="007026BC" w:rsidRDefault="008E67EA" w:rsidP="008E67EA">
      <w:pPr>
        <w:pStyle w:val="GazetteListNumbered"/>
        <w:numPr>
          <w:ilvl w:val="1"/>
          <w:numId w:val="1"/>
        </w:numPr>
        <w:ind w:left="1080"/>
      </w:pPr>
      <w:r w:rsidRPr="007026BC">
        <w:t xml:space="preserve">vary relevant particulars of the anticoagulant rodenticide label approvals listed in Attachment A of this notice in the ways set out in the draft statement of reasons in Attachment B of this notice to allow affirmation of the approvals. </w:t>
      </w:r>
    </w:p>
    <w:p w14:paraId="6E1A0F4A" w14:textId="77777777" w:rsidR="008E67EA" w:rsidRPr="0084183D" w:rsidRDefault="008E67EA" w:rsidP="008E67EA">
      <w:pPr>
        <w:pStyle w:val="GazetteListNumbered"/>
        <w:ind w:left="360"/>
      </w:pPr>
      <w:r>
        <w:t>P</w:t>
      </w:r>
      <w:r w:rsidRPr="0084183D">
        <w:t>ursuant to section 34(1) of the Agvet Code, I propose to:</w:t>
      </w:r>
    </w:p>
    <w:p w14:paraId="78C96B70" w14:textId="77777777" w:rsidR="008E67EA" w:rsidRPr="0084183D" w:rsidRDefault="008E67EA" w:rsidP="008E67EA">
      <w:pPr>
        <w:pStyle w:val="GazetteListNumbered"/>
        <w:numPr>
          <w:ilvl w:val="1"/>
          <w:numId w:val="1"/>
        </w:numPr>
        <w:ind w:left="1080"/>
      </w:pPr>
      <w:r>
        <w:t xml:space="preserve">affirm the registrations, as varied, of the anticoagulant rodenticide chemical products </w:t>
      </w:r>
      <w:r w:rsidRPr="0084183D">
        <w:t>listed in Attachment A of this notice</w:t>
      </w:r>
      <w:r>
        <w:t>; and</w:t>
      </w:r>
    </w:p>
    <w:p w14:paraId="622B94B5" w14:textId="77777777" w:rsidR="008E67EA" w:rsidRPr="0084183D" w:rsidRDefault="008E67EA" w:rsidP="008E67EA">
      <w:pPr>
        <w:pStyle w:val="GazetteListNumbered"/>
        <w:numPr>
          <w:ilvl w:val="1"/>
          <w:numId w:val="1"/>
        </w:numPr>
        <w:ind w:left="1080"/>
      </w:pPr>
      <w:r>
        <w:t xml:space="preserve">affirm the approvals, as varied, of the anticoagulant rodenticide labels </w:t>
      </w:r>
      <w:r w:rsidRPr="0084183D">
        <w:t>listed in Attachment A of this notice</w:t>
      </w:r>
      <w:r>
        <w:t>.</w:t>
      </w:r>
    </w:p>
    <w:bookmarkEnd w:id="101"/>
    <w:p w14:paraId="3CF4C8AF" w14:textId="77777777" w:rsidR="008E67EA" w:rsidRDefault="008E67EA" w:rsidP="008E67EA">
      <w:pPr>
        <w:pStyle w:val="GazetteListNumbered"/>
        <w:ind w:left="360"/>
      </w:pPr>
      <w:r w:rsidRPr="003325E1">
        <w:t>The information on which the reasons are based is set out in Attachment C of this notice.</w:t>
      </w:r>
    </w:p>
    <w:p w14:paraId="15C3AEC1" w14:textId="77777777" w:rsidR="008E67EA" w:rsidRDefault="008E67EA" w:rsidP="008E67EA">
      <w:pPr>
        <w:pStyle w:val="GazetteHeading2"/>
      </w:pPr>
      <w:r w:rsidRPr="009A11F1">
        <w:t>Written submissions are invited</w:t>
      </w:r>
    </w:p>
    <w:p w14:paraId="0F13D90A" w14:textId="77777777" w:rsidR="008E67EA" w:rsidRDefault="008E67EA" w:rsidP="008E67EA">
      <w:pPr>
        <w:pStyle w:val="GazetteListNumbered"/>
        <w:ind w:left="360"/>
      </w:pPr>
      <w:r>
        <w:t>I invite written submissions on the proposed course of action. All submissions will be considered by the APVMA prior to finalisation of this reconsideration.</w:t>
      </w:r>
    </w:p>
    <w:p w14:paraId="077A0D95" w14:textId="77777777" w:rsidR="008E67EA" w:rsidRDefault="008E67EA" w:rsidP="008E67EA">
      <w:pPr>
        <w:pStyle w:val="GazetteListNumbered"/>
        <w:ind w:left="360"/>
      </w:pPr>
      <w:r w:rsidRPr="009A11F1">
        <w:rPr>
          <w:lang w:val="en-AU"/>
        </w:rPr>
        <w:t>Submissions or requests for further information can be sent to:</w:t>
      </w:r>
    </w:p>
    <w:p w14:paraId="7067C266" w14:textId="46B3C506" w:rsidR="008E67EA" w:rsidRDefault="008E67EA" w:rsidP="008E67EA">
      <w:pPr>
        <w:pStyle w:val="GazetteNormalText"/>
      </w:pPr>
      <w:r>
        <w:t>Chemical Review</w:t>
      </w:r>
      <w:r>
        <w:br/>
        <w:t>Australian Pesticides and Veterinary Medicines Authority</w:t>
      </w:r>
      <w:r>
        <w:br/>
      </w:r>
      <w:r w:rsidR="00B347E8" w:rsidRPr="00B347E8">
        <w:t>GPO Box 574</w:t>
      </w:r>
      <w:r w:rsidR="00B347E8">
        <w:br/>
      </w:r>
      <w:r w:rsidR="00B347E8" w:rsidRPr="00B347E8">
        <w:t>Canberra ACT 2601, Australia</w:t>
      </w:r>
    </w:p>
    <w:p w14:paraId="5799C8E0" w14:textId="77777777" w:rsidR="008E67EA" w:rsidRDefault="008E67EA" w:rsidP="008E67EA">
      <w:pPr>
        <w:pStyle w:val="GazetteNormalText"/>
      </w:pPr>
      <w:r w:rsidRPr="009A11F1">
        <w:rPr>
          <w:b/>
          <w:bCs/>
        </w:rPr>
        <w:t>Phone:</w:t>
      </w:r>
      <w:r>
        <w:t xml:space="preserve"> +61 2 6770 2400</w:t>
      </w:r>
      <w:r>
        <w:br/>
      </w:r>
      <w:r w:rsidRPr="009A11F1">
        <w:rPr>
          <w:b/>
          <w:bCs/>
        </w:rPr>
        <w:t>Email:</w:t>
      </w:r>
      <w:r>
        <w:t xml:space="preserve"> </w:t>
      </w:r>
      <w:bookmarkStart w:id="102" w:name="_Hlk213101915"/>
      <w:r>
        <w:t>chemicalreview@apvma.gov.au</w:t>
      </w:r>
      <w:bookmarkEnd w:id="102"/>
    </w:p>
    <w:p w14:paraId="41BC2319" w14:textId="77777777" w:rsidR="008E67EA" w:rsidRDefault="008E67EA" w:rsidP="008E67EA">
      <w:pPr>
        <w:pStyle w:val="GazetteNormalText"/>
      </w:pPr>
      <w:r>
        <w:t xml:space="preserve">Please note: Submissions will be published on the APVMA website, unless you have asked for the submission to remain confidential (see </w:t>
      </w:r>
      <w:hyperlink r:id="rId38" w:history="1">
        <w:r w:rsidRPr="00CA334D">
          <w:rPr>
            <w:rStyle w:val="Hyperlink"/>
          </w:rPr>
          <w:t>public submission coversheet</w:t>
        </w:r>
      </w:hyperlink>
      <w:r>
        <w:t>).</w:t>
      </w:r>
    </w:p>
    <w:p w14:paraId="699B5B3C" w14:textId="77777777" w:rsidR="008E67EA" w:rsidRDefault="008E67EA" w:rsidP="008E67EA">
      <w:pPr>
        <w:pStyle w:val="GazetteBulletList2"/>
        <w:numPr>
          <w:ilvl w:val="0"/>
          <w:numId w:val="2"/>
        </w:numPr>
        <w:ind w:left="1134"/>
      </w:pPr>
      <w:r>
        <w:t>Please lodge your submission with a public submission coversheet, which provides options for how your submission will be published.</w:t>
      </w:r>
    </w:p>
    <w:p w14:paraId="0807EEE2" w14:textId="77777777" w:rsidR="008E67EA" w:rsidRDefault="008E67EA" w:rsidP="008E67EA">
      <w:pPr>
        <w:pStyle w:val="GazetteBulletList2"/>
        <w:numPr>
          <w:ilvl w:val="0"/>
          <w:numId w:val="2"/>
        </w:numPr>
        <w:ind w:left="1134"/>
      </w:pPr>
      <w:r>
        <w:lastRenderedPageBreak/>
        <w:t>Note that all submissions received are subject to legislative requirements, including the Freedom of Information Act 1982, the Privacy Act 1988 and the Agvet Code. In providing your submission to the APVMA, you agree to the APVMA publicly disclosing your submission in whole or summary form. The APVMA confirms that if your submission includes confidential commercial information or protected information as defined in the Agvet Code, such information will be subject to the relevant provisions of the Agvet Code including relevant limitations on use and disclosure by the APVMA.</w:t>
      </w:r>
    </w:p>
    <w:p w14:paraId="3363FEA9" w14:textId="77777777" w:rsidR="008E67EA" w:rsidRDefault="008E67EA" w:rsidP="008E67EA">
      <w:pPr>
        <w:pStyle w:val="GazetteListNumbered"/>
      </w:pPr>
      <w:r w:rsidRPr="00CA334D">
        <w:rPr>
          <w:lang w:val="en-AU"/>
        </w:rPr>
        <w:t xml:space="preserve">The </w:t>
      </w:r>
      <w:r>
        <w:rPr>
          <w:lang w:val="en-AU"/>
        </w:rPr>
        <w:t>closing date for submissions is 16 March 2026.</w:t>
      </w:r>
    </w:p>
    <w:p w14:paraId="51A78B16" w14:textId="77777777" w:rsidR="008E67EA" w:rsidRDefault="008E67EA" w:rsidP="008E67EA">
      <w:pPr>
        <w:pStyle w:val="GazetteBulletList"/>
        <w:numPr>
          <w:ilvl w:val="0"/>
          <w:numId w:val="0"/>
        </w:numPr>
        <w:rPr>
          <w:lang w:val="en-AU"/>
        </w:rPr>
      </w:pPr>
      <w:r w:rsidRPr="00D420DC">
        <w:rPr>
          <w:lang w:val="en-AU"/>
        </w:rPr>
        <w:t>Maria Trainer</w:t>
      </w:r>
    </w:p>
    <w:p w14:paraId="238FB95D" w14:textId="64EBB56C" w:rsidR="008E67EA" w:rsidRDefault="008E67EA" w:rsidP="008E67EA">
      <w:pPr>
        <w:pStyle w:val="GazetteBulletList"/>
        <w:numPr>
          <w:ilvl w:val="0"/>
          <w:numId w:val="0"/>
        </w:numPr>
        <w:rPr>
          <w:lang w:val="en-AU"/>
        </w:rPr>
      </w:pPr>
      <w:r>
        <w:rPr>
          <w:lang w:val="en-AU"/>
        </w:rPr>
        <w:t>Executive Director Science and Assurance</w:t>
      </w:r>
    </w:p>
    <w:p w14:paraId="5BC6ED9D" w14:textId="781D1564" w:rsidR="008E67EA" w:rsidRDefault="008E67EA" w:rsidP="008E67EA">
      <w:pPr>
        <w:pStyle w:val="GazetteBulletList"/>
        <w:numPr>
          <w:ilvl w:val="0"/>
          <w:numId w:val="0"/>
        </w:numPr>
        <w:rPr>
          <w:lang w:val="en-AU"/>
        </w:rPr>
      </w:pPr>
      <w:r w:rsidRPr="00CA334D">
        <w:rPr>
          <w:lang w:val="en-AU"/>
        </w:rPr>
        <w:t xml:space="preserve">With the delegated authority under sections 11, 32 and 44 of the </w:t>
      </w:r>
      <w:r w:rsidRPr="00B347E8">
        <w:rPr>
          <w:i/>
          <w:iCs/>
          <w:lang w:val="en-AU"/>
        </w:rPr>
        <w:t>Agricultural and Veterinary Chemicals (Administration) Act 1992</w:t>
      </w:r>
      <w:r w:rsidRPr="00CA334D">
        <w:rPr>
          <w:lang w:val="en-AU"/>
        </w:rPr>
        <w:t>.</w:t>
      </w:r>
    </w:p>
    <w:p w14:paraId="1FFEB352" w14:textId="77777777" w:rsidR="008E67EA" w:rsidRDefault="008E67EA" w:rsidP="008E67EA">
      <w:pPr>
        <w:pStyle w:val="GazetteHeading2"/>
      </w:pPr>
      <w:r w:rsidRPr="00932782">
        <w:t>Attachments:</w:t>
      </w:r>
    </w:p>
    <w:p w14:paraId="093216DA" w14:textId="77777777" w:rsidR="008E67EA" w:rsidRDefault="008E67EA" w:rsidP="008E67EA">
      <w:pPr>
        <w:pStyle w:val="GazetteNormalText"/>
      </w:pPr>
      <w:r w:rsidRPr="00CA334D">
        <w:rPr>
          <w:lang w:val="en-AU"/>
        </w:rPr>
        <w:t>Note: The below Attachments form part of this Notice.</w:t>
      </w:r>
    </w:p>
    <w:p w14:paraId="61A3564D" w14:textId="77777777" w:rsidR="008E67EA" w:rsidRDefault="008E67EA" w:rsidP="008E67EA">
      <w:pPr>
        <w:pStyle w:val="GazetteNormalText"/>
        <w:spacing w:before="120" w:after="120"/>
      </w:pPr>
      <w:r>
        <w:t xml:space="preserve">Attachment A: </w:t>
      </w:r>
      <w:bookmarkStart w:id="103" w:name="_Hlk213101763"/>
      <w:r w:rsidRPr="00584375">
        <w:t>Anticoagulant rodenticide product registrations and label approvals under reconsideration that the APVMA is proposing to vary and then affirm pursuant to sections 34A(1) and 34(1) of the Agvet Code</w:t>
      </w:r>
    </w:p>
    <w:bookmarkEnd w:id="103"/>
    <w:p w14:paraId="5232AF26" w14:textId="77777777" w:rsidR="008E67EA" w:rsidRDefault="008E67EA" w:rsidP="008E67EA">
      <w:pPr>
        <w:pStyle w:val="GazetteNormalText"/>
        <w:spacing w:before="120" w:after="120"/>
      </w:pPr>
      <w:r>
        <w:t xml:space="preserve">Attachment B: </w:t>
      </w:r>
      <w:bookmarkStart w:id="104" w:name="_Hlk213101776"/>
      <w:r>
        <w:t xml:space="preserve">Draft statement of reasons for the proposed </w:t>
      </w:r>
      <w:bookmarkStart w:id="105" w:name="_Hlk213096239"/>
      <w:r w:rsidRPr="00B159A9">
        <w:t xml:space="preserve">decision to vary and affirm </w:t>
      </w:r>
      <w:bookmarkEnd w:id="105"/>
      <w:r w:rsidRPr="00B159A9">
        <w:t>certain anticoagulant rodenticide products and labels</w:t>
      </w:r>
      <w:bookmarkEnd w:id="104"/>
    </w:p>
    <w:p w14:paraId="7D762336" w14:textId="77777777" w:rsidR="008E67EA" w:rsidRDefault="008E67EA" w:rsidP="008E67EA">
      <w:pPr>
        <w:pStyle w:val="GazetteNormalText"/>
        <w:spacing w:before="120" w:after="120"/>
      </w:pPr>
      <w:r>
        <w:t>Attachment C: Information on which the reasons are based</w:t>
      </w:r>
    </w:p>
    <w:p w14:paraId="3831C9BA" w14:textId="26F53B35" w:rsidR="008E67EA" w:rsidRDefault="008E67EA" w:rsidP="008E67EA">
      <w:pPr>
        <w:pStyle w:val="GazetteNormalText"/>
        <w:spacing w:before="120" w:after="120"/>
      </w:pPr>
      <w:bookmarkStart w:id="106" w:name="_Hlk213100936"/>
      <w:r>
        <w:t>Attachment D: Templates for proposed varied anticoagulant rodenticide labels</w:t>
      </w:r>
    </w:p>
    <w:bookmarkEnd w:id="106"/>
    <w:p w14:paraId="6914A8D4" w14:textId="77777777" w:rsidR="008E67EA" w:rsidRPr="00DA53DF" w:rsidRDefault="008E67EA" w:rsidP="008E67EA">
      <w:pPr>
        <w:pStyle w:val="GazetteHeading2"/>
      </w:pPr>
      <w:r>
        <w:t>C</w:t>
      </w:r>
      <w:r w:rsidRPr="00DA53DF">
        <w:t>ontact</w:t>
      </w:r>
      <w:r>
        <w:t xml:space="preserve"> information</w:t>
      </w:r>
    </w:p>
    <w:p w14:paraId="589DB910" w14:textId="77777777" w:rsidR="008E67EA" w:rsidRDefault="008E67EA" w:rsidP="008E67EA">
      <w:pPr>
        <w:pStyle w:val="GazetteNormalText"/>
      </w:pPr>
      <w:r>
        <w:t>For any enquiries or further information about this matter, please contact:</w:t>
      </w:r>
    </w:p>
    <w:p w14:paraId="43A98D6C" w14:textId="0AF172BF" w:rsidR="00B347E8" w:rsidRDefault="008E67EA" w:rsidP="00B347E8">
      <w:pPr>
        <w:pStyle w:val="GazetteContact"/>
      </w:pPr>
      <w:r>
        <w:t>Chemical Review</w:t>
      </w:r>
      <w:r w:rsidR="00B347E8">
        <w:br/>
      </w:r>
      <w:r>
        <w:t>Australian Pesticides and Veterinary Medicines Authority</w:t>
      </w:r>
      <w:r w:rsidR="00B347E8">
        <w:br/>
      </w:r>
      <w:r w:rsidR="00B347E8" w:rsidRPr="00B347E8">
        <w:t>GPO Box 574</w:t>
      </w:r>
      <w:r w:rsidR="00B347E8">
        <w:br/>
      </w:r>
      <w:r w:rsidR="00B347E8" w:rsidRPr="00B347E8">
        <w:t>Canberra ACT 2601, Australia</w:t>
      </w:r>
    </w:p>
    <w:p w14:paraId="6AC3C403" w14:textId="7F60E7CD" w:rsidR="008E67EA" w:rsidRDefault="008E67EA" w:rsidP="008E67EA">
      <w:pPr>
        <w:pStyle w:val="GazetteContact"/>
        <w:spacing w:before="300"/>
      </w:pPr>
      <w:r>
        <w:rPr>
          <w:b/>
        </w:rPr>
        <w:t xml:space="preserve">Phone: </w:t>
      </w:r>
      <w:r>
        <w:t>+61</w:t>
      </w:r>
      <w:r>
        <w:rPr>
          <w:lang w:val="en-AU"/>
        </w:rPr>
        <w:t xml:space="preserve"> </w:t>
      </w:r>
      <w:r w:rsidRPr="0060474C">
        <w:rPr>
          <w:lang w:val="en-AU"/>
        </w:rPr>
        <w:t>2 6770 2</w:t>
      </w:r>
      <w:r>
        <w:rPr>
          <w:lang w:val="en-AU"/>
        </w:rPr>
        <w:t>400</w:t>
      </w:r>
    </w:p>
    <w:p w14:paraId="49F63726" w14:textId="77777777" w:rsidR="00B347E8" w:rsidRDefault="008E67EA" w:rsidP="008E67EA">
      <w:pPr>
        <w:pStyle w:val="GazetteContact"/>
        <w:sectPr w:rsidR="00B347E8" w:rsidSect="008E67EA">
          <w:headerReference w:type="even" r:id="rId39"/>
          <w:headerReference w:type="default" r:id="rId40"/>
          <w:type w:val="continuous"/>
          <w:pgSz w:w="11906" w:h="16838"/>
          <w:pgMar w:top="1440" w:right="1134" w:bottom="1440" w:left="1134" w:header="680" w:footer="737" w:gutter="0"/>
          <w:cols w:space="708"/>
          <w:docGrid w:linePitch="360"/>
        </w:sectPr>
      </w:pPr>
      <w:r>
        <w:rPr>
          <w:b/>
        </w:rPr>
        <w:t>Email</w:t>
      </w:r>
      <w:r>
        <w:t>:</w:t>
      </w:r>
      <w:r>
        <w:rPr>
          <w:b/>
        </w:rPr>
        <w:t xml:space="preserve"> </w:t>
      </w:r>
      <w:bookmarkStart w:id="107" w:name="_Hlk213096261"/>
      <w:r>
        <w:fldChar w:fldCharType="begin"/>
      </w:r>
      <w:r>
        <w:instrText>HYPERLINK "mailto:chemicalreview@apvma.gov.au"</w:instrText>
      </w:r>
      <w:r>
        <w:fldChar w:fldCharType="separate"/>
      </w:r>
      <w:r w:rsidRPr="001B5636">
        <w:rPr>
          <w:rStyle w:val="Hyperlink"/>
        </w:rPr>
        <w:t>chemicalreview@apvma.gov.au</w:t>
      </w:r>
      <w:r>
        <w:fldChar w:fldCharType="end"/>
      </w:r>
      <w:bookmarkEnd w:id="107"/>
    </w:p>
    <w:p w14:paraId="00851A30" w14:textId="77777777" w:rsidR="008E67EA" w:rsidRPr="00D4624B" w:rsidRDefault="008E67EA" w:rsidP="00D4624B">
      <w:pPr>
        <w:pStyle w:val="GazetteHeading1"/>
      </w:pPr>
      <w:bookmarkStart w:id="108" w:name="_Toc216282364"/>
      <w:r w:rsidRPr="00D4624B">
        <w:lastRenderedPageBreak/>
        <w:t>Attachment A: Anticoagulant rodenticide product registrations and label approvals under reconsideration that the APVMA is proposing to vary and then affirm pursuant to sections 34A(1) and 34(1) of the Agvet Code</w:t>
      </w:r>
      <w:bookmarkEnd w:id="108"/>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Caption w:val="example of license table"/>
      </w:tblPr>
      <w:tblGrid>
        <w:gridCol w:w="1248"/>
        <w:gridCol w:w="1155"/>
        <w:gridCol w:w="2553"/>
        <w:gridCol w:w="2409"/>
        <w:gridCol w:w="2263"/>
      </w:tblGrid>
      <w:tr w:rsidR="008E67EA" w14:paraId="4370185E" w14:textId="77777777" w:rsidTr="00B347E8">
        <w:trPr>
          <w:tblHeader/>
        </w:trPr>
        <w:tc>
          <w:tcPr>
            <w:tcW w:w="648" w:type="pct"/>
            <w:shd w:val="clear" w:color="auto" w:fill="D9D9D9" w:themeFill="background1" w:themeFillShade="D9"/>
          </w:tcPr>
          <w:p w14:paraId="0D4A58CA" w14:textId="77777777" w:rsidR="008E67EA" w:rsidRDefault="008E67EA" w:rsidP="00B44A74">
            <w:pPr>
              <w:pStyle w:val="GazetteTableHeading"/>
            </w:pPr>
            <w:bookmarkStart w:id="109" w:name="_Hlk213101797"/>
            <w:r>
              <w:t>Agricultural chemical</w:t>
            </w:r>
          </w:p>
        </w:tc>
        <w:tc>
          <w:tcPr>
            <w:tcW w:w="600" w:type="pct"/>
            <w:shd w:val="clear" w:color="auto" w:fill="D9D9D9" w:themeFill="background1" w:themeFillShade="D9"/>
          </w:tcPr>
          <w:p w14:paraId="783CFD72" w14:textId="77777777" w:rsidR="008E67EA" w:rsidRDefault="008E67EA" w:rsidP="00B44A74">
            <w:pPr>
              <w:pStyle w:val="GazetteTableHeading"/>
            </w:pPr>
            <w:r>
              <w:t>Registration number</w:t>
            </w:r>
          </w:p>
        </w:tc>
        <w:tc>
          <w:tcPr>
            <w:tcW w:w="1326" w:type="pct"/>
            <w:shd w:val="clear" w:color="auto" w:fill="D9D9D9" w:themeFill="background1" w:themeFillShade="D9"/>
          </w:tcPr>
          <w:p w14:paraId="56D3EF5E" w14:textId="77777777" w:rsidR="008E67EA" w:rsidRDefault="008E67EA" w:rsidP="00B44A74">
            <w:pPr>
              <w:pStyle w:val="GazetteTableHeading"/>
            </w:pPr>
            <w:r>
              <w:t>Product name</w:t>
            </w:r>
          </w:p>
        </w:tc>
        <w:tc>
          <w:tcPr>
            <w:tcW w:w="1251" w:type="pct"/>
            <w:shd w:val="clear" w:color="auto" w:fill="D9D9D9" w:themeFill="background1" w:themeFillShade="D9"/>
          </w:tcPr>
          <w:p w14:paraId="1B92CF6E" w14:textId="77777777" w:rsidR="008E67EA" w:rsidRDefault="008E67EA" w:rsidP="00B44A74">
            <w:pPr>
              <w:pStyle w:val="GazetteTableHeading"/>
            </w:pPr>
            <w:r>
              <w:t>Holder</w:t>
            </w:r>
          </w:p>
        </w:tc>
        <w:tc>
          <w:tcPr>
            <w:tcW w:w="1175" w:type="pct"/>
            <w:shd w:val="clear" w:color="auto" w:fill="D9D9D9" w:themeFill="background1" w:themeFillShade="D9"/>
          </w:tcPr>
          <w:p w14:paraId="6A2C601D" w14:textId="77777777" w:rsidR="008E67EA" w:rsidRDefault="008E67EA" w:rsidP="00B44A74">
            <w:pPr>
              <w:pStyle w:val="GazetteTableHeading"/>
            </w:pPr>
            <w:r w:rsidRPr="004642C3">
              <w:t>Label approval number(s) associated with the product</w:t>
            </w:r>
          </w:p>
        </w:tc>
      </w:tr>
      <w:tr w:rsidR="008E67EA" w14:paraId="1204F181" w14:textId="77777777" w:rsidTr="00B347E8">
        <w:tc>
          <w:tcPr>
            <w:tcW w:w="5000" w:type="pct"/>
            <w:gridSpan w:val="5"/>
          </w:tcPr>
          <w:p w14:paraId="3E63B434" w14:textId="77777777" w:rsidR="008E67EA" w:rsidRPr="00001A49" w:rsidRDefault="008E67EA" w:rsidP="00B44A74">
            <w:pPr>
              <w:pStyle w:val="GazetteTableText"/>
              <w:rPr>
                <w:i/>
                <w:iCs/>
              </w:rPr>
            </w:pPr>
            <w:r w:rsidRPr="00001A49">
              <w:rPr>
                <w:rFonts w:ascii="Franklin Gothic Medium" w:hAnsi="Franklin Gothic Medium"/>
                <w:i/>
                <w:iCs/>
                <w:sz w:val="18"/>
              </w:rPr>
              <w:t>First generation anticoagulant rodenticides</w:t>
            </w:r>
          </w:p>
        </w:tc>
      </w:tr>
      <w:tr w:rsidR="008E67EA" w14:paraId="076F22A1" w14:textId="77777777" w:rsidTr="00B347E8">
        <w:tc>
          <w:tcPr>
            <w:tcW w:w="648" w:type="pct"/>
          </w:tcPr>
          <w:p w14:paraId="62B1A7B2" w14:textId="77777777" w:rsidR="008E67EA" w:rsidRDefault="008E67EA" w:rsidP="00B44A74">
            <w:pPr>
              <w:pStyle w:val="GazetteTableText"/>
            </w:pPr>
            <w:r>
              <w:t>C</w:t>
            </w:r>
            <w:r w:rsidRPr="00001A49">
              <w:t>oumatetralyl</w:t>
            </w:r>
          </w:p>
        </w:tc>
        <w:tc>
          <w:tcPr>
            <w:tcW w:w="600" w:type="pct"/>
          </w:tcPr>
          <w:p w14:paraId="547B3C97" w14:textId="77777777" w:rsidR="008E67EA" w:rsidRDefault="008E67EA" w:rsidP="00B44A74">
            <w:pPr>
              <w:pStyle w:val="GazetteTableText"/>
            </w:pPr>
            <w:r w:rsidRPr="000F742E">
              <w:t>51508</w:t>
            </w:r>
          </w:p>
        </w:tc>
        <w:tc>
          <w:tcPr>
            <w:tcW w:w="1326" w:type="pct"/>
          </w:tcPr>
          <w:p w14:paraId="16D06066" w14:textId="77777777" w:rsidR="008E67EA" w:rsidRPr="00B75907" w:rsidRDefault="008E67EA" w:rsidP="00B44A74">
            <w:pPr>
              <w:pStyle w:val="GazetteTableText"/>
            </w:pPr>
            <w:r w:rsidRPr="000F742E">
              <w:t xml:space="preserve">Racumin Rat </w:t>
            </w:r>
            <w:r>
              <w:t>a</w:t>
            </w:r>
            <w:r w:rsidRPr="000F742E">
              <w:t>nd Mouse Paste</w:t>
            </w:r>
          </w:p>
        </w:tc>
        <w:tc>
          <w:tcPr>
            <w:tcW w:w="1251" w:type="pct"/>
          </w:tcPr>
          <w:p w14:paraId="530EDFFA" w14:textId="77777777" w:rsidR="008E67EA" w:rsidRDefault="008E67EA" w:rsidP="00B44A74">
            <w:pPr>
              <w:pStyle w:val="GazetteTableText"/>
            </w:pPr>
            <w:r w:rsidRPr="003976A9">
              <w:t>2022 Environmental Science Au Pty Ltd</w:t>
            </w:r>
          </w:p>
        </w:tc>
        <w:tc>
          <w:tcPr>
            <w:tcW w:w="1175" w:type="pct"/>
          </w:tcPr>
          <w:p w14:paraId="7CB35920" w14:textId="77777777" w:rsidR="008E67EA" w:rsidRDefault="008E67EA" w:rsidP="00B44A74">
            <w:pPr>
              <w:pStyle w:val="GazetteTableText"/>
            </w:pPr>
            <w:r>
              <w:t>51508/0300, 51508/0500, 51508/0704, 51508/1005</w:t>
            </w:r>
          </w:p>
        </w:tc>
      </w:tr>
      <w:tr w:rsidR="008E67EA" w14:paraId="00D5C3A4" w14:textId="77777777" w:rsidTr="00B347E8">
        <w:tc>
          <w:tcPr>
            <w:tcW w:w="648" w:type="pct"/>
          </w:tcPr>
          <w:p w14:paraId="4D9033A8" w14:textId="77777777" w:rsidR="008E67EA" w:rsidRDefault="008E67EA" w:rsidP="00B44A74">
            <w:pPr>
              <w:pStyle w:val="GazetteTableText"/>
            </w:pPr>
            <w:r>
              <w:t>C</w:t>
            </w:r>
            <w:r w:rsidRPr="00001A49">
              <w:t>oumatetralyl</w:t>
            </w:r>
          </w:p>
        </w:tc>
        <w:tc>
          <w:tcPr>
            <w:tcW w:w="600" w:type="pct"/>
          </w:tcPr>
          <w:p w14:paraId="301AA493" w14:textId="77777777" w:rsidR="008E67EA" w:rsidRDefault="008E67EA" w:rsidP="00B44A74">
            <w:pPr>
              <w:pStyle w:val="GazetteTableText"/>
            </w:pPr>
            <w:r w:rsidRPr="000F742E">
              <w:t>52098</w:t>
            </w:r>
          </w:p>
        </w:tc>
        <w:tc>
          <w:tcPr>
            <w:tcW w:w="1326" w:type="pct"/>
          </w:tcPr>
          <w:p w14:paraId="09286E80" w14:textId="77777777" w:rsidR="008E67EA" w:rsidRPr="00B75907" w:rsidRDefault="008E67EA" w:rsidP="00B44A74">
            <w:pPr>
              <w:pStyle w:val="GazetteTableText"/>
            </w:pPr>
            <w:r w:rsidRPr="000F742E">
              <w:t xml:space="preserve">Racumin Rat </w:t>
            </w:r>
            <w:r>
              <w:t>a</w:t>
            </w:r>
            <w:r w:rsidRPr="000F742E">
              <w:t>nd Mouse Blocks</w:t>
            </w:r>
          </w:p>
        </w:tc>
        <w:tc>
          <w:tcPr>
            <w:tcW w:w="1251" w:type="pct"/>
          </w:tcPr>
          <w:p w14:paraId="6F23E8D5" w14:textId="77777777" w:rsidR="008E67EA" w:rsidRDefault="008E67EA" w:rsidP="00B44A74">
            <w:pPr>
              <w:pStyle w:val="GazetteTableText"/>
            </w:pPr>
            <w:r w:rsidRPr="003976A9">
              <w:t>2022 Environmental Science Au Pty Ltd</w:t>
            </w:r>
          </w:p>
        </w:tc>
        <w:tc>
          <w:tcPr>
            <w:tcW w:w="1175" w:type="pct"/>
          </w:tcPr>
          <w:p w14:paraId="4FA82665" w14:textId="77777777" w:rsidR="008E67EA" w:rsidRDefault="008E67EA" w:rsidP="00B44A74">
            <w:pPr>
              <w:pStyle w:val="GazetteTableText"/>
            </w:pPr>
            <w:r w:rsidRPr="009F4C53">
              <w:t>52098/62430</w:t>
            </w:r>
            <w:r>
              <w:t xml:space="preserve">, </w:t>
            </w:r>
            <w:r w:rsidRPr="009F4C53">
              <w:t>52098/</w:t>
            </w:r>
            <w:r>
              <w:t>133310</w:t>
            </w:r>
          </w:p>
        </w:tc>
      </w:tr>
      <w:tr w:rsidR="008E67EA" w14:paraId="43DD6D42" w14:textId="77777777" w:rsidTr="00B347E8">
        <w:tc>
          <w:tcPr>
            <w:tcW w:w="648" w:type="pct"/>
          </w:tcPr>
          <w:p w14:paraId="23BF20FA" w14:textId="77777777" w:rsidR="008E67EA" w:rsidRDefault="008E67EA" w:rsidP="00B44A74">
            <w:pPr>
              <w:pStyle w:val="GazetteTableText"/>
            </w:pPr>
            <w:r>
              <w:t>C</w:t>
            </w:r>
            <w:r w:rsidRPr="00001A49">
              <w:t>oumatetralyl</w:t>
            </w:r>
          </w:p>
        </w:tc>
        <w:tc>
          <w:tcPr>
            <w:tcW w:w="600" w:type="pct"/>
          </w:tcPr>
          <w:p w14:paraId="7660EBB6" w14:textId="77777777" w:rsidR="008E67EA" w:rsidRDefault="008E67EA" w:rsidP="00B44A74">
            <w:pPr>
              <w:pStyle w:val="GazetteTableText"/>
            </w:pPr>
            <w:r w:rsidRPr="000F742E">
              <w:t>59284</w:t>
            </w:r>
          </w:p>
        </w:tc>
        <w:tc>
          <w:tcPr>
            <w:tcW w:w="1326" w:type="pct"/>
          </w:tcPr>
          <w:p w14:paraId="7F3FA91A" w14:textId="77777777" w:rsidR="008E67EA" w:rsidRPr="00B75907" w:rsidRDefault="008E67EA" w:rsidP="00B44A74">
            <w:pPr>
              <w:pStyle w:val="GazetteTableText"/>
            </w:pPr>
            <w:r w:rsidRPr="000F742E">
              <w:t>Bayer Racumin Rat &amp; Mouse Killer</w:t>
            </w:r>
          </w:p>
        </w:tc>
        <w:tc>
          <w:tcPr>
            <w:tcW w:w="1251" w:type="pct"/>
          </w:tcPr>
          <w:p w14:paraId="484735F8" w14:textId="77777777" w:rsidR="008E67EA" w:rsidRDefault="008E67EA" w:rsidP="00B44A74">
            <w:pPr>
              <w:pStyle w:val="GazetteTableText"/>
            </w:pPr>
            <w:r w:rsidRPr="003976A9">
              <w:t>Bayer Cropscience Pty Ltd</w:t>
            </w:r>
          </w:p>
        </w:tc>
        <w:tc>
          <w:tcPr>
            <w:tcW w:w="1175" w:type="pct"/>
          </w:tcPr>
          <w:p w14:paraId="6EEE37BE" w14:textId="77777777" w:rsidR="008E67EA" w:rsidRDefault="008E67EA" w:rsidP="00B44A74">
            <w:pPr>
              <w:pStyle w:val="GazetteTableText"/>
            </w:pPr>
            <w:r>
              <w:t>59284/0505, 59284/109277</w:t>
            </w:r>
          </w:p>
        </w:tc>
      </w:tr>
      <w:tr w:rsidR="008E67EA" w14:paraId="2F47395C" w14:textId="77777777" w:rsidTr="00B347E8">
        <w:tc>
          <w:tcPr>
            <w:tcW w:w="648" w:type="pct"/>
          </w:tcPr>
          <w:p w14:paraId="20B552EC" w14:textId="77777777" w:rsidR="008E67EA" w:rsidRDefault="008E67EA" w:rsidP="00B44A74">
            <w:pPr>
              <w:pStyle w:val="GazetteTableText"/>
            </w:pPr>
            <w:r>
              <w:t>C</w:t>
            </w:r>
            <w:r w:rsidRPr="00001A49">
              <w:t>oumatetralyl</w:t>
            </w:r>
          </w:p>
        </w:tc>
        <w:tc>
          <w:tcPr>
            <w:tcW w:w="600" w:type="pct"/>
          </w:tcPr>
          <w:p w14:paraId="673AE852" w14:textId="77777777" w:rsidR="008E67EA" w:rsidRDefault="008E67EA" w:rsidP="00B44A74">
            <w:pPr>
              <w:pStyle w:val="GazetteTableText"/>
            </w:pPr>
            <w:r w:rsidRPr="000F742E">
              <w:t>82217</w:t>
            </w:r>
          </w:p>
        </w:tc>
        <w:tc>
          <w:tcPr>
            <w:tcW w:w="1326" w:type="pct"/>
          </w:tcPr>
          <w:p w14:paraId="59EF81A8" w14:textId="77777777" w:rsidR="008E67EA" w:rsidRPr="00B75907" w:rsidRDefault="008E67EA" w:rsidP="00B44A74">
            <w:pPr>
              <w:pStyle w:val="GazetteTableText"/>
            </w:pPr>
            <w:r w:rsidRPr="000F742E">
              <w:t>Surefire Couma All Weather Blocks Rodenticide</w:t>
            </w:r>
          </w:p>
        </w:tc>
        <w:tc>
          <w:tcPr>
            <w:tcW w:w="1251" w:type="pct"/>
          </w:tcPr>
          <w:p w14:paraId="544DEB23" w14:textId="77777777" w:rsidR="008E67EA" w:rsidRDefault="008E67EA" w:rsidP="00B44A74">
            <w:pPr>
              <w:pStyle w:val="GazetteTableText"/>
            </w:pPr>
            <w:r w:rsidRPr="00EC5809">
              <w:t>P</w:t>
            </w:r>
            <w:r>
              <w:t>CT</w:t>
            </w:r>
            <w:r w:rsidRPr="00EC5809">
              <w:t xml:space="preserve"> Holdings Pty Ltd</w:t>
            </w:r>
          </w:p>
        </w:tc>
        <w:tc>
          <w:tcPr>
            <w:tcW w:w="1175" w:type="pct"/>
          </w:tcPr>
          <w:p w14:paraId="4C428723" w14:textId="77777777" w:rsidR="008E67EA" w:rsidRDefault="008E67EA" w:rsidP="00B44A74">
            <w:pPr>
              <w:pStyle w:val="GazetteTableText"/>
            </w:pPr>
            <w:r>
              <w:t>82217/105225</w:t>
            </w:r>
          </w:p>
        </w:tc>
      </w:tr>
      <w:tr w:rsidR="008E67EA" w14:paraId="20054E10" w14:textId="77777777" w:rsidTr="00B347E8">
        <w:tc>
          <w:tcPr>
            <w:tcW w:w="648" w:type="pct"/>
          </w:tcPr>
          <w:p w14:paraId="5A704A9F" w14:textId="77777777" w:rsidR="008E67EA" w:rsidRDefault="008E67EA" w:rsidP="00B44A74">
            <w:pPr>
              <w:pStyle w:val="GazetteTableText"/>
            </w:pPr>
            <w:r>
              <w:t>D</w:t>
            </w:r>
            <w:r w:rsidRPr="00001A49">
              <w:t>iphacinone</w:t>
            </w:r>
          </w:p>
        </w:tc>
        <w:tc>
          <w:tcPr>
            <w:tcW w:w="600" w:type="pct"/>
          </w:tcPr>
          <w:p w14:paraId="20EBAB8D" w14:textId="77777777" w:rsidR="008E67EA" w:rsidRPr="000F742E" w:rsidRDefault="008E67EA" w:rsidP="00B44A74">
            <w:pPr>
              <w:pStyle w:val="GazetteTableText"/>
            </w:pPr>
            <w:r w:rsidRPr="00631EEB">
              <w:t>89433</w:t>
            </w:r>
          </w:p>
        </w:tc>
        <w:tc>
          <w:tcPr>
            <w:tcW w:w="1326" w:type="pct"/>
          </w:tcPr>
          <w:p w14:paraId="0C210862" w14:textId="77777777" w:rsidR="008E67EA" w:rsidRPr="000F742E" w:rsidRDefault="008E67EA" w:rsidP="00B44A74">
            <w:pPr>
              <w:pStyle w:val="GazetteTableText"/>
            </w:pPr>
            <w:r w:rsidRPr="00631EEB">
              <w:t>RAMIK Bars Rodenticide</w:t>
            </w:r>
          </w:p>
        </w:tc>
        <w:tc>
          <w:tcPr>
            <w:tcW w:w="1251" w:type="pct"/>
          </w:tcPr>
          <w:p w14:paraId="6A4B4801" w14:textId="77777777" w:rsidR="008E67EA" w:rsidRDefault="008E67EA" w:rsidP="00B44A74">
            <w:pPr>
              <w:pStyle w:val="GazetteTableText"/>
            </w:pPr>
            <w:r w:rsidRPr="00042FE6">
              <w:t>Neogen Australasia Pty Limited</w:t>
            </w:r>
          </w:p>
        </w:tc>
        <w:tc>
          <w:tcPr>
            <w:tcW w:w="1175" w:type="pct"/>
          </w:tcPr>
          <w:p w14:paraId="6516353D" w14:textId="77777777" w:rsidR="008E67EA" w:rsidRDefault="008E67EA" w:rsidP="00B44A74">
            <w:pPr>
              <w:pStyle w:val="GazetteTableText"/>
            </w:pPr>
            <w:r>
              <w:t>89433/124858, 89433/135696</w:t>
            </w:r>
          </w:p>
        </w:tc>
      </w:tr>
      <w:tr w:rsidR="008E67EA" w14:paraId="6FBF27E5" w14:textId="77777777" w:rsidTr="00B347E8">
        <w:tc>
          <w:tcPr>
            <w:tcW w:w="5000" w:type="pct"/>
            <w:gridSpan w:val="5"/>
          </w:tcPr>
          <w:p w14:paraId="06907AAE" w14:textId="77777777" w:rsidR="008E67EA" w:rsidRDefault="008E67EA" w:rsidP="00B44A74">
            <w:pPr>
              <w:pStyle w:val="GazetteTableText"/>
            </w:pPr>
            <w:r>
              <w:rPr>
                <w:rFonts w:ascii="Franklin Gothic Medium" w:hAnsi="Franklin Gothic Medium"/>
                <w:i/>
                <w:iCs/>
                <w:sz w:val="18"/>
              </w:rPr>
              <w:t>Second</w:t>
            </w:r>
            <w:r w:rsidRPr="00001A49">
              <w:rPr>
                <w:rFonts w:ascii="Franklin Gothic Medium" w:hAnsi="Franklin Gothic Medium"/>
                <w:i/>
                <w:iCs/>
                <w:sz w:val="18"/>
              </w:rPr>
              <w:t xml:space="preserve"> generation anticoagulant rodenticides</w:t>
            </w:r>
          </w:p>
        </w:tc>
      </w:tr>
      <w:tr w:rsidR="008E67EA" w14:paraId="0D10A829" w14:textId="77777777" w:rsidTr="00B347E8">
        <w:tc>
          <w:tcPr>
            <w:tcW w:w="648" w:type="pct"/>
          </w:tcPr>
          <w:p w14:paraId="136A6F5C" w14:textId="77777777" w:rsidR="008E67EA" w:rsidRDefault="008E67EA" w:rsidP="00B44A74">
            <w:pPr>
              <w:pStyle w:val="GazetteTableText"/>
            </w:pPr>
            <w:r>
              <w:t>B</w:t>
            </w:r>
            <w:r w:rsidRPr="00001A49">
              <w:t>rodifacoum</w:t>
            </w:r>
          </w:p>
        </w:tc>
        <w:tc>
          <w:tcPr>
            <w:tcW w:w="600" w:type="pct"/>
          </w:tcPr>
          <w:p w14:paraId="753ED6F0" w14:textId="77777777" w:rsidR="008E67EA" w:rsidRDefault="008E67EA" w:rsidP="00B44A74">
            <w:pPr>
              <w:pStyle w:val="GazetteTableText"/>
            </w:pPr>
            <w:r w:rsidRPr="00674D09">
              <w:t>33896</w:t>
            </w:r>
          </w:p>
        </w:tc>
        <w:tc>
          <w:tcPr>
            <w:tcW w:w="1326" w:type="pct"/>
          </w:tcPr>
          <w:p w14:paraId="06C8B013" w14:textId="77777777" w:rsidR="008E67EA" w:rsidRPr="00B75907" w:rsidRDefault="008E67EA" w:rsidP="00B44A74">
            <w:pPr>
              <w:pStyle w:val="GazetteTableText"/>
            </w:pPr>
            <w:r w:rsidRPr="00674D09">
              <w:t>Talon Rat &amp; Mouse Killer Pellets</w:t>
            </w:r>
          </w:p>
        </w:tc>
        <w:tc>
          <w:tcPr>
            <w:tcW w:w="1251" w:type="pct"/>
          </w:tcPr>
          <w:p w14:paraId="5C17782E" w14:textId="77777777" w:rsidR="008E67EA" w:rsidRDefault="008E67EA" w:rsidP="00B44A74">
            <w:pPr>
              <w:pStyle w:val="GazetteTableText"/>
            </w:pPr>
            <w:r w:rsidRPr="00EC5809">
              <w:t>Syngenta Australia Pty Ltd</w:t>
            </w:r>
          </w:p>
        </w:tc>
        <w:tc>
          <w:tcPr>
            <w:tcW w:w="1175" w:type="pct"/>
          </w:tcPr>
          <w:p w14:paraId="0B6A6E28" w14:textId="77777777" w:rsidR="008E67EA" w:rsidRDefault="008E67EA" w:rsidP="00B44A74">
            <w:pPr>
              <w:pStyle w:val="GazetteTableText"/>
            </w:pPr>
            <w:r>
              <w:t>33896/0108, 33896/02, 33896/0302, 33896/0399, 33896/0500, 33896/0600, 33896/105633, 33896/1198, 33896/55730</w:t>
            </w:r>
          </w:p>
        </w:tc>
      </w:tr>
      <w:bookmarkEnd w:id="109"/>
      <w:tr w:rsidR="008E67EA" w14:paraId="522890C0" w14:textId="77777777" w:rsidTr="00B347E8">
        <w:tc>
          <w:tcPr>
            <w:tcW w:w="648" w:type="pct"/>
          </w:tcPr>
          <w:p w14:paraId="530FE624" w14:textId="77777777" w:rsidR="008E67EA" w:rsidRDefault="008E67EA" w:rsidP="00B44A74">
            <w:pPr>
              <w:pStyle w:val="GazetteTableText"/>
            </w:pPr>
            <w:r w:rsidRPr="009A4983">
              <w:t>Brodifacoum</w:t>
            </w:r>
          </w:p>
        </w:tc>
        <w:tc>
          <w:tcPr>
            <w:tcW w:w="600" w:type="pct"/>
          </w:tcPr>
          <w:p w14:paraId="23FCC43A" w14:textId="77777777" w:rsidR="008E67EA" w:rsidRDefault="008E67EA" w:rsidP="00B44A74">
            <w:pPr>
              <w:pStyle w:val="GazetteTableText"/>
            </w:pPr>
            <w:r w:rsidRPr="00674D09">
              <w:t>49867</w:t>
            </w:r>
          </w:p>
        </w:tc>
        <w:tc>
          <w:tcPr>
            <w:tcW w:w="1326" w:type="pct"/>
          </w:tcPr>
          <w:p w14:paraId="3300B40C" w14:textId="77777777" w:rsidR="008E67EA" w:rsidRPr="00B75907" w:rsidRDefault="008E67EA" w:rsidP="00B44A74">
            <w:pPr>
              <w:pStyle w:val="GazetteTableText"/>
            </w:pPr>
            <w:r w:rsidRPr="00674D09">
              <w:t>Ditrac All Weather Blox Rodenticide</w:t>
            </w:r>
          </w:p>
        </w:tc>
        <w:tc>
          <w:tcPr>
            <w:tcW w:w="1251" w:type="pct"/>
          </w:tcPr>
          <w:p w14:paraId="3D07F512" w14:textId="77777777" w:rsidR="008E67EA" w:rsidRDefault="008E67EA" w:rsidP="00B44A74">
            <w:pPr>
              <w:pStyle w:val="GazetteTableText"/>
            </w:pPr>
            <w:r w:rsidRPr="00EC5809">
              <w:t>Bell Laboratories, Inc.</w:t>
            </w:r>
          </w:p>
        </w:tc>
        <w:tc>
          <w:tcPr>
            <w:tcW w:w="1175" w:type="pct"/>
          </w:tcPr>
          <w:p w14:paraId="75517CAB" w14:textId="77777777" w:rsidR="008E67EA" w:rsidRDefault="008E67EA" w:rsidP="00B44A74">
            <w:pPr>
              <w:pStyle w:val="GazetteTableText"/>
            </w:pPr>
            <w:r>
              <w:t>49867/0207, 49867/0997, 49867/113105, 49867/125129, 49867/139752</w:t>
            </w:r>
          </w:p>
        </w:tc>
      </w:tr>
      <w:tr w:rsidR="008E67EA" w14:paraId="4A18F6D3" w14:textId="77777777" w:rsidTr="00B347E8">
        <w:tc>
          <w:tcPr>
            <w:tcW w:w="648" w:type="pct"/>
          </w:tcPr>
          <w:p w14:paraId="7945ED7D" w14:textId="77777777" w:rsidR="008E67EA" w:rsidRDefault="008E67EA" w:rsidP="00B44A74">
            <w:pPr>
              <w:pStyle w:val="GazetteTableText"/>
            </w:pPr>
            <w:r w:rsidRPr="009A4983">
              <w:t>Brodifacoum</w:t>
            </w:r>
          </w:p>
        </w:tc>
        <w:tc>
          <w:tcPr>
            <w:tcW w:w="600" w:type="pct"/>
          </w:tcPr>
          <w:p w14:paraId="0AB4C927" w14:textId="77777777" w:rsidR="008E67EA" w:rsidRDefault="008E67EA" w:rsidP="00B44A74">
            <w:pPr>
              <w:pStyle w:val="GazetteTableText"/>
            </w:pPr>
            <w:r w:rsidRPr="00674D09">
              <w:t>49868</w:t>
            </w:r>
          </w:p>
        </w:tc>
        <w:tc>
          <w:tcPr>
            <w:tcW w:w="1326" w:type="pct"/>
          </w:tcPr>
          <w:p w14:paraId="549590A5" w14:textId="77777777" w:rsidR="008E67EA" w:rsidRPr="00B75907" w:rsidRDefault="008E67EA" w:rsidP="00B44A74">
            <w:pPr>
              <w:pStyle w:val="GazetteTableText"/>
            </w:pPr>
            <w:r w:rsidRPr="00674D09">
              <w:t>Ditrac Rodenticide</w:t>
            </w:r>
          </w:p>
        </w:tc>
        <w:tc>
          <w:tcPr>
            <w:tcW w:w="1251" w:type="pct"/>
          </w:tcPr>
          <w:p w14:paraId="08DADB9E" w14:textId="77777777" w:rsidR="008E67EA" w:rsidRDefault="008E67EA" w:rsidP="00B44A74">
            <w:pPr>
              <w:pStyle w:val="GazetteTableText"/>
            </w:pPr>
            <w:r w:rsidRPr="00EC5809">
              <w:t>Bell Laboratories, Inc.</w:t>
            </w:r>
          </w:p>
        </w:tc>
        <w:tc>
          <w:tcPr>
            <w:tcW w:w="1175" w:type="pct"/>
          </w:tcPr>
          <w:p w14:paraId="4F27EF6D" w14:textId="77777777" w:rsidR="008E67EA" w:rsidRDefault="008E67EA" w:rsidP="00B44A74">
            <w:pPr>
              <w:pStyle w:val="GazetteTableText"/>
            </w:pPr>
            <w:r w:rsidRPr="00FB4244">
              <w:t>49868</w:t>
            </w:r>
            <w:r>
              <w:t>/</w:t>
            </w:r>
            <w:r w:rsidRPr="00FB4244">
              <w:t>0108, 49868</w:t>
            </w:r>
            <w:r>
              <w:t>/</w:t>
            </w:r>
            <w:r w:rsidRPr="00FB4244">
              <w:t>0997, 49868</w:t>
            </w:r>
            <w:r>
              <w:t>/</w:t>
            </w:r>
            <w:r w:rsidRPr="00FB4244">
              <w:t>113073</w:t>
            </w:r>
          </w:p>
        </w:tc>
      </w:tr>
      <w:tr w:rsidR="008E67EA" w14:paraId="38DEED3E" w14:textId="77777777" w:rsidTr="00B347E8">
        <w:tc>
          <w:tcPr>
            <w:tcW w:w="648" w:type="pct"/>
          </w:tcPr>
          <w:p w14:paraId="3AC1C868" w14:textId="77777777" w:rsidR="008E67EA" w:rsidRDefault="008E67EA" w:rsidP="00B44A74">
            <w:pPr>
              <w:pStyle w:val="GazetteTableText"/>
            </w:pPr>
            <w:r w:rsidRPr="009A4983">
              <w:t>Brodifacoum</w:t>
            </w:r>
          </w:p>
        </w:tc>
        <w:tc>
          <w:tcPr>
            <w:tcW w:w="600" w:type="pct"/>
          </w:tcPr>
          <w:p w14:paraId="373209C2" w14:textId="77777777" w:rsidR="008E67EA" w:rsidRDefault="008E67EA" w:rsidP="00B44A74">
            <w:pPr>
              <w:pStyle w:val="GazetteTableText"/>
            </w:pPr>
            <w:r w:rsidRPr="00674D09">
              <w:t>50697</w:t>
            </w:r>
          </w:p>
        </w:tc>
        <w:tc>
          <w:tcPr>
            <w:tcW w:w="1326" w:type="pct"/>
          </w:tcPr>
          <w:p w14:paraId="15AD385D" w14:textId="77777777" w:rsidR="008E67EA" w:rsidRPr="00B75907" w:rsidRDefault="008E67EA" w:rsidP="00B44A74">
            <w:pPr>
              <w:pStyle w:val="GazetteTableText"/>
            </w:pPr>
            <w:r w:rsidRPr="00674D09">
              <w:t>Tomcat I</w:t>
            </w:r>
            <w:r>
              <w:t>I</w:t>
            </w:r>
            <w:r w:rsidRPr="00674D09">
              <w:t xml:space="preserve"> All Weather Blox Rodenticide</w:t>
            </w:r>
          </w:p>
        </w:tc>
        <w:tc>
          <w:tcPr>
            <w:tcW w:w="1251" w:type="pct"/>
          </w:tcPr>
          <w:p w14:paraId="3157F5F1" w14:textId="77777777" w:rsidR="008E67EA" w:rsidRDefault="008E67EA" w:rsidP="00B44A74">
            <w:pPr>
              <w:pStyle w:val="GazetteTableText"/>
            </w:pPr>
            <w:r w:rsidRPr="00EC5809">
              <w:t>Bell Laboratories, Inc.</w:t>
            </w:r>
          </w:p>
        </w:tc>
        <w:tc>
          <w:tcPr>
            <w:tcW w:w="1175" w:type="pct"/>
          </w:tcPr>
          <w:p w14:paraId="1682F432" w14:textId="77777777" w:rsidR="008E67EA" w:rsidRDefault="008E67EA" w:rsidP="00B44A74">
            <w:pPr>
              <w:pStyle w:val="GazetteTableText"/>
            </w:pPr>
            <w:r>
              <w:t>50697/0207, 50697/0898, 50697/1102, 50697/125125, 50697/142757</w:t>
            </w:r>
          </w:p>
        </w:tc>
      </w:tr>
      <w:tr w:rsidR="008E67EA" w14:paraId="67E795EA" w14:textId="77777777" w:rsidTr="00B347E8">
        <w:tc>
          <w:tcPr>
            <w:tcW w:w="648" w:type="pct"/>
          </w:tcPr>
          <w:p w14:paraId="5B403D83" w14:textId="77777777" w:rsidR="008E67EA" w:rsidRDefault="008E67EA" w:rsidP="00B44A74">
            <w:pPr>
              <w:pStyle w:val="GazetteTableText"/>
            </w:pPr>
            <w:r w:rsidRPr="009A4983">
              <w:t>Brodifacoum</w:t>
            </w:r>
          </w:p>
        </w:tc>
        <w:tc>
          <w:tcPr>
            <w:tcW w:w="600" w:type="pct"/>
          </w:tcPr>
          <w:p w14:paraId="4A84AA33" w14:textId="77777777" w:rsidR="008E67EA" w:rsidRDefault="008E67EA" w:rsidP="00B44A74">
            <w:pPr>
              <w:pStyle w:val="GazetteTableText"/>
            </w:pPr>
            <w:r w:rsidRPr="00674D09">
              <w:t>51181</w:t>
            </w:r>
          </w:p>
        </w:tc>
        <w:tc>
          <w:tcPr>
            <w:tcW w:w="1326" w:type="pct"/>
          </w:tcPr>
          <w:p w14:paraId="5E8237AC" w14:textId="77777777" w:rsidR="008E67EA" w:rsidRPr="00B75907" w:rsidRDefault="008E67EA" w:rsidP="00B44A74">
            <w:pPr>
              <w:pStyle w:val="GazetteTableText"/>
            </w:pPr>
            <w:r w:rsidRPr="00674D09">
              <w:t>Pestmaster Mouse &amp; Rat Bait</w:t>
            </w:r>
          </w:p>
        </w:tc>
        <w:tc>
          <w:tcPr>
            <w:tcW w:w="1251" w:type="pct"/>
          </w:tcPr>
          <w:p w14:paraId="449EB6D2" w14:textId="77777777" w:rsidR="008E67EA" w:rsidRDefault="008E67EA" w:rsidP="00B44A74">
            <w:pPr>
              <w:pStyle w:val="GazetteTableText"/>
            </w:pPr>
            <w:r w:rsidRPr="00EC5809">
              <w:t>Triox Pty. Ltd.</w:t>
            </w:r>
          </w:p>
        </w:tc>
        <w:tc>
          <w:tcPr>
            <w:tcW w:w="1175" w:type="pct"/>
          </w:tcPr>
          <w:p w14:paraId="17D8815D" w14:textId="77777777" w:rsidR="008E67EA" w:rsidRDefault="008E67EA" w:rsidP="00B44A74">
            <w:pPr>
              <w:pStyle w:val="GazetteTableText"/>
            </w:pPr>
            <w:r>
              <w:t>51181/0301, 51181/0699, 51181/0999, 51181/1098</w:t>
            </w:r>
          </w:p>
        </w:tc>
      </w:tr>
      <w:tr w:rsidR="008E67EA" w14:paraId="62E0EB6D" w14:textId="77777777" w:rsidTr="00B347E8">
        <w:tc>
          <w:tcPr>
            <w:tcW w:w="648" w:type="pct"/>
          </w:tcPr>
          <w:p w14:paraId="3A6F16A3" w14:textId="77777777" w:rsidR="008E67EA" w:rsidRDefault="008E67EA" w:rsidP="00B44A74">
            <w:pPr>
              <w:pStyle w:val="GazetteTableText"/>
            </w:pPr>
            <w:r w:rsidRPr="009A4983">
              <w:t>Brodifacoum</w:t>
            </w:r>
          </w:p>
        </w:tc>
        <w:tc>
          <w:tcPr>
            <w:tcW w:w="600" w:type="pct"/>
          </w:tcPr>
          <w:p w14:paraId="52C442E1" w14:textId="77777777" w:rsidR="008E67EA" w:rsidRDefault="008E67EA" w:rsidP="00B44A74">
            <w:pPr>
              <w:pStyle w:val="GazetteTableText"/>
            </w:pPr>
            <w:r w:rsidRPr="00674D09">
              <w:t>51280</w:t>
            </w:r>
          </w:p>
        </w:tc>
        <w:tc>
          <w:tcPr>
            <w:tcW w:w="1326" w:type="pct"/>
          </w:tcPr>
          <w:p w14:paraId="4E469F82" w14:textId="77777777" w:rsidR="008E67EA" w:rsidRPr="00B75907" w:rsidRDefault="008E67EA" w:rsidP="00B44A74">
            <w:pPr>
              <w:pStyle w:val="GazetteTableText"/>
            </w:pPr>
            <w:r w:rsidRPr="00674D09">
              <w:t>Tomcat I</w:t>
            </w:r>
            <w:r>
              <w:t>I</w:t>
            </w:r>
            <w:r w:rsidRPr="00674D09">
              <w:t xml:space="preserve"> Rodenticide</w:t>
            </w:r>
          </w:p>
        </w:tc>
        <w:tc>
          <w:tcPr>
            <w:tcW w:w="1251" w:type="pct"/>
          </w:tcPr>
          <w:p w14:paraId="06621C0A" w14:textId="77777777" w:rsidR="008E67EA" w:rsidRDefault="008E67EA" w:rsidP="00B44A74">
            <w:pPr>
              <w:pStyle w:val="GazetteTableText"/>
            </w:pPr>
            <w:r w:rsidRPr="00EC5809">
              <w:t>Bell Laboratories, Inc.</w:t>
            </w:r>
          </w:p>
        </w:tc>
        <w:tc>
          <w:tcPr>
            <w:tcW w:w="1175" w:type="pct"/>
          </w:tcPr>
          <w:p w14:paraId="7CDA6EFD" w14:textId="77777777" w:rsidR="008E67EA" w:rsidRDefault="008E67EA" w:rsidP="00B44A74">
            <w:pPr>
              <w:pStyle w:val="GazetteTableText"/>
            </w:pPr>
            <w:r w:rsidRPr="00F47832">
              <w:t>51280/0407, 51280/0499, 51280/1006</w:t>
            </w:r>
          </w:p>
        </w:tc>
      </w:tr>
      <w:tr w:rsidR="008E67EA" w14:paraId="3EFB5837" w14:textId="77777777" w:rsidTr="00B347E8">
        <w:tc>
          <w:tcPr>
            <w:tcW w:w="648" w:type="pct"/>
          </w:tcPr>
          <w:p w14:paraId="69B496D4" w14:textId="77777777" w:rsidR="008E67EA" w:rsidRDefault="008E67EA" w:rsidP="00B44A74">
            <w:pPr>
              <w:pStyle w:val="GazetteTableText"/>
            </w:pPr>
            <w:r w:rsidRPr="009A4983">
              <w:t>Brodifacoum</w:t>
            </w:r>
          </w:p>
        </w:tc>
        <w:tc>
          <w:tcPr>
            <w:tcW w:w="600" w:type="pct"/>
          </w:tcPr>
          <w:p w14:paraId="500B21E0" w14:textId="77777777" w:rsidR="008E67EA" w:rsidRDefault="008E67EA" w:rsidP="00B44A74">
            <w:pPr>
              <w:pStyle w:val="GazetteTableText"/>
            </w:pPr>
            <w:r w:rsidRPr="00674D09">
              <w:t>52675</w:t>
            </w:r>
          </w:p>
        </w:tc>
        <w:tc>
          <w:tcPr>
            <w:tcW w:w="1326" w:type="pct"/>
          </w:tcPr>
          <w:p w14:paraId="561F6691" w14:textId="77777777" w:rsidR="008E67EA" w:rsidRPr="00B75907" w:rsidRDefault="008E67EA" w:rsidP="00B44A74">
            <w:pPr>
              <w:pStyle w:val="GazetteTableText"/>
            </w:pPr>
            <w:r w:rsidRPr="00674D09">
              <w:t>Talon Rat &amp; Mouse Killer All Weather Wax Blocks</w:t>
            </w:r>
          </w:p>
        </w:tc>
        <w:tc>
          <w:tcPr>
            <w:tcW w:w="1251" w:type="pct"/>
          </w:tcPr>
          <w:p w14:paraId="0DAE9A80" w14:textId="77777777" w:rsidR="008E67EA" w:rsidRDefault="008E67EA" w:rsidP="00B44A74">
            <w:pPr>
              <w:pStyle w:val="GazetteTableText"/>
            </w:pPr>
            <w:r w:rsidRPr="00EC5809">
              <w:t>Syngenta Australia Pty Ltd</w:t>
            </w:r>
          </w:p>
        </w:tc>
        <w:tc>
          <w:tcPr>
            <w:tcW w:w="1175" w:type="pct"/>
          </w:tcPr>
          <w:p w14:paraId="7E69E176" w14:textId="77777777" w:rsidR="008E67EA" w:rsidRDefault="008E67EA" w:rsidP="00B44A74">
            <w:pPr>
              <w:pStyle w:val="GazetteTableText"/>
            </w:pPr>
            <w:r w:rsidRPr="00F47832">
              <w:t>52675/0109, 52675/0202, 52675/0500, 52675/0510, 52675/105632, 52675/142858</w:t>
            </w:r>
          </w:p>
        </w:tc>
      </w:tr>
      <w:tr w:rsidR="008E67EA" w14:paraId="3FDAD2E3" w14:textId="77777777" w:rsidTr="00B347E8">
        <w:tc>
          <w:tcPr>
            <w:tcW w:w="648" w:type="pct"/>
          </w:tcPr>
          <w:p w14:paraId="4B7402A2" w14:textId="77777777" w:rsidR="008E67EA" w:rsidRDefault="008E67EA" w:rsidP="00B44A74">
            <w:pPr>
              <w:pStyle w:val="GazetteTableText"/>
            </w:pPr>
            <w:r w:rsidRPr="009A4983">
              <w:t>Brodifacoum</w:t>
            </w:r>
          </w:p>
        </w:tc>
        <w:tc>
          <w:tcPr>
            <w:tcW w:w="600" w:type="pct"/>
          </w:tcPr>
          <w:p w14:paraId="3C95D3B9" w14:textId="77777777" w:rsidR="008E67EA" w:rsidRDefault="008E67EA" w:rsidP="00B44A74">
            <w:pPr>
              <w:pStyle w:val="GazetteTableText"/>
            </w:pPr>
            <w:r w:rsidRPr="00674D09">
              <w:t>54836</w:t>
            </w:r>
          </w:p>
        </w:tc>
        <w:tc>
          <w:tcPr>
            <w:tcW w:w="1326" w:type="pct"/>
          </w:tcPr>
          <w:p w14:paraId="5AE83600" w14:textId="77777777" w:rsidR="008E67EA" w:rsidRPr="00B75907" w:rsidRDefault="008E67EA" w:rsidP="00B44A74">
            <w:pPr>
              <w:pStyle w:val="GazetteTableText"/>
            </w:pPr>
            <w:r w:rsidRPr="00674D09">
              <w:t>Fast Action Ratsak Bait Station Kills Rats and Mice</w:t>
            </w:r>
          </w:p>
        </w:tc>
        <w:tc>
          <w:tcPr>
            <w:tcW w:w="1251" w:type="pct"/>
          </w:tcPr>
          <w:p w14:paraId="196C7704" w14:textId="77777777" w:rsidR="008E67EA" w:rsidRDefault="008E67EA" w:rsidP="00B44A74">
            <w:pPr>
              <w:pStyle w:val="GazetteTableText"/>
            </w:pPr>
            <w:r w:rsidRPr="00EC5809">
              <w:t>Duluxgroup (Australia) Pty Ltd</w:t>
            </w:r>
          </w:p>
        </w:tc>
        <w:tc>
          <w:tcPr>
            <w:tcW w:w="1175" w:type="pct"/>
          </w:tcPr>
          <w:p w14:paraId="711EA632" w14:textId="77777777" w:rsidR="008E67EA" w:rsidRDefault="008E67EA" w:rsidP="00B44A74">
            <w:pPr>
              <w:pStyle w:val="GazetteTableText"/>
            </w:pPr>
            <w:r w:rsidRPr="000670EB">
              <w:t>54836/1101, 54836/0207, 54836/0309, 54836/108614</w:t>
            </w:r>
          </w:p>
        </w:tc>
      </w:tr>
      <w:tr w:rsidR="008E67EA" w14:paraId="27ED30AD" w14:textId="77777777" w:rsidTr="00B347E8">
        <w:tc>
          <w:tcPr>
            <w:tcW w:w="648" w:type="pct"/>
          </w:tcPr>
          <w:p w14:paraId="48D918B8" w14:textId="77777777" w:rsidR="008E67EA" w:rsidRDefault="008E67EA" w:rsidP="00B44A74">
            <w:pPr>
              <w:pStyle w:val="GazetteTableText"/>
            </w:pPr>
            <w:r w:rsidRPr="009A4983">
              <w:t>Brodifacoum</w:t>
            </w:r>
          </w:p>
        </w:tc>
        <w:tc>
          <w:tcPr>
            <w:tcW w:w="600" w:type="pct"/>
          </w:tcPr>
          <w:p w14:paraId="4B9624E8" w14:textId="77777777" w:rsidR="008E67EA" w:rsidRDefault="008E67EA" w:rsidP="00B44A74">
            <w:pPr>
              <w:pStyle w:val="GazetteTableText"/>
            </w:pPr>
            <w:r w:rsidRPr="00674D09">
              <w:t>54839</w:t>
            </w:r>
          </w:p>
        </w:tc>
        <w:tc>
          <w:tcPr>
            <w:tcW w:w="1326" w:type="pct"/>
          </w:tcPr>
          <w:p w14:paraId="5A12BEDB" w14:textId="77777777" w:rsidR="008E67EA" w:rsidRPr="00B75907" w:rsidRDefault="008E67EA" w:rsidP="00B44A74">
            <w:pPr>
              <w:pStyle w:val="GazetteTableText"/>
            </w:pPr>
            <w:r w:rsidRPr="00674D09">
              <w:t>Rentokil Brodifacoum Paste</w:t>
            </w:r>
          </w:p>
        </w:tc>
        <w:tc>
          <w:tcPr>
            <w:tcW w:w="1251" w:type="pct"/>
          </w:tcPr>
          <w:p w14:paraId="1C30CAF3" w14:textId="77777777" w:rsidR="008E67EA" w:rsidRDefault="008E67EA" w:rsidP="00B44A74">
            <w:pPr>
              <w:pStyle w:val="GazetteTableText"/>
            </w:pPr>
            <w:r w:rsidRPr="00EC5809">
              <w:t>Rentokil Initial Pty Ltd</w:t>
            </w:r>
          </w:p>
        </w:tc>
        <w:tc>
          <w:tcPr>
            <w:tcW w:w="1175" w:type="pct"/>
          </w:tcPr>
          <w:p w14:paraId="16E69BA1" w14:textId="77777777" w:rsidR="008E67EA" w:rsidRDefault="008E67EA" w:rsidP="00B44A74">
            <w:pPr>
              <w:pStyle w:val="GazetteTableText"/>
            </w:pPr>
            <w:r w:rsidRPr="000670EB">
              <w:t>54839/0205</w:t>
            </w:r>
          </w:p>
        </w:tc>
      </w:tr>
      <w:tr w:rsidR="008E67EA" w14:paraId="26D2E886" w14:textId="77777777" w:rsidTr="00B347E8">
        <w:tc>
          <w:tcPr>
            <w:tcW w:w="648" w:type="pct"/>
          </w:tcPr>
          <w:p w14:paraId="517137BC" w14:textId="77777777" w:rsidR="008E67EA" w:rsidRDefault="008E67EA" w:rsidP="00B44A74">
            <w:pPr>
              <w:pStyle w:val="GazetteTableText"/>
            </w:pPr>
            <w:r w:rsidRPr="009A4983">
              <w:t>Brodifacoum</w:t>
            </w:r>
          </w:p>
        </w:tc>
        <w:tc>
          <w:tcPr>
            <w:tcW w:w="600" w:type="pct"/>
          </w:tcPr>
          <w:p w14:paraId="7F740DCC" w14:textId="77777777" w:rsidR="008E67EA" w:rsidRDefault="008E67EA" w:rsidP="00B44A74">
            <w:pPr>
              <w:pStyle w:val="GazetteTableText"/>
            </w:pPr>
            <w:r w:rsidRPr="00674D09">
              <w:t>56632</w:t>
            </w:r>
          </w:p>
        </w:tc>
        <w:tc>
          <w:tcPr>
            <w:tcW w:w="1326" w:type="pct"/>
          </w:tcPr>
          <w:p w14:paraId="22423788" w14:textId="77777777" w:rsidR="008E67EA" w:rsidRPr="00B75907" w:rsidRDefault="008E67EA" w:rsidP="00B44A74">
            <w:pPr>
              <w:pStyle w:val="GazetteTableText"/>
            </w:pPr>
            <w:r w:rsidRPr="00674D09">
              <w:t>Fast Action Ratsak Throwpacks Kills Rats &amp; Mice</w:t>
            </w:r>
          </w:p>
        </w:tc>
        <w:tc>
          <w:tcPr>
            <w:tcW w:w="1251" w:type="pct"/>
          </w:tcPr>
          <w:p w14:paraId="61592FF3" w14:textId="77777777" w:rsidR="008E67EA" w:rsidRDefault="008E67EA" w:rsidP="00B44A74">
            <w:pPr>
              <w:pStyle w:val="GazetteTableText"/>
            </w:pPr>
            <w:r w:rsidRPr="00EC5809">
              <w:t>Duluxgroup (Australia) Pty Ltd</w:t>
            </w:r>
          </w:p>
        </w:tc>
        <w:tc>
          <w:tcPr>
            <w:tcW w:w="1175" w:type="pct"/>
          </w:tcPr>
          <w:p w14:paraId="35916B6C" w14:textId="77777777" w:rsidR="008E67EA" w:rsidRDefault="008E67EA" w:rsidP="00B44A74">
            <w:pPr>
              <w:pStyle w:val="GazetteTableText"/>
            </w:pPr>
            <w:r w:rsidRPr="000670EB">
              <w:t>56632/0309, 56632/1102, 56632/51139, 56632/62792, 56632/149304</w:t>
            </w:r>
          </w:p>
        </w:tc>
      </w:tr>
      <w:tr w:rsidR="008E67EA" w14:paraId="6B56A307" w14:textId="77777777" w:rsidTr="00B347E8">
        <w:tc>
          <w:tcPr>
            <w:tcW w:w="648" w:type="pct"/>
          </w:tcPr>
          <w:p w14:paraId="042F31CD" w14:textId="77777777" w:rsidR="008E67EA" w:rsidRDefault="008E67EA" w:rsidP="00B44A74">
            <w:pPr>
              <w:pStyle w:val="GazetteTableText"/>
            </w:pPr>
            <w:r w:rsidRPr="009A4983">
              <w:t>Brodifacoum</w:t>
            </w:r>
          </w:p>
        </w:tc>
        <w:tc>
          <w:tcPr>
            <w:tcW w:w="600" w:type="pct"/>
          </w:tcPr>
          <w:p w14:paraId="21964623" w14:textId="77777777" w:rsidR="008E67EA" w:rsidRDefault="008E67EA" w:rsidP="00B44A74">
            <w:pPr>
              <w:pStyle w:val="GazetteTableText"/>
            </w:pPr>
            <w:r w:rsidRPr="00674D09">
              <w:t>58301</w:t>
            </w:r>
          </w:p>
        </w:tc>
        <w:tc>
          <w:tcPr>
            <w:tcW w:w="1326" w:type="pct"/>
          </w:tcPr>
          <w:p w14:paraId="1D0D7D31" w14:textId="77777777" w:rsidR="008E67EA" w:rsidRPr="00B75907" w:rsidRDefault="008E67EA" w:rsidP="00B44A74">
            <w:pPr>
              <w:pStyle w:val="GazetteTableText"/>
            </w:pPr>
            <w:r w:rsidRPr="00674D09">
              <w:t>Talon Rat &amp; Mouse Killer Ezy Throw Pellets</w:t>
            </w:r>
          </w:p>
        </w:tc>
        <w:tc>
          <w:tcPr>
            <w:tcW w:w="1251" w:type="pct"/>
          </w:tcPr>
          <w:p w14:paraId="2988776D" w14:textId="77777777" w:rsidR="008E67EA" w:rsidRDefault="008E67EA" w:rsidP="00B44A74">
            <w:pPr>
              <w:pStyle w:val="GazetteTableText"/>
            </w:pPr>
            <w:r w:rsidRPr="00EC5809">
              <w:t>Syngenta Australia Pty Ltd</w:t>
            </w:r>
          </w:p>
        </w:tc>
        <w:tc>
          <w:tcPr>
            <w:tcW w:w="1175" w:type="pct"/>
          </w:tcPr>
          <w:p w14:paraId="735A5408" w14:textId="77777777" w:rsidR="008E67EA" w:rsidRDefault="008E67EA" w:rsidP="00B44A74">
            <w:pPr>
              <w:pStyle w:val="GazetteTableText"/>
            </w:pPr>
            <w:r w:rsidRPr="009C70E4">
              <w:t>58301/0204, 58301/1004, 58301/105634, 58301/59466</w:t>
            </w:r>
          </w:p>
        </w:tc>
      </w:tr>
      <w:tr w:rsidR="008E67EA" w14:paraId="0637EB11" w14:textId="77777777" w:rsidTr="00B347E8">
        <w:tc>
          <w:tcPr>
            <w:tcW w:w="648" w:type="pct"/>
          </w:tcPr>
          <w:p w14:paraId="75B92193" w14:textId="77777777" w:rsidR="008E67EA" w:rsidRDefault="008E67EA" w:rsidP="00B44A74">
            <w:pPr>
              <w:pStyle w:val="GazetteTableText"/>
            </w:pPr>
            <w:r w:rsidRPr="009A4983">
              <w:t>Brodifacoum</w:t>
            </w:r>
          </w:p>
        </w:tc>
        <w:tc>
          <w:tcPr>
            <w:tcW w:w="600" w:type="pct"/>
          </w:tcPr>
          <w:p w14:paraId="5A4A031B" w14:textId="77777777" w:rsidR="008E67EA" w:rsidRDefault="008E67EA" w:rsidP="00B44A74">
            <w:pPr>
              <w:pStyle w:val="GazetteTableText"/>
            </w:pPr>
            <w:r w:rsidRPr="00674D09">
              <w:t>58338</w:t>
            </w:r>
          </w:p>
        </w:tc>
        <w:tc>
          <w:tcPr>
            <w:tcW w:w="1326" w:type="pct"/>
          </w:tcPr>
          <w:p w14:paraId="646602A4" w14:textId="77777777" w:rsidR="008E67EA" w:rsidRPr="00B75907" w:rsidRDefault="008E67EA" w:rsidP="00B44A74">
            <w:pPr>
              <w:pStyle w:val="GazetteTableText"/>
            </w:pPr>
            <w:r w:rsidRPr="00674D09">
              <w:t>Talon Rat &amp; Mouse Killer Pellet Trays</w:t>
            </w:r>
          </w:p>
        </w:tc>
        <w:tc>
          <w:tcPr>
            <w:tcW w:w="1251" w:type="pct"/>
          </w:tcPr>
          <w:p w14:paraId="388033A2" w14:textId="77777777" w:rsidR="008E67EA" w:rsidRDefault="008E67EA" w:rsidP="00B44A74">
            <w:pPr>
              <w:pStyle w:val="GazetteTableText"/>
            </w:pPr>
            <w:r w:rsidRPr="00EC5809">
              <w:t>Syngenta Australia Pty Ltd</w:t>
            </w:r>
          </w:p>
        </w:tc>
        <w:tc>
          <w:tcPr>
            <w:tcW w:w="1175" w:type="pct"/>
          </w:tcPr>
          <w:p w14:paraId="29499077" w14:textId="77777777" w:rsidR="008E67EA" w:rsidRDefault="008E67EA" w:rsidP="00B44A74">
            <w:pPr>
              <w:pStyle w:val="GazetteTableText"/>
            </w:pPr>
            <w:r w:rsidRPr="009C70E4">
              <w:t>58338/0204, 58338/1007, 58338/105637</w:t>
            </w:r>
          </w:p>
        </w:tc>
      </w:tr>
      <w:tr w:rsidR="008E67EA" w14:paraId="443F27D7" w14:textId="77777777" w:rsidTr="00B347E8">
        <w:tc>
          <w:tcPr>
            <w:tcW w:w="648" w:type="pct"/>
          </w:tcPr>
          <w:p w14:paraId="2A41A9BE" w14:textId="77777777" w:rsidR="008E67EA" w:rsidRDefault="008E67EA" w:rsidP="00B44A74">
            <w:pPr>
              <w:pStyle w:val="GazetteTableText"/>
            </w:pPr>
            <w:r w:rsidRPr="009A4983">
              <w:t>Brodifacoum</w:t>
            </w:r>
          </w:p>
        </w:tc>
        <w:tc>
          <w:tcPr>
            <w:tcW w:w="600" w:type="pct"/>
          </w:tcPr>
          <w:p w14:paraId="3419AB33" w14:textId="77777777" w:rsidR="008E67EA" w:rsidRDefault="008E67EA" w:rsidP="00B44A74">
            <w:pPr>
              <w:pStyle w:val="GazetteTableText"/>
            </w:pPr>
            <w:r w:rsidRPr="00674D09">
              <w:t>58339</w:t>
            </w:r>
          </w:p>
        </w:tc>
        <w:tc>
          <w:tcPr>
            <w:tcW w:w="1326" w:type="pct"/>
          </w:tcPr>
          <w:p w14:paraId="57C9A0D0" w14:textId="77777777" w:rsidR="008E67EA" w:rsidRPr="00B75907" w:rsidRDefault="008E67EA" w:rsidP="00B44A74">
            <w:pPr>
              <w:pStyle w:val="GazetteTableText"/>
            </w:pPr>
            <w:r w:rsidRPr="00674D09">
              <w:t>Talon Rat &amp; Mouse Killer Wax Blocks</w:t>
            </w:r>
          </w:p>
        </w:tc>
        <w:tc>
          <w:tcPr>
            <w:tcW w:w="1251" w:type="pct"/>
          </w:tcPr>
          <w:p w14:paraId="6D2B2ADE" w14:textId="77777777" w:rsidR="008E67EA" w:rsidRDefault="008E67EA" w:rsidP="00B44A74">
            <w:pPr>
              <w:pStyle w:val="GazetteTableText"/>
            </w:pPr>
            <w:r w:rsidRPr="00EC5809">
              <w:t>Syngenta Australia Pty Ltd</w:t>
            </w:r>
          </w:p>
        </w:tc>
        <w:tc>
          <w:tcPr>
            <w:tcW w:w="1175" w:type="pct"/>
          </w:tcPr>
          <w:p w14:paraId="2C1888A7" w14:textId="77777777" w:rsidR="008E67EA" w:rsidRDefault="008E67EA" w:rsidP="00B44A74">
            <w:pPr>
              <w:pStyle w:val="GazetteTableText"/>
            </w:pPr>
            <w:r w:rsidRPr="009C70E4">
              <w:t>58339/1207, 58339/0304, 58339/0408, 58339/105629</w:t>
            </w:r>
          </w:p>
        </w:tc>
      </w:tr>
      <w:tr w:rsidR="008E67EA" w14:paraId="651D7998" w14:textId="77777777" w:rsidTr="00B347E8">
        <w:tc>
          <w:tcPr>
            <w:tcW w:w="648" w:type="pct"/>
          </w:tcPr>
          <w:p w14:paraId="45E82D49" w14:textId="77777777" w:rsidR="008E67EA" w:rsidRDefault="008E67EA" w:rsidP="00B44A74">
            <w:pPr>
              <w:pStyle w:val="GazetteTableText"/>
            </w:pPr>
            <w:r w:rsidRPr="009A4983">
              <w:t>Brodifacoum</w:t>
            </w:r>
          </w:p>
        </w:tc>
        <w:tc>
          <w:tcPr>
            <w:tcW w:w="600" w:type="pct"/>
          </w:tcPr>
          <w:p w14:paraId="771E1C9D" w14:textId="77777777" w:rsidR="008E67EA" w:rsidRDefault="008E67EA" w:rsidP="00B44A74">
            <w:pPr>
              <w:pStyle w:val="GazetteTableText"/>
            </w:pPr>
            <w:r w:rsidRPr="00674D09">
              <w:t>58661</w:t>
            </w:r>
          </w:p>
        </w:tc>
        <w:tc>
          <w:tcPr>
            <w:tcW w:w="1326" w:type="pct"/>
          </w:tcPr>
          <w:p w14:paraId="593C9DBB" w14:textId="77777777" w:rsidR="008E67EA" w:rsidRPr="00B75907" w:rsidRDefault="008E67EA" w:rsidP="00B44A74">
            <w:pPr>
              <w:pStyle w:val="GazetteTableText"/>
            </w:pPr>
            <w:r w:rsidRPr="00674D09">
              <w:t>Mortein Kills Rats &amp; Mice and The Fleas They Carry Dual Action Bait</w:t>
            </w:r>
          </w:p>
        </w:tc>
        <w:tc>
          <w:tcPr>
            <w:tcW w:w="1251" w:type="pct"/>
          </w:tcPr>
          <w:p w14:paraId="057C01F4" w14:textId="77777777" w:rsidR="008E67EA" w:rsidRDefault="008E67EA" w:rsidP="00B44A74">
            <w:pPr>
              <w:pStyle w:val="GazetteTableText"/>
            </w:pPr>
            <w:r w:rsidRPr="00EC5809">
              <w:t>R</w:t>
            </w:r>
            <w:r>
              <w:t>B</w:t>
            </w:r>
            <w:r w:rsidRPr="00EC5809">
              <w:t xml:space="preserve"> (Hygiene Home) Australia Pty Ltd</w:t>
            </w:r>
          </w:p>
        </w:tc>
        <w:tc>
          <w:tcPr>
            <w:tcW w:w="1175" w:type="pct"/>
          </w:tcPr>
          <w:p w14:paraId="01639A27" w14:textId="77777777" w:rsidR="008E67EA" w:rsidRDefault="008E67EA" w:rsidP="00B44A74">
            <w:pPr>
              <w:pStyle w:val="GazetteTableText"/>
            </w:pPr>
            <w:r w:rsidRPr="009C70E4">
              <w:t>58661/0208, 58661/0309, 58661/0606, 58661/119901</w:t>
            </w:r>
          </w:p>
        </w:tc>
      </w:tr>
      <w:tr w:rsidR="008E67EA" w14:paraId="44494C37" w14:textId="77777777" w:rsidTr="00B347E8">
        <w:tc>
          <w:tcPr>
            <w:tcW w:w="648" w:type="pct"/>
          </w:tcPr>
          <w:p w14:paraId="36CEBB99" w14:textId="77777777" w:rsidR="008E67EA" w:rsidRDefault="008E67EA" w:rsidP="00B44A74">
            <w:pPr>
              <w:pStyle w:val="GazetteTableText"/>
            </w:pPr>
            <w:r w:rsidRPr="009A4983">
              <w:lastRenderedPageBreak/>
              <w:t>Brodifacoum</w:t>
            </w:r>
          </w:p>
        </w:tc>
        <w:tc>
          <w:tcPr>
            <w:tcW w:w="600" w:type="pct"/>
          </w:tcPr>
          <w:p w14:paraId="33FFB9CB" w14:textId="77777777" w:rsidR="008E67EA" w:rsidRDefault="008E67EA" w:rsidP="00B44A74">
            <w:pPr>
              <w:pStyle w:val="GazetteTableText"/>
            </w:pPr>
            <w:r w:rsidRPr="00674D09">
              <w:t>59323</w:t>
            </w:r>
          </w:p>
        </w:tc>
        <w:tc>
          <w:tcPr>
            <w:tcW w:w="1326" w:type="pct"/>
          </w:tcPr>
          <w:p w14:paraId="74877915" w14:textId="77777777" w:rsidR="008E67EA" w:rsidRPr="00B75907" w:rsidRDefault="008E67EA" w:rsidP="00B44A74">
            <w:pPr>
              <w:pStyle w:val="GazetteTableText"/>
            </w:pPr>
            <w:r w:rsidRPr="00674D09">
              <w:t>Talon X</w:t>
            </w:r>
            <w:r>
              <w:t>T</w:t>
            </w:r>
            <w:r w:rsidRPr="00674D09">
              <w:t xml:space="preserve"> Pro Rodenticide Wax Blocks</w:t>
            </w:r>
          </w:p>
        </w:tc>
        <w:tc>
          <w:tcPr>
            <w:tcW w:w="1251" w:type="pct"/>
          </w:tcPr>
          <w:p w14:paraId="0C3D20C1" w14:textId="77777777" w:rsidR="008E67EA" w:rsidRDefault="008E67EA" w:rsidP="00B44A74">
            <w:pPr>
              <w:pStyle w:val="GazetteTableText"/>
            </w:pPr>
            <w:r w:rsidRPr="00EC5809">
              <w:t>Syngenta Australia Pty Ltd</w:t>
            </w:r>
          </w:p>
        </w:tc>
        <w:tc>
          <w:tcPr>
            <w:tcW w:w="1175" w:type="pct"/>
          </w:tcPr>
          <w:p w14:paraId="201E44FC" w14:textId="77777777" w:rsidR="008E67EA" w:rsidRDefault="008E67EA" w:rsidP="00B44A74">
            <w:pPr>
              <w:pStyle w:val="GazetteTableText"/>
            </w:pPr>
            <w:r w:rsidRPr="009C70E4">
              <w:t>59323/0510, 59323/0607, 59323/0805, 59323/1008</w:t>
            </w:r>
          </w:p>
        </w:tc>
      </w:tr>
      <w:tr w:rsidR="008E67EA" w14:paraId="68F3A041" w14:textId="77777777" w:rsidTr="00B347E8">
        <w:tc>
          <w:tcPr>
            <w:tcW w:w="648" w:type="pct"/>
          </w:tcPr>
          <w:p w14:paraId="4AFDBD8F" w14:textId="77777777" w:rsidR="008E67EA" w:rsidRDefault="008E67EA" w:rsidP="00B44A74">
            <w:pPr>
              <w:pStyle w:val="GazetteTableText"/>
            </w:pPr>
            <w:r w:rsidRPr="009A4983">
              <w:t>Brodifacoum</w:t>
            </w:r>
          </w:p>
        </w:tc>
        <w:tc>
          <w:tcPr>
            <w:tcW w:w="600" w:type="pct"/>
          </w:tcPr>
          <w:p w14:paraId="035E0027" w14:textId="77777777" w:rsidR="008E67EA" w:rsidRDefault="008E67EA" w:rsidP="00B44A74">
            <w:pPr>
              <w:pStyle w:val="GazetteTableText"/>
            </w:pPr>
            <w:r w:rsidRPr="00674D09">
              <w:t>59875</w:t>
            </w:r>
          </w:p>
        </w:tc>
        <w:tc>
          <w:tcPr>
            <w:tcW w:w="1326" w:type="pct"/>
          </w:tcPr>
          <w:p w14:paraId="48388C8B" w14:textId="77777777" w:rsidR="008E67EA" w:rsidRPr="00B75907" w:rsidRDefault="008E67EA" w:rsidP="00B44A74">
            <w:pPr>
              <w:pStyle w:val="GazetteTableText"/>
            </w:pPr>
            <w:r w:rsidRPr="00674D09">
              <w:t>All Weather P</w:t>
            </w:r>
            <w:r>
              <w:t>CT</w:t>
            </w:r>
            <w:r w:rsidRPr="00674D09">
              <w:t xml:space="preserve"> First Formula Blocks Rodenticide</w:t>
            </w:r>
          </w:p>
        </w:tc>
        <w:tc>
          <w:tcPr>
            <w:tcW w:w="1251" w:type="pct"/>
          </w:tcPr>
          <w:p w14:paraId="3C748910" w14:textId="77777777" w:rsidR="008E67EA" w:rsidRDefault="008E67EA" w:rsidP="00B44A74">
            <w:pPr>
              <w:pStyle w:val="GazetteTableText"/>
            </w:pPr>
            <w:r w:rsidRPr="00EC5809">
              <w:t>P</w:t>
            </w:r>
            <w:r>
              <w:t>CT</w:t>
            </w:r>
            <w:r w:rsidRPr="00EC5809">
              <w:t xml:space="preserve"> Holdings Pty Ltd</w:t>
            </w:r>
          </w:p>
        </w:tc>
        <w:tc>
          <w:tcPr>
            <w:tcW w:w="1175" w:type="pct"/>
          </w:tcPr>
          <w:p w14:paraId="5DBAF91C" w14:textId="77777777" w:rsidR="008E67EA" w:rsidRDefault="008E67EA" w:rsidP="00B44A74">
            <w:pPr>
              <w:pStyle w:val="GazetteTableText"/>
            </w:pPr>
            <w:r w:rsidRPr="009C70E4">
              <w:t>59875/0607, 59875/0705</w:t>
            </w:r>
          </w:p>
        </w:tc>
      </w:tr>
      <w:tr w:rsidR="008E67EA" w14:paraId="1A125BC9" w14:textId="77777777" w:rsidTr="00B347E8">
        <w:tc>
          <w:tcPr>
            <w:tcW w:w="648" w:type="pct"/>
          </w:tcPr>
          <w:p w14:paraId="6557CBD5" w14:textId="77777777" w:rsidR="008E67EA" w:rsidRDefault="008E67EA" w:rsidP="00B44A74">
            <w:pPr>
              <w:pStyle w:val="GazetteTableText"/>
            </w:pPr>
            <w:r w:rsidRPr="009A4983">
              <w:t>Brodifacoum</w:t>
            </w:r>
          </w:p>
        </w:tc>
        <w:tc>
          <w:tcPr>
            <w:tcW w:w="600" w:type="pct"/>
          </w:tcPr>
          <w:p w14:paraId="74338BA2" w14:textId="77777777" w:rsidR="008E67EA" w:rsidRDefault="008E67EA" w:rsidP="00B44A74">
            <w:pPr>
              <w:pStyle w:val="GazetteTableText"/>
            </w:pPr>
            <w:r w:rsidRPr="00674D09">
              <w:t>59876</w:t>
            </w:r>
          </w:p>
        </w:tc>
        <w:tc>
          <w:tcPr>
            <w:tcW w:w="1326" w:type="pct"/>
          </w:tcPr>
          <w:p w14:paraId="7880BD36" w14:textId="77777777" w:rsidR="008E67EA" w:rsidRPr="00B75907" w:rsidRDefault="008E67EA" w:rsidP="00B44A74">
            <w:pPr>
              <w:pStyle w:val="GazetteTableText"/>
            </w:pPr>
            <w:r w:rsidRPr="00674D09">
              <w:t>Surefire All Weather Blocks Rodenticide</w:t>
            </w:r>
          </w:p>
        </w:tc>
        <w:tc>
          <w:tcPr>
            <w:tcW w:w="1251" w:type="pct"/>
          </w:tcPr>
          <w:p w14:paraId="7DE7A817" w14:textId="77777777" w:rsidR="008E67EA" w:rsidRDefault="008E67EA" w:rsidP="00B44A74">
            <w:pPr>
              <w:pStyle w:val="GazetteTableText"/>
            </w:pPr>
            <w:r w:rsidRPr="00EC5809">
              <w:t>P</w:t>
            </w:r>
            <w:r>
              <w:t>CT</w:t>
            </w:r>
            <w:r w:rsidRPr="00EC5809">
              <w:t xml:space="preserve"> Holdings Pty Ltd</w:t>
            </w:r>
          </w:p>
        </w:tc>
        <w:tc>
          <w:tcPr>
            <w:tcW w:w="1175" w:type="pct"/>
          </w:tcPr>
          <w:p w14:paraId="3B2874B7" w14:textId="77777777" w:rsidR="008E67EA" w:rsidRDefault="008E67EA" w:rsidP="00B44A74">
            <w:pPr>
              <w:pStyle w:val="GazetteTableText"/>
            </w:pPr>
            <w:r w:rsidRPr="009C70E4">
              <w:t>59876/0605, 59876/0607, 59876/1107</w:t>
            </w:r>
          </w:p>
        </w:tc>
      </w:tr>
      <w:tr w:rsidR="008E67EA" w14:paraId="7CE26C49" w14:textId="77777777" w:rsidTr="00B347E8">
        <w:tc>
          <w:tcPr>
            <w:tcW w:w="648" w:type="pct"/>
          </w:tcPr>
          <w:p w14:paraId="4D57F68D" w14:textId="77777777" w:rsidR="008E67EA" w:rsidRDefault="008E67EA" w:rsidP="00B44A74">
            <w:pPr>
              <w:pStyle w:val="GazetteTableText"/>
            </w:pPr>
            <w:r w:rsidRPr="009A4983">
              <w:t>Brodifacoum</w:t>
            </w:r>
          </w:p>
        </w:tc>
        <w:tc>
          <w:tcPr>
            <w:tcW w:w="600" w:type="pct"/>
          </w:tcPr>
          <w:p w14:paraId="429A5278" w14:textId="77777777" w:rsidR="008E67EA" w:rsidRDefault="008E67EA" w:rsidP="00B44A74">
            <w:pPr>
              <w:pStyle w:val="GazetteTableText"/>
            </w:pPr>
            <w:r w:rsidRPr="00674D09">
              <w:t>62635</w:t>
            </w:r>
          </w:p>
        </w:tc>
        <w:tc>
          <w:tcPr>
            <w:tcW w:w="1326" w:type="pct"/>
          </w:tcPr>
          <w:p w14:paraId="355A97DE" w14:textId="77777777" w:rsidR="008E67EA" w:rsidRPr="00B75907" w:rsidRDefault="008E67EA" w:rsidP="00B44A74">
            <w:pPr>
              <w:pStyle w:val="GazetteTableText"/>
            </w:pPr>
            <w:r w:rsidRPr="00674D09">
              <w:t>Talon Mouse Bait Station</w:t>
            </w:r>
          </w:p>
        </w:tc>
        <w:tc>
          <w:tcPr>
            <w:tcW w:w="1251" w:type="pct"/>
          </w:tcPr>
          <w:p w14:paraId="6F80E40E" w14:textId="77777777" w:rsidR="008E67EA" w:rsidRDefault="008E67EA" w:rsidP="00B44A74">
            <w:pPr>
              <w:pStyle w:val="GazetteTableText"/>
            </w:pPr>
            <w:r w:rsidRPr="00EC5809">
              <w:t>Syngenta Australia Pty Ltd</w:t>
            </w:r>
          </w:p>
        </w:tc>
        <w:tc>
          <w:tcPr>
            <w:tcW w:w="1175" w:type="pct"/>
          </w:tcPr>
          <w:p w14:paraId="3EB9E712" w14:textId="77777777" w:rsidR="008E67EA" w:rsidRDefault="008E67EA" w:rsidP="00B44A74">
            <w:pPr>
              <w:pStyle w:val="GazetteTableText"/>
            </w:pPr>
            <w:r w:rsidRPr="009C70E4">
              <w:t>62635/1107</w:t>
            </w:r>
          </w:p>
        </w:tc>
      </w:tr>
      <w:tr w:rsidR="008E67EA" w14:paraId="15971899" w14:textId="77777777" w:rsidTr="00B347E8">
        <w:tc>
          <w:tcPr>
            <w:tcW w:w="648" w:type="pct"/>
          </w:tcPr>
          <w:p w14:paraId="1561290E" w14:textId="77777777" w:rsidR="008E67EA" w:rsidRDefault="008E67EA" w:rsidP="00B44A74">
            <w:pPr>
              <w:pStyle w:val="GazetteTableText"/>
            </w:pPr>
            <w:r w:rsidRPr="009A4983">
              <w:t>Brodifacoum</w:t>
            </w:r>
          </w:p>
        </w:tc>
        <w:tc>
          <w:tcPr>
            <w:tcW w:w="600" w:type="pct"/>
          </w:tcPr>
          <w:p w14:paraId="4B70AD5E" w14:textId="77777777" w:rsidR="008E67EA" w:rsidRDefault="008E67EA" w:rsidP="00B44A74">
            <w:pPr>
              <w:pStyle w:val="GazetteTableText"/>
            </w:pPr>
            <w:r w:rsidRPr="00674D09">
              <w:t>63624</w:t>
            </w:r>
          </w:p>
        </w:tc>
        <w:tc>
          <w:tcPr>
            <w:tcW w:w="1326" w:type="pct"/>
          </w:tcPr>
          <w:p w14:paraId="3CB7BA3A" w14:textId="77777777" w:rsidR="008E67EA" w:rsidRPr="00B75907" w:rsidRDefault="008E67EA" w:rsidP="00B44A74">
            <w:pPr>
              <w:pStyle w:val="GazetteTableText"/>
            </w:pPr>
            <w:r w:rsidRPr="00674D09">
              <w:t>X-Verminator Single Feed Lethal Dose Rodent Blocks</w:t>
            </w:r>
          </w:p>
        </w:tc>
        <w:tc>
          <w:tcPr>
            <w:tcW w:w="1251" w:type="pct"/>
          </w:tcPr>
          <w:p w14:paraId="6F701D0E" w14:textId="77777777" w:rsidR="008E67EA" w:rsidRDefault="008E67EA" w:rsidP="00B44A74">
            <w:pPr>
              <w:pStyle w:val="GazetteTableText"/>
            </w:pPr>
            <w:r w:rsidRPr="00EC5809">
              <w:t>Animal Control Products Ltd</w:t>
            </w:r>
          </w:p>
        </w:tc>
        <w:tc>
          <w:tcPr>
            <w:tcW w:w="1175" w:type="pct"/>
          </w:tcPr>
          <w:p w14:paraId="3B17A80F" w14:textId="77777777" w:rsidR="008E67EA" w:rsidRDefault="008E67EA" w:rsidP="00B44A74">
            <w:pPr>
              <w:pStyle w:val="GazetteTableText"/>
            </w:pPr>
            <w:r w:rsidRPr="00E44562">
              <w:t>63624/1009, 63624/116937, 63624/132952</w:t>
            </w:r>
          </w:p>
        </w:tc>
      </w:tr>
      <w:tr w:rsidR="008E67EA" w14:paraId="10AC568F" w14:textId="77777777" w:rsidTr="00B347E8">
        <w:tc>
          <w:tcPr>
            <w:tcW w:w="648" w:type="pct"/>
          </w:tcPr>
          <w:p w14:paraId="6097748E" w14:textId="77777777" w:rsidR="008E67EA" w:rsidRDefault="008E67EA" w:rsidP="00B44A74">
            <w:pPr>
              <w:pStyle w:val="GazetteTableText"/>
            </w:pPr>
            <w:r w:rsidRPr="009A4983">
              <w:t>Brodifacoum</w:t>
            </w:r>
          </w:p>
        </w:tc>
        <w:tc>
          <w:tcPr>
            <w:tcW w:w="600" w:type="pct"/>
          </w:tcPr>
          <w:p w14:paraId="2D5F56A9" w14:textId="77777777" w:rsidR="008E67EA" w:rsidRDefault="008E67EA" w:rsidP="00B44A74">
            <w:pPr>
              <w:pStyle w:val="GazetteTableText"/>
            </w:pPr>
            <w:r w:rsidRPr="00674D09">
              <w:t>63867</w:t>
            </w:r>
          </w:p>
        </w:tc>
        <w:tc>
          <w:tcPr>
            <w:tcW w:w="1326" w:type="pct"/>
          </w:tcPr>
          <w:p w14:paraId="3D8C5A86" w14:textId="77777777" w:rsidR="008E67EA" w:rsidRPr="00B75907" w:rsidRDefault="008E67EA" w:rsidP="00B44A74">
            <w:pPr>
              <w:pStyle w:val="GazetteTableText"/>
            </w:pPr>
            <w:r w:rsidRPr="00674D09">
              <w:t>Surefire Pellets Rodenticide</w:t>
            </w:r>
          </w:p>
        </w:tc>
        <w:tc>
          <w:tcPr>
            <w:tcW w:w="1251" w:type="pct"/>
          </w:tcPr>
          <w:p w14:paraId="4C79AB4F" w14:textId="77777777" w:rsidR="008E67EA" w:rsidRDefault="008E67EA" w:rsidP="00B44A74">
            <w:pPr>
              <w:pStyle w:val="GazetteTableText"/>
            </w:pPr>
            <w:r w:rsidRPr="00EC5809">
              <w:t>P</w:t>
            </w:r>
            <w:r>
              <w:t>CT</w:t>
            </w:r>
            <w:r w:rsidRPr="00EC5809">
              <w:t xml:space="preserve"> Holdings Pty Ltd</w:t>
            </w:r>
          </w:p>
        </w:tc>
        <w:tc>
          <w:tcPr>
            <w:tcW w:w="1175" w:type="pct"/>
          </w:tcPr>
          <w:p w14:paraId="72ADCD5D" w14:textId="77777777" w:rsidR="008E67EA" w:rsidRDefault="008E67EA" w:rsidP="00B44A74">
            <w:pPr>
              <w:pStyle w:val="GazetteTableText"/>
            </w:pPr>
            <w:r w:rsidRPr="00E44562">
              <w:t>63867/0309</w:t>
            </w:r>
          </w:p>
        </w:tc>
      </w:tr>
      <w:tr w:rsidR="008E67EA" w14:paraId="0BDD8CDE" w14:textId="77777777" w:rsidTr="00B347E8">
        <w:tc>
          <w:tcPr>
            <w:tcW w:w="648" w:type="pct"/>
          </w:tcPr>
          <w:p w14:paraId="3E816379" w14:textId="77777777" w:rsidR="008E67EA" w:rsidRDefault="008E67EA" w:rsidP="00B44A74">
            <w:pPr>
              <w:pStyle w:val="GazetteTableText"/>
            </w:pPr>
            <w:r w:rsidRPr="009A4983">
              <w:t>Brodifacoum</w:t>
            </w:r>
          </w:p>
        </w:tc>
        <w:tc>
          <w:tcPr>
            <w:tcW w:w="600" w:type="pct"/>
          </w:tcPr>
          <w:p w14:paraId="04D1E34A" w14:textId="77777777" w:rsidR="008E67EA" w:rsidRDefault="008E67EA" w:rsidP="00B44A74">
            <w:pPr>
              <w:pStyle w:val="GazetteTableText"/>
            </w:pPr>
            <w:r w:rsidRPr="00674D09">
              <w:t>63885</w:t>
            </w:r>
          </w:p>
        </w:tc>
        <w:tc>
          <w:tcPr>
            <w:tcW w:w="1326" w:type="pct"/>
          </w:tcPr>
          <w:p w14:paraId="0309488E" w14:textId="77777777" w:rsidR="008E67EA" w:rsidRPr="00B75907" w:rsidRDefault="008E67EA" w:rsidP="00B44A74">
            <w:pPr>
              <w:pStyle w:val="GazetteTableText"/>
            </w:pPr>
            <w:r w:rsidRPr="00674D09">
              <w:t xml:space="preserve">Mortein Kills Rats &amp; Mice </w:t>
            </w:r>
            <w:r>
              <w:t>a</w:t>
            </w:r>
            <w:r w:rsidRPr="00674D09">
              <w:t xml:space="preserve">nd </w:t>
            </w:r>
            <w:r>
              <w:t>t</w:t>
            </w:r>
            <w:r w:rsidRPr="00674D09">
              <w:t>he Fleas They Carry Dual Action Throwpack</w:t>
            </w:r>
          </w:p>
        </w:tc>
        <w:tc>
          <w:tcPr>
            <w:tcW w:w="1251" w:type="pct"/>
          </w:tcPr>
          <w:p w14:paraId="16312BAE" w14:textId="77777777" w:rsidR="008E67EA" w:rsidRDefault="008E67EA" w:rsidP="00B44A74">
            <w:pPr>
              <w:pStyle w:val="GazetteTableText"/>
            </w:pPr>
            <w:r w:rsidRPr="00EC5809">
              <w:t>RB (Hygiene Home) Australia Pty Ltd</w:t>
            </w:r>
          </w:p>
        </w:tc>
        <w:tc>
          <w:tcPr>
            <w:tcW w:w="1175" w:type="pct"/>
          </w:tcPr>
          <w:p w14:paraId="77657F9C" w14:textId="77777777" w:rsidR="008E67EA" w:rsidRDefault="008E67EA" w:rsidP="00B44A74">
            <w:pPr>
              <w:pStyle w:val="GazetteTableText"/>
            </w:pPr>
            <w:r w:rsidRPr="00E44562">
              <w:t>63885/0409, 63885/119902</w:t>
            </w:r>
          </w:p>
        </w:tc>
      </w:tr>
      <w:tr w:rsidR="008E67EA" w14:paraId="4D1B3EA3" w14:textId="77777777" w:rsidTr="00B347E8">
        <w:tc>
          <w:tcPr>
            <w:tcW w:w="648" w:type="pct"/>
          </w:tcPr>
          <w:p w14:paraId="4D71EA9A" w14:textId="77777777" w:rsidR="008E67EA" w:rsidRDefault="008E67EA" w:rsidP="00B44A74">
            <w:pPr>
              <w:pStyle w:val="GazetteTableText"/>
            </w:pPr>
            <w:r w:rsidRPr="009A4983">
              <w:t>Brodifacoum</w:t>
            </w:r>
          </w:p>
        </w:tc>
        <w:tc>
          <w:tcPr>
            <w:tcW w:w="600" w:type="pct"/>
          </w:tcPr>
          <w:p w14:paraId="2641FA80" w14:textId="77777777" w:rsidR="008E67EA" w:rsidRDefault="008E67EA" w:rsidP="00B44A74">
            <w:pPr>
              <w:pStyle w:val="GazetteTableText"/>
            </w:pPr>
            <w:r w:rsidRPr="00674D09">
              <w:t>65597</w:t>
            </w:r>
          </w:p>
        </w:tc>
        <w:tc>
          <w:tcPr>
            <w:tcW w:w="1326" w:type="pct"/>
          </w:tcPr>
          <w:p w14:paraId="4C33D133" w14:textId="77777777" w:rsidR="008E67EA" w:rsidRPr="00B75907" w:rsidRDefault="008E67EA" w:rsidP="00B44A74">
            <w:pPr>
              <w:pStyle w:val="GazetteTableText"/>
            </w:pPr>
            <w:r w:rsidRPr="00674D09">
              <w:t>Imtrade Top Cat Rodenticide Wax Blocks</w:t>
            </w:r>
          </w:p>
        </w:tc>
        <w:tc>
          <w:tcPr>
            <w:tcW w:w="1251" w:type="pct"/>
          </w:tcPr>
          <w:p w14:paraId="7AED5D0D" w14:textId="77777777" w:rsidR="008E67EA" w:rsidRDefault="008E67EA" w:rsidP="00B44A74">
            <w:pPr>
              <w:pStyle w:val="GazetteTableText"/>
            </w:pPr>
            <w:r w:rsidRPr="00EC5809">
              <w:t>Imtrade Australia Pty Ltd</w:t>
            </w:r>
          </w:p>
        </w:tc>
        <w:tc>
          <w:tcPr>
            <w:tcW w:w="1175" w:type="pct"/>
          </w:tcPr>
          <w:p w14:paraId="7F17BF85" w14:textId="77777777" w:rsidR="008E67EA" w:rsidRDefault="008E67EA" w:rsidP="00B44A74">
            <w:pPr>
              <w:pStyle w:val="GazetteTableText"/>
            </w:pPr>
            <w:r w:rsidRPr="00E44562">
              <w:t>65597/51397, 65597/104361</w:t>
            </w:r>
          </w:p>
        </w:tc>
      </w:tr>
      <w:tr w:rsidR="008E67EA" w14:paraId="5BCC2A4A" w14:textId="77777777" w:rsidTr="00B347E8">
        <w:tc>
          <w:tcPr>
            <w:tcW w:w="648" w:type="pct"/>
          </w:tcPr>
          <w:p w14:paraId="293ECDA8" w14:textId="77777777" w:rsidR="008E67EA" w:rsidRDefault="008E67EA" w:rsidP="00B44A74">
            <w:pPr>
              <w:pStyle w:val="GazetteTableText"/>
            </w:pPr>
            <w:r w:rsidRPr="009A4983">
              <w:t>Brodifacoum</w:t>
            </w:r>
          </w:p>
        </w:tc>
        <w:tc>
          <w:tcPr>
            <w:tcW w:w="600" w:type="pct"/>
          </w:tcPr>
          <w:p w14:paraId="696462B9" w14:textId="77777777" w:rsidR="008E67EA" w:rsidRDefault="008E67EA" w:rsidP="00B44A74">
            <w:pPr>
              <w:pStyle w:val="GazetteTableText"/>
            </w:pPr>
            <w:r w:rsidRPr="00674D09">
              <w:t>66235</w:t>
            </w:r>
          </w:p>
        </w:tc>
        <w:tc>
          <w:tcPr>
            <w:tcW w:w="1326" w:type="pct"/>
          </w:tcPr>
          <w:p w14:paraId="4B2C31FE" w14:textId="77777777" w:rsidR="008E67EA" w:rsidRPr="00B75907" w:rsidRDefault="008E67EA" w:rsidP="00B44A74">
            <w:pPr>
              <w:pStyle w:val="GazetteTableText"/>
            </w:pPr>
            <w:r w:rsidRPr="00674D09">
              <w:t>Rodenthor Block Rodenticide</w:t>
            </w:r>
          </w:p>
        </w:tc>
        <w:tc>
          <w:tcPr>
            <w:tcW w:w="1251" w:type="pct"/>
          </w:tcPr>
          <w:p w14:paraId="7986AE7E" w14:textId="77777777" w:rsidR="008E67EA" w:rsidRDefault="008E67EA" w:rsidP="00B44A74">
            <w:pPr>
              <w:pStyle w:val="GazetteTableText"/>
            </w:pPr>
            <w:r w:rsidRPr="00EC5809">
              <w:t>Zapi S.P.A</w:t>
            </w:r>
          </w:p>
        </w:tc>
        <w:tc>
          <w:tcPr>
            <w:tcW w:w="1175" w:type="pct"/>
          </w:tcPr>
          <w:p w14:paraId="3EE11414" w14:textId="77777777" w:rsidR="008E67EA" w:rsidRDefault="008E67EA" w:rsidP="00B44A74">
            <w:pPr>
              <w:pStyle w:val="GazetteTableText"/>
            </w:pPr>
            <w:r w:rsidRPr="00E44562">
              <w:t>66235/56295</w:t>
            </w:r>
          </w:p>
        </w:tc>
      </w:tr>
      <w:tr w:rsidR="008E67EA" w14:paraId="3BB2EB38" w14:textId="77777777" w:rsidTr="00B347E8">
        <w:tc>
          <w:tcPr>
            <w:tcW w:w="648" w:type="pct"/>
          </w:tcPr>
          <w:p w14:paraId="427F4FB8" w14:textId="77777777" w:rsidR="008E67EA" w:rsidRDefault="008E67EA" w:rsidP="00B44A74">
            <w:pPr>
              <w:pStyle w:val="GazetteTableText"/>
            </w:pPr>
            <w:r w:rsidRPr="009A4983">
              <w:t>Brodifacoum</w:t>
            </w:r>
          </w:p>
        </w:tc>
        <w:tc>
          <w:tcPr>
            <w:tcW w:w="600" w:type="pct"/>
          </w:tcPr>
          <w:p w14:paraId="292222D5" w14:textId="77777777" w:rsidR="008E67EA" w:rsidRDefault="008E67EA" w:rsidP="00B44A74">
            <w:pPr>
              <w:pStyle w:val="GazetteTableText"/>
            </w:pPr>
            <w:r w:rsidRPr="00674D09">
              <w:t>66331</w:t>
            </w:r>
          </w:p>
        </w:tc>
        <w:tc>
          <w:tcPr>
            <w:tcW w:w="1326" w:type="pct"/>
          </w:tcPr>
          <w:p w14:paraId="1D9F08D1" w14:textId="77777777" w:rsidR="008E67EA" w:rsidRPr="00B75907" w:rsidRDefault="008E67EA" w:rsidP="00B44A74">
            <w:pPr>
              <w:pStyle w:val="GazetteTableText"/>
            </w:pPr>
            <w:r w:rsidRPr="00674D09">
              <w:t>Rodenthor Soft Bait Rodenticide</w:t>
            </w:r>
          </w:p>
        </w:tc>
        <w:tc>
          <w:tcPr>
            <w:tcW w:w="1251" w:type="pct"/>
          </w:tcPr>
          <w:p w14:paraId="7921FFAE" w14:textId="77777777" w:rsidR="008E67EA" w:rsidRDefault="008E67EA" w:rsidP="00B44A74">
            <w:pPr>
              <w:pStyle w:val="GazetteTableText"/>
            </w:pPr>
            <w:r w:rsidRPr="00EC5809">
              <w:t>Zapi S.P.A</w:t>
            </w:r>
          </w:p>
        </w:tc>
        <w:tc>
          <w:tcPr>
            <w:tcW w:w="1175" w:type="pct"/>
          </w:tcPr>
          <w:p w14:paraId="285ABA89" w14:textId="77777777" w:rsidR="008E67EA" w:rsidRDefault="008E67EA" w:rsidP="00B44A74">
            <w:pPr>
              <w:pStyle w:val="GazetteTableText"/>
            </w:pPr>
            <w:r w:rsidRPr="00E44562">
              <w:t>66331/55716</w:t>
            </w:r>
          </w:p>
        </w:tc>
      </w:tr>
      <w:tr w:rsidR="008E67EA" w14:paraId="6D36610D" w14:textId="77777777" w:rsidTr="00B347E8">
        <w:tc>
          <w:tcPr>
            <w:tcW w:w="648" w:type="pct"/>
          </w:tcPr>
          <w:p w14:paraId="59F687D4" w14:textId="77777777" w:rsidR="008E67EA" w:rsidRDefault="008E67EA" w:rsidP="00B44A74">
            <w:pPr>
              <w:pStyle w:val="GazetteTableText"/>
            </w:pPr>
            <w:r w:rsidRPr="009A4983">
              <w:t>Brodifacoum</w:t>
            </w:r>
          </w:p>
        </w:tc>
        <w:tc>
          <w:tcPr>
            <w:tcW w:w="600" w:type="pct"/>
          </w:tcPr>
          <w:p w14:paraId="61C5AA9A" w14:textId="77777777" w:rsidR="008E67EA" w:rsidRDefault="008E67EA" w:rsidP="00B44A74">
            <w:pPr>
              <w:pStyle w:val="GazetteTableText"/>
            </w:pPr>
            <w:r w:rsidRPr="00674D09">
              <w:t>67610</w:t>
            </w:r>
          </w:p>
        </w:tc>
        <w:tc>
          <w:tcPr>
            <w:tcW w:w="1326" w:type="pct"/>
          </w:tcPr>
          <w:p w14:paraId="772EC6EF" w14:textId="77777777" w:rsidR="008E67EA" w:rsidRPr="00B75907" w:rsidRDefault="008E67EA" w:rsidP="00B44A74">
            <w:pPr>
              <w:pStyle w:val="GazetteTableText"/>
            </w:pPr>
            <w:r w:rsidRPr="00674D09">
              <w:t>Ratsak Professional Pellets</w:t>
            </w:r>
          </w:p>
        </w:tc>
        <w:tc>
          <w:tcPr>
            <w:tcW w:w="1251" w:type="pct"/>
          </w:tcPr>
          <w:p w14:paraId="5892BBBA" w14:textId="77777777" w:rsidR="008E67EA" w:rsidRDefault="008E67EA" w:rsidP="00B44A74">
            <w:pPr>
              <w:pStyle w:val="GazetteTableText"/>
            </w:pPr>
            <w:r w:rsidRPr="00EC5809">
              <w:t>Duluxgroup (Australia) Pty Ltd</w:t>
            </w:r>
          </w:p>
        </w:tc>
        <w:tc>
          <w:tcPr>
            <w:tcW w:w="1175" w:type="pct"/>
          </w:tcPr>
          <w:p w14:paraId="1038C6FC" w14:textId="77777777" w:rsidR="008E67EA" w:rsidRDefault="008E67EA" w:rsidP="00B44A74">
            <w:pPr>
              <w:pStyle w:val="GazetteTableText"/>
            </w:pPr>
            <w:r w:rsidRPr="00F0223E">
              <w:t>67610/56453</w:t>
            </w:r>
            <w:r>
              <w:t xml:space="preserve">, </w:t>
            </w:r>
            <w:r w:rsidRPr="00F0223E">
              <w:t>67610/138137</w:t>
            </w:r>
          </w:p>
        </w:tc>
      </w:tr>
      <w:tr w:rsidR="008E67EA" w14:paraId="57AAD52A" w14:textId="77777777" w:rsidTr="00B347E8">
        <w:tc>
          <w:tcPr>
            <w:tcW w:w="648" w:type="pct"/>
          </w:tcPr>
          <w:p w14:paraId="5A360FB4" w14:textId="77777777" w:rsidR="008E67EA" w:rsidRDefault="008E67EA" w:rsidP="00B44A74">
            <w:pPr>
              <w:pStyle w:val="GazetteTableText"/>
            </w:pPr>
            <w:r w:rsidRPr="009A4983">
              <w:t>Brodifacoum</w:t>
            </w:r>
          </w:p>
        </w:tc>
        <w:tc>
          <w:tcPr>
            <w:tcW w:w="600" w:type="pct"/>
          </w:tcPr>
          <w:p w14:paraId="67056074" w14:textId="77777777" w:rsidR="008E67EA" w:rsidRDefault="008E67EA" w:rsidP="00B44A74">
            <w:pPr>
              <w:pStyle w:val="GazetteTableText"/>
            </w:pPr>
            <w:r w:rsidRPr="00674D09">
              <w:t>67611</w:t>
            </w:r>
          </w:p>
        </w:tc>
        <w:tc>
          <w:tcPr>
            <w:tcW w:w="1326" w:type="pct"/>
          </w:tcPr>
          <w:p w14:paraId="545229D7" w14:textId="77777777" w:rsidR="008E67EA" w:rsidRPr="00B75907" w:rsidRDefault="008E67EA" w:rsidP="00B44A74">
            <w:pPr>
              <w:pStyle w:val="GazetteTableText"/>
            </w:pPr>
            <w:r w:rsidRPr="00674D09">
              <w:t>Ratsak Professional All Weather Wax Blocks</w:t>
            </w:r>
          </w:p>
        </w:tc>
        <w:tc>
          <w:tcPr>
            <w:tcW w:w="1251" w:type="pct"/>
          </w:tcPr>
          <w:p w14:paraId="6F1C05ED" w14:textId="77777777" w:rsidR="008E67EA" w:rsidRDefault="008E67EA" w:rsidP="00B44A74">
            <w:pPr>
              <w:pStyle w:val="GazetteTableText"/>
            </w:pPr>
            <w:r w:rsidRPr="00EC5809">
              <w:t>Duluxgroup (Australia) Pty Ltd</w:t>
            </w:r>
          </w:p>
        </w:tc>
        <w:tc>
          <w:tcPr>
            <w:tcW w:w="1175" w:type="pct"/>
          </w:tcPr>
          <w:p w14:paraId="211C59B9" w14:textId="77777777" w:rsidR="008E67EA" w:rsidRDefault="008E67EA" w:rsidP="00B44A74">
            <w:pPr>
              <w:pStyle w:val="GazetteTableText"/>
            </w:pPr>
            <w:r w:rsidRPr="00F0223E">
              <w:t>67611/56454</w:t>
            </w:r>
          </w:p>
        </w:tc>
      </w:tr>
      <w:tr w:rsidR="008E67EA" w14:paraId="0DDC4A7F" w14:textId="77777777" w:rsidTr="00B347E8">
        <w:tc>
          <w:tcPr>
            <w:tcW w:w="648" w:type="pct"/>
          </w:tcPr>
          <w:p w14:paraId="4FC0869F" w14:textId="77777777" w:rsidR="008E67EA" w:rsidRDefault="008E67EA" w:rsidP="00B44A74">
            <w:pPr>
              <w:pStyle w:val="GazetteTableText"/>
            </w:pPr>
            <w:r w:rsidRPr="009A4983">
              <w:t>Brodifacoum</w:t>
            </w:r>
          </w:p>
        </w:tc>
        <w:tc>
          <w:tcPr>
            <w:tcW w:w="600" w:type="pct"/>
          </w:tcPr>
          <w:p w14:paraId="27F95DDA" w14:textId="77777777" w:rsidR="008E67EA" w:rsidRDefault="008E67EA" w:rsidP="00B44A74">
            <w:pPr>
              <w:pStyle w:val="GazetteTableText"/>
            </w:pPr>
            <w:r w:rsidRPr="00674D09">
              <w:t>67652</w:t>
            </w:r>
          </w:p>
        </w:tc>
        <w:tc>
          <w:tcPr>
            <w:tcW w:w="1326" w:type="pct"/>
          </w:tcPr>
          <w:p w14:paraId="249230BD" w14:textId="77777777" w:rsidR="008E67EA" w:rsidRPr="00B75907" w:rsidRDefault="008E67EA" w:rsidP="00B44A74">
            <w:pPr>
              <w:pStyle w:val="GazetteTableText"/>
            </w:pPr>
            <w:r w:rsidRPr="00674D09">
              <w:t>Fast Action Ratsak Waxblocks</w:t>
            </w:r>
          </w:p>
        </w:tc>
        <w:tc>
          <w:tcPr>
            <w:tcW w:w="1251" w:type="pct"/>
          </w:tcPr>
          <w:p w14:paraId="17649383" w14:textId="77777777" w:rsidR="008E67EA" w:rsidRDefault="008E67EA" w:rsidP="00B44A74">
            <w:pPr>
              <w:pStyle w:val="GazetteTableText"/>
            </w:pPr>
            <w:r w:rsidRPr="00EC5809">
              <w:t>Duluxgroup (Australia) Pty Ltd</w:t>
            </w:r>
          </w:p>
        </w:tc>
        <w:tc>
          <w:tcPr>
            <w:tcW w:w="1175" w:type="pct"/>
          </w:tcPr>
          <w:p w14:paraId="087BBBB2" w14:textId="77777777" w:rsidR="008E67EA" w:rsidRDefault="008E67EA" w:rsidP="00B44A74">
            <w:pPr>
              <w:pStyle w:val="GazetteTableText"/>
            </w:pPr>
            <w:r w:rsidRPr="00F0223E">
              <w:t>67652/56541, 67652/60303</w:t>
            </w:r>
          </w:p>
        </w:tc>
      </w:tr>
      <w:tr w:rsidR="008E67EA" w14:paraId="05517930" w14:textId="77777777" w:rsidTr="00B347E8">
        <w:tc>
          <w:tcPr>
            <w:tcW w:w="648" w:type="pct"/>
          </w:tcPr>
          <w:p w14:paraId="5722B1C4" w14:textId="77777777" w:rsidR="008E67EA" w:rsidRDefault="008E67EA" w:rsidP="00B44A74">
            <w:pPr>
              <w:pStyle w:val="GazetteTableText"/>
            </w:pPr>
            <w:r w:rsidRPr="009A4983">
              <w:t>Brodifacoum</w:t>
            </w:r>
          </w:p>
        </w:tc>
        <w:tc>
          <w:tcPr>
            <w:tcW w:w="600" w:type="pct"/>
          </w:tcPr>
          <w:p w14:paraId="690A9EEB" w14:textId="77777777" w:rsidR="008E67EA" w:rsidRDefault="008E67EA" w:rsidP="00B44A74">
            <w:pPr>
              <w:pStyle w:val="GazetteTableText"/>
            </w:pPr>
            <w:r w:rsidRPr="00674D09">
              <w:t>68021</w:t>
            </w:r>
          </w:p>
        </w:tc>
        <w:tc>
          <w:tcPr>
            <w:tcW w:w="1326" w:type="pct"/>
          </w:tcPr>
          <w:p w14:paraId="577F7ABB" w14:textId="77777777" w:rsidR="008E67EA" w:rsidRPr="00B75907" w:rsidRDefault="008E67EA" w:rsidP="00B44A74">
            <w:pPr>
              <w:pStyle w:val="GazetteTableText"/>
            </w:pPr>
            <w:r w:rsidRPr="00674D09">
              <w:t>Brigand Rodenticide Paste</w:t>
            </w:r>
          </w:p>
        </w:tc>
        <w:tc>
          <w:tcPr>
            <w:tcW w:w="1251" w:type="pct"/>
          </w:tcPr>
          <w:p w14:paraId="50943E36" w14:textId="77777777" w:rsidR="008E67EA" w:rsidRDefault="008E67EA" w:rsidP="00B44A74">
            <w:pPr>
              <w:pStyle w:val="GazetteTableText"/>
            </w:pPr>
            <w:r w:rsidRPr="00EC5809">
              <w:t>Pelgar International (Aus) Pty Ltd</w:t>
            </w:r>
          </w:p>
        </w:tc>
        <w:tc>
          <w:tcPr>
            <w:tcW w:w="1175" w:type="pct"/>
          </w:tcPr>
          <w:p w14:paraId="62237522" w14:textId="77777777" w:rsidR="008E67EA" w:rsidRDefault="008E67EA" w:rsidP="00B44A74">
            <w:pPr>
              <w:pStyle w:val="GazetteTableText"/>
            </w:pPr>
            <w:r w:rsidRPr="00F0223E">
              <w:t>68021/57286</w:t>
            </w:r>
          </w:p>
        </w:tc>
      </w:tr>
      <w:tr w:rsidR="008E67EA" w14:paraId="3B07F09A" w14:textId="77777777" w:rsidTr="00B347E8">
        <w:tc>
          <w:tcPr>
            <w:tcW w:w="648" w:type="pct"/>
          </w:tcPr>
          <w:p w14:paraId="21A2E621" w14:textId="77777777" w:rsidR="008E67EA" w:rsidRDefault="008E67EA" w:rsidP="00B44A74">
            <w:pPr>
              <w:pStyle w:val="GazetteTableText"/>
            </w:pPr>
            <w:r w:rsidRPr="009A4983">
              <w:t>Brodifacoum</w:t>
            </w:r>
          </w:p>
        </w:tc>
        <w:tc>
          <w:tcPr>
            <w:tcW w:w="600" w:type="pct"/>
          </w:tcPr>
          <w:p w14:paraId="0163429B" w14:textId="77777777" w:rsidR="008E67EA" w:rsidRDefault="008E67EA" w:rsidP="00B44A74">
            <w:pPr>
              <w:pStyle w:val="GazetteTableText"/>
            </w:pPr>
            <w:r w:rsidRPr="00674D09">
              <w:t>68025</w:t>
            </w:r>
          </w:p>
        </w:tc>
        <w:tc>
          <w:tcPr>
            <w:tcW w:w="1326" w:type="pct"/>
          </w:tcPr>
          <w:p w14:paraId="57FED3C7" w14:textId="77777777" w:rsidR="008E67EA" w:rsidRPr="00B75907" w:rsidRDefault="008E67EA" w:rsidP="00B44A74">
            <w:pPr>
              <w:pStyle w:val="GazetteTableText"/>
            </w:pPr>
            <w:r w:rsidRPr="00674D09">
              <w:t>Brigand Rodenticide Blocks</w:t>
            </w:r>
          </w:p>
        </w:tc>
        <w:tc>
          <w:tcPr>
            <w:tcW w:w="1251" w:type="pct"/>
          </w:tcPr>
          <w:p w14:paraId="660F5E38" w14:textId="77777777" w:rsidR="008E67EA" w:rsidRDefault="008E67EA" w:rsidP="00B44A74">
            <w:pPr>
              <w:pStyle w:val="GazetteTableText"/>
            </w:pPr>
            <w:r w:rsidRPr="00EC5809">
              <w:t>Pelgar International (Aus) Pty Ltd</w:t>
            </w:r>
          </w:p>
        </w:tc>
        <w:tc>
          <w:tcPr>
            <w:tcW w:w="1175" w:type="pct"/>
          </w:tcPr>
          <w:p w14:paraId="769E8958" w14:textId="77777777" w:rsidR="008E67EA" w:rsidRDefault="008E67EA" w:rsidP="00B44A74">
            <w:pPr>
              <w:pStyle w:val="GazetteTableText"/>
            </w:pPr>
            <w:r w:rsidRPr="00F0223E">
              <w:t>68025/57306</w:t>
            </w:r>
          </w:p>
        </w:tc>
      </w:tr>
      <w:tr w:rsidR="008E67EA" w14:paraId="138475F0" w14:textId="77777777" w:rsidTr="00B347E8">
        <w:tc>
          <w:tcPr>
            <w:tcW w:w="648" w:type="pct"/>
          </w:tcPr>
          <w:p w14:paraId="3AA612B2" w14:textId="77777777" w:rsidR="008E67EA" w:rsidRDefault="008E67EA" w:rsidP="00B44A74">
            <w:pPr>
              <w:pStyle w:val="GazetteTableText"/>
            </w:pPr>
            <w:r w:rsidRPr="009A4983">
              <w:t>Brodifacoum</w:t>
            </w:r>
          </w:p>
        </w:tc>
        <w:tc>
          <w:tcPr>
            <w:tcW w:w="600" w:type="pct"/>
          </w:tcPr>
          <w:p w14:paraId="10280CD6" w14:textId="77777777" w:rsidR="008E67EA" w:rsidRDefault="008E67EA" w:rsidP="00B44A74">
            <w:pPr>
              <w:pStyle w:val="GazetteTableText"/>
            </w:pPr>
            <w:r w:rsidRPr="00674D09">
              <w:t>68028</w:t>
            </w:r>
          </w:p>
        </w:tc>
        <w:tc>
          <w:tcPr>
            <w:tcW w:w="1326" w:type="pct"/>
          </w:tcPr>
          <w:p w14:paraId="6B811CDF" w14:textId="77777777" w:rsidR="008E67EA" w:rsidRPr="00B75907" w:rsidRDefault="008E67EA" w:rsidP="00B44A74">
            <w:pPr>
              <w:pStyle w:val="GazetteTableText"/>
            </w:pPr>
            <w:r w:rsidRPr="00674D09">
              <w:t>Brigand Rodenticide Pellets</w:t>
            </w:r>
          </w:p>
        </w:tc>
        <w:tc>
          <w:tcPr>
            <w:tcW w:w="1251" w:type="pct"/>
          </w:tcPr>
          <w:p w14:paraId="533D7A84" w14:textId="77777777" w:rsidR="008E67EA" w:rsidRDefault="008E67EA" w:rsidP="00B44A74">
            <w:pPr>
              <w:pStyle w:val="GazetteTableText"/>
            </w:pPr>
            <w:r w:rsidRPr="00EC5809">
              <w:t>Pelgar International (Aus) Pty Ltd</w:t>
            </w:r>
          </w:p>
        </w:tc>
        <w:tc>
          <w:tcPr>
            <w:tcW w:w="1175" w:type="pct"/>
          </w:tcPr>
          <w:p w14:paraId="7891FC2E" w14:textId="77777777" w:rsidR="008E67EA" w:rsidRDefault="008E67EA" w:rsidP="00B44A74">
            <w:pPr>
              <w:pStyle w:val="GazetteTableText"/>
            </w:pPr>
            <w:r w:rsidRPr="00F0223E">
              <w:t>68028/57312</w:t>
            </w:r>
          </w:p>
        </w:tc>
      </w:tr>
      <w:tr w:rsidR="008E67EA" w14:paraId="184CFF43" w14:textId="77777777" w:rsidTr="00B347E8">
        <w:tc>
          <w:tcPr>
            <w:tcW w:w="648" w:type="pct"/>
          </w:tcPr>
          <w:p w14:paraId="5BAD2A2A" w14:textId="77777777" w:rsidR="008E67EA" w:rsidRDefault="008E67EA" w:rsidP="00B44A74">
            <w:pPr>
              <w:pStyle w:val="GazetteTableText"/>
            </w:pPr>
            <w:r w:rsidRPr="009A4983">
              <w:t>Brodifacoum</w:t>
            </w:r>
          </w:p>
        </w:tc>
        <w:tc>
          <w:tcPr>
            <w:tcW w:w="600" w:type="pct"/>
          </w:tcPr>
          <w:p w14:paraId="1D376D05" w14:textId="77777777" w:rsidR="008E67EA" w:rsidRDefault="008E67EA" w:rsidP="00B44A74">
            <w:pPr>
              <w:pStyle w:val="GazetteTableText"/>
            </w:pPr>
            <w:r w:rsidRPr="00674D09">
              <w:t>68122</w:t>
            </w:r>
          </w:p>
        </w:tc>
        <w:tc>
          <w:tcPr>
            <w:tcW w:w="1326" w:type="pct"/>
          </w:tcPr>
          <w:p w14:paraId="725E1189" w14:textId="77777777" w:rsidR="008E67EA" w:rsidRPr="00B75907" w:rsidRDefault="008E67EA" w:rsidP="00B44A74">
            <w:pPr>
              <w:pStyle w:val="GazetteTableText"/>
            </w:pPr>
            <w:r w:rsidRPr="00674D09">
              <w:t>Pestmaster Rat &amp; Mouse Killer Wax Blocks</w:t>
            </w:r>
          </w:p>
        </w:tc>
        <w:tc>
          <w:tcPr>
            <w:tcW w:w="1251" w:type="pct"/>
          </w:tcPr>
          <w:p w14:paraId="1DD3A1DE" w14:textId="77777777" w:rsidR="008E67EA" w:rsidRDefault="008E67EA" w:rsidP="00B44A74">
            <w:pPr>
              <w:pStyle w:val="GazetteTableText"/>
            </w:pPr>
            <w:r w:rsidRPr="00EC5809">
              <w:t>Triox Pty. Ltd.</w:t>
            </w:r>
          </w:p>
        </w:tc>
        <w:tc>
          <w:tcPr>
            <w:tcW w:w="1175" w:type="pct"/>
          </w:tcPr>
          <w:p w14:paraId="5AF5871B" w14:textId="77777777" w:rsidR="008E67EA" w:rsidRDefault="008E67EA" w:rsidP="00B44A74">
            <w:pPr>
              <w:pStyle w:val="GazetteTableText"/>
            </w:pPr>
            <w:r w:rsidRPr="00F0223E">
              <w:t>68122/57559</w:t>
            </w:r>
          </w:p>
        </w:tc>
      </w:tr>
      <w:tr w:rsidR="008E67EA" w14:paraId="1FA302D7" w14:textId="77777777" w:rsidTr="00B347E8">
        <w:tc>
          <w:tcPr>
            <w:tcW w:w="648" w:type="pct"/>
          </w:tcPr>
          <w:p w14:paraId="5CE968C2" w14:textId="77777777" w:rsidR="008E67EA" w:rsidRDefault="008E67EA" w:rsidP="00B44A74">
            <w:pPr>
              <w:pStyle w:val="GazetteTableText"/>
            </w:pPr>
            <w:r w:rsidRPr="009A4983">
              <w:t>Brodifacoum</w:t>
            </w:r>
          </w:p>
        </w:tc>
        <w:tc>
          <w:tcPr>
            <w:tcW w:w="600" w:type="pct"/>
          </w:tcPr>
          <w:p w14:paraId="0164B5E5" w14:textId="77777777" w:rsidR="008E67EA" w:rsidRDefault="008E67EA" w:rsidP="00B44A74">
            <w:pPr>
              <w:pStyle w:val="GazetteTableText"/>
            </w:pPr>
            <w:r w:rsidRPr="00674D09">
              <w:t>69017</w:t>
            </w:r>
          </w:p>
        </w:tc>
        <w:tc>
          <w:tcPr>
            <w:tcW w:w="1326" w:type="pct"/>
          </w:tcPr>
          <w:p w14:paraId="0FA2B663" w14:textId="77777777" w:rsidR="008E67EA" w:rsidRPr="00B75907" w:rsidRDefault="008E67EA" w:rsidP="00B44A74">
            <w:pPr>
              <w:pStyle w:val="GazetteTableText"/>
            </w:pPr>
            <w:r w:rsidRPr="00674D09">
              <w:t>Fast Action Ratsak Reusable Mouse Bait Station with Wax Blocks</w:t>
            </w:r>
          </w:p>
        </w:tc>
        <w:tc>
          <w:tcPr>
            <w:tcW w:w="1251" w:type="pct"/>
          </w:tcPr>
          <w:p w14:paraId="703B9D2D" w14:textId="77777777" w:rsidR="008E67EA" w:rsidRDefault="008E67EA" w:rsidP="00B44A74">
            <w:pPr>
              <w:pStyle w:val="GazetteTableText"/>
            </w:pPr>
            <w:r w:rsidRPr="00EC5809">
              <w:t>Duluxgroup (Australia) Pty Ltd</w:t>
            </w:r>
          </w:p>
        </w:tc>
        <w:tc>
          <w:tcPr>
            <w:tcW w:w="1175" w:type="pct"/>
          </w:tcPr>
          <w:p w14:paraId="3A09A8F1" w14:textId="77777777" w:rsidR="008E67EA" w:rsidRDefault="008E67EA" w:rsidP="00B44A74">
            <w:pPr>
              <w:pStyle w:val="GazetteTableText"/>
            </w:pPr>
            <w:r w:rsidRPr="008B3DA7">
              <w:t>69017/129476, 69017/59659</w:t>
            </w:r>
          </w:p>
        </w:tc>
      </w:tr>
      <w:tr w:rsidR="008E67EA" w14:paraId="2EEDC01E" w14:textId="77777777" w:rsidTr="00B347E8">
        <w:tc>
          <w:tcPr>
            <w:tcW w:w="648" w:type="pct"/>
          </w:tcPr>
          <w:p w14:paraId="4BB0AB0D" w14:textId="77777777" w:rsidR="008E67EA" w:rsidRDefault="008E67EA" w:rsidP="00B44A74">
            <w:pPr>
              <w:pStyle w:val="GazetteTableText"/>
            </w:pPr>
            <w:r w:rsidRPr="009A4983">
              <w:t>Brodifacoum</w:t>
            </w:r>
          </w:p>
        </w:tc>
        <w:tc>
          <w:tcPr>
            <w:tcW w:w="600" w:type="pct"/>
          </w:tcPr>
          <w:p w14:paraId="539EED5C" w14:textId="77777777" w:rsidR="008E67EA" w:rsidRDefault="008E67EA" w:rsidP="00B44A74">
            <w:pPr>
              <w:pStyle w:val="GazetteTableText"/>
            </w:pPr>
            <w:r w:rsidRPr="00674D09">
              <w:t>69119</w:t>
            </w:r>
          </w:p>
        </w:tc>
        <w:tc>
          <w:tcPr>
            <w:tcW w:w="1326" w:type="pct"/>
          </w:tcPr>
          <w:p w14:paraId="1304C1E2" w14:textId="77777777" w:rsidR="008E67EA" w:rsidRPr="00B75907" w:rsidRDefault="008E67EA" w:rsidP="00B44A74">
            <w:pPr>
              <w:pStyle w:val="GazetteTableText"/>
            </w:pPr>
            <w:r w:rsidRPr="00674D09">
              <w:t>Fast Action Ratsak Reusable Rodent Bait Station with Wax Blocks</w:t>
            </w:r>
          </w:p>
        </w:tc>
        <w:tc>
          <w:tcPr>
            <w:tcW w:w="1251" w:type="pct"/>
          </w:tcPr>
          <w:p w14:paraId="388EBE50" w14:textId="77777777" w:rsidR="008E67EA" w:rsidRDefault="008E67EA" w:rsidP="00B44A74">
            <w:pPr>
              <w:pStyle w:val="GazetteTableText"/>
            </w:pPr>
            <w:r w:rsidRPr="00EC5809">
              <w:t>Duluxgroup (Australia) Pty Ltd</w:t>
            </w:r>
          </w:p>
        </w:tc>
        <w:tc>
          <w:tcPr>
            <w:tcW w:w="1175" w:type="pct"/>
          </w:tcPr>
          <w:p w14:paraId="5727DA47" w14:textId="77777777" w:rsidR="008E67EA" w:rsidRDefault="008E67EA" w:rsidP="00B44A74">
            <w:pPr>
              <w:pStyle w:val="GazetteTableText"/>
            </w:pPr>
            <w:r w:rsidRPr="008B3DA7">
              <w:t>69119/60011</w:t>
            </w:r>
          </w:p>
        </w:tc>
      </w:tr>
      <w:tr w:rsidR="008E67EA" w14:paraId="00084141" w14:textId="77777777" w:rsidTr="00B347E8">
        <w:tc>
          <w:tcPr>
            <w:tcW w:w="648" w:type="pct"/>
          </w:tcPr>
          <w:p w14:paraId="71F00F12" w14:textId="77777777" w:rsidR="008E67EA" w:rsidRDefault="008E67EA" w:rsidP="00B44A74">
            <w:pPr>
              <w:pStyle w:val="GazetteTableText"/>
            </w:pPr>
            <w:r w:rsidRPr="009A4983">
              <w:t>Brodifacoum</w:t>
            </w:r>
          </w:p>
        </w:tc>
        <w:tc>
          <w:tcPr>
            <w:tcW w:w="600" w:type="pct"/>
          </w:tcPr>
          <w:p w14:paraId="217F0D04" w14:textId="77777777" w:rsidR="008E67EA" w:rsidRDefault="008E67EA" w:rsidP="00B44A74">
            <w:pPr>
              <w:pStyle w:val="GazetteTableText"/>
            </w:pPr>
            <w:r w:rsidRPr="00674D09">
              <w:t>69158</w:t>
            </w:r>
          </w:p>
        </w:tc>
        <w:tc>
          <w:tcPr>
            <w:tcW w:w="1326" w:type="pct"/>
          </w:tcPr>
          <w:p w14:paraId="22232673" w14:textId="77777777" w:rsidR="008E67EA" w:rsidRPr="00B75907" w:rsidRDefault="008E67EA" w:rsidP="00B44A74">
            <w:pPr>
              <w:pStyle w:val="GazetteTableText"/>
            </w:pPr>
            <w:r w:rsidRPr="00674D09">
              <w:t>Fast Action Ratsak Disposable Mouse Bait Station with Wax Block</w:t>
            </w:r>
          </w:p>
        </w:tc>
        <w:tc>
          <w:tcPr>
            <w:tcW w:w="1251" w:type="pct"/>
          </w:tcPr>
          <w:p w14:paraId="3986D502" w14:textId="77777777" w:rsidR="008E67EA" w:rsidRDefault="008E67EA" w:rsidP="00B44A74">
            <w:pPr>
              <w:pStyle w:val="GazetteTableText"/>
            </w:pPr>
            <w:r w:rsidRPr="00EC5809">
              <w:t>Duluxgroup (Australia) Pty Ltd</w:t>
            </w:r>
          </w:p>
        </w:tc>
        <w:tc>
          <w:tcPr>
            <w:tcW w:w="1175" w:type="pct"/>
          </w:tcPr>
          <w:p w14:paraId="04A66F4B" w14:textId="77777777" w:rsidR="008E67EA" w:rsidRDefault="008E67EA" w:rsidP="00B44A74">
            <w:pPr>
              <w:pStyle w:val="GazetteTableText"/>
            </w:pPr>
            <w:r w:rsidRPr="008B3DA7">
              <w:t>69158/60095</w:t>
            </w:r>
          </w:p>
        </w:tc>
      </w:tr>
      <w:tr w:rsidR="008E67EA" w14:paraId="7959351D" w14:textId="77777777" w:rsidTr="00B347E8">
        <w:tc>
          <w:tcPr>
            <w:tcW w:w="648" w:type="pct"/>
          </w:tcPr>
          <w:p w14:paraId="57BC0625" w14:textId="77777777" w:rsidR="008E67EA" w:rsidRDefault="008E67EA" w:rsidP="00B44A74">
            <w:pPr>
              <w:pStyle w:val="GazetteTableText"/>
            </w:pPr>
            <w:r w:rsidRPr="009A4983">
              <w:t>Brodifacoum</w:t>
            </w:r>
          </w:p>
        </w:tc>
        <w:tc>
          <w:tcPr>
            <w:tcW w:w="600" w:type="pct"/>
          </w:tcPr>
          <w:p w14:paraId="6344A7BC" w14:textId="77777777" w:rsidR="008E67EA" w:rsidRDefault="008E67EA" w:rsidP="00B44A74">
            <w:pPr>
              <w:pStyle w:val="GazetteTableText"/>
            </w:pPr>
            <w:r w:rsidRPr="00674D09">
              <w:t>69209</w:t>
            </w:r>
          </w:p>
        </w:tc>
        <w:tc>
          <w:tcPr>
            <w:tcW w:w="1326" w:type="pct"/>
          </w:tcPr>
          <w:p w14:paraId="5BE3CD28" w14:textId="77777777" w:rsidR="008E67EA" w:rsidRPr="00B75907" w:rsidRDefault="008E67EA" w:rsidP="00B44A74">
            <w:pPr>
              <w:pStyle w:val="GazetteTableText"/>
            </w:pPr>
            <w:r w:rsidRPr="00674D09">
              <w:t>Ratshot Rapidkill Rodenticide Blocks</w:t>
            </w:r>
          </w:p>
        </w:tc>
        <w:tc>
          <w:tcPr>
            <w:tcW w:w="1251" w:type="pct"/>
          </w:tcPr>
          <w:p w14:paraId="4D426D05" w14:textId="77777777" w:rsidR="008E67EA" w:rsidRDefault="008E67EA" w:rsidP="00B44A74">
            <w:pPr>
              <w:pStyle w:val="GazetteTableText"/>
            </w:pPr>
            <w:r w:rsidRPr="00EC5809">
              <w:t>Freezone Public Health Pty Ltd</w:t>
            </w:r>
          </w:p>
        </w:tc>
        <w:tc>
          <w:tcPr>
            <w:tcW w:w="1175" w:type="pct"/>
          </w:tcPr>
          <w:p w14:paraId="085D2B77" w14:textId="77777777" w:rsidR="008E67EA" w:rsidRDefault="008E67EA" w:rsidP="00B44A74">
            <w:pPr>
              <w:pStyle w:val="GazetteTableText"/>
            </w:pPr>
            <w:r w:rsidRPr="008B3DA7">
              <w:t>69209/105162, 69209/60250</w:t>
            </w:r>
          </w:p>
        </w:tc>
      </w:tr>
      <w:tr w:rsidR="008E67EA" w14:paraId="6C437C37" w14:textId="77777777" w:rsidTr="00B347E8">
        <w:tc>
          <w:tcPr>
            <w:tcW w:w="648" w:type="pct"/>
          </w:tcPr>
          <w:p w14:paraId="6E57A546" w14:textId="77777777" w:rsidR="008E67EA" w:rsidRDefault="008E67EA" w:rsidP="00B44A74">
            <w:pPr>
              <w:pStyle w:val="GazetteTableText"/>
            </w:pPr>
            <w:r w:rsidRPr="009A4983">
              <w:t>Brodifacoum</w:t>
            </w:r>
          </w:p>
        </w:tc>
        <w:tc>
          <w:tcPr>
            <w:tcW w:w="600" w:type="pct"/>
          </w:tcPr>
          <w:p w14:paraId="336C657E" w14:textId="77777777" w:rsidR="008E67EA" w:rsidRDefault="008E67EA" w:rsidP="00B44A74">
            <w:pPr>
              <w:pStyle w:val="GazetteTableText"/>
            </w:pPr>
            <w:r w:rsidRPr="00674D09">
              <w:t>69210</w:t>
            </w:r>
          </w:p>
        </w:tc>
        <w:tc>
          <w:tcPr>
            <w:tcW w:w="1326" w:type="pct"/>
          </w:tcPr>
          <w:p w14:paraId="607E5E60" w14:textId="77777777" w:rsidR="008E67EA" w:rsidRPr="00B75907" w:rsidRDefault="008E67EA" w:rsidP="00B44A74">
            <w:pPr>
              <w:pStyle w:val="GazetteTableText"/>
            </w:pPr>
            <w:r w:rsidRPr="00674D09">
              <w:t>Ratshot Final Kill Paste Rodenticide</w:t>
            </w:r>
          </w:p>
        </w:tc>
        <w:tc>
          <w:tcPr>
            <w:tcW w:w="1251" w:type="pct"/>
          </w:tcPr>
          <w:p w14:paraId="6AF76D47" w14:textId="77777777" w:rsidR="008E67EA" w:rsidRDefault="008E67EA" w:rsidP="00B44A74">
            <w:pPr>
              <w:pStyle w:val="GazetteTableText"/>
            </w:pPr>
            <w:r w:rsidRPr="00EC5809">
              <w:t>Freezone Public Health Pty Ltd</w:t>
            </w:r>
          </w:p>
        </w:tc>
        <w:tc>
          <w:tcPr>
            <w:tcW w:w="1175" w:type="pct"/>
          </w:tcPr>
          <w:p w14:paraId="312825EB" w14:textId="77777777" w:rsidR="008E67EA" w:rsidRDefault="008E67EA" w:rsidP="00B44A74">
            <w:pPr>
              <w:pStyle w:val="GazetteTableText"/>
            </w:pPr>
            <w:r w:rsidRPr="008B3DA7">
              <w:t>69210/60254</w:t>
            </w:r>
          </w:p>
        </w:tc>
      </w:tr>
      <w:tr w:rsidR="008E67EA" w14:paraId="4E9CFBFE" w14:textId="77777777" w:rsidTr="00B347E8">
        <w:tc>
          <w:tcPr>
            <w:tcW w:w="648" w:type="pct"/>
          </w:tcPr>
          <w:p w14:paraId="74012DA2" w14:textId="77777777" w:rsidR="008E67EA" w:rsidRDefault="008E67EA" w:rsidP="00B44A74">
            <w:pPr>
              <w:pStyle w:val="GazetteTableText"/>
            </w:pPr>
            <w:r w:rsidRPr="009A4983">
              <w:t>Brodifacoum</w:t>
            </w:r>
          </w:p>
        </w:tc>
        <w:tc>
          <w:tcPr>
            <w:tcW w:w="600" w:type="pct"/>
          </w:tcPr>
          <w:p w14:paraId="6C40902B" w14:textId="77777777" w:rsidR="008E67EA" w:rsidRDefault="008E67EA" w:rsidP="00B44A74">
            <w:pPr>
              <w:pStyle w:val="GazetteTableText"/>
            </w:pPr>
            <w:r w:rsidRPr="00674D09">
              <w:t>69643</w:t>
            </w:r>
          </w:p>
        </w:tc>
        <w:tc>
          <w:tcPr>
            <w:tcW w:w="1326" w:type="pct"/>
          </w:tcPr>
          <w:p w14:paraId="03E7A641" w14:textId="77777777" w:rsidR="008E67EA" w:rsidRPr="00B75907" w:rsidRDefault="008E67EA" w:rsidP="00B44A74">
            <w:pPr>
              <w:pStyle w:val="GazetteTableText"/>
            </w:pPr>
            <w:r w:rsidRPr="00674D09">
              <w:t>Ratal B Rat Blocks</w:t>
            </w:r>
          </w:p>
        </w:tc>
        <w:tc>
          <w:tcPr>
            <w:tcW w:w="1251" w:type="pct"/>
          </w:tcPr>
          <w:p w14:paraId="68E1BCFD" w14:textId="77777777" w:rsidR="008E67EA" w:rsidRDefault="008E67EA" w:rsidP="00B44A74">
            <w:pPr>
              <w:pStyle w:val="GazetteTableText"/>
            </w:pPr>
            <w:r w:rsidRPr="00EC5809">
              <w:t>Oztec Rural Pty Limited</w:t>
            </w:r>
          </w:p>
        </w:tc>
        <w:tc>
          <w:tcPr>
            <w:tcW w:w="1175" w:type="pct"/>
          </w:tcPr>
          <w:p w14:paraId="371C2AA6" w14:textId="77777777" w:rsidR="008E67EA" w:rsidRDefault="008E67EA" w:rsidP="00B44A74">
            <w:pPr>
              <w:pStyle w:val="GazetteTableText"/>
            </w:pPr>
            <w:r w:rsidRPr="008B3DA7">
              <w:t>69643/61308</w:t>
            </w:r>
          </w:p>
        </w:tc>
      </w:tr>
      <w:tr w:rsidR="008E67EA" w14:paraId="5CA7F1CB" w14:textId="77777777" w:rsidTr="00B347E8">
        <w:tc>
          <w:tcPr>
            <w:tcW w:w="648" w:type="pct"/>
          </w:tcPr>
          <w:p w14:paraId="777C295E" w14:textId="77777777" w:rsidR="008E67EA" w:rsidRDefault="008E67EA" w:rsidP="00B44A74">
            <w:pPr>
              <w:pStyle w:val="GazetteTableText"/>
            </w:pPr>
            <w:r w:rsidRPr="009A4983">
              <w:t>Brodifacoum</w:t>
            </w:r>
          </w:p>
        </w:tc>
        <w:tc>
          <w:tcPr>
            <w:tcW w:w="600" w:type="pct"/>
          </w:tcPr>
          <w:p w14:paraId="714C0324" w14:textId="77777777" w:rsidR="008E67EA" w:rsidRDefault="008E67EA" w:rsidP="00B44A74">
            <w:pPr>
              <w:pStyle w:val="GazetteTableText"/>
            </w:pPr>
            <w:r w:rsidRPr="00674D09">
              <w:t>69867</w:t>
            </w:r>
          </w:p>
        </w:tc>
        <w:tc>
          <w:tcPr>
            <w:tcW w:w="1326" w:type="pct"/>
          </w:tcPr>
          <w:p w14:paraId="0C216FFF" w14:textId="77777777" w:rsidR="008E67EA" w:rsidRPr="00B75907" w:rsidRDefault="008E67EA" w:rsidP="00B44A74">
            <w:pPr>
              <w:pStyle w:val="GazetteTableText"/>
            </w:pPr>
            <w:r w:rsidRPr="00674D09">
              <w:t>Klerat Xt Pro Rodenticide Wax Blocks</w:t>
            </w:r>
          </w:p>
        </w:tc>
        <w:tc>
          <w:tcPr>
            <w:tcW w:w="1251" w:type="pct"/>
          </w:tcPr>
          <w:p w14:paraId="79D23D1C" w14:textId="77777777" w:rsidR="008E67EA" w:rsidRDefault="008E67EA" w:rsidP="00B44A74">
            <w:pPr>
              <w:pStyle w:val="GazetteTableText"/>
            </w:pPr>
            <w:r w:rsidRPr="00EC5809">
              <w:t>Syngenta Australia Pty Ltd</w:t>
            </w:r>
          </w:p>
        </w:tc>
        <w:tc>
          <w:tcPr>
            <w:tcW w:w="1175" w:type="pct"/>
          </w:tcPr>
          <w:p w14:paraId="117F5336" w14:textId="77777777" w:rsidR="008E67EA" w:rsidRDefault="008E67EA" w:rsidP="00B44A74">
            <w:pPr>
              <w:pStyle w:val="GazetteTableText"/>
            </w:pPr>
            <w:r w:rsidRPr="008B3DA7">
              <w:t>69867/61920</w:t>
            </w:r>
          </w:p>
        </w:tc>
      </w:tr>
      <w:tr w:rsidR="008E67EA" w14:paraId="27150BD8" w14:textId="77777777" w:rsidTr="00B347E8">
        <w:tc>
          <w:tcPr>
            <w:tcW w:w="648" w:type="pct"/>
          </w:tcPr>
          <w:p w14:paraId="31F3D4E9" w14:textId="77777777" w:rsidR="008E67EA" w:rsidRDefault="008E67EA" w:rsidP="00B44A74">
            <w:pPr>
              <w:pStyle w:val="GazetteTableText"/>
            </w:pPr>
            <w:r w:rsidRPr="009A4983">
              <w:t>Brodifacoum</w:t>
            </w:r>
          </w:p>
        </w:tc>
        <w:tc>
          <w:tcPr>
            <w:tcW w:w="600" w:type="pct"/>
          </w:tcPr>
          <w:p w14:paraId="723BB227" w14:textId="77777777" w:rsidR="008E67EA" w:rsidRDefault="008E67EA" w:rsidP="00B44A74">
            <w:pPr>
              <w:pStyle w:val="GazetteTableText"/>
            </w:pPr>
            <w:r w:rsidRPr="00674D09">
              <w:t>80029</w:t>
            </w:r>
          </w:p>
        </w:tc>
        <w:tc>
          <w:tcPr>
            <w:tcW w:w="1326" w:type="pct"/>
          </w:tcPr>
          <w:p w14:paraId="772E7541" w14:textId="77777777" w:rsidR="008E67EA" w:rsidRPr="00B75907" w:rsidRDefault="008E67EA" w:rsidP="00B44A74">
            <w:pPr>
              <w:pStyle w:val="GazetteTableText"/>
            </w:pPr>
            <w:r w:rsidRPr="00674D09">
              <w:t>Ratshot One Shot Rodenticide Pellets</w:t>
            </w:r>
          </w:p>
        </w:tc>
        <w:tc>
          <w:tcPr>
            <w:tcW w:w="1251" w:type="pct"/>
          </w:tcPr>
          <w:p w14:paraId="4C553ED1" w14:textId="77777777" w:rsidR="008E67EA" w:rsidRDefault="008E67EA" w:rsidP="00B44A74">
            <w:pPr>
              <w:pStyle w:val="GazetteTableText"/>
            </w:pPr>
            <w:r w:rsidRPr="00EC5809">
              <w:t>Freezone Public Health Pty Ltd</w:t>
            </w:r>
          </w:p>
        </w:tc>
        <w:tc>
          <w:tcPr>
            <w:tcW w:w="1175" w:type="pct"/>
          </w:tcPr>
          <w:p w14:paraId="7D57A9AB" w14:textId="77777777" w:rsidR="008E67EA" w:rsidRDefault="008E67EA" w:rsidP="00B44A74">
            <w:pPr>
              <w:pStyle w:val="GazetteTableText"/>
            </w:pPr>
            <w:r w:rsidRPr="008B3DA7">
              <w:t>80029/100069</w:t>
            </w:r>
          </w:p>
        </w:tc>
      </w:tr>
      <w:tr w:rsidR="008E67EA" w14:paraId="64C57101" w14:textId="77777777" w:rsidTr="00B347E8">
        <w:tc>
          <w:tcPr>
            <w:tcW w:w="648" w:type="pct"/>
          </w:tcPr>
          <w:p w14:paraId="6D7427B8" w14:textId="77777777" w:rsidR="008E67EA" w:rsidRDefault="008E67EA" w:rsidP="00B44A74">
            <w:pPr>
              <w:pStyle w:val="GazetteTableText"/>
            </w:pPr>
            <w:r w:rsidRPr="009A4983">
              <w:t>Brodifacoum</w:t>
            </w:r>
          </w:p>
        </w:tc>
        <w:tc>
          <w:tcPr>
            <w:tcW w:w="600" w:type="pct"/>
          </w:tcPr>
          <w:p w14:paraId="1C24BE46" w14:textId="77777777" w:rsidR="008E67EA" w:rsidRDefault="008E67EA" w:rsidP="00B44A74">
            <w:pPr>
              <w:pStyle w:val="GazetteTableText"/>
            </w:pPr>
            <w:r w:rsidRPr="00674D09">
              <w:t>80059</w:t>
            </w:r>
          </w:p>
        </w:tc>
        <w:tc>
          <w:tcPr>
            <w:tcW w:w="1326" w:type="pct"/>
          </w:tcPr>
          <w:p w14:paraId="48A443CB" w14:textId="77777777" w:rsidR="008E67EA" w:rsidRPr="00B75907" w:rsidRDefault="008E67EA" w:rsidP="00B44A74">
            <w:pPr>
              <w:pStyle w:val="GazetteTableText"/>
            </w:pPr>
            <w:r w:rsidRPr="00674D09">
              <w:t>Farmalinx Rodi Pellets</w:t>
            </w:r>
          </w:p>
        </w:tc>
        <w:tc>
          <w:tcPr>
            <w:tcW w:w="1251" w:type="pct"/>
          </w:tcPr>
          <w:p w14:paraId="60C99DB5" w14:textId="77777777" w:rsidR="008E67EA" w:rsidRDefault="008E67EA" w:rsidP="00B44A74">
            <w:pPr>
              <w:pStyle w:val="GazetteTableText"/>
            </w:pPr>
            <w:r w:rsidRPr="00EC5809">
              <w:t>Farmalinx Pty Ltd</w:t>
            </w:r>
          </w:p>
        </w:tc>
        <w:tc>
          <w:tcPr>
            <w:tcW w:w="1175" w:type="pct"/>
          </w:tcPr>
          <w:p w14:paraId="31B4163A" w14:textId="77777777" w:rsidR="008E67EA" w:rsidRDefault="008E67EA" w:rsidP="00B44A74">
            <w:pPr>
              <w:pStyle w:val="GazetteTableText"/>
            </w:pPr>
            <w:r w:rsidRPr="008B3DA7">
              <w:t>80059/100142</w:t>
            </w:r>
          </w:p>
        </w:tc>
      </w:tr>
      <w:tr w:rsidR="008E67EA" w14:paraId="708C45BA" w14:textId="77777777" w:rsidTr="00B347E8">
        <w:tc>
          <w:tcPr>
            <w:tcW w:w="648" w:type="pct"/>
          </w:tcPr>
          <w:p w14:paraId="058D2D93" w14:textId="77777777" w:rsidR="008E67EA" w:rsidRDefault="008E67EA" w:rsidP="00B44A74">
            <w:pPr>
              <w:pStyle w:val="GazetteTableText"/>
            </w:pPr>
            <w:r w:rsidRPr="009A4983">
              <w:t>Brodifacoum</w:t>
            </w:r>
          </w:p>
        </w:tc>
        <w:tc>
          <w:tcPr>
            <w:tcW w:w="600" w:type="pct"/>
          </w:tcPr>
          <w:p w14:paraId="141A1DB2" w14:textId="77777777" w:rsidR="008E67EA" w:rsidRDefault="008E67EA" w:rsidP="00B44A74">
            <w:pPr>
              <w:pStyle w:val="GazetteTableText"/>
            </w:pPr>
            <w:r w:rsidRPr="00674D09">
              <w:t>81663</w:t>
            </w:r>
          </w:p>
        </w:tc>
        <w:tc>
          <w:tcPr>
            <w:tcW w:w="1326" w:type="pct"/>
          </w:tcPr>
          <w:p w14:paraId="48F1FF78" w14:textId="77777777" w:rsidR="008E67EA" w:rsidRPr="00B75907" w:rsidRDefault="008E67EA" w:rsidP="00B44A74">
            <w:pPr>
              <w:pStyle w:val="GazetteTableText"/>
            </w:pPr>
            <w:r w:rsidRPr="00674D09">
              <w:t>The Big Cheese Ultra Power Fast Action Bait Blocks</w:t>
            </w:r>
          </w:p>
        </w:tc>
        <w:tc>
          <w:tcPr>
            <w:tcW w:w="1251" w:type="pct"/>
          </w:tcPr>
          <w:p w14:paraId="06E27537" w14:textId="77777777" w:rsidR="008E67EA" w:rsidRDefault="008E67EA" w:rsidP="00B44A74">
            <w:pPr>
              <w:pStyle w:val="GazetteTableText"/>
              <w:ind w:left="720" w:hanging="720"/>
            </w:pPr>
            <w:r w:rsidRPr="00EC5809">
              <w:t>Pelgar International (Aus) Pty Ltd</w:t>
            </w:r>
          </w:p>
        </w:tc>
        <w:tc>
          <w:tcPr>
            <w:tcW w:w="1175" w:type="pct"/>
          </w:tcPr>
          <w:p w14:paraId="38B7718F" w14:textId="77777777" w:rsidR="008E67EA" w:rsidRDefault="008E67EA" w:rsidP="00B44A74">
            <w:pPr>
              <w:pStyle w:val="GazetteTableText"/>
            </w:pPr>
            <w:r w:rsidRPr="00F62D21">
              <w:t>81663/103579, 81663/146689</w:t>
            </w:r>
          </w:p>
        </w:tc>
      </w:tr>
      <w:tr w:rsidR="008E67EA" w14:paraId="16B6482B" w14:textId="77777777" w:rsidTr="00B347E8">
        <w:tc>
          <w:tcPr>
            <w:tcW w:w="648" w:type="pct"/>
          </w:tcPr>
          <w:p w14:paraId="505BD50C" w14:textId="77777777" w:rsidR="008E67EA" w:rsidRDefault="008E67EA" w:rsidP="00B44A74">
            <w:pPr>
              <w:pStyle w:val="GazetteTableText"/>
            </w:pPr>
            <w:r w:rsidRPr="009A4983">
              <w:t>Brodifacoum</w:t>
            </w:r>
          </w:p>
        </w:tc>
        <w:tc>
          <w:tcPr>
            <w:tcW w:w="600" w:type="pct"/>
          </w:tcPr>
          <w:p w14:paraId="6E091D86" w14:textId="77777777" w:rsidR="008E67EA" w:rsidRDefault="008E67EA" w:rsidP="00B44A74">
            <w:pPr>
              <w:pStyle w:val="GazetteTableText"/>
            </w:pPr>
            <w:r w:rsidRPr="00674D09">
              <w:t>81664</w:t>
            </w:r>
          </w:p>
        </w:tc>
        <w:tc>
          <w:tcPr>
            <w:tcW w:w="1326" w:type="pct"/>
          </w:tcPr>
          <w:p w14:paraId="6EBE9AA8" w14:textId="77777777" w:rsidR="008E67EA" w:rsidRPr="00B75907" w:rsidRDefault="008E67EA" w:rsidP="00B44A74">
            <w:pPr>
              <w:pStyle w:val="GazetteTableText"/>
            </w:pPr>
            <w:r w:rsidRPr="00674D09">
              <w:t>The Big Cheese Ultra Power Rat Kill Bait Station</w:t>
            </w:r>
          </w:p>
        </w:tc>
        <w:tc>
          <w:tcPr>
            <w:tcW w:w="1251" w:type="pct"/>
          </w:tcPr>
          <w:p w14:paraId="21401E56" w14:textId="77777777" w:rsidR="008E67EA" w:rsidRDefault="008E67EA" w:rsidP="00B44A74">
            <w:pPr>
              <w:pStyle w:val="GazetteTableText"/>
            </w:pPr>
            <w:r w:rsidRPr="00EC5809">
              <w:t>Pelgar International (Aus) Pty Ltd</w:t>
            </w:r>
          </w:p>
        </w:tc>
        <w:tc>
          <w:tcPr>
            <w:tcW w:w="1175" w:type="pct"/>
          </w:tcPr>
          <w:p w14:paraId="33D89419" w14:textId="77777777" w:rsidR="008E67EA" w:rsidRDefault="008E67EA" w:rsidP="00B44A74">
            <w:pPr>
              <w:pStyle w:val="GazetteTableText"/>
            </w:pPr>
            <w:r w:rsidRPr="00F62D21">
              <w:t>81664/103580</w:t>
            </w:r>
          </w:p>
        </w:tc>
      </w:tr>
      <w:tr w:rsidR="008E67EA" w14:paraId="26905A66" w14:textId="77777777" w:rsidTr="00B347E8">
        <w:tc>
          <w:tcPr>
            <w:tcW w:w="648" w:type="pct"/>
          </w:tcPr>
          <w:p w14:paraId="69FB5F3A" w14:textId="77777777" w:rsidR="008E67EA" w:rsidRDefault="008E67EA" w:rsidP="00B44A74">
            <w:pPr>
              <w:pStyle w:val="GazetteTableText"/>
            </w:pPr>
            <w:r w:rsidRPr="009A4983">
              <w:lastRenderedPageBreak/>
              <w:t>Brodifacoum</w:t>
            </w:r>
          </w:p>
        </w:tc>
        <w:tc>
          <w:tcPr>
            <w:tcW w:w="600" w:type="pct"/>
          </w:tcPr>
          <w:p w14:paraId="6B812A74" w14:textId="77777777" w:rsidR="008E67EA" w:rsidRDefault="008E67EA" w:rsidP="00B44A74">
            <w:pPr>
              <w:pStyle w:val="GazetteTableText"/>
            </w:pPr>
            <w:r w:rsidRPr="00674D09">
              <w:t>81665</w:t>
            </w:r>
          </w:p>
        </w:tc>
        <w:tc>
          <w:tcPr>
            <w:tcW w:w="1326" w:type="pct"/>
          </w:tcPr>
          <w:p w14:paraId="5546A40B" w14:textId="77777777" w:rsidR="008E67EA" w:rsidRPr="00B75907" w:rsidRDefault="008E67EA" w:rsidP="00B44A74">
            <w:pPr>
              <w:pStyle w:val="GazetteTableText"/>
            </w:pPr>
            <w:r w:rsidRPr="00674D09">
              <w:t>The Big Cheese Ultra Power Mouse Kill Bait Station</w:t>
            </w:r>
          </w:p>
        </w:tc>
        <w:tc>
          <w:tcPr>
            <w:tcW w:w="1251" w:type="pct"/>
          </w:tcPr>
          <w:p w14:paraId="1210163C" w14:textId="77777777" w:rsidR="008E67EA" w:rsidRDefault="008E67EA" w:rsidP="00B44A74">
            <w:pPr>
              <w:pStyle w:val="GazetteTableText"/>
            </w:pPr>
            <w:r w:rsidRPr="00EC5809">
              <w:t>Pelgar International (Aus) Pty Ltd</w:t>
            </w:r>
          </w:p>
        </w:tc>
        <w:tc>
          <w:tcPr>
            <w:tcW w:w="1175" w:type="pct"/>
          </w:tcPr>
          <w:p w14:paraId="0E31C647" w14:textId="77777777" w:rsidR="008E67EA" w:rsidRDefault="008E67EA" w:rsidP="00B44A74">
            <w:pPr>
              <w:pStyle w:val="GazetteTableText"/>
            </w:pPr>
            <w:r w:rsidRPr="00F62D21">
              <w:t>81665/103581</w:t>
            </w:r>
          </w:p>
        </w:tc>
      </w:tr>
      <w:tr w:rsidR="008E67EA" w14:paraId="35E6878B" w14:textId="77777777" w:rsidTr="00B347E8">
        <w:tc>
          <w:tcPr>
            <w:tcW w:w="648" w:type="pct"/>
          </w:tcPr>
          <w:p w14:paraId="0AE8D546" w14:textId="77777777" w:rsidR="008E67EA" w:rsidRDefault="008E67EA" w:rsidP="00B44A74">
            <w:pPr>
              <w:pStyle w:val="GazetteTableText"/>
            </w:pPr>
            <w:r w:rsidRPr="009A4983">
              <w:t>Brodifacoum</w:t>
            </w:r>
          </w:p>
        </w:tc>
        <w:tc>
          <w:tcPr>
            <w:tcW w:w="600" w:type="pct"/>
          </w:tcPr>
          <w:p w14:paraId="214A8638" w14:textId="77777777" w:rsidR="008E67EA" w:rsidRDefault="008E67EA" w:rsidP="00B44A74">
            <w:pPr>
              <w:pStyle w:val="GazetteTableText"/>
            </w:pPr>
            <w:r w:rsidRPr="00674D09">
              <w:t>81666</w:t>
            </w:r>
          </w:p>
        </w:tc>
        <w:tc>
          <w:tcPr>
            <w:tcW w:w="1326" w:type="pct"/>
          </w:tcPr>
          <w:p w14:paraId="430BD721" w14:textId="77777777" w:rsidR="008E67EA" w:rsidRPr="00B75907" w:rsidRDefault="008E67EA" w:rsidP="00B44A74">
            <w:pPr>
              <w:pStyle w:val="GazetteTableText"/>
            </w:pPr>
            <w:r w:rsidRPr="00674D09">
              <w:t>The Big Cheese Ultra Power Fast Action Bait Packs</w:t>
            </w:r>
          </w:p>
        </w:tc>
        <w:tc>
          <w:tcPr>
            <w:tcW w:w="1251" w:type="pct"/>
          </w:tcPr>
          <w:p w14:paraId="3848DD16" w14:textId="77777777" w:rsidR="008E67EA" w:rsidRDefault="008E67EA" w:rsidP="00B44A74">
            <w:pPr>
              <w:pStyle w:val="GazetteTableText"/>
            </w:pPr>
            <w:r w:rsidRPr="00EC5809">
              <w:t>Pelgar International (Aus) Pty Ltd</w:t>
            </w:r>
          </w:p>
        </w:tc>
        <w:tc>
          <w:tcPr>
            <w:tcW w:w="1175" w:type="pct"/>
          </w:tcPr>
          <w:p w14:paraId="5E567580" w14:textId="77777777" w:rsidR="008E67EA" w:rsidRDefault="008E67EA" w:rsidP="00B44A74">
            <w:pPr>
              <w:pStyle w:val="GazetteTableText"/>
            </w:pPr>
            <w:r w:rsidRPr="00F62D21">
              <w:t>81666/103583</w:t>
            </w:r>
            <w:r>
              <w:t xml:space="preserve">, </w:t>
            </w:r>
            <w:r w:rsidRPr="00F62D21">
              <w:t>81666/146690</w:t>
            </w:r>
          </w:p>
        </w:tc>
      </w:tr>
      <w:tr w:rsidR="008E67EA" w14:paraId="6330FDE7" w14:textId="77777777" w:rsidTr="00B347E8">
        <w:tc>
          <w:tcPr>
            <w:tcW w:w="648" w:type="pct"/>
          </w:tcPr>
          <w:p w14:paraId="67EAA361" w14:textId="77777777" w:rsidR="008E67EA" w:rsidRDefault="008E67EA" w:rsidP="00B44A74">
            <w:pPr>
              <w:pStyle w:val="GazetteTableText"/>
            </w:pPr>
            <w:r w:rsidRPr="009A4983">
              <w:t>Brodifacoum</w:t>
            </w:r>
          </w:p>
        </w:tc>
        <w:tc>
          <w:tcPr>
            <w:tcW w:w="600" w:type="pct"/>
          </w:tcPr>
          <w:p w14:paraId="2F8AAFCF" w14:textId="77777777" w:rsidR="008E67EA" w:rsidRDefault="008E67EA" w:rsidP="00B44A74">
            <w:pPr>
              <w:pStyle w:val="GazetteTableText"/>
            </w:pPr>
            <w:r w:rsidRPr="00674D09">
              <w:t>82233</w:t>
            </w:r>
          </w:p>
        </w:tc>
        <w:tc>
          <w:tcPr>
            <w:tcW w:w="1326" w:type="pct"/>
          </w:tcPr>
          <w:p w14:paraId="76875D6E" w14:textId="77777777" w:rsidR="008E67EA" w:rsidRPr="00B75907" w:rsidRDefault="008E67EA" w:rsidP="00B44A74">
            <w:pPr>
              <w:pStyle w:val="GazetteTableText"/>
            </w:pPr>
            <w:r w:rsidRPr="00674D09">
              <w:t>Time's Up Fast Action Baited Mouse Station</w:t>
            </w:r>
          </w:p>
        </w:tc>
        <w:tc>
          <w:tcPr>
            <w:tcW w:w="1251" w:type="pct"/>
          </w:tcPr>
          <w:p w14:paraId="42183EDF" w14:textId="77777777" w:rsidR="008E67EA" w:rsidRDefault="008E67EA" w:rsidP="00B44A74">
            <w:pPr>
              <w:pStyle w:val="GazetteTableText"/>
            </w:pPr>
            <w:r w:rsidRPr="00EC5809">
              <w:t>Pelgar International (Aus) Pty Ltd</w:t>
            </w:r>
          </w:p>
        </w:tc>
        <w:tc>
          <w:tcPr>
            <w:tcW w:w="1175" w:type="pct"/>
          </w:tcPr>
          <w:p w14:paraId="3730B8DE" w14:textId="77777777" w:rsidR="008E67EA" w:rsidRDefault="008E67EA" w:rsidP="00B44A74">
            <w:pPr>
              <w:pStyle w:val="GazetteTableText"/>
            </w:pPr>
            <w:r w:rsidRPr="00F62D21">
              <w:t>82233/105245</w:t>
            </w:r>
          </w:p>
        </w:tc>
      </w:tr>
      <w:tr w:rsidR="008E67EA" w14:paraId="67D7F9BE" w14:textId="77777777" w:rsidTr="00B347E8">
        <w:tc>
          <w:tcPr>
            <w:tcW w:w="648" w:type="pct"/>
          </w:tcPr>
          <w:p w14:paraId="69897E47" w14:textId="77777777" w:rsidR="008E67EA" w:rsidRDefault="008E67EA" w:rsidP="00B44A74">
            <w:pPr>
              <w:pStyle w:val="GazetteTableText"/>
            </w:pPr>
            <w:r w:rsidRPr="009A4983">
              <w:t>Brodifacoum</w:t>
            </w:r>
          </w:p>
        </w:tc>
        <w:tc>
          <w:tcPr>
            <w:tcW w:w="600" w:type="pct"/>
          </w:tcPr>
          <w:p w14:paraId="5ABE5131" w14:textId="77777777" w:rsidR="008E67EA" w:rsidRDefault="008E67EA" w:rsidP="00B44A74">
            <w:pPr>
              <w:pStyle w:val="GazetteTableText"/>
            </w:pPr>
            <w:r w:rsidRPr="00674D09">
              <w:t>82234</w:t>
            </w:r>
          </w:p>
        </w:tc>
        <w:tc>
          <w:tcPr>
            <w:tcW w:w="1326" w:type="pct"/>
          </w:tcPr>
          <w:p w14:paraId="523DB81D" w14:textId="77777777" w:rsidR="008E67EA" w:rsidRPr="00B75907" w:rsidRDefault="008E67EA" w:rsidP="00B44A74">
            <w:pPr>
              <w:pStyle w:val="GazetteTableText"/>
            </w:pPr>
            <w:r w:rsidRPr="00674D09">
              <w:t>The Big Cheese Ultra Power Fast Action Disposable Mouse Kill Bait Station</w:t>
            </w:r>
          </w:p>
        </w:tc>
        <w:tc>
          <w:tcPr>
            <w:tcW w:w="1251" w:type="pct"/>
          </w:tcPr>
          <w:p w14:paraId="24CD1F48" w14:textId="77777777" w:rsidR="008E67EA" w:rsidRDefault="008E67EA" w:rsidP="00B44A74">
            <w:pPr>
              <w:pStyle w:val="GazetteTableText"/>
            </w:pPr>
            <w:r w:rsidRPr="00EC5809">
              <w:t>Pelgar International (Aus) Pty Ltd</w:t>
            </w:r>
          </w:p>
        </w:tc>
        <w:tc>
          <w:tcPr>
            <w:tcW w:w="1175" w:type="pct"/>
          </w:tcPr>
          <w:p w14:paraId="6C35D276" w14:textId="77777777" w:rsidR="008E67EA" w:rsidRDefault="008E67EA" w:rsidP="00B44A74">
            <w:pPr>
              <w:pStyle w:val="GazetteTableText"/>
            </w:pPr>
            <w:r w:rsidRPr="00F62D21">
              <w:t>82234/105246, 82234/106354</w:t>
            </w:r>
          </w:p>
        </w:tc>
      </w:tr>
      <w:tr w:rsidR="008E67EA" w14:paraId="5C5DBC64" w14:textId="77777777" w:rsidTr="00B347E8">
        <w:tc>
          <w:tcPr>
            <w:tcW w:w="648" w:type="pct"/>
          </w:tcPr>
          <w:p w14:paraId="6394D80C" w14:textId="77777777" w:rsidR="008E67EA" w:rsidRDefault="008E67EA" w:rsidP="00B44A74">
            <w:pPr>
              <w:pStyle w:val="GazetteTableText"/>
            </w:pPr>
            <w:r w:rsidRPr="009A4983">
              <w:t>Brodifacoum</w:t>
            </w:r>
          </w:p>
        </w:tc>
        <w:tc>
          <w:tcPr>
            <w:tcW w:w="600" w:type="pct"/>
          </w:tcPr>
          <w:p w14:paraId="60311F05" w14:textId="77777777" w:rsidR="008E67EA" w:rsidRDefault="008E67EA" w:rsidP="00B44A74">
            <w:pPr>
              <w:pStyle w:val="GazetteTableText"/>
            </w:pPr>
            <w:r w:rsidRPr="00674D09">
              <w:t>83673</w:t>
            </w:r>
          </w:p>
        </w:tc>
        <w:tc>
          <w:tcPr>
            <w:tcW w:w="1326" w:type="pct"/>
          </w:tcPr>
          <w:p w14:paraId="577FFAC7" w14:textId="77777777" w:rsidR="008E67EA" w:rsidRPr="00B75907" w:rsidRDefault="008E67EA" w:rsidP="00B44A74">
            <w:pPr>
              <w:pStyle w:val="GazetteTableText"/>
            </w:pPr>
            <w:r w:rsidRPr="00674D09">
              <w:t>Fast Action Ratsak Multi Pack</w:t>
            </w:r>
          </w:p>
        </w:tc>
        <w:tc>
          <w:tcPr>
            <w:tcW w:w="1251" w:type="pct"/>
          </w:tcPr>
          <w:p w14:paraId="63C476B6" w14:textId="77777777" w:rsidR="008E67EA" w:rsidRDefault="008E67EA" w:rsidP="00B44A74">
            <w:pPr>
              <w:pStyle w:val="GazetteTableText"/>
            </w:pPr>
            <w:r w:rsidRPr="00EC5809">
              <w:t>Duluxgroup (Australia) Pty Ltd</w:t>
            </w:r>
          </w:p>
        </w:tc>
        <w:tc>
          <w:tcPr>
            <w:tcW w:w="1175" w:type="pct"/>
          </w:tcPr>
          <w:p w14:paraId="030B1CD5" w14:textId="77777777" w:rsidR="008E67EA" w:rsidRDefault="008E67EA" w:rsidP="00B44A74">
            <w:pPr>
              <w:pStyle w:val="GazetteTableText"/>
            </w:pPr>
            <w:r w:rsidRPr="00F62D21">
              <w:t>83673/108828, 83673/109941</w:t>
            </w:r>
          </w:p>
        </w:tc>
      </w:tr>
      <w:tr w:rsidR="008E67EA" w14:paraId="75D2301A" w14:textId="77777777" w:rsidTr="00B347E8">
        <w:tc>
          <w:tcPr>
            <w:tcW w:w="648" w:type="pct"/>
          </w:tcPr>
          <w:p w14:paraId="13113E32" w14:textId="77777777" w:rsidR="008E67EA" w:rsidRDefault="008E67EA" w:rsidP="00B44A74">
            <w:pPr>
              <w:pStyle w:val="GazetteTableText"/>
            </w:pPr>
            <w:r w:rsidRPr="009A4983">
              <w:t>Brodifacoum</w:t>
            </w:r>
          </w:p>
        </w:tc>
        <w:tc>
          <w:tcPr>
            <w:tcW w:w="600" w:type="pct"/>
          </w:tcPr>
          <w:p w14:paraId="178BC3EE" w14:textId="77777777" w:rsidR="008E67EA" w:rsidRDefault="008E67EA" w:rsidP="00B44A74">
            <w:pPr>
              <w:pStyle w:val="GazetteTableText"/>
            </w:pPr>
            <w:r w:rsidRPr="00674D09">
              <w:t>84215</w:t>
            </w:r>
          </w:p>
        </w:tc>
        <w:tc>
          <w:tcPr>
            <w:tcW w:w="1326" w:type="pct"/>
          </w:tcPr>
          <w:p w14:paraId="67E84B0A" w14:textId="77777777" w:rsidR="008E67EA" w:rsidRPr="00B75907" w:rsidRDefault="008E67EA" w:rsidP="00B44A74">
            <w:pPr>
              <w:pStyle w:val="GazetteTableText"/>
            </w:pPr>
            <w:r w:rsidRPr="00674D09">
              <w:t>Freezone Ratshot G Quickshot Rodenticide</w:t>
            </w:r>
          </w:p>
        </w:tc>
        <w:tc>
          <w:tcPr>
            <w:tcW w:w="1251" w:type="pct"/>
          </w:tcPr>
          <w:p w14:paraId="5593A6B5" w14:textId="77777777" w:rsidR="008E67EA" w:rsidRDefault="008E67EA" w:rsidP="00B44A74">
            <w:pPr>
              <w:pStyle w:val="GazetteTableText"/>
            </w:pPr>
            <w:r w:rsidRPr="00EC5809">
              <w:t>Freezone Public Health Pty Ltd</w:t>
            </w:r>
          </w:p>
        </w:tc>
        <w:tc>
          <w:tcPr>
            <w:tcW w:w="1175" w:type="pct"/>
          </w:tcPr>
          <w:p w14:paraId="1C6F530F" w14:textId="77777777" w:rsidR="008E67EA" w:rsidRDefault="008E67EA" w:rsidP="00B44A74">
            <w:pPr>
              <w:pStyle w:val="GazetteTableText"/>
            </w:pPr>
            <w:r w:rsidRPr="00F62D21">
              <w:t>84215/109902</w:t>
            </w:r>
          </w:p>
        </w:tc>
      </w:tr>
      <w:tr w:rsidR="008E67EA" w14:paraId="7055D0A0" w14:textId="77777777" w:rsidTr="00B347E8">
        <w:tc>
          <w:tcPr>
            <w:tcW w:w="648" w:type="pct"/>
          </w:tcPr>
          <w:p w14:paraId="1B8C447E" w14:textId="77777777" w:rsidR="008E67EA" w:rsidRDefault="008E67EA" w:rsidP="00B44A74">
            <w:pPr>
              <w:pStyle w:val="GazetteTableText"/>
            </w:pPr>
            <w:r w:rsidRPr="009A4983">
              <w:t>Brodifacoum</w:t>
            </w:r>
          </w:p>
        </w:tc>
        <w:tc>
          <w:tcPr>
            <w:tcW w:w="600" w:type="pct"/>
          </w:tcPr>
          <w:p w14:paraId="6F2C50BD" w14:textId="77777777" w:rsidR="008E67EA" w:rsidRDefault="008E67EA" w:rsidP="00B44A74">
            <w:pPr>
              <w:pStyle w:val="GazetteTableText"/>
            </w:pPr>
            <w:r w:rsidRPr="00674D09">
              <w:t>85522</w:t>
            </w:r>
          </w:p>
        </w:tc>
        <w:tc>
          <w:tcPr>
            <w:tcW w:w="1326" w:type="pct"/>
          </w:tcPr>
          <w:p w14:paraId="122260FE" w14:textId="77777777" w:rsidR="008E67EA" w:rsidRPr="00B75907" w:rsidRDefault="008E67EA" w:rsidP="00B44A74">
            <w:pPr>
              <w:pStyle w:val="GazetteTableText"/>
            </w:pPr>
            <w:r w:rsidRPr="00674D09">
              <w:t>Time's Up Fast Action Throw Pack</w:t>
            </w:r>
          </w:p>
        </w:tc>
        <w:tc>
          <w:tcPr>
            <w:tcW w:w="1251" w:type="pct"/>
          </w:tcPr>
          <w:p w14:paraId="4BEFAD57" w14:textId="77777777" w:rsidR="008E67EA" w:rsidRDefault="008E67EA" w:rsidP="00B44A74">
            <w:pPr>
              <w:pStyle w:val="GazetteTableText"/>
            </w:pPr>
            <w:r w:rsidRPr="00EC5809">
              <w:t>Pelgar International (Aus) Pty Ltd</w:t>
            </w:r>
          </w:p>
        </w:tc>
        <w:tc>
          <w:tcPr>
            <w:tcW w:w="1175" w:type="pct"/>
          </w:tcPr>
          <w:p w14:paraId="44D9BDDE" w14:textId="77777777" w:rsidR="008E67EA" w:rsidRDefault="008E67EA" w:rsidP="00B44A74">
            <w:pPr>
              <w:pStyle w:val="GazetteTableText"/>
            </w:pPr>
            <w:r w:rsidRPr="00F62D21">
              <w:t>85522/113504</w:t>
            </w:r>
            <w:r>
              <w:t xml:space="preserve">, </w:t>
            </w:r>
            <w:r w:rsidRPr="00F62D21">
              <w:t>85522/145879</w:t>
            </w:r>
          </w:p>
        </w:tc>
      </w:tr>
      <w:tr w:rsidR="008E67EA" w14:paraId="3E1DA64C" w14:textId="77777777" w:rsidTr="00B347E8">
        <w:tc>
          <w:tcPr>
            <w:tcW w:w="648" w:type="pct"/>
          </w:tcPr>
          <w:p w14:paraId="2731884E" w14:textId="77777777" w:rsidR="008E67EA" w:rsidRDefault="008E67EA" w:rsidP="00B44A74">
            <w:pPr>
              <w:pStyle w:val="GazetteTableText"/>
            </w:pPr>
            <w:r w:rsidRPr="009A4983">
              <w:t>Brodifacoum</w:t>
            </w:r>
          </w:p>
        </w:tc>
        <w:tc>
          <w:tcPr>
            <w:tcW w:w="600" w:type="pct"/>
          </w:tcPr>
          <w:p w14:paraId="3246EDAE" w14:textId="77777777" w:rsidR="008E67EA" w:rsidRDefault="008E67EA" w:rsidP="00B44A74">
            <w:pPr>
              <w:pStyle w:val="GazetteTableText"/>
            </w:pPr>
            <w:r w:rsidRPr="00674D09">
              <w:t>85523</w:t>
            </w:r>
          </w:p>
        </w:tc>
        <w:tc>
          <w:tcPr>
            <w:tcW w:w="1326" w:type="pct"/>
          </w:tcPr>
          <w:p w14:paraId="661901C7" w14:textId="77777777" w:rsidR="008E67EA" w:rsidRPr="00B75907" w:rsidRDefault="008E67EA" w:rsidP="00B44A74">
            <w:pPr>
              <w:pStyle w:val="GazetteTableText"/>
            </w:pPr>
            <w:r w:rsidRPr="00674D09">
              <w:t>Time's Up Fast Action Block Bait</w:t>
            </w:r>
          </w:p>
        </w:tc>
        <w:tc>
          <w:tcPr>
            <w:tcW w:w="1251" w:type="pct"/>
          </w:tcPr>
          <w:p w14:paraId="686619C4" w14:textId="77777777" w:rsidR="008E67EA" w:rsidRDefault="008E67EA" w:rsidP="00B44A74">
            <w:pPr>
              <w:pStyle w:val="GazetteTableText"/>
            </w:pPr>
            <w:r w:rsidRPr="00EC5809">
              <w:t>Pelgar International (Aus) Pty Ltd</w:t>
            </w:r>
          </w:p>
        </w:tc>
        <w:tc>
          <w:tcPr>
            <w:tcW w:w="1175" w:type="pct"/>
          </w:tcPr>
          <w:p w14:paraId="2FF75250" w14:textId="77777777" w:rsidR="008E67EA" w:rsidRDefault="008E67EA" w:rsidP="00B44A74">
            <w:pPr>
              <w:pStyle w:val="GazetteTableText"/>
            </w:pPr>
            <w:r w:rsidRPr="00F62D21">
              <w:t>85523/113506</w:t>
            </w:r>
          </w:p>
        </w:tc>
      </w:tr>
      <w:tr w:rsidR="008E67EA" w14:paraId="194C79EE" w14:textId="77777777" w:rsidTr="00B347E8">
        <w:tc>
          <w:tcPr>
            <w:tcW w:w="648" w:type="pct"/>
          </w:tcPr>
          <w:p w14:paraId="12818648" w14:textId="77777777" w:rsidR="008E67EA" w:rsidRDefault="008E67EA" w:rsidP="00B44A74">
            <w:pPr>
              <w:pStyle w:val="GazetteTableText"/>
            </w:pPr>
            <w:r w:rsidRPr="009A4983">
              <w:t>Brodifacoum</w:t>
            </w:r>
          </w:p>
        </w:tc>
        <w:tc>
          <w:tcPr>
            <w:tcW w:w="600" w:type="pct"/>
          </w:tcPr>
          <w:p w14:paraId="0E093560" w14:textId="77777777" w:rsidR="008E67EA" w:rsidRDefault="008E67EA" w:rsidP="00B44A74">
            <w:pPr>
              <w:pStyle w:val="GazetteTableText"/>
            </w:pPr>
            <w:r w:rsidRPr="00674D09">
              <w:t>86214</w:t>
            </w:r>
          </w:p>
        </w:tc>
        <w:tc>
          <w:tcPr>
            <w:tcW w:w="1326" w:type="pct"/>
          </w:tcPr>
          <w:p w14:paraId="125166B7" w14:textId="77777777" w:rsidR="008E67EA" w:rsidRPr="00B75907" w:rsidRDefault="008E67EA" w:rsidP="00B44A74">
            <w:pPr>
              <w:pStyle w:val="GazetteTableText"/>
            </w:pPr>
            <w:r w:rsidRPr="00674D09">
              <w:t>The Big Cheese Ultra Power Fast Action Block Bait Rodenticide</w:t>
            </w:r>
          </w:p>
        </w:tc>
        <w:tc>
          <w:tcPr>
            <w:tcW w:w="1251" w:type="pct"/>
          </w:tcPr>
          <w:p w14:paraId="57DE2EDB" w14:textId="77777777" w:rsidR="008E67EA" w:rsidRDefault="008E67EA" w:rsidP="00B44A74">
            <w:pPr>
              <w:pStyle w:val="GazetteTableText"/>
            </w:pPr>
            <w:r w:rsidRPr="00EC5809">
              <w:t>Pelgar International (Aus) Pty Ltd</w:t>
            </w:r>
          </w:p>
        </w:tc>
        <w:tc>
          <w:tcPr>
            <w:tcW w:w="1175" w:type="pct"/>
          </w:tcPr>
          <w:p w14:paraId="01B86021" w14:textId="77777777" w:rsidR="008E67EA" w:rsidRDefault="008E67EA" w:rsidP="00B44A74">
            <w:pPr>
              <w:pStyle w:val="GazetteTableText"/>
            </w:pPr>
            <w:r w:rsidRPr="00F62D21">
              <w:t>86214/115020</w:t>
            </w:r>
          </w:p>
        </w:tc>
      </w:tr>
      <w:tr w:rsidR="008E67EA" w14:paraId="63F66F5C" w14:textId="77777777" w:rsidTr="00B347E8">
        <w:tc>
          <w:tcPr>
            <w:tcW w:w="648" w:type="pct"/>
          </w:tcPr>
          <w:p w14:paraId="25EE4BD3" w14:textId="77777777" w:rsidR="008E67EA" w:rsidRDefault="008E67EA" w:rsidP="00B44A74">
            <w:pPr>
              <w:pStyle w:val="GazetteTableText"/>
            </w:pPr>
            <w:r w:rsidRPr="009A4983">
              <w:t>Brodifacoum</w:t>
            </w:r>
          </w:p>
        </w:tc>
        <w:tc>
          <w:tcPr>
            <w:tcW w:w="600" w:type="pct"/>
          </w:tcPr>
          <w:p w14:paraId="41DF9626" w14:textId="77777777" w:rsidR="008E67EA" w:rsidRDefault="008E67EA" w:rsidP="00B44A74">
            <w:pPr>
              <w:pStyle w:val="GazetteTableText"/>
            </w:pPr>
            <w:r w:rsidRPr="00674D09">
              <w:t>87706</w:t>
            </w:r>
          </w:p>
        </w:tc>
        <w:tc>
          <w:tcPr>
            <w:tcW w:w="1326" w:type="pct"/>
          </w:tcPr>
          <w:p w14:paraId="399007FF" w14:textId="77777777" w:rsidR="008E67EA" w:rsidRPr="00B75907" w:rsidRDefault="008E67EA" w:rsidP="00B44A74">
            <w:pPr>
              <w:pStyle w:val="GazetteTableText"/>
            </w:pPr>
            <w:r w:rsidRPr="00674D09">
              <w:t>Rodenthor Gel Rodenticide</w:t>
            </w:r>
          </w:p>
        </w:tc>
        <w:tc>
          <w:tcPr>
            <w:tcW w:w="1251" w:type="pct"/>
          </w:tcPr>
          <w:p w14:paraId="658F9375" w14:textId="77777777" w:rsidR="008E67EA" w:rsidRDefault="008E67EA" w:rsidP="00B44A74">
            <w:pPr>
              <w:pStyle w:val="GazetteTableText"/>
            </w:pPr>
            <w:r w:rsidRPr="00EC5809">
              <w:t>Zapi S.P.A</w:t>
            </w:r>
          </w:p>
        </w:tc>
        <w:tc>
          <w:tcPr>
            <w:tcW w:w="1175" w:type="pct"/>
          </w:tcPr>
          <w:p w14:paraId="5018D6D4" w14:textId="77777777" w:rsidR="008E67EA" w:rsidRDefault="008E67EA" w:rsidP="00B44A74">
            <w:pPr>
              <w:pStyle w:val="GazetteTableText"/>
            </w:pPr>
            <w:r w:rsidRPr="00BF023A">
              <w:t>87706/119034, 87706/131910</w:t>
            </w:r>
          </w:p>
        </w:tc>
      </w:tr>
      <w:tr w:rsidR="008E67EA" w14:paraId="51EFDACA" w14:textId="77777777" w:rsidTr="00B347E8">
        <w:tc>
          <w:tcPr>
            <w:tcW w:w="648" w:type="pct"/>
          </w:tcPr>
          <w:p w14:paraId="001B0F4B" w14:textId="77777777" w:rsidR="008E67EA" w:rsidRDefault="008E67EA" w:rsidP="00B44A74">
            <w:pPr>
              <w:pStyle w:val="GazetteTableText"/>
            </w:pPr>
            <w:r w:rsidRPr="009A4983">
              <w:t>Brodifacoum</w:t>
            </w:r>
          </w:p>
        </w:tc>
        <w:tc>
          <w:tcPr>
            <w:tcW w:w="600" w:type="pct"/>
          </w:tcPr>
          <w:p w14:paraId="29264ED2" w14:textId="77777777" w:rsidR="008E67EA" w:rsidRDefault="008E67EA" w:rsidP="00B44A74">
            <w:pPr>
              <w:pStyle w:val="GazetteTableText"/>
            </w:pPr>
            <w:r w:rsidRPr="00674D09">
              <w:t>88845</w:t>
            </w:r>
          </w:p>
        </w:tc>
        <w:tc>
          <w:tcPr>
            <w:tcW w:w="1326" w:type="pct"/>
          </w:tcPr>
          <w:p w14:paraId="3DAA85F6" w14:textId="77777777" w:rsidR="008E67EA" w:rsidRPr="00B75907" w:rsidRDefault="008E67EA" w:rsidP="00B44A74">
            <w:pPr>
              <w:pStyle w:val="GazetteTableText"/>
            </w:pPr>
            <w:r w:rsidRPr="00674D09">
              <w:t>The Big Cheese Ultra Power Block Bait Rodenticide</w:t>
            </w:r>
          </w:p>
        </w:tc>
        <w:tc>
          <w:tcPr>
            <w:tcW w:w="1251" w:type="pct"/>
          </w:tcPr>
          <w:p w14:paraId="51E21505" w14:textId="77777777" w:rsidR="008E67EA" w:rsidRDefault="008E67EA" w:rsidP="00B44A74">
            <w:pPr>
              <w:pStyle w:val="GazetteTableText"/>
            </w:pPr>
            <w:r w:rsidRPr="00EC5809">
              <w:t>Pelgar International (Aus) Pty Ltd</w:t>
            </w:r>
          </w:p>
        </w:tc>
        <w:tc>
          <w:tcPr>
            <w:tcW w:w="1175" w:type="pct"/>
          </w:tcPr>
          <w:p w14:paraId="694D34CF" w14:textId="77777777" w:rsidR="008E67EA" w:rsidRDefault="008E67EA" w:rsidP="00B44A74">
            <w:pPr>
              <w:pStyle w:val="GazetteTableText"/>
            </w:pPr>
            <w:r w:rsidRPr="00BF023A">
              <w:t>88845/122664, 88845/131958</w:t>
            </w:r>
          </w:p>
        </w:tc>
      </w:tr>
      <w:tr w:rsidR="008E67EA" w14:paraId="24782F7C" w14:textId="77777777" w:rsidTr="00B347E8">
        <w:tc>
          <w:tcPr>
            <w:tcW w:w="648" w:type="pct"/>
          </w:tcPr>
          <w:p w14:paraId="79A95F4E" w14:textId="77777777" w:rsidR="008E67EA" w:rsidRDefault="008E67EA" w:rsidP="00B44A74">
            <w:pPr>
              <w:pStyle w:val="GazetteTableText"/>
            </w:pPr>
            <w:r w:rsidRPr="009A4983">
              <w:t>Brodifacoum</w:t>
            </w:r>
          </w:p>
        </w:tc>
        <w:tc>
          <w:tcPr>
            <w:tcW w:w="600" w:type="pct"/>
          </w:tcPr>
          <w:p w14:paraId="71BA3110" w14:textId="77777777" w:rsidR="008E67EA" w:rsidRDefault="008E67EA" w:rsidP="00B44A74">
            <w:pPr>
              <w:pStyle w:val="GazetteTableText"/>
            </w:pPr>
            <w:r w:rsidRPr="00674D09">
              <w:t>88846</w:t>
            </w:r>
          </w:p>
        </w:tc>
        <w:tc>
          <w:tcPr>
            <w:tcW w:w="1326" w:type="pct"/>
          </w:tcPr>
          <w:p w14:paraId="0EF92B3A" w14:textId="77777777" w:rsidR="008E67EA" w:rsidRPr="00B75907" w:rsidRDefault="008E67EA" w:rsidP="00B44A74">
            <w:pPr>
              <w:pStyle w:val="GazetteTableText"/>
            </w:pPr>
            <w:r w:rsidRPr="00674D09">
              <w:t>The Big Cheese Ultra Power All Weather Block Bait</w:t>
            </w:r>
          </w:p>
        </w:tc>
        <w:tc>
          <w:tcPr>
            <w:tcW w:w="1251" w:type="pct"/>
          </w:tcPr>
          <w:p w14:paraId="07FBFFA7" w14:textId="77777777" w:rsidR="008E67EA" w:rsidRDefault="008E67EA" w:rsidP="00B44A74">
            <w:pPr>
              <w:pStyle w:val="GazetteTableText"/>
            </w:pPr>
            <w:r w:rsidRPr="00EC5809">
              <w:t>Pelgar International (Aus) Pty Ltd</w:t>
            </w:r>
          </w:p>
        </w:tc>
        <w:tc>
          <w:tcPr>
            <w:tcW w:w="1175" w:type="pct"/>
          </w:tcPr>
          <w:p w14:paraId="698B6A41" w14:textId="77777777" w:rsidR="008E67EA" w:rsidRDefault="008E67EA" w:rsidP="00B44A74">
            <w:pPr>
              <w:pStyle w:val="GazetteTableText"/>
            </w:pPr>
            <w:r w:rsidRPr="00BF023A">
              <w:t>88846/122665, 88846/131959, 88846/145766</w:t>
            </w:r>
          </w:p>
        </w:tc>
      </w:tr>
      <w:tr w:rsidR="008E67EA" w14:paraId="535471FC" w14:textId="77777777" w:rsidTr="00B347E8">
        <w:tc>
          <w:tcPr>
            <w:tcW w:w="648" w:type="pct"/>
          </w:tcPr>
          <w:p w14:paraId="31C262CB" w14:textId="77777777" w:rsidR="008E67EA" w:rsidRDefault="008E67EA" w:rsidP="00B44A74">
            <w:pPr>
              <w:pStyle w:val="GazetteTableText"/>
            </w:pPr>
            <w:r w:rsidRPr="009A4983">
              <w:t>Brodifacoum</w:t>
            </w:r>
          </w:p>
        </w:tc>
        <w:tc>
          <w:tcPr>
            <w:tcW w:w="600" w:type="pct"/>
          </w:tcPr>
          <w:p w14:paraId="0954C8D0" w14:textId="77777777" w:rsidR="008E67EA" w:rsidRDefault="008E67EA" w:rsidP="00B44A74">
            <w:pPr>
              <w:pStyle w:val="GazetteTableText"/>
            </w:pPr>
            <w:r w:rsidRPr="00674D09">
              <w:t>88847</w:t>
            </w:r>
          </w:p>
        </w:tc>
        <w:tc>
          <w:tcPr>
            <w:tcW w:w="1326" w:type="pct"/>
          </w:tcPr>
          <w:p w14:paraId="14A8767B" w14:textId="77777777" w:rsidR="008E67EA" w:rsidRPr="00B75907" w:rsidRDefault="008E67EA" w:rsidP="00B44A74">
            <w:pPr>
              <w:pStyle w:val="GazetteTableText"/>
            </w:pPr>
            <w:r w:rsidRPr="00674D09">
              <w:t>The Big Cheese Ultra Power Rat and Mouse Kill Throw Packs</w:t>
            </w:r>
          </w:p>
        </w:tc>
        <w:tc>
          <w:tcPr>
            <w:tcW w:w="1251" w:type="pct"/>
          </w:tcPr>
          <w:p w14:paraId="1DD618E3" w14:textId="77777777" w:rsidR="008E67EA" w:rsidRDefault="008E67EA" w:rsidP="00B44A74">
            <w:pPr>
              <w:pStyle w:val="GazetteTableText"/>
            </w:pPr>
            <w:r w:rsidRPr="00EC5809">
              <w:t>Pelgar International (Aus) Pty Ltd</w:t>
            </w:r>
          </w:p>
        </w:tc>
        <w:tc>
          <w:tcPr>
            <w:tcW w:w="1175" w:type="pct"/>
          </w:tcPr>
          <w:p w14:paraId="39858BE4" w14:textId="7A6E028F" w:rsidR="008E67EA" w:rsidRDefault="008E67EA" w:rsidP="00B44A74">
            <w:pPr>
              <w:pStyle w:val="GazetteTableText"/>
            </w:pPr>
            <w:r w:rsidRPr="00BF023A">
              <w:t>88847/122666, 88847/131976</w:t>
            </w:r>
          </w:p>
        </w:tc>
      </w:tr>
      <w:tr w:rsidR="008E67EA" w14:paraId="2EC78F5D" w14:textId="77777777" w:rsidTr="00B347E8">
        <w:tc>
          <w:tcPr>
            <w:tcW w:w="648" w:type="pct"/>
          </w:tcPr>
          <w:p w14:paraId="69A5A750" w14:textId="77777777" w:rsidR="008E67EA" w:rsidRDefault="008E67EA" w:rsidP="00B44A74">
            <w:pPr>
              <w:pStyle w:val="GazetteTableText"/>
            </w:pPr>
            <w:r w:rsidRPr="009A4983">
              <w:t>Brodifacoum</w:t>
            </w:r>
          </w:p>
        </w:tc>
        <w:tc>
          <w:tcPr>
            <w:tcW w:w="600" w:type="pct"/>
          </w:tcPr>
          <w:p w14:paraId="13108EF1" w14:textId="77777777" w:rsidR="008E67EA" w:rsidRDefault="008E67EA" w:rsidP="00B44A74">
            <w:pPr>
              <w:pStyle w:val="GazetteTableText"/>
            </w:pPr>
            <w:r w:rsidRPr="00674D09">
              <w:t>89039</w:t>
            </w:r>
          </w:p>
        </w:tc>
        <w:tc>
          <w:tcPr>
            <w:tcW w:w="1326" w:type="pct"/>
          </w:tcPr>
          <w:p w14:paraId="7D487615" w14:textId="77777777" w:rsidR="008E67EA" w:rsidRPr="00B75907" w:rsidRDefault="008E67EA" w:rsidP="00B44A74">
            <w:pPr>
              <w:pStyle w:val="GazetteTableText"/>
            </w:pPr>
            <w:r w:rsidRPr="00674D09">
              <w:t>Solo 25 Blox Rodenticide</w:t>
            </w:r>
          </w:p>
        </w:tc>
        <w:tc>
          <w:tcPr>
            <w:tcW w:w="1251" w:type="pct"/>
          </w:tcPr>
          <w:p w14:paraId="5FE70F38" w14:textId="77777777" w:rsidR="008E67EA" w:rsidRDefault="008E67EA" w:rsidP="00B44A74">
            <w:pPr>
              <w:pStyle w:val="GazetteTableText"/>
            </w:pPr>
            <w:r w:rsidRPr="00EC5809">
              <w:t>Bell Laboratories, Inc.</w:t>
            </w:r>
          </w:p>
        </w:tc>
        <w:tc>
          <w:tcPr>
            <w:tcW w:w="1175" w:type="pct"/>
          </w:tcPr>
          <w:p w14:paraId="3E3FC078" w14:textId="77777777" w:rsidR="008E67EA" w:rsidRDefault="008E67EA" w:rsidP="00B44A74">
            <w:pPr>
              <w:pStyle w:val="GazetteTableText"/>
            </w:pPr>
            <w:r w:rsidRPr="00BF023A">
              <w:t>89039/123473</w:t>
            </w:r>
          </w:p>
        </w:tc>
      </w:tr>
      <w:tr w:rsidR="008E67EA" w14:paraId="0BD511F7" w14:textId="77777777" w:rsidTr="00B347E8">
        <w:tc>
          <w:tcPr>
            <w:tcW w:w="648" w:type="pct"/>
          </w:tcPr>
          <w:p w14:paraId="38D3BF79" w14:textId="77777777" w:rsidR="008E67EA" w:rsidRDefault="008E67EA" w:rsidP="00B44A74">
            <w:pPr>
              <w:pStyle w:val="GazetteTableText"/>
            </w:pPr>
            <w:r w:rsidRPr="009A4983">
              <w:t>Brodifacoum</w:t>
            </w:r>
          </w:p>
        </w:tc>
        <w:tc>
          <w:tcPr>
            <w:tcW w:w="600" w:type="pct"/>
          </w:tcPr>
          <w:p w14:paraId="2E6552E2" w14:textId="77777777" w:rsidR="008E67EA" w:rsidRDefault="008E67EA" w:rsidP="00B44A74">
            <w:pPr>
              <w:pStyle w:val="GazetteTableText"/>
            </w:pPr>
            <w:r w:rsidRPr="00674D09">
              <w:t>89557</w:t>
            </w:r>
          </w:p>
        </w:tc>
        <w:tc>
          <w:tcPr>
            <w:tcW w:w="1326" w:type="pct"/>
          </w:tcPr>
          <w:p w14:paraId="00297E59" w14:textId="77777777" w:rsidR="008E67EA" w:rsidRPr="00B75907" w:rsidRDefault="008E67EA" w:rsidP="00B44A74">
            <w:pPr>
              <w:pStyle w:val="GazetteTableText"/>
            </w:pPr>
            <w:r w:rsidRPr="00674D09">
              <w:t xml:space="preserve">Raticate </w:t>
            </w:r>
            <w:r>
              <w:t>a</w:t>
            </w:r>
            <w:r w:rsidRPr="00674D09">
              <w:t xml:space="preserve">ll-weather block - Brodifacoum </w:t>
            </w:r>
          </w:p>
        </w:tc>
        <w:tc>
          <w:tcPr>
            <w:tcW w:w="1251" w:type="pct"/>
          </w:tcPr>
          <w:p w14:paraId="52E0D26E" w14:textId="77777777" w:rsidR="008E67EA" w:rsidRDefault="008E67EA" w:rsidP="00B44A74">
            <w:pPr>
              <w:pStyle w:val="GazetteTableText"/>
            </w:pPr>
            <w:r w:rsidRPr="00EC5809">
              <w:t>Freezone Public Health Pty Ltd</w:t>
            </w:r>
          </w:p>
        </w:tc>
        <w:tc>
          <w:tcPr>
            <w:tcW w:w="1175" w:type="pct"/>
          </w:tcPr>
          <w:p w14:paraId="15F5A559" w14:textId="77777777" w:rsidR="008E67EA" w:rsidRDefault="008E67EA" w:rsidP="00B44A74">
            <w:pPr>
              <w:pStyle w:val="GazetteTableText"/>
            </w:pPr>
            <w:r w:rsidRPr="00BF023A">
              <w:t>89557/125253</w:t>
            </w:r>
          </w:p>
        </w:tc>
      </w:tr>
      <w:tr w:rsidR="008E67EA" w14:paraId="30FEA630" w14:textId="77777777" w:rsidTr="00B347E8">
        <w:tc>
          <w:tcPr>
            <w:tcW w:w="648" w:type="pct"/>
          </w:tcPr>
          <w:p w14:paraId="081EE0EA" w14:textId="77777777" w:rsidR="008E67EA" w:rsidRDefault="008E67EA" w:rsidP="00B44A74">
            <w:pPr>
              <w:pStyle w:val="GazetteTableText"/>
            </w:pPr>
            <w:r w:rsidRPr="009A4983">
              <w:t>Brodifacoum</w:t>
            </w:r>
          </w:p>
        </w:tc>
        <w:tc>
          <w:tcPr>
            <w:tcW w:w="600" w:type="pct"/>
          </w:tcPr>
          <w:p w14:paraId="23A71C9E" w14:textId="77777777" w:rsidR="008E67EA" w:rsidRDefault="008E67EA" w:rsidP="00B44A74">
            <w:pPr>
              <w:pStyle w:val="GazetteTableText"/>
            </w:pPr>
            <w:r w:rsidRPr="00674D09">
              <w:t>90982</w:t>
            </w:r>
          </w:p>
        </w:tc>
        <w:tc>
          <w:tcPr>
            <w:tcW w:w="1326" w:type="pct"/>
          </w:tcPr>
          <w:p w14:paraId="5D01A84C" w14:textId="77777777" w:rsidR="008E67EA" w:rsidRPr="00B75907" w:rsidRDefault="008E67EA" w:rsidP="00B44A74">
            <w:pPr>
              <w:pStyle w:val="GazetteTableText"/>
            </w:pPr>
            <w:r w:rsidRPr="00674D09">
              <w:t>ADAMA Brodifacoum Soft Bait</w:t>
            </w:r>
          </w:p>
        </w:tc>
        <w:tc>
          <w:tcPr>
            <w:tcW w:w="1251" w:type="pct"/>
          </w:tcPr>
          <w:p w14:paraId="23A24FB7" w14:textId="77777777" w:rsidR="008E67EA" w:rsidRDefault="008E67EA" w:rsidP="00B44A74">
            <w:pPr>
              <w:pStyle w:val="GazetteTableText"/>
            </w:pPr>
            <w:r>
              <w:t>ADAMA</w:t>
            </w:r>
            <w:r w:rsidRPr="00EC5809">
              <w:t xml:space="preserve"> Australia Pty Limited</w:t>
            </w:r>
          </w:p>
        </w:tc>
        <w:tc>
          <w:tcPr>
            <w:tcW w:w="1175" w:type="pct"/>
          </w:tcPr>
          <w:p w14:paraId="24D8ECBC" w14:textId="77777777" w:rsidR="008E67EA" w:rsidRDefault="008E67EA" w:rsidP="00B44A74">
            <w:pPr>
              <w:pStyle w:val="GazetteTableText"/>
            </w:pPr>
            <w:r w:rsidRPr="00674D09">
              <w:t>90982</w:t>
            </w:r>
            <w:r>
              <w:t>/</w:t>
            </w:r>
            <w:r w:rsidRPr="00704B52">
              <w:t>130660</w:t>
            </w:r>
          </w:p>
        </w:tc>
      </w:tr>
      <w:tr w:rsidR="008E67EA" w14:paraId="5D63740D" w14:textId="77777777" w:rsidTr="00B347E8">
        <w:tc>
          <w:tcPr>
            <w:tcW w:w="648" w:type="pct"/>
          </w:tcPr>
          <w:p w14:paraId="343A5AA0" w14:textId="77777777" w:rsidR="008E67EA" w:rsidRDefault="008E67EA" w:rsidP="00B44A74">
            <w:pPr>
              <w:pStyle w:val="GazetteTableText"/>
            </w:pPr>
            <w:r w:rsidRPr="009A4983">
              <w:t>Brodifacoum</w:t>
            </w:r>
          </w:p>
        </w:tc>
        <w:tc>
          <w:tcPr>
            <w:tcW w:w="600" w:type="pct"/>
          </w:tcPr>
          <w:p w14:paraId="3DB38823" w14:textId="77777777" w:rsidR="008E67EA" w:rsidRDefault="008E67EA" w:rsidP="00B44A74">
            <w:pPr>
              <w:pStyle w:val="GazetteTableText"/>
            </w:pPr>
            <w:r w:rsidRPr="00674D09">
              <w:t>91393</w:t>
            </w:r>
          </w:p>
        </w:tc>
        <w:tc>
          <w:tcPr>
            <w:tcW w:w="1326" w:type="pct"/>
          </w:tcPr>
          <w:p w14:paraId="2B7A82A7" w14:textId="77777777" w:rsidR="008E67EA" w:rsidRPr="00B75907" w:rsidRDefault="008E67EA" w:rsidP="00B44A74">
            <w:pPr>
              <w:pStyle w:val="GazetteTableText"/>
            </w:pPr>
            <w:r w:rsidRPr="00674D09">
              <w:t>The Big Cheese Ultra Power Disposable Mouse Kill Bait Station</w:t>
            </w:r>
          </w:p>
        </w:tc>
        <w:tc>
          <w:tcPr>
            <w:tcW w:w="1251" w:type="pct"/>
          </w:tcPr>
          <w:p w14:paraId="15F315A4" w14:textId="77777777" w:rsidR="008E67EA" w:rsidRDefault="008E67EA" w:rsidP="00B44A74">
            <w:pPr>
              <w:pStyle w:val="GazetteTableText"/>
            </w:pPr>
            <w:r w:rsidRPr="00EC5809">
              <w:t>Pelgar International (Aus) Pty Ltd</w:t>
            </w:r>
          </w:p>
        </w:tc>
        <w:tc>
          <w:tcPr>
            <w:tcW w:w="1175" w:type="pct"/>
          </w:tcPr>
          <w:p w14:paraId="2991E74E" w14:textId="77777777" w:rsidR="008E67EA" w:rsidRDefault="008E67EA" w:rsidP="00B44A74">
            <w:pPr>
              <w:pStyle w:val="GazetteTableText"/>
            </w:pPr>
            <w:r w:rsidRPr="00674D09">
              <w:t>91393</w:t>
            </w:r>
            <w:r>
              <w:t>/</w:t>
            </w:r>
            <w:r w:rsidRPr="00704B52">
              <w:t>132093</w:t>
            </w:r>
          </w:p>
        </w:tc>
      </w:tr>
      <w:tr w:rsidR="008E67EA" w14:paraId="0E2E3138" w14:textId="77777777" w:rsidTr="00B347E8">
        <w:tc>
          <w:tcPr>
            <w:tcW w:w="648" w:type="pct"/>
          </w:tcPr>
          <w:p w14:paraId="4B67F2F6" w14:textId="77777777" w:rsidR="008E67EA" w:rsidRDefault="008E67EA" w:rsidP="00B44A74">
            <w:pPr>
              <w:pStyle w:val="GazetteTableText"/>
            </w:pPr>
            <w:r w:rsidRPr="009A4983">
              <w:t>Brodifacoum</w:t>
            </w:r>
          </w:p>
        </w:tc>
        <w:tc>
          <w:tcPr>
            <w:tcW w:w="600" w:type="pct"/>
          </w:tcPr>
          <w:p w14:paraId="6DE091D8" w14:textId="77777777" w:rsidR="008E67EA" w:rsidRDefault="008E67EA" w:rsidP="00B44A74">
            <w:pPr>
              <w:pStyle w:val="GazetteTableText"/>
            </w:pPr>
            <w:r w:rsidRPr="00674D09">
              <w:t>91394</w:t>
            </w:r>
          </w:p>
        </w:tc>
        <w:tc>
          <w:tcPr>
            <w:tcW w:w="1326" w:type="pct"/>
          </w:tcPr>
          <w:p w14:paraId="5B47FA70" w14:textId="77777777" w:rsidR="008E67EA" w:rsidRPr="00B75907" w:rsidRDefault="008E67EA" w:rsidP="00B44A74">
            <w:pPr>
              <w:pStyle w:val="GazetteTableText"/>
            </w:pPr>
            <w:r w:rsidRPr="00674D09">
              <w:t>The Big Cheese Ultra Power Mouse Kill Bait Station Kit</w:t>
            </w:r>
          </w:p>
        </w:tc>
        <w:tc>
          <w:tcPr>
            <w:tcW w:w="1251" w:type="pct"/>
          </w:tcPr>
          <w:p w14:paraId="735F74F9" w14:textId="77777777" w:rsidR="008E67EA" w:rsidRDefault="008E67EA" w:rsidP="00B44A74">
            <w:pPr>
              <w:pStyle w:val="GazetteTableText"/>
            </w:pPr>
            <w:r w:rsidRPr="00EC5809">
              <w:t>Pelgar International (Aus) Pty Ltd</w:t>
            </w:r>
          </w:p>
        </w:tc>
        <w:tc>
          <w:tcPr>
            <w:tcW w:w="1175" w:type="pct"/>
          </w:tcPr>
          <w:p w14:paraId="30176FF1" w14:textId="77777777" w:rsidR="008E67EA" w:rsidRDefault="008E67EA" w:rsidP="00B44A74">
            <w:pPr>
              <w:pStyle w:val="GazetteTableText"/>
            </w:pPr>
            <w:r w:rsidRPr="00674D09">
              <w:t>91394</w:t>
            </w:r>
            <w:r>
              <w:t>/</w:t>
            </w:r>
            <w:r w:rsidRPr="00704B52">
              <w:t>132094</w:t>
            </w:r>
          </w:p>
        </w:tc>
      </w:tr>
      <w:tr w:rsidR="008E67EA" w14:paraId="7584380E" w14:textId="77777777" w:rsidTr="00B347E8">
        <w:tc>
          <w:tcPr>
            <w:tcW w:w="648" w:type="pct"/>
          </w:tcPr>
          <w:p w14:paraId="1D22DB75" w14:textId="77777777" w:rsidR="008E67EA" w:rsidRDefault="008E67EA" w:rsidP="00B44A74">
            <w:pPr>
              <w:pStyle w:val="GazetteTableText"/>
            </w:pPr>
            <w:r w:rsidRPr="009A4983">
              <w:t>Brodifacoum</w:t>
            </w:r>
          </w:p>
        </w:tc>
        <w:tc>
          <w:tcPr>
            <w:tcW w:w="600" w:type="pct"/>
          </w:tcPr>
          <w:p w14:paraId="5D49CE20" w14:textId="77777777" w:rsidR="008E67EA" w:rsidRDefault="008E67EA" w:rsidP="00B44A74">
            <w:pPr>
              <w:pStyle w:val="GazetteTableText"/>
            </w:pPr>
            <w:r w:rsidRPr="00674D09">
              <w:t>91401</w:t>
            </w:r>
          </w:p>
        </w:tc>
        <w:tc>
          <w:tcPr>
            <w:tcW w:w="1326" w:type="pct"/>
          </w:tcPr>
          <w:p w14:paraId="73758B6C" w14:textId="77777777" w:rsidR="008E67EA" w:rsidRPr="00B75907" w:rsidRDefault="008E67EA" w:rsidP="00B44A74">
            <w:pPr>
              <w:pStyle w:val="GazetteTableText"/>
            </w:pPr>
            <w:r w:rsidRPr="00674D09">
              <w:t>The Big Cheese Ultra Power Rat Kill Bait Station Kit</w:t>
            </w:r>
          </w:p>
        </w:tc>
        <w:tc>
          <w:tcPr>
            <w:tcW w:w="1251" w:type="pct"/>
          </w:tcPr>
          <w:p w14:paraId="7F729A5A" w14:textId="77777777" w:rsidR="008E67EA" w:rsidRDefault="008E67EA" w:rsidP="00B44A74">
            <w:pPr>
              <w:pStyle w:val="GazetteTableText"/>
            </w:pPr>
            <w:r w:rsidRPr="00EC5809">
              <w:t>Pelgar International (Aus) Pty Ltd</w:t>
            </w:r>
          </w:p>
        </w:tc>
        <w:tc>
          <w:tcPr>
            <w:tcW w:w="1175" w:type="pct"/>
          </w:tcPr>
          <w:p w14:paraId="6A987317" w14:textId="77777777" w:rsidR="008E67EA" w:rsidRDefault="008E67EA" w:rsidP="00B44A74">
            <w:pPr>
              <w:pStyle w:val="GazetteTableText"/>
            </w:pPr>
            <w:r w:rsidRPr="00674D09">
              <w:t>91401</w:t>
            </w:r>
            <w:r>
              <w:t>/</w:t>
            </w:r>
            <w:r w:rsidRPr="00704B52">
              <w:t>132126</w:t>
            </w:r>
          </w:p>
        </w:tc>
      </w:tr>
      <w:tr w:rsidR="008E67EA" w14:paraId="62BAD323" w14:textId="77777777" w:rsidTr="00B347E8">
        <w:tc>
          <w:tcPr>
            <w:tcW w:w="648" w:type="pct"/>
          </w:tcPr>
          <w:p w14:paraId="6C677735" w14:textId="77777777" w:rsidR="008E67EA" w:rsidRDefault="008E67EA" w:rsidP="00B44A74">
            <w:pPr>
              <w:pStyle w:val="GazetteTableText"/>
            </w:pPr>
            <w:r w:rsidRPr="009A4983">
              <w:t>Brodifacoum</w:t>
            </w:r>
          </w:p>
        </w:tc>
        <w:tc>
          <w:tcPr>
            <w:tcW w:w="600" w:type="pct"/>
          </w:tcPr>
          <w:p w14:paraId="58550B7D" w14:textId="77777777" w:rsidR="008E67EA" w:rsidRDefault="008E67EA" w:rsidP="00B44A74">
            <w:pPr>
              <w:pStyle w:val="GazetteTableText"/>
            </w:pPr>
            <w:r w:rsidRPr="00674D09">
              <w:t>91553</w:t>
            </w:r>
          </w:p>
        </w:tc>
        <w:tc>
          <w:tcPr>
            <w:tcW w:w="1326" w:type="pct"/>
          </w:tcPr>
          <w:p w14:paraId="51A68F27" w14:textId="77777777" w:rsidR="008E67EA" w:rsidRPr="00B75907" w:rsidRDefault="008E67EA" w:rsidP="00B44A74">
            <w:pPr>
              <w:pStyle w:val="GazetteTableText"/>
            </w:pPr>
            <w:r w:rsidRPr="00674D09">
              <w:t>Titan Onza Red Rodenticide Paste</w:t>
            </w:r>
          </w:p>
        </w:tc>
        <w:tc>
          <w:tcPr>
            <w:tcW w:w="1251" w:type="pct"/>
          </w:tcPr>
          <w:p w14:paraId="7DCEB5B6" w14:textId="77777777" w:rsidR="008E67EA" w:rsidRDefault="008E67EA" w:rsidP="00B44A74">
            <w:pPr>
              <w:pStyle w:val="GazetteTableText"/>
            </w:pPr>
            <w:r w:rsidRPr="00EC5809">
              <w:t>Freezone Public Health Pty Ltd</w:t>
            </w:r>
          </w:p>
        </w:tc>
        <w:tc>
          <w:tcPr>
            <w:tcW w:w="1175" w:type="pct"/>
          </w:tcPr>
          <w:p w14:paraId="7E1E128E" w14:textId="77777777" w:rsidR="008E67EA" w:rsidRDefault="008E67EA" w:rsidP="00B44A74">
            <w:pPr>
              <w:pStyle w:val="GazetteTableText"/>
            </w:pPr>
            <w:r w:rsidRPr="004714FC">
              <w:t>91553/132635</w:t>
            </w:r>
          </w:p>
        </w:tc>
      </w:tr>
      <w:tr w:rsidR="008E67EA" w14:paraId="025E9333" w14:textId="77777777" w:rsidTr="00B347E8">
        <w:tc>
          <w:tcPr>
            <w:tcW w:w="648" w:type="pct"/>
          </w:tcPr>
          <w:p w14:paraId="3442C1CE" w14:textId="77777777" w:rsidR="008E67EA" w:rsidRDefault="008E67EA" w:rsidP="00B44A74">
            <w:pPr>
              <w:pStyle w:val="GazetteTableText"/>
            </w:pPr>
            <w:r w:rsidRPr="009A4983">
              <w:t>Brodifacoum</w:t>
            </w:r>
          </w:p>
        </w:tc>
        <w:tc>
          <w:tcPr>
            <w:tcW w:w="600" w:type="pct"/>
          </w:tcPr>
          <w:p w14:paraId="0011B862" w14:textId="77777777" w:rsidR="008E67EA" w:rsidRDefault="008E67EA" w:rsidP="00B44A74">
            <w:pPr>
              <w:pStyle w:val="GazetteTableText"/>
            </w:pPr>
            <w:r w:rsidRPr="00674D09">
              <w:t>91554</w:t>
            </w:r>
          </w:p>
        </w:tc>
        <w:tc>
          <w:tcPr>
            <w:tcW w:w="1326" w:type="pct"/>
          </w:tcPr>
          <w:p w14:paraId="42DB3216" w14:textId="77777777" w:rsidR="008E67EA" w:rsidRPr="00B75907" w:rsidRDefault="008E67EA" w:rsidP="00B44A74">
            <w:pPr>
              <w:pStyle w:val="GazetteTableText"/>
            </w:pPr>
            <w:r w:rsidRPr="00674D09">
              <w:t>Titan Onza Red Rodenticide Blocks</w:t>
            </w:r>
          </w:p>
        </w:tc>
        <w:tc>
          <w:tcPr>
            <w:tcW w:w="1251" w:type="pct"/>
          </w:tcPr>
          <w:p w14:paraId="6E1D4F75" w14:textId="77777777" w:rsidR="008E67EA" w:rsidRDefault="008E67EA" w:rsidP="00B44A74">
            <w:pPr>
              <w:pStyle w:val="GazetteTableText"/>
            </w:pPr>
            <w:r w:rsidRPr="00EC5809">
              <w:t>Freezone Public Health Pty Ltd</w:t>
            </w:r>
          </w:p>
        </w:tc>
        <w:tc>
          <w:tcPr>
            <w:tcW w:w="1175" w:type="pct"/>
          </w:tcPr>
          <w:p w14:paraId="757E1E55" w14:textId="77777777" w:rsidR="008E67EA" w:rsidRDefault="008E67EA" w:rsidP="00B44A74">
            <w:pPr>
              <w:pStyle w:val="GazetteTableText"/>
            </w:pPr>
            <w:r w:rsidRPr="004714FC">
              <w:t>91554/132644</w:t>
            </w:r>
          </w:p>
        </w:tc>
      </w:tr>
      <w:tr w:rsidR="008E67EA" w14:paraId="2C3F1392" w14:textId="77777777" w:rsidTr="00B347E8">
        <w:tc>
          <w:tcPr>
            <w:tcW w:w="648" w:type="pct"/>
          </w:tcPr>
          <w:p w14:paraId="0141C9CC" w14:textId="77777777" w:rsidR="008E67EA" w:rsidRDefault="008E67EA" w:rsidP="00B44A74">
            <w:pPr>
              <w:pStyle w:val="GazetteTableText"/>
            </w:pPr>
            <w:r w:rsidRPr="009A4983">
              <w:t>Brodifacoum</w:t>
            </w:r>
          </w:p>
        </w:tc>
        <w:tc>
          <w:tcPr>
            <w:tcW w:w="600" w:type="pct"/>
          </w:tcPr>
          <w:p w14:paraId="53E7486A" w14:textId="77777777" w:rsidR="008E67EA" w:rsidRDefault="008E67EA" w:rsidP="00B44A74">
            <w:pPr>
              <w:pStyle w:val="GazetteTableText"/>
            </w:pPr>
            <w:r w:rsidRPr="00674D09">
              <w:t>91653</w:t>
            </w:r>
          </w:p>
        </w:tc>
        <w:tc>
          <w:tcPr>
            <w:tcW w:w="1326" w:type="pct"/>
          </w:tcPr>
          <w:p w14:paraId="6AD1E8E9" w14:textId="77777777" w:rsidR="008E67EA" w:rsidRPr="00B75907" w:rsidRDefault="008E67EA" w:rsidP="00B44A74">
            <w:pPr>
              <w:pStyle w:val="GazetteTableText"/>
            </w:pPr>
            <w:r w:rsidRPr="00674D09">
              <w:t>Pestmaster Brodifacoum Rat &amp; Mouse Killer Blocks</w:t>
            </w:r>
          </w:p>
        </w:tc>
        <w:tc>
          <w:tcPr>
            <w:tcW w:w="1251" w:type="pct"/>
          </w:tcPr>
          <w:p w14:paraId="11E11AA6" w14:textId="77777777" w:rsidR="008E67EA" w:rsidRDefault="008E67EA" w:rsidP="00B44A74">
            <w:pPr>
              <w:pStyle w:val="GazetteTableText"/>
            </w:pPr>
            <w:r w:rsidRPr="00EC5809">
              <w:t>Triox Pty. Ltd.</w:t>
            </w:r>
          </w:p>
        </w:tc>
        <w:tc>
          <w:tcPr>
            <w:tcW w:w="1175" w:type="pct"/>
          </w:tcPr>
          <w:p w14:paraId="03C80A48" w14:textId="77777777" w:rsidR="008E67EA" w:rsidRDefault="008E67EA" w:rsidP="00B44A74">
            <w:pPr>
              <w:pStyle w:val="GazetteTableText"/>
            </w:pPr>
            <w:r w:rsidRPr="00674D09">
              <w:t>91653</w:t>
            </w:r>
            <w:r>
              <w:t>/</w:t>
            </w:r>
            <w:r w:rsidRPr="00157EA5">
              <w:t>132999</w:t>
            </w:r>
          </w:p>
        </w:tc>
      </w:tr>
      <w:tr w:rsidR="008E67EA" w14:paraId="66CDE645" w14:textId="77777777" w:rsidTr="00B347E8">
        <w:tc>
          <w:tcPr>
            <w:tcW w:w="648" w:type="pct"/>
          </w:tcPr>
          <w:p w14:paraId="0ADE9059" w14:textId="77777777" w:rsidR="008E67EA" w:rsidRDefault="008E67EA" w:rsidP="00B44A74">
            <w:pPr>
              <w:pStyle w:val="GazetteTableText"/>
            </w:pPr>
            <w:r w:rsidRPr="009A4983">
              <w:t>Brodifacoum</w:t>
            </w:r>
          </w:p>
        </w:tc>
        <w:tc>
          <w:tcPr>
            <w:tcW w:w="600" w:type="pct"/>
          </w:tcPr>
          <w:p w14:paraId="175464AD" w14:textId="77777777" w:rsidR="008E67EA" w:rsidRDefault="008E67EA" w:rsidP="00B44A74">
            <w:pPr>
              <w:pStyle w:val="GazetteTableText"/>
            </w:pPr>
            <w:r w:rsidRPr="00674D09">
              <w:t>91708</w:t>
            </w:r>
          </w:p>
        </w:tc>
        <w:tc>
          <w:tcPr>
            <w:tcW w:w="1326" w:type="pct"/>
          </w:tcPr>
          <w:p w14:paraId="1BA6F91F" w14:textId="77777777" w:rsidR="008E67EA" w:rsidRPr="00B75907" w:rsidRDefault="008E67EA" w:rsidP="00B44A74">
            <w:pPr>
              <w:pStyle w:val="GazetteTableText"/>
            </w:pPr>
            <w:r w:rsidRPr="00674D09">
              <w:t>Titan Onza Red Grain Bait</w:t>
            </w:r>
          </w:p>
        </w:tc>
        <w:tc>
          <w:tcPr>
            <w:tcW w:w="1251" w:type="pct"/>
          </w:tcPr>
          <w:p w14:paraId="6FAFDD8B" w14:textId="77777777" w:rsidR="008E67EA" w:rsidRDefault="008E67EA" w:rsidP="00B44A74">
            <w:pPr>
              <w:pStyle w:val="GazetteTableText"/>
            </w:pPr>
            <w:r w:rsidRPr="00EC5809">
              <w:t>Freezone Public Health Pty Ltd</w:t>
            </w:r>
          </w:p>
        </w:tc>
        <w:tc>
          <w:tcPr>
            <w:tcW w:w="1175" w:type="pct"/>
          </w:tcPr>
          <w:p w14:paraId="48D3220B" w14:textId="77777777" w:rsidR="008E67EA" w:rsidRDefault="008E67EA" w:rsidP="00B44A74">
            <w:pPr>
              <w:pStyle w:val="GazetteTableText"/>
            </w:pPr>
            <w:r w:rsidRPr="00674D09">
              <w:t>91708</w:t>
            </w:r>
            <w:r>
              <w:t>/</w:t>
            </w:r>
            <w:r w:rsidRPr="00157EA5">
              <w:t>133200</w:t>
            </w:r>
          </w:p>
        </w:tc>
      </w:tr>
      <w:tr w:rsidR="008E67EA" w14:paraId="7A8DC7C8" w14:textId="77777777" w:rsidTr="00B347E8">
        <w:tc>
          <w:tcPr>
            <w:tcW w:w="648" w:type="pct"/>
          </w:tcPr>
          <w:p w14:paraId="0407E2F3" w14:textId="77777777" w:rsidR="008E67EA" w:rsidRDefault="008E67EA" w:rsidP="00B44A74">
            <w:pPr>
              <w:pStyle w:val="GazetteTableText"/>
            </w:pPr>
            <w:r w:rsidRPr="009A4983">
              <w:t>Brodifacoum</w:t>
            </w:r>
          </w:p>
        </w:tc>
        <w:tc>
          <w:tcPr>
            <w:tcW w:w="600" w:type="pct"/>
          </w:tcPr>
          <w:p w14:paraId="3D9A3DBF" w14:textId="77777777" w:rsidR="008E67EA" w:rsidRDefault="008E67EA" w:rsidP="00B44A74">
            <w:pPr>
              <w:pStyle w:val="GazetteTableText"/>
            </w:pPr>
            <w:r w:rsidRPr="00674D09">
              <w:t>92319</w:t>
            </w:r>
          </w:p>
        </w:tc>
        <w:tc>
          <w:tcPr>
            <w:tcW w:w="1326" w:type="pct"/>
          </w:tcPr>
          <w:p w14:paraId="613FAE70" w14:textId="77777777" w:rsidR="008E67EA" w:rsidRPr="00B75907" w:rsidRDefault="008E67EA" w:rsidP="00B44A74">
            <w:pPr>
              <w:pStyle w:val="GazetteTableText"/>
            </w:pPr>
            <w:r w:rsidRPr="00674D09">
              <w:t>TALON GT Pro Rodenticide Grain Bait Block</w:t>
            </w:r>
          </w:p>
        </w:tc>
        <w:tc>
          <w:tcPr>
            <w:tcW w:w="1251" w:type="pct"/>
          </w:tcPr>
          <w:p w14:paraId="6313E7A9" w14:textId="77777777" w:rsidR="008E67EA" w:rsidRDefault="008E67EA" w:rsidP="00B44A74">
            <w:pPr>
              <w:pStyle w:val="GazetteTableText"/>
            </w:pPr>
            <w:r w:rsidRPr="00EC5809">
              <w:t>Syngenta Australia Pty Ltd</w:t>
            </w:r>
          </w:p>
        </w:tc>
        <w:tc>
          <w:tcPr>
            <w:tcW w:w="1175" w:type="pct"/>
          </w:tcPr>
          <w:p w14:paraId="0DAB2A98" w14:textId="77777777" w:rsidR="008E67EA" w:rsidRDefault="008E67EA" w:rsidP="00B44A74">
            <w:pPr>
              <w:pStyle w:val="GazetteTableText"/>
            </w:pPr>
            <w:r w:rsidRPr="00674D09">
              <w:t>92319</w:t>
            </w:r>
            <w:r>
              <w:t>/</w:t>
            </w:r>
            <w:r w:rsidRPr="00157EA5">
              <w:t>135173</w:t>
            </w:r>
          </w:p>
        </w:tc>
      </w:tr>
      <w:tr w:rsidR="008E67EA" w14:paraId="62B5DB39" w14:textId="77777777" w:rsidTr="00B347E8">
        <w:tc>
          <w:tcPr>
            <w:tcW w:w="648" w:type="pct"/>
          </w:tcPr>
          <w:p w14:paraId="2C363732" w14:textId="77777777" w:rsidR="008E67EA" w:rsidRDefault="008E67EA" w:rsidP="00B44A74">
            <w:pPr>
              <w:pStyle w:val="GazetteTableText"/>
            </w:pPr>
            <w:r w:rsidRPr="009A4983">
              <w:t>Brodifacoum</w:t>
            </w:r>
          </w:p>
        </w:tc>
        <w:tc>
          <w:tcPr>
            <w:tcW w:w="600" w:type="pct"/>
          </w:tcPr>
          <w:p w14:paraId="36F0569A" w14:textId="77777777" w:rsidR="008E67EA" w:rsidRDefault="008E67EA" w:rsidP="00B44A74">
            <w:pPr>
              <w:pStyle w:val="GazetteTableText"/>
            </w:pPr>
            <w:r w:rsidRPr="00674D09">
              <w:t>92320</w:t>
            </w:r>
          </w:p>
        </w:tc>
        <w:tc>
          <w:tcPr>
            <w:tcW w:w="1326" w:type="pct"/>
          </w:tcPr>
          <w:p w14:paraId="3D3718D4" w14:textId="77777777" w:rsidR="008E67EA" w:rsidRPr="00B75907" w:rsidRDefault="008E67EA" w:rsidP="00B44A74">
            <w:pPr>
              <w:pStyle w:val="GazetteTableText"/>
            </w:pPr>
            <w:r w:rsidRPr="00674D09">
              <w:t>TALON Rat &amp; Mouse Killer Grain Bait Block</w:t>
            </w:r>
          </w:p>
        </w:tc>
        <w:tc>
          <w:tcPr>
            <w:tcW w:w="1251" w:type="pct"/>
          </w:tcPr>
          <w:p w14:paraId="05C0506A" w14:textId="77777777" w:rsidR="008E67EA" w:rsidRDefault="008E67EA" w:rsidP="00B44A74">
            <w:pPr>
              <w:pStyle w:val="GazetteTableText"/>
            </w:pPr>
            <w:r w:rsidRPr="00EC5809">
              <w:t>Syngenta Australia Pty Ltd</w:t>
            </w:r>
          </w:p>
        </w:tc>
        <w:tc>
          <w:tcPr>
            <w:tcW w:w="1175" w:type="pct"/>
          </w:tcPr>
          <w:p w14:paraId="3DD9AC5A" w14:textId="77777777" w:rsidR="008E67EA" w:rsidRDefault="008E67EA" w:rsidP="00B44A74">
            <w:pPr>
              <w:pStyle w:val="GazetteTableText"/>
            </w:pPr>
            <w:r w:rsidRPr="00674D09">
              <w:t>92320</w:t>
            </w:r>
            <w:r>
              <w:t>/</w:t>
            </w:r>
            <w:r w:rsidRPr="00157EA5">
              <w:t>135177</w:t>
            </w:r>
          </w:p>
        </w:tc>
      </w:tr>
      <w:tr w:rsidR="008E67EA" w14:paraId="608449BE" w14:textId="77777777" w:rsidTr="00B347E8">
        <w:tc>
          <w:tcPr>
            <w:tcW w:w="648" w:type="pct"/>
          </w:tcPr>
          <w:p w14:paraId="75A81470" w14:textId="77777777" w:rsidR="008E67EA" w:rsidRDefault="008E67EA" w:rsidP="00B44A74">
            <w:pPr>
              <w:pStyle w:val="GazetteTableText"/>
            </w:pPr>
            <w:r w:rsidRPr="009A4983">
              <w:lastRenderedPageBreak/>
              <w:t>Brodifacoum</w:t>
            </w:r>
          </w:p>
        </w:tc>
        <w:tc>
          <w:tcPr>
            <w:tcW w:w="600" w:type="pct"/>
          </w:tcPr>
          <w:p w14:paraId="4C24FAC2" w14:textId="77777777" w:rsidR="008E67EA" w:rsidRDefault="008E67EA" w:rsidP="00B44A74">
            <w:pPr>
              <w:pStyle w:val="GazetteTableText"/>
            </w:pPr>
            <w:r w:rsidRPr="00674D09">
              <w:t>94339</w:t>
            </w:r>
          </w:p>
        </w:tc>
        <w:tc>
          <w:tcPr>
            <w:tcW w:w="1326" w:type="pct"/>
          </w:tcPr>
          <w:p w14:paraId="41B4B7DF" w14:textId="77777777" w:rsidR="008E67EA" w:rsidRPr="00B75907" w:rsidRDefault="008E67EA" w:rsidP="00B44A74">
            <w:pPr>
              <w:pStyle w:val="GazetteTableText"/>
            </w:pPr>
            <w:r w:rsidRPr="00674D09">
              <w:t>Ratsak 50 Waxblocks Kills Rats &amp; Mice</w:t>
            </w:r>
          </w:p>
        </w:tc>
        <w:tc>
          <w:tcPr>
            <w:tcW w:w="1251" w:type="pct"/>
          </w:tcPr>
          <w:p w14:paraId="4CFEC638" w14:textId="77777777" w:rsidR="008E67EA" w:rsidRDefault="008E67EA" w:rsidP="00B44A74">
            <w:pPr>
              <w:pStyle w:val="GazetteTableText"/>
            </w:pPr>
            <w:r w:rsidRPr="00EC5809">
              <w:t>Duluxgroup (Australia) Pty Ltd</w:t>
            </w:r>
          </w:p>
        </w:tc>
        <w:tc>
          <w:tcPr>
            <w:tcW w:w="1175" w:type="pct"/>
          </w:tcPr>
          <w:p w14:paraId="650734DF" w14:textId="77777777" w:rsidR="008E67EA" w:rsidRDefault="008E67EA" w:rsidP="00B44A74">
            <w:pPr>
              <w:pStyle w:val="GazetteTableText"/>
            </w:pPr>
            <w:r w:rsidRPr="00674D09">
              <w:t>94339</w:t>
            </w:r>
            <w:r>
              <w:t>/</w:t>
            </w:r>
            <w:r w:rsidRPr="00157EA5">
              <w:t>142145</w:t>
            </w:r>
          </w:p>
        </w:tc>
      </w:tr>
      <w:tr w:rsidR="008E67EA" w14:paraId="7BC3A96A" w14:textId="77777777" w:rsidTr="00B347E8">
        <w:tc>
          <w:tcPr>
            <w:tcW w:w="648" w:type="pct"/>
          </w:tcPr>
          <w:p w14:paraId="4E0DEC18" w14:textId="77777777" w:rsidR="008E67EA" w:rsidRDefault="008E67EA" w:rsidP="00B44A74">
            <w:pPr>
              <w:pStyle w:val="GazetteTableText"/>
            </w:pPr>
            <w:r w:rsidRPr="009A4983">
              <w:t>Brodifacoum</w:t>
            </w:r>
          </w:p>
        </w:tc>
        <w:tc>
          <w:tcPr>
            <w:tcW w:w="600" w:type="pct"/>
          </w:tcPr>
          <w:p w14:paraId="0727280B" w14:textId="77777777" w:rsidR="008E67EA" w:rsidRDefault="008E67EA" w:rsidP="00B44A74">
            <w:pPr>
              <w:pStyle w:val="GazetteTableText"/>
            </w:pPr>
            <w:r w:rsidRPr="00674D09">
              <w:t>94350</w:t>
            </w:r>
          </w:p>
        </w:tc>
        <w:tc>
          <w:tcPr>
            <w:tcW w:w="1326" w:type="pct"/>
          </w:tcPr>
          <w:p w14:paraId="0437E0E0" w14:textId="77777777" w:rsidR="008E67EA" w:rsidRPr="00B75907" w:rsidRDefault="008E67EA" w:rsidP="00B44A74">
            <w:pPr>
              <w:pStyle w:val="GazetteTableText"/>
            </w:pPr>
            <w:r w:rsidRPr="00674D09">
              <w:t>Ratsak 50 Soft Bait Kills Rats &amp; Mice</w:t>
            </w:r>
          </w:p>
        </w:tc>
        <w:tc>
          <w:tcPr>
            <w:tcW w:w="1251" w:type="pct"/>
          </w:tcPr>
          <w:p w14:paraId="6EBAB1A9" w14:textId="77777777" w:rsidR="008E67EA" w:rsidRDefault="008E67EA" w:rsidP="00B44A74">
            <w:pPr>
              <w:pStyle w:val="GazetteTableText"/>
            </w:pPr>
            <w:r w:rsidRPr="00EC5809">
              <w:t>Duluxgroup (Australia) Pty Ltd</w:t>
            </w:r>
          </w:p>
        </w:tc>
        <w:tc>
          <w:tcPr>
            <w:tcW w:w="1175" w:type="pct"/>
          </w:tcPr>
          <w:p w14:paraId="0B3E9AC2" w14:textId="77777777" w:rsidR="008E67EA" w:rsidRDefault="008E67EA" w:rsidP="00B44A74">
            <w:pPr>
              <w:pStyle w:val="GazetteTableText"/>
            </w:pPr>
            <w:r w:rsidRPr="00674D09">
              <w:t>94350</w:t>
            </w:r>
            <w:r>
              <w:t>/</w:t>
            </w:r>
            <w:r w:rsidRPr="00157EA5">
              <w:t>142171</w:t>
            </w:r>
          </w:p>
        </w:tc>
      </w:tr>
      <w:tr w:rsidR="008E67EA" w14:paraId="5FFD74E4" w14:textId="77777777" w:rsidTr="00B347E8">
        <w:tc>
          <w:tcPr>
            <w:tcW w:w="648" w:type="pct"/>
          </w:tcPr>
          <w:p w14:paraId="1C473667" w14:textId="77777777" w:rsidR="008E67EA" w:rsidRDefault="008E67EA" w:rsidP="00B44A74">
            <w:pPr>
              <w:pStyle w:val="GazetteTableText"/>
            </w:pPr>
            <w:r w:rsidRPr="009A4983">
              <w:t>Brodifacoum</w:t>
            </w:r>
          </w:p>
        </w:tc>
        <w:tc>
          <w:tcPr>
            <w:tcW w:w="600" w:type="pct"/>
          </w:tcPr>
          <w:p w14:paraId="72FEE0A9" w14:textId="77777777" w:rsidR="008E67EA" w:rsidRDefault="008E67EA" w:rsidP="00B44A74">
            <w:pPr>
              <w:pStyle w:val="GazetteTableText"/>
            </w:pPr>
            <w:r w:rsidRPr="00674D09">
              <w:t>94918</w:t>
            </w:r>
          </w:p>
        </w:tc>
        <w:tc>
          <w:tcPr>
            <w:tcW w:w="1326" w:type="pct"/>
          </w:tcPr>
          <w:p w14:paraId="36FDAC08" w14:textId="77777777" w:rsidR="008E67EA" w:rsidRPr="00B75907" w:rsidRDefault="008E67EA" w:rsidP="00B44A74">
            <w:pPr>
              <w:pStyle w:val="GazetteTableText"/>
            </w:pPr>
            <w:r w:rsidRPr="00674D09">
              <w:t>No Rats &amp; Mice One Feed Rodenticide Blocks</w:t>
            </w:r>
          </w:p>
        </w:tc>
        <w:tc>
          <w:tcPr>
            <w:tcW w:w="1251" w:type="pct"/>
          </w:tcPr>
          <w:p w14:paraId="3CBD7377" w14:textId="77777777" w:rsidR="008E67EA" w:rsidRDefault="008E67EA" w:rsidP="00B44A74">
            <w:pPr>
              <w:pStyle w:val="GazetteTableText"/>
            </w:pPr>
            <w:r w:rsidRPr="00EC5809">
              <w:t>Pelgar International (Aus) Pty Ltd</w:t>
            </w:r>
          </w:p>
        </w:tc>
        <w:tc>
          <w:tcPr>
            <w:tcW w:w="1175" w:type="pct"/>
          </w:tcPr>
          <w:p w14:paraId="4B037DC9" w14:textId="77777777" w:rsidR="008E67EA" w:rsidRDefault="008E67EA" w:rsidP="00B44A74">
            <w:pPr>
              <w:pStyle w:val="GazetteTableText"/>
            </w:pPr>
            <w:r w:rsidRPr="00674D09">
              <w:t>94918</w:t>
            </w:r>
            <w:r>
              <w:t>/</w:t>
            </w:r>
            <w:r w:rsidRPr="00157EA5">
              <w:t>144033</w:t>
            </w:r>
          </w:p>
        </w:tc>
      </w:tr>
      <w:tr w:rsidR="008E67EA" w14:paraId="0D83D1BF" w14:textId="77777777" w:rsidTr="00B347E8">
        <w:tc>
          <w:tcPr>
            <w:tcW w:w="648" w:type="pct"/>
          </w:tcPr>
          <w:p w14:paraId="197A25BF" w14:textId="77777777" w:rsidR="008E67EA" w:rsidRDefault="008E67EA" w:rsidP="00B44A74">
            <w:pPr>
              <w:pStyle w:val="GazetteTableText"/>
            </w:pPr>
            <w:r w:rsidRPr="00A816F7">
              <w:t>Bromadiolone</w:t>
            </w:r>
          </w:p>
        </w:tc>
        <w:tc>
          <w:tcPr>
            <w:tcW w:w="600" w:type="pct"/>
          </w:tcPr>
          <w:p w14:paraId="7E06DED5" w14:textId="77777777" w:rsidR="008E67EA" w:rsidRDefault="008E67EA" w:rsidP="00B44A74">
            <w:pPr>
              <w:pStyle w:val="GazetteTableText"/>
            </w:pPr>
            <w:r w:rsidRPr="00B1201B">
              <w:t>39461</w:t>
            </w:r>
          </w:p>
        </w:tc>
        <w:tc>
          <w:tcPr>
            <w:tcW w:w="1326" w:type="pct"/>
          </w:tcPr>
          <w:p w14:paraId="689F9866" w14:textId="77777777" w:rsidR="008E67EA" w:rsidRPr="00B75907" w:rsidRDefault="008E67EA" w:rsidP="00B44A74">
            <w:pPr>
              <w:pStyle w:val="GazetteTableText"/>
            </w:pPr>
            <w:r w:rsidRPr="00B1201B">
              <w:t>Rentokil Bromard</w:t>
            </w:r>
          </w:p>
        </w:tc>
        <w:tc>
          <w:tcPr>
            <w:tcW w:w="1251" w:type="pct"/>
          </w:tcPr>
          <w:p w14:paraId="4DA6672E" w14:textId="77777777" w:rsidR="008E67EA" w:rsidRDefault="008E67EA" w:rsidP="00B44A74">
            <w:pPr>
              <w:pStyle w:val="GazetteTableText"/>
            </w:pPr>
            <w:r w:rsidRPr="007A1FF7">
              <w:t>Rentokil Initial Pty Ltd</w:t>
            </w:r>
          </w:p>
        </w:tc>
        <w:tc>
          <w:tcPr>
            <w:tcW w:w="1175" w:type="pct"/>
          </w:tcPr>
          <w:p w14:paraId="03D13FA8" w14:textId="77777777" w:rsidR="008E67EA" w:rsidRDefault="008E67EA" w:rsidP="00B44A74">
            <w:pPr>
              <w:pStyle w:val="GazetteTableText"/>
            </w:pPr>
            <w:r>
              <w:t>39461/0309, 39461/0800, 39461/1197, 39461/52730, 39461/106838, 39461/113385</w:t>
            </w:r>
          </w:p>
        </w:tc>
      </w:tr>
      <w:tr w:rsidR="008E67EA" w14:paraId="6D083137" w14:textId="77777777" w:rsidTr="00B347E8">
        <w:tc>
          <w:tcPr>
            <w:tcW w:w="648" w:type="pct"/>
          </w:tcPr>
          <w:p w14:paraId="15124B54" w14:textId="77777777" w:rsidR="008E67EA" w:rsidRDefault="008E67EA" w:rsidP="00B44A74">
            <w:pPr>
              <w:pStyle w:val="GazetteTableText"/>
            </w:pPr>
            <w:r w:rsidRPr="00A816F7">
              <w:t>Bromadiolone</w:t>
            </w:r>
          </w:p>
        </w:tc>
        <w:tc>
          <w:tcPr>
            <w:tcW w:w="600" w:type="pct"/>
          </w:tcPr>
          <w:p w14:paraId="79E09F2B" w14:textId="77777777" w:rsidR="008E67EA" w:rsidRDefault="008E67EA" w:rsidP="00B44A74">
            <w:pPr>
              <w:pStyle w:val="GazetteTableText"/>
            </w:pPr>
            <w:r w:rsidRPr="00B1201B">
              <w:t>48372</w:t>
            </w:r>
          </w:p>
        </w:tc>
        <w:tc>
          <w:tcPr>
            <w:tcW w:w="1326" w:type="pct"/>
          </w:tcPr>
          <w:p w14:paraId="394723AA" w14:textId="77777777" w:rsidR="008E67EA" w:rsidRPr="00B75907" w:rsidRDefault="008E67EA" w:rsidP="00B44A74">
            <w:pPr>
              <w:pStyle w:val="GazetteTableText"/>
            </w:pPr>
            <w:r w:rsidRPr="00B1201B">
              <w:t>Contrac Blox</w:t>
            </w:r>
          </w:p>
        </w:tc>
        <w:tc>
          <w:tcPr>
            <w:tcW w:w="1251" w:type="pct"/>
          </w:tcPr>
          <w:p w14:paraId="79301216" w14:textId="77777777" w:rsidR="008E67EA" w:rsidRDefault="008E67EA" w:rsidP="00B44A74">
            <w:pPr>
              <w:pStyle w:val="GazetteTableText"/>
            </w:pPr>
            <w:r w:rsidRPr="007A1FF7">
              <w:t>Bell Laboratories, Inc.</w:t>
            </w:r>
          </w:p>
        </w:tc>
        <w:tc>
          <w:tcPr>
            <w:tcW w:w="1175" w:type="pct"/>
          </w:tcPr>
          <w:p w14:paraId="4432D452" w14:textId="77777777" w:rsidR="008E67EA" w:rsidRDefault="008E67EA" w:rsidP="00B44A74">
            <w:pPr>
              <w:pStyle w:val="GazetteTableText"/>
            </w:pPr>
            <w:r>
              <w:t>48372/01, 48372/0108, 48372/0508, 48372/113009, 48372/122805, 48372/125107</w:t>
            </w:r>
          </w:p>
        </w:tc>
      </w:tr>
      <w:tr w:rsidR="008E67EA" w14:paraId="6F64C9C0" w14:textId="77777777" w:rsidTr="00B347E8">
        <w:tc>
          <w:tcPr>
            <w:tcW w:w="648" w:type="pct"/>
          </w:tcPr>
          <w:p w14:paraId="6E550C9B" w14:textId="77777777" w:rsidR="008E67EA" w:rsidRDefault="008E67EA" w:rsidP="00B44A74">
            <w:pPr>
              <w:pStyle w:val="GazetteTableText"/>
            </w:pPr>
            <w:r w:rsidRPr="00A816F7">
              <w:t>Bromadiolone</w:t>
            </w:r>
          </w:p>
        </w:tc>
        <w:tc>
          <w:tcPr>
            <w:tcW w:w="600" w:type="pct"/>
          </w:tcPr>
          <w:p w14:paraId="4FD17970" w14:textId="77777777" w:rsidR="008E67EA" w:rsidRDefault="008E67EA" w:rsidP="00B44A74">
            <w:pPr>
              <w:pStyle w:val="GazetteTableText"/>
            </w:pPr>
            <w:r w:rsidRPr="00B1201B">
              <w:t>48374</w:t>
            </w:r>
          </w:p>
        </w:tc>
        <w:tc>
          <w:tcPr>
            <w:tcW w:w="1326" w:type="pct"/>
          </w:tcPr>
          <w:p w14:paraId="322CA384" w14:textId="77777777" w:rsidR="008E67EA" w:rsidRPr="00B75907" w:rsidRDefault="008E67EA" w:rsidP="00B44A74">
            <w:pPr>
              <w:pStyle w:val="GazetteTableText"/>
            </w:pPr>
            <w:r w:rsidRPr="00B1201B">
              <w:t>Contrac Rodenticide</w:t>
            </w:r>
          </w:p>
        </w:tc>
        <w:tc>
          <w:tcPr>
            <w:tcW w:w="1251" w:type="pct"/>
          </w:tcPr>
          <w:p w14:paraId="7589D305" w14:textId="77777777" w:rsidR="008E67EA" w:rsidRDefault="008E67EA" w:rsidP="00B44A74">
            <w:pPr>
              <w:pStyle w:val="GazetteTableText"/>
            </w:pPr>
            <w:r w:rsidRPr="007A1FF7">
              <w:t>Bell Laboratories, Inc.</w:t>
            </w:r>
          </w:p>
        </w:tc>
        <w:tc>
          <w:tcPr>
            <w:tcW w:w="1175" w:type="pct"/>
          </w:tcPr>
          <w:p w14:paraId="43715F60" w14:textId="77777777" w:rsidR="008E67EA" w:rsidRDefault="008E67EA" w:rsidP="00B44A74">
            <w:pPr>
              <w:pStyle w:val="GazetteTableText"/>
            </w:pPr>
            <w:r>
              <w:t>48374/01, 48374/113074, 48374/123187</w:t>
            </w:r>
          </w:p>
        </w:tc>
      </w:tr>
      <w:tr w:rsidR="008E67EA" w14:paraId="46D02220" w14:textId="77777777" w:rsidTr="00B347E8">
        <w:tc>
          <w:tcPr>
            <w:tcW w:w="648" w:type="pct"/>
          </w:tcPr>
          <w:p w14:paraId="089CCFD4" w14:textId="77777777" w:rsidR="008E67EA" w:rsidRDefault="008E67EA" w:rsidP="00B44A74">
            <w:pPr>
              <w:pStyle w:val="GazetteTableText"/>
            </w:pPr>
            <w:r w:rsidRPr="00A816F7">
              <w:t>Bromadiolone</w:t>
            </w:r>
          </w:p>
        </w:tc>
        <w:tc>
          <w:tcPr>
            <w:tcW w:w="600" w:type="pct"/>
          </w:tcPr>
          <w:p w14:paraId="02DD9BE9" w14:textId="77777777" w:rsidR="008E67EA" w:rsidRDefault="008E67EA" w:rsidP="00B44A74">
            <w:pPr>
              <w:pStyle w:val="GazetteTableText"/>
            </w:pPr>
            <w:r w:rsidRPr="00B1201B">
              <w:t>49776</w:t>
            </w:r>
          </w:p>
        </w:tc>
        <w:tc>
          <w:tcPr>
            <w:tcW w:w="1326" w:type="pct"/>
          </w:tcPr>
          <w:p w14:paraId="0AB2ED59" w14:textId="77777777" w:rsidR="008E67EA" w:rsidRPr="00B75907" w:rsidRDefault="008E67EA" w:rsidP="00B44A74">
            <w:pPr>
              <w:pStyle w:val="GazetteTableText"/>
            </w:pPr>
            <w:r w:rsidRPr="00B1201B">
              <w:t>Tomcat All-Weather Blox</w:t>
            </w:r>
          </w:p>
        </w:tc>
        <w:tc>
          <w:tcPr>
            <w:tcW w:w="1251" w:type="pct"/>
          </w:tcPr>
          <w:p w14:paraId="0D482F8D" w14:textId="77777777" w:rsidR="008E67EA" w:rsidRDefault="008E67EA" w:rsidP="00B44A74">
            <w:pPr>
              <w:pStyle w:val="GazetteTableText"/>
            </w:pPr>
            <w:r w:rsidRPr="007A1FF7">
              <w:t>Bell Laboratories, Inc.</w:t>
            </w:r>
          </w:p>
        </w:tc>
        <w:tc>
          <w:tcPr>
            <w:tcW w:w="1175" w:type="pct"/>
          </w:tcPr>
          <w:p w14:paraId="2554F1E2" w14:textId="77777777" w:rsidR="008E67EA" w:rsidRDefault="008E67EA" w:rsidP="00B44A74">
            <w:pPr>
              <w:pStyle w:val="GazetteTableText"/>
            </w:pPr>
            <w:r>
              <w:t>49776/01, 49776/0107, 49776/0207, 49776/0908, 49776/1105, 49776/1206, 49776/58197, 49776/125300</w:t>
            </w:r>
          </w:p>
        </w:tc>
      </w:tr>
      <w:tr w:rsidR="008E67EA" w14:paraId="31E61C61" w14:textId="77777777" w:rsidTr="00B347E8">
        <w:tc>
          <w:tcPr>
            <w:tcW w:w="648" w:type="pct"/>
          </w:tcPr>
          <w:p w14:paraId="39BA1352" w14:textId="77777777" w:rsidR="008E67EA" w:rsidRDefault="008E67EA" w:rsidP="00B44A74">
            <w:pPr>
              <w:pStyle w:val="GazetteTableText"/>
            </w:pPr>
            <w:r w:rsidRPr="00A816F7">
              <w:t>Bromadiolone</w:t>
            </w:r>
          </w:p>
        </w:tc>
        <w:tc>
          <w:tcPr>
            <w:tcW w:w="600" w:type="pct"/>
          </w:tcPr>
          <w:p w14:paraId="328407A2" w14:textId="77777777" w:rsidR="008E67EA" w:rsidRDefault="008E67EA" w:rsidP="00B44A74">
            <w:pPr>
              <w:pStyle w:val="GazetteTableText"/>
            </w:pPr>
            <w:r w:rsidRPr="00B1201B">
              <w:t>49782</w:t>
            </w:r>
          </w:p>
        </w:tc>
        <w:tc>
          <w:tcPr>
            <w:tcW w:w="1326" w:type="pct"/>
          </w:tcPr>
          <w:p w14:paraId="0E259956" w14:textId="77777777" w:rsidR="008E67EA" w:rsidRPr="00B75907" w:rsidRDefault="008E67EA" w:rsidP="00B44A74">
            <w:pPr>
              <w:pStyle w:val="GazetteTableText"/>
            </w:pPr>
            <w:r w:rsidRPr="00B1201B">
              <w:t>Tomcat Rat and Mouse Bait</w:t>
            </w:r>
          </w:p>
        </w:tc>
        <w:tc>
          <w:tcPr>
            <w:tcW w:w="1251" w:type="pct"/>
          </w:tcPr>
          <w:p w14:paraId="537836A8" w14:textId="77777777" w:rsidR="008E67EA" w:rsidRDefault="008E67EA" w:rsidP="00B44A74">
            <w:pPr>
              <w:pStyle w:val="GazetteTableText"/>
            </w:pPr>
            <w:r w:rsidRPr="007A1FF7">
              <w:t>Bell Laboratories, Inc.</w:t>
            </w:r>
          </w:p>
        </w:tc>
        <w:tc>
          <w:tcPr>
            <w:tcW w:w="1175" w:type="pct"/>
          </w:tcPr>
          <w:p w14:paraId="45D5B0A2" w14:textId="77777777" w:rsidR="008E67EA" w:rsidRDefault="008E67EA" w:rsidP="00B44A74">
            <w:pPr>
              <w:pStyle w:val="GazetteTableText"/>
            </w:pPr>
            <w:r>
              <w:t>49782/01, 49782/0206, 49782/0407, 49782/0710, 49782/1105</w:t>
            </w:r>
          </w:p>
        </w:tc>
      </w:tr>
      <w:tr w:rsidR="008E67EA" w14:paraId="317491C7" w14:textId="77777777" w:rsidTr="00B347E8">
        <w:tc>
          <w:tcPr>
            <w:tcW w:w="648" w:type="pct"/>
          </w:tcPr>
          <w:p w14:paraId="63DB93CC" w14:textId="77777777" w:rsidR="008E67EA" w:rsidRDefault="008E67EA" w:rsidP="00B44A74">
            <w:pPr>
              <w:pStyle w:val="GazetteTableText"/>
            </w:pPr>
            <w:r w:rsidRPr="00A816F7">
              <w:t>Bromadiolone</w:t>
            </w:r>
          </w:p>
        </w:tc>
        <w:tc>
          <w:tcPr>
            <w:tcW w:w="600" w:type="pct"/>
          </w:tcPr>
          <w:p w14:paraId="79C1DBC9" w14:textId="77777777" w:rsidR="008E67EA" w:rsidRDefault="008E67EA" w:rsidP="00B44A74">
            <w:pPr>
              <w:pStyle w:val="GazetteTableText"/>
            </w:pPr>
            <w:r w:rsidRPr="00B1201B">
              <w:t>62180</w:t>
            </w:r>
          </w:p>
        </w:tc>
        <w:tc>
          <w:tcPr>
            <w:tcW w:w="1326" w:type="pct"/>
          </w:tcPr>
          <w:p w14:paraId="1D19B6B1" w14:textId="77777777" w:rsidR="008E67EA" w:rsidRPr="00B75907" w:rsidRDefault="008E67EA" w:rsidP="00B44A74">
            <w:pPr>
              <w:pStyle w:val="GazetteTableText"/>
            </w:pPr>
            <w:r w:rsidRPr="00B1201B">
              <w:t>Maki Block Weather - Proof Rodenticide</w:t>
            </w:r>
          </w:p>
        </w:tc>
        <w:tc>
          <w:tcPr>
            <w:tcW w:w="1251" w:type="pct"/>
          </w:tcPr>
          <w:p w14:paraId="7E8263C3" w14:textId="77777777" w:rsidR="008E67EA" w:rsidRDefault="008E67EA" w:rsidP="00B44A74">
            <w:pPr>
              <w:pStyle w:val="GazetteTableText"/>
            </w:pPr>
            <w:r w:rsidRPr="007A1FF7">
              <w:t>Liphatech S.A.S.</w:t>
            </w:r>
          </w:p>
        </w:tc>
        <w:tc>
          <w:tcPr>
            <w:tcW w:w="1175" w:type="pct"/>
          </w:tcPr>
          <w:p w14:paraId="6B3A2A45" w14:textId="77777777" w:rsidR="008E67EA" w:rsidRDefault="008E67EA" w:rsidP="00B44A74">
            <w:pPr>
              <w:pStyle w:val="GazetteTableText"/>
            </w:pPr>
            <w:r w:rsidRPr="00F2342C">
              <w:t>62180/1207</w:t>
            </w:r>
          </w:p>
        </w:tc>
      </w:tr>
      <w:tr w:rsidR="008E67EA" w14:paraId="0DE24373" w14:textId="77777777" w:rsidTr="00B347E8">
        <w:tc>
          <w:tcPr>
            <w:tcW w:w="648" w:type="pct"/>
          </w:tcPr>
          <w:p w14:paraId="60094ABE" w14:textId="77777777" w:rsidR="008E67EA" w:rsidRDefault="008E67EA" w:rsidP="00B44A74">
            <w:pPr>
              <w:pStyle w:val="GazetteTableText"/>
            </w:pPr>
            <w:r w:rsidRPr="00A816F7">
              <w:t>Bromadiolone</w:t>
            </w:r>
          </w:p>
        </w:tc>
        <w:tc>
          <w:tcPr>
            <w:tcW w:w="600" w:type="pct"/>
          </w:tcPr>
          <w:p w14:paraId="5F8557DA" w14:textId="77777777" w:rsidR="008E67EA" w:rsidRDefault="008E67EA" w:rsidP="00B44A74">
            <w:pPr>
              <w:pStyle w:val="GazetteTableText"/>
            </w:pPr>
            <w:r w:rsidRPr="00B1201B">
              <w:t>64849</w:t>
            </w:r>
          </w:p>
        </w:tc>
        <w:tc>
          <w:tcPr>
            <w:tcW w:w="1326" w:type="pct"/>
          </w:tcPr>
          <w:p w14:paraId="19883791" w14:textId="77777777" w:rsidR="008E67EA" w:rsidRPr="00B75907" w:rsidRDefault="008E67EA" w:rsidP="00B44A74">
            <w:pPr>
              <w:pStyle w:val="GazetteTableText"/>
            </w:pPr>
            <w:r w:rsidRPr="00B1201B">
              <w:t>Surefire Broma Blocks Rodenticide</w:t>
            </w:r>
          </w:p>
        </w:tc>
        <w:tc>
          <w:tcPr>
            <w:tcW w:w="1251" w:type="pct"/>
          </w:tcPr>
          <w:p w14:paraId="19C86256" w14:textId="77777777" w:rsidR="008E67EA" w:rsidRDefault="008E67EA" w:rsidP="00B44A74">
            <w:pPr>
              <w:pStyle w:val="GazetteTableText"/>
            </w:pPr>
            <w:r w:rsidRPr="007A1FF7">
              <w:t>P</w:t>
            </w:r>
            <w:r>
              <w:t>CT</w:t>
            </w:r>
            <w:r w:rsidRPr="007A1FF7">
              <w:t>t Holdings Pty Ltd</w:t>
            </w:r>
          </w:p>
        </w:tc>
        <w:tc>
          <w:tcPr>
            <w:tcW w:w="1175" w:type="pct"/>
          </w:tcPr>
          <w:p w14:paraId="37713A9C" w14:textId="77777777" w:rsidR="008E67EA" w:rsidRDefault="008E67EA" w:rsidP="00B44A74">
            <w:pPr>
              <w:pStyle w:val="GazetteTableText"/>
            </w:pPr>
            <w:r w:rsidRPr="00F2342C">
              <w:t>64849/0410</w:t>
            </w:r>
          </w:p>
        </w:tc>
      </w:tr>
      <w:tr w:rsidR="008E67EA" w14:paraId="5C571E6C" w14:textId="77777777" w:rsidTr="00B347E8">
        <w:tc>
          <w:tcPr>
            <w:tcW w:w="648" w:type="pct"/>
          </w:tcPr>
          <w:p w14:paraId="3C423EE9" w14:textId="77777777" w:rsidR="008E67EA" w:rsidRDefault="008E67EA" w:rsidP="00B44A74">
            <w:pPr>
              <w:pStyle w:val="GazetteTableText"/>
            </w:pPr>
            <w:r w:rsidRPr="00A816F7">
              <w:t>Bromadiolone</w:t>
            </w:r>
          </w:p>
        </w:tc>
        <w:tc>
          <w:tcPr>
            <w:tcW w:w="600" w:type="pct"/>
          </w:tcPr>
          <w:p w14:paraId="547449F5" w14:textId="77777777" w:rsidR="008E67EA" w:rsidRDefault="008E67EA" w:rsidP="00B44A74">
            <w:pPr>
              <w:pStyle w:val="GazetteTableText"/>
            </w:pPr>
            <w:r w:rsidRPr="00B1201B">
              <w:t>64850</w:t>
            </w:r>
          </w:p>
        </w:tc>
        <w:tc>
          <w:tcPr>
            <w:tcW w:w="1326" w:type="pct"/>
          </w:tcPr>
          <w:p w14:paraId="0C4629A1" w14:textId="77777777" w:rsidR="008E67EA" w:rsidRPr="00B75907" w:rsidRDefault="008E67EA" w:rsidP="00B44A74">
            <w:pPr>
              <w:pStyle w:val="GazetteTableText"/>
            </w:pPr>
            <w:r w:rsidRPr="00B1201B">
              <w:t>Surefire Broma Pellets Rodenticide</w:t>
            </w:r>
          </w:p>
        </w:tc>
        <w:tc>
          <w:tcPr>
            <w:tcW w:w="1251" w:type="pct"/>
          </w:tcPr>
          <w:p w14:paraId="7AB7AEFF" w14:textId="77777777" w:rsidR="008E67EA" w:rsidRDefault="008E67EA" w:rsidP="00B44A74">
            <w:pPr>
              <w:pStyle w:val="GazetteTableText"/>
            </w:pPr>
            <w:r w:rsidRPr="007A1FF7">
              <w:t>P</w:t>
            </w:r>
            <w:r>
              <w:t>CT</w:t>
            </w:r>
            <w:r w:rsidRPr="007A1FF7">
              <w:t xml:space="preserve"> Holdings Pty Ltd</w:t>
            </w:r>
          </w:p>
        </w:tc>
        <w:tc>
          <w:tcPr>
            <w:tcW w:w="1175" w:type="pct"/>
          </w:tcPr>
          <w:p w14:paraId="73C15E9A" w14:textId="77777777" w:rsidR="008E67EA" w:rsidRDefault="008E67EA" w:rsidP="00B44A74">
            <w:pPr>
              <w:pStyle w:val="GazetteTableText"/>
            </w:pPr>
            <w:r w:rsidRPr="00F2342C">
              <w:t>64850/0210</w:t>
            </w:r>
          </w:p>
        </w:tc>
      </w:tr>
      <w:tr w:rsidR="008E67EA" w14:paraId="600389C1" w14:textId="77777777" w:rsidTr="00B347E8">
        <w:tc>
          <w:tcPr>
            <w:tcW w:w="648" w:type="pct"/>
          </w:tcPr>
          <w:p w14:paraId="15370568" w14:textId="77777777" w:rsidR="008E67EA" w:rsidRDefault="008E67EA" w:rsidP="00B44A74">
            <w:pPr>
              <w:pStyle w:val="GazetteTableText"/>
            </w:pPr>
            <w:r w:rsidRPr="00A816F7">
              <w:t>Bromadiolone</w:t>
            </w:r>
          </w:p>
        </w:tc>
        <w:tc>
          <w:tcPr>
            <w:tcW w:w="600" w:type="pct"/>
          </w:tcPr>
          <w:p w14:paraId="7AD71708" w14:textId="77777777" w:rsidR="008E67EA" w:rsidRDefault="008E67EA" w:rsidP="00B44A74">
            <w:pPr>
              <w:pStyle w:val="GazetteTableText"/>
            </w:pPr>
            <w:r w:rsidRPr="00B1201B">
              <w:t>80379</w:t>
            </w:r>
          </w:p>
        </w:tc>
        <w:tc>
          <w:tcPr>
            <w:tcW w:w="1326" w:type="pct"/>
          </w:tcPr>
          <w:p w14:paraId="289B8D36" w14:textId="77777777" w:rsidR="008E67EA" w:rsidRPr="00B75907" w:rsidRDefault="008E67EA" w:rsidP="00B44A74">
            <w:pPr>
              <w:pStyle w:val="GazetteTableText"/>
            </w:pPr>
            <w:r w:rsidRPr="00B1201B">
              <w:t>Generation Green Rodenticide Pellet</w:t>
            </w:r>
          </w:p>
        </w:tc>
        <w:tc>
          <w:tcPr>
            <w:tcW w:w="1251" w:type="pct"/>
          </w:tcPr>
          <w:p w14:paraId="72851B78" w14:textId="77777777" w:rsidR="008E67EA" w:rsidRDefault="008E67EA" w:rsidP="00B44A74">
            <w:pPr>
              <w:pStyle w:val="GazetteTableText"/>
            </w:pPr>
            <w:r w:rsidRPr="007A1FF7">
              <w:t>Liphatech S.A.S.</w:t>
            </w:r>
          </w:p>
        </w:tc>
        <w:tc>
          <w:tcPr>
            <w:tcW w:w="1175" w:type="pct"/>
          </w:tcPr>
          <w:p w14:paraId="777BB60A" w14:textId="77777777" w:rsidR="008E67EA" w:rsidRDefault="008E67EA" w:rsidP="00B44A74">
            <w:pPr>
              <w:pStyle w:val="GazetteTableText"/>
            </w:pPr>
            <w:r w:rsidRPr="00CF324A">
              <w:t>80379/100723</w:t>
            </w:r>
          </w:p>
        </w:tc>
      </w:tr>
      <w:tr w:rsidR="008E67EA" w14:paraId="31B76817" w14:textId="77777777" w:rsidTr="00B347E8">
        <w:tc>
          <w:tcPr>
            <w:tcW w:w="648" w:type="pct"/>
          </w:tcPr>
          <w:p w14:paraId="02C88F27" w14:textId="77777777" w:rsidR="008E67EA" w:rsidRDefault="008E67EA" w:rsidP="00B44A74">
            <w:pPr>
              <w:pStyle w:val="GazetteTableText"/>
            </w:pPr>
            <w:r w:rsidRPr="00A816F7">
              <w:t>Bromadiolone</w:t>
            </w:r>
          </w:p>
        </w:tc>
        <w:tc>
          <w:tcPr>
            <w:tcW w:w="600" w:type="pct"/>
          </w:tcPr>
          <w:p w14:paraId="63287D12" w14:textId="77777777" w:rsidR="008E67EA" w:rsidRDefault="008E67EA" w:rsidP="00B44A74">
            <w:pPr>
              <w:pStyle w:val="GazetteTableText"/>
            </w:pPr>
            <w:r w:rsidRPr="00B1201B">
              <w:t>80388</w:t>
            </w:r>
          </w:p>
        </w:tc>
        <w:tc>
          <w:tcPr>
            <w:tcW w:w="1326" w:type="pct"/>
          </w:tcPr>
          <w:p w14:paraId="2352F455" w14:textId="77777777" w:rsidR="008E67EA" w:rsidRPr="00B75907" w:rsidRDefault="008E67EA" w:rsidP="00B44A74">
            <w:pPr>
              <w:pStyle w:val="GazetteTableText"/>
            </w:pPr>
            <w:r w:rsidRPr="00B1201B">
              <w:t>Bromakil Power Block for Rats and Mice</w:t>
            </w:r>
          </w:p>
        </w:tc>
        <w:tc>
          <w:tcPr>
            <w:tcW w:w="1251" w:type="pct"/>
          </w:tcPr>
          <w:p w14:paraId="407434B9" w14:textId="77777777" w:rsidR="008E67EA" w:rsidRDefault="008E67EA" w:rsidP="00B44A74">
            <w:pPr>
              <w:pStyle w:val="GazetteTableText"/>
            </w:pPr>
            <w:r w:rsidRPr="007A1FF7">
              <w:t>Liphatech S.A.S.</w:t>
            </w:r>
          </w:p>
        </w:tc>
        <w:tc>
          <w:tcPr>
            <w:tcW w:w="1175" w:type="pct"/>
          </w:tcPr>
          <w:p w14:paraId="451780DD" w14:textId="77777777" w:rsidR="008E67EA" w:rsidRDefault="008E67EA" w:rsidP="00B44A74">
            <w:pPr>
              <w:pStyle w:val="GazetteTableText"/>
            </w:pPr>
            <w:r w:rsidRPr="00CF324A">
              <w:t>80388/100735, 80388/130542</w:t>
            </w:r>
          </w:p>
        </w:tc>
      </w:tr>
      <w:tr w:rsidR="008E67EA" w14:paraId="1D9F2252" w14:textId="77777777" w:rsidTr="00B347E8">
        <w:tc>
          <w:tcPr>
            <w:tcW w:w="648" w:type="pct"/>
          </w:tcPr>
          <w:p w14:paraId="642110F8" w14:textId="77777777" w:rsidR="008E67EA" w:rsidRDefault="008E67EA" w:rsidP="00B44A74">
            <w:pPr>
              <w:pStyle w:val="GazetteTableText"/>
            </w:pPr>
            <w:r w:rsidRPr="00A816F7">
              <w:t>Bromadiolone</w:t>
            </w:r>
          </w:p>
        </w:tc>
        <w:tc>
          <w:tcPr>
            <w:tcW w:w="600" w:type="pct"/>
          </w:tcPr>
          <w:p w14:paraId="6394F965" w14:textId="77777777" w:rsidR="008E67EA" w:rsidRDefault="008E67EA" w:rsidP="00B44A74">
            <w:pPr>
              <w:pStyle w:val="GazetteTableText"/>
            </w:pPr>
            <w:r w:rsidRPr="00B1201B">
              <w:t>81205</w:t>
            </w:r>
          </w:p>
        </w:tc>
        <w:tc>
          <w:tcPr>
            <w:tcW w:w="1326" w:type="pct"/>
          </w:tcPr>
          <w:p w14:paraId="653088D5" w14:textId="77777777" w:rsidR="008E67EA" w:rsidRPr="00B75907" w:rsidRDefault="008E67EA" w:rsidP="00B44A74">
            <w:pPr>
              <w:pStyle w:val="GazetteTableText"/>
            </w:pPr>
            <w:r w:rsidRPr="00B1201B">
              <w:t>Tomcat Bait Packs</w:t>
            </w:r>
          </w:p>
        </w:tc>
        <w:tc>
          <w:tcPr>
            <w:tcW w:w="1251" w:type="pct"/>
          </w:tcPr>
          <w:p w14:paraId="11FE37DC" w14:textId="77777777" w:rsidR="008E67EA" w:rsidRDefault="008E67EA" w:rsidP="00B44A74">
            <w:pPr>
              <w:pStyle w:val="GazetteTableText"/>
            </w:pPr>
            <w:r w:rsidRPr="007A1FF7">
              <w:t>Evergreen Garden Care Australia Pty Ltd</w:t>
            </w:r>
          </w:p>
        </w:tc>
        <w:tc>
          <w:tcPr>
            <w:tcW w:w="1175" w:type="pct"/>
          </w:tcPr>
          <w:p w14:paraId="60B1BCA6" w14:textId="77777777" w:rsidR="008E67EA" w:rsidRDefault="008E67EA" w:rsidP="00B44A74">
            <w:pPr>
              <w:pStyle w:val="GazetteTableText"/>
            </w:pPr>
            <w:r w:rsidRPr="00CF324A">
              <w:t>81205/102547</w:t>
            </w:r>
          </w:p>
        </w:tc>
      </w:tr>
      <w:tr w:rsidR="008E67EA" w14:paraId="3C583C23" w14:textId="77777777" w:rsidTr="00B347E8">
        <w:tc>
          <w:tcPr>
            <w:tcW w:w="648" w:type="pct"/>
          </w:tcPr>
          <w:p w14:paraId="7CF45A7C" w14:textId="77777777" w:rsidR="008E67EA" w:rsidRDefault="008E67EA" w:rsidP="00B44A74">
            <w:pPr>
              <w:pStyle w:val="GazetteTableText"/>
            </w:pPr>
            <w:r w:rsidRPr="00A816F7">
              <w:t>Bromadiolone</w:t>
            </w:r>
          </w:p>
        </w:tc>
        <w:tc>
          <w:tcPr>
            <w:tcW w:w="600" w:type="pct"/>
          </w:tcPr>
          <w:p w14:paraId="454037D0" w14:textId="77777777" w:rsidR="008E67EA" w:rsidRDefault="008E67EA" w:rsidP="00B44A74">
            <w:pPr>
              <w:pStyle w:val="GazetteTableText"/>
            </w:pPr>
            <w:r w:rsidRPr="00B1201B">
              <w:t>81206</w:t>
            </w:r>
          </w:p>
        </w:tc>
        <w:tc>
          <w:tcPr>
            <w:tcW w:w="1326" w:type="pct"/>
          </w:tcPr>
          <w:p w14:paraId="4BAA0EA3" w14:textId="77777777" w:rsidR="008E67EA" w:rsidRPr="00B75907" w:rsidRDefault="008E67EA" w:rsidP="00B44A74">
            <w:pPr>
              <w:pStyle w:val="GazetteTableText"/>
            </w:pPr>
            <w:r w:rsidRPr="00B1201B">
              <w:t>Tomcat All-Weather Rat &amp; Mouse Block Baits</w:t>
            </w:r>
          </w:p>
        </w:tc>
        <w:tc>
          <w:tcPr>
            <w:tcW w:w="1251" w:type="pct"/>
          </w:tcPr>
          <w:p w14:paraId="56006884" w14:textId="77777777" w:rsidR="008E67EA" w:rsidRDefault="008E67EA" w:rsidP="00B44A74">
            <w:pPr>
              <w:pStyle w:val="GazetteTableText"/>
            </w:pPr>
            <w:r w:rsidRPr="007A1FF7">
              <w:t>Evergreen Garden Care Australia Pty Ltd</w:t>
            </w:r>
          </w:p>
        </w:tc>
        <w:tc>
          <w:tcPr>
            <w:tcW w:w="1175" w:type="pct"/>
          </w:tcPr>
          <w:p w14:paraId="68B67FF8" w14:textId="77777777" w:rsidR="008E67EA" w:rsidRDefault="008E67EA" w:rsidP="00B44A74">
            <w:pPr>
              <w:pStyle w:val="GazetteTableText"/>
            </w:pPr>
            <w:r w:rsidRPr="00CF324A">
              <w:t>81206/102549</w:t>
            </w:r>
            <w:r>
              <w:t xml:space="preserve">, </w:t>
            </w:r>
            <w:r w:rsidRPr="00CF324A">
              <w:t>81206/140075</w:t>
            </w:r>
          </w:p>
        </w:tc>
      </w:tr>
      <w:tr w:rsidR="008E67EA" w14:paraId="5C72DB56" w14:textId="77777777" w:rsidTr="00B347E8">
        <w:tc>
          <w:tcPr>
            <w:tcW w:w="648" w:type="pct"/>
          </w:tcPr>
          <w:p w14:paraId="2007EBE6" w14:textId="77777777" w:rsidR="008E67EA" w:rsidRDefault="008E67EA" w:rsidP="00B44A74">
            <w:pPr>
              <w:pStyle w:val="GazetteTableText"/>
            </w:pPr>
            <w:r w:rsidRPr="00A816F7">
              <w:t>Bromadiolone</w:t>
            </w:r>
          </w:p>
        </w:tc>
        <w:tc>
          <w:tcPr>
            <w:tcW w:w="600" w:type="pct"/>
          </w:tcPr>
          <w:p w14:paraId="6AF1A095" w14:textId="77777777" w:rsidR="008E67EA" w:rsidRDefault="008E67EA" w:rsidP="00B44A74">
            <w:pPr>
              <w:pStyle w:val="GazetteTableText"/>
            </w:pPr>
            <w:r w:rsidRPr="00B1201B">
              <w:t>86179</w:t>
            </w:r>
          </w:p>
        </w:tc>
        <w:tc>
          <w:tcPr>
            <w:tcW w:w="1326" w:type="pct"/>
          </w:tcPr>
          <w:p w14:paraId="52AA5FA6" w14:textId="77777777" w:rsidR="008E67EA" w:rsidRPr="00B75907" w:rsidRDefault="008E67EA" w:rsidP="00B44A74">
            <w:pPr>
              <w:pStyle w:val="GazetteTableText"/>
            </w:pPr>
            <w:r w:rsidRPr="00B1201B">
              <w:t>Resolv Soft Bait Rodenticide</w:t>
            </w:r>
          </w:p>
        </w:tc>
        <w:tc>
          <w:tcPr>
            <w:tcW w:w="1251" w:type="pct"/>
          </w:tcPr>
          <w:p w14:paraId="6D245651" w14:textId="77777777" w:rsidR="008E67EA" w:rsidRDefault="008E67EA" w:rsidP="00B44A74">
            <w:pPr>
              <w:pStyle w:val="GazetteTableText"/>
            </w:pPr>
            <w:r w:rsidRPr="007A1FF7">
              <w:t>Liphatech S.A.S.</w:t>
            </w:r>
          </w:p>
        </w:tc>
        <w:tc>
          <w:tcPr>
            <w:tcW w:w="1175" w:type="pct"/>
          </w:tcPr>
          <w:p w14:paraId="26105AA9" w14:textId="77777777" w:rsidR="008E67EA" w:rsidRDefault="008E67EA" w:rsidP="00B44A74">
            <w:pPr>
              <w:pStyle w:val="GazetteTableText"/>
            </w:pPr>
            <w:r w:rsidRPr="00CF324A">
              <w:t>86179/114907</w:t>
            </w:r>
          </w:p>
        </w:tc>
      </w:tr>
      <w:tr w:rsidR="008E67EA" w14:paraId="52608D13" w14:textId="77777777" w:rsidTr="00B347E8">
        <w:tc>
          <w:tcPr>
            <w:tcW w:w="648" w:type="pct"/>
          </w:tcPr>
          <w:p w14:paraId="3D555932" w14:textId="77777777" w:rsidR="008E67EA" w:rsidRDefault="008E67EA" w:rsidP="00B44A74">
            <w:pPr>
              <w:pStyle w:val="GazetteTableText"/>
            </w:pPr>
            <w:r w:rsidRPr="00A816F7">
              <w:t>Bromadiolone</w:t>
            </w:r>
          </w:p>
        </w:tc>
        <w:tc>
          <w:tcPr>
            <w:tcW w:w="600" w:type="pct"/>
          </w:tcPr>
          <w:p w14:paraId="0E4B9CAC" w14:textId="77777777" w:rsidR="008E67EA" w:rsidRDefault="008E67EA" w:rsidP="00B44A74">
            <w:pPr>
              <w:pStyle w:val="GazetteTableText"/>
            </w:pPr>
            <w:r w:rsidRPr="00B1201B">
              <w:t>86331</w:t>
            </w:r>
          </w:p>
        </w:tc>
        <w:tc>
          <w:tcPr>
            <w:tcW w:w="1326" w:type="pct"/>
          </w:tcPr>
          <w:p w14:paraId="05C62D3B" w14:textId="77777777" w:rsidR="008E67EA" w:rsidRPr="00B75907" w:rsidRDefault="008E67EA" w:rsidP="00B44A74">
            <w:pPr>
              <w:pStyle w:val="GazetteTableText"/>
            </w:pPr>
            <w:r w:rsidRPr="00B1201B">
              <w:t>Contrac Soft Bait</w:t>
            </w:r>
          </w:p>
        </w:tc>
        <w:tc>
          <w:tcPr>
            <w:tcW w:w="1251" w:type="pct"/>
          </w:tcPr>
          <w:p w14:paraId="1EC1F37F" w14:textId="77777777" w:rsidR="008E67EA" w:rsidRDefault="008E67EA" w:rsidP="00B44A74">
            <w:pPr>
              <w:pStyle w:val="GazetteTableText"/>
            </w:pPr>
            <w:r w:rsidRPr="007A1FF7">
              <w:t>Bell Laboratories, Inc.</w:t>
            </w:r>
          </w:p>
        </w:tc>
        <w:tc>
          <w:tcPr>
            <w:tcW w:w="1175" w:type="pct"/>
          </w:tcPr>
          <w:p w14:paraId="11A7186B" w14:textId="77777777" w:rsidR="008E67EA" w:rsidRDefault="008E67EA" w:rsidP="00B44A74">
            <w:pPr>
              <w:pStyle w:val="GazetteTableText"/>
            </w:pPr>
            <w:r>
              <w:t>86331/115500, 86331/120488, 86331/120939</w:t>
            </w:r>
          </w:p>
        </w:tc>
      </w:tr>
      <w:tr w:rsidR="008E67EA" w14:paraId="79503BB0" w14:textId="77777777" w:rsidTr="00B347E8">
        <w:tc>
          <w:tcPr>
            <w:tcW w:w="648" w:type="pct"/>
          </w:tcPr>
          <w:p w14:paraId="5D10E153" w14:textId="77777777" w:rsidR="008E67EA" w:rsidRDefault="008E67EA" w:rsidP="00B44A74">
            <w:pPr>
              <w:pStyle w:val="GazetteTableText"/>
            </w:pPr>
            <w:r w:rsidRPr="00C37238">
              <w:t>Bromadiolone, Difenacoum</w:t>
            </w:r>
          </w:p>
        </w:tc>
        <w:tc>
          <w:tcPr>
            <w:tcW w:w="600" w:type="pct"/>
          </w:tcPr>
          <w:p w14:paraId="6BA11BAB" w14:textId="77777777" w:rsidR="008E67EA" w:rsidRDefault="008E67EA" w:rsidP="00B44A74">
            <w:pPr>
              <w:pStyle w:val="GazetteTableText"/>
            </w:pPr>
            <w:r w:rsidRPr="00BA7919">
              <w:t>69994</w:t>
            </w:r>
          </w:p>
        </w:tc>
        <w:tc>
          <w:tcPr>
            <w:tcW w:w="1326" w:type="pct"/>
          </w:tcPr>
          <w:p w14:paraId="1EAF6C41" w14:textId="77777777" w:rsidR="008E67EA" w:rsidRPr="00B75907" w:rsidRDefault="008E67EA" w:rsidP="00B44A74">
            <w:pPr>
              <w:pStyle w:val="GazetteTableText"/>
            </w:pPr>
            <w:r w:rsidRPr="00BA7919">
              <w:t>Muskil Dual Active Rodenticide Blocks with Fluo-Np Technology</w:t>
            </w:r>
          </w:p>
        </w:tc>
        <w:tc>
          <w:tcPr>
            <w:tcW w:w="1251" w:type="pct"/>
          </w:tcPr>
          <w:p w14:paraId="4AD8BA47" w14:textId="77777777" w:rsidR="008E67EA" w:rsidRDefault="008E67EA" w:rsidP="00B44A74">
            <w:pPr>
              <w:pStyle w:val="GazetteTableText"/>
            </w:pPr>
            <w:r w:rsidRPr="00E875CD">
              <w:t xml:space="preserve">Zapi S.P.A </w:t>
            </w:r>
          </w:p>
        </w:tc>
        <w:tc>
          <w:tcPr>
            <w:tcW w:w="1175" w:type="pct"/>
          </w:tcPr>
          <w:p w14:paraId="776F0643" w14:textId="77777777" w:rsidR="008E67EA" w:rsidRDefault="008E67EA" w:rsidP="00B44A74">
            <w:pPr>
              <w:pStyle w:val="GazetteTableText"/>
            </w:pPr>
            <w:r>
              <w:t>69994/62249, 69994/113128, 69994/123005, 69994/131184</w:t>
            </w:r>
          </w:p>
        </w:tc>
      </w:tr>
      <w:tr w:rsidR="008E67EA" w14:paraId="5741FE74" w14:textId="77777777" w:rsidTr="00B347E8">
        <w:tc>
          <w:tcPr>
            <w:tcW w:w="648" w:type="pct"/>
          </w:tcPr>
          <w:p w14:paraId="160EB8D0" w14:textId="77777777" w:rsidR="008E67EA" w:rsidRDefault="008E67EA" w:rsidP="00B44A74">
            <w:pPr>
              <w:pStyle w:val="GazetteTableText"/>
            </w:pPr>
            <w:r w:rsidRPr="00C37238">
              <w:t>Bromadiolone, Difenacoum</w:t>
            </w:r>
          </w:p>
        </w:tc>
        <w:tc>
          <w:tcPr>
            <w:tcW w:w="600" w:type="pct"/>
          </w:tcPr>
          <w:p w14:paraId="4DD4D05D" w14:textId="77777777" w:rsidR="008E67EA" w:rsidRDefault="008E67EA" w:rsidP="00B44A74">
            <w:pPr>
              <w:pStyle w:val="GazetteTableText"/>
            </w:pPr>
            <w:r w:rsidRPr="00BA7919">
              <w:t>82450</w:t>
            </w:r>
          </w:p>
        </w:tc>
        <w:tc>
          <w:tcPr>
            <w:tcW w:w="1326" w:type="pct"/>
          </w:tcPr>
          <w:p w14:paraId="784A6097" w14:textId="77777777" w:rsidR="008E67EA" w:rsidRPr="00B75907" w:rsidRDefault="008E67EA" w:rsidP="00B44A74">
            <w:pPr>
              <w:pStyle w:val="GazetteTableText"/>
            </w:pPr>
            <w:r w:rsidRPr="00BA7919">
              <w:t>Muskil Soft Bait with Two Actives for Faster Kill of Rats &amp; Mice</w:t>
            </w:r>
          </w:p>
        </w:tc>
        <w:tc>
          <w:tcPr>
            <w:tcW w:w="1251" w:type="pct"/>
          </w:tcPr>
          <w:p w14:paraId="586874C5" w14:textId="77777777" w:rsidR="008E67EA" w:rsidRDefault="008E67EA" w:rsidP="00B44A74">
            <w:pPr>
              <w:pStyle w:val="GazetteTableText"/>
            </w:pPr>
            <w:r w:rsidRPr="00E875CD">
              <w:t xml:space="preserve">Zapi S.P.A </w:t>
            </w:r>
          </w:p>
        </w:tc>
        <w:tc>
          <w:tcPr>
            <w:tcW w:w="1175" w:type="pct"/>
          </w:tcPr>
          <w:p w14:paraId="3A548368" w14:textId="77777777" w:rsidR="008E67EA" w:rsidRDefault="008E67EA" w:rsidP="00B44A74">
            <w:pPr>
              <w:pStyle w:val="GazetteTableText"/>
            </w:pPr>
            <w:r>
              <w:t>82450/105783, 82450/113141, 82450/123000</w:t>
            </w:r>
          </w:p>
        </w:tc>
      </w:tr>
      <w:tr w:rsidR="008E67EA" w14:paraId="136C0CF1" w14:textId="77777777" w:rsidTr="00B347E8">
        <w:tc>
          <w:tcPr>
            <w:tcW w:w="648" w:type="pct"/>
          </w:tcPr>
          <w:p w14:paraId="19CB8188" w14:textId="77777777" w:rsidR="008E67EA" w:rsidRDefault="008E67EA" w:rsidP="00B44A74">
            <w:pPr>
              <w:pStyle w:val="GazetteTableText"/>
            </w:pPr>
            <w:r w:rsidRPr="00C37238">
              <w:t>Bromadiolone, Difenacoum</w:t>
            </w:r>
          </w:p>
        </w:tc>
        <w:tc>
          <w:tcPr>
            <w:tcW w:w="600" w:type="pct"/>
          </w:tcPr>
          <w:p w14:paraId="2F350CA2" w14:textId="77777777" w:rsidR="008E67EA" w:rsidRDefault="008E67EA" w:rsidP="00B44A74">
            <w:pPr>
              <w:pStyle w:val="GazetteTableText"/>
            </w:pPr>
            <w:r w:rsidRPr="00BA7919">
              <w:t>84831</w:t>
            </w:r>
          </w:p>
        </w:tc>
        <w:tc>
          <w:tcPr>
            <w:tcW w:w="1326" w:type="pct"/>
          </w:tcPr>
          <w:p w14:paraId="21326E9B" w14:textId="77777777" w:rsidR="008E67EA" w:rsidRPr="00B75907" w:rsidRDefault="008E67EA" w:rsidP="00B44A74">
            <w:pPr>
              <w:pStyle w:val="GazetteTableText"/>
            </w:pPr>
            <w:r w:rsidRPr="00BA7919">
              <w:t xml:space="preserve">Ratsak Rapid Strike Dual Active Waxblocks </w:t>
            </w:r>
          </w:p>
        </w:tc>
        <w:tc>
          <w:tcPr>
            <w:tcW w:w="1251" w:type="pct"/>
          </w:tcPr>
          <w:p w14:paraId="26C9FC4A" w14:textId="77777777" w:rsidR="008E67EA" w:rsidRDefault="008E67EA" w:rsidP="00B44A74">
            <w:pPr>
              <w:pStyle w:val="GazetteTableText"/>
            </w:pPr>
            <w:r w:rsidRPr="00E875CD">
              <w:t xml:space="preserve">Zapi S.P.A </w:t>
            </w:r>
          </w:p>
        </w:tc>
        <w:tc>
          <w:tcPr>
            <w:tcW w:w="1175" w:type="pct"/>
          </w:tcPr>
          <w:p w14:paraId="2DE05D67" w14:textId="77777777" w:rsidR="008E67EA" w:rsidRDefault="008E67EA" w:rsidP="00B44A74">
            <w:pPr>
              <w:pStyle w:val="GazetteTableText"/>
            </w:pPr>
            <w:r>
              <w:t>84831/111524, 84831/113394</w:t>
            </w:r>
          </w:p>
        </w:tc>
      </w:tr>
      <w:tr w:rsidR="008E67EA" w14:paraId="51BF25B9" w14:textId="77777777" w:rsidTr="00B347E8">
        <w:tc>
          <w:tcPr>
            <w:tcW w:w="648" w:type="pct"/>
          </w:tcPr>
          <w:p w14:paraId="333928D5" w14:textId="77777777" w:rsidR="008E67EA" w:rsidRDefault="008E67EA" w:rsidP="00B44A74">
            <w:pPr>
              <w:pStyle w:val="GazetteTableText"/>
            </w:pPr>
            <w:r w:rsidRPr="00C37238">
              <w:t>Bromadiolone, Difenacoum</w:t>
            </w:r>
          </w:p>
        </w:tc>
        <w:tc>
          <w:tcPr>
            <w:tcW w:w="600" w:type="pct"/>
          </w:tcPr>
          <w:p w14:paraId="32E03E75" w14:textId="77777777" w:rsidR="008E67EA" w:rsidRDefault="008E67EA" w:rsidP="00B44A74">
            <w:pPr>
              <w:pStyle w:val="GazetteTableText"/>
            </w:pPr>
            <w:r w:rsidRPr="00BA7919">
              <w:t>84832</w:t>
            </w:r>
          </w:p>
        </w:tc>
        <w:tc>
          <w:tcPr>
            <w:tcW w:w="1326" w:type="pct"/>
          </w:tcPr>
          <w:p w14:paraId="5FC8E87E" w14:textId="77777777" w:rsidR="008E67EA" w:rsidRPr="00B75907" w:rsidRDefault="008E67EA" w:rsidP="00B44A74">
            <w:pPr>
              <w:pStyle w:val="GazetteTableText"/>
            </w:pPr>
            <w:r w:rsidRPr="00BA7919">
              <w:t>Ratsak Rapid Strike Advanced Dual Active Soft Bait</w:t>
            </w:r>
          </w:p>
        </w:tc>
        <w:tc>
          <w:tcPr>
            <w:tcW w:w="1251" w:type="pct"/>
          </w:tcPr>
          <w:p w14:paraId="398C0962" w14:textId="77777777" w:rsidR="008E67EA" w:rsidRDefault="008E67EA" w:rsidP="00B44A74">
            <w:pPr>
              <w:pStyle w:val="GazetteTableText"/>
            </w:pPr>
            <w:r w:rsidRPr="00E875CD">
              <w:t xml:space="preserve">Zapi S.P.A </w:t>
            </w:r>
          </w:p>
        </w:tc>
        <w:tc>
          <w:tcPr>
            <w:tcW w:w="1175" w:type="pct"/>
          </w:tcPr>
          <w:p w14:paraId="4C50C5C0" w14:textId="77777777" w:rsidR="008E67EA" w:rsidRDefault="008E67EA" w:rsidP="00B44A74">
            <w:pPr>
              <w:pStyle w:val="GazetteTableText"/>
            </w:pPr>
            <w:r>
              <w:t>84832/111525, 84832/113395</w:t>
            </w:r>
          </w:p>
        </w:tc>
      </w:tr>
      <w:tr w:rsidR="008E67EA" w14:paraId="5AABA098" w14:textId="77777777" w:rsidTr="00B347E8">
        <w:tc>
          <w:tcPr>
            <w:tcW w:w="648" w:type="pct"/>
          </w:tcPr>
          <w:p w14:paraId="2D171548" w14:textId="77777777" w:rsidR="008E67EA" w:rsidRDefault="008E67EA" w:rsidP="00B44A74">
            <w:pPr>
              <w:pStyle w:val="GazetteTableText"/>
            </w:pPr>
            <w:r>
              <w:t>D</w:t>
            </w:r>
            <w:r w:rsidRPr="00001A49">
              <w:t>ifenacoum</w:t>
            </w:r>
          </w:p>
        </w:tc>
        <w:tc>
          <w:tcPr>
            <w:tcW w:w="600" w:type="pct"/>
          </w:tcPr>
          <w:p w14:paraId="69983449" w14:textId="77777777" w:rsidR="008E67EA" w:rsidRDefault="008E67EA" w:rsidP="00B44A74">
            <w:pPr>
              <w:pStyle w:val="GazetteTableText"/>
            </w:pPr>
            <w:r w:rsidRPr="00D95DA9">
              <w:t>65339</w:t>
            </w:r>
          </w:p>
        </w:tc>
        <w:tc>
          <w:tcPr>
            <w:tcW w:w="1326" w:type="pct"/>
          </w:tcPr>
          <w:p w14:paraId="0F1AB927" w14:textId="77777777" w:rsidR="008E67EA" w:rsidRPr="00B75907" w:rsidRDefault="008E67EA" w:rsidP="00B44A74">
            <w:pPr>
              <w:pStyle w:val="GazetteTableText"/>
            </w:pPr>
            <w:r w:rsidRPr="00D95DA9">
              <w:t>Roban Rodenticide Blocks</w:t>
            </w:r>
          </w:p>
        </w:tc>
        <w:tc>
          <w:tcPr>
            <w:tcW w:w="1251" w:type="pct"/>
          </w:tcPr>
          <w:p w14:paraId="0F3DBE79" w14:textId="77777777" w:rsidR="008E67EA" w:rsidRDefault="008E67EA" w:rsidP="00B44A74">
            <w:pPr>
              <w:pStyle w:val="GazetteTableText"/>
            </w:pPr>
            <w:r w:rsidRPr="007028B5">
              <w:t>Pelgar International (Aus) Pty Ltd</w:t>
            </w:r>
          </w:p>
        </w:tc>
        <w:tc>
          <w:tcPr>
            <w:tcW w:w="1175" w:type="pct"/>
          </w:tcPr>
          <w:p w14:paraId="4EC0EF5D" w14:textId="77777777" w:rsidR="008E67EA" w:rsidRDefault="008E67EA" w:rsidP="00B44A74">
            <w:pPr>
              <w:pStyle w:val="GazetteTableText"/>
            </w:pPr>
            <w:r w:rsidRPr="002D65A6">
              <w:t>65339/50720, 65339/57935</w:t>
            </w:r>
          </w:p>
        </w:tc>
      </w:tr>
      <w:tr w:rsidR="008E67EA" w14:paraId="50431C22" w14:textId="77777777" w:rsidTr="00B347E8">
        <w:tc>
          <w:tcPr>
            <w:tcW w:w="648" w:type="pct"/>
          </w:tcPr>
          <w:p w14:paraId="053CD0F2" w14:textId="77777777" w:rsidR="008E67EA" w:rsidRDefault="008E67EA" w:rsidP="00B44A74">
            <w:pPr>
              <w:pStyle w:val="GazetteTableText"/>
            </w:pPr>
            <w:r>
              <w:lastRenderedPageBreak/>
              <w:t>D</w:t>
            </w:r>
            <w:r w:rsidRPr="00001A49">
              <w:t>ifenacoum</w:t>
            </w:r>
          </w:p>
        </w:tc>
        <w:tc>
          <w:tcPr>
            <w:tcW w:w="600" w:type="pct"/>
          </w:tcPr>
          <w:p w14:paraId="092892B5" w14:textId="77777777" w:rsidR="008E67EA" w:rsidRDefault="008E67EA" w:rsidP="00B44A74">
            <w:pPr>
              <w:pStyle w:val="GazetteTableText"/>
            </w:pPr>
            <w:r w:rsidRPr="00D95DA9">
              <w:t>65358</w:t>
            </w:r>
          </w:p>
        </w:tc>
        <w:tc>
          <w:tcPr>
            <w:tcW w:w="1326" w:type="pct"/>
          </w:tcPr>
          <w:p w14:paraId="7490E578" w14:textId="77777777" w:rsidR="008E67EA" w:rsidRPr="00B75907" w:rsidRDefault="008E67EA" w:rsidP="00B44A74">
            <w:pPr>
              <w:pStyle w:val="GazetteTableText"/>
            </w:pPr>
            <w:r w:rsidRPr="00D95DA9">
              <w:t>Roban Rodenticide Paste</w:t>
            </w:r>
          </w:p>
        </w:tc>
        <w:tc>
          <w:tcPr>
            <w:tcW w:w="1251" w:type="pct"/>
          </w:tcPr>
          <w:p w14:paraId="75C023E0" w14:textId="77777777" w:rsidR="008E67EA" w:rsidRDefault="008E67EA" w:rsidP="00B44A74">
            <w:pPr>
              <w:pStyle w:val="GazetteTableText"/>
            </w:pPr>
            <w:r w:rsidRPr="007028B5">
              <w:t>Pelgar International (Aus) Pty Ltd</w:t>
            </w:r>
          </w:p>
        </w:tc>
        <w:tc>
          <w:tcPr>
            <w:tcW w:w="1175" w:type="pct"/>
          </w:tcPr>
          <w:p w14:paraId="672D4F2B" w14:textId="77777777" w:rsidR="008E67EA" w:rsidRDefault="008E67EA" w:rsidP="00B44A74">
            <w:pPr>
              <w:pStyle w:val="GazetteTableText"/>
            </w:pPr>
            <w:r w:rsidRPr="002D65A6">
              <w:t>65358/50750</w:t>
            </w:r>
          </w:p>
        </w:tc>
      </w:tr>
      <w:tr w:rsidR="008E67EA" w14:paraId="1084FF16" w14:textId="77777777" w:rsidTr="00B347E8">
        <w:tc>
          <w:tcPr>
            <w:tcW w:w="648" w:type="pct"/>
          </w:tcPr>
          <w:p w14:paraId="399B1354" w14:textId="77777777" w:rsidR="008E67EA" w:rsidRDefault="008E67EA" w:rsidP="00B44A74">
            <w:pPr>
              <w:pStyle w:val="GazetteTableText"/>
            </w:pPr>
            <w:r>
              <w:t>D</w:t>
            </w:r>
            <w:r w:rsidRPr="00001A49">
              <w:t>ifenacoum</w:t>
            </w:r>
          </w:p>
        </w:tc>
        <w:tc>
          <w:tcPr>
            <w:tcW w:w="600" w:type="pct"/>
          </w:tcPr>
          <w:p w14:paraId="0D41423A" w14:textId="77777777" w:rsidR="008E67EA" w:rsidRDefault="008E67EA" w:rsidP="00B44A74">
            <w:pPr>
              <w:pStyle w:val="GazetteTableText"/>
            </w:pPr>
            <w:r w:rsidRPr="00D95DA9">
              <w:t>65528</w:t>
            </w:r>
          </w:p>
        </w:tc>
        <w:tc>
          <w:tcPr>
            <w:tcW w:w="1326" w:type="pct"/>
          </w:tcPr>
          <w:p w14:paraId="1B967434" w14:textId="77777777" w:rsidR="008E67EA" w:rsidRPr="00B75907" w:rsidRDefault="008E67EA" w:rsidP="00B44A74">
            <w:pPr>
              <w:pStyle w:val="GazetteTableText"/>
            </w:pPr>
            <w:r w:rsidRPr="00D95DA9">
              <w:t>Roban Rodenticide Pellets</w:t>
            </w:r>
          </w:p>
        </w:tc>
        <w:tc>
          <w:tcPr>
            <w:tcW w:w="1251" w:type="pct"/>
          </w:tcPr>
          <w:p w14:paraId="75F4AD27" w14:textId="77777777" w:rsidR="008E67EA" w:rsidRDefault="008E67EA" w:rsidP="00B44A74">
            <w:pPr>
              <w:pStyle w:val="GazetteTableText"/>
            </w:pPr>
            <w:r w:rsidRPr="007028B5">
              <w:t>Pelgar International (Aus) Pty Ltd</w:t>
            </w:r>
          </w:p>
        </w:tc>
        <w:tc>
          <w:tcPr>
            <w:tcW w:w="1175" w:type="pct"/>
          </w:tcPr>
          <w:p w14:paraId="46A3AF33" w14:textId="77777777" w:rsidR="008E67EA" w:rsidRDefault="008E67EA" w:rsidP="00B44A74">
            <w:pPr>
              <w:pStyle w:val="GazetteTableText"/>
            </w:pPr>
            <w:r w:rsidRPr="002D65A6">
              <w:t>65528/51125</w:t>
            </w:r>
          </w:p>
        </w:tc>
      </w:tr>
      <w:tr w:rsidR="008E67EA" w14:paraId="04FCF4BE" w14:textId="77777777" w:rsidTr="00B347E8">
        <w:tc>
          <w:tcPr>
            <w:tcW w:w="648" w:type="pct"/>
          </w:tcPr>
          <w:p w14:paraId="593AB460" w14:textId="77777777" w:rsidR="008E67EA" w:rsidRDefault="008E67EA" w:rsidP="00B44A74">
            <w:pPr>
              <w:pStyle w:val="GazetteTableText"/>
            </w:pPr>
            <w:r>
              <w:t>D</w:t>
            </w:r>
            <w:r w:rsidRPr="00001A49">
              <w:t>ifenacoum</w:t>
            </w:r>
          </w:p>
        </w:tc>
        <w:tc>
          <w:tcPr>
            <w:tcW w:w="600" w:type="pct"/>
          </w:tcPr>
          <w:p w14:paraId="3C26A85B" w14:textId="77777777" w:rsidR="008E67EA" w:rsidRDefault="008E67EA" w:rsidP="00B44A74">
            <w:pPr>
              <w:pStyle w:val="GazetteTableText"/>
            </w:pPr>
            <w:r w:rsidRPr="00D95DA9">
              <w:t>66399</w:t>
            </w:r>
          </w:p>
        </w:tc>
        <w:tc>
          <w:tcPr>
            <w:tcW w:w="1326" w:type="pct"/>
          </w:tcPr>
          <w:p w14:paraId="321590F6" w14:textId="77777777" w:rsidR="008E67EA" w:rsidRPr="00B75907" w:rsidRDefault="008E67EA" w:rsidP="00B44A74">
            <w:pPr>
              <w:pStyle w:val="GazetteTableText"/>
            </w:pPr>
            <w:r w:rsidRPr="00D95DA9">
              <w:t>Roban Rodenticide Placepacks</w:t>
            </w:r>
          </w:p>
        </w:tc>
        <w:tc>
          <w:tcPr>
            <w:tcW w:w="1251" w:type="pct"/>
          </w:tcPr>
          <w:p w14:paraId="00670869" w14:textId="77777777" w:rsidR="008E67EA" w:rsidRDefault="008E67EA" w:rsidP="00B44A74">
            <w:pPr>
              <w:pStyle w:val="GazetteTableText"/>
            </w:pPr>
            <w:r w:rsidRPr="007028B5">
              <w:t>Pelgar International (Aus) Pty Ltd</w:t>
            </w:r>
          </w:p>
        </w:tc>
        <w:tc>
          <w:tcPr>
            <w:tcW w:w="1175" w:type="pct"/>
          </w:tcPr>
          <w:p w14:paraId="0BBA4BDC" w14:textId="77777777" w:rsidR="008E67EA" w:rsidRDefault="008E67EA" w:rsidP="00B44A74">
            <w:pPr>
              <w:pStyle w:val="GazetteTableText"/>
            </w:pPr>
            <w:r w:rsidRPr="002D65A6">
              <w:t>66399/53566</w:t>
            </w:r>
          </w:p>
        </w:tc>
      </w:tr>
      <w:tr w:rsidR="008E67EA" w14:paraId="03355139" w14:textId="77777777" w:rsidTr="00B347E8">
        <w:tc>
          <w:tcPr>
            <w:tcW w:w="648" w:type="pct"/>
          </w:tcPr>
          <w:p w14:paraId="7745D941" w14:textId="77777777" w:rsidR="008E67EA" w:rsidRDefault="008E67EA" w:rsidP="00B44A74">
            <w:pPr>
              <w:pStyle w:val="GazetteTableText"/>
            </w:pPr>
            <w:r>
              <w:t>D</w:t>
            </w:r>
            <w:r w:rsidRPr="00001A49">
              <w:t>ifenacoum</w:t>
            </w:r>
          </w:p>
        </w:tc>
        <w:tc>
          <w:tcPr>
            <w:tcW w:w="600" w:type="pct"/>
          </w:tcPr>
          <w:p w14:paraId="4DAC850E" w14:textId="77777777" w:rsidR="008E67EA" w:rsidRDefault="008E67EA" w:rsidP="00B44A74">
            <w:pPr>
              <w:pStyle w:val="GazetteTableText"/>
            </w:pPr>
            <w:r w:rsidRPr="00D95DA9">
              <w:t>66587</w:t>
            </w:r>
          </w:p>
        </w:tc>
        <w:tc>
          <w:tcPr>
            <w:tcW w:w="1326" w:type="pct"/>
          </w:tcPr>
          <w:p w14:paraId="6E79595A" w14:textId="77777777" w:rsidR="008E67EA" w:rsidRPr="00B75907" w:rsidRDefault="008E67EA" w:rsidP="00B44A74">
            <w:pPr>
              <w:pStyle w:val="GazetteTableText"/>
            </w:pPr>
            <w:r w:rsidRPr="00D95DA9">
              <w:t>Cougar Rodenticide Paste Sachets</w:t>
            </w:r>
          </w:p>
        </w:tc>
        <w:tc>
          <w:tcPr>
            <w:tcW w:w="1251" w:type="pct"/>
          </w:tcPr>
          <w:p w14:paraId="4065C7C8" w14:textId="77777777" w:rsidR="008E67EA" w:rsidRDefault="008E67EA" w:rsidP="00B44A74">
            <w:pPr>
              <w:pStyle w:val="GazetteTableText"/>
            </w:pPr>
            <w:r w:rsidRPr="007028B5">
              <w:t>Pelgar International (Aus) Pty Ltd</w:t>
            </w:r>
          </w:p>
        </w:tc>
        <w:tc>
          <w:tcPr>
            <w:tcW w:w="1175" w:type="pct"/>
          </w:tcPr>
          <w:p w14:paraId="1BAE27B0" w14:textId="77777777" w:rsidR="008E67EA" w:rsidRDefault="008E67EA" w:rsidP="00B44A74">
            <w:pPr>
              <w:pStyle w:val="GazetteTableText"/>
            </w:pPr>
            <w:r w:rsidRPr="002D65A6">
              <w:t>66587/53944</w:t>
            </w:r>
          </w:p>
        </w:tc>
      </w:tr>
      <w:tr w:rsidR="008E67EA" w14:paraId="2237A966" w14:textId="77777777" w:rsidTr="00B347E8">
        <w:tc>
          <w:tcPr>
            <w:tcW w:w="648" w:type="pct"/>
          </w:tcPr>
          <w:p w14:paraId="2F79B9B8" w14:textId="77777777" w:rsidR="008E67EA" w:rsidRDefault="008E67EA" w:rsidP="00B44A74">
            <w:pPr>
              <w:pStyle w:val="GazetteTableText"/>
            </w:pPr>
            <w:r>
              <w:t>D</w:t>
            </w:r>
            <w:r w:rsidRPr="00001A49">
              <w:t>ifenacoum</w:t>
            </w:r>
          </w:p>
        </w:tc>
        <w:tc>
          <w:tcPr>
            <w:tcW w:w="600" w:type="pct"/>
          </w:tcPr>
          <w:p w14:paraId="6BD6A2A8" w14:textId="77777777" w:rsidR="008E67EA" w:rsidRDefault="008E67EA" w:rsidP="00B44A74">
            <w:pPr>
              <w:pStyle w:val="GazetteTableText"/>
            </w:pPr>
            <w:r w:rsidRPr="00D95DA9">
              <w:t>66588</w:t>
            </w:r>
          </w:p>
        </w:tc>
        <w:tc>
          <w:tcPr>
            <w:tcW w:w="1326" w:type="pct"/>
          </w:tcPr>
          <w:p w14:paraId="242AFD92" w14:textId="77777777" w:rsidR="008E67EA" w:rsidRPr="00B75907" w:rsidRDefault="008E67EA" w:rsidP="00B44A74">
            <w:pPr>
              <w:pStyle w:val="GazetteTableText"/>
            </w:pPr>
            <w:r w:rsidRPr="00D95DA9">
              <w:t>Cougar Rodenticide Wax Blocks</w:t>
            </w:r>
          </w:p>
        </w:tc>
        <w:tc>
          <w:tcPr>
            <w:tcW w:w="1251" w:type="pct"/>
          </w:tcPr>
          <w:p w14:paraId="204E8B4E" w14:textId="77777777" w:rsidR="008E67EA" w:rsidRDefault="008E67EA" w:rsidP="00B44A74">
            <w:pPr>
              <w:pStyle w:val="GazetteTableText"/>
            </w:pPr>
            <w:r w:rsidRPr="007028B5">
              <w:t>Pelgar International (Aus) Pty Ltd</w:t>
            </w:r>
          </w:p>
        </w:tc>
        <w:tc>
          <w:tcPr>
            <w:tcW w:w="1175" w:type="pct"/>
          </w:tcPr>
          <w:p w14:paraId="0042EAD5" w14:textId="77777777" w:rsidR="008E67EA" w:rsidRDefault="008E67EA" w:rsidP="00B44A74">
            <w:pPr>
              <w:pStyle w:val="GazetteTableText"/>
            </w:pPr>
            <w:r w:rsidRPr="002D65A6">
              <w:t>66588/53945</w:t>
            </w:r>
          </w:p>
        </w:tc>
      </w:tr>
      <w:tr w:rsidR="008E67EA" w14:paraId="1399C617" w14:textId="77777777" w:rsidTr="00B347E8">
        <w:tc>
          <w:tcPr>
            <w:tcW w:w="648" w:type="pct"/>
          </w:tcPr>
          <w:p w14:paraId="4C6A747D" w14:textId="77777777" w:rsidR="008E67EA" w:rsidRDefault="008E67EA" w:rsidP="00B44A74">
            <w:pPr>
              <w:pStyle w:val="GazetteTableText"/>
            </w:pPr>
            <w:r>
              <w:t>D</w:t>
            </w:r>
            <w:r w:rsidRPr="00001A49">
              <w:t>ifenacoum</w:t>
            </w:r>
          </w:p>
        </w:tc>
        <w:tc>
          <w:tcPr>
            <w:tcW w:w="600" w:type="pct"/>
          </w:tcPr>
          <w:p w14:paraId="2B03BDBF" w14:textId="77777777" w:rsidR="008E67EA" w:rsidRDefault="008E67EA" w:rsidP="00B44A74">
            <w:pPr>
              <w:pStyle w:val="GazetteTableText"/>
            </w:pPr>
            <w:r w:rsidRPr="00D95DA9">
              <w:t>67484</w:t>
            </w:r>
          </w:p>
        </w:tc>
        <w:tc>
          <w:tcPr>
            <w:tcW w:w="1326" w:type="pct"/>
          </w:tcPr>
          <w:p w14:paraId="49931629" w14:textId="77777777" w:rsidR="008E67EA" w:rsidRPr="00B75907" w:rsidRDefault="008E67EA" w:rsidP="00B44A74">
            <w:pPr>
              <w:pStyle w:val="GazetteTableText"/>
            </w:pPr>
            <w:r w:rsidRPr="00D95DA9">
              <w:t>Roban Rat And Mouse Killer Paste</w:t>
            </w:r>
          </w:p>
        </w:tc>
        <w:tc>
          <w:tcPr>
            <w:tcW w:w="1251" w:type="pct"/>
          </w:tcPr>
          <w:p w14:paraId="2AC61191" w14:textId="77777777" w:rsidR="008E67EA" w:rsidRDefault="008E67EA" w:rsidP="00B44A74">
            <w:pPr>
              <w:pStyle w:val="GazetteTableText"/>
            </w:pPr>
            <w:r w:rsidRPr="007028B5">
              <w:t>Pelgar International (Aus) Pty Ltd</w:t>
            </w:r>
          </w:p>
        </w:tc>
        <w:tc>
          <w:tcPr>
            <w:tcW w:w="1175" w:type="pct"/>
          </w:tcPr>
          <w:p w14:paraId="0B9CA605" w14:textId="77777777" w:rsidR="008E67EA" w:rsidRDefault="008E67EA" w:rsidP="00B44A74">
            <w:pPr>
              <w:pStyle w:val="GazetteTableText"/>
            </w:pPr>
            <w:r w:rsidRPr="002D65A6">
              <w:t>67484/56164</w:t>
            </w:r>
          </w:p>
        </w:tc>
      </w:tr>
      <w:tr w:rsidR="008E67EA" w14:paraId="780DC266" w14:textId="77777777" w:rsidTr="00B347E8">
        <w:tc>
          <w:tcPr>
            <w:tcW w:w="648" w:type="pct"/>
          </w:tcPr>
          <w:p w14:paraId="0D5123A5" w14:textId="77777777" w:rsidR="008E67EA" w:rsidRDefault="008E67EA" w:rsidP="00B44A74">
            <w:pPr>
              <w:pStyle w:val="GazetteTableText"/>
            </w:pPr>
            <w:r>
              <w:t>D</w:t>
            </w:r>
            <w:r w:rsidRPr="00001A49">
              <w:t>ifenacoum</w:t>
            </w:r>
          </w:p>
        </w:tc>
        <w:tc>
          <w:tcPr>
            <w:tcW w:w="600" w:type="pct"/>
          </w:tcPr>
          <w:p w14:paraId="7CD128C2" w14:textId="77777777" w:rsidR="008E67EA" w:rsidRDefault="008E67EA" w:rsidP="00B44A74">
            <w:pPr>
              <w:pStyle w:val="GazetteTableText"/>
            </w:pPr>
            <w:r w:rsidRPr="00D95DA9">
              <w:t>67644</w:t>
            </w:r>
          </w:p>
        </w:tc>
        <w:tc>
          <w:tcPr>
            <w:tcW w:w="1326" w:type="pct"/>
          </w:tcPr>
          <w:p w14:paraId="7F15A70A" w14:textId="77777777" w:rsidR="008E67EA" w:rsidRPr="00B75907" w:rsidRDefault="008E67EA" w:rsidP="00B44A74">
            <w:pPr>
              <w:pStyle w:val="GazetteTableText"/>
            </w:pPr>
            <w:r w:rsidRPr="00D95DA9">
              <w:t>Time's Up Rat &amp; Mouse Killer Ready to Use Bait Packs</w:t>
            </w:r>
          </w:p>
        </w:tc>
        <w:tc>
          <w:tcPr>
            <w:tcW w:w="1251" w:type="pct"/>
          </w:tcPr>
          <w:p w14:paraId="7CB6218A" w14:textId="77777777" w:rsidR="008E67EA" w:rsidRDefault="008E67EA" w:rsidP="00B44A74">
            <w:pPr>
              <w:pStyle w:val="GazetteTableText"/>
            </w:pPr>
            <w:r w:rsidRPr="007028B5">
              <w:t>Pelgar International (Aus) Pty Ltd</w:t>
            </w:r>
          </w:p>
        </w:tc>
        <w:tc>
          <w:tcPr>
            <w:tcW w:w="1175" w:type="pct"/>
          </w:tcPr>
          <w:p w14:paraId="7231B586" w14:textId="77777777" w:rsidR="008E67EA" w:rsidRDefault="008E67EA" w:rsidP="00B44A74">
            <w:pPr>
              <w:pStyle w:val="GazetteTableText"/>
            </w:pPr>
            <w:r w:rsidRPr="002D65A6">
              <w:t>67644/56525</w:t>
            </w:r>
          </w:p>
        </w:tc>
      </w:tr>
      <w:tr w:rsidR="008E67EA" w14:paraId="27555D4E" w14:textId="77777777" w:rsidTr="00B347E8">
        <w:tc>
          <w:tcPr>
            <w:tcW w:w="648" w:type="pct"/>
          </w:tcPr>
          <w:p w14:paraId="42E7B279" w14:textId="77777777" w:rsidR="008E67EA" w:rsidRDefault="008E67EA" w:rsidP="00B44A74">
            <w:pPr>
              <w:pStyle w:val="GazetteTableText"/>
            </w:pPr>
            <w:r>
              <w:t>D</w:t>
            </w:r>
            <w:r w:rsidRPr="00001A49">
              <w:t>ifenacoum</w:t>
            </w:r>
          </w:p>
        </w:tc>
        <w:tc>
          <w:tcPr>
            <w:tcW w:w="600" w:type="pct"/>
          </w:tcPr>
          <w:p w14:paraId="4DB6A9B1" w14:textId="77777777" w:rsidR="008E67EA" w:rsidRDefault="008E67EA" w:rsidP="00B44A74">
            <w:pPr>
              <w:pStyle w:val="GazetteTableText"/>
            </w:pPr>
            <w:r w:rsidRPr="00D95DA9">
              <w:t>67647</w:t>
            </w:r>
          </w:p>
        </w:tc>
        <w:tc>
          <w:tcPr>
            <w:tcW w:w="1326" w:type="pct"/>
          </w:tcPr>
          <w:p w14:paraId="7398CE0E" w14:textId="77777777" w:rsidR="008E67EA" w:rsidRPr="00B75907" w:rsidRDefault="008E67EA" w:rsidP="00B44A74">
            <w:pPr>
              <w:pStyle w:val="GazetteTableText"/>
            </w:pPr>
            <w:r w:rsidRPr="00D95DA9">
              <w:t>Time's Up All-Weather Block Bait Rodenticide</w:t>
            </w:r>
          </w:p>
        </w:tc>
        <w:tc>
          <w:tcPr>
            <w:tcW w:w="1251" w:type="pct"/>
          </w:tcPr>
          <w:p w14:paraId="4825D85C" w14:textId="77777777" w:rsidR="008E67EA" w:rsidRDefault="008E67EA" w:rsidP="00B44A74">
            <w:pPr>
              <w:pStyle w:val="GazetteTableText"/>
            </w:pPr>
            <w:r w:rsidRPr="007028B5">
              <w:t>Pelgar International (Aus) Pty Ltd</w:t>
            </w:r>
          </w:p>
        </w:tc>
        <w:tc>
          <w:tcPr>
            <w:tcW w:w="1175" w:type="pct"/>
          </w:tcPr>
          <w:p w14:paraId="6EEA2333" w14:textId="77777777" w:rsidR="008E67EA" w:rsidRDefault="008E67EA" w:rsidP="00B44A74">
            <w:pPr>
              <w:pStyle w:val="GazetteTableText"/>
            </w:pPr>
            <w:r w:rsidRPr="002D65A6">
              <w:t>67647/56528, 67647/111089</w:t>
            </w:r>
          </w:p>
        </w:tc>
      </w:tr>
      <w:tr w:rsidR="008E67EA" w14:paraId="228BB0D4" w14:textId="77777777" w:rsidTr="00B347E8">
        <w:tc>
          <w:tcPr>
            <w:tcW w:w="648" w:type="pct"/>
          </w:tcPr>
          <w:p w14:paraId="10E943E5" w14:textId="77777777" w:rsidR="008E67EA" w:rsidRDefault="008E67EA" w:rsidP="00B44A74">
            <w:pPr>
              <w:pStyle w:val="GazetteTableText"/>
            </w:pPr>
            <w:r>
              <w:t>D</w:t>
            </w:r>
            <w:r w:rsidRPr="00001A49">
              <w:t>ifenacoum</w:t>
            </w:r>
          </w:p>
        </w:tc>
        <w:tc>
          <w:tcPr>
            <w:tcW w:w="600" w:type="pct"/>
          </w:tcPr>
          <w:p w14:paraId="5FDE5166" w14:textId="77777777" w:rsidR="008E67EA" w:rsidRDefault="008E67EA" w:rsidP="00B44A74">
            <w:pPr>
              <w:pStyle w:val="GazetteTableText"/>
            </w:pPr>
            <w:r w:rsidRPr="00D95DA9">
              <w:t>67681</w:t>
            </w:r>
          </w:p>
        </w:tc>
        <w:tc>
          <w:tcPr>
            <w:tcW w:w="1326" w:type="pct"/>
          </w:tcPr>
          <w:p w14:paraId="6EE5B282" w14:textId="77777777" w:rsidR="008E67EA" w:rsidRPr="00B75907" w:rsidRDefault="008E67EA" w:rsidP="00B44A74">
            <w:pPr>
              <w:pStyle w:val="GazetteTableText"/>
            </w:pPr>
            <w:r w:rsidRPr="00D95DA9">
              <w:t>Time's Up Baited Mouse Kill Station</w:t>
            </w:r>
          </w:p>
        </w:tc>
        <w:tc>
          <w:tcPr>
            <w:tcW w:w="1251" w:type="pct"/>
          </w:tcPr>
          <w:p w14:paraId="7CFE1A1C" w14:textId="77777777" w:rsidR="008E67EA" w:rsidRDefault="008E67EA" w:rsidP="00B44A74">
            <w:pPr>
              <w:pStyle w:val="GazetteTableText"/>
            </w:pPr>
            <w:r w:rsidRPr="007028B5">
              <w:t>Pelgar International (Aus) Pty Ltd</w:t>
            </w:r>
          </w:p>
        </w:tc>
        <w:tc>
          <w:tcPr>
            <w:tcW w:w="1175" w:type="pct"/>
          </w:tcPr>
          <w:p w14:paraId="3B3CB229" w14:textId="77777777" w:rsidR="008E67EA" w:rsidRDefault="008E67EA" w:rsidP="00B44A74">
            <w:pPr>
              <w:pStyle w:val="GazetteTableText"/>
            </w:pPr>
            <w:r w:rsidRPr="002D65A6">
              <w:t>67681/56618</w:t>
            </w:r>
          </w:p>
        </w:tc>
      </w:tr>
      <w:tr w:rsidR="008E67EA" w14:paraId="6AFC5349" w14:textId="77777777" w:rsidTr="00B347E8">
        <w:tc>
          <w:tcPr>
            <w:tcW w:w="648" w:type="pct"/>
          </w:tcPr>
          <w:p w14:paraId="640B7800" w14:textId="77777777" w:rsidR="008E67EA" w:rsidRDefault="008E67EA" w:rsidP="00B44A74">
            <w:pPr>
              <w:pStyle w:val="GazetteTableText"/>
            </w:pPr>
            <w:r>
              <w:t>D</w:t>
            </w:r>
            <w:r w:rsidRPr="00001A49">
              <w:t>ifenacoum</w:t>
            </w:r>
          </w:p>
        </w:tc>
        <w:tc>
          <w:tcPr>
            <w:tcW w:w="600" w:type="pct"/>
          </w:tcPr>
          <w:p w14:paraId="270780AD" w14:textId="77777777" w:rsidR="008E67EA" w:rsidRDefault="008E67EA" w:rsidP="00B44A74">
            <w:pPr>
              <w:pStyle w:val="GazetteTableText"/>
            </w:pPr>
            <w:r w:rsidRPr="00D95DA9">
              <w:t>68759</w:t>
            </w:r>
          </w:p>
        </w:tc>
        <w:tc>
          <w:tcPr>
            <w:tcW w:w="1326" w:type="pct"/>
          </w:tcPr>
          <w:p w14:paraId="65E03D2B" w14:textId="77777777" w:rsidR="008E67EA" w:rsidRPr="00B75907" w:rsidRDefault="008E67EA" w:rsidP="00B44A74">
            <w:pPr>
              <w:pStyle w:val="GazetteTableText"/>
            </w:pPr>
            <w:r w:rsidRPr="00D95DA9">
              <w:t>Ratshot Rodenticide Paste</w:t>
            </w:r>
          </w:p>
        </w:tc>
        <w:tc>
          <w:tcPr>
            <w:tcW w:w="1251" w:type="pct"/>
          </w:tcPr>
          <w:p w14:paraId="66979008" w14:textId="77777777" w:rsidR="008E67EA" w:rsidRDefault="008E67EA" w:rsidP="00B44A74">
            <w:pPr>
              <w:pStyle w:val="GazetteTableText"/>
            </w:pPr>
            <w:r w:rsidRPr="007028B5">
              <w:t>Freezone Public Health Pty Ltd</w:t>
            </w:r>
          </w:p>
        </w:tc>
        <w:tc>
          <w:tcPr>
            <w:tcW w:w="1175" w:type="pct"/>
          </w:tcPr>
          <w:p w14:paraId="5F7D74F2" w14:textId="77777777" w:rsidR="008E67EA" w:rsidRDefault="008E67EA" w:rsidP="00B44A74">
            <w:pPr>
              <w:pStyle w:val="GazetteTableText"/>
            </w:pPr>
            <w:r w:rsidRPr="002D65A6">
              <w:t>68759/59027</w:t>
            </w:r>
          </w:p>
        </w:tc>
      </w:tr>
      <w:tr w:rsidR="008E67EA" w14:paraId="0D6B3871" w14:textId="77777777" w:rsidTr="00B347E8">
        <w:tc>
          <w:tcPr>
            <w:tcW w:w="648" w:type="pct"/>
          </w:tcPr>
          <w:p w14:paraId="6D13FC85" w14:textId="77777777" w:rsidR="008E67EA" w:rsidRDefault="008E67EA" w:rsidP="00B44A74">
            <w:pPr>
              <w:pStyle w:val="GazetteTableText"/>
            </w:pPr>
            <w:r>
              <w:t>D</w:t>
            </w:r>
            <w:r w:rsidRPr="00001A49">
              <w:t>ifenacoum</w:t>
            </w:r>
          </w:p>
        </w:tc>
        <w:tc>
          <w:tcPr>
            <w:tcW w:w="600" w:type="pct"/>
          </w:tcPr>
          <w:p w14:paraId="32CB74D3" w14:textId="77777777" w:rsidR="008E67EA" w:rsidRDefault="008E67EA" w:rsidP="00B44A74">
            <w:pPr>
              <w:pStyle w:val="GazetteTableText"/>
            </w:pPr>
            <w:r w:rsidRPr="00D95DA9">
              <w:t>68760</w:t>
            </w:r>
          </w:p>
        </w:tc>
        <w:tc>
          <w:tcPr>
            <w:tcW w:w="1326" w:type="pct"/>
          </w:tcPr>
          <w:p w14:paraId="424D9BE4" w14:textId="77777777" w:rsidR="008E67EA" w:rsidRPr="00B75907" w:rsidRDefault="008E67EA" w:rsidP="00B44A74">
            <w:pPr>
              <w:pStyle w:val="GazetteTableText"/>
            </w:pPr>
            <w:r w:rsidRPr="00D95DA9">
              <w:t>Ratshot Reusable Baited Rat Kill Station</w:t>
            </w:r>
          </w:p>
        </w:tc>
        <w:tc>
          <w:tcPr>
            <w:tcW w:w="1251" w:type="pct"/>
          </w:tcPr>
          <w:p w14:paraId="3662607B" w14:textId="77777777" w:rsidR="008E67EA" w:rsidRDefault="008E67EA" w:rsidP="00B44A74">
            <w:pPr>
              <w:pStyle w:val="GazetteTableText"/>
            </w:pPr>
            <w:r w:rsidRPr="007028B5">
              <w:t>Freezone Public Health Pty Ltd</w:t>
            </w:r>
          </w:p>
        </w:tc>
        <w:tc>
          <w:tcPr>
            <w:tcW w:w="1175" w:type="pct"/>
          </w:tcPr>
          <w:p w14:paraId="771C22AD" w14:textId="77777777" w:rsidR="008E67EA" w:rsidRDefault="008E67EA" w:rsidP="00B44A74">
            <w:pPr>
              <w:pStyle w:val="GazetteTableText"/>
            </w:pPr>
            <w:r w:rsidRPr="002D65A6">
              <w:t>68760/59028</w:t>
            </w:r>
          </w:p>
        </w:tc>
      </w:tr>
      <w:tr w:rsidR="008E67EA" w14:paraId="29FA2A66" w14:textId="77777777" w:rsidTr="00B347E8">
        <w:tc>
          <w:tcPr>
            <w:tcW w:w="648" w:type="pct"/>
          </w:tcPr>
          <w:p w14:paraId="6561089C" w14:textId="77777777" w:rsidR="008E67EA" w:rsidRDefault="008E67EA" w:rsidP="00B44A74">
            <w:pPr>
              <w:pStyle w:val="GazetteTableText"/>
            </w:pPr>
            <w:r>
              <w:t>D</w:t>
            </w:r>
            <w:r w:rsidRPr="00001A49">
              <w:t>ifenacoum</w:t>
            </w:r>
          </w:p>
        </w:tc>
        <w:tc>
          <w:tcPr>
            <w:tcW w:w="600" w:type="pct"/>
          </w:tcPr>
          <w:p w14:paraId="56944667" w14:textId="77777777" w:rsidR="008E67EA" w:rsidRDefault="008E67EA" w:rsidP="00B44A74">
            <w:pPr>
              <w:pStyle w:val="GazetteTableText"/>
            </w:pPr>
            <w:r w:rsidRPr="00D95DA9">
              <w:t>68762</w:t>
            </w:r>
          </w:p>
        </w:tc>
        <w:tc>
          <w:tcPr>
            <w:tcW w:w="1326" w:type="pct"/>
          </w:tcPr>
          <w:p w14:paraId="115DAF51" w14:textId="77777777" w:rsidR="008E67EA" w:rsidRPr="00B75907" w:rsidRDefault="008E67EA" w:rsidP="00B44A74">
            <w:pPr>
              <w:pStyle w:val="GazetteTableText"/>
            </w:pPr>
            <w:r w:rsidRPr="00D95DA9">
              <w:t>Ratshot Rodenticide Blocks</w:t>
            </w:r>
          </w:p>
        </w:tc>
        <w:tc>
          <w:tcPr>
            <w:tcW w:w="1251" w:type="pct"/>
          </w:tcPr>
          <w:p w14:paraId="521B7E5B" w14:textId="77777777" w:rsidR="008E67EA" w:rsidRDefault="008E67EA" w:rsidP="00B44A74">
            <w:pPr>
              <w:pStyle w:val="GazetteTableText"/>
            </w:pPr>
            <w:r w:rsidRPr="007028B5">
              <w:t>Freezone Public Health Pty Ltd</w:t>
            </w:r>
          </w:p>
        </w:tc>
        <w:tc>
          <w:tcPr>
            <w:tcW w:w="1175" w:type="pct"/>
          </w:tcPr>
          <w:p w14:paraId="03CB514A" w14:textId="77777777" w:rsidR="008E67EA" w:rsidRDefault="008E67EA" w:rsidP="00B44A74">
            <w:pPr>
              <w:pStyle w:val="GazetteTableText"/>
            </w:pPr>
            <w:r w:rsidRPr="002D65A6">
              <w:t>68762/59030, 68762/105164</w:t>
            </w:r>
          </w:p>
        </w:tc>
      </w:tr>
      <w:tr w:rsidR="008E67EA" w14:paraId="78035581" w14:textId="77777777" w:rsidTr="00B347E8">
        <w:tc>
          <w:tcPr>
            <w:tcW w:w="648" w:type="pct"/>
          </w:tcPr>
          <w:p w14:paraId="7D394C77" w14:textId="77777777" w:rsidR="008E67EA" w:rsidRDefault="008E67EA" w:rsidP="00B44A74">
            <w:pPr>
              <w:pStyle w:val="GazetteTableText"/>
            </w:pPr>
            <w:r>
              <w:t>D</w:t>
            </w:r>
            <w:r w:rsidRPr="00001A49">
              <w:t>ifenacoum</w:t>
            </w:r>
          </w:p>
        </w:tc>
        <w:tc>
          <w:tcPr>
            <w:tcW w:w="600" w:type="pct"/>
          </w:tcPr>
          <w:p w14:paraId="1A376107" w14:textId="77777777" w:rsidR="008E67EA" w:rsidRDefault="008E67EA" w:rsidP="00B44A74">
            <w:pPr>
              <w:pStyle w:val="GazetteTableText"/>
            </w:pPr>
            <w:r w:rsidRPr="00D95DA9">
              <w:t>68763</w:t>
            </w:r>
          </w:p>
        </w:tc>
        <w:tc>
          <w:tcPr>
            <w:tcW w:w="1326" w:type="pct"/>
          </w:tcPr>
          <w:p w14:paraId="5991FD51" w14:textId="77777777" w:rsidR="008E67EA" w:rsidRPr="00B75907" w:rsidRDefault="008E67EA" w:rsidP="00B44A74">
            <w:pPr>
              <w:pStyle w:val="GazetteTableText"/>
            </w:pPr>
            <w:r w:rsidRPr="00D95DA9">
              <w:t>Ratshot Rat And Mouse Killer Paste</w:t>
            </w:r>
          </w:p>
        </w:tc>
        <w:tc>
          <w:tcPr>
            <w:tcW w:w="1251" w:type="pct"/>
          </w:tcPr>
          <w:p w14:paraId="50AFF9F8" w14:textId="77777777" w:rsidR="008E67EA" w:rsidRDefault="008E67EA" w:rsidP="00B44A74">
            <w:pPr>
              <w:pStyle w:val="GazetteTableText"/>
            </w:pPr>
            <w:r w:rsidRPr="007028B5">
              <w:t>Freezone Public Health Pty Ltd</w:t>
            </w:r>
          </w:p>
        </w:tc>
        <w:tc>
          <w:tcPr>
            <w:tcW w:w="1175" w:type="pct"/>
          </w:tcPr>
          <w:p w14:paraId="0A158E5E" w14:textId="77777777" w:rsidR="008E67EA" w:rsidRDefault="008E67EA" w:rsidP="00B44A74">
            <w:pPr>
              <w:pStyle w:val="GazetteTableText"/>
            </w:pPr>
            <w:r w:rsidRPr="002D65A6">
              <w:t>68763/59031</w:t>
            </w:r>
          </w:p>
        </w:tc>
      </w:tr>
      <w:tr w:rsidR="008E67EA" w14:paraId="6EA8E163" w14:textId="77777777" w:rsidTr="00B347E8">
        <w:tc>
          <w:tcPr>
            <w:tcW w:w="648" w:type="pct"/>
          </w:tcPr>
          <w:p w14:paraId="32F44042" w14:textId="77777777" w:rsidR="008E67EA" w:rsidRDefault="008E67EA" w:rsidP="00B44A74">
            <w:pPr>
              <w:pStyle w:val="GazetteTableText"/>
            </w:pPr>
            <w:r>
              <w:t>D</w:t>
            </w:r>
            <w:r w:rsidRPr="00001A49">
              <w:t>ifenacoum</w:t>
            </w:r>
          </w:p>
        </w:tc>
        <w:tc>
          <w:tcPr>
            <w:tcW w:w="600" w:type="pct"/>
          </w:tcPr>
          <w:p w14:paraId="5F51EA55" w14:textId="77777777" w:rsidR="008E67EA" w:rsidRDefault="008E67EA" w:rsidP="00B44A74">
            <w:pPr>
              <w:pStyle w:val="GazetteTableText"/>
            </w:pPr>
            <w:r w:rsidRPr="00D95DA9">
              <w:t>69347</w:t>
            </w:r>
          </w:p>
        </w:tc>
        <w:tc>
          <w:tcPr>
            <w:tcW w:w="1326" w:type="pct"/>
          </w:tcPr>
          <w:p w14:paraId="6497AE38" w14:textId="77777777" w:rsidR="008E67EA" w:rsidRPr="00B75907" w:rsidRDefault="008E67EA" w:rsidP="00B44A74">
            <w:pPr>
              <w:pStyle w:val="GazetteTableText"/>
            </w:pPr>
            <w:r w:rsidRPr="00D95DA9">
              <w:t>Roban Rodenticide Grain Bait</w:t>
            </w:r>
          </w:p>
        </w:tc>
        <w:tc>
          <w:tcPr>
            <w:tcW w:w="1251" w:type="pct"/>
          </w:tcPr>
          <w:p w14:paraId="2A039767" w14:textId="77777777" w:rsidR="008E67EA" w:rsidRDefault="008E67EA" w:rsidP="00B44A74">
            <w:pPr>
              <w:pStyle w:val="GazetteTableText"/>
            </w:pPr>
            <w:r w:rsidRPr="007028B5">
              <w:t>Pelgar International (Aus) Pty Ltd</w:t>
            </w:r>
          </w:p>
        </w:tc>
        <w:tc>
          <w:tcPr>
            <w:tcW w:w="1175" w:type="pct"/>
          </w:tcPr>
          <w:p w14:paraId="66D403F6" w14:textId="77777777" w:rsidR="008E67EA" w:rsidRDefault="008E67EA" w:rsidP="00B44A74">
            <w:pPr>
              <w:pStyle w:val="GazetteTableText"/>
            </w:pPr>
            <w:r w:rsidRPr="002D65A6">
              <w:t>69347/60553</w:t>
            </w:r>
          </w:p>
        </w:tc>
      </w:tr>
      <w:tr w:rsidR="008E67EA" w14:paraId="231E4DD0" w14:textId="77777777" w:rsidTr="00B347E8">
        <w:tc>
          <w:tcPr>
            <w:tcW w:w="648" w:type="pct"/>
          </w:tcPr>
          <w:p w14:paraId="5FDB77D1" w14:textId="77777777" w:rsidR="008E67EA" w:rsidRDefault="008E67EA" w:rsidP="00B44A74">
            <w:pPr>
              <w:pStyle w:val="GazetteTableText"/>
            </w:pPr>
            <w:r>
              <w:t>D</w:t>
            </w:r>
            <w:r w:rsidRPr="00001A49">
              <w:t>ifenacoum</w:t>
            </w:r>
          </w:p>
        </w:tc>
        <w:tc>
          <w:tcPr>
            <w:tcW w:w="600" w:type="pct"/>
          </w:tcPr>
          <w:p w14:paraId="019079A7" w14:textId="77777777" w:rsidR="008E67EA" w:rsidRDefault="008E67EA" w:rsidP="00B44A74">
            <w:pPr>
              <w:pStyle w:val="GazetteTableText"/>
            </w:pPr>
            <w:r w:rsidRPr="00D95DA9">
              <w:t>69911</w:t>
            </w:r>
          </w:p>
        </w:tc>
        <w:tc>
          <w:tcPr>
            <w:tcW w:w="1326" w:type="pct"/>
          </w:tcPr>
          <w:p w14:paraId="1E979E4A" w14:textId="77777777" w:rsidR="008E67EA" w:rsidRPr="00B75907" w:rsidRDefault="008E67EA" w:rsidP="00B44A74">
            <w:pPr>
              <w:pStyle w:val="GazetteTableText"/>
            </w:pPr>
            <w:r w:rsidRPr="00D95DA9">
              <w:t>Surefire Difenate All Weather Blocks Rodenticide</w:t>
            </w:r>
          </w:p>
        </w:tc>
        <w:tc>
          <w:tcPr>
            <w:tcW w:w="1251" w:type="pct"/>
          </w:tcPr>
          <w:p w14:paraId="39A02D37" w14:textId="77777777" w:rsidR="008E67EA" w:rsidRDefault="008E67EA" w:rsidP="00B44A74">
            <w:pPr>
              <w:pStyle w:val="GazetteTableText"/>
            </w:pPr>
            <w:r w:rsidRPr="007028B5">
              <w:t>P</w:t>
            </w:r>
            <w:r>
              <w:t>CT</w:t>
            </w:r>
            <w:r w:rsidRPr="007028B5">
              <w:t xml:space="preserve"> Holdings Pty Ltd</w:t>
            </w:r>
          </w:p>
        </w:tc>
        <w:tc>
          <w:tcPr>
            <w:tcW w:w="1175" w:type="pct"/>
          </w:tcPr>
          <w:p w14:paraId="50F35C07" w14:textId="77777777" w:rsidR="008E67EA" w:rsidRDefault="008E67EA" w:rsidP="00B44A74">
            <w:pPr>
              <w:pStyle w:val="GazetteTableText"/>
            </w:pPr>
            <w:r w:rsidRPr="002D65A6">
              <w:t>69911/62048</w:t>
            </w:r>
          </w:p>
        </w:tc>
      </w:tr>
      <w:tr w:rsidR="008E67EA" w14:paraId="4DB6AA23" w14:textId="77777777" w:rsidTr="00B347E8">
        <w:tc>
          <w:tcPr>
            <w:tcW w:w="648" w:type="pct"/>
          </w:tcPr>
          <w:p w14:paraId="5C9BF329" w14:textId="77777777" w:rsidR="008E67EA" w:rsidRDefault="008E67EA" w:rsidP="00B44A74">
            <w:pPr>
              <w:pStyle w:val="GazetteTableText"/>
            </w:pPr>
            <w:r>
              <w:t>D</w:t>
            </w:r>
            <w:r w:rsidRPr="00001A49">
              <w:t>ifenacoum</w:t>
            </w:r>
          </w:p>
        </w:tc>
        <w:tc>
          <w:tcPr>
            <w:tcW w:w="600" w:type="pct"/>
          </w:tcPr>
          <w:p w14:paraId="65CC5A7D" w14:textId="77777777" w:rsidR="008E67EA" w:rsidRDefault="008E67EA" w:rsidP="00B44A74">
            <w:pPr>
              <w:pStyle w:val="GazetteTableText"/>
            </w:pPr>
            <w:r w:rsidRPr="00D95DA9">
              <w:t>80124</w:t>
            </w:r>
          </w:p>
        </w:tc>
        <w:tc>
          <w:tcPr>
            <w:tcW w:w="1326" w:type="pct"/>
          </w:tcPr>
          <w:p w14:paraId="6BB84B25" w14:textId="77777777" w:rsidR="008E67EA" w:rsidRPr="00B75907" w:rsidRDefault="008E67EA" w:rsidP="00B44A74">
            <w:pPr>
              <w:pStyle w:val="GazetteTableText"/>
            </w:pPr>
            <w:r w:rsidRPr="00D95DA9">
              <w:t>All Weather PCT Pro Formula Blocks Rodenticide</w:t>
            </w:r>
          </w:p>
        </w:tc>
        <w:tc>
          <w:tcPr>
            <w:tcW w:w="1251" w:type="pct"/>
          </w:tcPr>
          <w:p w14:paraId="1827AD33" w14:textId="77777777" w:rsidR="008E67EA" w:rsidRDefault="008E67EA" w:rsidP="00B44A74">
            <w:pPr>
              <w:pStyle w:val="GazetteTableText"/>
            </w:pPr>
            <w:r w:rsidRPr="007028B5">
              <w:t>P</w:t>
            </w:r>
            <w:r>
              <w:t>CT</w:t>
            </w:r>
            <w:r w:rsidRPr="007028B5">
              <w:t xml:space="preserve"> Holdings Pty Ltd</w:t>
            </w:r>
          </w:p>
        </w:tc>
        <w:tc>
          <w:tcPr>
            <w:tcW w:w="1175" w:type="pct"/>
          </w:tcPr>
          <w:p w14:paraId="452C4097" w14:textId="77777777" w:rsidR="008E67EA" w:rsidRDefault="008E67EA" w:rsidP="00B44A74">
            <w:pPr>
              <w:pStyle w:val="GazetteTableText"/>
            </w:pPr>
            <w:r w:rsidRPr="002D65A6">
              <w:t>80124/100264</w:t>
            </w:r>
          </w:p>
        </w:tc>
      </w:tr>
      <w:tr w:rsidR="008E67EA" w14:paraId="4FF1C13C" w14:textId="77777777" w:rsidTr="00B347E8">
        <w:tc>
          <w:tcPr>
            <w:tcW w:w="648" w:type="pct"/>
          </w:tcPr>
          <w:p w14:paraId="73A9CCEA" w14:textId="77777777" w:rsidR="008E67EA" w:rsidRDefault="008E67EA" w:rsidP="00B44A74">
            <w:pPr>
              <w:pStyle w:val="GazetteTableText"/>
            </w:pPr>
            <w:r>
              <w:t>D</w:t>
            </w:r>
            <w:r w:rsidRPr="00001A49">
              <w:t>ifenacoum</w:t>
            </w:r>
          </w:p>
        </w:tc>
        <w:tc>
          <w:tcPr>
            <w:tcW w:w="600" w:type="pct"/>
          </w:tcPr>
          <w:p w14:paraId="542722CB" w14:textId="77777777" w:rsidR="008E67EA" w:rsidRDefault="008E67EA" w:rsidP="00B44A74">
            <w:pPr>
              <w:pStyle w:val="GazetteTableText"/>
            </w:pPr>
            <w:r w:rsidRPr="00D95DA9">
              <w:t>80667</w:t>
            </w:r>
          </w:p>
        </w:tc>
        <w:tc>
          <w:tcPr>
            <w:tcW w:w="1326" w:type="pct"/>
          </w:tcPr>
          <w:p w14:paraId="7C6EB443" w14:textId="77777777" w:rsidR="008E67EA" w:rsidRPr="00B75907" w:rsidRDefault="008E67EA" w:rsidP="00B44A74">
            <w:pPr>
              <w:pStyle w:val="GazetteTableText"/>
            </w:pPr>
            <w:r w:rsidRPr="00D95DA9">
              <w:t>Ratshot-G Rodenticide Grain Bait</w:t>
            </w:r>
          </w:p>
        </w:tc>
        <w:tc>
          <w:tcPr>
            <w:tcW w:w="1251" w:type="pct"/>
          </w:tcPr>
          <w:p w14:paraId="3E066B78" w14:textId="77777777" w:rsidR="008E67EA" w:rsidRDefault="008E67EA" w:rsidP="00B44A74">
            <w:pPr>
              <w:pStyle w:val="GazetteTableText"/>
            </w:pPr>
            <w:r w:rsidRPr="007028B5">
              <w:t>Freezone Public Health Pty Ltd</w:t>
            </w:r>
          </w:p>
        </w:tc>
        <w:tc>
          <w:tcPr>
            <w:tcW w:w="1175" w:type="pct"/>
          </w:tcPr>
          <w:p w14:paraId="1755C19F" w14:textId="77777777" w:rsidR="008E67EA" w:rsidRDefault="008E67EA" w:rsidP="00B44A74">
            <w:pPr>
              <w:pStyle w:val="GazetteTableText"/>
            </w:pPr>
            <w:r w:rsidRPr="002D65A6">
              <w:t>80667/101364</w:t>
            </w:r>
          </w:p>
        </w:tc>
      </w:tr>
      <w:tr w:rsidR="008E67EA" w14:paraId="3E3387DF" w14:textId="77777777" w:rsidTr="00B347E8">
        <w:tc>
          <w:tcPr>
            <w:tcW w:w="648" w:type="pct"/>
          </w:tcPr>
          <w:p w14:paraId="088EF7C9" w14:textId="77777777" w:rsidR="008E67EA" w:rsidRDefault="008E67EA" w:rsidP="00B44A74">
            <w:pPr>
              <w:pStyle w:val="GazetteTableText"/>
            </w:pPr>
            <w:r>
              <w:t>D</w:t>
            </w:r>
            <w:r w:rsidRPr="00001A49">
              <w:t>ifenacoum</w:t>
            </w:r>
          </w:p>
        </w:tc>
        <w:tc>
          <w:tcPr>
            <w:tcW w:w="600" w:type="pct"/>
          </w:tcPr>
          <w:p w14:paraId="6FC49D74" w14:textId="77777777" w:rsidR="008E67EA" w:rsidRDefault="008E67EA" w:rsidP="00B44A74">
            <w:pPr>
              <w:pStyle w:val="GazetteTableText"/>
            </w:pPr>
            <w:r w:rsidRPr="00D95DA9">
              <w:t>85512</w:t>
            </w:r>
          </w:p>
        </w:tc>
        <w:tc>
          <w:tcPr>
            <w:tcW w:w="1326" w:type="pct"/>
          </w:tcPr>
          <w:p w14:paraId="64D95743" w14:textId="77777777" w:rsidR="008E67EA" w:rsidRPr="00B75907" w:rsidRDefault="008E67EA" w:rsidP="00B44A74">
            <w:pPr>
              <w:pStyle w:val="GazetteTableText"/>
            </w:pPr>
            <w:r w:rsidRPr="00D95DA9">
              <w:t>Amgrow Patrol All Weather Blocks Rodenticide</w:t>
            </w:r>
          </w:p>
        </w:tc>
        <w:tc>
          <w:tcPr>
            <w:tcW w:w="1251" w:type="pct"/>
          </w:tcPr>
          <w:p w14:paraId="00F58361" w14:textId="77777777" w:rsidR="008E67EA" w:rsidRDefault="008E67EA" w:rsidP="00B44A74">
            <w:pPr>
              <w:pStyle w:val="GazetteTableText"/>
            </w:pPr>
            <w:r w:rsidRPr="007028B5">
              <w:t>Australian Agribusiness (Holdings) Pty Ltd</w:t>
            </w:r>
          </w:p>
        </w:tc>
        <w:tc>
          <w:tcPr>
            <w:tcW w:w="1175" w:type="pct"/>
          </w:tcPr>
          <w:p w14:paraId="65BDD223" w14:textId="77777777" w:rsidR="008E67EA" w:rsidRDefault="008E67EA" w:rsidP="00B44A74">
            <w:pPr>
              <w:pStyle w:val="GazetteTableText"/>
            </w:pPr>
            <w:r w:rsidRPr="002D65A6">
              <w:t>85512/113486</w:t>
            </w:r>
          </w:p>
        </w:tc>
      </w:tr>
      <w:tr w:rsidR="008E67EA" w14:paraId="7C733B9B" w14:textId="77777777" w:rsidTr="00B347E8">
        <w:tc>
          <w:tcPr>
            <w:tcW w:w="648" w:type="pct"/>
          </w:tcPr>
          <w:p w14:paraId="59F03E51" w14:textId="77777777" w:rsidR="008E67EA" w:rsidRDefault="008E67EA" w:rsidP="00B44A74">
            <w:pPr>
              <w:pStyle w:val="GazetteTableText"/>
            </w:pPr>
            <w:r>
              <w:t>D</w:t>
            </w:r>
            <w:r w:rsidRPr="00001A49">
              <w:t>ifenacoum</w:t>
            </w:r>
          </w:p>
        </w:tc>
        <w:tc>
          <w:tcPr>
            <w:tcW w:w="600" w:type="pct"/>
          </w:tcPr>
          <w:p w14:paraId="70938E20" w14:textId="77777777" w:rsidR="008E67EA" w:rsidRDefault="008E67EA" w:rsidP="00B44A74">
            <w:pPr>
              <w:pStyle w:val="GazetteTableText"/>
            </w:pPr>
            <w:r w:rsidRPr="00D95DA9">
              <w:t>87869</w:t>
            </w:r>
          </w:p>
        </w:tc>
        <w:tc>
          <w:tcPr>
            <w:tcW w:w="1326" w:type="pct"/>
          </w:tcPr>
          <w:p w14:paraId="67C0669F" w14:textId="77777777" w:rsidR="008E67EA" w:rsidRPr="00B75907" w:rsidRDefault="008E67EA" w:rsidP="00B44A74">
            <w:pPr>
              <w:pStyle w:val="GazetteTableText"/>
            </w:pPr>
            <w:r w:rsidRPr="00D95DA9">
              <w:t>The Big Cheese Home Choice All Weather Block Bait</w:t>
            </w:r>
          </w:p>
        </w:tc>
        <w:tc>
          <w:tcPr>
            <w:tcW w:w="1251" w:type="pct"/>
          </w:tcPr>
          <w:p w14:paraId="5B2DCB7C" w14:textId="77777777" w:rsidR="008E67EA" w:rsidRDefault="008E67EA" w:rsidP="00B44A74">
            <w:pPr>
              <w:pStyle w:val="GazetteTableText"/>
            </w:pPr>
            <w:r w:rsidRPr="007028B5">
              <w:t>Pelgar International (Aus) Pty Ltd</w:t>
            </w:r>
          </w:p>
        </w:tc>
        <w:tc>
          <w:tcPr>
            <w:tcW w:w="1175" w:type="pct"/>
          </w:tcPr>
          <w:p w14:paraId="06E43934" w14:textId="77777777" w:rsidR="008E67EA" w:rsidRDefault="008E67EA" w:rsidP="00B44A74">
            <w:pPr>
              <w:pStyle w:val="GazetteTableText"/>
            </w:pPr>
            <w:r w:rsidRPr="002D65A6">
              <w:t>87869/119608, 87869/123663, 87869/127037</w:t>
            </w:r>
          </w:p>
        </w:tc>
      </w:tr>
      <w:tr w:rsidR="008E67EA" w14:paraId="6AE20D5B" w14:textId="77777777" w:rsidTr="00B347E8">
        <w:tc>
          <w:tcPr>
            <w:tcW w:w="648" w:type="pct"/>
          </w:tcPr>
          <w:p w14:paraId="6BC2A098" w14:textId="77777777" w:rsidR="008E67EA" w:rsidRDefault="008E67EA" w:rsidP="00B44A74">
            <w:pPr>
              <w:pStyle w:val="GazetteTableText"/>
            </w:pPr>
            <w:r>
              <w:t>D</w:t>
            </w:r>
            <w:r w:rsidRPr="00001A49">
              <w:t>ifenacoum</w:t>
            </w:r>
          </w:p>
        </w:tc>
        <w:tc>
          <w:tcPr>
            <w:tcW w:w="600" w:type="pct"/>
          </w:tcPr>
          <w:p w14:paraId="2497C7A7" w14:textId="77777777" w:rsidR="008E67EA" w:rsidRDefault="008E67EA" w:rsidP="00B44A74">
            <w:pPr>
              <w:pStyle w:val="GazetteTableText"/>
            </w:pPr>
            <w:r w:rsidRPr="00D95DA9">
              <w:t>87870</w:t>
            </w:r>
          </w:p>
        </w:tc>
        <w:tc>
          <w:tcPr>
            <w:tcW w:w="1326" w:type="pct"/>
          </w:tcPr>
          <w:p w14:paraId="6DD322D0" w14:textId="77777777" w:rsidR="008E67EA" w:rsidRPr="00B75907" w:rsidRDefault="008E67EA" w:rsidP="00B44A74">
            <w:pPr>
              <w:pStyle w:val="GazetteTableText"/>
            </w:pPr>
            <w:r w:rsidRPr="00D95DA9">
              <w:t>The Big Cheese Home Choice Rat &amp; Mouse Kill Throw Packs</w:t>
            </w:r>
          </w:p>
        </w:tc>
        <w:tc>
          <w:tcPr>
            <w:tcW w:w="1251" w:type="pct"/>
          </w:tcPr>
          <w:p w14:paraId="57EB7AE6" w14:textId="77777777" w:rsidR="008E67EA" w:rsidRDefault="008E67EA" w:rsidP="00B44A74">
            <w:pPr>
              <w:pStyle w:val="GazetteTableText"/>
            </w:pPr>
            <w:r w:rsidRPr="007028B5">
              <w:t>Pelgar International (Aus) Pty Ltd</w:t>
            </w:r>
          </w:p>
        </w:tc>
        <w:tc>
          <w:tcPr>
            <w:tcW w:w="1175" w:type="pct"/>
          </w:tcPr>
          <w:p w14:paraId="7FD6B4C6" w14:textId="77777777" w:rsidR="008E67EA" w:rsidRDefault="008E67EA" w:rsidP="00B44A74">
            <w:pPr>
              <w:pStyle w:val="GazetteTableText"/>
            </w:pPr>
            <w:r w:rsidRPr="002D65A6">
              <w:t>87870/119609, 87870/123664</w:t>
            </w:r>
          </w:p>
        </w:tc>
      </w:tr>
      <w:tr w:rsidR="008E67EA" w14:paraId="1366233D" w14:textId="77777777" w:rsidTr="00B347E8">
        <w:tc>
          <w:tcPr>
            <w:tcW w:w="648" w:type="pct"/>
          </w:tcPr>
          <w:p w14:paraId="7D275EF4" w14:textId="77777777" w:rsidR="008E67EA" w:rsidRDefault="008E67EA" w:rsidP="00B44A74">
            <w:pPr>
              <w:pStyle w:val="GazetteTableText"/>
            </w:pPr>
            <w:r>
              <w:t>D</w:t>
            </w:r>
            <w:r w:rsidRPr="00001A49">
              <w:t>ifenacoum</w:t>
            </w:r>
          </w:p>
        </w:tc>
        <w:tc>
          <w:tcPr>
            <w:tcW w:w="600" w:type="pct"/>
          </w:tcPr>
          <w:p w14:paraId="6A72C36E" w14:textId="77777777" w:rsidR="008E67EA" w:rsidRDefault="008E67EA" w:rsidP="00B44A74">
            <w:pPr>
              <w:pStyle w:val="GazetteTableText"/>
            </w:pPr>
            <w:r w:rsidRPr="00D95DA9">
              <w:t>89203</w:t>
            </w:r>
          </w:p>
        </w:tc>
        <w:tc>
          <w:tcPr>
            <w:tcW w:w="1326" w:type="pct"/>
          </w:tcPr>
          <w:p w14:paraId="4FC0387D" w14:textId="77777777" w:rsidR="008E67EA" w:rsidRPr="00B75907" w:rsidRDefault="008E67EA" w:rsidP="00B44A74">
            <w:pPr>
              <w:pStyle w:val="GazetteTableText"/>
            </w:pPr>
            <w:r w:rsidRPr="00D95DA9">
              <w:t>The Big Cheese Home Choice Rat &amp; Mouse Killer Ready to Use Bait Station</w:t>
            </w:r>
          </w:p>
        </w:tc>
        <w:tc>
          <w:tcPr>
            <w:tcW w:w="1251" w:type="pct"/>
          </w:tcPr>
          <w:p w14:paraId="1C43F1F9" w14:textId="77777777" w:rsidR="008E67EA" w:rsidRDefault="008E67EA" w:rsidP="00B44A74">
            <w:pPr>
              <w:pStyle w:val="GazetteTableText"/>
            </w:pPr>
            <w:r w:rsidRPr="007028B5">
              <w:t>Pelgar International (Aus) Pty Ltd</w:t>
            </w:r>
          </w:p>
        </w:tc>
        <w:tc>
          <w:tcPr>
            <w:tcW w:w="1175" w:type="pct"/>
          </w:tcPr>
          <w:p w14:paraId="75A699C5" w14:textId="77777777" w:rsidR="008E67EA" w:rsidRDefault="008E67EA" w:rsidP="00B44A74">
            <w:pPr>
              <w:pStyle w:val="GazetteTableText"/>
            </w:pPr>
            <w:r w:rsidRPr="002D65A6">
              <w:t>89203/123969</w:t>
            </w:r>
          </w:p>
        </w:tc>
      </w:tr>
      <w:tr w:rsidR="008E67EA" w14:paraId="2D53F0D4" w14:textId="77777777" w:rsidTr="00B347E8">
        <w:tc>
          <w:tcPr>
            <w:tcW w:w="648" w:type="pct"/>
          </w:tcPr>
          <w:p w14:paraId="50629AA0" w14:textId="77777777" w:rsidR="008E67EA" w:rsidRDefault="008E67EA" w:rsidP="00B44A74">
            <w:pPr>
              <w:pStyle w:val="GazetteTableText"/>
            </w:pPr>
            <w:r>
              <w:t>D</w:t>
            </w:r>
            <w:r w:rsidRPr="00001A49">
              <w:t>ifenacoum</w:t>
            </w:r>
          </w:p>
        </w:tc>
        <w:tc>
          <w:tcPr>
            <w:tcW w:w="600" w:type="pct"/>
          </w:tcPr>
          <w:p w14:paraId="71D2C031" w14:textId="77777777" w:rsidR="008E67EA" w:rsidRDefault="008E67EA" w:rsidP="00B44A74">
            <w:pPr>
              <w:pStyle w:val="GazetteTableText"/>
            </w:pPr>
            <w:r w:rsidRPr="00D95DA9">
              <w:t>89204</w:t>
            </w:r>
          </w:p>
        </w:tc>
        <w:tc>
          <w:tcPr>
            <w:tcW w:w="1326" w:type="pct"/>
          </w:tcPr>
          <w:p w14:paraId="3D24105C" w14:textId="77777777" w:rsidR="008E67EA" w:rsidRPr="00B75907" w:rsidRDefault="008E67EA" w:rsidP="00B44A74">
            <w:pPr>
              <w:pStyle w:val="GazetteTableText"/>
            </w:pPr>
            <w:r w:rsidRPr="00D95DA9">
              <w:t>The Big Cheese Home Choice Mouse Killer Bait Station</w:t>
            </w:r>
          </w:p>
        </w:tc>
        <w:tc>
          <w:tcPr>
            <w:tcW w:w="1251" w:type="pct"/>
          </w:tcPr>
          <w:p w14:paraId="2B947D4E" w14:textId="77777777" w:rsidR="008E67EA" w:rsidRDefault="008E67EA" w:rsidP="00B44A74">
            <w:pPr>
              <w:pStyle w:val="GazetteTableText"/>
            </w:pPr>
            <w:r w:rsidRPr="007028B5">
              <w:t>Pelgar International (Aus) Pty Ltd</w:t>
            </w:r>
          </w:p>
        </w:tc>
        <w:tc>
          <w:tcPr>
            <w:tcW w:w="1175" w:type="pct"/>
          </w:tcPr>
          <w:p w14:paraId="7A97D1AE" w14:textId="77777777" w:rsidR="008E67EA" w:rsidRDefault="008E67EA" w:rsidP="00B44A74">
            <w:pPr>
              <w:pStyle w:val="GazetteTableText"/>
            </w:pPr>
            <w:r w:rsidRPr="002D65A6">
              <w:t>89204/123972</w:t>
            </w:r>
            <w:r>
              <w:t xml:space="preserve">, </w:t>
            </w:r>
            <w:r w:rsidRPr="002D65A6">
              <w:t>89204/136722</w:t>
            </w:r>
          </w:p>
        </w:tc>
      </w:tr>
      <w:tr w:rsidR="008E67EA" w14:paraId="4FF95560" w14:textId="77777777" w:rsidTr="00B347E8">
        <w:tc>
          <w:tcPr>
            <w:tcW w:w="648" w:type="pct"/>
          </w:tcPr>
          <w:p w14:paraId="084ACF28" w14:textId="77777777" w:rsidR="008E67EA" w:rsidRDefault="008E67EA" w:rsidP="00B44A74">
            <w:pPr>
              <w:pStyle w:val="GazetteTableText"/>
            </w:pPr>
            <w:r>
              <w:t>D</w:t>
            </w:r>
            <w:r w:rsidRPr="00001A49">
              <w:t>ifenacoum</w:t>
            </w:r>
          </w:p>
        </w:tc>
        <w:tc>
          <w:tcPr>
            <w:tcW w:w="600" w:type="pct"/>
          </w:tcPr>
          <w:p w14:paraId="38F9F8B7" w14:textId="77777777" w:rsidR="008E67EA" w:rsidRDefault="008E67EA" w:rsidP="00B44A74">
            <w:pPr>
              <w:pStyle w:val="GazetteTableText"/>
            </w:pPr>
            <w:r w:rsidRPr="00D95DA9">
              <w:t>89206</w:t>
            </w:r>
          </w:p>
        </w:tc>
        <w:tc>
          <w:tcPr>
            <w:tcW w:w="1326" w:type="pct"/>
          </w:tcPr>
          <w:p w14:paraId="68C74D62" w14:textId="77777777" w:rsidR="008E67EA" w:rsidRPr="00B75907" w:rsidRDefault="008E67EA" w:rsidP="00B44A74">
            <w:pPr>
              <w:pStyle w:val="GazetteTableText"/>
            </w:pPr>
            <w:r w:rsidRPr="00D95DA9">
              <w:t>The Big Cheese Home Choice Rat Killer Bait Station</w:t>
            </w:r>
          </w:p>
        </w:tc>
        <w:tc>
          <w:tcPr>
            <w:tcW w:w="1251" w:type="pct"/>
          </w:tcPr>
          <w:p w14:paraId="40F09EB0" w14:textId="77777777" w:rsidR="008E67EA" w:rsidRDefault="008E67EA" w:rsidP="00B44A74">
            <w:pPr>
              <w:pStyle w:val="GazetteTableText"/>
            </w:pPr>
            <w:r w:rsidRPr="007028B5">
              <w:t>Pelgar International (Aus) Pty Ltd</w:t>
            </w:r>
          </w:p>
        </w:tc>
        <w:tc>
          <w:tcPr>
            <w:tcW w:w="1175" w:type="pct"/>
          </w:tcPr>
          <w:p w14:paraId="6A04A9F7" w14:textId="77777777" w:rsidR="008E67EA" w:rsidRDefault="008E67EA" w:rsidP="00B44A74">
            <w:pPr>
              <w:pStyle w:val="GazetteTableText"/>
            </w:pPr>
            <w:r w:rsidRPr="002D65A6">
              <w:t>89206/123976</w:t>
            </w:r>
          </w:p>
        </w:tc>
      </w:tr>
      <w:tr w:rsidR="008E67EA" w14:paraId="1C738F59" w14:textId="77777777" w:rsidTr="00B347E8">
        <w:tc>
          <w:tcPr>
            <w:tcW w:w="648" w:type="pct"/>
          </w:tcPr>
          <w:p w14:paraId="2B4D2C40" w14:textId="77777777" w:rsidR="008E67EA" w:rsidRDefault="008E67EA" w:rsidP="00B44A74">
            <w:pPr>
              <w:pStyle w:val="GazetteTableText"/>
            </w:pPr>
            <w:r>
              <w:t>D</w:t>
            </w:r>
            <w:r w:rsidRPr="00001A49">
              <w:t>ifenacoum</w:t>
            </w:r>
          </w:p>
        </w:tc>
        <w:tc>
          <w:tcPr>
            <w:tcW w:w="600" w:type="pct"/>
          </w:tcPr>
          <w:p w14:paraId="4AA76E10" w14:textId="77777777" w:rsidR="008E67EA" w:rsidRDefault="008E67EA" w:rsidP="00B44A74">
            <w:pPr>
              <w:pStyle w:val="GazetteTableText"/>
            </w:pPr>
            <w:r w:rsidRPr="00D95DA9">
              <w:t>89510</w:t>
            </w:r>
          </w:p>
        </w:tc>
        <w:tc>
          <w:tcPr>
            <w:tcW w:w="1326" w:type="pct"/>
          </w:tcPr>
          <w:p w14:paraId="14363B59" w14:textId="77777777" w:rsidR="008E67EA" w:rsidRPr="00B75907" w:rsidRDefault="008E67EA" w:rsidP="00B44A74">
            <w:pPr>
              <w:pStyle w:val="GazetteTableText"/>
            </w:pPr>
            <w:r w:rsidRPr="00D95DA9">
              <w:t>Surefire Difenate Paste Bait Rodenticide</w:t>
            </w:r>
          </w:p>
        </w:tc>
        <w:tc>
          <w:tcPr>
            <w:tcW w:w="1251" w:type="pct"/>
          </w:tcPr>
          <w:p w14:paraId="7F8F8F82" w14:textId="77777777" w:rsidR="008E67EA" w:rsidRDefault="008E67EA" w:rsidP="00B44A74">
            <w:pPr>
              <w:pStyle w:val="GazetteTableText"/>
            </w:pPr>
            <w:r w:rsidRPr="007028B5">
              <w:t>P</w:t>
            </w:r>
            <w:r>
              <w:t>CT</w:t>
            </w:r>
            <w:r w:rsidRPr="007028B5">
              <w:t xml:space="preserve"> Holdings Pty Ltd</w:t>
            </w:r>
          </w:p>
        </w:tc>
        <w:tc>
          <w:tcPr>
            <w:tcW w:w="1175" w:type="pct"/>
          </w:tcPr>
          <w:p w14:paraId="418167B0" w14:textId="77777777" w:rsidR="008E67EA" w:rsidRDefault="008E67EA" w:rsidP="00B44A74">
            <w:pPr>
              <w:pStyle w:val="GazetteTableText"/>
            </w:pPr>
            <w:r w:rsidRPr="002D65A6">
              <w:t>89510/125105</w:t>
            </w:r>
          </w:p>
        </w:tc>
      </w:tr>
      <w:tr w:rsidR="008E67EA" w14:paraId="17342382" w14:textId="77777777" w:rsidTr="00B347E8">
        <w:tc>
          <w:tcPr>
            <w:tcW w:w="648" w:type="pct"/>
          </w:tcPr>
          <w:p w14:paraId="184F1CF4" w14:textId="77777777" w:rsidR="008E67EA" w:rsidRDefault="008E67EA" w:rsidP="00B44A74">
            <w:pPr>
              <w:pStyle w:val="GazetteTableText"/>
            </w:pPr>
            <w:r>
              <w:t>D</w:t>
            </w:r>
            <w:r w:rsidRPr="00001A49">
              <w:t>ifenacoum</w:t>
            </w:r>
          </w:p>
        </w:tc>
        <w:tc>
          <w:tcPr>
            <w:tcW w:w="600" w:type="pct"/>
          </w:tcPr>
          <w:p w14:paraId="2E168B64" w14:textId="77777777" w:rsidR="008E67EA" w:rsidRDefault="008E67EA" w:rsidP="00B44A74">
            <w:pPr>
              <w:pStyle w:val="GazetteTableText"/>
            </w:pPr>
            <w:r w:rsidRPr="00D95DA9">
              <w:t>89556</w:t>
            </w:r>
          </w:p>
        </w:tc>
        <w:tc>
          <w:tcPr>
            <w:tcW w:w="1326" w:type="pct"/>
          </w:tcPr>
          <w:p w14:paraId="31EE517F" w14:textId="77777777" w:rsidR="008E67EA" w:rsidRPr="00B75907" w:rsidRDefault="008E67EA" w:rsidP="00B44A74">
            <w:pPr>
              <w:pStyle w:val="GazetteTableText"/>
            </w:pPr>
            <w:r w:rsidRPr="00D95DA9">
              <w:t xml:space="preserve">Raticate all-weather block - Difenacoum </w:t>
            </w:r>
          </w:p>
        </w:tc>
        <w:tc>
          <w:tcPr>
            <w:tcW w:w="1251" w:type="pct"/>
          </w:tcPr>
          <w:p w14:paraId="1EB94AA2" w14:textId="77777777" w:rsidR="008E67EA" w:rsidRDefault="008E67EA" w:rsidP="00B44A74">
            <w:pPr>
              <w:pStyle w:val="GazetteTableText"/>
            </w:pPr>
            <w:r w:rsidRPr="007028B5">
              <w:t>Freezone Public Health Pty Ltd</w:t>
            </w:r>
          </w:p>
        </w:tc>
        <w:tc>
          <w:tcPr>
            <w:tcW w:w="1175" w:type="pct"/>
          </w:tcPr>
          <w:p w14:paraId="4570E5FE" w14:textId="77777777" w:rsidR="008E67EA" w:rsidRDefault="008E67EA" w:rsidP="00B44A74">
            <w:pPr>
              <w:pStyle w:val="GazetteTableText"/>
            </w:pPr>
            <w:r w:rsidRPr="002D65A6">
              <w:t>89556/125251</w:t>
            </w:r>
          </w:p>
        </w:tc>
      </w:tr>
      <w:tr w:rsidR="008E67EA" w14:paraId="51164F60" w14:textId="77777777" w:rsidTr="00B347E8">
        <w:tc>
          <w:tcPr>
            <w:tcW w:w="648" w:type="pct"/>
          </w:tcPr>
          <w:p w14:paraId="4642EAB9" w14:textId="77777777" w:rsidR="008E67EA" w:rsidRDefault="008E67EA" w:rsidP="00B44A74">
            <w:pPr>
              <w:pStyle w:val="GazetteTableText"/>
            </w:pPr>
            <w:r w:rsidRPr="00F96D9E">
              <w:lastRenderedPageBreak/>
              <w:t>Difenacoum</w:t>
            </w:r>
          </w:p>
        </w:tc>
        <w:tc>
          <w:tcPr>
            <w:tcW w:w="600" w:type="pct"/>
          </w:tcPr>
          <w:p w14:paraId="10339367" w14:textId="77777777" w:rsidR="008E67EA" w:rsidRDefault="008E67EA" w:rsidP="00B44A74">
            <w:pPr>
              <w:pStyle w:val="GazetteTableText"/>
            </w:pPr>
            <w:r w:rsidRPr="00027FC7">
              <w:t>91552</w:t>
            </w:r>
          </w:p>
        </w:tc>
        <w:tc>
          <w:tcPr>
            <w:tcW w:w="1326" w:type="pct"/>
          </w:tcPr>
          <w:p w14:paraId="25AA81E1" w14:textId="77777777" w:rsidR="008E67EA" w:rsidRPr="00B75907" w:rsidRDefault="008E67EA" w:rsidP="00B44A74">
            <w:pPr>
              <w:pStyle w:val="GazetteTableText"/>
            </w:pPr>
            <w:r w:rsidRPr="00027FC7">
              <w:t>Titan Onza Blue Rodenticide Grain Bait</w:t>
            </w:r>
          </w:p>
        </w:tc>
        <w:tc>
          <w:tcPr>
            <w:tcW w:w="1251" w:type="pct"/>
          </w:tcPr>
          <w:p w14:paraId="194555B4" w14:textId="77777777" w:rsidR="008E67EA" w:rsidRDefault="008E67EA" w:rsidP="00B44A74">
            <w:pPr>
              <w:pStyle w:val="GazetteTableText"/>
            </w:pPr>
            <w:r w:rsidRPr="0085406A">
              <w:t>Freezone Public Health Pty Ltd</w:t>
            </w:r>
          </w:p>
        </w:tc>
        <w:tc>
          <w:tcPr>
            <w:tcW w:w="1175" w:type="pct"/>
          </w:tcPr>
          <w:p w14:paraId="13F5A060" w14:textId="77777777" w:rsidR="008E67EA" w:rsidRDefault="008E67EA" w:rsidP="00B44A74">
            <w:pPr>
              <w:pStyle w:val="GazetteTableText"/>
            </w:pPr>
            <w:r w:rsidRPr="003A5FED">
              <w:t>91552</w:t>
            </w:r>
            <w:r>
              <w:t>/</w:t>
            </w:r>
            <w:r w:rsidRPr="003153AF">
              <w:t>132630</w:t>
            </w:r>
          </w:p>
        </w:tc>
      </w:tr>
      <w:tr w:rsidR="008E67EA" w14:paraId="2CFC2AA0" w14:textId="77777777" w:rsidTr="00B347E8">
        <w:tc>
          <w:tcPr>
            <w:tcW w:w="648" w:type="pct"/>
          </w:tcPr>
          <w:p w14:paraId="5FF0012C" w14:textId="77777777" w:rsidR="008E67EA" w:rsidRDefault="008E67EA" w:rsidP="00B44A74">
            <w:pPr>
              <w:pStyle w:val="GazetteTableText"/>
            </w:pPr>
            <w:r>
              <w:t>D</w:t>
            </w:r>
            <w:r w:rsidRPr="00001A49">
              <w:t>ifenacoum</w:t>
            </w:r>
          </w:p>
        </w:tc>
        <w:tc>
          <w:tcPr>
            <w:tcW w:w="600" w:type="pct"/>
          </w:tcPr>
          <w:p w14:paraId="1569D306" w14:textId="77777777" w:rsidR="008E67EA" w:rsidRDefault="008E67EA" w:rsidP="00B44A74">
            <w:pPr>
              <w:pStyle w:val="GazetteTableText"/>
            </w:pPr>
            <w:r w:rsidRPr="00D95DA9">
              <w:t>91555</w:t>
            </w:r>
          </w:p>
        </w:tc>
        <w:tc>
          <w:tcPr>
            <w:tcW w:w="1326" w:type="pct"/>
          </w:tcPr>
          <w:p w14:paraId="17D13F16" w14:textId="77777777" w:rsidR="008E67EA" w:rsidRPr="00B75907" w:rsidRDefault="008E67EA" w:rsidP="00B44A74">
            <w:pPr>
              <w:pStyle w:val="GazetteTableText"/>
            </w:pPr>
            <w:r w:rsidRPr="00D95DA9">
              <w:t>Titan Onza Blue Rodenticide Paste</w:t>
            </w:r>
          </w:p>
        </w:tc>
        <w:tc>
          <w:tcPr>
            <w:tcW w:w="1251" w:type="pct"/>
          </w:tcPr>
          <w:p w14:paraId="516DE16B" w14:textId="77777777" w:rsidR="008E67EA" w:rsidRDefault="008E67EA" w:rsidP="00B44A74">
            <w:pPr>
              <w:pStyle w:val="GazetteTableText"/>
            </w:pPr>
            <w:r w:rsidRPr="007028B5">
              <w:t>Freezone Public Health Pty Ltd</w:t>
            </w:r>
          </w:p>
        </w:tc>
        <w:tc>
          <w:tcPr>
            <w:tcW w:w="1175" w:type="pct"/>
          </w:tcPr>
          <w:p w14:paraId="7F6DA913" w14:textId="77777777" w:rsidR="008E67EA" w:rsidRDefault="008E67EA" w:rsidP="00B44A74">
            <w:pPr>
              <w:pStyle w:val="GazetteTableText"/>
            </w:pPr>
            <w:r w:rsidRPr="002D65A6">
              <w:t>91555/132645</w:t>
            </w:r>
          </w:p>
        </w:tc>
      </w:tr>
      <w:tr w:rsidR="008E67EA" w14:paraId="124523B5" w14:textId="77777777" w:rsidTr="00B347E8">
        <w:tc>
          <w:tcPr>
            <w:tcW w:w="648" w:type="pct"/>
          </w:tcPr>
          <w:p w14:paraId="60FC052E" w14:textId="77777777" w:rsidR="008E67EA" w:rsidRDefault="008E67EA" w:rsidP="00B44A74">
            <w:pPr>
              <w:pStyle w:val="GazetteTableText"/>
            </w:pPr>
            <w:r>
              <w:t>D</w:t>
            </w:r>
            <w:r w:rsidRPr="00001A49">
              <w:t>ifenacoum</w:t>
            </w:r>
          </w:p>
        </w:tc>
        <w:tc>
          <w:tcPr>
            <w:tcW w:w="600" w:type="pct"/>
          </w:tcPr>
          <w:p w14:paraId="3F5F935F" w14:textId="77777777" w:rsidR="008E67EA" w:rsidRDefault="008E67EA" w:rsidP="00B44A74">
            <w:pPr>
              <w:pStyle w:val="GazetteTableText"/>
            </w:pPr>
            <w:r w:rsidRPr="00D95DA9">
              <w:t>91556</w:t>
            </w:r>
          </w:p>
        </w:tc>
        <w:tc>
          <w:tcPr>
            <w:tcW w:w="1326" w:type="pct"/>
          </w:tcPr>
          <w:p w14:paraId="50A57F4C" w14:textId="77777777" w:rsidR="008E67EA" w:rsidRPr="00B75907" w:rsidRDefault="008E67EA" w:rsidP="00B44A74">
            <w:pPr>
              <w:pStyle w:val="GazetteTableText"/>
            </w:pPr>
            <w:r w:rsidRPr="00D95DA9">
              <w:t>Titan Onza Blue Rodenticide Blocks</w:t>
            </w:r>
          </w:p>
        </w:tc>
        <w:tc>
          <w:tcPr>
            <w:tcW w:w="1251" w:type="pct"/>
          </w:tcPr>
          <w:p w14:paraId="78117400" w14:textId="77777777" w:rsidR="008E67EA" w:rsidRDefault="008E67EA" w:rsidP="00B44A74">
            <w:pPr>
              <w:pStyle w:val="GazetteTableText"/>
            </w:pPr>
            <w:r w:rsidRPr="007028B5">
              <w:t>Freezone Public Health Pty Ltd</w:t>
            </w:r>
          </w:p>
        </w:tc>
        <w:tc>
          <w:tcPr>
            <w:tcW w:w="1175" w:type="pct"/>
          </w:tcPr>
          <w:p w14:paraId="509C2BB2" w14:textId="77777777" w:rsidR="008E67EA" w:rsidRDefault="008E67EA" w:rsidP="00B44A74">
            <w:pPr>
              <w:pStyle w:val="GazetteTableText"/>
            </w:pPr>
            <w:r w:rsidRPr="002D65A6">
              <w:t>91556/132647</w:t>
            </w:r>
          </w:p>
        </w:tc>
      </w:tr>
      <w:tr w:rsidR="008E67EA" w14:paraId="4934C768" w14:textId="77777777" w:rsidTr="00B347E8">
        <w:tc>
          <w:tcPr>
            <w:tcW w:w="648" w:type="pct"/>
          </w:tcPr>
          <w:p w14:paraId="01779AA5" w14:textId="77777777" w:rsidR="008E67EA" w:rsidRDefault="008E67EA" w:rsidP="00B44A74">
            <w:pPr>
              <w:pStyle w:val="GazetteTableText"/>
            </w:pPr>
            <w:r>
              <w:t>D</w:t>
            </w:r>
            <w:r w:rsidRPr="00001A49">
              <w:t>ifenacoum</w:t>
            </w:r>
          </w:p>
        </w:tc>
        <w:tc>
          <w:tcPr>
            <w:tcW w:w="600" w:type="pct"/>
          </w:tcPr>
          <w:p w14:paraId="64744EC8" w14:textId="77777777" w:rsidR="008E67EA" w:rsidRDefault="008E67EA" w:rsidP="00B44A74">
            <w:pPr>
              <w:pStyle w:val="GazetteTableText"/>
            </w:pPr>
            <w:r w:rsidRPr="00D95DA9">
              <w:t>91657</w:t>
            </w:r>
          </w:p>
        </w:tc>
        <w:tc>
          <w:tcPr>
            <w:tcW w:w="1326" w:type="pct"/>
          </w:tcPr>
          <w:p w14:paraId="5CFF3A41" w14:textId="77777777" w:rsidR="008E67EA" w:rsidRPr="00B75907" w:rsidRDefault="008E67EA" w:rsidP="00B44A74">
            <w:pPr>
              <w:pStyle w:val="GazetteTableText"/>
            </w:pPr>
            <w:r w:rsidRPr="00D95DA9">
              <w:t>Pestmaster Difenacoum Rat &amp; Mouse Killer Blocks</w:t>
            </w:r>
          </w:p>
        </w:tc>
        <w:tc>
          <w:tcPr>
            <w:tcW w:w="1251" w:type="pct"/>
          </w:tcPr>
          <w:p w14:paraId="466AAE9F" w14:textId="77777777" w:rsidR="008E67EA" w:rsidRDefault="008E67EA" w:rsidP="00B44A74">
            <w:pPr>
              <w:pStyle w:val="GazetteTableText"/>
            </w:pPr>
            <w:r w:rsidRPr="007028B5">
              <w:t>Triox Pty. Ltd.</w:t>
            </w:r>
          </w:p>
        </w:tc>
        <w:tc>
          <w:tcPr>
            <w:tcW w:w="1175" w:type="pct"/>
          </w:tcPr>
          <w:p w14:paraId="05B9EFE5" w14:textId="77777777" w:rsidR="008E67EA" w:rsidRDefault="008E67EA" w:rsidP="00B44A74">
            <w:pPr>
              <w:pStyle w:val="GazetteTableText"/>
            </w:pPr>
            <w:r w:rsidRPr="00777291">
              <w:t>91657</w:t>
            </w:r>
            <w:r>
              <w:t>/</w:t>
            </w:r>
            <w:r w:rsidRPr="00777291">
              <w:t>133025</w:t>
            </w:r>
          </w:p>
        </w:tc>
      </w:tr>
      <w:tr w:rsidR="008E67EA" w14:paraId="3C77266E" w14:textId="77777777" w:rsidTr="00B347E8">
        <w:tc>
          <w:tcPr>
            <w:tcW w:w="648" w:type="pct"/>
          </w:tcPr>
          <w:p w14:paraId="08D2C8DC" w14:textId="77777777" w:rsidR="008E67EA" w:rsidRDefault="008E67EA" w:rsidP="00B44A74">
            <w:pPr>
              <w:pStyle w:val="GazetteTableText"/>
            </w:pPr>
            <w:r w:rsidRPr="00F96D9E">
              <w:t>Difenacoum</w:t>
            </w:r>
          </w:p>
        </w:tc>
        <w:tc>
          <w:tcPr>
            <w:tcW w:w="600" w:type="pct"/>
          </w:tcPr>
          <w:p w14:paraId="19705EDD" w14:textId="77777777" w:rsidR="008E67EA" w:rsidRDefault="008E67EA" w:rsidP="00B44A74">
            <w:pPr>
              <w:pStyle w:val="GazetteTableText"/>
            </w:pPr>
            <w:r w:rsidRPr="00027FC7">
              <w:t>92812</w:t>
            </w:r>
          </w:p>
        </w:tc>
        <w:tc>
          <w:tcPr>
            <w:tcW w:w="1326" w:type="pct"/>
          </w:tcPr>
          <w:p w14:paraId="06F40DF2" w14:textId="77777777" w:rsidR="008E67EA" w:rsidRPr="00B75907" w:rsidRDefault="008E67EA" w:rsidP="00B44A74">
            <w:pPr>
              <w:pStyle w:val="GazetteTableText"/>
            </w:pPr>
            <w:r w:rsidRPr="00027FC7">
              <w:t>Roban 25 All Weather Block Bait</w:t>
            </w:r>
          </w:p>
        </w:tc>
        <w:tc>
          <w:tcPr>
            <w:tcW w:w="1251" w:type="pct"/>
          </w:tcPr>
          <w:p w14:paraId="5BC79F3B" w14:textId="77777777" w:rsidR="008E67EA" w:rsidRDefault="008E67EA" w:rsidP="00B44A74">
            <w:pPr>
              <w:pStyle w:val="GazetteTableText"/>
            </w:pPr>
            <w:r w:rsidRPr="0085406A">
              <w:t>Pelgar International (Aus) Pty Ltd</w:t>
            </w:r>
          </w:p>
        </w:tc>
        <w:tc>
          <w:tcPr>
            <w:tcW w:w="1175" w:type="pct"/>
          </w:tcPr>
          <w:p w14:paraId="14347B9E" w14:textId="77777777" w:rsidR="008E67EA" w:rsidRDefault="008E67EA" w:rsidP="00B44A74">
            <w:pPr>
              <w:pStyle w:val="GazetteTableText"/>
            </w:pPr>
            <w:r w:rsidRPr="00027FC7">
              <w:t>92812</w:t>
            </w:r>
            <w:r>
              <w:t>/</w:t>
            </w:r>
            <w:r w:rsidRPr="003153AF">
              <w:t>136720</w:t>
            </w:r>
          </w:p>
        </w:tc>
      </w:tr>
      <w:tr w:rsidR="008E67EA" w14:paraId="471F839D" w14:textId="77777777" w:rsidTr="00B347E8">
        <w:tc>
          <w:tcPr>
            <w:tcW w:w="648" w:type="pct"/>
          </w:tcPr>
          <w:p w14:paraId="420A0F1F" w14:textId="77777777" w:rsidR="008E67EA" w:rsidRDefault="008E67EA" w:rsidP="00B44A74">
            <w:pPr>
              <w:pStyle w:val="GazetteTableText"/>
            </w:pPr>
            <w:r>
              <w:t>D</w:t>
            </w:r>
            <w:r w:rsidRPr="00001A49">
              <w:t>ifenacoum</w:t>
            </w:r>
          </w:p>
        </w:tc>
        <w:tc>
          <w:tcPr>
            <w:tcW w:w="600" w:type="pct"/>
          </w:tcPr>
          <w:p w14:paraId="16F2E4D7" w14:textId="77777777" w:rsidR="008E67EA" w:rsidRDefault="008E67EA" w:rsidP="00B44A74">
            <w:pPr>
              <w:pStyle w:val="GazetteTableText"/>
            </w:pPr>
            <w:r w:rsidRPr="00D95DA9">
              <w:t>94917</w:t>
            </w:r>
          </w:p>
        </w:tc>
        <w:tc>
          <w:tcPr>
            <w:tcW w:w="1326" w:type="pct"/>
          </w:tcPr>
          <w:p w14:paraId="7F41D801" w14:textId="77777777" w:rsidR="008E67EA" w:rsidRPr="00B75907" w:rsidRDefault="008E67EA" w:rsidP="00B44A74">
            <w:pPr>
              <w:pStyle w:val="GazetteTableText"/>
            </w:pPr>
            <w:r w:rsidRPr="00D95DA9">
              <w:t>No Mice Difend Rodenticide Blocks</w:t>
            </w:r>
          </w:p>
        </w:tc>
        <w:tc>
          <w:tcPr>
            <w:tcW w:w="1251" w:type="pct"/>
          </w:tcPr>
          <w:p w14:paraId="1C089EA5" w14:textId="77777777" w:rsidR="008E67EA" w:rsidRDefault="008E67EA" w:rsidP="00B44A74">
            <w:pPr>
              <w:pStyle w:val="GazetteTableText"/>
            </w:pPr>
            <w:r w:rsidRPr="007028B5">
              <w:t>Pelgar International (Aus) Pty Ltd</w:t>
            </w:r>
          </w:p>
        </w:tc>
        <w:tc>
          <w:tcPr>
            <w:tcW w:w="1175" w:type="pct"/>
          </w:tcPr>
          <w:p w14:paraId="11BAD239" w14:textId="77777777" w:rsidR="008E67EA" w:rsidRDefault="008E67EA" w:rsidP="00B44A74">
            <w:pPr>
              <w:pStyle w:val="GazetteTableText"/>
            </w:pPr>
            <w:r w:rsidRPr="00D95DA9">
              <w:t>94917</w:t>
            </w:r>
            <w:r>
              <w:t>/</w:t>
            </w:r>
            <w:r w:rsidRPr="00777291">
              <w:rPr>
                <w:lang w:val="en-AU"/>
              </w:rPr>
              <w:t>144032</w:t>
            </w:r>
          </w:p>
        </w:tc>
      </w:tr>
      <w:tr w:rsidR="008E67EA" w14:paraId="1D06BB6A" w14:textId="77777777" w:rsidTr="00B347E8">
        <w:tc>
          <w:tcPr>
            <w:tcW w:w="648" w:type="pct"/>
          </w:tcPr>
          <w:p w14:paraId="1F08ECA3" w14:textId="77777777" w:rsidR="008E67EA" w:rsidRDefault="008E67EA" w:rsidP="00B44A74">
            <w:pPr>
              <w:pStyle w:val="GazetteTableText"/>
            </w:pPr>
            <w:r>
              <w:t>D</w:t>
            </w:r>
            <w:r w:rsidRPr="00001A49">
              <w:t>ifethialone</w:t>
            </w:r>
          </w:p>
        </w:tc>
        <w:tc>
          <w:tcPr>
            <w:tcW w:w="600" w:type="pct"/>
          </w:tcPr>
          <w:p w14:paraId="346AF172" w14:textId="77777777" w:rsidR="008E67EA" w:rsidRDefault="008E67EA" w:rsidP="00B44A74">
            <w:pPr>
              <w:pStyle w:val="GazetteTableText"/>
            </w:pPr>
            <w:r w:rsidRPr="00584624">
              <w:t>62178</w:t>
            </w:r>
          </w:p>
        </w:tc>
        <w:tc>
          <w:tcPr>
            <w:tcW w:w="1326" w:type="pct"/>
          </w:tcPr>
          <w:p w14:paraId="05BD8027" w14:textId="77777777" w:rsidR="008E67EA" w:rsidRPr="00B75907" w:rsidRDefault="008E67EA" w:rsidP="00B44A74">
            <w:pPr>
              <w:pStyle w:val="GazetteTableText"/>
            </w:pPr>
            <w:r w:rsidRPr="00584624">
              <w:t>Generation Blue Max Block Single-Feed Rodenticide</w:t>
            </w:r>
          </w:p>
        </w:tc>
        <w:tc>
          <w:tcPr>
            <w:tcW w:w="1251" w:type="pct"/>
          </w:tcPr>
          <w:p w14:paraId="51EA148F" w14:textId="77777777" w:rsidR="008E67EA" w:rsidRDefault="008E67EA" w:rsidP="00B44A74">
            <w:pPr>
              <w:pStyle w:val="GazetteTableText"/>
            </w:pPr>
            <w:r w:rsidRPr="0090203C">
              <w:t>Liphatech S.A.S.</w:t>
            </w:r>
          </w:p>
        </w:tc>
        <w:tc>
          <w:tcPr>
            <w:tcW w:w="1175" w:type="pct"/>
          </w:tcPr>
          <w:p w14:paraId="1C239B3A" w14:textId="77777777" w:rsidR="008E67EA" w:rsidRDefault="008E67EA" w:rsidP="00B44A74">
            <w:pPr>
              <w:pStyle w:val="GazetteTableText"/>
            </w:pPr>
            <w:r w:rsidRPr="0023364F">
              <w:t>62178/1009</w:t>
            </w:r>
          </w:p>
        </w:tc>
      </w:tr>
      <w:tr w:rsidR="008E67EA" w14:paraId="34E18B07" w14:textId="77777777" w:rsidTr="00B347E8">
        <w:tc>
          <w:tcPr>
            <w:tcW w:w="648" w:type="pct"/>
          </w:tcPr>
          <w:p w14:paraId="2650A5F4" w14:textId="77777777" w:rsidR="008E67EA" w:rsidRDefault="008E67EA" w:rsidP="00B44A74">
            <w:pPr>
              <w:pStyle w:val="GazetteTableText"/>
            </w:pPr>
            <w:r>
              <w:t>D</w:t>
            </w:r>
            <w:r w:rsidRPr="00001A49">
              <w:t>ifethialone</w:t>
            </w:r>
          </w:p>
        </w:tc>
        <w:tc>
          <w:tcPr>
            <w:tcW w:w="600" w:type="pct"/>
          </w:tcPr>
          <w:p w14:paraId="7EFB5050" w14:textId="77777777" w:rsidR="008E67EA" w:rsidRDefault="008E67EA" w:rsidP="00B44A74">
            <w:pPr>
              <w:pStyle w:val="GazetteTableText"/>
            </w:pPr>
            <w:r w:rsidRPr="00584624">
              <w:t>62694</w:t>
            </w:r>
          </w:p>
        </w:tc>
        <w:tc>
          <w:tcPr>
            <w:tcW w:w="1326" w:type="pct"/>
          </w:tcPr>
          <w:p w14:paraId="0A4502A1" w14:textId="77777777" w:rsidR="008E67EA" w:rsidRPr="00B75907" w:rsidRDefault="008E67EA" w:rsidP="00B44A74">
            <w:pPr>
              <w:pStyle w:val="GazetteTableText"/>
            </w:pPr>
            <w:r w:rsidRPr="00584624">
              <w:t>Generation Block Single-Feed Rodenticide</w:t>
            </w:r>
          </w:p>
        </w:tc>
        <w:tc>
          <w:tcPr>
            <w:tcW w:w="1251" w:type="pct"/>
          </w:tcPr>
          <w:p w14:paraId="14828DD1" w14:textId="77777777" w:rsidR="008E67EA" w:rsidRDefault="008E67EA" w:rsidP="00B44A74">
            <w:pPr>
              <w:pStyle w:val="GazetteTableText"/>
            </w:pPr>
            <w:r w:rsidRPr="008E0030">
              <w:t>Liphatech S.A.S.</w:t>
            </w:r>
          </w:p>
        </w:tc>
        <w:tc>
          <w:tcPr>
            <w:tcW w:w="1175" w:type="pct"/>
          </w:tcPr>
          <w:p w14:paraId="6F874EA9" w14:textId="77777777" w:rsidR="008E67EA" w:rsidRDefault="008E67EA" w:rsidP="00B44A74">
            <w:pPr>
              <w:pStyle w:val="GazetteTableText"/>
            </w:pPr>
            <w:r w:rsidRPr="0023364F">
              <w:t>62694/1209, 62694/53580, 62694/104029</w:t>
            </w:r>
          </w:p>
        </w:tc>
      </w:tr>
      <w:tr w:rsidR="008E67EA" w14:paraId="5779EC13" w14:textId="77777777" w:rsidTr="00B347E8">
        <w:tc>
          <w:tcPr>
            <w:tcW w:w="648" w:type="pct"/>
          </w:tcPr>
          <w:p w14:paraId="4B9F5918" w14:textId="77777777" w:rsidR="008E67EA" w:rsidRDefault="008E67EA" w:rsidP="00B44A74">
            <w:pPr>
              <w:pStyle w:val="GazetteTableText"/>
            </w:pPr>
            <w:r>
              <w:t>D</w:t>
            </w:r>
            <w:r w:rsidRPr="00001A49">
              <w:t>ifethialone</w:t>
            </w:r>
          </w:p>
        </w:tc>
        <w:tc>
          <w:tcPr>
            <w:tcW w:w="600" w:type="pct"/>
          </w:tcPr>
          <w:p w14:paraId="3B29C77C" w14:textId="77777777" w:rsidR="008E67EA" w:rsidRDefault="008E67EA" w:rsidP="00B44A74">
            <w:pPr>
              <w:pStyle w:val="GazetteTableText"/>
            </w:pPr>
            <w:r w:rsidRPr="00584624">
              <w:t>66889</w:t>
            </w:r>
          </w:p>
        </w:tc>
        <w:tc>
          <w:tcPr>
            <w:tcW w:w="1326" w:type="pct"/>
          </w:tcPr>
          <w:p w14:paraId="4CD6AAC0" w14:textId="77777777" w:rsidR="008E67EA" w:rsidRPr="00B75907" w:rsidRDefault="008E67EA" w:rsidP="00B44A74">
            <w:pPr>
              <w:pStyle w:val="GazetteTableText"/>
            </w:pPr>
            <w:r w:rsidRPr="00584624">
              <w:t>Generation Firststrike Single-Feed Rodenticide</w:t>
            </w:r>
          </w:p>
        </w:tc>
        <w:tc>
          <w:tcPr>
            <w:tcW w:w="1251" w:type="pct"/>
          </w:tcPr>
          <w:p w14:paraId="62616542" w14:textId="77777777" w:rsidR="008E67EA" w:rsidRDefault="008E67EA" w:rsidP="00B44A74">
            <w:pPr>
              <w:pStyle w:val="GazetteTableText"/>
            </w:pPr>
            <w:r w:rsidRPr="008E0030">
              <w:t>Liphatech S.A.S.</w:t>
            </w:r>
          </w:p>
        </w:tc>
        <w:tc>
          <w:tcPr>
            <w:tcW w:w="1175" w:type="pct"/>
          </w:tcPr>
          <w:p w14:paraId="4D768931" w14:textId="77777777" w:rsidR="008E67EA" w:rsidRDefault="008E67EA" w:rsidP="00B44A74">
            <w:pPr>
              <w:pStyle w:val="GazetteTableText"/>
            </w:pPr>
            <w:r w:rsidRPr="0023364F">
              <w:t>66889/54630</w:t>
            </w:r>
          </w:p>
        </w:tc>
      </w:tr>
      <w:tr w:rsidR="008E67EA" w14:paraId="57ED484C" w14:textId="77777777" w:rsidTr="00B347E8">
        <w:tc>
          <w:tcPr>
            <w:tcW w:w="648" w:type="pct"/>
          </w:tcPr>
          <w:p w14:paraId="7B62757B" w14:textId="77777777" w:rsidR="008E67EA" w:rsidRDefault="008E67EA" w:rsidP="00B44A74">
            <w:pPr>
              <w:pStyle w:val="GazetteTableText"/>
            </w:pPr>
            <w:r>
              <w:t>D</w:t>
            </w:r>
            <w:r w:rsidRPr="00001A49">
              <w:t>ifethialone</w:t>
            </w:r>
          </w:p>
        </w:tc>
        <w:tc>
          <w:tcPr>
            <w:tcW w:w="600" w:type="pct"/>
          </w:tcPr>
          <w:p w14:paraId="0B41F50F" w14:textId="77777777" w:rsidR="008E67EA" w:rsidRDefault="008E67EA" w:rsidP="00B44A74">
            <w:pPr>
              <w:pStyle w:val="GazetteTableText"/>
            </w:pPr>
            <w:r w:rsidRPr="00584624">
              <w:t>69086</w:t>
            </w:r>
          </w:p>
        </w:tc>
        <w:tc>
          <w:tcPr>
            <w:tcW w:w="1326" w:type="pct"/>
          </w:tcPr>
          <w:p w14:paraId="7C630036" w14:textId="77777777" w:rsidR="008E67EA" w:rsidRPr="00B75907" w:rsidRDefault="008E67EA" w:rsidP="00B44A74">
            <w:pPr>
              <w:pStyle w:val="GazetteTableText"/>
            </w:pPr>
            <w:r w:rsidRPr="00584624">
              <w:t>Rodilon Pro Rodenticide</w:t>
            </w:r>
          </w:p>
        </w:tc>
        <w:tc>
          <w:tcPr>
            <w:tcW w:w="1251" w:type="pct"/>
          </w:tcPr>
          <w:p w14:paraId="7D0C078F" w14:textId="77777777" w:rsidR="008E67EA" w:rsidRDefault="008E67EA" w:rsidP="00B44A74">
            <w:pPr>
              <w:pStyle w:val="GazetteTableText"/>
            </w:pPr>
            <w:r w:rsidRPr="00445F78">
              <w:t>Liphatech S.A.S.</w:t>
            </w:r>
          </w:p>
        </w:tc>
        <w:tc>
          <w:tcPr>
            <w:tcW w:w="1175" w:type="pct"/>
          </w:tcPr>
          <w:p w14:paraId="518AE12C" w14:textId="77777777" w:rsidR="008E67EA" w:rsidRDefault="008E67EA" w:rsidP="00B44A74">
            <w:pPr>
              <w:pStyle w:val="GazetteTableText"/>
            </w:pPr>
            <w:r w:rsidRPr="0023364F">
              <w:t>69086/59936</w:t>
            </w:r>
          </w:p>
        </w:tc>
      </w:tr>
      <w:tr w:rsidR="008E67EA" w14:paraId="67363F5D" w14:textId="77777777" w:rsidTr="00B347E8">
        <w:tc>
          <w:tcPr>
            <w:tcW w:w="648" w:type="pct"/>
          </w:tcPr>
          <w:p w14:paraId="44FB7A5A" w14:textId="77777777" w:rsidR="008E67EA" w:rsidRDefault="008E67EA" w:rsidP="00B44A74">
            <w:pPr>
              <w:pStyle w:val="GazetteTableText"/>
            </w:pPr>
            <w:r>
              <w:t>D</w:t>
            </w:r>
            <w:r w:rsidRPr="00001A49">
              <w:t>ifethialone</w:t>
            </w:r>
          </w:p>
        </w:tc>
        <w:tc>
          <w:tcPr>
            <w:tcW w:w="600" w:type="pct"/>
          </w:tcPr>
          <w:p w14:paraId="7E91BA5D" w14:textId="77777777" w:rsidR="008E67EA" w:rsidRDefault="008E67EA" w:rsidP="00B44A74">
            <w:pPr>
              <w:pStyle w:val="GazetteTableText"/>
            </w:pPr>
            <w:r w:rsidRPr="00584624">
              <w:t>80381</w:t>
            </w:r>
          </w:p>
        </w:tc>
        <w:tc>
          <w:tcPr>
            <w:tcW w:w="1326" w:type="pct"/>
          </w:tcPr>
          <w:p w14:paraId="37A782AA" w14:textId="77777777" w:rsidR="008E67EA" w:rsidRPr="00B75907" w:rsidRDefault="008E67EA" w:rsidP="00B44A74">
            <w:pPr>
              <w:pStyle w:val="GazetteTableText"/>
            </w:pPr>
            <w:r w:rsidRPr="00584624">
              <w:t>Generation Blue Rodenticide Block</w:t>
            </w:r>
          </w:p>
        </w:tc>
        <w:tc>
          <w:tcPr>
            <w:tcW w:w="1251" w:type="pct"/>
          </w:tcPr>
          <w:p w14:paraId="304C776B" w14:textId="77777777" w:rsidR="008E67EA" w:rsidRDefault="008E67EA" w:rsidP="00B44A74">
            <w:pPr>
              <w:pStyle w:val="GazetteTableText"/>
            </w:pPr>
            <w:r w:rsidRPr="00445F78">
              <w:t>Liphatech S.A.S.</w:t>
            </w:r>
          </w:p>
        </w:tc>
        <w:tc>
          <w:tcPr>
            <w:tcW w:w="1175" w:type="pct"/>
          </w:tcPr>
          <w:p w14:paraId="008E1E8A" w14:textId="77777777" w:rsidR="008E67EA" w:rsidRDefault="008E67EA" w:rsidP="00B44A74">
            <w:pPr>
              <w:pStyle w:val="GazetteTableText"/>
            </w:pPr>
            <w:r w:rsidRPr="0023364F">
              <w:t>80381/100726</w:t>
            </w:r>
          </w:p>
        </w:tc>
      </w:tr>
      <w:tr w:rsidR="008E67EA" w14:paraId="7190ECF1" w14:textId="77777777" w:rsidTr="00B347E8">
        <w:tc>
          <w:tcPr>
            <w:tcW w:w="648" w:type="pct"/>
          </w:tcPr>
          <w:p w14:paraId="2729CB93" w14:textId="77777777" w:rsidR="008E67EA" w:rsidRDefault="008E67EA" w:rsidP="00B44A74">
            <w:pPr>
              <w:pStyle w:val="GazetteTableText"/>
            </w:pPr>
            <w:r>
              <w:t>D</w:t>
            </w:r>
            <w:r w:rsidRPr="00001A49">
              <w:t>ifethialone</w:t>
            </w:r>
          </w:p>
        </w:tc>
        <w:tc>
          <w:tcPr>
            <w:tcW w:w="600" w:type="pct"/>
          </w:tcPr>
          <w:p w14:paraId="09737DDA" w14:textId="77777777" w:rsidR="008E67EA" w:rsidRDefault="008E67EA" w:rsidP="00B44A74">
            <w:pPr>
              <w:pStyle w:val="GazetteTableText"/>
            </w:pPr>
            <w:r w:rsidRPr="00584624">
              <w:t>80382</w:t>
            </w:r>
          </w:p>
        </w:tc>
        <w:tc>
          <w:tcPr>
            <w:tcW w:w="1326" w:type="pct"/>
          </w:tcPr>
          <w:p w14:paraId="2EAFD78F" w14:textId="77777777" w:rsidR="008E67EA" w:rsidRPr="00B75907" w:rsidRDefault="008E67EA" w:rsidP="00B44A74">
            <w:pPr>
              <w:pStyle w:val="GazetteTableText"/>
            </w:pPr>
            <w:r w:rsidRPr="00584624">
              <w:t>Generation Blue Rodenticide Pellet</w:t>
            </w:r>
          </w:p>
        </w:tc>
        <w:tc>
          <w:tcPr>
            <w:tcW w:w="1251" w:type="pct"/>
          </w:tcPr>
          <w:p w14:paraId="2AED47BE" w14:textId="77777777" w:rsidR="008E67EA" w:rsidRDefault="008E67EA" w:rsidP="00B44A74">
            <w:pPr>
              <w:pStyle w:val="GazetteTableText"/>
            </w:pPr>
            <w:r w:rsidRPr="00445F78">
              <w:t>Liphatech S.A.S.</w:t>
            </w:r>
          </w:p>
        </w:tc>
        <w:tc>
          <w:tcPr>
            <w:tcW w:w="1175" w:type="pct"/>
          </w:tcPr>
          <w:p w14:paraId="6BE5FFBD" w14:textId="77777777" w:rsidR="008E67EA" w:rsidRDefault="008E67EA" w:rsidP="00B44A74">
            <w:pPr>
              <w:pStyle w:val="GazetteTableText"/>
            </w:pPr>
            <w:r w:rsidRPr="0023364F">
              <w:t>80382/100727</w:t>
            </w:r>
          </w:p>
        </w:tc>
      </w:tr>
      <w:tr w:rsidR="008E67EA" w14:paraId="328B1FD1" w14:textId="77777777" w:rsidTr="00B347E8">
        <w:tc>
          <w:tcPr>
            <w:tcW w:w="648" w:type="pct"/>
          </w:tcPr>
          <w:p w14:paraId="5FDEE058" w14:textId="77777777" w:rsidR="008E67EA" w:rsidRDefault="008E67EA" w:rsidP="00B44A74">
            <w:pPr>
              <w:pStyle w:val="GazetteTableText"/>
            </w:pPr>
            <w:r>
              <w:t>D</w:t>
            </w:r>
            <w:r w:rsidRPr="00001A49">
              <w:t>ifethialone</w:t>
            </w:r>
          </w:p>
        </w:tc>
        <w:tc>
          <w:tcPr>
            <w:tcW w:w="600" w:type="pct"/>
          </w:tcPr>
          <w:p w14:paraId="0451877C" w14:textId="77777777" w:rsidR="008E67EA" w:rsidRDefault="008E67EA" w:rsidP="00B44A74">
            <w:pPr>
              <w:pStyle w:val="GazetteTableText"/>
            </w:pPr>
            <w:r w:rsidRPr="00584624">
              <w:t>80386</w:t>
            </w:r>
          </w:p>
        </w:tc>
        <w:tc>
          <w:tcPr>
            <w:tcW w:w="1326" w:type="pct"/>
          </w:tcPr>
          <w:p w14:paraId="46C748A8" w14:textId="77777777" w:rsidR="008E67EA" w:rsidRPr="00B75907" w:rsidRDefault="008E67EA" w:rsidP="00B44A74">
            <w:pPr>
              <w:pStyle w:val="GazetteTableText"/>
            </w:pPr>
            <w:r w:rsidRPr="00584624">
              <w:t>Generation Blue Rodenticide Soft Bait</w:t>
            </w:r>
          </w:p>
        </w:tc>
        <w:tc>
          <w:tcPr>
            <w:tcW w:w="1251" w:type="pct"/>
          </w:tcPr>
          <w:p w14:paraId="663B401A" w14:textId="77777777" w:rsidR="008E67EA" w:rsidRDefault="008E67EA" w:rsidP="00B44A74">
            <w:pPr>
              <w:pStyle w:val="GazetteTableText"/>
            </w:pPr>
            <w:r w:rsidRPr="00445F78">
              <w:t>Liphatech S.A.S.</w:t>
            </w:r>
          </w:p>
        </w:tc>
        <w:tc>
          <w:tcPr>
            <w:tcW w:w="1175" w:type="pct"/>
          </w:tcPr>
          <w:p w14:paraId="0A1714F1" w14:textId="77777777" w:rsidR="008E67EA" w:rsidRDefault="008E67EA" w:rsidP="00B44A74">
            <w:pPr>
              <w:pStyle w:val="GazetteTableText"/>
            </w:pPr>
            <w:r w:rsidRPr="0023364F">
              <w:t>80386/100731</w:t>
            </w:r>
          </w:p>
        </w:tc>
      </w:tr>
      <w:tr w:rsidR="008E67EA" w14:paraId="58CFBC0A" w14:textId="77777777" w:rsidTr="00B347E8">
        <w:tc>
          <w:tcPr>
            <w:tcW w:w="648" w:type="pct"/>
          </w:tcPr>
          <w:p w14:paraId="1E506C98" w14:textId="77777777" w:rsidR="008E67EA" w:rsidRDefault="008E67EA" w:rsidP="00B44A74">
            <w:pPr>
              <w:pStyle w:val="GazetteTableText"/>
            </w:pPr>
            <w:r>
              <w:t>F</w:t>
            </w:r>
            <w:r w:rsidRPr="00001A49">
              <w:t>locoumafen</w:t>
            </w:r>
          </w:p>
        </w:tc>
        <w:tc>
          <w:tcPr>
            <w:tcW w:w="600" w:type="pct"/>
          </w:tcPr>
          <w:p w14:paraId="0E62CAA1" w14:textId="77777777" w:rsidR="008E67EA" w:rsidRDefault="008E67EA" w:rsidP="00B44A74">
            <w:pPr>
              <w:pStyle w:val="GazetteTableText"/>
            </w:pPr>
            <w:r w:rsidRPr="00E17EF4">
              <w:t>47768</w:t>
            </w:r>
          </w:p>
        </w:tc>
        <w:tc>
          <w:tcPr>
            <w:tcW w:w="1326" w:type="pct"/>
          </w:tcPr>
          <w:p w14:paraId="7F0439EF" w14:textId="77777777" w:rsidR="008E67EA" w:rsidRPr="00B75907" w:rsidRDefault="008E67EA" w:rsidP="00B44A74">
            <w:pPr>
              <w:pStyle w:val="GazetteTableText"/>
            </w:pPr>
            <w:r w:rsidRPr="00E17EF4">
              <w:t>Storm Wax Block Rodenticide</w:t>
            </w:r>
          </w:p>
        </w:tc>
        <w:tc>
          <w:tcPr>
            <w:tcW w:w="1251" w:type="pct"/>
          </w:tcPr>
          <w:p w14:paraId="602F6F8C" w14:textId="77777777" w:rsidR="008E67EA" w:rsidRDefault="008E67EA" w:rsidP="00B44A74">
            <w:pPr>
              <w:pStyle w:val="GazetteTableText"/>
            </w:pPr>
            <w:r w:rsidRPr="00D901ED">
              <w:t>BASF Australia Ltd.</w:t>
            </w:r>
          </w:p>
        </w:tc>
        <w:tc>
          <w:tcPr>
            <w:tcW w:w="1175" w:type="pct"/>
          </w:tcPr>
          <w:p w14:paraId="16D73317" w14:textId="77777777" w:rsidR="008E67EA" w:rsidRDefault="008E67EA" w:rsidP="00B44A74">
            <w:pPr>
              <w:pStyle w:val="GazetteTableText"/>
            </w:pPr>
            <w:r w:rsidRPr="00D901ED">
              <w:t>47768/01, 47768/0609</w:t>
            </w:r>
          </w:p>
        </w:tc>
      </w:tr>
      <w:tr w:rsidR="008E67EA" w14:paraId="22EBC272" w14:textId="77777777" w:rsidTr="00B347E8">
        <w:tc>
          <w:tcPr>
            <w:tcW w:w="648" w:type="pct"/>
          </w:tcPr>
          <w:p w14:paraId="346DBECC" w14:textId="77777777" w:rsidR="008E67EA" w:rsidRDefault="008E67EA" w:rsidP="00B44A74">
            <w:pPr>
              <w:pStyle w:val="GazetteTableText"/>
            </w:pPr>
            <w:r>
              <w:t>F</w:t>
            </w:r>
            <w:r w:rsidRPr="00001A49">
              <w:t>locoumafen</w:t>
            </w:r>
          </w:p>
        </w:tc>
        <w:tc>
          <w:tcPr>
            <w:tcW w:w="600" w:type="pct"/>
          </w:tcPr>
          <w:p w14:paraId="713D78EA" w14:textId="77777777" w:rsidR="008E67EA" w:rsidRDefault="008E67EA" w:rsidP="00B44A74">
            <w:pPr>
              <w:pStyle w:val="GazetteTableText"/>
            </w:pPr>
            <w:r w:rsidRPr="00E17EF4">
              <w:t>54191</w:t>
            </w:r>
          </w:p>
        </w:tc>
        <w:tc>
          <w:tcPr>
            <w:tcW w:w="1326" w:type="pct"/>
          </w:tcPr>
          <w:p w14:paraId="5E549CEC" w14:textId="77777777" w:rsidR="008E67EA" w:rsidRPr="00B75907" w:rsidRDefault="008E67EA" w:rsidP="00B44A74">
            <w:pPr>
              <w:pStyle w:val="GazetteTableText"/>
            </w:pPr>
            <w:r w:rsidRPr="00E17EF4">
              <w:t>Storm Secure Wax Block Rodenticide</w:t>
            </w:r>
          </w:p>
        </w:tc>
        <w:tc>
          <w:tcPr>
            <w:tcW w:w="1251" w:type="pct"/>
          </w:tcPr>
          <w:p w14:paraId="6F14E392" w14:textId="77777777" w:rsidR="008E67EA" w:rsidRDefault="008E67EA" w:rsidP="00B44A74">
            <w:pPr>
              <w:pStyle w:val="GazetteTableText"/>
            </w:pPr>
            <w:r w:rsidRPr="00D901ED">
              <w:t>BASF Australia Ltd.</w:t>
            </w:r>
          </w:p>
        </w:tc>
        <w:tc>
          <w:tcPr>
            <w:tcW w:w="1175" w:type="pct"/>
          </w:tcPr>
          <w:p w14:paraId="0F6B5014" w14:textId="77777777" w:rsidR="008E67EA" w:rsidRDefault="008E67EA" w:rsidP="00B44A74">
            <w:pPr>
              <w:pStyle w:val="GazetteTableText"/>
            </w:pPr>
            <w:r>
              <w:t>54191/0501, 54191/0508, 54191/0609, 54191/0704, 54191/1102, 54191/129919</w:t>
            </w:r>
          </w:p>
        </w:tc>
      </w:tr>
      <w:tr w:rsidR="008E67EA" w14:paraId="4B766C2F" w14:textId="77777777" w:rsidTr="00B347E8">
        <w:tc>
          <w:tcPr>
            <w:tcW w:w="648" w:type="pct"/>
          </w:tcPr>
          <w:p w14:paraId="498F4536" w14:textId="77777777" w:rsidR="008E67EA" w:rsidRDefault="008E67EA" w:rsidP="00B44A74">
            <w:pPr>
              <w:pStyle w:val="GazetteTableText"/>
            </w:pPr>
            <w:r>
              <w:t>F</w:t>
            </w:r>
            <w:r w:rsidRPr="00001A49">
              <w:t>locoumafen</w:t>
            </w:r>
          </w:p>
        </w:tc>
        <w:tc>
          <w:tcPr>
            <w:tcW w:w="600" w:type="pct"/>
          </w:tcPr>
          <w:p w14:paraId="185F127E" w14:textId="77777777" w:rsidR="008E67EA" w:rsidRDefault="008E67EA" w:rsidP="00B44A74">
            <w:pPr>
              <w:pStyle w:val="GazetteTableText"/>
            </w:pPr>
            <w:r w:rsidRPr="00E17EF4">
              <w:t>80663</w:t>
            </w:r>
          </w:p>
        </w:tc>
        <w:tc>
          <w:tcPr>
            <w:tcW w:w="1326" w:type="pct"/>
          </w:tcPr>
          <w:p w14:paraId="12553881" w14:textId="77777777" w:rsidR="008E67EA" w:rsidRPr="00B75907" w:rsidRDefault="008E67EA" w:rsidP="00B44A74">
            <w:pPr>
              <w:pStyle w:val="GazetteTableText"/>
            </w:pPr>
            <w:r w:rsidRPr="00E17EF4">
              <w:t>Storm Soft Bait Rodenticide</w:t>
            </w:r>
          </w:p>
        </w:tc>
        <w:tc>
          <w:tcPr>
            <w:tcW w:w="1251" w:type="pct"/>
          </w:tcPr>
          <w:p w14:paraId="6A656056" w14:textId="77777777" w:rsidR="008E67EA" w:rsidRDefault="008E67EA" w:rsidP="00B44A74">
            <w:pPr>
              <w:pStyle w:val="GazetteTableText"/>
            </w:pPr>
            <w:r w:rsidRPr="00D901ED">
              <w:t>BASF Australia Ltd.</w:t>
            </w:r>
          </w:p>
        </w:tc>
        <w:tc>
          <w:tcPr>
            <w:tcW w:w="1175" w:type="pct"/>
          </w:tcPr>
          <w:p w14:paraId="4E2DBB47" w14:textId="77777777" w:rsidR="008E67EA" w:rsidRDefault="008E67EA" w:rsidP="00B44A74">
            <w:pPr>
              <w:pStyle w:val="GazetteTableText"/>
            </w:pPr>
            <w:r>
              <w:t>80663/101357, 80663/129939</w:t>
            </w:r>
          </w:p>
        </w:tc>
      </w:tr>
      <w:tr w:rsidR="008E67EA" w14:paraId="6854C323" w14:textId="77777777" w:rsidTr="00B347E8">
        <w:tc>
          <w:tcPr>
            <w:tcW w:w="648" w:type="pct"/>
          </w:tcPr>
          <w:p w14:paraId="1921154D" w14:textId="77777777" w:rsidR="008E67EA" w:rsidRDefault="008E67EA" w:rsidP="00B44A74">
            <w:pPr>
              <w:pStyle w:val="GazetteTableText"/>
            </w:pPr>
            <w:r>
              <w:t>F</w:t>
            </w:r>
            <w:r w:rsidRPr="00001A49">
              <w:t>locoumafen</w:t>
            </w:r>
          </w:p>
        </w:tc>
        <w:tc>
          <w:tcPr>
            <w:tcW w:w="600" w:type="pct"/>
          </w:tcPr>
          <w:p w14:paraId="253AF6BA" w14:textId="77777777" w:rsidR="008E67EA" w:rsidRDefault="008E67EA" w:rsidP="00B44A74">
            <w:pPr>
              <w:pStyle w:val="GazetteTableText"/>
            </w:pPr>
            <w:r w:rsidRPr="00E17EF4">
              <w:t>90839</w:t>
            </w:r>
          </w:p>
        </w:tc>
        <w:tc>
          <w:tcPr>
            <w:tcW w:w="1326" w:type="pct"/>
          </w:tcPr>
          <w:p w14:paraId="6218098C" w14:textId="77777777" w:rsidR="008E67EA" w:rsidRPr="00B75907" w:rsidRDefault="008E67EA" w:rsidP="00B44A74">
            <w:pPr>
              <w:pStyle w:val="GazetteTableText"/>
            </w:pPr>
            <w:r w:rsidRPr="00E17EF4">
              <w:t>Stratagem Soft Bait Rodenticide</w:t>
            </w:r>
          </w:p>
        </w:tc>
        <w:tc>
          <w:tcPr>
            <w:tcW w:w="1251" w:type="pct"/>
          </w:tcPr>
          <w:p w14:paraId="4F3320BE" w14:textId="77777777" w:rsidR="008E67EA" w:rsidRDefault="008E67EA" w:rsidP="00B44A74">
            <w:pPr>
              <w:pStyle w:val="GazetteTableText"/>
            </w:pPr>
            <w:r w:rsidRPr="00D901ED">
              <w:t>BASF Australia Ltd.</w:t>
            </w:r>
          </w:p>
        </w:tc>
        <w:tc>
          <w:tcPr>
            <w:tcW w:w="1175" w:type="pct"/>
          </w:tcPr>
          <w:p w14:paraId="777BED8A" w14:textId="77777777" w:rsidR="008E67EA" w:rsidRDefault="008E67EA" w:rsidP="00B44A74">
            <w:pPr>
              <w:pStyle w:val="GazetteTableText"/>
            </w:pPr>
            <w:r w:rsidRPr="00C948A0">
              <w:t>90839/130175</w:t>
            </w:r>
          </w:p>
        </w:tc>
      </w:tr>
      <w:tr w:rsidR="008E67EA" w14:paraId="319A99E7" w14:textId="77777777" w:rsidTr="00B347E8">
        <w:tc>
          <w:tcPr>
            <w:tcW w:w="648" w:type="pct"/>
          </w:tcPr>
          <w:p w14:paraId="16CF073C" w14:textId="77777777" w:rsidR="008E67EA" w:rsidRDefault="008E67EA" w:rsidP="00B44A74">
            <w:pPr>
              <w:pStyle w:val="GazetteTableText"/>
            </w:pPr>
            <w:r>
              <w:t>F</w:t>
            </w:r>
            <w:r w:rsidRPr="00001A49">
              <w:t>locoumafen</w:t>
            </w:r>
          </w:p>
        </w:tc>
        <w:tc>
          <w:tcPr>
            <w:tcW w:w="600" w:type="pct"/>
          </w:tcPr>
          <w:p w14:paraId="1F554365" w14:textId="77777777" w:rsidR="008E67EA" w:rsidRDefault="008E67EA" w:rsidP="00B44A74">
            <w:pPr>
              <w:pStyle w:val="GazetteTableText"/>
            </w:pPr>
            <w:r w:rsidRPr="00E17EF4">
              <w:t>90840</w:t>
            </w:r>
          </w:p>
        </w:tc>
        <w:tc>
          <w:tcPr>
            <w:tcW w:w="1326" w:type="pct"/>
          </w:tcPr>
          <w:p w14:paraId="25072ED1" w14:textId="77777777" w:rsidR="008E67EA" w:rsidRPr="00B75907" w:rsidRDefault="008E67EA" w:rsidP="00B44A74">
            <w:pPr>
              <w:pStyle w:val="GazetteTableText"/>
            </w:pPr>
            <w:r w:rsidRPr="00E17EF4">
              <w:t>Stratagem Wax Block Rodenticide</w:t>
            </w:r>
          </w:p>
        </w:tc>
        <w:tc>
          <w:tcPr>
            <w:tcW w:w="1251" w:type="pct"/>
          </w:tcPr>
          <w:p w14:paraId="1F9BD973" w14:textId="77777777" w:rsidR="008E67EA" w:rsidRDefault="008E67EA" w:rsidP="00B44A74">
            <w:pPr>
              <w:pStyle w:val="GazetteTableText"/>
            </w:pPr>
            <w:r w:rsidRPr="00D901ED">
              <w:t>BASF Australia Ltd.</w:t>
            </w:r>
          </w:p>
        </w:tc>
        <w:tc>
          <w:tcPr>
            <w:tcW w:w="1175" w:type="pct"/>
          </w:tcPr>
          <w:p w14:paraId="38F1DC3B" w14:textId="77777777" w:rsidR="008E67EA" w:rsidRDefault="008E67EA" w:rsidP="00B44A74">
            <w:pPr>
              <w:pStyle w:val="GazetteTableText"/>
            </w:pPr>
            <w:r w:rsidRPr="00C948A0">
              <w:t>90840/130176</w:t>
            </w:r>
          </w:p>
        </w:tc>
      </w:tr>
    </w:tbl>
    <w:p w14:paraId="53A0ACF9" w14:textId="77777777" w:rsidR="00B347E8" w:rsidRDefault="00B347E8" w:rsidP="00B347E8">
      <w:pPr>
        <w:rPr>
          <w:rFonts w:eastAsiaTheme="majorEastAsia"/>
        </w:rPr>
        <w:sectPr w:rsidR="00B347E8" w:rsidSect="00B347E8">
          <w:pgSz w:w="11906" w:h="16838"/>
          <w:pgMar w:top="1440" w:right="1134" w:bottom="1440" w:left="1134" w:header="680" w:footer="737" w:gutter="0"/>
          <w:cols w:space="708"/>
          <w:docGrid w:linePitch="360"/>
        </w:sectPr>
      </w:pPr>
    </w:p>
    <w:p w14:paraId="0650033F" w14:textId="77777777" w:rsidR="008E67EA" w:rsidRDefault="008E67EA" w:rsidP="008E67EA">
      <w:pPr>
        <w:pStyle w:val="GazetteHeading1"/>
      </w:pPr>
      <w:bookmarkStart w:id="110" w:name="_Toc216282365"/>
      <w:r>
        <w:lastRenderedPageBreak/>
        <w:t>Attachment B</w:t>
      </w:r>
      <w:r w:rsidRPr="00B418E9">
        <w:t xml:space="preserve">: </w:t>
      </w:r>
      <w:r w:rsidRPr="00B65A71">
        <w:t>Draft statement of reasons for the proposed decision</w:t>
      </w:r>
      <w:r>
        <w:t xml:space="preserve"> to vary and affirm certain anticoagulant rodenticide products and labels</w:t>
      </w:r>
      <w:bookmarkEnd w:id="110"/>
    </w:p>
    <w:p w14:paraId="4699342B" w14:textId="7044BD7F" w:rsidR="008E67EA" w:rsidRDefault="008E67EA" w:rsidP="008E67EA">
      <w:pPr>
        <w:pStyle w:val="GazetteHeading2"/>
        <w:rPr>
          <w:sz w:val="28"/>
          <w:szCs w:val="28"/>
        </w:rPr>
      </w:pPr>
      <w:r w:rsidRPr="00B418E9">
        <w:rPr>
          <w:sz w:val="28"/>
          <w:szCs w:val="28"/>
        </w:rPr>
        <w:t>C</w:t>
      </w:r>
      <w:r w:rsidR="00B347E8" w:rsidRPr="00B418E9">
        <w:rPr>
          <w:sz w:val="28"/>
          <w:szCs w:val="28"/>
        </w:rPr>
        <w:t>ontents</w:t>
      </w:r>
    </w:p>
    <w:p w14:paraId="7E733CDE" w14:textId="28E0A254" w:rsidR="008E67EA" w:rsidRDefault="008E67EA" w:rsidP="00D4624B">
      <w:pPr>
        <w:pStyle w:val="TOC1"/>
        <w:rPr>
          <w:rFonts w:asciiTheme="minorHAnsi" w:eastAsiaTheme="minorEastAsia" w:hAnsiTheme="minorHAnsi"/>
          <w:kern w:val="2"/>
          <w:sz w:val="24"/>
          <w:lang w:eastAsia="en-AU"/>
          <w14:ligatures w14:val="standardContextual"/>
        </w:rPr>
      </w:pPr>
      <w:r>
        <w:rPr>
          <w:rStyle w:val="Hyperlink"/>
          <w:rFonts w:eastAsiaTheme="minorHAnsi" w:cstheme="minorBidi"/>
          <w:szCs w:val="22"/>
        </w:rPr>
        <w:fldChar w:fldCharType="begin"/>
      </w:r>
      <w:r>
        <w:rPr>
          <w:rStyle w:val="Hyperlink"/>
        </w:rPr>
        <w:instrText xml:space="preserve"> TOC \h \z \t "Gazette cover H2,1,Gazette Cover H3,1,Statement of Reasons Heading 1,1,Statement of Reasons Heading 2,2,Statement of Reasons Heading 3,3" </w:instrText>
      </w:r>
      <w:r>
        <w:rPr>
          <w:rStyle w:val="Hyperlink"/>
          <w:rFonts w:eastAsiaTheme="minorHAnsi" w:cstheme="minorBidi"/>
          <w:szCs w:val="22"/>
        </w:rPr>
        <w:fldChar w:fldCharType="separate"/>
      </w:r>
      <w:hyperlink w:anchor="_Toc216090739" w:history="1">
        <w:r w:rsidRPr="00BF10CF">
          <w:rPr>
            <w:rStyle w:val="Hyperlink"/>
          </w:rPr>
          <w:t>B</w:t>
        </w:r>
        <w:r w:rsidR="00D4624B" w:rsidRPr="00BF10CF">
          <w:rPr>
            <w:rStyle w:val="Hyperlink"/>
          </w:rPr>
          <w:t>ackground</w:t>
        </w:r>
        <w:r>
          <w:rPr>
            <w:webHidden/>
          </w:rPr>
          <w:tab/>
        </w:r>
        <w:r>
          <w:rPr>
            <w:webHidden/>
          </w:rPr>
          <w:fldChar w:fldCharType="begin"/>
        </w:r>
        <w:r>
          <w:rPr>
            <w:webHidden/>
          </w:rPr>
          <w:instrText xml:space="preserve"> PAGEREF _Toc216090739 \h </w:instrText>
        </w:r>
        <w:r>
          <w:rPr>
            <w:webHidden/>
          </w:rPr>
        </w:r>
        <w:r>
          <w:rPr>
            <w:webHidden/>
          </w:rPr>
          <w:fldChar w:fldCharType="separate"/>
        </w:r>
        <w:r w:rsidR="002C0C2A">
          <w:rPr>
            <w:webHidden/>
          </w:rPr>
          <w:t>33</w:t>
        </w:r>
        <w:r>
          <w:rPr>
            <w:webHidden/>
          </w:rPr>
          <w:fldChar w:fldCharType="end"/>
        </w:r>
      </w:hyperlink>
    </w:p>
    <w:p w14:paraId="25F31C64" w14:textId="04F4B923" w:rsidR="008E67EA" w:rsidRDefault="008E67EA" w:rsidP="008E67EA">
      <w:pPr>
        <w:pStyle w:val="TOC2"/>
        <w:rPr>
          <w:rFonts w:asciiTheme="minorHAnsi" w:eastAsiaTheme="minorEastAsia" w:hAnsiTheme="minorHAnsi"/>
          <w:kern w:val="2"/>
          <w:sz w:val="24"/>
          <w:szCs w:val="24"/>
          <w:lang w:eastAsia="en-AU"/>
          <w14:ligatures w14:val="standardContextual"/>
        </w:rPr>
      </w:pPr>
      <w:hyperlink w:anchor="_Toc216090740" w:history="1">
        <w:r w:rsidRPr="00BF10CF">
          <w:rPr>
            <w:rStyle w:val="Hyperlink"/>
          </w:rPr>
          <w:t>Reconsideration of anticoagulant rodenticide chemical products and labels</w:t>
        </w:r>
        <w:r>
          <w:rPr>
            <w:webHidden/>
          </w:rPr>
          <w:tab/>
        </w:r>
        <w:r>
          <w:rPr>
            <w:webHidden/>
          </w:rPr>
          <w:fldChar w:fldCharType="begin"/>
        </w:r>
        <w:r>
          <w:rPr>
            <w:webHidden/>
          </w:rPr>
          <w:instrText xml:space="preserve"> PAGEREF _Toc216090740 \h </w:instrText>
        </w:r>
        <w:r>
          <w:rPr>
            <w:webHidden/>
          </w:rPr>
        </w:r>
        <w:r>
          <w:rPr>
            <w:webHidden/>
          </w:rPr>
          <w:fldChar w:fldCharType="separate"/>
        </w:r>
        <w:r w:rsidR="002C0C2A">
          <w:rPr>
            <w:webHidden/>
          </w:rPr>
          <w:t>33</w:t>
        </w:r>
        <w:r>
          <w:rPr>
            <w:webHidden/>
          </w:rPr>
          <w:fldChar w:fldCharType="end"/>
        </w:r>
      </w:hyperlink>
    </w:p>
    <w:p w14:paraId="7A94F906" w14:textId="2FBB7171" w:rsidR="008E67EA" w:rsidRDefault="008E67EA" w:rsidP="00D4624B">
      <w:pPr>
        <w:pStyle w:val="TOC1"/>
        <w:tabs>
          <w:tab w:val="clear" w:pos="1134"/>
          <w:tab w:val="left" w:pos="1560"/>
        </w:tabs>
        <w:rPr>
          <w:rFonts w:asciiTheme="minorHAnsi" w:eastAsiaTheme="minorEastAsia" w:hAnsiTheme="minorHAnsi"/>
          <w:kern w:val="2"/>
          <w:sz w:val="24"/>
          <w:lang w:eastAsia="en-AU"/>
          <w14:ligatures w14:val="standardContextual"/>
        </w:rPr>
      </w:pPr>
      <w:hyperlink w:anchor="_Toc216090741" w:history="1">
        <w:r w:rsidRPr="00BF10CF">
          <w:rPr>
            <w:rStyle w:val="Hyperlink"/>
          </w:rPr>
          <w:t>L</w:t>
        </w:r>
        <w:r w:rsidR="00D4624B" w:rsidRPr="00BF10CF">
          <w:rPr>
            <w:rStyle w:val="Hyperlink"/>
          </w:rPr>
          <w:t>egal framework</w:t>
        </w:r>
        <w:r>
          <w:rPr>
            <w:webHidden/>
          </w:rPr>
          <w:tab/>
        </w:r>
        <w:r>
          <w:rPr>
            <w:webHidden/>
          </w:rPr>
          <w:fldChar w:fldCharType="begin"/>
        </w:r>
        <w:r>
          <w:rPr>
            <w:webHidden/>
          </w:rPr>
          <w:instrText xml:space="preserve"> PAGEREF _Toc216090741 \h </w:instrText>
        </w:r>
        <w:r>
          <w:rPr>
            <w:webHidden/>
          </w:rPr>
        </w:r>
        <w:r>
          <w:rPr>
            <w:webHidden/>
          </w:rPr>
          <w:fldChar w:fldCharType="separate"/>
        </w:r>
        <w:r w:rsidR="002C0C2A">
          <w:rPr>
            <w:webHidden/>
          </w:rPr>
          <w:t>35</w:t>
        </w:r>
        <w:r>
          <w:rPr>
            <w:webHidden/>
          </w:rPr>
          <w:fldChar w:fldCharType="end"/>
        </w:r>
      </w:hyperlink>
    </w:p>
    <w:p w14:paraId="40224D12" w14:textId="0C941A24" w:rsidR="008E67EA" w:rsidRDefault="008E67EA" w:rsidP="008E67EA">
      <w:pPr>
        <w:pStyle w:val="TOC2"/>
        <w:rPr>
          <w:rFonts w:asciiTheme="minorHAnsi" w:eastAsiaTheme="minorEastAsia" w:hAnsiTheme="minorHAnsi"/>
          <w:kern w:val="2"/>
          <w:sz w:val="24"/>
          <w:szCs w:val="24"/>
          <w:lang w:eastAsia="en-AU"/>
          <w14:ligatures w14:val="standardContextual"/>
        </w:rPr>
      </w:pPr>
      <w:hyperlink w:anchor="_Toc216090742" w:history="1">
        <w:r w:rsidRPr="00BF10CF">
          <w:rPr>
            <w:rStyle w:val="Hyperlink"/>
          </w:rPr>
          <w:t>Affirmation</w:t>
        </w:r>
        <w:r>
          <w:rPr>
            <w:webHidden/>
          </w:rPr>
          <w:tab/>
        </w:r>
        <w:r>
          <w:rPr>
            <w:webHidden/>
          </w:rPr>
          <w:fldChar w:fldCharType="begin"/>
        </w:r>
        <w:r>
          <w:rPr>
            <w:webHidden/>
          </w:rPr>
          <w:instrText xml:space="preserve"> PAGEREF _Toc216090742 \h </w:instrText>
        </w:r>
        <w:r>
          <w:rPr>
            <w:webHidden/>
          </w:rPr>
        </w:r>
        <w:r>
          <w:rPr>
            <w:webHidden/>
          </w:rPr>
          <w:fldChar w:fldCharType="separate"/>
        </w:r>
        <w:r w:rsidR="002C0C2A">
          <w:rPr>
            <w:webHidden/>
          </w:rPr>
          <w:t>35</w:t>
        </w:r>
        <w:r>
          <w:rPr>
            <w:webHidden/>
          </w:rPr>
          <w:fldChar w:fldCharType="end"/>
        </w:r>
      </w:hyperlink>
    </w:p>
    <w:p w14:paraId="7EF388F9" w14:textId="3EDEAE53" w:rsidR="008E67EA" w:rsidRDefault="008E67EA" w:rsidP="008E67EA">
      <w:pPr>
        <w:pStyle w:val="TOC2"/>
        <w:rPr>
          <w:rFonts w:asciiTheme="minorHAnsi" w:eastAsiaTheme="minorEastAsia" w:hAnsiTheme="minorHAnsi"/>
          <w:kern w:val="2"/>
          <w:sz w:val="24"/>
          <w:szCs w:val="24"/>
          <w:lang w:eastAsia="en-AU"/>
          <w14:ligatures w14:val="standardContextual"/>
        </w:rPr>
      </w:pPr>
      <w:hyperlink w:anchor="_Toc216090743" w:history="1">
        <w:r w:rsidRPr="00BF10CF">
          <w:rPr>
            <w:rStyle w:val="Hyperlink"/>
          </w:rPr>
          <w:t>Variation required to satisfy requirements for affirmation</w:t>
        </w:r>
        <w:r>
          <w:rPr>
            <w:webHidden/>
          </w:rPr>
          <w:tab/>
        </w:r>
        <w:r>
          <w:rPr>
            <w:webHidden/>
          </w:rPr>
          <w:fldChar w:fldCharType="begin"/>
        </w:r>
        <w:r>
          <w:rPr>
            <w:webHidden/>
          </w:rPr>
          <w:instrText xml:space="preserve"> PAGEREF _Toc216090743 \h </w:instrText>
        </w:r>
        <w:r>
          <w:rPr>
            <w:webHidden/>
          </w:rPr>
        </w:r>
        <w:r>
          <w:rPr>
            <w:webHidden/>
          </w:rPr>
          <w:fldChar w:fldCharType="separate"/>
        </w:r>
        <w:r w:rsidR="002C0C2A">
          <w:rPr>
            <w:webHidden/>
          </w:rPr>
          <w:t>35</w:t>
        </w:r>
        <w:r>
          <w:rPr>
            <w:webHidden/>
          </w:rPr>
          <w:fldChar w:fldCharType="end"/>
        </w:r>
      </w:hyperlink>
    </w:p>
    <w:p w14:paraId="5FDAA5B3" w14:textId="4AEF34A6" w:rsidR="008E67EA" w:rsidRDefault="008E67EA" w:rsidP="008E67EA">
      <w:pPr>
        <w:pStyle w:val="TOC2"/>
        <w:rPr>
          <w:rFonts w:asciiTheme="minorHAnsi" w:eastAsiaTheme="minorEastAsia" w:hAnsiTheme="minorHAnsi"/>
          <w:kern w:val="2"/>
          <w:sz w:val="24"/>
          <w:szCs w:val="24"/>
          <w:lang w:eastAsia="en-AU"/>
          <w14:ligatures w14:val="standardContextual"/>
        </w:rPr>
      </w:pPr>
      <w:hyperlink w:anchor="_Toc216090744" w:history="1">
        <w:r w:rsidRPr="00BF10CF">
          <w:rPr>
            <w:rStyle w:val="Hyperlink"/>
          </w:rPr>
          <w:t>Statutory criteria</w:t>
        </w:r>
        <w:r>
          <w:rPr>
            <w:webHidden/>
          </w:rPr>
          <w:tab/>
        </w:r>
        <w:r>
          <w:rPr>
            <w:webHidden/>
          </w:rPr>
          <w:fldChar w:fldCharType="begin"/>
        </w:r>
        <w:r>
          <w:rPr>
            <w:webHidden/>
          </w:rPr>
          <w:instrText xml:space="preserve"> PAGEREF _Toc216090744 \h </w:instrText>
        </w:r>
        <w:r>
          <w:rPr>
            <w:webHidden/>
          </w:rPr>
        </w:r>
        <w:r>
          <w:rPr>
            <w:webHidden/>
          </w:rPr>
          <w:fldChar w:fldCharType="separate"/>
        </w:r>
        <w:r w:rsidR="002C0C2A">
          <w:rPr>
            <w:webHidden/>
          </w:rPr>
          <w:t>35</w:t>
        </w:r>
        <w:r>
          <w:rPr>
            <w:webHidden/>
          </w:rPr>
          <w:fldChar w:fldCharType="end"/>
        </w:r>
      </w:hyperlink>
    </w:p>
    <w:p w14:paraId="6213BDEF" w14:textId="4F31A51C" w:rsidR="008E67EA" w:rsidRDefault="008E67EA" w:rsidP="008E67EA">
      <w:pPr>
        <w:pStyle w:val="TOC3"/>
        <w:tabs>
          <w:tab w:val="right" w:leader="dot" w:pos="9628"/>
        </w:tabs>
        <w:rPr>
          <w:rFonts w:asciiTheme="minorHAnsi" w:eastAsiaTheme="minorEastAsia" w:hAnsiTheme="minorHAnsi"/>
          <w:noProof/>
          <w:kern w:val="2"/>
          <w:sz w:val="24"/>
          <w:lang w:eastAsia="en-AU"/>
          <w14:ligatures w14:val="standardContextual"/>
        </w:rPr>
      </w:pPr>
      <w:hyperlink w:anchor="_Toc216090745" w:history="1">
        <w:r w:rsidRPr="00BF10CF">
          <w:rPr>
            <w:rStyle w:val="Hyperlink"/>
            <w:noProof/>
          </w:rPr>
          <w:t>Safety criteria</w:t>
        </w:r>
        <w:r>
          <w:rPr>
            <w:noProof/>
            <w:webHidden/>
          </w:rPr>
          <w:tab/>
        </w:r>
        <w:r>
          <w:rPr>
            <w:noProof/>
            <w:webHidden/>
          </w:rPr>
          <w:fldChar w:fldCharType="begin"/>
        </w:r>
        <w:r>
          <w:rPr>
            <w:noProof/>
            <w:webHidden/>
          </w:rPr>
          <w:instrText xml:space="preserve"> PAGEREF _Toc216090745 \h </w:instrText>
        </w:r>
        <w:r>
          <w:rPr>
            <w:noProof/>
            <w:webHidden/>
          </w:rPr>
        </w:r>
        <w:r>
          <w:rPr>
            <w:noProof/>
            <w:webHidden/>
          </w:rPr>
          <w:fldChar w:fldCharType="separate"/>
        </w:r>
        <w:r w:rsidR="002C0C2A">
          <w:rPr>
            <w:noProof/>
            <w:webHidden/>
          </w:rPr>
          <w:t>35</w:t>
        </w:r>
        <w:r>
          <w:rPr>
            <w:noProof/>
            <w:webHidden/>
          </w:rPr>
          <w:fldChar w:fldCharType="end"/>
        </w:r>
      </w:hyperlink>
    </w:p>
    <w:p w14:paraId="2A6A67F8" w14:textId="6833E95D" w:rsidR="008E67EA" w:rsidRDefault="008E67EA" w:rsidP="008E67EA">
      <w:pPr>
        <w:pStyle w:val="TOC3"/>
        <w:tabs>
          <w:tab w:val="right" w:leader="dot" w:pos="9628"/>
        </w:tabs>
        <w:rPr>
          <w:rFonts w:asciiTheme="minorHAnsi" w:eastAsiaTheme="minorEastAsia" w:hAnsiTheme="minorHAnsi"/>
          <w:noProof/>
          <w:kern w:val="2"/>
          <w:sz w:val="24"/>
          <w:lang w:eastAsia="en-AU"/>
          <w14:ligatures w14:val="standardContextual"/>
        </w:rPr>
      </w:pPr>
      <w:hyperlink w:anchor="_Toc216090746" w:history="1">
        <w:r w:rsidRPr="00BF10CF">
          <w:rPr>
            <w:rStyle w:val="Hyperlink"/>
            <w:noProof/>
          </w:rPr>
          <w:t>Efficacy criteria</w:t>
        </w:r>
        <w:r>
          <w:rPr>
            <w:noProof/>
            <w:webHidden/>
          </w:rPr>
          <w:tab/>
        </w:r>
        <w:r>
          <w:rPr>
            <w:noProof/>
            <w:webHidden/>
          </w:rPr>
          <w:fldChar w:fldCharType="begin"/>
        </w:r>
        <w:r>
          <w:rPr>
            <w:noProof/>
            <w:webHidden/>
          </w:rPr>
          <w:instrText xml:space="preserve"> PAGEREF _Toc216090746 \h </w:instrText>
        </w:r>
        <w:r>
          <w:rPr>
            <w:noProof/>
            <w:webHidden/>
          </w:rPr>
        </w:r>
        <w:r>
          <w:rPr>
            <w:noProof/>
            <w:webHidden/>
          </w:rPr>
          <w:fldChar w:fldCharType="separate"/>
        </w:r>
        <w:r w:rsidR="002C0C2A">
          <w:rPr>
            <w:noProof/>
            <w:webHidden/>
          </w:rPr>
          <w:t>37</w:t>
        </w:r>
        <w:r>
          <w:rPr>
            <w:noProof/>
            <w:webHidden/>
          </w:rPr>
          <w:fldChar w:fldCharType="end"/>
        </w:r>
      </w:hyperlink>
    </w:p>
    <w:p w14:paraId="4F236F62" w14:textId="6A6B2B8D" w:rsidR="008E67EA" w:rsidRDefault="008E67EA" w:rsidP="008E67EA">
      <w:pPr>
        <w:pStyle w:val="TOC3"/>
        <w:tabs>
          <w:tab w:val="right" w:leader="dot" w:pos="9628"/>
        </w:tabs>
        <w:rPr>
          <w:rFonts w:asciiTheme="minorHAnsi" w:eastAsiaTheme="minorEastAsia" w:hAnsiTheme="minorHAnsi"/>
          <w:noProof/>
          <w:kern w:val="2"/>
          <w:sz w:val="24"/>
          <w:lang w:eastAsia="en-AU"/>
          <w14:ligatures w14:val="standardContextual"/>
        </w:rPr>
      </w:pPr>
      <w:hyperlink w:anchor="_Toc216090747" w:history="1">
        <w:r w:rsidRPr="00BF10CF">
          <w:rPr>
            <w:rStyle w:val="Hyperlink"/>
            <w:noProof/>
          </w:rPr>
          <w:t>Trade criteria</w:t>
        </w:r>
        <w:r>
          <w:rPr>
            <w:noProof/>
            <w:webHidden/>
          </w:rPr>
          <w:tab/>
        </w:r>
        <w:r>
          <w:rPr>
            <w:noProof/>
            <w:webHidden/>
          </w:rPr>
          <w:fldChar w:fldCharType="begin"/>
        </w:r>
        <w:r>
          <w:rPr>
            <w:noProof/>
            <w:webHidden/>
          </w:rPr>
          <w:instrText xml:space="preserve"> PAGEREF _Toc216090747 \h </w:instrText>
        </w:r>
        <w:r>
          <w:rPr>
            <w:noProof/>
            <w:webHidden/>
          </w:rPr>
        </w:r>
        <w:r>
          <w:rPr>
            <w:noProof/>
            <w:webHidden/>
          </w:rPr>
          <w:fldChar w:fldCharType="separate"/>
        </w:r>
        <w:r w:rsidR="002C0C2A">
          <w:rPr>
            <w:noProof/>
            <w:webHidden/>
          </w:rPr>
          <w:t>37</w:t>
        </w:r>
        <w:r>
          <w:rPr>
            <w:noProof/>
            <w:webHidden/>
          </w:rPr>
          <w:fldChar w:fldCharType="end"/>
        </w:r>
      </w:hyperlink>
    </w:p>
    <w:p w14:paraId="1D74D7B9" w14:textId="467E479A" w:rsidR="008E67EA" w:rsidRDefault="008E67EA" w:rsidP="008E67EA">
      <w:pPr>
        <w:pStyle w:val="TOC3"/>
        <w:tabs>
          <w:tab w:val="right" w:leader="dot" w:pos="9628"/>
        </w:tabs>
        <w:rPr>
          <w:rFonts w:asciiTheme="minorHAnsi" w:eastAsiaTheme="minorEastAsia" w:hAnsiTheme="minorHAnsi"/>
          <w:noProof/>
          <w:kern w:val="2"/>
          <w:sz w:val="24"/>
          <w:lang w:eastAsia="en-AU"/>
          <w14:ligatures w14:val="standardContextual"/>
        </w:rPr>
      </w:pPr>
      <w:hyperlink w:anchor="_Toc216090748" w:history="1">
        <w:r w:rsidRPr="00BF10CF">
          <w:rPr>
            <w:rStyle w:val="Hyperlink"/>
            <w:noProof/>
          </w:rPr>
          <w:t>Labelling criteria</w:t>
        </w:r>
        <w:r>
          <w:rPr>
            <w:noProof/>
            <w:webHidden/>
          </w:rPr>
          <w:tab/>
        </w:r>
        <w:r>
          <w:rPr>
            <w:noProof/>
            <w:webHidden/>
          </w:rPr>
          <w:fldChar w:fldCharType="begin"/>
        </w:r>
        <w:r>
          <w:rPr>
            <w:noProof/>
            <w:webHidden/>
          </w:rPr>
          <w:instrText xml:space="preserve"> PAGEREF _Toc216090748 \h </w:instrText>
        </w:r>
        <w:r>
          <w:rPr>
            <w:noProof/>
            <w:webHidden/>
          </w:rPr>
        </w:r>
        <w:r>
          <w:rPr>
            <w:noProof/>
            <w:webHidden/>
          </w:rPr>
          <w:fldChar w:fldCharType="separate"/>
        </w:r>
        <w:r w:rsidR="002C0C2A">
          <w:rPr>
            <w:noProof/>
            <w:webHidden/>
          </w:rPr>
          <w:t>37</w:t>
        </w:r>
        <w:r>
          <w:rPr>
            <w:noProof/>
            <w:webHidden/>
          </w:rPr>
          <w:fldChar w:fldCharType="end"/>
        </w:r>
      </w:hyperlink>
    </w:p>
    <w:p w14:paraId="268494DF" w14:textId="5810D309" w:rsidR="008E67EA" w:rsidRDefault="008E67EA" w:rsidP="008E67EA">
      <w:pPr>
        <w:pStyle w:val="TOC3"/>
        <w:tabs>
          <w:tab w:val="right" w:leader="dot" w:pos="9628"/>
        </w:tabs>
        <w:rPr>
          <w:rFonts w:asciiTheme="minorHAnsi" w:eastAsiaTheme="minorEastAsia" w:hAnsiTheme="minorHAnsi"/>
          <w:noProof/>
          <w:kern w:val="2"/>
          <w:sz w:val="24"/>
          <w:lang w:eastAsia="en-AU"/>
          <w14:ligatures w14:val="standardContextual"/>
        </w:rPr>
      </w:pPr>
      <w:hyperlink w:anchor="_Toc216090749" w:history="1">
        <w:r w:rsidRPr="00BF10CF">
          <w:rPr>
            <w:rStyle w:val="Hyperlink"/>
            <w:noProof/>
          </w:rPr>
          <w:t>Relevant particulars</w:t>
        </w:r>
        <w:r>
          <w:rPr>
            <w:noProof/>
            <w:webHidden/>
          </w:rPr>
          <w:tab/>
        </w:r>
        <w:r>
          <w:rPr>
            <w:noProof/>
            <w:webHidden/>
          </w:rPr>
          <w:fldChar w:fldCharType="begin"/>
        </w:r>
        <w:r>
          <w:rPr>
            <w:noProof/>
            <w:webHidden/>
          </w:rPr>
          <w:instrText xml:space="preserve"> PAGEREF _Toc216090749 \h </w:instrText>
        </w:r>
        <w:r>
          <w:rPr>
            <w:noProof/>
            <w:webHidden/>
          </w:rPr>
        </w:r>
        <w:r>
          <w:rPr>
            <w:noProof/>
            <w:webHidden/>
          </w:rPr>
          <w:fldChar w:fldCharType="separate"/>
        </w:r>
        <w:r w:rsidR="002C0C2A">
          <w:rPr>
            <w:noProof/>
            <w:webHidden/>
          </w:rPr>
          <w:t>38</w:t>
        </w:r>
        <w:r>
          <w:rPr>
            <w:noProof/>
            <w:webHidden/>
          </w:rPr>
          <w:fldChar w:fldCharType="end"/>
        </w:r>
      </w:hyperlink>
    </w:p>
    <w:p w14:paraId="474FFF7C" w14:textId="0C268F0D" w:rsidR="008E67EA" w:rsidRDefault="008E67EA" w:rsidP="008E67EA">
      <w:pPr>
        <w:pStyle w:val="TOC2"/>
        <w:rPr>
          <w:rFonts w:asciiTheme="minorHAnsi" w:eastAsiaTheme="minorEastAsia" w:hAnsiTheme="minorHAnsi"/>
          <w:kern w:val="2"/>
          <w:sz w:val="24"/>
          <w:szCs w:val="24"/>
          <w:lang w:eastAsia="en-AU"/>
          <w14:ligatures w14:val="standardContextual"/>
        </w:rPr>
      </w:pPr>
      <w:hyperlink w:anchor="_Toc216090750" w:history="1">
        <w:r w:rsidRPr="00BF10CF">
          <w:rPr>
            <w:rStyle w:val="Hyperlink"/>
          </w:rPr>
          <w:t>Phase-out provisions</w:t>
        </w:r>
        <w:r>
          <w:rPr>
            <w:webHidden/>
          </w:rPr>
          <w:tab/>
        </w:r>
        <w:r>
          <w:rPr>
            <w:webHidden/>
          </w:rPr>
          <w:fldChar w:fldCharType="begin"/>
        </w:r>
        <w:r>
          <w:rPr>
            <w:webHidden/>
          </w:rPr>
          <w:instrText xml:space="preserve"> PAGEREF _Toc216090750 \h </w:instrText>
        </w:r>
        <w:r>
          <w:rPr>
            <w:webHidden/>
          </w:rPr>
        </w:r>
        <w:r>
          <w:rPr>
            <w:webHidden/>
          </w:rPr>
          <w:fldChar w:fldCharType="separate"/>
        </w:r>
        <w:r w:rsidR="002C0C2A">
          <w:rPr>
            <w:webHidden/>
          </w:rPr>
          <w:t>40</w:t>
        </w:r>
        <w:r>
          <w:rPr>
            <w:webHidden/>
          </w:rPr>
          <w:fldChar w:fldCharType="end"/>
        </w:r>
      </w:hyperlink>
    </w:p>
    <w:p w14:paraId="63091508" w14:textId="4D855AFA" w:rsidR="008E67EA" w:rsidRDefault="008E67EA" w:rsidP="008E67EA">
      <w:pPr>
        <w:pStyle w:val="TOC3"/>
        <w:tabs>
          <w:tab w:val="right" w:leader="dot" w:pos="9628"/>
        </w:tabs>
        <w:rPr>
          <w:rFonts w:asciiTheme="minorHAnsi" w:eastAsiaTheme="minorEastAsia" w:hAnsiTheme="minorHAnsi"/>
          <w:noProof/>
          <w:kern w:val="2"/>
          <w:sz w:val="24"/>
          <w:lang w:eastAsia="en-AU"/>
          <w14:ligatures w14:val="standardContextual"/>
        </w:rPr>
      </w:pPr>
      <w:hyperlink w:anchor="_Toc216090751" w:history="1">
        <w:r w:rsidRPr="00BF10CF">
          <w:rPr>
            <w:rStyle w:val="Hyperlink"/>
            <w:noProof/>
          </w:rPr>
          <w:t>Phase-out of products bearing earlier-approved labels</w:t>
        </w:r>
        <w:r>
          <w:rPr>
            <w:noProof/>
            <w:webHidden/>
          </w:rPr>
          <w:tab/>
        </w:r>
        <w:r>
          <w:rPr>
            <w:noProof/>
            <w:webHidden/>
          </w:rPr>
          <w:fldChar w:fldCharType="begin"/>
        </w:r>
        <w:r>
          <w:rPr>
            <w:noProof/>
            <w:webHidden/>
          </w:rPr>
          <w:instrText xml:space="preserve"> PAGEREF _Toc216090751 \h </w:instrText>
        </w:r>
        <w:r>
          <w:rPr>
            <w:noProof/>
            <w:webHidden/>
          </w:rPr>
        </w:r>
        <w:r>
          <w:rPr>
            <w:noProof/>
            <w:webHidden/>
          </w:rPr>
          <w:fldChar w:fldCharType="separate"/>
        </w:r>
        <w:r w:rsidR="002C0C2A">
          <w:rPr>
            <w:noProof/>
            <w:webHidden/>
          </w:rPr>
          <w:t>40</w:t>
        </w:r>
        <w:r>
          <w:rPr>
            <w:noProof/>
            <w:webHidden/>
          </w:rPr>
          <w:fldChar w:fldCharType="end"/>
        </w:r>
      </w:hyperlink>
    </w:p>
    <w:p w14:paraId="6E78BDB4" w14:textId="6BFCD8DB" w:rsidR="008E67EA" w:rsidRDefault="008E67EA" w:rsidP="00D4624B">
      <w:pPr>
        <w:pStyle w:val="TOC1"/>
        <w:tabs>
          <w:tab w:val="clear" w:pos="709"/>
          <w:tab w:val="clear" w:pos="1134"/>
          <w:tab w:val="left" w:pos="3261"/>
        </w:tabs>
        <w:rPr>
          <w:rFonts w:asciiTheme="minorHAnsi" w:eastAsiaTheme="minorEastAsia" w:hAnsiTheme="minorHAnsi"/>
          <w:kern w:val="2"/>
          <w:sz w:val="24"/>
          <w:lang w:eastAsia="en-AU"/>
          <w14:ligatures w14:val="standardContextual"/>
        </w:rPr>
      </w:pPr>
      <w:hyperlink w:anchor="_Toc216090752" w:history="1">
        <w:r w:rsidRPr="00BF10CF">
          <w:rPr>
            <w:rStyle w:val="Hyperlink"/>
          </w:rPr>
          <w:t>F</w:t>
        </w:r>
        <w:r w:rsidR="00D4624B" w:rsidRPr="00BF10CF">
          <w:rPr>
            <w:rStyle w:val="Hyperlink"/>
          </w:rPr>
          <w:t>indings on material questions of fact</w:t>
        </w:r>
        <w:r>
          <w:rPr>
            <w:webHidden/>
          </w:rPr>
          <w:tab/>
        </w:r>
        <w:r>
          <w:rPr>
            <w:webHidden/>
          </w:rPr>
          <w:fldChar w:fldCharType="begin"/>
        </w:r>
        <w:r>
          <w:rPr>
            <w:webHidden/>
          </w:rPr>
          <w:instrText xml:space="preserve"> PAGEREF _Toc216090752 \h </w:instrText>
        </w:r>
        <w:r>
          <w:rPr>
            <w:webHidden/>
          </w:rPr>
        </w:r>
        <w:r>
          <w:rPr>
            <w:webHidden/>
          </w:rPr>
          <w:fldChar w:fldCharType="separate"/>
        </w:r>
        <w:r w:rsidR="002C0C2A">
          <w:rPr>
            <w:webHidden/>
          </w:rPr>
          <w:t>40</w:t>
        </w:r>
        <w:r>
          <w:rPr>
            <w:webHidden/>
          </w:rPr>
          <w:fldChar w:fldCharType="end"/>
        </w:r>
      </w:hyperlink>
    </w:p>
    <w:p w14:paraId="29128E84" w14:textId="63DB5AB5" w:rsidR="008E67EA" w:rsidRDefault="008E67EA" w:rsidP="00D4624B">
      <w:pPr>
        <w:pStyle w:val="TOC1"/>
        <w:tabs>
          <w:tab w:val="clear" w:pos="1134"/>
          <w:tab w:val="left" w:pos="993"/>
        </w:tabs>
        <w:rPr>
          <w:rFonts w:asciiTheme="minorHAnsi" w:eastAsiaTheme="minorEastAsia" w:hAnsiTheme="minorHAnsi"/>
          <w:kern w:val="2"/>
          <w:sz w:val="24"/>
          <w:lang w:eastAsia="en-AU"/>
          <w14:ligatures w14:val="standardContextual"/>
        </w:rPr>
      </w:pPr>
      <w:hyperlink w:anchor="_Toc216090753" w:history="1">
        <w:r w:rsidRPr="00BF10CF">
          <w:rPr>
            <w:rStyle w:val="Hyperlink"/>
          </w:rPr>
          <w:t>R</w:t>
        </w:r>
        <w:r w:rsidR="00D4624B" w:rsidRPr="00BF10CF">
          <w:rPr>
            <w:rStyle w:val="Hyperlink"/>
          </w:rPr>
          <w:t>easons</w:t>
        </w:r>
        <w:r>
          <w:rPr>
            <w:webHidden/>
          </w:rPr>
          <w:tab/>
        </w:r>
        <w:r>
          <w:rPr>
            <w:webHidden/>
          </w:rPr>
          <w:fldChar w:fldCharType="begin"/>
        </w:r>
        <w:r>
          <w:rPr>
            <w:webHidden/>
          </w:rPr>
          <w:instrText xml:space="preserve"> PAGEREF _Toc216090753 \h </w:instrText>
        </w:r>
        <w:r>
          <w:rPr>
            <w:webHidden/>
          </w:rPr>
        </w:r>
        <w:r>
          <w:rPr>
            <w:webHidden/>
          </w:rPr>
          <w:fldChar w:fldCharType="separate"/>
        </w:r>
        <w:r w:rsidR="002C0C2A">
          <w:rPr>
            <w:webHidden/>
          </w:rPr>
          <w:t>41</w:t>
        </w:r>
        <w:r>
          <w:rPr>
            <w:webHidden/>
          </w:rPr>
          <w:fldChar w:fldCharType="end"/>
        </w:r>
      </w:hyperlink>
    </w:p>
    <w:p w14:paraId="47F215A0" w14:textId="68A37CDC" w:rsidR="008E67EA" w:rsidRDefault="008E67EA" w:rsidP="008E67EA">
      <w:pPr>
        <w:pStyle w:val="TOC2"/>
        <w:rPr>
          <w:rFonts w:asciiTheme="minorHAnsi" w:eastAsiaTheme="minorEastAsia" w:hAnsiTheme="minorHAnsi"/>
          <w:kern w:val="2"/>
          <w:sz w:val="24"/>
          <w:szCs w:val="24"/>
          <w:lang w:eastAsia="en-AU"/>
          <w14:ligatures w14:val="standardContextual"/>
        </w:rPr>
      </w:pPr>
      <w:hyperlink w:anchor="_Toc216090754" w:history="1">
        <w:r w:rsidRPr="00BF10CF">
          <w:rPr>
            <w:rStyle w:val="Hyperlink"/>
          </w:rPr>
          <w:t>Consideration of the safety criteria</w:t>
        </w:r>
        <w:r>
          <w:rPr>
            <w:webHidden/>
          </w:rPr>
          <w:tab/>
        </w:r>
        <w:r>
          <w:rPr>
            <w:webHidden/>
          </w:rPr>
          <w:fldChar w:fldCharType="begin"/>
        </w:r>
        <w:r>
          <w:rPr>
            <w:webHidden/>
          </w:rPr>
          <w:instrText xml:space="preserve"> PAGEREF _Toc216090754 \h </w:instrText>
        </w:r>
        <w:r>
          <w:rPr>
            <w:webHidden/>
          </w:rPr>
        </w:r>
        <w:r>
          <w:rPr>
            <w:webHidden/>
          </w:rPr>
          <w:fldChar w:fldCharType="separate"/>
        </w:r>
        <w:r w:rsidR="002C0C2A">
          <w:rPr>
            <w:webHidden/>
          </w:rPr>
          <w:t>42</w:t>
        </w:r>
        <w:r>
          <w:rPr>
            <w:webHidden/>
          </w:rPr>
          <w:fldChar w:fldCharType="end"/>
        </w:r>
      </w:hyperlink>
    </w:p>
    <w:p w14:paraId="2D347364" w14:textId="29D6AFD2" w:rsidR="008E67EA" w:rsidRDefault="008E67EA" w:rsidP="008E67EA">
      <w:pPr>
        <w:pStyle w:val="TOC3"/>
        <w:tabs>
          <w:tab w:val="right" w:leader="dot" w:pos="9628"/>
        </w:tabs>
        <w:rPr>
          <w:rFonts w:asciiTheme="minorHAnsi" w:eastAsiaTheme="minorEastAsia" w:hAnsiTheme="minorHAnsi"/>
          <w:noProof/>
          <w:kern w:val="2"/>
          <w:sz w:val="24"/>
          <w:lang w:eastAsia="en-AU"/>
          <w14:ligatures w14:val="standardContextual"/>
        </w:rPr>
      </w:pPr>
      <w:hyperlink w:anchor="_Toc216090755" w:history="1">
        <w:r w:rsidRPr="00BF10CF">
          <w:rPr>
            <w:rStyle w:val="Hyperlink"/>
            <w:noProof/>
          </w:rPr>
          <w:t>Likelihood of an unintended effect that is harmful to animals, plants or things or to the environment – s 5A(1)(c)</w:t>
        </w:r>
        <w:r>
          <w:rPr>
            <w:noProof/>
            <w:webHidden/>
          </w:rPr>
          <w:tab/>
        </w:r>
        <w:r>
          <w:rPr>
            <w:noProof/>
            <w:webHidden/>
          </w:rPr>
          <w:fldChar w:fldCharType="begin"/>
        </w:r>
        <w:r>
          <w:rPr>
            <w:noProof/>
            <w:webHidden/>
          </w:rPr>
          <w:instrText xml:space="preserve"> PAGEREF _Toc216090755 \h </w:instrText>
        </w:r>
        <w:r>
          <w:rPr>
            <w:noProof/>
            <w:webHidden/>
          </w:rPr>
        </w:r>
        <w:r>
          <w:rPr>
            <w:noProof/>
            <w:webHidden/>
          </w:rPr>
          <w:fldChar w:fldCharType="separate"/>
        </w:r>
        <w:r w:rsidR="002C0C2A">
          <w:rPr>
            <w:noProof/>
            <w:webHidden/>
          </w:rPr>
          <w:t>44</w:t>
        </w:r>
        <w:r>
          <w:rPr>
            <w:noProof/>
            <w:webHidden/>
          </w:rPr>
          <w:fldChar w:fldCharType="end"/>
        </w:r>
      </w:hyperlink>
    </w:p>
    <w:p w14:paraId="503B9C1E" w14:textId="744E605F" w:rsidR="008E67EA" w:rsidRDefault="008E67EA" w:rsidP="008E67EA">
      <w:pPr>
        <w:pStyle w:val="TOC3"/>
        <w:tabs>
          <w:tab w:val="right" w:leader="dot" w:pos="9628"/>
        </w:tabs>
        <w:rPr>
          <w:rFonts w:asciiTheme="minorHAnsi" w:eastAsiaTheme="minorEastAsia" w:hAnsiTheme="minorHAnsi"/>
          <w:noProof/>
          <w:kern w:val="2"/>
          <w:sz w:val="24"/>
          <w:lang w:eastAsia="en-AU"/>
          <w14:ligatures w14:val="standardContextual"/>
        </w:rPr>
      </w:pPr>
      <w:hyperlink w:anchor="_Toc216090756" w:history="1">
        <w:r w:rsidRPr="00BF10CF">
          <w:rPr>
            <w:rStyle w:val="Hyperlink"/>
            <w:noProof/>
          </w:rPr>
          <w:t>Undue hazard to the safety of humans and harmful effects on human beings – s 5A(1)(a)–(b)</w:t>
        </w:r>
        <w:r>
          <w:rPr>
            <w:noProof/>
            <w:webHidden/>
          </w:rPr>
          <w:tab/>
        </w:r>
        <w:r>
          <w:rPr>
            <w:noProof/>
            <w:webHidden/>
          </w:rPr>
          <w:fldChar w:fldCharType="begin"/>
        </w:r>
        <w:r>
          <w:rPr>
            <w:noProof/>
            <w:webHidden/>
          </w:rPr>
          <w:instrText xml:space="preserve"> PAGEREF _Toc216090756 \h </w:instrText>
        </w:r>
        <w:r>
          <w:rPr>
            <w:noProof/>
            <w:webHidden/>
          </w:rPr>
        </w:r>
        <w:r>
          <w:rPr>
            <w:noProof/>
            <w:webHidden/>
          </w:rPr>
          <w:fldChar w:fldCharType="separate"/>
        </w:r>
        <w:r w:rsidR="002C0C2A">
          <w:rPr>
            <w:noProof/>
            <w:webHidden/>
          </w:rPr>
          <w:t>61</w:t>
        </w:r>
        <w:r>
          <w:rPr>
            <w:noProof/>
            <w:webHidden/>
          </w:rPr>
          <w:fldChar w:fldCharType="end"/>
        </w:r>
      </w:hyperlink>
    </w:p>
    <w:p w14:paraId="19E10E1B" w14:textId="495398C9" w:rsidR="008E67EA" w:rsidRDefault="008E67EA" w:rsidP="008E67EA">
      <w:pPr>
        <w:pStyle w:val="TOC3"/>
        <w:tabs>
          <w:tab w:val="right" w:leader="dot" w:pos="9628"/>
        </w:tabs>
        <w:rPr>
          <w:rFonts w:asciiTheme="minorHAnsi" w:eastAsiaTheme="minorEastAsia" w:hAnsiTheme="minorHAnsi"/>
          <w:noProof/>
          <w:kern w:val="2"/>
          <w:sz w:val="24"/>
          <w:lang w:eastAsia="en-AU"/>
          <w14:ligatures w14:val="standardContextual"/>
        </w:rPr>
      </w:pPr>
      <w:hyperlink w:anchor="_Toc216090757" w:history="1">
        <w:r w:rsidRPr="00BF10CF">
          <w:rPr>
            <w:rStyle w:val="Hyperlink"/>
            <w:noProof/>
          </w:rPr>
          <w:t>Chemistry and manufacture matters related to the safety criteria – s 5A(1)(a)–(c)</w:t>
        </w:r>
        <w:r>
          <w:rPr>
            <w:noProof/>
            <w:webHidden/>
          </w:rPr>
          <w:tab/>
        </w:r>
        <w:r>
          <w:rPr>
            <w:noProof/>
            <w:webHidden/>
          </w:rPr>
          <w:fldChar w:fldCharType="begin"/>
        </w:r>
        <w:r>
          <w:rPr>
            <w:noProof/>
            <w:webHidden/>
          </w:rPr>
          <w:instrText xml:space="preserve"> PAGEREF _Toc216090757 \h </w:instrText>
        </w:r>
        <w:r>
          <w:rPr>
            <w:noProof/>
            <w:webHidden/>
          </w:rPr>
        </w:r>
        <w:r>
          <w:rPr>
            <w:noProof/>
            <w:webHidden/>
          </w:rPr>
          <w:fldChar w:fldCharType="separate"/>
        </w:r>
        <w:r w:rsidR="002C0C2A">
          <w:rPr>
            <w:noProof/>
            <w:webHidden/>
          </w:rPr>
          <w:t>76</w:t>
        </w:r>
        <w:r>
          <w:rPr>
            <w:noProof/>
            <w:webHidden/>
          </w:rPr>
          <w:fldChar w:fldCharType="end"/>
        </w:r>
      </w:hyperlink>
    </w:p>
    <w:p w14:paraId="69E6E82A" w14:textId="0B8E43F1" w:rsidR="008E67EA" w:rsidRDefault="008E67EA" w:rsidP="008E67EA">
      <w:pPr>
        <w:pStyle w:val="TOC3"/>
        <w:tabs>
          <w:tab w:val="right" w:leader="dot" w:pos="9628"/>
        </w:tabs>
        <w:rPr>
          <w:rFonts w:asciiTheme="minorHAnsi" w:eastAsiaTheme="minorEastAsia" w:hAnsiTheme="minorHAnsi"/>
          <w:noProof/>
          <w:kern w:val="2"/>
          <w:sz w:val="24"/>
          <w:lang w:eastAsia="en-AU"/>
          <w14:ligatures w14:val="standardContextual"/>
        </w:rPr>
      </w:pPr>
      <w:hyperlink w:anchor="_Toc216090758" w:history="1">
        <w:r w:rsidRPr="00BF10CF">
          <w:rPr>
            <w:rStyle w:val="Hyperlink"/>
            <w:noProof/>
          </w:rPr>
          <w:t>Safety criteria conclusions</w:t>
        </w:r>
        <w:r>
          <w:rPr>
            <w:noProof/>
            <w:webHidden/>
          </w:rPr>
          <w:tab/>
        </w:r>
        <w:r>
          <w:rPr>
            <w:noProof/>
            <w:webHidden/>
          </w:rPr>
          <w:fldChar w:fldCharType="begin"/>
        </w:r>
        <w:r>
          <w:rPr>
            <w:noProof/>
            <w:webHidden/>
          </w:rPr>
          <w:instrText xml:space="preserve"> PAGEREF _Toc216090758 \h </w:instrText>
        </w:r>
        <w:r>
          <w:rPr>
            <w:noProof/>
            <w:webHidden/>
          </w:rPr>
        </w:r>
        <w:r>
          <w:rPr>
            <w:noProof/>
            <w:webHidden/>
          </w:rPr>
          <w:fldChar w:fldCharType="separate"/>
        </w:r>
        <w:r w:rsidR="002C0C2A">
          <w:rPr>
            <w:noProof/>
            <w:webHidden/>
          </w:rPr>
          <w:t>81</w:t>
        </w:r>
        <w:r>
          <w:rPr>
            <w:noProof/>
            <w:webHidden/>
          </w:rPr>
          <w:fldChar w:fldCharType="end"/>
        </w:r>
      </w:hyperlink>
    </w:p>
    <w:p w14:paraId="5A65829A" w14:textId="5551FFAD" w:rsidR="008E67EA" w:rsidRDefault="008E67EA" w:rsidP="008E67EA">
      <w:pPr>
        <w:pStyle w:val="TOC2"/>
        <w:rPr>
          <w:rFonts w:asciiTheme="minorHAnsi" w:eastAsiaTheme="minorEastAsia" w:hAnsiTheme="minorHAnsi"/>
          <w:kern w:val="2"/>
          <w:sz w:val="24"/>
          <w:szCs w:val="24"/>
          <w:lang w:eastAsia="en-AU"/>
          <w14:ligatures w14:val="standardContextual"/>
        </w:rPr>
      </w:pPr>
      <w:hyperlink w:anchor="_Toc216090759" w:history="1">
        <w:r w:rsidRPr="00BF10CF">
          <w:rPr>
            <w:rStyle w:val="Hyperlink"/>
          </w:rPr>
          <w:t>Consideration of the labelling criteria</w:t>
        </w:r>
        <w:r>
          <w:rPr>
            <w:webHidden/>
          </w:rPr>
          <w:tab/>
        </w:r>
        <w:r>
          <w:rPr>
            <w:webHidden/>
          </w:rPr>
          <w:fldChar w:fldCharType="begin"/>
        </w:r>
        <w:r>
          <w:rPr>
            <w:webHidden/>
          </w:rPr>
          <w:instrText xml:space="preserve"> PAGEREF _Toc216090759 \h </w:instrText>
        </w:r>
        <w:r>
          <w:rPr>
            <w:webHidden/>
          </w:rPr>
        </w:r>
        <w:r>
          <w:rPr>
            <w:webHidden/>
          </w:rPr>
          <w:fldChar w:fldCharType="separate"/>
        </w:r>
        <w:r w:rsidR="002C0C2A">
          <w:rPr>
            <w:webHidden/>
          </w:rPr>
          <w:t>82</w:t>
        </w:r>
        <w:r>
          <w:rPr>
            <w:webHidden/>
          </w:rPr>
          <w:fldChar w:fldCharType="end"/>
        </w:r>
      </w:hyperlink>
    </w:p>
    <w:p w14:paraId="035024A4" w14:textId="0122D82A" w:rsidR="008E67EA" w:rsidRDefault="008E67EA" w:rsidP="008E67EA">
      <w:pPr>
        <w:pStyle w:val="TOC3"/>
        <w:tabs>
          <w:tab w:val="right" w:leader="dot" w:pos="9628"/>
        </w:tabs>
        <w:rPr>
          <w:rFonts w:asciiTheme="minorHAnsi" w:eastAsiaTheme="minorEastAsia" w:hAnsiTheme="minorHAnsi"/>
          <w:noProof/>
          <w:kern w:val="2"/>
          <w:sz w:val="24"/>
          <w:lang w:eastAsia="en-AU"/>
          <w14:ligatures w14:val="standardContextual"/>
        </w:rPr>
      </w:pPr>
      <w:hyperlink w:anchor="_Toc216090760" w:history="1">
        <w:r w:rsidRPr="00BF10CF">
          <w:rPr>
            <w:rStyle w:val="Hyperlink"/>
            <w:noProof/>
          </w:rPr>
          <w:t>Instructions that are to be contained on the label (section 21(c)(iv) of the Agvet Code)</w:t>
        </w:r>
        <w:r>
          <w:rPr>
            <w:noProof/>
            <w:webHidden/>
          </w:rPr>
          <w:tab/>
        </w:r>
        <w:r>
          <w:rPr>
            <w:noProof/>
            <w:webHidden/>
          </w:rPr>
          <w:fldChar w:fldCharType="begin"/>
        </w:r>
        <w:r>
          <w:rPr>
            <w:noProof/>
            <w:webHidden/>
          </w:rPr>
          <w:instrText xml:space="preserve"> PAGEREF _Toc216090760 \h </w:instrText>
        </w:r>
        <w:r>
          <w:rPr>
            <w:noProof/>
            <w:webHidden/>
          </w:rPr>
        </w:r>
        <w:r>
          <w:rPr>
            <w:noProof/>
            <w:webHidden/>
          </w:rPr>
          <w:fldChar w:fldCharType="separate"/>
        </w:r>
        <w:r w:rsidR="002C0C2A">
          <w:rPr>
            <w:noProof/>
            <w:webHidden/>
          </w:rPr>
          <w:t>83</w:t>
        </w:r>
        <w:r>
          <w:rPr>
            <w:noProof/>
            <w:webHidden/>
          </w:rPr>
          <w:fldChar w:fldCharType="end"/>
        </w:r>
      </w:hyperlink>
    </w:p>
    <w:p w14:paraId="349A6120" w14:textId="0A2F099C" w:rsidR="008E67EA" w:rsidRDefault="008E67EA" w:rsidP="008E67EA">
      <w:pPr>
        <w:pStyle w:val="TOC3"/>
        <w:tabs>
          <w:tab w:val="right" w:leader="dot" w:pos="9628"/>
        </w:tabs>
        <w:rPr>
          <w:rFonts w:asciiTheme="minorHAnsi" w:eastAsiaTheme="minorEastAsia" w:hAnsiTheme="minorHAnsi"/>
          <w:noProof/>
          <w:kern w:val="2"/>
          <w:sz w:val="24"/>
          <w:lang w:eastAsia="en-AU"/>
          <w14:ligatures w14:val="standardContextual"/>
        </w:rPr>
      </w:pPr>
      <w:hyperlink w:anchor="_Toc216090761" w:history="1">
        <w:r w:rsidRPr="00BF10CF">
          <w:rPr>
            <w:rStyle w:val="Hyperlink"/>
            <w:noProof/>
          </w:rPr>
          <w:t>Name of the chemical product that is to appear on a label for containers of the chemical product (regulation 17(1)(b) of the Agvet Regulations)</w:t>
        </w:r>
        <w:r>
          <w:rPr>
            <w:noProof/>
            <w:webHidden/>
          </w:rPr>
          <w:tab/>
        </w:r>
        <w:r>
          <w:rPr>
            <w:noProof/>
            <w:webHidden/>
          </w:rPr>
          <w:fldChar w:fldCharType="begin"/>
        </w:r>
        <w:r>
          <w:rPr>
            <w:noProof/>
            <w:webHidden/>
          </w:rPr>
          <w:instrText xml:space="preserve"> PAGEREF _Toc216090761 \h </w:instrText>
        </w:r>
        <w:r>
          <w:rPr>
            <w:noProof/>
            <w:webHidden/>
          </w:rPr>
        </w:r>
        <w:r>
          <w:rPr>
            <w:noProof/>
            <w:webHidden/>
          </w:rPr>
          <w:fldChar w:fldCharType="separate"/>
        </w:r>
        <w:r w:rsidR="002C0C2A">
          <w:rPr>
            <w:noProof/>
            <w:webHidden/>
          </w:rPr>
          <w:t>90</w:t>
        </w:r>
        <w:r>
          <w:rPr>
            <w:noProof/>
            <w:webHidden/>
          </w:rPr>
          <w:fldChar w:fldCharType="end"/>
        </w:r>
      </w:hyperlink>
    </w:p>
    <w:p w14:paraId="218CCF49" w14:textId="41EB2637" w:rsidR="008E67EA" w:rsidRDefault="008E67EA" w:rsidP="008E67EA">
      <w:pPr>
        <w:pStyle w:val="TOC3"/>
        <w:tabs>
          <w:tab w:val="right" w:leader="dot" w:pos="9628"/>
        </w:tabs>
        <w:rPr>
          <w:rFonts w:asciiTheme="minorHAnsi" w:eastAsiaTheme="minorEastAsia" w:hAnsiTheme="minorHAnsi"/>
          <w:noProof/>
          <w:kern w:val="2"/>
          <w:sz w:val="24"/>
          <w:lang w:eastAsia="en-AU"/>
          <w14:ligatures w14:val="standardContextual"/>
        </w:rPr>
      </w:pPr>
      <w:hyperlink w:anchor="_Toc216090762" w:history="1">
        <w:r w:rsidRPr="00BF10CF">
          <w:rPr>
            <w:rStyle w:val="Hyperlink"/>
            <w:noProof/>
          </w:rPr>
          <w:t>Net contents of the product (regulation 17(1)(h) of the Agvet Regulations)</w:t>
        </w:r>
        <w:r>
          <w:rPr>
            <w:noProof/>
            <w:webHidden/>
          </w:rPr>
          <w:tab/>
        </w:r>
        <w:r>
          <w:rPr>
            <w:noProof/>
            <w:webHidden/>
          </w:rPr>
          <w:fldChar w:fldCharType="begin"/>
        </w:r>
        <w:r>
          <w:rPr>
            <w:noProof/>
            <w:webHidden/>
          </w:rPr>
          <w:instrText xml:space="preserve"> PAGEREF _Toc216090762 \h </w:instrText>
        </w:r>
        <w:r>
          <w:rPr>
            <w:noProof/>
            <w:webHidden/>
          </w:rPr>
        </w:r>
        <w:r>
          <w:rPr>
            <w:noProof/>
            <w:webHidden/>
          </w:rPr>
          <w:fldChar w:fldCharType="separate"/>
        </w:r>
        <w:r w:rsidR="002C0C2A">
          <w:rPr>
            <w:noProof/>
            <w:webHidden/>
          </w:rPr>
          <w:t>90</w:t>
        </w:r>
        <w:r>
          <w:rPr>
            <w:noProof/>
            <w:webHidden/>
          </w:rPr>
          <w:fldChar w:fldCharType="end"/>
        </w:r>
      </w:hyperlink>
    </w:p>
    <w:p w14:paraId="31F8F904" w14:textId="47ACB4F5" w:rsidR="008E67EA" w:rsidRDefault="008E67EA" w:rsidP="008E67EA">
      <w:pPr>
        <w:pStyle w:val="TOC3"/>
        <w:tabs>
          <w:tab w:val="right" w:leader="dot" w:pos="9628"/>
        </w:tabs>
        <w:rPr>
          <w:rFonts w:asciiTheme="minorHAnsi" w:eastAsiaTheme="minorEastAsia" w:hAnsiTheme="minorHAnsi"/>
          <w:noProof/>
          <w:kern w:val="2"/>
          <w:sz w:val="24"/>
          <w:lang w:eastAsia="en-AU"/>
          <w14:ligatures w14:val="standardContextual"/>
        </w:rPr>
      </w:pPr>
      <w:hyperlink w:anchor="_Toc216090763" w:history="1">
        <w:r w:rsidRPr="00BF10CF">
          <w:rPr>
            <w:rStyle w:val="Hyperlink"/>
            <w:noProof/>
          </w:rPr>
          <w:t>Labelling criteria conclusions</w:t>
        </w:r>
        <w:r>
          <w:rPr>
            <w:noProof/>
            <w:webHidden/>
          </w:rPr>
          <w:tab/>
        </w:r>
        <w:r>
          <w:rPr>
            <w:noProof/>
            <w:webHidden/>
          </w:rPr>
          <w:fldChar w:fldCharType="begin"/>
        </w:r>
        <w:r>
          <w:rPr>
            <w:noProof/>
            <w:webHidden/>
          </w:rPr>
          <w:instrText xml:space="preserve"> PAGEREF _Toc216090763 \h </w:instrText>
        </w:r>
        <w:r>
          <w:rPr>
            <w:noProof/>
            <w:webHidden/>
          </w:rPr>
        </w:r>
        <w:r>
          <w:rPr>
            <w:noProof/>
            <w:webHidden/>
          </w:rPr>
          <w:fldChar w:fldCharType="separate"/>
        </w:r>
        <w:r w:rsidR="002C0C2A">
          <w:rPr>
            <w:noProof/>
            <w:webHidden/>
          </w:rPr>
          <w:t>90</w:t>
        </w:r>
        <w:r>
          <w:rPr>
            <w:noProof/>
            <w:webHidden/>
          </w:rPr>
          <w:fldChar w:fldCharType="end"/>
        </w:r>
      </w:hyperlink>
    </w:p>
    <w:p w14:paraId="3775CB98" w14:textId="68A4AFD0" w:rsidR="008E67EA" w:rsidRDefault="008E67EA" w:rsidP="00D4624B">
      <w:pPr>
        <w:pStyle w:val="TOC1"/>
        <w:rPr>
          <w:rFonts w:asciiTheme="minorHAnsi" w:eastAsiaTheme="minorEastAsia" w:hAnsiTheme="minorHAnsi"/>
          <w:kern w:val="2"/>
          <w:sz w:val="24"/>
          <w:lang w:eastAsia="en-AU"/>
          <w14:ligatures w14:val="standardContextual"/>
        </w:rPr>
      </w:pPr>
      <w:hyperlink w:anchor="_Toc216090764" w:history="1">
        <w:r w:rsidRPr="00BF10CF">
          <w:rPr>
            <w:rStyle w:val="Hyperlink"/>
          </w:rPr>
          <w:t>C</w:t>
        </w:r>
        <w:r w:rsidR="00D4624B" w:rsidRPr="00BF10CF">
          <w:rPr>
            <w:rStyle w:val="Hyperlink"/>
          </w:rPr>
          <w:t>onclusions</w:t>
        </w:r>
        <w:r>
          <w:rPr>
            <w:webHidden/>
          </w:rPr>
          <w:tab/>
        </w:r>
        <w:r>
          <w:rPr>
            <w:webHidden/>
          </w:rPr>
          <w:fldChar w:fldCharType="begin"/>
        </w:r>
        <w:r>
          <w:rPr>
            <w:webHidden/>
          </w:rPr>
          <w:instrText xml:space="preserve"> PAGEREF _Toc216090764 \h </w:instrText>
        </w:r>
        <w:r>
          <w:rPr>
            <w:webHidden/>
          </w:rPr>
        </w:r>
        <w:r>
          <w:rPr>
            <w:webHidden/>
          </w:rPr>
          <w:fldChar w:fldCharType="separate"/>
        </w:r>
        <w:r w:rsidR="002C0C2A">
          <w:rPr>
            <w:webHidden/>
          </w:rPr>
          <w:t>91</w:t>
        </w:r>
        <w:r>
          <w:rPr>
            <w:webHidden/>
          </w:rPr>
          <w:fldChar w:fldCharType="end"/>
        </w:r>
      </w:hyperlink>
    </w:p>
    <w:p w14:paraId="3D106873" w14:textId="334A0DC7" w:rsidR="008E67EA" w:rsidRPr="00C05443" w:rsidRDefault="008E67EA" w:rsidP="008E67EA">
      <w:pPr>
        <w:pStyle w:val="StatementofReasonsHeading1"/>
      </w:pPr>
      <w:r>
        <w:rPr>
          <w:rStyle w:val="Hyperlink"/>
          <w:noProof/>
        </w:rPr>
        <w:fldChar w:fldCharType="end"/>
      </w:r>
      <w:bookmarkStart w:id="111" w:name="_Toc216090739"/>
      <w:r w:rsidRPr="00C05443">
        <w:rPr>
          <w:rStyle w:val="Hyperlink"/>
          <w:noProof/>
          <w:u w:val="none"/>
        </w:rPr>
        <w:t>B</w:t>
      </w:r>
      <w:r w:rsidR="00B347E8" w:rsidRPr="00C05443">
        <w:rPr>
          <w:rStyle w:val="Hyperlink"/>
          <w:noProof/>
          <w:u w:val="none"/>
        </w:rPr>
        <w:t>ackground</w:t>
      </w:r>
      <w:bookmarkEnd w:id="111"/>
    </w:p>
    <w:p w14:paraId="3983E2A3" w14:textId="77777777" w:rsidR="008E67EA" w:rsidRDefault="008E67EA" w:rsidP="008E67EA">
      <w:pPr>
        <w:pStyle w:val="StatementofReasonsHeading2"/>
      </w:pPr>
      <w:bookmarkStart w:id="112" w:name="_Toc216090740"/>
      <w:r>
        <w:t>Reconsideration of anticoagulant rodenticide chemical products and labels</w:t>
      </w:r>
      <w:bookmarkEnd w:id="112"/>
    </w:p>
    <w:p w14:paraId="139A5F69" w14:textId="4E91ACB0" w:rsidR="008E67EA" w:rsidRPr="00F12FCF" w:rsidRDefault="008E67EA">
      <w:pPr>
        <w:pStyle w:val="NumberLevel1"/>
        <w:numPr>
          <w:ilvl w:val="0"/>
          <w:numId w:val="17"/>
        </w:numPr>
        <w:tabs>
          <w:tab w:val="clear" w:pos="709"/>
          <w:tab w:val="num" w:pos="2553"/>
        </w:tabs>
        <w:rPr>
          <w:color w:val="000000" w:themeColor="text1"/>
        </w:rPr>
      </w:pPr>
      <w:r w:rsidRPr="00F153F9">
        <w:rPr>
          <w:color w:val="000000" w:themeColor="text1"/>
        </w:rPr>
        <w:t>On 2 November 2021, the APVMA provided notice</w:t>
      </w:r>
      <w:r>
        <w:rPr>
          <w:color w:val="000000" w:themeColor="text1"/>
        </w:rPr>
        <w:t>s</w:t>
      </w:r>
      <w:r w:rsidRPr="00F153F9">
        <w:rPr>
          <w:color w:val="000000" w:themeColor="text1"/>
        </w:rPr>
        <w:t xml:space="preserve"> under section 32 of the Agvet Code that the APVMA was </w:t>
      </w:r>
      <w:r>
        <w:rPr>
          <w:color w:val="000000" w:themeColor="text1"/>
        </w:rPr>
        <w:t>re</w:t>
      </w:r>
      <w:r w:rsidRPr="00F153F9">
        <w:rPr>
          <w:color w:val="000000" w:themeColor="text1"/>
        </w:rPr>
        <w:t xml:space="preserve">considering </w:t>
      </w:r>
      <w:r>
        <w:rPr>
          <w:color w:val="000000" w:themeColor="text1"/>
        </w:rPr>
        <w:t xml:space="preserve">the </w:t>
      </w:r>
      <w:r w:rsidRPr="002970FD">
        <w:rPr>
          <w:color w:val="000000" w:themeColor="text1"/>
        </w:rPr>
        <w:t xml:space="preserve">registration of </w:t>
      </w:r>
      <w:bookmarkStart w:id="113" w:name="_Hlk207695397"/>
      <w:r w:rsidRPr="002970FD">
        <w:rPr>
          <w:color w:val="000000" w:themeColor="text1"/>
        </w:rPr>
        <w:t>chemical product</w:t>
      </w:r>
      <w:r>
        <w:rPr>
          <w:color w:val="000000" w:themeColor="text1"/>
        </w:rPr>
        <w:t xml:space="preserve">s containing anticoagulant rodenticides and </w:t>
      </w:r>
      <w:r w:rsidRPr="002970FD">
        <w:rPr>
          <w:color w:val="000000" w:themeColor="text1"/>
        </w:rPr>
        <w:t>the approval of label</w:t>
      </w:r>
      <w:r>
        <w:rPr>
          <w:color w:val="000000" w:themeColor="text1"/>
        </w:rPr>
        <w:t>s</w:t>
      </w:r>
      <w:r w:rsidRPr="002970FD">
        <w:rPr>
          <w:color w:val="000000" w:themeColor="text1"/>
        </w:rPr>
        <w:t xml:space="preserve"> for containers for</w:t>
      </w:r>
      <w:r>
        <w:rPr>
          <w:color w:val="000000" w:themeColor="text1"/>
        </w:rPr>
        <w:t xml:space="preserve"> these</w:t>
      </w:r>
      <w:r w:rsidRPr="002970FD">
        <w:rPr>
          <w:color w:val="000000" w:themeColor="text1"/>
        </w:rPr>
        <w:t xml:space="preserve"> chemical product</w:t>
      </w:r>
      <w:r>
        <w:rPr>
          <w:color w:val="000000" w:themeColor="text1"/>
        </w:rPr>
        <w:t>s</w:t>
      </w:r>
      <w:bookmarkEnd w:id="113"/>
      <w:r>
        <w:rPr>
          <w:color w:val="000000" w:themeColor="text1"/>
        </w:rPr>
        <w:t xml:space="preserve"> This reconsideration is being undertaken</w:t>
      </w:r>
      <w:r w:rsidRPr="002970FD">
        <w:rPr>
          <w:color w:val="000000" w:themeColor="text1"/>
        </w:rPr>
        <w:t xml:space="preserve"> in accordance with the provisions of Division 4 of Part 2 of the Code.</w:t>
      </w:r>
    </w:p>
    <w:p w14:paraId="244AEA9B" w14:textId="77777777" w:rsidR="008E67EA" w:rsidRDefault="008E67EA">
      <w:pPr>
        <w:pStyle w:val="NumberLevel1"/>
        <w:numPr>
          <w:ilvl w:val="0"/>
          <w:numId w:val="17"/>
        </w:numPr>
        <w:rPr>
          <w:color w:val="000000" w:themeColor="text1"/>
        </w:rPr>
      </w:pPr>
      <w:bookmarkStart w:id="114" w:name="_Hlk213096474"/>
      <w:r w:rsidRPr="009D2FF2">
        <w:rPr>
          <w:color w:val="000000" w:themeColor="text1"/>
        </w:rPr>
        <w:lastRenderedPageBreak/>
        <w:t>The notices issued under section 32 of the Agvet Code stated that the matters the APVMA proposed to deal with in the reconsideration included assessment of chemistry, toxicology, worker and public exposure, residues</w:t>
      </w:r>
      <w:r>
        <w:rPr>
          <w:color w:val="000000" w:themeColor="text1"/>
        </w:rPr>
        <w:t xml:space="preserve"> (including trade) </w:t>
      </w:r>
      <w:r w:rsidRPr="009D2FF2">
        <w:rPr>
          <w:color w:val="000000" w:themeColor="text1"/>
        </w:rPr>
        <w:t xml:space="preserve">and environment aspects of anticoagulant rodenticide active constituent approvals, product registrations and label approvals. </w:t>
      </w:r>
      <w:bookmarkStart w:id="115" w:name="_Hlk213096485"/>
      <w:bookmarkEnd w:id="114"/>
      <w:r w:rsidRPr="009D2FF2">
        <w:rPr>
          <w:color w:val="000000" w:themeColor="text1"/>
        </w:rPr>
        <w:t xml:space="preserve">Further, </w:t>
      </w:r>
      <w:r>
        <w:rPr>
          <w:color w:val="000000" w:themeColor="text1"/>
        </w:rPr>
        <w:t>in relation to</w:t>
      </w:r>
      <w:r w:rsidRPr="009D2FF2">
        <w:rPr>
          <w:color w:val="000000" w:themeColor="text1"/>
        </w:rPr>
        <w:t xml:space="preserve"> chemical products</w:t>
      </w:r>
      <w:r>
        <w:rPr>
          <w:color w:val="000000" w:themeColor="text1"/>
        </w:rPr>
        <w:t xml:space="preserve"> and labels, the basis of the reconsideration</w:t>
      </w:r>
      <w:r w:rsidRPr="009D2FF2">
        <w:rPr>
          <w:color w:val="000000" w:themeColor="text1"/>
        </w:rPr>
        <w:t xml:space="preserve"> was whether the products continue to meet the safety criteria set out in section 5A of the Agvet Code, the products continue to meet the trade criteria as set out in section 5C of the Agvet Code, </w:t>
      </w:r>
      <w:r>
        <w:rPr>
          <w:color w:val="000000" w:themeColor="text1"/>
        </w:rPr>
        <w:t xml:space="preserve">the labels continue to meet the labelling criteria set out in section 5D of the Agvet Code, </w:t>
      </w:r>
      <w:r w:rsidRPr="009D2FF2">
        <w:rPr>
          <w:color w:val="000000" w:themeColor="text1"/>
        </w:rPr>
        <w:t>and the product</w:t>
      </w:r>
      <w:r>
        <w:rPr>
          <w:color w:val="000000" w:themeColor="text1"/>
        </w:rPr>
        <w:t xml:space="preserve"> and label</w:t>
      </w:r>
      <w:r w:rsidRPr="009D2FF2">
        <w:rPr>
          <w:color w:val="000000" w:themeColor="text1"/>
        </w:rPr>
        <w:t xml:space="preserve"> complies with any requirement prescribed by the </w:t>
      </w:r>
      <w:r w:rsidRPr="00BF1EC7">
        <w:rPr>
          <w:i/>
          <w:iCs/>
          <w:color w:val="000000" w:themeColor="text1"/>
        </w:rPr>
        <w:t>Agricultural and Veterinary Chemicals Code Regulations 1995</w:t>
      </w:r>
      <w:r w:rsidRPr="009D2FF2">
        <w:rPr>
          <w:color w:val="000000" w:themeColor="text1"/>
        </w:rPr>
        <w:t xml:space="preserve"> (Agvet Regulations).</w:t>
      </w:r>
    </w:p>
    <w:p w14:paraId="6916FD45" w14:textId="77777777" w:rsidR="008E67EA" w:rsidRDefault="008E67EA">
      <w:pPr>
        <w:pStyle w:val="NumberLevel1"/>
        <w:numPr>
          <w:ilvl w:val="0"/>
          <w:numId w:val="17"/>
        </w:numPr>
        <w:rPr>
          <w:color w:val="000000" w:themeColor="text1"/>
        </w:rPr>
      </w:pPr>
      <w:bookmarkStart w:id="116" w:name="_Ref216039605"/>
      <w:r>
        <w:rPr>
          <w:color w:val="000000" w:themeColor="text1"/>
        </w:rPr>
        <w:t xml:space="preserve">In those notices while the APVMA did have concerns about </w:t>
      </w:r>
      <w:r w:rsidRPr="001855CA">
        <w:rPr>
          <w:color w:val="000000" w:themeColor="text1"/>
        </w:rPr>
        <w:t>whether</w:t>
      </w:r>
      <w:r>
        <w:rPr>
          <w:color w:val="000000" w:themeColor="text1"/>
        </w:rPr>
        <w:t>:</w:t>
      </w:r>
      <w:bookmarkEnd w:id="116"/>
    </w:p>
    <w:p w14:paraId="31FF2C6A" w14:textId="77777777" w:rsidR="008E67EA" w:rsidRDefault="008E67EA">
      <w:pPr>
        <w:pStyle w:val="NumberLevel2"/>
        <w:numPr>
          <w:ilvl w:val="1"/>
          <w:numId w:val="17"/>
        </w:numPr>
        <w:ind w:left="1134"/>
      </w:pPr>
      <w:r w:rsidRPr="001855CA">
        <w:t xml:space="preserve"> the products continue to meet the safety criteria set out in section 5A of the Agvet Code,</w:t>
      </w:r>
    </w:p>
    <w:p w14:paraId="2557AB03" w14:textId="77777777" w:rsidR="008E67EA" w:rsidRDefault="008E67EA">
      <w:pPr>
        <w:pStyle w:val="NumberLevel2"/>
        <w:numPr>
          <w:ilvl w:val="1"/>
          <w:numId w:val="17"/>
        </w:numPr>
        <w:ind w:left="1134"/>
      </w:pPr>
      <w:r w:rsidRPr="001855CA">
        <w:t xml:space="preserve"> the products continue to meet the trade criteria as set out in section 5C of the Agvet Code, </w:t>
      </w:r>
      <w:r>
        <w:t>and</w:t>
      </w:r>
    </w:p>
    <w:p w14:paraId="2F485706" w14:textId="4EDF2B01" w:rsidR="008E67EA" w:rsidRDefault="008E67EA">
      <w:pPr>
        <w:pStyle w:val="NumberLevel2"/>
        <w:numPr>
          <w:ilvl w:val="1"/>
          <w:numId w:val="17"/>
        </w:numPr>
        <w:ind w:left="1134"/>
      </w:pPr>
      <w:r w:rsidRPr="001855CA">
        <w:t>the labels continue to meet the labelling criteria set out in section 5D of the Agvet Code,</w:t>
      </w:r>
    </w:p>
    <w:p w14:paraId="053F5F38" w14:textId="77777777" w:rsidR="008E67EA" w:rsidRDefault="008E67EA" w:rsidP="008E67EA">
      <w:pPr>
        <w:pStyle w:val="NumberLevel2"/>
        <w:numPr>
          <w:ilvl w:val="0"/>
          <w:numId w:val="0"/>
        </w:numPr>
        <w:ind w:left="567"/>
      </w:pPr>
      <w:r>
        <w:t>no concerns were raised about whether</w:t>
      </w:r>
      <w:r w:rsidRPr="009C3C22">
        <w:t xml:space="preserve"> the use of products in accordance with current instructions for use are not effective</w:t>
      </w:r>
      <w:r>
        <w:t xml:space="preserve">. Therefore, </w:t>
      </w:r>
      <w:r w:rsidRPr="009C3C22">
        <w:t>whether the products continue to meet the efficacy criteria as set out in section 5B of the Agvet Code was not included as a matter to be dealt with as part of the anticoagulant rodenticide reconsideration in notices issued under section 32 of the Agvet Code and the APVMA has not decided to deal with this matter during the reconsideration</w:t>
      </w:r>
      <w:r>
        <w:t>.</w:t>
      </w:r>
    </w:p>
    <w:p w14:paraId="6B34993E" w14:textId="698C8535" w:rsidR="008E67EA" w:rsidRDefault="008E67EA">
      <w:pPr>
        <w:pStyle w:val="NumberLevel1"/>
        <w:numPr>
          <w:ilvl w:val="0"/>
          <w:numId w:val="17"/>
        </w:numPr>
        <w:rPr>
          <w:color w:val="000000" w:themeColor="text1"/>
        </w:rPr>
      </w:pPr>
      <w:bookmarkStart w:id="117" w:name="_Ref213084087"/>
      <w:bookmarkEnd w:id="115"/>
      <w:r w:rsidRPr="00010477">
        <w:rPr>
          <w:color w:val="000000" w:themeColor="text1"/>
        </w:rPr>
        <w:t>Section 32(2B) of the Agvet Code provides that nothing in subsections (1)</w:t>
      </w:r>
      <w:r>
        <w:rPr>
          <w:color w:val="000000" w:themeColor="text1"/>
        </w:rPr>
        <w:t xml:space="preserve">, </w:t>
      </w:r>
      <w:r w:rsidRPr="00010477">
        <w:rPr>
          <w:color w:val="000000" w:themeColor="text1"/>
        </w:rPr>
        <w:t>(2) or (2A) requires the APVMA to deal with a particular matter as part of the reconsideration.</w:t>
      </w:r>
      <w:r>
        <w:rPr>
          <w:color w:val="000000" w:themeColor="text1"/>
        </w:rPr>
        <w:t xml:space="preserve"> </w:t>
      </w:r>
      <w:r w:rsidRPr="00010477">
        <w:rPr>
          <w:color w:val="000000" w:themeColor="text1"/>
        </w:rPr>
        <w:t>During the reconsideration, the APVMA decided not to deal with</w:t>
      </w:r>
      <w:r>
        <w:rPr>
          <w:color w:val="000000" w:themeColor="text1"/>
        </w:rPr>
        <w:t xml:space="preserve"> </w:t>
      </w:r>
      <w:r w:rsidRPr="00010477">
        <w:rPr>
          <w:color w:val="000000" w:themeColor="text1"/>
        </w:rPr>
        <w:t xml:space="preserve">whether </w:t>
      </w:r>
      <w:r>
        <w:rPr>
          <w:color w:val="000000" w:themeColor="text1"/>
        </w:rPr>
        <w:t>chemical</w:t>
      </w:r>
      <w:r w:rsidRPr="00010477">
        <w:rPr>
          <w:color w:val="000000" w:themeColor="text1"/>
        </w:rPr>
        <w:t xml:space="preserve"> products continue to meet the trade criteria as part of the reconsideration. The basis for deciding not to deal with these trade aspects is that if chemical products are used in accordance with instructions for use necessary to ensure they meet the safety criteria, any product that </w:t>
      </w:r>
      <w:r>
        <w:rPr>
          <w:color w:val="000000" w:themeColor="text1"/>
        </w:rPr>
        <w:t xml:space="preserve">is </w:t>
      </w:r>
      <w:r w:rsidRPr="00010477">
        <w:rPr>
          <w:color w:val="000000" w:themeColor="text1"/>
        </w:rPr>
        <w:t>the subject of trade between Australia and places outside of Australia should not contain any anticoagulant rodenticide residues.</w:t>
      </w:r>
      <w:bookmarkEnd w:id="117"/>
    </w:p>
    <w:p w14:paraId="5BE7DEAD" w14:textId="3D33067C" w:rsidR="008E67EA" w:rsidRDefault="008E67EA">
      <w:pPr>
        <w:pStyle w:val="NumberLevel1"/>
        <w:numPr>
          <w:ilvl w:val="0"/>
          <w:numId w:val="17"/>
        </w:numPr>
        <w:rPr>
          <w:color w:val="000000" w:themeColor="text1"/>
        </w:rPr>
      </w:pPr>
      <w:r w:rsidRPr="002F148A">
        <w:rPr>
          <w:color w:val="000000" w:themeColor="text1"/>
        </w:rPr>
        <w:t>Therefore, the reconsideration of the chemical products containing anticoagulant rodenticides</w:t>
      </w:r>
      <w:r w:rsidRPr="00C1569B">
        <w:rPr>
          <w:color w:val="FF0000"/>
        </w:rPr>
        <w:t xml:space="preserve"> </w:t>
      </w:r>
      <w:r w:rsidRPr="002F148A">
        <w:rPr>
          <w:color w:val="000000" w:themeColor="text1"/>
        </w:rPr>
        <w:t xml:space="preserve">was limited to consideration of whether the APVMA </w:t>
      </w:r>
      <w:r>
        <w:rPr>
          <w:color w:val="000000" w:themeColor="text1"/>
        </w:rPr>
        <w:t>is</w:t>
      </w:r>
      <w:r w:rsidRPr="002F148A">
        <w:rPr>
          <w:color w:val="000000" w:themeColor="text1"/>
        </w:rPr>
        <w:t xml:space="preserve"> satisfied that the relevant chemical products met the safety criteria</w:t>
      </w:r>
      <w:r>
        <w:rPr>
          <w:color w:val="000000" w:themeColor="text1"/>
        </w:rPr>
        <w:t xml:space="preserve"> and comply with any requirements prescribed by the Agvet Regulations</w:t>
      </w:r>
      <w:r w:rsidRPr="002F148A">
        <w:rPr>
          <w:color w:val="000000" w:themeColor="text1"/>
        </w:rPr>
        <w:t>.</w:t>
      </w:r>
    </w:p>
    <w:p w14:paraId="69567620" w14:textId="77777777" w:rsidR="008E67EA" w:rsidRPr="008400D2" w:rsidRDefault="008E67EA">
      <w:pPr>
        <w:pStyle w:val="NumberLevel1"/>
        <w:numPr>
          <w:ilvl w:val="0"/>
          <w:numId w:val="17"/>
        </w:numPr>
        <w:rPr>
          <w:color w:val="000000" w:themeColor="text1"/>
        </w:rPr>
      </w:pPr>
      <w:bookmarkStart w:id="118" w:name="_Ref212898720"/>
      <w:r>
        <w:rPr>
          <w:color w:val="000000" w:themeColor="text1"/>
        </w:rPr>
        <w:t>T</w:t>
      </w:r>
      <w:r w:rsidRPr="008400D2">
        <w:rPr>
          <w:color w:val="000000" w:themeColor="text1"/>
        </w:rPr>
        <w:t>he reconsideration of anticoagulant rodenticide label</w:t>
      </w:r>
      <w:r>
        <w:rPr>
          <w:color w:val="000000" w:themeColor="text1"/>
        </w:rPr>
        <w:t xml:space="preserve"> approvals</w:t>
      </w:r>
      <w:r w:rsidRPr="008400D2">
        <w:rPr>
          <w:color w:val="000000" w:themeColor="text1"/>
        </w:rPr>
        <w:t xml:space="preserve"> </w:t>
      </w:r>
      <w:r>
        <w:rPr>
          <w:color w:val="000000" w:themeColor="text1"/>
        </w:rPr>
        <w:t xml:space="preserve">considered </w:t>
      </w:r>
      <w:r w:rsidRPr="008400D2">
        <w:rPr>
          <w:color w:val="000000" w:themeColor="text1"/>
        </w:rPr>
        <w:t>whether the labels m</w:t>
      </w:r>
      <w:r>
        <w:rPr>
          <w:color w:val="000000" w:themeColor="text1"/>
        </w:rPr>
        <w:t>e</w:t>
      </w:r>
      <w:r w:rsidRPr="008400D2">
        <w:rPr>
          <w:color w:val="000000" w:themeColor="text1"/>
        </w:rPr>
        <w:t>et the labelling criteria, with respect to whether a label contains adequate instructions to ensure, as far as reasonably practicable, that the product meets the safety criteria.</w:t>
      </w:r>
      <w:bookmarkEnd w:id="118"/>
    </w:p>
    <w:p w14:paraId="34FE9D51" w14:textId="62819CA7" w:rsidR="008E67EA" w:rsidRPr="00F91B28" w:rsidRDefault="008E67EA">
      <w:pPr>
        <w:pStyle w:val="NumberLevel1"/>
        <w:numPr>
          <w:ilvl w:val="0"/>
          <w:numId w:val="17"/>
        </w:numPr>
        <w:rPr>
          <w:color w:val="000000" w:themeColor="text1"/>
        </w:rPr>
      </w:pPr>
      <w:bookmarkStart w:id="119" w:name="_Hlk213096530"/>
      <w:r w:rsidRPr="00F91B28">
        <w:rPr>
          <w:color w:val="000000" w:themeColor="text1"/>
        </w:rPr>
        <w:t xml:space="preserve">The APVMA has finalised the technical assessments for this reconsideration. These assessments took into account information provided in response to the notices under section 32 of the Agvet Code issued on 2 November 2021, information provided in response to additional notices under section 32 of the Agvet Code issued on </w:t>
      </w:r>
      <w:r w:rsidRPr="00F91B28">
        <w:t xml:space="preserve">17 March 2025 </w:t>
      </w:r>
      <w:r w:rsidRPr="00F91B28">
        <w:rPr>
          <w:color w:val="000000" w:themeColor="text1"/>
        </w:rPr>
        <w:t xml:space="preserve">and notices under section 33 of the Agvet Code issued on </w:t>
      </w:r>
      <w:r w:rsidRPr="00F91B28">
        <w:t>28 November 2022, 27 June 2024 and 4 July 2024</w:t>
      </w:r>
      <w:r>
        <w:t>, information in the APVMA records submitted for the registration of relevant products and approval of relevant labels, and any relevant information in the public domain identified by the APVMA (Attachment C)</w:t>
      </w:r>
      <w:r w:rsidRPr="00F91B28">
        <w:rPr>
          <w:color w:val="000000" w:themeColor="text1"/>
        </w:rPr>
        <w:t>.</w:t>
      </w:r>
    </w:p>
    <w:p w14:paraId="26E5F149" w14:textId="77777777" w:rsidR="008E67EA" w:rsidRDefault="008E67EA">
      <w:pPr>
        <w:pStyle w:val="NumberLevel1"/>
        <w:numPr>
          <w:ilvl w:val="0"/>
          <w:numId w:val="17"/>
        </w:numPr>
        <w:tabs>
          <w:tab w:val="clear" w:pos="709"/>
          <w:tab w:val="num" w:pos="2553"/>
        </w:tabs>
        <w:rPr>
          <w:color w:val="000000" w:themeColor="text1"/>
        </w:rPr>
      </w:pPr>
      <w:bookmarkStart w:id="120" w:name="_Hlk213096540"/>
      <w:bookmarkEnd w:id="119"/>
      <w:r>
        <w:rPr>
          <w:color w:val="000000" w:themeColor="text1"/>
        </w:rPr>
        <w:t xml:space="preserve">I have had regard to the technical assessments before proposing to make this decision. </w:t>
      </w:r>
      <w:r w:rsidRPr="00CF429B">
        <w:rPr>
          <w:color w:val="000000" w:themeColor="text1"/>
        </w:rPr>
        <w:t xml:space="preserve">I agree with </w:t>
      </w:r>
      <w:r>
        <w:rPr>
          <w:color w:val="000000" w:themeColor="text1"/>
        </w:rPr>
        <w:t>their</w:t>
      </w:r>
      <w:r w:rsidRPr="00CF429B">
        <w:rPr>
          <w:color w:val="000000" w:themeColor="text1"/>
        </w:rPr>
        <w:t xml:space="preserve"> conclusions (except where I indicate to the contrary in this statement of reasons).</w:t>
      </w:r>
    </w:p>
    <w:p w14:paraId="5E665496" w14:textId="4CFAC8E7" w:rsidR="008E67EA" w:rsidRDefault="008E67EA">
      <w:pPr>
        <w:pStyle w:val="NumberLevel1"/>
        <w:numPr>
          <w:ilvl w:val="0"/>
          <w:numId w:val="17"/>
        </w:numPr>
        <w:tabs>
          <w:tab w:val="clear" w:pos="709"/>
          <w:tab w:val="num" w:pos="2553"/>
        </w:tabs>
        <w:rPr>
          <w:color w:val="000000" w:themeColor="text1"/>
        </w:rPr>
      </w:pPr>
      <w:bookmarkStart w:id="121" w:name="_Hlk213096556"/>
      <w:bookmarkEnd w:id="120"/>
      <w:r>
        <w:rPr>
          <w:color w:val="000000" w:themeColor="text1"/>
        </w:rPr>
        <w:lastRenderedPageBreak/>
        <w:t>I am now</w:t>
      </w:r>
      <w:r w:rsidRPr="00F153F9">
        <w:rPr>
          <w:color w:val="000000" w:themeColor="text1"/>
        </w:rPr>
        <w:t xml:space="preserve"> giving notice under section 34AB of the Agvet Code o</w:t>
      </w:r>
      <w:r>
        <w:rPr>
          <w:color w:val="000000" w:themeColor="text1"/>
        </w:rPr>
        <w:t>f</w:t>
      </w:r>
      <w:r w:rsidRPr="00F153F9">
        <w:rPr>
          <w:color w:val="000000" w:themeColor="text1"/>
        </w:rPr>
        <w:t xml:space="preserve"> </w:t>
      </w:r>
      <w:r>
        <w:rPr>
          <w:color w:val="000000" w:themeColor="text1"/>
        </w:rPr>
        <w:t>my</w:t>
      </w:r>
      <w:r w:rsidRPr="00F153F9">
        <w:rPr>
          <w:color w:val="000000" w:themeColor="text1"/>
        </w:rPr>
        <w:t xml:space="preserve"> proposed decision</w:t>
      </w:r>
      <w:r>
        <w:rPr>
          <w:color w:val="000000" w:themeColor="text1"/>
        </w:rPr>
        <w:t xml:space="preserve"> to vary and affirm the chemical product registrations and label approvals listed in Attachment A of this notice.</w:t>
      </w:r>
    </w:p>
    <w:p w14:paraId="16C7DAE2" w14:textId="28A13F01" w:rsidR="008E67EA" w:rsidRPr="00C05443" w:rsidRDefault="008E67EA" w:rsidP="008E67EA">
      <w:pPr>
        <w:pStyle w:val="StatementofReasonsHeading1"/>
        <w:rPr>
          <w:rStyle w:val="Hyperlink"/>
          <w:noProof/>
          <w:u w:val="none"/>
        </w:rPr>
      </w:pPr>
      <w:bookmarkStart w:id="122" w:name="_Toc212898035"/>
      <w:bookmarkStart w:id="123" w:name="_Toc216090741"/>
      <w:bookmarkEnd w:id="121"/>
      <w:r w:rsidRPr="00C05443">
        <w:rPr>
          <w:rStyle w:val="Hyperlink"/>
          <w:noProof/>
          <w:u w:val="none"/>
        </w:rPr>
        <w:t>L</w:t>
      </w:r>
      <w:r w:rsidR="00B347E8" w:rsidRPr="00C05443">
        <w:rPr>
          <w:rStyle w:val="Hyperlink"/>
          <w:noProof/>
          <w:u w:val="none"/>
        </w:rPr>
        <w:t>egal framework</w:t>
      </w:r>
      <w:bookmarkEnd w:id="122"/>
      <w:bookmarkEnd w:id="123"/>
    </w:p>
    <w:p w14:paraId="0C24C228" w14:textId="77777777" w:rsidR="008E67EA" w:rsidRPr="008F6E78" w:rsidRDefault="008E67EA" w:rsidP="008E67EA">
      <w:pPr>
        <w:pStyle w:val="StatementofReasonsHeading2"/>
      </w:pPr>
      <w:bookmarkStart w:id="124" w:name="_Toc216090742"/>
      <w:r w:rsidRPr="008F6E78">
        <w:t>Affirmation</w:t>
      </w:r>
      <w:bookmarkEnd w:id="124"/>
    </w:p>
    <w:p w14:paraId="793938E4" w14:textId="77777777" w:rsidR="008E67EA" w:rsidRPr="001E6487" w:rsidRDefault="008E67EA">
      <w:pPr>
        <w:pStyle w:val="NumberLevel1"/>
        <w:keepNext/>
        <w:numPr>
          <w:ilvl w:val="0"/>
          <w:numId w:val="17"/>
        </w:numPr>
        <w:tabs>
          <w:tab w:val="clear" w:pos="709"/>
          <w:tab w:val="num" w:pos="2553"/>
        </w:tabs>
        <w:rPr>
          <w:color w:val="000000" w:themeColor="text1"/>
        </w:rPr>
      </w:pPr>
      <w:bookmarkStart w:id="125" w:name="_Ref213083903"/>
      <w:r w:rsidRPr="001E6487">
        <w:rPr>
          <w:color w:val="000000" w:themeColor="text1"/>
        </w:rPr>
        <w:t>Section 34(1) of the Agvet Code provides that the APVMA must affirm an approval or registration if, and only if, it is satisfied that:</w:t>
      </w:r>
      <w:bookmarkEnd w:id="125"/>
    </w:p>
    <w:p w14:paraId="23488428" w14:textId="77777777" w:rsidR="008E67EA" w:rsidRPr="00F153F9" w:rsidRDefault="008E67EA">
      <w:pPr>
        <w:pStyle w:val="NumberLevel2"/>
        <w:numPr>
          <w:ilvl w:val="1"/>
          <w:numId w:val="17"/>
        </w:numPr>
        <w:ind w:left="1134"/>
      </w:pPr>
      <w:r w:rsidRPr="00F153F9">
        <w:t>for a chemical product</w:t>
      </w:r>
      <w:r>
        <w:t xml:space="preserve"> registration – </w:t>
      </w:r>
      <w:r w:rsidRPr="00F153F9">
        <w:t>that the product meets the safety criteria, the trade criteria</w:t>
      </w:r>
      <w:r>
        <w:t xml:space="preserve"> </w:t>
      </w:r>
      <w:r w:rsidRPr="00F153F9">
        <w:t>and the efficacy criteria</w:t>
      </w:r>
      <w:r>
        <w:t>,</w:t>
      </w:r>
      <w:r w:rsidRPr="00F153F9">
        <w:t xml:space="preserve"> and </w:t>
      </w:r>
      <w:r>
        <w:t xml:space="preserve">the product complies with any </w:t>
      </w:r>
      <w:r w:rsidRPr="00F153F9">
        <w:t>requirement prescribed by the Agvet Regulations</w:t>
      </w:r>
      <w:r>
        <w:t>.</w:t>
      </w:r>
    </w:p>
    <w:p w14:paraId="3002B9CA" w14:textId="77777777" w:rsidR="008E67EA" w:rsidRDefault="008E67EA">
      <w:pPr>
        <w:pStyle w:val="NumberLevel2"/>
        <w:numPr>
          <w:ilvl w:val="1"/>
          <w:numId w:val="17"/>
        </w:numPr>
        <w:ind w:left="1134"/>
      </w:pPr>
      <w:r w:rsidRPr="00F153F9">
        <w:t>for a label</w:t>
      </w:r>
      <w:r>
        <w:t xml:space="preserve"> – </w:t>
      </w:r>
      <w:r w:rsidRPr="00F153F9">
        <w:t>that the label meets the labelling criteria</w:t>
      </w:r>
      <w:r>
        <w:t xml:space="preserve"> </w:t>
      </w:r>
      <w:r w:rsidRPr="00F153F9">
        <w:t xml:space="preserve">and </w:t>
      </w:r>
      <w:r>
        <w:t xml:space="preserve">the label complies with any </w:t>
      </w:r>
      <w:r w:rsidRPr="00F153F9">
        <w:t>requirement prescribed by the Agvet Regulations</w:t>
      </w:r>
      <w:r>
        <w:t>.</w:t>
      </w:r>
    </w:p>
    <w:p w14:paraId="739E4A41" w14:textId="77777777" w:rsidR="008E67EA" w:rsidRPr="002179E5" w:rsidRDefault="008E67EA">
      <w:pPr>
        <w:pStyle w:val="NumberLevel1"/>
        <w:numPr>
          <w:ilvl w:val="0"/>
          <w:numId w:val="17"/>
        </w:numPr>
        <w:tabs>
          <w:tab w:val="clear" w:pos="709"/>
          <w:tab w:val="num" w:pos="2553"/>
        </w:tabs>
      </w:pPr>
      <w:r w:rsidRPr="002179E5">
        <w:t xml:space="preserve">Subsection </w:t>
      </w:r>
      <w:r>
        <w:t>34</w:t>
      </w:r>
      <w:r w:rsidRPr="002179E5">
        <w:t>(</w:t>
      </w:r>
      <w:r>
        <w:t>2</w:t>
      </w:r>
      <w:r w:rsidRPr="002179E5">
        <w:t>)</w:t>
      </w:r>
      <w:r>
        <w:t xml:space="preserve"> of the Agvet Code provides that s</w:t>
      </w:r>
      <w:r w:rsidRPr="002179E5">
        <w:t>ubsection (1) applies only to the extent that the APVMA decides to reconsider matters covered by the subsection.</w:t>
      </w:r>
    </w:p>
    <w:p w14:paraId="1A939195" w14:textId="77777777" w:rsidR="008E67EA" w:rsidRDefault="008E67EA" w:rsidP="008E67EA">
      <w:pPr>
        <w:pStyle w:val="StatementofReasonsHeading2"/>
      </w:pPr>
      <w:bookmarkStart w:id="126" w:name="_Toc216090743"/>
      <w:r>
        <w:t>Variation required to satisfy requirements for affirmation</w:t>
      </w:r>
      <w:bookmarkEnd w:id="126"/>
    </w:p>
    <w:p w14:paraId="2A44BF3F" w14:textId="77777777" w:rsidR="008E67EA" w:rsidRDefault="008E67EA">
      <w:pPr>
        <w:pStyle w:val="NumberLevel1"/>
        <w:numPr>
          <w:ilvl w:val="0"/>
          <w:numId w:val="17"/>
        </w:numPr>
        <w:tabs>
          <w:tab w:val="clear" w:pos="709"/>
          <w:tab w:val="num" w:pos="2553"/>
        </w:tabs>
        <w:rPr>
          <w:color w:val="000000" w:themeColor="text1"/>
        </w:rPr>
      </w:pPr>
      <w:r w:rsidRPr="001E6487">
        <w:rPr>
          <w:color w:val="000000" w:themeColor="text1"/>
        </w:rPr>
        <w:t>Section 34A(1) of the Agvet Code provides that if the APVMA is not satisfied under section 34(1) but is satisfied that the relevant particulars or conditions of the approval</w:t>
      </w:r>
      <w:r>
        <w:rPr>
          <w:color w:val="000000" w:themeColor="text1"/>
        </w:rPr>
        <w:t xml:space="preserve"> or registration</w:t>
      </w:r>
      <w:r w:rsidRPr="001E6487">
        <w:rPr>
          <w:color w:val="000000" w:themeColor="text1"/>
        </w:rPr>
        <w:t xml:space="preserve"> can be varied in such a way as to allow the approval to be affirmed, the APVMA must vary the relevant particulars or conditions.</w:t>
      </w:r>
    </w:p>
    <w:p w14:paraId="2A699D9E" w14:textId="06CE5473" w:rsidR="008E67EA" w:rsidRPr="001E6487" w:rsidRDefault="008E67EA">
      <w:pPr>
        <w:pStyle w:val="NumberLevel1"/>
        <w:numPr>
          <w:ilvl w:val="0"/>
          <w:numId w:val="17"/>
        </w:numPr>
        <w:tabs>
          <w:tab w:val="clear" w:pos="709"/>
          <w:tab w:val="num" w:pos="2553"/>
        </w:tabs>
        <w:rPr>
          <w:color w:val="000000" w:themeColor="text1"/>
        </w:rPr>
      </w:pPr>
      <w:r w:rsidRPr="001E6487">
        <w:rPr>
          <w:color w:val="000000" w:themeColor="text1"/>
        </w:rPr>
        <w:t>Section 34A(2) of the Agvet Code specifies the information that the APVMA may have regard to in making a decision to vary the relevant particulars or conditions. It provides that, the APVMA may have regard only to the following:</w:t>
      </w:r>
    </w:p>
    <w:p w14:paraId="30D0860C" w14:textId="77777777" w:rsidR="008E67EA" w:rsidRPr="001E6487" w:rsidRDefault="008E67EA">
      <w:pPr>
        <w:pStyle w:val="NumberLevel2"/>
        <w:numPr>
          <w:ilvl w:val="1"/>
          <w:numId w:val="17"/>
        </w:numPr>
        <w:ind w:left="1134"/>
      </w:pPr>
      <w:r w:rsidRPr="001E6487">
        <w:t>submissions, information, reports, results or samples that it had regard to under section 34;</w:t>
      </w:r>
    </w:p>
    <w:p w14:paraId="4AB3576C" w14:textId="77777777" w:rsidR="008E67EA" w:rsidRPr="001E6487" w:rsidRDefault="008E67EA">
      <w:pPr>
        <w:pStyle w:val="NumberLevel2"/>
        <w:numPr>
          <w:ilvl w:val="1"/>
          <w:numId w:val="17"/>
        </w:numPr>
        <w:ind w:left="1134"/>
      </w:pPr>
      <w:r w:rsidRPr="001E6487">
        <w:t>submissions made to the APVMA in response to the invitation under paragraph 34AB(2)(f).</w:t>
      </w:r>
    </w:p>
    <w:p w14:paraId="5D2D94A3" w14:textId="77777777" w:rsidR="008E67EA" w:rsidRDefault="008E67EA" w:rsidP="008E67EA">
      <w:pPr>
        <w:pStyle w:val="StatementofReasonsHeading2"/>
      </w:pPr>
      <w:bookmarkStart w:id="127" w:name="_Toc216090744"/>
      <w:r>
        <w:t>Statutory criteria</w:t>
      </w:r>
      <w:bookmarkEnd w:id="127"/>
    </w:p>
    <w:p w14:paraId="38AC1937" w14:textId="4797BD38" w:rsidR="008E67EA" w:rsidRDefault="008E67EA">
      <w:pPr>
        <w:pStyle w:val="NumberLevel1"/>
        <w:numPr>
          <w:ilvl w:val="0"/>
          <w:numId w:val="17"/>
        </w:numPr>
        <w:tabs>
          <w:tab w:val="clear" w:pos="709"/>
          <w:tab w:val="num" w:pos="2553"/>
        </w:tabs>
      </w:pPr>
      <w:r>
        <w:t xml:space="preserve">The statutory criteria to which </w:t>
      </w:r>
      <w:r w:rsidRPr="002179E5">
        <w:t>reference was made in paragraph</w:t>
      </w:r>
      <w:r>
        <w:t xml:space="preserve"> </w:t>
      </w:r>
      <w:r>
        <w:fldChar w:fldCharType="begin"/>
      </w:r>
      <w:r>
        <w:instrText xml:space="preserve"> REF _Ref213083903 \r \h </w:instrText>
      </w:r>
      <w:r>
        <w:fldChar w:fldCharType="separate"/>
      </w:r>
      <w:r w:rsidR="002C0C2A">
        <w:t>10</w:t>
      </w:r>
      <w:r>
        <w:fldChar w:fldCharType="end"/>
      </w:r>
      <w:r>
        <w:t xml:space="preserve"> above in relation to the</w:t>
      </w:r>
      <w:r w:rsidRPr="00BE756E">
        <w:t xml:space="preserve"> </w:t>
      </w:r>
      <w:r>
        <w:t xml:space="preserve">affirmation of the </w:t>
      </w:r>
      <w:r w:rsidRPr="00BE756E">
        <w:t xml:space="preserve">registration of a chemical product </w:t>
      </w:r>
      <w:r>
        <w:t>and</w:t>
      </w:r>
      <w:r w:rsidRPr="00BE756E">
        <w:t xml:space="preserve"> approval of a label </w:t>
      </w:r>
      <w:r>
        <w:t>are set out below</w:t>
      </w:r>
      <w:r w:rsidRPr="00BE756E">
        <w:t>.</w:t>
      </w:r>
    </w:p>
    <w:p w14:paraId="3D503151" w14:textId="77777777" w:rsidR="008E67EA" w:rsidRDefault="008E67EA" w:rsidP="008E67EA">
      <w:pPr>
        <w:pStyle w:val="StatementofReasonsHeading3"/>
      </w:pPr>
      <w:bookmarkStart w:id="128" w:name="_Toc216090745"/>
      <w:r>
        <w:t>Safety criteria</w:t>
      </w:r>
      <w:bookmarkEnd w:id="128"/>
    </w:p>
    <w:p w14:paraId="4880BE33" w14:textId="77777777" w:rsidR="008E67EA" w:rsidRDefault="008E67EA">
      <w:pPr>
        <w:pStyle w:val="NumberLevel1"/>
        <w:numPr>
          <w:ilvl w:val="0"/>
          <w:numId w:val="17"/>
        </w:numPr>
        <w:tabs>
          <w:tab w:val="clear" w:pos="709"/>
          <w:tab w:val="num" w:pos="2553"/>
        </w:tabs>
      </w:pPr>
      <w:r>
        <w:t xml:space="preserve">The definition of </w:t>
      </w:r>
      <w:r w:rsidRPr="00100C25">
        <w:rPr>
          <w:i/>
          <w:iCs/>
        </w:rPr>
        <w:t>‘meets the safety criteria’</w:t>
      </w:r>
      <w:r>
        <w:t xml:space="preserve"> with respect to an active constituent and a chemical product is set out in section 5A of the Agvet Code</w:t>
      </w:r>
      <w:r w:rsidRPr="002179E5">
        <w:t>.</w:t>
      </w:r>
      <w:r>
        <w:t xml:space="preserve"> In relation to chemical products, </w:t>
      </w:r>
      <w:r w:rsidRPr="00816AF3">
        <w:t>subsections 5A(1) and (</w:t>
      </w:r>
      <w:r>
        <w:t>3</w:t>
      </w:r>
      <w:r w:rsidRPr="00816AF3">
        <w:t>)</w:t>
      </w:r>
      <w:r>
        <w:t xml:space="preserve"> of the Agvet Code provides:</w:t>
      </w:r>
    </w:p>
    <w:p w14:paraId="0E0D9933" w14:textId="77777777" w:rsidR="008E67EA" w:rsidRPr="002179E5" w:rsidRDefault="008E67EA" w:rsidP="008E67EA">
      <w:pPr>
        <w:pStyle w:val="Leg1SecHead1"/>
        <w:ind w:hanging="709"/>
        <w:rPr>
          <w:sz w:val="18"/>
          <w:szCs w:val="20"/>
        </w:rPr>
      </w:pPr>
      <w:r>
        <w:rPr>
          <w:sz w:val="18"/>
          <w:szCs w:val="20"/>
        </w:rPr>
        <w:t xml:space="preserve">5A </w:t>
      </w:r>
      <w:r w:rsidRPr="00100C25">
        <w:rPr>
          <w:sz w:val="18"/>
          <w:szCs w:val="20"/>
        </w:rPr>
        <w:t xml:space="preserve">Definition of </w:t>
      </w:r>
      <w:r w:rsidRPr="00100C25">
        <w:rPr>
          <w:i/>
          <w:iCs/>
          <w:sz w:val="18"/>
          <w:szCs w:val="20"/>
        </w:rPr>
        <w:t>meets the safety criteria</w:t>
      </w:r>
    </w:p>
    <w:p w14:paraId="3ABAF7DE" w14:textId="77777777" w:rsidR="008E67EA" w:rsidRPr="00100C25" w:rsidRDefault="008E67EA" w:rsidP="0071188C">
      <w:pPr>
        <w:pStyle w:val="Leg4Subsec1"/>
        <w:numPr>
          <w:ilvl w:val="0"/>
          <w:numId w:val="13"/>
        </w:numPr>
        <w:rPr>
          <w:sz w:val="18"/>
          <w:szCs w:val="20"/>
        </w:rPr>
      </w:pPr>
      <w:r w:rsidRPr="00100C25">
        <w:rPr>
          <w:sz w:val="18"/>
          <w:szCs w:val="20"/>
        </w:rPr>
        <w:t xml:space="preserve">An active constituent or chemical product </w:t>
      </w:r>
      <w:r w:rsidRPr="00B146FA">
        <w:rPr>
          <w:b/>
          <w:bCs/>
          <w:i/>
          <w:iCs/>
          <w:sz w:val="18"/>
          <w:szCs w:val="20"/>
        </w:rPr>
        <w:t>meets the safety criteria</w:t>
      </w:r>
      <w:r w:rsidRPr="00100C25">
        <w:rPr>
          <w:sz w:val="18"/>
          <w:szCs w:val="20"/>
        </w:rPr>
        <w:t xml:space="preserve"> if use of the constituent or product, in accordance with any instructions approved, or to be approved, by the APVMA for the constituent or product or contained in an established standard:</w:t>
      </w:r>
    </w:p>
    <w:p w14:paraId="31C3DE49" w14:textId="77777777" w:rsidR="008E67EA" w:rsidRPr="00100C25" w:rsidRDefault="008E67EA" w:rsidP="0071188C">
      <w:pPr>
        <w:pStyle w:val="Leg5Paraa"/>
        <w:numPr>
          <w:ilvl w:val="0"/>
          <w:numId w:val="11"/>
        </w:numPr>
        <w:rPr>
          <w:sz w:val="18"/>
          <w:szCs w:val="20"/>
        </w:rPr>
      </w:pPr>
      <w:r w:rsidRPr="00100C25">
        <w:rPr>
          <w:sz w:val="18"/>
          <w:szCs w:val="20"/>
        </w:rPr>
        <w:lastRenderedPageBreak/>
        <w:t>is not, or would not be, an undue hazard to the safety of people exposed to it during its handling or people using anything containing its residues; and</w:t>
      </w:r>
    </w:p>
    <w:p w14:paraId="423359CE" w14:textId="77777777" w:rsidR="008E67EA" w:rsidRPr="00100C25" w:rsidRDefault="008E67EA" w:rsidP="0071188C">
      <w:pPr>
        <w:pStyle w:val="Leg5Paraa"/>
        <w:numPr>
          <w:ilvl w:val="0"/>
          <w:numId w:val="11"/>
        </w:numPr>
        <w:rPr>
          <w:sz w:val="18"/>
          <w:szCs w:val="20"/>
        </w:rPr>
      </w:pPr>
      <w:r w:rsidRPr="00100C25">
        <w:rPr>
          <w:sz w:val="18"/>
          <w:szCs w:val="20"/>
        </w:rPr>
        <w:t>is not, or would not be, likely to have an effect that is harmful to human beings; and</w:t>
      </w:r>
    </w:p>
    <w:p w14:paraId="47091205" w14:textId="77777777" w:rsidR="008E67EA" w:rsidRPr="00100C25" w:rsidRDefault="008E67EA" w:rsidP="0071188C">
      <w:pPr>
        <w:pStyle w:val="Leg5Paraa"/>
        <w:numPr>
          <w:ilvl w:val="0"/>
          <w:numId w:val="11"/>
        </w:numPr>
        <w:rPr>
          <w:sz w:val="18"/>
          <w:szCs w:val="20"/>
        </w:rPr>
      </w:pPr>
      <w:r w:rsidRPr="00100C25">
        <w:rPr>
          <w:sz w:val="18"/>
          <w:szCs w:val="20"/>
        </w:rPr>
        <w:t>is not, or would not be, likely to have an unintended effect that is harmful to animals, plants or things or to the environment.</w:t>
      </w:r>
    </w:p>
    <w:p w14:paraId="42053005" w14:textId="77777777" w:rsidR="008E67EA" w:rsidRDefault="008E67EA">
      <w:pPr>
        <w:pStyle w:val="Leg4Subsec1"/>
        <w:numPr>
          <w:ilvl w:val="0"/>
          <w:numId w:val="35"/>
        </w:numPr>
        <w:ind w:left="1276"/>
        <w:rPr>
          <w:sz w:val="18"/>
          <w:szCs w:val="20"/>
        </w:rPr>
      </w:pPr>
      <w:r w:rsidRPr="00100C25">
        <w:rPr>
          <w:sz w:val="18"/>
          <w:szCs w:val="20"/>
        </w:rPr>
        <w:t>For the purposes of being satisfied as to whether a chemical product meets the safety criteria, the APVMA:</w:t>
      </w:r>
    </w:p>
    <w:p w14:paraId="5C10005D" w14:textId="77777777" w:rsidR="008E67EA" w:rsidRDefault="008E67EA">
      <w:pPr>
        <w:pStyle w:val="Leg5Paraa"/>
        <w:numPr>
          <w:ilvl w:val="0"/>
          <w:numId w:val="20"/>
        </w:numPr>
        <w:rPr>
          <w:sz w:val="18"/>
          <w:szCs w:val="20"/>
        </w:rPr>
      </w:pPr>
      <w:r w:rsidRPr="00100C25">
        <w:rPr>
          <w:sz w:val="18"/>
          <w:szCs w:val="20"/>
        </w:rPr>
        <w:t>must have regard to the following:</w:t>
      </w:r>
    </w:p>
    <w:p w14:paraId="6CEAD3BD" w14:textId="77777777" w:rsidR="008E67EA" w:rsidRPr="004B77E0" w:rsidRDefault="008E67EA">
      <w:pPr>
        <w:pStyle w:val="Leg5Paraa"/>
        <w:numPr>
          <w:ilvl w:val="0"/>
          <w:numId w:val="21"/>
        </w:numPr>
        <w:rPr>
          <w:sz w:val="18"/>
          <w:szCs w:val="20"/>
        </w:rPr>
      </w:pPr>
      <w:r>
        <w:rPr>
          <w:sz w:val="18"/>
          <w:szCs w:val="20"/>
        </w:rPr>
        <w:t>th</w:t>
      </w:r>
      <w:r w:rsidRPr="004B77E0">
        <w:rPr>
          <w:sz w:val="18"/>
          <w:szCs w:val="20"/>
        </w:rPr>
        <w:t>e toxicity of the product and its residues, including metabolites and degradation products, in relation to relevant organisms and ecosystems, including human beings;</w:t>
      </w:r>
    </w:p>
    <w:p w14:paraId="07C9DF57" w14:textId="77777777" w:rsidR="008E67EA" w:rsidRPr="004B77E0" w:rsidRDefault="008E67EA">
      <w:pPr>
        <w:pStyle w:val="Leg5Paraa"/>
        <w:numPr>
          <w:ilvl w:val="0"/>
          <w:numId w:val="21"/>
        </w:numPr>
        <w:rPr>
          <w:sz w:val="18"/>
          <w:szCs w:val="20"/>
        </w:rPr>
      </w:pPr>
      <w:r w:rsidRPr="004B77E0">
        <w:rPr>
          <w:sz w:val="18"/>
          <w:szCs w:val="20"/>
        </w:rPr>
        <w:t>the relevant poison classification of the product under the law in force in this jurisdiction;</w:t>
      </w:r>
    </w:p>
    <w:p w14:paraId="6689D2D0" w14:textId="77777777" w:rsidR="008E67EA" w:rsidRPr="004B77E0" w:rsidRDefault="008E67EA">
      <w:pPr>
        <w:pStyle w:val="Leg5Paraa"/>
        <w:numPr>
          <w:ilvl w:val="0"/>
          <w:numId w:val="21"/>
        </w:numPr>
        <w:rPr>
          <w:sz w:val="18"/>
          <w:szCs w:val="20"/>
        </w:rPr>
      </w:pPr>
      <w:r w:rsidRPr="004B77E0">
        <w:rPr>
          <w:sz w:val="18"/>
          <w:szCs w:val="20"/>
        </w:rPr>
        <w:t>how the product is formulated;</w:t>
      </w:r>
    </w:p>
    <w:p w14:paraId="506956F8" w14:textId="77777777" w:rsidR="008E67EA" w:rsidRPr="004B77E0" w:rsidRDefault="008E67EA">
      <w:pPr>
        <w:pStyle w:val="Leg5Paraa"/>
        <w:numPr>
          <w:ilvl w:val="0"/>
          <w:numId w:val="21"/>
        </w:numPr>
        <w:rPr>
          <w:sz w:val="18"/>
          <w:szCs w:val="20"/>
        </w:rPr>
      </w:pPr>
      <w:r w:rsidRPr="004B77E0">
        <w:rPr>
          <w:sz w:val="18"/>
          <w:szCs w:val="20"/>
        </w:rPr>
        <w:t>the composition and form of the constituents of the product;</w:t>
      </w:r>
    </w:p>
    <w:p w14:paraId="743A4706" w14:textId="77777777" w:rsidR="008E67EA" w:rsidRPr="004B77E0" w:rsidRDefault="008E67EA">
      <w:pPr>
        <w:pStyle w:val="Leg5Paraa"/>
        <w:numPr>
          <w:ilvl w:val="0"/>
          <w:numId w:val="21"/>
        </w:numPr>
        <w:rPr>
          <w:sz w:val="18"/>
          <w:szCs w:val="20"/>
        </w:rPr>
      </w:pPr>
      <w:r w:rsidRPr="004B77E0">
        <w:rPr>
          <w:sz w:val="18"/>
          <w:szCs w:val="20"/>
        </w:rPr>
        <w:t>any conditions to which its registration is, or would be, subject;</w:t>
      </w:r>
    </w:p>
    <w:p w14:paraId="7AC3B6B3" w14:textId="77777777" w:rsidR="008E67EA" w:rsidRDefault="008E67EA">
      <w:pPr>
        <w:pStyle w:val="Leg5Paraa"/>
        <w:numPr>
          <w:ilvl w:val="0"/>
          <w:numId w:val="21"/>
        </w:numPr>
        <w:rPr>
          <w:sz w:val="18"/>
          <w:szCs w:val="20"/>
        </w:rPr>
      </w:pPr>
      <w:r w:rsidRPr="004B77E0">
        <w:rPr>
          <w:sz w:val="18"/>
          <w:szCs w:val="20"/>
        </w:rPr>
        <w:t>any relevant particulars that are, or would be, entered in the Register for the product;</w:t>
      </w:r>
    </w:p>
    <w:p w14:paraId="4144E53E" w14:textId="77777777" w:rsidR="008E67EA" w:rsidRDefault="008E67EA" w:rsidP="008E67EA">
      <w:pPr>
        <w:pStyle w:val="Leg5Paraa"/>
        <w:ind w:left="2410" w:hanging="425"/>
        <w:rPr>
          <w:sz w:val="18"/>
          <w:szCs w:val="20"/>
        </w:rPr>
      </w:pPr>
      <w:r>
        <w:rPr>
          <w:sz w:val="18"/>
          <w:szCs w:val="20"/>
        </w:rPr>
        <w:t>(v</w:t>
      </w:r>
      <w:r w:rsidRPr="00100C25">
        <w:rPr>
          <w:sz w:val="18"/>
          <w:szCs w:val="20"/>
        </w:rPr>
        <w:t xml:space="preserve">ia) </w:t>
      </w:r>
      <w:r w:rsidRPr="004B77E0">
        <w:rPr>
          <w:sz w:val="18"/>
          <w:szCs w:val="20"/>
        </w:rPr>
        <w:t>whether the product conforms, or would conform, to any standard made for the product under section 6E to the extent that the standard relates to matters covered by subsection (1);</w:t>
      </w:r>
    </w:p>
    <w:p w14:paraId="0B1B4AE0" w14:textId="77777777" w:rsidR="008E67EA" w:rsidRDefault="008E67EA">
      <w:pPr>
        <w:pStyle w:val="Leg5Paraa"/>
        <w:numPr>
          <w:ilvl w:val="0"/>
          <w:numId w:val="21"/>
        </w:numPr>
        <w:rPr>
          <w:sz w:val="18"/>
          <w:szCs w:val="20"/>
        </w:rPr>
      </w:pPr>
      <w:r w:rsidRPr="004B77E0">
        <w:rPr>
          <w:sz w:val="18"/>
          <w:szCs w:val="20"/>
        </w:rPr>
        <w:t xml:space="preserve">any matters prescribed by the regulations; </w:t>
      </w:r>
      <w:r>
        <w:rPr>
          <w:sz w:val="18"/>
          <w:szCs w:val="20"/>
        </w:rPr>
        <w:t>and</w:t>
      </w:r>
    </w:p>
    <w:p w14:paraId="31143490" w14:textId="77777777" w:rsidR="008E67EA" w:rsidRDefault="008E67EA">
      <w:pPr>
        <w:pStyle w:val="Leg5Paraa"/>
        <w:numPr>
          <w:ilvl w:val="0"/>
          <w:numId w:val="20"/>
        </w:numPr>
        <w:rPr>
          <w:sz w:val="18"/>
          <w:szCs w:val="20"/>
        </w:rPr>
      </w:pPr>
      <w:r w:rsidRPr="00100C25">
        <w:rPr>
          <w:sz w:val="18"/>
          <w:szCs w:val="20"/>
        </w:rPr>
        <w:t>may have regard to one or more of the following:</w:t>
      </w:r>
    </w:p>
    <w:p w14:paraId="6F315333" w14:textId="77777777" w:rsidR="008E67EA" w:rsidRPr="004B77E0" w:rsidRDefault="008E67EA">
      <w:pPr>
        <w:pStyle w:val="Leg5Paraa"/>
        <w:numPr>
          <w:ilvl w:val="0"/>
          <w:numId w:val="22"/>
        </w:numPr>
        <w:rPr>
          <w:sz w:val="18"/>
          <w:szCs w:val="20"/>
        </w:rPr>
      </w:pPr>
      <w:r w:rsidRPr="004B77E0">
        <w:rPr>
          <w:sz w:val="18"/>
          <w:szCs w:val="20"/>
        </w:rPr>
        <w:t>the acceptable daily intake of each constituent contained in the product;</w:t>
      </w:r>
    </w:p>
    <w:p w14:paraId="5251B207" w14:textId="77777777" w:rsidR="008E67EA" w:rsidRPr="004B77E0" w:rsidRDefault="008E67EA">
      <w:pPr>
        <w:pStyle w:val="Leg5Paraa"/>
        <w:numPr>
          <w:ilvl w:val="0"/>
          <w:numId w:val="22"/>
        </w:numPr>
        <w:rPr>
          <w:sz w:val="18"/>
          <w:szCs w:val="20"/>
        </w:rPr>
      </w:pPr>
      <w:r w:rsidRPr="004B77E0">
        <w:rPr>
          <w:sz w:val="18"/>
          <w:szCs w:val="20"/>
        </w:rPr>
        <w:t xml:space="preserve">any dietary exposure assessment prepared under subsection 82(4) of the </w:t>
      </w:r>
      <w:r w:rsidRPr="004B77E0">
        <w:rPr>
          <w:i/>
          <w:iCs/>
          <w:sz w:val="18"/>
          <w:szCs w:val="20"/>
        </w:rPr>
        <w:t>Food Standards Australia New Zealand Act 1991</w:t>
      </w:r>
      <w:r w:rsidRPr="004B77E0">
        <w:rPr>
          <w:sz w:val="18"/>
          <w:szCs w:val="20"/>
        </w:rPr>
        <w:t xml:space="preserve"> as a result of any proposed variation notified under subsection 82(3) of that Act in relation to the product, and any comments on the assessment given to the APVMA under subsection 82(4) of that Act;</w:t>
      </w:r>
    </w:p>
    <w:p w14:paraId="2327A2F7" w14:textId="77777777" w:rsidR="008E67EA" w:rsidRPr="004B77E0" w:rsidRDefault="008E67EA">
      <w:pPr>
        <w:pStyle w:val="Leg5Paraa"/>
        <w:numPr>
          <w:ilvl w:val="0"/>
          <w:numId w:val="22"/>
        </w:numPr>
        <w:rPr>
          <w:sz w:val="18"/>
          <w:szCs w:val="20"/>
        </w:rPr>
      </w:pPr>
      <w:r w:rsidRPr="004B77E0">
        <w:rPr>
          <w:sz w:val="18"/>
          <w:szCs w:val="20"/>
        </w:rPr>
        <w:t>whether any trials or laboratory experiments have been carried out to determine the residues of the product and, if so, the results of those trials or experiments and whether those results show that the residues of the product will not be greater than limits that the APVMA has approved or approves;</w:t>
      </w:r>
    </w:p>
    <w:p w14:paraId="42A3B133" w14:textId="77777777" w:rsidR="008E67EA" w:rsidRPr="004B77E0" w:rsidRDefault="008E67EA">
      <w:pPr>
        <w:pStyle w:val="Leg5Paraa"/>
        <w:numPr>
          <w:ilvl w:val="0"/>
          <w:numId w:val="22"/>
        </w:numPr>
        <w:rPr>
          <w:sz w:val="18"/>
          <w:szCs w:val="20"/>
        </w:rPr>
      </w:pPr>
      <w:r w:rsidRPr="004B77E0">
        <w:rPr>
          <w:sz w:val="18"/>
          <w:szCs w:val="20"/>
        </w:rPr>
        <w:t>the stability of the product;</w:t>
      </w:r>
    </w:p>
    <w:p w14:paraId="1CD1D8B5" w14:textId="77777777" w:rsidR="008E67EA" w:rsidRPr="004B77E0" w:rsidRDefault="008E67EA">
      <w:pPr>
        <w:pStyle w:val="Leg5Paraa"/>
        <w:numPr>
          <w:ilvl w:val="0"/>
          <w:numId w:val="22"/>
        </w:numPr>
        <w:rPr>
          <w:sz w:val="18"/>
          <w:szCs w:val="20"/>
        </w:rPr>
      </w:pPr>
      <w:r w:rsidRPr="004B77E0">
        <w:rPr>
          <w:sz w:val="18"/>
          <w:szCs w:val="20"/>
        </w:rPr>
        <w:t>the specifications for containers for the product;</w:t>
      </w:r>
    </w:p>
    <w:p w14:paraId="39734FCD" w14:textId="77777777" w:rsidR="008E67EA" w:rsidRPr="00100C25" w:rsidRDefault="008E67EA">
      <w:pPr>
        <w:pStyle w:val="Leg5Paraa"/>
        <w:numPr>
          <w:ilvl w:val="0"/>
          <w:numId w:val="22"/>
        </w:numPr>
        <w:rPr>
          <w:sz w:val="18"/>
          <w:szCs w:val="20"/>
        </w:rPr>
      </w:pPr>
      <w:r w:rsidRPr="004B77E0">
        <w:rPr>
          <w:sz w:val="18"/>
          <w:szCs w:val="20"/>
        </w:rPr>
        <w:t>such other matters as it thinks relevant.</w:t>
      </w:r>
    </w:p>
    <w:p w14:paraId="17C94038" w14:textId="77777777" w:rsidR="008E67EA" w:rsidRDefault="008E67EA">
      <w:pPr>
        <w:pStyle w:val="NumberLevel1"/>
        <w:numPr>
          <w:ilvl w:val="0"/>
          <w:numId w:val="17"/>
        </w:numPr>
        <w:tabs>
          <w:tab w:val="clear" w:pos="709"/>
          <w:tab w:val="num" w:pos="2553"/>
        </w:tabs>
      </w:pPr>
      <w:r>
        <w:t xml:space="preserve">In regard to matters in which the APVMA must have regard to </w:t>
      </w:r>
      <w:r w:rsidRPr="00DB124C">
        <w:t xml:space="preserve">for the purposes of being satisfied as to whether </w:t>
      </w:r>
      <w:r w:rsidRPr="000B2FF5">
        <w:t>a chemical product meets the safety criteria</w:t>
      </w:r>
      <w:r>
        <w:t xml:space="preserve">, regulation 8AB of the Agvet </w:t>
      </w:r>
      <w:r w:rsidRPr="00100C25">
        <w:t>Regulations</w:t>
      </w:r>
      <w:r>
        <w:t xml:space="preserve"> prescribes the following:</w:t>
      </w:r>
    </w:p>
    <w:p w14:paraId="1EB16888" w14:textId="77777777" w:rsidR="008E67EA" w:rsidRPr="00B86A69" w:rsidRDefault="008E67EA" w:rsidP="008E67EA">
      <w:pPr>
        <w:pStyle w:val="Leg1SecHead1"/>
        <w:ind w:hanging="709"/>
        <w:rPr>
          <w:sz w:val="18"/>
          <w:szCs w:val="20"/>
        </w:rPr>
      </w:pPr>
      <w:r w:rsidRPr="00B86A69">
        <w:rPr>
          <w:sz w:val="18"/>
          <w:szCs w:val="20"/>
        </w:rPr>
        <w:t>8AB</w:t>
      </w:r>
      <w:r>
        <w:rPr>
          <w:sz w:val="18"/>
          <w:szCs w:val="20"/>
        </w:rPr>
        <w:t xml:space="preserve"> </w:t>
      </w:r>
      <w:r w:rsidRPr="00B86A69">
        <w:rPr>
          <w:sz w:val="18"/>
          <w:szCs w:val="20"/>
        </w:rPr>
        <w:t>Safety criteria—chemical products</w:t>
      </w:r>
    </w:p>
    <w:p w14:paraId="1703E820" w14:textId="77777777" w:rsidR="008E67EA" w:rsidRPr="00B86A69" w:rsidRDefault="008E67EA">
      <w:pPr>
        <w:pStyle w:val="Leg4Subsec1"/>
        <w:numPr>
          <w:ilvl w:val="0"/>
          <w:numId w:val="29"/>
        </w:numPr>
        <w:rPr>
          <w:sz w:val="18"/>
          <w:szCs w:val="20"/>
        </w:rPr>
      </w:pPr>
      <w:r w:rsidRPr="00B86A69">
        <w:rPr>
          <w:sz w:val="18"/>
          <w:szCs w:val="20"/>
        </w:rPr>
        <w:t>For subparagraph 5A(3)(a)(vii) of the Code, the following are prescribed matters for a chemical product:</w:t>
      </w:r>
    </w:p>
    <w:p w14:paraId="0BECC861" w14:textId="77777777" w:rsidR="008E67EA" w:rsidRPr="00B86A69" w:rsidRDefault="008E67EA">
      <w:pPr>
        <w:pStyle w:val="Leg5Paraa"/>
        <w:numPr>
          <w:ilvl w:val="0"/>
          <w:numId w:val="25"/>
        </w:numPr>
        <w:rPr>
          <w:sz w:val="18"/>
          <w:szCs w:val="20"/>
        </w:rPr>
      </w:pPr>
      <w:r w:rsidRPr="00B86A69">
        <w:rPr>
          <w:sz w:val="18"/>
          <w:szCs w:val="20"/>
        </w:rPr>
        <w:t>for all chemical products—the method of analysis (if any) of the chemical composition and form of the constituents of the chemical product;</w:t>
      </w:r>
    </w:p>
    <w:p w14:paraId="15CFDFEC" w14:textId="77777777" w:rsidR="008E67EA" w:rsidRPr="00B86A69" w:rsidRDefault="008E67EA">
      <w:pPr>
        <w:pStyle w:val="Leg5Paraa"/>
        <w:numPr>
          <w:ilvl w:val="0"/>
          <w:numId w:val="25"/>
        </w:numPr>
        <w:rPr>
          <w:sz w:val="18"/>
          <w:szCs w:val="20"/>
        </w:rPr>
      </w:pPr>
      <w:r w:rsidRPr="00B86A69">
        <w:rPr>
          <w:sz w:val="18"/>
          <w:szCs w:val="20"/>
        </w:rPr>
        <w:t>for a product manufactured in Australia—whether each step in the manufacture of the product complies, or will comply, with the manufacturing principles and the Australian GMP Code;</w:t>
      </w:r>
    </w:p>
    <w:p w14:paraId="62CE1A6D" w14:textId="77777777" w:rsidR="008E67EA" w:rsidRPr="00B86A69" w:rsidRDefault="008E67EA">
      <w:pPr>
        <w:pStyle w:val="Leg5Paraa"/>
        <w:numPr>
          <w:ilvl w:val="0"/>
          <w:numId w:val="25"/>
        </w:numPr>
        <w:rPr>
          <w:sz w:val="18"/>
          <w:szCs w:val="20"/>
        </w:rPr>
      </w:pPr>
      <w:r w:rsidRPr="00B86A69">
        <w:rPr>
          <w:sz w:val="18"/>
          <w:szCs w:val="20"/>
        </w:rPr>
        <w:lastRenderedPageBreak/>
        <w:t>for a product manufactured outside Australia—whether each step in the manufacture of the product complies, or will comply, with a standard that the APVMA has determined is comparable to the manufacturing principles and the Australian GMP Code;</w:t>
      </w:r>
    </w:p>
    <w:p w14:paraId="17D8C28F" w14:textId="77777777" w:rsidR="008E67EA" w:rsidRPr="00B86A69" w:rsidRDefault="008E67EA">
      <w:pPr>
        <w:pStyle w:val="Leg5Paraa"/>
        <w:numPr>
          <w:ilvl w:val="0"/>
          <w:numId w:val="25"/>
        </w:numPr>
        <w:rPr>
          <w:sz w:val="18"/>
          <w:szCs w:val="20"/>
        </w:rPr>
      </w:pPr>
      <w:r w:rsidRPr="00B86A69">
        <w:rPr>
          <w:sz w:val="18"/>
          <w:szCs w:val="20"/>
        </w:rPr>
        <w:t>for a molluscicide in the form of a bait and of which the active constituent is metaldehyde:</w:t>
      </w:r>
    </w:p>
    <w:p w14:paraId="71AC9E32" w14:textId="77777777" w:rsidR="008E67EA" w:rsidRPr="00B86A69" w:rsidRDefault="008E67EA">
      <w:pPr>
        <w:pStyle w:val="Leg5Paraa"/>
        <w:numPr>
          <w:ilvl w:val="0"/>
          <w:numId w:val="26"/>
        </w:numPr>
        <w:rPr>
          <w:sz w:val="18"/>
          <w:szCs w:val="20"/>
        </w:rPr>
      </w:pPr>
      <w:r w:rsidRPr="00B86A69">
        <w:rPr>
          <w:sz w:val="18"/>
          <w:szCs w:val="20"/>
        </w:rPr>
        <w:t>whether the product contains sufficient green pigment or dye to colour the bait a distinctive green colour; and</w:t>
      </w:r>
    </w:p>
    <w:p w14:paraId="063DD17D" w14:textId="77777777" w:rsidR="008E67EA" w:rsidRPr="00B86A69" w:rsidRDefault="008E67EA">
      <w:pPr>
        <w:pStyle w:val="Leg5Paraa"/>
        <w:numPr>
          <w:ilvl w:val="0"/>
          <w:numId w:val="26"/>
        </w:numPr>
        <w:rPr>
          <w:sz w:val="18"/>
          <w:szCs w:val="20"/>
        </w:rPr>
      </w:pPr>
      <w:r w:rsidRPr="00B86A69">
        <w:rPr>
          <w:sz w:val="18"/>
          <w:szCs w:val="20"/>
        </w:rPr>
        <w:t>whether the product contains, in the bait, any bone meal or other product of animal origin;</w:t>
      </w:r>
    </w:p>
    <w:p w14:paraId="0C9A5C7D" w14:textId="77777777" w:rsidR="008E67EA" w:rsidRPr="00B86A69" w:rsidRDefault="008E67EA">
      <w:pPr>
        <w:pStyle w:val="Leg5Paraa"/>
        <w:numPr>
          <w:ilvl w:val="0"/>
          <w:numId w:val="25"/>
        </w:numPr>
        <w:rPr>
          <w:sz w:val="18"/>
          <w:szCs w:val="20"/>
        </w:rPr>
      </w:pPr>
      <w:r w:rsidRPr="00B86A69">
        <w:rPr>
          <w:sz w:val="18"/>
          <w:szCs w:val="20"/>
        </w:rPr>
        <w:t>for a molluscicide in the form of a bait and of which the active constituent is methiocarb:</w:t>
      </w:r>
    </w:p>
    <w:p w14:paraId="18DAE41B" w14:textId="77777777" w:rsidR="008E67EA" w:rsidRPr="00B86A69" w:rsidRDefault="008E67EA">
      <w:pPr>
        <w:pStyle w:val="Leg5Paraa"/>
        <w:numPr>
          <w:ilvl w:val="0"/>
          <w:numId w:val="27"/>
        </w:numPr>
        <w:rPr>
          <w:sz w:val="18"/>
          <w:szCs w:val="20"/>
        </w:rPr>
      </w:pPr>
      <w:r w:rsidRPr="00B86A69">
        <w:rPr>
          <w:sz w:val="18"/>
          <w:szCs w:val="20"/>
        </w:rPr>
        <w:t>whether the product contains sufficient blue pigment or dye to colour the bait a distinctive blue colour; and</w:t>
      </w:r>
    </w:p>
    <w:p w14:paraId="206D983B" w14:textId="77777777" w:rsidR="008E67EA" w:rsidRPr="00B86A69" w:rsidRDefault="008E67EA">
      <w:pPr>
        <w:pStyle w:val="Leg5Paraa"/>
        <w:numPr>
          <w:ilvl w:val="0"/>
          <w:numId w:val="27"/>
        </w:numPr>
        <w:rPr>
          <w:sz w:val="18"/>
          <w:szCs w:val="20"/>
        </w:rPr>
      </w:pPr>
      <w:r w:rsidRPr="00B86A69">
        <w:rPr>
          <w:sz w:val="18"/>
          <w:szCs w:val="20"/>
        </w:rPr>
        <w:t>whether the product contains, in the bait, any bone meal or other product of animal origin;</w:t>
      </w:r>
    </w:p>
    <w:p w14:paraId="2775E0A8" w14:textId="77777777" w:rsidR="008E67EA" w:rsidRPr="00B86A69" w:rsidRDefault="008E67EA">
      <w:pPr>
        <w:pStyle w:val="Leg5Paraa"/>
        <w:numPr>
          <w:ilvl w:val="0"/>
          <w:numId w:val="25"/>
        </w:numPr>
        <w:rPr>
          <w:sz w:val="18"/>
          <w:szCs w:val="20"/>
        </w:rPr>
      </w:pPr>
      <w:r w:rsidRPr="00B86A69">
        <w:rPr>
          <w:sz w:val="18"/>
          <w:szCs w:val="20"/>
        </w:rPr>
        <w:t>for an agricultural chemical product to be applied to seeds to be stored before planting or sowing—whether the product contains sufficient pigment or dye to colour the seed to enable the seed to be readily distinguished from seed to which the product has not been applied.</w:t>
      </w:r>
    </w:p>
    <w:p w14:paraId="703862F9" w14:textId="77777777" w:rsidR="008E67EA" w:rsidRPr="00B86A69" w:rsidRDefault="008E67EA">
      <w:pPr>
        <w:pStyle w:val="Leg4Subsec1"/>
        <w:numPr>
          <w:ilvl w:val="0"/>
          <w:numId w:val="29"/>
        </w:numPr>
        <w:rPr>
          <w:sz w:val="18"/>
          <w:szCs w:val="20"/>
        </w:rPr>
      </w:pPr>
      <w:r w:rsidRPr="00B86A69">
        <w:rPr>
          <w:sz w:val="18"/>
          <w:szCs w:val="20"/>
        </w:rPr>
        <w:t>However, paragraphs (1)(b) and (c) do not apply if the product is prescribed under subregulation 59(1) for the purposes of section 120A of the Code.</w:t>
      </w:r>
    </w:p>
    <w:p w14:paraId="3E39D169" w14:textId="77777777" w:rsidR="008E67EA" w:rsidRDefault="008E67EA">
      <w:pPr>
        <w:pStyle w:val="NumberLevel1"/>
        <w:numPr>
          <w:ilvl w:val="0"/>
          <w:numId w:val="17"/>
        </w:numPr>
        <w:tabs>
          <w:tab w:val="clear" w:pos="709"/>
          <w:tab w:val="num" w:pos="2553"/>
        </w:tabs>
      </w:pPr>
      <w:r>
        <w:t xml:space="preserve">In relation to subregulation 8AB(2) of the Agvet Regulation, there are a number of chemical products prescribed under </w:t>
      </w:r>
      <w:r w:rsidRPr="00F64F54">
        <w:t>subregulation 59(1) for the purposes of section 120A of the Code</w:t>
      </w:r>
      <w:r>
        <w:t xml:space="preserve">. For the reconsideration of anticoagulant rodenticide chemical products, I note that ‘any agricultural chemical product’ is prescribed in paragraph </w:t>
      </w:r>
      <w:r w:rsidRPr="00F64F54">
        <w:t>59(1)</w:t>
      </w:r>
      <w:r>
        <w:t xml:space="preserve">(a) for the </w:t>
      </w:r>
      <w:r w:rsidRPr="00F64F54">
        <w:t>purposes of section 120A of the Code</w:t>
      </w:r>
      <w:r>
        <w:t>.</w:t>
      </w:r>
    </w:p>
    <w:p w14:paraId="4B2372CC" w14:textId="77777777" w:rsidR="008E67EA" w:rsidRDefault="008E67EA" w:rsidP="008E67EA">
      <w:pPr>
        <w:pStyle w:val="StatementofReasonsHeading3"/>
      </w:pPr>
      <w:bookmarkStart w:id="129" w:name="_Toc216090746"/>
      <w:r>
        <w:t>Efficacy criteria</w:t>
      </w:r>
      <w:bookmarkEnd w:id="129"/>
    </w:p>
    <w:p w14:paraId="29F7EB28" w14:textId="563EE3AE" w:rsidR="008E67EA" w:rsidRDefault="008E67EA">
      <w:pPr>
        <w:pStyle w:val="NumberLevel1"/>
        <w:numPr>
          <w:ilvl w:val="0"/>
          <w:numId w:val="17"/>
        </w:numPr>
        <w:tabs>
          <w:tab w:val="clear" w:pos="709"/>
          <w:tab w:val="num" w:pos="2553"/>
        </w:tabs>
      </w:pPr>
      <w:r>
        <w:t xml:space="preserve">The definition of </w:t>
      </w:r>
      <w:r w:rsidRPr="00100C25">
        <w:rPr>
          <w:i/>
          <w:iCs/>
        </w:rPr>
        <w:t>‘meets the efficacy criteria’</w:t>
      </w:r>
      <w:r>
        <w:t xml:space="preserve"> with respect to a chemical product is set out in section 5B of the Agvet Code</w:t>
      </w:r>
      <w:r w:rsidRPr="002179E5">
        <w:t>.</w:t>
      </w:r>
      <w:r>
        <w:t xml:space="preserve"> As outlined in paragraph </w:t>
      </w:r>
      <w:r>
        <w:fldChar w:fldCharType="begin"/>
      </w:r>
      <w:r>
        <w:instrText xml:space="preserve"> REF _Ref216039605 \r \h </w:instrText>
      </w:r>
      <w:r>
        <w:fldChar w:fldCharType="separate"/>
      </w:r>
      <w:r w:rsidR="002C0C2A">
        <w:t>3</w:t>
      </w:r>
      <w:r>
        <w:fldChar w:fldCharType="end"/>
      </w:r>
      <w:r>
        <w:t xml:space="preserve"> above, the APVMA did not consider the efficacy criteria as part of this reconsideration.</w:t>
      </w:r>
    </w:p>
    <w:p w14:paraId="2705185A" w14:textId="77777777" w:rsidR="008E67EA" w:rsidRDefault="008E67EA" w:rsidP="008E67EA">
      <w:pPr>
        <w:pStyle w:val="StatementofReasonsHeading3"/>
      </w:pPr>
      <w:bookmarkStart w:id="130" w:name="_Toc216090747"/>
      <w:r>
        <w:t>Trade criteria</w:t>
      </w:r>
      <w:bookmarkEnd w:id="130"/>
    </w:p>
    <w:p w14:paraId="0983FEBA" w14:textId="4271CBB9" w:rsidR="008E67EA" w:rsidRPr="00B146FA" w:rsidRDefault="008E67EA">
      <w:pPr>
        <w:pStyle w:val="NumberLevel1"/>
        <w:numPr>
          <w:ilvl w:val="0"/>
          <w:numId w:val="17"/>
        </w:numPr>
        <w:tabs>
          <w:tab w:val="clear" w:pos="709"/>
          <w:tab w:val="num" w:pos="2553"/>
        </w:tabs>
        <w:rPr>
          <w:szCs w:val="20"/>
        </w:rPr>
      </w:pPr>
      <w:bookmarkStart w:id="131" w:name="_Ref193715586"/>
      <w:r>
        <w:t xml:space="preserve">The definition of </w:t>
      </w:r>
      <w:r w:rsidRPr="00A51A50">
        <w:rPr>
          <w:i/>
          <w:iCs/>
        </w:rPr>
        <w:t>‘meets the trade criteria’</w:t>
      </w:r>
      <w:r>
        <w:t xml:space="preserve"> with respect to a chemical product is set out in section 5C of the Agvet Code</w:t>
      </w:r>
      <w:r w:rsidRPr="002179E5">
        <w:t>.</w:t>
      </w:r>
      <w:r w:rsidRPr="00A51A50">
        <w:t xml:space="preserve"> As outlined</w:t>
      </w:r>
      <w:r>
        <w:t xml:space="preserve"> in paragraph </w:t>
      </w:r>
      <w:r>
        <w:fldChar w:fldCharType="begin"/>
      </w:r>
      <w:r>
        <w:instrText xml:space="preserve"> REF _Ref213084087 \r \h </w:instrText>
      </w:r>
      <w:r>
        <w:fldChar w:fldCharType="separate"/>
      </w:r>
      <w:r w:rsidR="002C0C2A">
        <w:t>4</w:t>
      </w:r>
      <w:r>
        <w:fldChar w:fldCharType="end"/>
      </w:r>
      <w:r>
        <w:t xml:space="preserve"> </w:t>
      </w:r>
      <w:r w:rsidRPr="00A51A50">
        <w:t xml:space="preserve">above, the APVMA did not consider the </w:t>
      </w:r>
      <w:r>
        <w:t>trade</w:t>
      </w:r>
      <w:r w:rsidRPr="00A51A50">
        <w:t xml:space="preserve"> criteria as part of this reconsideration</w:t>
      </w:r>
      <w:r w:rsidRPr="00A51A50" w:rsidDel="00A51A50">
        <w:t xml:space="preserve"> </w:t>
      </w:r>
      <w:bookmarkEnd w:id="131"/>
    </w:p>
    <w:p w14:paraId="27CFEABB" w14:textId="77777777" w:rsidR="008E67EA" w:rsidRDefault="008E67EA" w:rsidP="008E67EA">
      <w:pPr>
        <w:pStyle w:val="StatementofReasonsHeading3"/>
      </w:pPr>
      <w:bookmarkStart w:id="132" w:name="_Toc216090748"/>
      <w:r>
        <w:t>Labelling criteria</w:t>
      </w:r>
      <w:bookmarkEnd w:id="132"/>
    </w:p>
    <w:p w14:paraId="6E6CD482" w14:textId="77777777" w:rsidR="008E67EA" w:rsidRDefault="008E67EA">
      <w:pPr>
        <w:pStyle w:val="NumberLevel1"/>
        <w:numPr>
          <w:ilvl w:val="0"/>
          <w:numId w:val="17"/>
        </w:numPr>
        <w:tabs>
          <w:tab w:val="clear" w:pos="709"/>
          <w:tab w:val="num" w:pos="2553"/>
        </w:tabs>
      </w:pPr>
      <w:r>
        <w:t xml:space="preserve">The definition of </w:t>
      </w:r>
      <w:r w:rsidRPr="00100C25">
        <w:rPr>
          <w:i/>
          <w:iCs/>
        </w:rPr>
        <w:t>‘meets the labelling criteria’</w:t>
      </w:r>
      <w:r>
        <w:t xml:space="preserve"> with respect to a </w:t>
      </w:r>
      <w:r w:rsidRPr="001E6487">
        <w:rPr>
          <w:color w:val="000000" w:themeColor="text1"/>
        </w:rPr>
        <w:t>label for containers for a chemical product</w:t>
      </w:r>
      <w:r>
        <w:rPr>
          <w:color w:val="000000" w:themeColor="text1"/>
        </w:rPr>
        <w:t xml:space="preserve"> </w:t>
      </w:r>
      <w:r>
        <w:t>is set out in section 5D of the Agvet Code</w:t>
      </w:r>
      <w:r w:rsidRPr="002179E5">
        <w:t>.</w:t>
      </w:r>
      <w:r>
        <w:t xml:space="preserve"> This provides:</w:t>
      </w:r>
    </w:p>
    <w:p w14:paraId="6021717E" w14:textId="77777777" w:rsidR="008E67EA" w:rsidRPr="004B77E0" w:rsidRDefault="008E67EA" w:rsidP="008E67EA">
      <w:pPr>
        <w:pStyle w:val="Leg1SecHead1"/>
        <w:ind w:hanging="709"/>
        <w:rPr>
          <w:sz w:val="18"/>
          <w:szCs w:val="20"/>
        </w:rPr>
      </w:pPr>
      <w:r w:rsidRPr="00DB124C">
        <w:rPr>
          <w:sz w:val="18"/>
          <w:szCs w:val="18"/>
        </w:rPr>
        <w:t xml:space="preserve">5D </w:t>
      </w:r>
      <w:r w:rsidRPr="00DB124C">
        <w:rPr>
          <w:sz w:val="18"/>
          <w:szCs w:val="20"/>
        </w:rPr>
        <w:t>Definition of meets the labelling criteria</w:t>
      </w:r>
    </w:p>
    <w:p w14:paraId="7E0BC8C2" w14:textId="77777777" w:rsidR="008E67EA" w:rsidRPr="00DB124C" w:rsidRDefault="008E67EA">
      <w:pPr>
        <w:pStyle w:val="Leg4Subsec1"/>
        <w:numPr>
          <w:ilvl w:val="0"/>
          <w:numId w:val="28"/>
        </w:numPr>
        <w:rPr>
          <w:sz w:val="18"/>
          <w:szCs w:val="20"/>
        </w:rPr>
      </w:pPr>
      <w:r w:rsidRPr="00DB124C">
        <w:rPr>
          <w:sz w:val="18"/>
          <w:szCs w:val="20"/>
        </w:rPr>
        <w:t>A label for containers for a chemical product </w:t>
      </w:r>
      <w:r w:rsidRPr="00B146FA">
        <w:rPr>
          <w:b/>
          <w:bCs/>
          <w:i/>
          <w:iCs/>
          <w:sz w:val="18"/>
          <w:szCs w:val="20"/>
        </w:rPr>
        <w:t>meets the labelling criteria</w:t>
      </w:r>
      <w:r w:rsidRPr="00DB124C">
        <w:rPr>
          <w:sz w:val="18"/>
          <w:szCs w:val="20"/>
        </w:rPr>
        <w:t> if the label contains adequate instructions relating to such of the following as are appropriate:</w:t>
      </w:r>
    </w:p>
    <w:p w14:paraId="2521C073" w14:textId="77777777" w:rsidR="008E67EA" w:rsidRPr="004B77E0" w:rsidRDefault="008E67EA">
      <w:pPr>
        <w:pStyle w:val="Leg5Paraa"/>
        <w:numPr>
          <w:ilvl w:val="0"/>
          <w:numId w:val="23"/>
        </w:numPr>
        <w:rPr>
          <w:sz w:val="18"/>
          <w:szCs w:val="20"/>
        </w:rPr>
      </w:pPr>
      <w:r w:rsidRPr="004B77E0">
        <w:rPr>
          <w:sz w:val="18"/>
          <w:szCs w:val="20"/>
        </w:rPr>
        <w:t>the circumstances in which the product should be used;</w:t>
      </w:r>
    </w:p>
    <w:p w14:paraId="1AE0CCED" w14:textId="77777777" w:rsidR="008E67EA" w:rsidRPr="004B77E0" w:rsidRDefault="008E67EA">
      <w:pPr>
        <w:pStyle w:val="Leg5Paraa"/>
        <w:numPr>
          <w:ilvl w:val="0"/>
          <w:numId w:val="23"/>
        </w:numPr>
        <w:rPr>
          <w:sz w:val="18"/>
          <w:szCs w:val="20"/>
        </w:rPr>
      </w:pPr>
      <w:r w:rsidRPr="004B77E0">
        <w:rPr>
          <w:sz w:val="18"/>
          <w:szCs w:val="20"/>
        </w:rPr>
        <w:t>how the product should be used;</w:t>
      </w:r>
    </w:p>
    <w:p w14:paraId="3D226F13" w14:textId="77777777" w:rsidR="008E67EA" w:rsidRPr="004B77E0" w:rsidRDefault="008E67EA">
      <w:pPr>
        <w:pStyle w:val="Leg5Paraa"/>
        <w:numPr>
          <w:ilvl w:val="0"/>
          <w:numId w:val="23"/>
        </w:numPr>
        <w:rPr>
          <w:sz w:val="18"/>
          <w:szCs w:val="20"/>
        </w:rPr>
      </w:pPr>
      <w:r w:rsidRPr="004B77E0">
        <w:rPr>
          <w:sz w:val="18"/>
          <w:szCs w:val="20"/>
        </w:rPr>
        <w:t>the times when the product should be used;</w:t>
      </w:r>
    </w:p>
    <w:p w14:paraId="6D0BF09C" w14:textId="77777777" w:rsidR="008E67EA" w:rsidRPr="004B77E0" w:rsidRDefault="008E67EA">
      <w:pPr>
        <w:pStyle w:val="Leg5Paraa"/>
        <w:numPr>
          <w:ilvl w:val="0"/>
          <w:numId w:val="23"/>
        </w:numPr>
        <w:rPr>
          <w:sz w:val="18"/>
          <w:szCs w:val="20"/>
        </w:rPr>
      </w:pPr>
      <w:r w:rsidRPr="004B77E0">
        <w:rPr>
          <w:sz w:val="18"/>
          <w:szCs w:val="20"/>
        </w:rPr>
        <w:t>the frequency of the use of the product;</w:t>
      </w:r>
    </w:p>
    <w:p w14:paraId="7E1A8029" w14:textId="77777777" w:rsidR="008E67EA" w:rsidRPr="004B77E0" w:rsidRDefault="008E67EA">
      <w:pPr>
        <w:pStyle w:val="Leg5Paraa"/>
        <w:numPr>
          <w:ilvl w:val="0"/>
          <w:numId w:val="23"/>
        </w:numPr>
        <w:rPr>
          <w:sz w:val="18"/>
          <w:szCs w:val="20"/>
        </w:rPr>
      </w:pPr>
      <w:r w:rsidRPr="004B77E0">
        <w:rPr>
          <w:sz w:val="18"/>
          <w:szCs w:val="20"/>
        </w:rPr>
        <w:t>the withholding period after the use of the product;</w:t>
      </w:r>
    </w:p>
    <w:p w14:paraId="59B3AFE3" w14:textId="77777777" w:rsidR="008E67EA" w:rsidRPr="004B77E0" w:rsidRDefault="008E67EA">
      <w:pPr>
        <w:pStyle w:val="Leg5Paraa"/>
        <w:numPr>
          <w:ilvl w:val="0"/>
          <w:numId w:val="23"/>
        </w:numPr>
        <w:rPr>
          <w:sz w:val="18"/>
          <w:szCs w:val="20"/>
        </w:rPr>
      </w:pPr>
      <w:r w:rsidRPr="004B77E0">
        <w:rPr>
          <w:sz w:val="18"/>
          <w:szCs w:val="20"/>
        </w:rPr>
        <w:lastRenderedPageBreak/>
        <w:t>the re</w:t>
      </w:r>
      <w:r w:rsidRPr="004B77E0">
        <w:rPr>
          <w:sz w:val="18"/>
          <w:szCs w:val="20"/>
        </w:rPr>
        <w:noBreakHyphen/>
        <w:t>entry period after the use of the product;</w:t>
      </w:r>
    </w:p>
    <w:p w14:paraId="5D6F6F34" w14:textId="77777777" w:rsidR="008E67EA" w:rsidRPr="004B77E0" w:rsidRDefault="008E67EA">
      <w:pPr>
        <w:pStyle w:val="Leg5Paraa"/>
        <w:numPr>
          <w:ilvl w:val="0"/>
          <w:numId w:val="23"/>
        </w:numPr>
        <w:rPr>
          <w:sz w:val="18"/>
          <w:szCs w:val="20"/>
        </w:rPr>
      </w:pPr>
      <w:r w:rsidRPr="004B77E0">
        <w:rPr>
          <w:sz w:val="18"/>
          <w:szCs w:val="20"/>
        </w:rPr>
        <w:t>the disposal of the product when it is no longer required;</w:t>
      </w:r>
    </w:p>
    <w:p w14:paraId="170A12A2" w14:textId="77777777" w:rsidR="008E67EA" w:rsidRPr="004B77E0" w:rsidRDefault="008E67EA">
      <w:pPr>
        <w:pStyle w:val="Leg5Paraa"/>
        <w:numPr>
          <w:ilvl w:val="0"/>
          <w:numId w:val="23"/>
        </w:numPr>
        <w:rPr>
          <w:sz w:val="18"/>
          <w:szCs w:val="20"/>
        </w:rPr>
      </w:pPr>
      <w:r w:rsidRPr="004B77E0">
        <w:rPr>
          <w:sz w:val="18"/>
          <w:szCs w:val="20"/>
        </w:rPr>
        <w:t>the disposal of containers of the product;</w:t>
      </w:r>
    </w:p>
    <w:p w14:paraId="7879842D" w14:textId="77777777" w:rsidR="008E67EA" w:rsidRPr="004B77E0" w:rsidRDefault="008E67EA">
      <w:pPr>
        <w:pStyle w:val="Leg5Paraa"/>
        <w:numPr>
          <w:ilvl w:val="0"/>
          <w:numId w:val="23"/>
        </w:numPr>
        <w:rPr>
          <w:sz w:val="18"/>
          <w:szCs w:val="20"/>
        </w:rPr>
      </w:pPr>
      <w:r w:rsidRPr="004B77E0">
        <w:rPr>
          <w:sz w:val="18"/>
          <w:szCs w:val="20"/>
        </w:rPr>
        <w:t>the safe handling of the product and first aid in the event of an accident caused by the handling of the product;</w:t>
      </w:r>
    </w:p>
    <w:p w14:paraId="68D09C72" w14:textId="77777777" w:rsidR="008E67EA" w:rsidRPr="004B77E0" w:rsidRDefault="008E67EA">
      <w:pPr>
        <w:pStyle w:val="Leg5Paraa"/>
        <w:numPr>
          <w:ilvl w:val="0"/>
          <w:numId w:val="23"/>
        </w:numPr>
        <w:rPr>
          <w:sz w:val="18"/>
          <w:szCs w:val="20"/>
        </w:rPr>
      </w:pPr>
      <w:r w:rsidRPr="004B77E0">
        <w:rPr>
          <w:sz w:val="18"/>
          <w:szCs w:val="20"/>
        </w:rPr>
        <w:t>any matters prescribed by the regulations.</w:t>
      </w:r>
    </w:p>
    <w:p w14:paraId="260EA30C" w14:textId="77777777" w:rsidR="008E67EA" w:rsidRPr="00DB124C" w:rsidRDefault="008E67EA">
      <w:pPr>
        <w:pStyle w:val="Leg4Subsec1"/>
        <w:numPr>
          <w:ilvl w:val="0"/>
          <w:numId w:val="28"/>
        </w:numPr>
        <w:rPr>
          <w:sz w:val="18"/>
          <w:szCs w:val="20"/>
        </w:rPr>
      </w:pPr>
      <w:r w:rsidRPr="00DB124C">
        <w:rPr>
          <w:sz w:val="18"/>
          <w:szCs w:val="20"/>
        </w:rPr>
        <w:t>For the purposes of being satisfied as to whether a label meets the labelling criteria, the APVMA must have regard to the following:</w:t>
      </w:r>
    </w:p>
    <w:p w14:paraId="1A91D0D6" w14:textId="77777777" w:rsidR="008E67EA" w:rsidRPr="004B77E0" w:rsidRDefault="008E67EA">
      <w:pPr>
        <w:pStyle w:val="Leg5Paraa"/>
        <w:numPr>
          <w:ilvl w:val="0"/>
          <w:numId w:val="24"/>
        </w:numPr>
        <w:rPr>
          <w:sz w:val="18"/>
          <w:szCs w:val="20"/>
        </w:rPr>
      </w:pPr>
      <w:r w:rsidRPr="004B77E0">
        <w:rPr>
          <w:sz w:val="18"/>
          <w:szCs w:val="20"/>
        </w:rPr>
        <w:t>any conditions to which its approval is, or would be, subject;</w:t>
      </w:r>
    </w:p>
    <w:p w14:paraId="67057489" w14:textId="77777777" w:rsidR="008E67EA" w:rsidRPr="004B77E0" w:rsidRDefault="008E67EA">
      <w:pPr>
        <w:pStyle w:val="Leg5Paraa"/>
        <w:numPr>
          <w:ilvl w:val="0"/>
          <w:numId w:val="24"/>
        </w:numPr>
        <w:rPr>
          <w:sz w:val="18"/>
          <w:szCs w:val="20"/>
        </w:rPr>
      </w:pPr>
      <w:r w:rsidRPr="004B77E0">
        <w:rPr>
          <w:sz w:val="18"/>
          <w:szCs w:val="20"/>
        </w:rPr>
        <w:t>any relevant particulars and instructions that are, or would be, entered in the relevant APVMA file for the label;</w:t>
      </w:r>
    </w:p>
    <w:p w14:paraId="5754A0F5" w14:textId="77777777" w:rsidR="008E67EA" w:rsidRPr="004B77E0" w:rsidRDefault="008E67EA">
      <w:pPr>
        <w:pStyle w:val="Leg5Paraa"/>
        <w:numPr>
          <w:ilvl w:val="0"/>
          <w:numId w:val="24"/>
        </w:numPr>
        <w:rPr>
          <w:sz w:val="18"/>
          <w:szCs w:val="20"/>
        </w:rPr>
      </w:pPr>
      <w:r w:rsidRPr="004B77E0">
        <w:rPr>
          <w:sz w:val="18"/>
          <w:szCs w:val="20"/>
        </w:rPr>
        <w:t>whether the label conforms, or would conform, to any standard made for the label under section 6E to the extent that the standard relates to matters covered by subsection (1);</w:t>
      </w:r>
    </w:p>
    <w:p w14:paraId="64AFB423" w14:textId="77777777" w:rsidR="008E67EA" w:rsidRPr="004B77E0" w:rsidRDefault="008E67EA">
      <w:pPr>
        <w:pStyle w:val="Leg5Paraa"/>
        <w:numPr>
          <w:ilvl w:val="0"/>
          <w:numId w:val="24"/>
        </w:numPr>
        <w:rPr>
          <w:sz w:val="18"/>
          <w:szCs w:val="20"/>
        </w:rPr>
      </w:pPr>
      <w:r w:rsidRPr="004B77E0">
        <w:rPr>
          <w:sz w:val="18"/>
          <w:szCs w:val="20"/>
        </w:rPr>
        <w:t>any matters prescribed by the regulations.</w:t>
      </w:r>
    </w:p>
    <w:p w14:paraId="439E9A73" w14:textId="77777777" w:rsidR="008E67EA" w:rsidRDefault="008E67EA">
      <w:pPr>
        <w:pStyle w:val="NumberLevel1"/>
        <w:numPr>
          <w:ilvl w:val="0"/>
          <w:numId w:val="17"/>
        </w:numPr>
        <w:tabs>
          <w:tab w:val="clear" w:pos="709"/>
          <w:tab w:val="num" w:pos="2553"/>
        </w:tabs>
      </w:pPr>
      <w:r>
        <w:t>In regard to adequate instructions to be contained on a</w:t>
      </w:r>
      <w:r w:rsidRPr="00915367">
        <w:t xml:space="preserve"> label for containers for a chemical product</w:t>
      </w:r>
      <w:r>
        <w:t xml:space="preserve">, regulation 8AE of the Agvet </w:t>
      </w:r>
      <w:r w:rsidRPr="00100C25">
        <w:t>Regulations</w:t>
      </w:r>
      <w:r>
        <w:t xml:space="preserve"> prescribes the following:</w:t>
      </w:r>
    </w:p>
    <w:p w14:paraId="369811A8" w14:textId="77777777" w:rsidR="008E67EA" w:rsidRPr="00C574ED" w:rsidRDefault="008E67EA" w:rsidP="008E67EA">
      <w:pPr>
        <w:pStyle w:val="Leg1SecHead1"/>
        <w:ind w:hanging="709"/>
        <w:rPr>
          <w:sz w:val="18"/>
          <w:szCs w:val="18"/>
        </w:rPr>
      </w:pPr>
      <w:r w:rsidRPr="00C574ED">
        <w:rPr>
          <w:sz w:val="18"/>
          <w:szCs w:val="18"/>
        </w:rPr>
        <w:t>8AE Labelling criteria</w:t>
      </w:r>
    </w:p>
    <w:p w14:paraId="02EA38BF" w14:textId="77777777" w:rsidR="008E67EA" w:rsidRPr="00C574ED" w:rsidRDefault="008E67EA">
      <w:pPr>
        <w:pStyle w:val="Leg4Subsec1"/>
        <w:numPr>
          <w:ilvl w:val="0"/>
          <w:numId w:val="30"/>
        </w:numPr>
        <w:rPr>
          <w:sz w:val="18"/>
          <w:szCs w:val="20"/>
        </w:rPr>
      </w:pPr>
      <w:r w:rsidRPr="00C574ED">
        <w:rPr>
          <w:sz w:val="18"/>
          <w:szCs w:val="20"/>
        </w:rPr>
        <w:t>For paragraph 5D(1)(j) of the Code, the following are prescribed matters:</w:t>
      </w:r>
    </w:p>
    <w:p w14:paraId="6E8F9B46" w14:textId="77777777" w:rsidR="008E67EA" w:rsidRPr="00C574ED" w:rsidRDefault="008E67EA">
      <w:pPr>
        <w:pStyle w:val="Leg5Paraa"/>
        <w:numPr>
          <w:ilvl w:val="0"/>
          <w:numId w:val="18"/>
        </w:numPr>
        <w:rPr>
          <w:sz w:val="18"/>
          <w:szCs w:val="20"/>
        </w:rPr>
      </w:pPr>
      <w:r w:rsidRPr="00C574ED">
        <w:rPr>
          <w:sz w:val="18"/>
          <w:szCs w:val="20"/>
        </w:rPr>
        <w:t>for a chemical product that is a veterinary chemical product—the duration of any treatment using the product;</w:t>
      </w:r>
    </w:p>
    <w:p w14:paraId="1644CCDD" w14:textId="77777777" w:rsidR="008E67EA" w:rsidRPr="00C574ED" w:rsidRDefault="008E67EA">
      <w:pPr>
        <w:pStyle w:val="Leg5Paraa"/>
        <w:numPr>
          <w:ilvl w:val="0"/>
          <w:numId w:val="18"/>
        </w:numPr>
        <w:rPr>
          <w:sz w:val="18"/>
          <w:szCs w:val="20"/>
        </w:rPr>
      </w:pPr>
      <w:r w:rsidRPr="00C574ED">
        <w:rPr>
          <w:sz w:val="18"/>
          <w:szCs w:val="20"/>
        </w:rPr>
        <w:t>the prevention of undue prejudice to trade or commerce between Australia and places outside of Australia;</w:t>
      </w:r>
    </w:p>
    <w:p w14:paraId="6873EB36" w14:textId="77777777" w:rsidR="008E67EA" w:rsidRPr="00C574ED" w:rsidRDefault="008E67EA">
      <w:pPr>
        <w:pStyle w:val="Leg5Paraa"/>
        <w:numPr>
          <w:ilvl w:val="0"/>
          <w:numId w:val="18"/>
        </w:numPr>
        <w:rPr>
          <w:sz w:val="18"/>
          <w:szCs w:val="20"/>
        </w:rPr>
      </w:pPr>
      <w:r w:rsidRPr="00C574ED">
        <w:rPr>
          <w:sz w:val="18"/>
          <w:szCs w:val="20"/>
        </w:rPr>
        <w:t>the appropriate signal words (if any) required by the current Poisons Standard;</w:t>
      </w:r>
    </w:p>
    <w:p w14:paraId="421367E9" w14:textId="77777777" w:rsidR="008E67EA" w:rsidRPr="00C574ED" w:rsidRDefault="008E67EA">
      <w:pPr>
        <w:pStyle w:val="Leg5Paraa"/>
        <w:numPr>
          <w:ilvl w:val="0"/>
          <w:numId w:val="18"/>
        </w:numPr>
        <w:rPr>
          <w:sz w:val="18"/>
          <w:szCs w:val="20"/>
        </w:rPr>
      </w:pPr>
      <w:r w:rsidRPr="00C574ED">
        <w:rPr>
          <w:sz w:val="18"/>
          <w:szCs w:val="20"/>
        </w:rPr>
        <w:t>for a chemical product that is a date</w:t>
      </w:r>
      <w:r w:rsidRPr="00C574ED">
        <w:rPr>
          <w:sz w:val="18"/>
          <w:szCs w:val="20"/>
        </w:rPr>
        <w:noBreakHyphen/>
        <w:t>controlled chemical product—the storage of containers for the product;</w:t>
      </w:r>
    </w:p>
    <w:p w14:paraId="7D8621B1" w14:textId="77777777" w:rsidR="008E67EA" w:rsidRPr="00C574ED" w:rsidRDefault="008E67EA">
      <w:pPr>
        <w:pStyle w:val="Leg5Paraa"/>
        <w:numPr>
          <w:ilvl w:val="0"/>
          <w:numId w:val="18"/>
        </w:numPr>
        <w:rPr>
          <w:sz w:val="18"/>
          <w:szCs w:val="20"/>
        </w:rPr>
      </w:pPr>
      <w:r w:rsidRPr="00C574ED">
        <w:rPr>
          <w:sz w:val="18"/>
          <w:szCs w:val="20"/>
        </w:rPr>
        <w:t>any other matter determined by the APVMA CEO under subregulation (2).</w:t>
      </w:r>
    </w:p>
    <w:p w14:paraId="1DC79184" w14:textId="77777777" w:rsidR="008E67EA" w:rsidRPr="00C574ED" w:rsidRDefault="008E67EA">
      <w:pPr>
        <w:pStyle w:val="Leg4Subsec1"/>
        <w:numPr>
          <w:ilvl w:val="0"/>
          <w:numId w:val="30"/>
        </w:numPr>
        <w:rPr>
          <w:sz w:val="18"/>
          <w:szCs w:val="20"/>
        </w:rPr>
      </w:pPr>
      <w:r w:rsidRPr="00C574ED">
        <w:rPr>
          <w:sz w:val="18"/>
          <w:szCs w:val="20"/>
        </w:rPr>
        <w:t>For paragraph 6(2)(c) of the Act, the APVMA CEO may determine matters in relation to which a label must contain adequate instructions.</w:t>
      </w:r>
    </w:p>
    <w:p w14:paraId="0C264581" w14:textId="7F6AB5C5" w:rsidR="008E67EA" w:rsidRDefault="008E67EA">
      <w:pPr>
        <w:pStyle w:val="NumberLevel1"/>
        <w:numPr>
          <w:ilvl w:val="0"/>
          <w:numId w:val="17"/>
        </w:numPr>
        <w:tabs>
          <w:tab w:val="clear" w:pos="709"/>
          <w:tab w:val="num" w:pos="2553"/>
        </w:tabs>
      </w:pPr>
      <w:r>
        <w:t xml:space="preserve">As defined in section 3 of the Agvet Code, </w:t>
      </w:r>
      <w:r w:rsidRPr="00C95E16">
        <w:rPr>
          <w:b/>
          <w:bCs/>
          <w:i/>
          <w:iCs/>
        </w:rPr>
        <w:t>“adequate”</w:t>
      </w:r>
      <w:r>
        <w:t xml:space="preserve">, in relation to instructions on a label, ‘means adequate to ensure, as far as reasonably practicable, that the product meets the safety criteria and the trade criteria.’ These criteria are set out above, at paragraphs </w:t>
      </w:r>
      <w:r w:rsidR="002C111B">
        <w:fldChar w:fldCharType="begin"/>
      </w:r>
      <w:r w:rsidR="002C111B">
        <w:instrText xml:space="preserve"> REF _Ref216290428 \r \h </w:instrText>
      </w:r>
      <w:r w:rsidR="002C111B">
        <w:fldChar w:fldCharType="separate"/>
      </w:r>
      <w:r w:rsidR="002C0C2A">
        <w:t>15</w:t>
      </w:r>
      <w:r w:rsidR="002C111B">
        <w:fldChar w:fldCharType="end"/>
      </w:r>
      <w:r>
        <w:t xml:space="preserve"> and </w:t>
      </w:r>
      <w:r>
        <w:fldChar w:fldCharType="begin"/>
      </w:r>
      <w:r>
        <w:instrText xml:space="preserve"> REF _Ref193715586 \r \h </w:instrText>
      </w:r>
      <w:r>
        <w:fldChar w:fldCharType="separate"/>
      </w:r>
      <w:r w:rsidR="002C0C2A">
        <w:t>19</w:t>
      </w:r>
      <w:r>
        <w:fldChar w:fldCharType="end"/>
      </w:r>
      <w:r>
        <w:t>, respectively.</w:t>
      </w:r>
    </w:p>
    <w:p w14:paraId="33452375" w14:textId="77777777" w:rsidR="008E67EA" w:rsidRDefault="008E67EA">
      <w:pPr>
        <w:pStyle w:val="NumberLevel1"/>
        <w:numPr>
          <w:ilvl w:val="0"/>
          <w:numId w:val="17"/>
        </w:numPr>
        <w:tabs>
          <w:tab w:val="clear" w:pos="709"/>
          <w:tab w:val="num" w:pos="2553"/>
        </w:tabs>
      </w:pPr>
      <w:r>
        <w:t xml:space="preserve">There are no matters prescribed by the regulations with respect to section 5D(2)(d) of the Agvet Code. </w:t>
      </w:r>
    </w:p>
    <w:p w14:paraId="7E6DFED1" w14:textId="77777777" w:rsidR="008E67EA" w:rsidRDefault="008E67EA" w:rsidP="008E67EA">
      <w:pPr>
        <w:pStyle w:val="StatementofReasonsHeading3"/>
      </w:pPr>
      <w:bookmarkStart w:id="133" w:name="_Toc216090749"/>
      <w:r>
        <w:t>Relevant particulars</w:t>
      </w:r>
      <w:bookmarkEnd w:id="133"/>
    </w:p>
    <w:p w14:paraId="5CD5846C" w14:textId="77777777" w:rsidR="008E67EA" w:rsidRDefault="008E67EA">
      <w:pPr>
        <w:pStyle w:val="NumberLevel1"/>
        <w:numPr>
          <w:ilvl w:val="0"/>
          <w:numId w:val="17"/>
        </w:numPr>
        <w:tabs>
          <w:tab w:val="clear" w:pos="709"/>
          <w:tab w:val="num" w:pos="2553"/>
        </w:tabs>
      </w:pPr>
      <w:r>
        <w:t>As defined in section 3 of the Agvet Code,</w:t>
      </w:r>
      <w:r w:rsidRPr="000D25AF">
        <w:t xml:space="preserve"> in relation to the registration of a chemical product</w:t>
      </w:r>
      <w:r>
        <w:t xml:space="preserve">, the </w:t>
      </w:r>
      <w:r w:rsidRPr="000D25AF">
        <w:rPr>
          <w:b/>
          <w:bCs/>
          <w:i/>
          <w:iCs/>
        </w:rPr>
        <w:t>“relevant particulars”</w:t>
      </w:r>
      <w:r>
        <w:t xml:space="preserve"> means </w:t>
      </w:r>
      <w:r w:rsidRPr="000D25AF">
        <w:t>the distinguishing number, any instructions for use and any other particulars required by paragraph 20(1)(c) to be entered in the Register</w:t>
      </w:r>
      <w:r>
        <w:t xml:space="preserve">. The particulars prescribed by the regulations for the purpose of </w:t>
      </w:r>
      <w:r w:rsidRPr="00CD411A">
        <w:t>paragraph 20(1)(c)</w:t>
      </w:r>
      <w:r>
        <w:t xml:space="preserve"> of the Agvet Code are detailed in regulation 16 of the Agvet Regulations, as follows: </w:t>
      </w:r>
    </w:p>
    <w:p w14:paraId="0645FDAD" w14:textId="3082525B" w:rsidR="008E67EA" w:rsidRPr="00CD411A" w:rsidRDefault="008E67EA" w:rsidP="008E67EA">
      <w:pPr>
        <w:pStyle w:val="Leg1SecHead1"/>
        <w:ind w:hanging="709"/>
        <w:rPr>
          <w:sz w:val="18"/>
          <w:szCs w:val="18"/>
        </w:rPr>
      </w:pPr>
      <w:r w:rsidRPr="00CD411A">
        <w:rPr>
          <w:sz w:val="18"/>
          <w:szCs w:val="18"/>
        </w:rPr>
        <w:t>16 Particulars of registered chemical products to be recorded</w:t>
      </w:r>
    </w:p>
    <w:p w14:paraId="4621928A" w14:textId="77777777" w:rsidR="008E67EA" w:rsidRPr="00CD411A" w:rsidRDefault="008E67EA" w:rsidP="008E67EA">
      <w:pPr>
        <w:pStyle w:val="Leg4Subsec1"/>
        <w:rPr>
          <w:sz w:val="18"/>
          <w:szCs w:val="20"/>
        </w:rPr>
      </w:pPr>
      <w:r w:rsidRPr="00CD411A">
        <w:rPr>
          <w:sz w:val="18"/>
          <w:szCs w:val="20"/>
        </w:rPr>
        <w:t>For paragraph 20(1)(c) of the Code, the following particulars are prescribed:</w:t>
      </w:r>
    </w:p>
    <w:p w14:paraId="10FF96EC" w14:textId="77777777" w:rsidR="008E67EA" w:rsidRPr="00CD411A" w:rsidRDefault="008E67EA" w:rsidP="008E67EA">
      <w:pPr>
        <w:pStyle w:val="Leg5Paraa"/>
        <w:ind w:left="1636" w:hanging="360"/>
        <w:rPr>
          <w:sz w:val="18"/>
          <w:szCs w:val="20"/>
        </w:rPr>
      </w:pPr>
      <w:r w:rsidRPr="00CD411A">
        <w:rPr>
          <w:sz w:val="18"/>
          <w:szCs w:val="20"/>
        </w:rPr>
        <w:t> (a) the distinguishing name of the chemical product;</w:t>
      </w:r>
    </w:p>
    <w:p w14:paraId="384D8698" w14:textId="77777777" w:rsidR="008E67EA" w:rsidRPr="00CD411A" w:rsidRDefault="008E67EA" w:rsidP="008E67EA">
      <w:pPr>
        <w:pStyle w:val="Leg5Paraa"/>
        <w:ind w:left="1636" w:hanging="360"/>
        <w:rPr>
          <w:sz w:val="18"/>
          <w:szCs w:val="20"/>
        </w:rPr>
      </w:pPr>
      <w:r w:rsidRPr="00CD411A">
        <w:rPr>
          <w:sz w:val="18"/>
          <w:szCs w:val="20"/>
        </w:rPr>
        <w:t> (b) the constituents of the chemical product;</w:t>
      </w:r>
    </w:p>
    <w:p w14:paraId="11314B2A" w14:textId="77777777" w:rsidR="008E67EA" w:rsidRPr="00CD411A" w:rsidRDefault="008E67EA" w:rsidP="008E67EA">
      <w:pPr>
        <w:pStyle w:val="Leg5Paraa"/>
        <w:ind w:left="1636" w:hanging="360"/>
        <w:rPr>
          <w:sz w:val="18"/>
          <w:szCs w:val="20"/>
        </w:rPr>
      </w:pPr>
      <w:r w:rsidRPr="00CD411A">
        <w:rPr>
          <w:sz w:val="18"/>
          <w:szCs w:val="20"/>
        </w:rPr>
        <w:lastRenderedPageBreak/>
        <w:t> (c) the concentration of each constituent of the chemical product;</w:t>
      </w:r>
    </w:p>
    <w:p w14:paraId="2B1D4AD9" w14:textId="77777777" w:rsidR="008E67EA" w:rsidRPr="00CD411A" w:rsidRDefault="008E67EA" w:rsidP="008E67EA">
      <w:pPr>
        <w:pStyle w:val="Leg5Paraa"/>
        <w:ind w:left="1636" w:hanging="360"/>
        <w:rPr>
          <w:sz w:val="18"/>
          <w:szCs w:val="20"/>
        </w:rPr>
      </w:pPr>
      <w:r w:rsidRPr="00CD411A">
        <w:rPr>
          <w:sz w:val="18"/>
          <w:szCs w:val="20"/>
        </w:rPr>
        <w:t> (d) if possible, the composition and purity of each active constituent of the chemical product;</w:t>
      </w:r>
    </w:p>
    <w:p w14:paraId="1DCD3057" w14:textId="77777777" w:rsidR="008E67EA" w:rsidRPr="00CD411A" w:rsidRDefault="008E67EA" w:rsidP="008E67EA">
      <w:pPr>
        <w:pStyle w:val="Leg5Paraa"/>
        <w:ind w:left="1636" w:hanging="360"/>
        <w:rPr>
          <w:sz w:val="18"/>
          <w:szCs w:val="20"/>
        </w:rPr>
      </w:pPr>
      <w:r w:rsidRPr="00CD411A">
        <w:rPr>
          <w:sz w:val="18"/>
          <w:szCs w:val="20"/>
        </w:rPr>
        <w:t> (da) the formulation type for the chemical product;</w:t>
      </w:r>
    </w:p>
    <w:p w14:paraId="63C43459" w14:textId="77777777" w:rsidR="008E67EA" w:rsidRPr="00CD411A" w:rsidRDefault="008E67EA" w:rsidP="008E67EA">
      <w:pPr>
        <w:pStyle w:val="Leg5Paraa"/>
        <w:ind w:left="1636" w:hanging="360"/>
        <w:rPr>
          <w:sz w:val="18"/>
          <w:szCs w:val="20"/>
        </w:rPr>
      </w:pPr>
      <w:r w:rsidRPr="00CD411A">
        <w:rPr>
          <w:sz w:val="18"/>
          <w:szCs w:val="20"/>
        </w:rPr>
        <w:t> (db) the net contents for the chemical product;</w:t>
      </w:r>
    </w:p>
    <w:p w14:paraId="791923C1" w14:textId="77777777" w:rsidR="008E67EA" w:rsidRPr="00CD411A" w:rsidRDefault="008E67EA" w:rsidP="008E67EA">
      <w:pPr>
        <w:pStyle w:val="Leg5Paraa"/>
        <w:ind w:left="1636" w:hanging="360"/>
        <w:rPr>
          <w:sz w:val="18"/>
          <w:szCs w:val="20"/>
        </w:rPr>
      </w:pPr>
      <w:r w:rsidRPr="00CD411A">
        <w:rPr>
          <w:sz w:val="18"/>
          <w:szCs w:val="20"/>
        </w:rPr>
        <w:t> (e) identifying information for the holder of the registration of the chemical product;</w:t>
      </w:r>
    </w:p>
    <w:p w14:paraId="547D92C1" w14:textId="77777777" w:rsidR="008E67EA" w:rsidRPr="00CD411A" w:rsidRDefault="008E67EA" w:rsidP="008E67EA">
      <w:pPr>
        <w:pStyle w:val="Leg5Paraa"/>
        <w:ind w:left="1636" w:hanging="360"/>
        <w:rPr>
          <w:sz w:val="18"/>
          <w:szCs w:val="20"/>
        </w:rPr>
      </w:pPr>
      <w:r w:rsidRPr="00CD411A">
        <w:rPr>
          <w:sz w:val="18"/>
          <w:szCs w:val="20"/>
        </w:rPr>
        <w:t> (g) the name of each manufacturer of the chemical product;</w:t>
      </w:r>
    </w:p>
    <w:p w14:paraId="7073E8D3" w14:textId="77777777" w:rsidR="008E67EA" w:rsidRPr="00CD411A" w:rsidRDefault="008E67EA" w:rsidP="008E67EA">
      <w:pPr>
        <w:pStyle w:val="Leg5Paraa"/>
        <w:ind w:left="1636" w:hanging="360"/>
        <w:rPr>
          <w:sz w:val="18"/>
          <w:szCs w:val="20"/>
        </w:rPr>
      </w:pPr>
      <w:r w:rsidRPr="00CD411A">
        <w:rPr>
          <w:sz w:val="18"/>
          <w:szCs w:val="20"/>
        </w:rPr>
        <w:t> (h) the address of each site at which the chemical product is manufactured by the manufacturer;</w:t>
      </w:r>
    </w:p>
    <w:p w14:paraId="29B7EA61" w14:textId="77777777" w:rsidR="008E67EA" w:rsidRPr="00CD411A" w:rsidRDefault="008E67EA" w:rsidP="008E67EA">
      <w:pPr>
        <w:pStyle w:val="Leg5Paraa"/>
        <w:ind w:left="1636" w:hanging="360"/>
        <w:rPr>
          <w:sz w:val="18"/>
          <w:szCs w:val="20"/>
        </w:rPr>
      </w:pPr>
      <w:r w:rsidRPr="00CD411A">
        <w:rPr>
          <w:sz w:val="18"/>
          <w:szCs w:val="20"/>
        </w:rPr>
        <w:t> (j) the date of entry of these particulars in the Register of Chemical Products;</w:t>
      </w:r>
    </w:p>
    <w:p w14:paraId="0FA74B4E" w14:textId="77777777" w:rsidR="008E67EA" w:rsidRPr="00CD411A" w:rsidRDefault="008E67EA" w:rsidP="008E67EA">
      <w:pPr>
        <w:pStyle w:val="Leg5Paraa"/>
        <w:ind w:left="1636" w:hanging="360"/>
        <w:rPr>
          <w:sz w:val="18"/>
          <w:szCs w:val="20"/>
        </w:rPr>
      </w:pPr>
      <w:r w:rsidRPr="00CD411A">
        <w:rPr>
          <w:sz w:val="18"/>
          <w:szCs w:val="20"/>
        </w:rPr>
        <w:t> (k) identifying information for any nominated agent for the registration.</w:t>
      </w:r>
    </w:p>
    <w:p w14:paraId="2000AE6E" w14:textId="77777777" w:rsidR="008E67EA" w:rsidRPr="000F0CBB" w:rsidRDefault="008E67EA">
      <w:pPr>
        <w:pStyle w:val="NumberLevel1"/>
        <w:numPr>
          <w:ilvl w:val="0"/>
          <w:numId w:val="17"/>
        </w:numPr>
        <w:tabs>
          <w:tab w:val="clear" w:pos="709"/>
          <w:tab w:val="num" w:pos="2553"/>
        </w:tabs>
        <w:rPr>
          <w:color w:val="000000" w:themeColor="text1"/>
        </w:rPr>
      </w:pPr>
      <w:r w:rsidRPr="000F0CBB">
        <w:rPr>
          <w:color w:val="000000" w:themeColor="text1"/>
        </w:rPr>
        <w:t xml:space="preserve">I note that the term </w:t>
      </w:r>
      <w:r w:rsidRPr="000F0CBB">
        <w:rPr>
          <w:b/>
          <w:bCs/>
          <w:i/>
          <w:iCs/>
          <w:color w:val="000000" w:themeColor="text1"/>
        </w:rPr>
        <w:t>“instructions for use”</w:t>
      </w:r>
      <w:r w:rsidRPr="000F0CBB">
        <w:rPr>
          <w:color w:val="000000" w:themeColor="text1"/>
        </w:rPr>
        <w:t xml:space="preserve"> as used in this statement of reasons means the </w:t>
      </w:r>
      <w:r>
        <w:rPr>
          <w:color w:val="000000" w:themeColor="text1"/>
        </w:rPr>
        <w:t xml:space="preserve">chemical product </w:t>
      </w:r>
      <w:r w:rsidRPr="000F0CBB">
        <w:rPr>
          <w:color w:val="000000" w:themeColor="text1"/>
        </w:rPr>
        <w:t>relevant particular of any instructions for use to be entered in the Register.</w:t>
      </w:r>
    </w:p>
    <w:p w14:paraId="55306330" w14:textId="77777777" w:rsidR="008E67EA" w:rsidRDefault="008E67EA">
      <w:pPr>
        <w:pStyle w:val="NumberLevel1"/>
        <w:numPr>
          <w:ilvl w:val="0"/>
          <w:numId w:val="17"/>
        </w:numPr>
        <w:tabs>
          <w:tab w:val="clear" w:pos="709"/>
          <w:tab w:val="num" w:pos="2553"/>
        </w:tabs>
      </w:pPr>
      <w:r>
        <w:t>As defined in section 3 of the Agvet Code,</w:t>
      </w:r>
      <w:r w:rsidRPr="000D25AF">
        <w:t xml:space="preserve"> in relation to </w:t>
      </w:r>
      <w:r>
        <w:t>t</w:t>
      </w:r>
      <w:r w:rsidRPr="000D25AF">
        <w:t>he approval of a label</w:t>
      </w:r>
      <w:r>
        <w:t xml:space="preserve">, the </w:t>
      </w:r>
      <w:r w:rsidRPr="000305BA">
        <w:rPr>
          <w:b/>
          <w:bCs/>
          <w:i/>
          <w:iCs/>
        </w:rPr>
        <w:t>“relevant particulars”</w:t>
      </w:r>
      <w:r>
        <w:t xml:space="preserve"> means </w:t>
      </w:r>
      <w:r w:rsidRPr="000D25AF">
        <w:t>the information required to be recorded in the relevant APVMA file by subparagraphs 21(c)(i) to (iva)</w:t>
      </w:r>
      <w:r>
        <w:t>. Section 21 of the Agvet Code details how the approval of a label takes place, including the information to be recorded in the relevant APVMA file, as follows:</w:t>
      </w:r>
    </w:p>
    <w:p w14:paraId="3C5A0F3D" w14:textId="5F1ECC78" w:rsidR="008E67EA" w:rsidRPr="00576A79" w:rsidRDefault="008E67EA" w:rsidP="008E67EA">
      <w:pPr>
        <w:pStyle w:val="Leg1SecHead1"/>
        <w:ind w:hanging="709"/>
        <w:rPr>
          <w:sz w:val="18"/>
          <w:szCs w:val="18"/>
        </w:rPr>
      </w:pPr>
      <w:r w:rsidRPr="00576A79">
        <w:rPr>
          <w:sz w:val="18"/>
          <w:szCs w:val="18"/>
        </w:rPr>
        <w:t>21 How approval of label takes place</w:t>
      </w:r>
    </w:p>
    <w:p w14:paraId="66077917" w14:textId="4CC68E01" w:rsidR="008E67EA" w:rsidRPr="00576A79" w:rsidRDefault="008E67EA" w:rsidP="008E67EA">
      <w:pPr>
        <w:pStyle w:val="Leg4Subsec1"/>
        <w:rPr>
          <w:sz w:val="18"/>
          <w:szCs w:val="20"/>
        </w:rPr>
      </w:pPr>
      <w:r w:rsidRPr="00576A79">
        <w:rPr>
          <w:sz w:val="18"/>
          <w:szCs w:val="20"/>
        </w:rPr>
        <w:t> Approval of a label takes place when the APVMA:</w:t>
      </w:r>
    </w:p>
    <w:p w14:paraId="47BD50B4" w14:textId="77777777" w:rsidR="008E67EA" w:rsidRPr="00576A79" w:rsidRDefault="008E67EA" w:rsidP="008E67EA">
      <w:pPr>
        <w:pStyle w:val="Leg5Paraa"/>
        <w:ind w:left="1636" w:hanging="360"/>
        <w:rPr>
          <w:sz w:val="18"/>
          <w:szCs w:val="20"/>
        </w:rPr>
      </w:pPr>
      <w:r>
        <w:t> </w:t>
      </w:r>
      <w:r w:rsidRPr="00576A79">
        <w:rPr>
          <w:sz w:val="18"/>
          <w:szCs w:val="20"/>
        </w:rPr>
        <w:t>(a) determines the particulars prescribed by the regulations that are appropriate to be contained on the label; and</w:t>
      </w:r>
    </w:p>
    <w:p w14:paraId="44CDF211" w14:textId="77777777" w:rsidR="008E67EA" w:rsidRPr="00576A79" w:rsidRDefault="008E67EA" w:rsidP="008E67EA">
      <w:pPr>
        <w:pStyle w:val="Leg5Paraa"/>
        <w:ind w:left="1636" w:hanging="360"/>
        <w:rPr>
          <w:sz w:val="18"/>
          <w:szCs w:val="20"/>
        </w:rPr>
      </w:pPr>
      <w:r w:rsidRPr="00576A79">
        <w:rPr>
          <w:sz w:val="18"/>
          <w:szCs w:val="20"/>
        </w:rPr>
        <w:t> (b) gives a distinguishing number to the label; and</w:t>
      </w:r>
    </w:p>
    <w:p w14:paraId="2BCC4680" w14:textId="77777777" w:rsidR="008E67EA" w:rsidRPr="00576A79" w:rsidRDefault="008E67EA" w:rsidP="008E67EA">
      <w:pPr>
        <w:pStyle w:val="Leg5Paraa"/>
        <w:ind w:left="1636" w:hanging="360"/>
        <w:rPr>
          <w:sz w:val="18"/>
          <w:szCs w:val="20"/>
        </w:rPr>
      </w:pPr>
      <w:r w:rsidRPr="00576A79">
        <w:rPr>
          <w:sz w:val="18"/>
          <w:szCs w:val="20"/>
        </w:rPr>
        <w:t> (c) records the following information in the relevant APVMA file:</w:t>
      </w:r>
    </w:p>
    <w:p w14:paraId="56B96B8C" w14:textId="77777777" w:rsidR="008E67EA" w:rsidRPr="00576A79" w:rsidRDefault="008E67EA">
      <w:pPr>
        <w:pStyle w:val="Leg5Paraa"/>
        <w:numPr>
          <w:ilvl w:val="1"/>
          <w:numId w:val="19"/>
        </w:numPr>
        <w:rPr>
          <w:sz w:val="18"/>
          <w:szCs w:val="20"/>
        </w:rPr>
      </w:pPr>
      <w:r w:rsidRPr="00576A79">
        <w:rPr>
          <w:sz w:val="18"/>
          <w:szCs w:val="20"/>
        </w:rPr>
        <w:t>the name of the person who applied for the approval as the holder of the approval;</w:t>
      </w:r>
    </w:p>
    <w:p w14:paraId="225FCBE7" w14:textId="77777777" w:rsidR="008E67EA" w:rsidRPr="00576A79" w:rsidRDefault="008E67EA">
      <w:pPr>
        <w:pStyle w:val="Leg5Paraa"/>
        <w:numPr>
          <w:ilvl w:val="1"/>
          <w:numId w:val="19"/>
        </w:numPr>
        <w:rPr>
          <w:sz w:val="18"/>
          <w:szCs w:val="20"/>
        </w:rPr>
      </w:pPr>
      <w:r w:rsidRPr="00576A79">
        <w:rPr>
          <w:sz w:val="18"/>
          <w:szCs w:val="20"/>
        </w:rPr>
        <w:t>the name of any nominated agent for the approval;</w:t>
      </w:r>
    </w:p>
    <w:p w14:paraId="501E21ED" w14:textId="77777777" w:rsidR="008E67EA" w:rsidRPr="00576A79" w:rsidRDefault="008E67EA">
      <w:pPr>
        <w:pStyle w:val="Leg5Paraa"/>
        <w:numPr>
          <w:ilvl w:val="1"/>
          <w:numId w:val="19"/>
        </w:numPr>
        <w:rPr>
          <w:sz w:val="18"/>
          <w:szCs w:val="20"/>
        </w:rPr>
      </w:pPr>
      <w:r w:rsidRPr="00576A79">
        <w:rPr>
          <w:sz w:val="18"/>
          <w:szCs w:val="20"/>
        </w:rPr>
        <w:t>the distinguishing number;</w:t>
      </w:r>
    </w:p>
    <w:p w14:paraId="2F08661A" w14:textId="77777777" w:rsidR="008E67EA" w:rsidRPr="00576A79" w:rsidRDefault="008E67EA">
      <w:pPr>
        <w:pStyle w:val="Leg5Paraa"/>
        <w:numPr>
          <w:ilvl w:val="1"/>
          <w:numId w:val="19"/>
        </w:numPr>
        <w:rPr>
          <w:sz w:val="18"/>
          <w:szCs w:val="20"/>
        </w:rPr>
      </w:pPr>
      <w:r w:rsidRPr="00576A79">
        <w:rPr>
          <w:sz w:val="18"/>
          <w:szCs w:val="20"/>
        </w:rPr>
        <w:t>the instructions and any particulars that are to be contained on the label;</w:t>
      </w:r>
    </w:p>
    <w:p w14:paraId="7041C796" w14:textId="77777777" w:rsidR="008E67EA" w:rsidRPr="00576A79" w:rsidRDefault="008E67EA" w:rsidP="008E67EA">
      <w:pPr>
        <w:pStyle w:val="Leg5Paraa"/>
        <w:ind w:left="2268" w:hanging="360"/>
        <w:rPr>
          <w:sz w:val="18"/>
          <w:szCs w:val="20"/>
        </w:rPr>
      </w:pPr>
      <w:r w:rsidRPr="00576A79">
        <w:rPr>
          <w:sz w:val="18"/>
          <w:szCs w:val="20"/>
        </w:rPr>
        <w:t> (iva) any other particulars prescribed by the regulations;</w:t>
      </w:r>
    </w:p>
    <w:p w14:paraId="2692C506" w14:textId="77777777" w:rsidR="008E67EA" w:rsidRPr="00576A79" w:rsidRDefault="008E67EA">
      <w:pPr>
        <w:pStyle w:val="Leg5Paraa"/>
        <w:numPr>
          <w:ilvl w:val="1"/>
          <w:numId w:val="19"/>
        </w:numPr>
        <w:rPr>
          <w:sz w:val="18"/>
          <w:szCs w:val="20"/>
        </w:rPr>
      </w:pPr>
      <w:r w:rsidRPr="00576A79">
        <w:rPr>
          <w:sz w:val="18"/>
          <w:szCs w:val="20"/>
        </w:rPr>
        <w:t>any conditions of the approval imposed by the APVMA.</w:t>
      </w:r>
    </w:p>
    <w:p w14:paraId="679D30A6" w14:textId="77777777" w:rsidR="008E67EA" w:rsidRDefault="008E67EA">
      <w:pPr>
        <w:pStyle w:val="NumberLevel1"/>
        <w:numPr>
          <w:ilvl w:val="0"/>
          <w:numId w:val="17"/>
        </w:numPr>
        <w:tabs>
          <w:tab w:val="clear" w:pos="709"/>
          <w:tab w:val="num" w:pos="2553"/>
        </w:tabs>
      </w:pPr>
      <w:r>
        <w:t xml:space="preserve">The particulars prescribed for the purposes of paragraph 21(a) and subparagraph 21(c)(iva) of the Agvet Code are set out in regulation 17 of the Agvet Regulations, as detailed below. The particulars prescribed in subregulation 17(1) of the Agvet Regulations are also the particulars that are to be contained on the label and recorded in the relevant APVMA for the purposes of subparagraph 21(c)(iv) of the Agvet Code. </w:t>
      </w:r>
    </w:p>
    <w:p w14:paraId="1460365C" w14:textId="1AB079CD" w:rsidR="008E67EA" w:rsidRPr="000305BA" w:rsidRDefault="008E67EA" w:rsidP="008E67EA">
      <w:pPr>
        <w:pStyle w:val="Leg1SecHead1"/>
        <w:ind w:hanging="709"/>
        <w:rPr>
          <w:sz w:val="18"/>
          <w:szCs w:val="18"/>
        </w:rPr>
      </w:pPr>
      <w:r w:rsidRPr="000305BA">
        <w:rPr>
          <w:sz w:val="18"/>
          <w:szCs w:val="18"/>
        </w:rPr>
        <w:t>17 Particulars for label</w:t>
      </w:r>
    </w:p>
    <w:p w14:paraId="4A122A08" w14:textId="77777777" w:rsidR="008E67EA" w:rsidRPr="000305BA" w:rsidRDefault="008E67EA">
      <w:pPr>
        <w:pStyle w:val="Leg4Subsec1"/>
        <w:numPr>
          <w:ilvl w:val="0"/>
          <w:numId w:val="33"/>
        </w:numPr>
        <w:rPr>
          <w:sz w:val="18"/>
          <w:szCs w:val="20"/>
        </w:rPr>
      </w:pPr>
      <w:r w:rsidRPr="000305BA">
        <w:rPr>
          <w:sz w:val="18"/>
          <w:szCs w:val="20"/>
        </w:rPr>
        <w:t>For paragraph 21(a) of the Code, the following particulars are prescribed:</w:t>
      </w:r>
    </w:p>
    <w:p w14:paraId="35E3611B" w14:textId="77777777" w:rsidR="008E67EA" w:rsidRPr="000305BA" w:rsidRDefault="008E67EA">
      <w:pPr>
        <w:pStyle w:val="Leg5Paraa"/>
        <w:numPr>
          <w:ilvl w:val="0"/>
          <w:numId w:val="31"/>
        </w:numPr>
        <w:rPr>
          <w:sz w:val="18"/>
          <w:szCs w:val="20"/>
        </w:rPr>
      </w:pPr>
      <w:r w:rsidRPr="000305BA">
        <w:rPr>
          <w:sz w:val="18"/>
          <w:szCs w:val="20"/>
        </w:rPr>
        <w:t>the appropriate signal words required by the current Poisons Standard;</w:t>
      </w:r>
    </w:p>
    <w:p w14:paraId="6F11075F" w14:textId="77777777" w:rsidR="008E67EA" w:rsidRPr="000305BA" w:rsidRDefault="008E67EA">
      <w:pPr>
        <w:pStyle w:val="Leg5Paraa"/>
        <w:numPr>
          <w:ilvl w:val="0"/>
          <w:numId w:val="31"/>
        </w:numPr>
        <w:rPr>
          <w:sz w:val="18"/>
          <w:szCs w:val="20"/>
        </w:rPr>
      </w:pPr>
      <w:r w:rsidRPr="000305BA">
        <w:rPr>
          <w:sz w:val="18"/>
          <w:szCs w:val="20"/>
        </w:rPr>
        <w:t>the name of the chemical product that is to appear on a label for containers of the chemical product;</w:t>
      </w:r>
    </w:p>
    <w:p w14:paraId="7B54BB0C" w14:textId="77777777" w:rsidR="008E67EA" w:rsidRPr="000305BA" w:rsidRDefault="008E67EA">
      <w:pPr>
        <w:pStyle w:val="Leg5Paraa"/>
        <w:numPr>
          <w:ilvl w:val="0"/>
          <w:numId w:val="31"/>
        </w:numPr>
        <w:rPr>
          <w:sz w:val="18"/>
          <w:szCs w:val="20"/>
        </w:rPr>
      </w:pPr>
      <w:r w:rsidRPr="000305BA">
        <w:rPr>
          <w:sz w:val="18"/>
          <w:szCs w:val="20"/>
        </w:rPr>
        <w:t>the name of each active constituent of the product;</w:t>
      </w:r>
    </w:p>
    <w:p w14:paraId="7C98BF28" w14:textId="77777777" w:rsidR="008E67EA" w:rsidRPr="000305BA" w:rsidRDefault="008E67EA">
      <w:pPr>
        <w:pStyle w:val="Leg5Paraa"/>
        <w:numPr>
          <w:ilvl w:val="0"/>
          <w:numId w:val="31"/>
        </w:numPr>
        <w:rPr>
          <w:sz w:val="18"/>
          <w:szCs w:val="20"/>
        </w:rPr>
      </w:pPr>
      <w:r w:rsidRPr="000305BA">
        <w:rPr>
          <w:sz w:val="18"/>
          <w:szCs w:val="20"/>
        </w:rPr>
        <w:t>the proportion of each active constituent of the product;</w:t>
      </w:r>
    </w:p>
    <w:p w14:paraId="0AEA4EDB" w14:textId="77777777" w:rsidR="008E67EA" w:rsidRPr="000305BA" w:rsidRDefault="008E67EA">
      <w:pPr>
        <w:pStyle w:val="Leg5Paraa"/>
        <w:numPr>
          <w:ilvl w:val="0"/>
          <w:numId w:val="31"/>
        </w:numPr>
        <w:rPr>
          <w:sz w:val="18"/>
          <w:szCs w:val="20"/>
        </w:rPr>
      </w:pPr>
      <w:r w:rsidRPr="000305BA">
        <w:rPr>
          <w:sz w:val="18"/>
          <w:szCs w:val="20"/>
        </w:rPr>
        <w:t>the name of each constituent for the product that is:</w:t>
      </w:r>
    </w:p>
    <w:p w14:paraId="59DFDBA2" w14:textId="77777777" w:rsidR="008E67EA" w:rsidRPr="000305BA" w:rsidRDefault="008E67EA">
      <w:pPr>
        <w:pStyle w:val="Leg5Paraa"/>
        <w:numPr>
          <w:ilvl w:val="0"/>
          <w:numId w:val="32"/>
        </w:numPr>
        <w:rPr>
          <w:sz w:val="18"/>
          <w:szCs w:val="20"/>
        </w:rPr>
      </w:pPr>
      <w:r w:rsidRPr="000305BA">
        <w:rPr>
          <w:sz w:val="18"/>
          <w:szCs w:val="20"/>
        </w:rPr>
        <w:t>not an active constituent; and</w:t>
      </w:r>
    </w:p>
    <w:p w14:paraId="7BF9B8E7" w14:textId="77777777" w:rsidR="008E67EA" w:rsidRPr="000305BA" w:rsidRDefault="008E67EA">
      <w:pPr>
        <w:pStyle w:val="Leg5Paraa"/>
        <w:numPr>
          <w:ilvl w:val="0"/>
          <w:numId w:val="32"/>
        </w:numPr>
        <w:rPr>
          <w:sz w:val="18"/>
          <w:szCs w:val="20"/>
        </w:rPr>
      </w:pPr>
      <w:r w:rsidRPr="000305BA">
        <w:rPr>
          <w:sz w:val="18"/>
          <w:szCs w:val="20"/>
        </w:rPr>
        <w:t>classified as a poison in the current Poisons Standard;</w:t>
      </w:r>
    </w:p>
    <w:p w14:paraId="36377B11" w14:textId="77777777" w:rsidR="008E67EA" w:rsidRPr="000305BA" w:rsidRDefault="008E67EA">
      <w:pPr>
        <w:pStyle w:val="Leg5Paraa"/>
        <w:numPr>
          <w:ilvl w:val="0"/>
          <w:numId w:val="31"/>
        </w:numPr>
        <w:rPr>
          <w:sz w:val="18"/>
          <w:szCs w:val="20"/>
        </w:rPr>
      </w:pPr>
      <w:r w:rsidRPr="000305BA">
        <w:rPr>
          <w:sz w:val="18"/>
          <w:szCs w:val="20"/>
        </w:rPr>
        <w:t> the proportion of each constituent referred to in paragraph (e);</w:t>
      </w:r>
    </w:p>
    <w:p w14:paraId="09790C7A" w14:textId="71F97299" w:rsidR="008E67EA" w:rsidRDefault="008E67EA" w:rsidP="008E67EA">
      <w:pPr>
        <w:pStyle w:val="Leg5Paraa"/>
        <w:ind w:left="1418" w:hanging="142"/>
        <w:rPr>
          <w:sz w:val="18"/>
          <w:szCs w:val="20"/>
        </w:rPr>
      </w:pPr>
      <w:r w:rsidRPr="000305BA">
        <w:rPr>
          <w:sz w:val="18"/>
          <w:szCs w:val="20"/>
        </w:rPr>
        <w:lastRenderedPageBreak/>
        <w:t>(h) the net contents of the product;</w:t>
      </w:r>
    </w:p>
    <w:p w14:paraId="03E05ADF" w14:textId="27809899" w:rsidR="008E67EA" w:rsidRPr="000305BA" w:rsidRDefault="008E67EA" w:rsidP="008E67EA">
      <w:pPr>
        <w:pStyle w:val="Leg5Paraa"/>
        <w:rPr>
          <w:sz w:val="18"/>
          <w:szCs w:val="20"/>
        </w:rPr>
      </w:pPr>
      <w:r w:rsidRPr="000305BA">
        <w:rPr>
          <w:sz w:val="18"/>
          <w:szCs w:val="20"/>
        </w:rPr>
        <w:t>(j)</w:t>
      </w:r>
      <w:r w:rsidR="00A34D88">
        <w:rPr>
          <w:sz w:val="18"/>
          <w:szCs w:val="20"/>
        </w:rPr>
        <w:t xml:space="preserve"> </w:t>
      </w:r>
      <w:r w:rsidRPr="000305BA">
        <w:rPr>
          <w:sz w:val="18"/>
          <w:szCs w:val="20"/>
        </w:rPr>
        <w:t>particulars determined by the APVMA CEO under subregulation (2).</w:t>
      </w:r>
    </w:p>
    <w:p w14:paraId="510AD97A" w14:textId="77777777" w:rsidR="008E67EA" w:rsidRPr="000305BA" w:rsidRDefault="008E67EA">
      <w:pPr>
        <w:pStyle w:val="Leg4Subsec1"/>
        <w:numPr>
          <w:ilvl w:val="0"/>
          <w:numId w:val="33"/>
        </w:numPr>
        <w:rPr>
          <w:sz w:val="18"/>
          <w:szCs w:val="20"/>
        </w:rPr>
      </w:pPr>
      <w:r w:rsidRPr="000305BA">
        <w:rPr>
          <w:sz w:val="18"/>
          <w:szCs w:val="20"/>
        </w:rPr>
        <w:t>For paragraph 6(2)(c) of the Act, the APVMA CEO may determine additional particulars to be placed on a label for a product.</w:t>
      </w:r>
    </w:p>
    <w:p w14:paraId="28460D91" w14:textId="77777777" w:rsidR="008E67EA" w:rsidRPr="000305BA" w:rsidRDefault="008E67EA">
      <w:pPr>
        <w:pStyle w:val="Leg4Subsec1"/>
        <w:numPr>
          <w:ilvl w:val="0"/>
          <w:numId w:val="33"/>
        </w:numPr>
        <w:rPr>
          <w:sz w:val="18"/>
          <w:szCs w:val="20"/>
        </w:rPr>
      </w:pPr>
      <w:r w:rsidRPr="000305BA">
        <w:rPr>
          <w:sz w:val="18"/>
          <w:szCs w:val="20"/>
        </w:rPr>
        <w:t>For subparagraph 21(c)(iva) of the Code, the following information is prescribed in relation to the approval of a label for a chemical product, unless the information has already been recorded for the approval of the label as part of the registration of the chemical product:</w:t>
      </w:r>
    </w:p>
    <w:p w14:paraId="22832AE6" w14:textId="77777777" w:rsidR="008E67EA" w:rsidRPr="000305BA" w:rsidRDefault="008E67EA">
      <w:pPr>
        <w:pStyle w:val="Leg5Paraa"/>
        <w:numPr>
          <w:ilvl w:val="0"/>
          <w:numId w:val="34"/>
        </w:numPr>
        <w:rPr>
          <w:sz w:val="18"/>
          <w:szCs w:val="20"/>
        </w:rPr>
      </w:pPr>
      <w:r w:rsidRPr="000305BA">
        <w:rPr>
          <w:sz w:val="18"/>
          <w:szCs w:val="20"/>
        </w:rPr>
        <w:t>identifying information for the holder of the approval;</w:t>
      </w:r>
    </w:p>
    <w:p w14:paraId="1D118E60" w14:textId="77777777" w:rsidR="008E67EA" w:rsidRPr="000305BA" w:rsidRDefault="008E67EA">
      <w:pPr>
        <w:pStyle w:val="Leg5Paraa"/>
        <w:numPr>
          <w:ilvl w:val="0"/>
          <w:numId w:val="34"/>
        </w:numPr>
        <w:rPr>
          <w:sz w:val="18"/>
          <w:szCs w:val="20"/>
        </w:rPr>
      </w:pPr>
      <w:r w:rsidRPr="000305BA">
        <w:rPr>
          <w:sz w:val="18"/>
          <w:szCs w:val="20"/>
        </w:rPr>
        <w:t>identifying information for any nominated agent for the approval;</w:t>
      </w:r>
    </w:p>
    <w:p w14:paraId="458FC407" w14:textId="77777777" w:rsidR="008E67EA" w:rsidRPr="000305BA" w:rsidRDefault="008E67EA">
      <w:pPr>
        <w:pStyle w:val="Leg5Paraa"/>
        <w:numPr>
          <w:ilvl w:val="0"/>
          <w:numId w:val="34"/>
        </w:numPr>
        <w:rPr>
          <w:sz w:val="18"/>
          <w:szCs w:val="20"/>
        </w:rPr>
      </w:pPr>
      <w:r w:rsidRPr="000305BA">
        <w:rPr>
          <w:sz w:val="18"/>
          <w:szCs w:val="20"/>
        </w:rPr>
        <w:t>the distinguishing name of the chemical product that is prescribed under paragraph 16(a) and entered in the Register;</w:t>
      </w:r>
    </w:p>
    <w:p w14:paraId="37602180" w14:textId="77777777" w:rsidR="008E67EA" w:rsidRPr="000305BA" w:rsidRDefault="008E67EA">
      <w:pPr>
        <w:pStyle w:val="Leg5Paraa"/>
        <w:numPr>
          <w:ilvl w:val="0"/>
          <w:numId w:val="34"/>
        </w:numPr>
        <w:rPr>
          <w:sz w:val="18"/>
          <w:szCs w:val="20"/>
        </w:rPr>
      </w:pPr>
      <w:r w:rsidRPr="000305BA">
        <w:rPr>
          <w:sz w:val="18"/>
          <w:szCs w:val="20"/>
        </w:rPr>
        <w:t>the distinguishing number of the chemical product that is entered in the Register.</w:t>
      </w:r>
    </w:p>
    <w:p w14:paraId="7DF206FC" w14:textId="77777777" w:rsidR="008E67EA" w:rsidRDefault="008E67EA" w:rsidP="008E67EA">
      <w:pPr>
        <w:pStyle w:val="StatementofReasonsHeading2"/>
      </w:pPr>
      <w:bookmarkStart w:id="134" w:name="_Toc216090750"/>
      <w:r>
        <w:t>Phase-out provisions</w:t>
      </w:r>
      <w:bookmarkEnd w:id="134"/>
    </w:p>
    <w:p w14:paraId="4902E96F" w14:textId="77777777" w:rsidR="008E67EA" w:rsidRDefault="008E67EA">
      <w:pPr>
        <w:pStyle w:val="NumberLevel1"/>
        <w:numPr>
          <w:ilvl w:val="0"/>
          <w:numId w:val="17"/>
        </w:numPr>
        <w:tabs>
          <w:tab w:val="clear" w:pos="709"/>
          <w:tab w:val="num" w:pos="2553"/>
        </w:tabs>
      </w:pPr>
      <w:r>
        <w:t>T</w:t>
      </w:r>
      <w:r w:rsidRPr="002179E5">
        <w:t xml:space="preserve">he </w:t>
      </w:r>
      <w:r>
        <w:t xml:space="preserve">provisions of the Agvet Code which relate to “phase-out” of </w:t>
      </w:r>
      <w:r w:rsidRPr="002179E5">
        <w:t>products</w:t>
      </w:r>
      <w:r>
        <w:t xml:space="preserve"> </w:t>
      </w:r>
      <w:r w:rsidRPr="002179E5">
        <w:t>bearing earlier approved labels (where labels are varied prior to being affirmed)</w:t>
      </w:r>
      <w:r>
        <w:t xml:space="preserve"> are set out below.</w:t>
      </w:r>
    </w:p>
    <w:p w14:paraId="0FC212C8" w14:textId="77777777" w:rsidR="008E67EA" w:rsidRPr="002179E5" w:rsidRDefault="008E67EA" w:rsidP="008E67EA">
      <w:pPr>
        <w:pStyle w:val="StatementofReasonsHeading3"/>
      </w:pPr>
      <w:bookmarkStart w:id="135" w:name="_Toc216090751"/>
      <w:r w:rsidRPr="002179E5">
        <w:t>Phase-out of products bearing earlier-approved labels</w:t>
      </w:r>
      <w:bookmarkEnd w:id="135"/>
    </w:p>
    <w:p w14:paraId="235732C3" w14:textId="77777777" w:rsidR="008E67EA" w:rsidRDefault="008E67EA">
      <w:pPr>
        <w:pStyle w:val="NumberLevel1"/>
        <w:numPr>
          <w:ilvl w:val="0"/>
          <w:numId w:val="17"/>
        </w:numPr>
        <w:tabs>
          <w:tab w:val="clear" w:pos="709"/>
          <w:tab w:val="num" w:pos="2553"/>
        </w:tabs>
      </w:pPr>
      <w:r>
        <w:t>As set out in subsection 81(1A) of the Agvet Code, i</w:t>
      </w:r>
      <w:r w:rsidRPr="00B146FA">
        <w:t>n the absence of a permit, it is an offence to supply, or cause or permit to be supplied, a registered chemical product in a container if the label attached to it does not state the relevant particulars for the approved label</w:t>
      </w:r>
      <w:r>
        <w:t xml:space="preserve">. </w:t>
      </w:r>
      <w:r w:rsidRPr="00DC5480">
        <w:t xml:space="preserve">If the APVMA varies the label particulars in the course of a reconsideration, it may determine that it is appropriate that chemical products bearing earlier approved labels (i.e. labels stating the particulars as they were prior to the variation decision) be permitted to be supplied for a period after the variation decision. Section 81(3) of the </w:t>
      </w:r>
      <w:r>
        <w:t xml:space="preserve">Agvet </w:t>
      </w:r>
      <w:r w:rsidRPr="00DC5480">
        <w:t>Code empowers the APVMA to make such a determination.</w:t>
      </w:r>
    </w:p>
    <w:p w14:paraId="63432DD7" w14:textId="77777777" w:rsidR="008E67EA" w:rsidRDefault="008E67EA">
      <w:pPr>
        <w:pStyle w:val="NumberLevel1"/>
        <w:numPr>
          <w:ilvl w:val="0"/>
          <w:numId w:val="17"/>
        </w:numPr>
        <w:tabs>
          <w:tab w:val="clear" w:pos="709"/>
          <w:tab w:val="num" w:pos="2553"/>
        </w:tabs>
      </w:pPr>
      <w:r>
        <w:t>While the Code is silent as to the matters which might bear upon such a determination, it is clear, taking into account the object and purpose of the Code, that the risks attending the use of products in accordance with instructions appearing on earlier approved labels are relevant to the APVMA’s decision whether to determine a phase-out period, and the length of any phase-out period.</w:t>
      </w:r>
    </w:p>
    <w:p w14:paraId="23428A7E" w14:textId="6EC50781" w:rsidR="008E67EA" w:rsidRPr="007662AE" w:rsidRDefault="008E67EA" w:rsidP="008E67EA">
      <w:pPr>
        <w:pStyle w:val="StatementofReasonsHeading1"/>
      </w:pPr>
      <w:bookmarkStart w:id="136" w:name="_Toc216090752"/>
      <w:r w:rsidRPr="007662AE">
        <w:t>F</w:t>
      </w:r>
      <w:r w:rsidR="00B347E8" w:rsidRPr="007662AE">
        <w:t>indings on material questions of fact</w:t>
      </w:r>
      <w:bookmarkEnd w:id="136"/>
    </w:p>
    <w:p w14:paraId="4AC7C124" w14:textId="77777777" w:rsidR="008E67EA" w:rsidRPr="004977DD" w:rsidRDefault="008E67EA">
      <w:pPr>
        <w:pStyle w:val="NumberLevel1"/>
        <w:numPr>
          <w:ilvl w:val="0"/>
          <w:numId w:val="17"/>
        </w:numPr>
        <w:tabs>
          <w:tab w:val="clear" w:pos="709"/>
          <w:tab w:val="num" w:pos="2553"/>
        </w:tabs>
        <w:rPr>
          <w:color w:val="000000" w:themeColor="text1"/>
        </w:rPr>
      </w:pPr>
      <w:r w:rsidRPr="004977DD">
        <w:rPr>
          <w:color w:val="000000" w:themeColor="text1"/>
        </w:rPr>
        <w:t xml:space="preserve">In relation to the anticoagulant rodenticide chemical products listed in </w:t>
      </w:r>
      <w:r>
        <w:rPr>
          <w:color w:val="000000" w:themeColor="text1"/>
        </w:rPr>
        <w:t>Attachment A</w:t>
      </w:r>
      <w:r w:rsidRPr="004977DD">
        <w:rPr>
          <w:color w:val="000000" w:themeColor="text1"/>
        </w:rPr>
        <w:t xml:space="preserve"> of this notice</w:t>
      </w:r>
      <w:r>
        <w:rPr>
          <w:color w:val="000000" w:themeColor="text1"/>
        </w:rPr>
        <w:t>:</w:t>
      </w:r>
    </w:p>
    <w:p w14:paraId="6C4952D9" w14:textId="77777777" w:rsidR="008E67EA" w:rsidRPr="00E263A7" w:rsidRDefault="008E67EA">
      <w:pPr>
        <w:pStyle w:val="NumberLevel2"/>
        <w:numPr>
          <w:ilvl w:val="1"/>
          <w:numId w:val="17"/>
        </w:numPr>
        <w:ind w:left="1134"/>
      </w:pPr>
      <w:r w:rsidRPr="00E263A7">
        <w:rPr>
          <w:color w:val="000000" w:themeColor="text1"/>
        </w:rPr>
        <w:t xml:space="preserve">Under section 34A(1)(a) of the Agvet Code, I am </w:t>
      </w:r>
      <w:r w:rsidRPr="00E263A7">
        <w:rPr>
          <w:b/>
          <w:bCs/>
          <w:color w:val="000000" w:themeColor="text1"/>
        </w:rPr>
        <w:t>not satisfied</w:t>
      </w:r>
      <w:r w:rsidRPr="00E263A7">
        <w:rPr>
          <w:color w:val="000000" w:themeColor="text1"/>
        </w:rPr>
        <w:t xml:space="preserve"> that the chemical products meet the safety criteria, as I am </w:t>
      </w:r>
      <w:r w:rsidRPr="00521B00">
        <w:rPr>
          <w:b/>
          <w:bCs/>
          <w:color w:val="000000" w:themeColor="text1"/>
        </w:rPr>
        <w:t>not satisfied</w:t>
      </w:r>
      <w:r w:rsidRPr="00E263A7">
        <w:rPr>
          <w:color w:val="000000" w:themeColor="text1"/>
        </w:rPr>
        <w:t xml:space="preserve"> that the use of chemical products in accordance with current instructions:</w:t>
      </w:r>
    </w:p>
    <w:p w14:paraId="53FC47B1" w14:textId="77777777" w:rsidR="008E67EA" w:rsidRPr="00E263A7" w:rsidRDefault="008E67EA">
      <w:pPr>
        <w:pStyle w:val="NumberLevel3"/>
        <w:numPr>
          <w:ilvl w:val="2"/>
          <w:numId w:val="17"/>
        </w:numPr>
      </w:pPr>
      <w:r w:rsidRPr="00521B00">
        <w:rPr>
          <w:b/>
          <w:bCs/>
          <w:color w:val="000000" w:themeColor="text1"/>
        </w:rPr>
        <w:t>would not be likely</w:t>
      </w:r>
      <w:r w:rsidRPr="00E263A7">
        <w:rPr>
          <w:color w:val="000000" w:themeColor="text1"/>
        </w:rPr>
        <w:t xml:space="preserve"> to have an unintended effect that is harmful to animals, including non-target terrestrial vertebrates and aquatic species</w:t>
      </w:r>
      <w:r w:rsidRPr="00E263A7">
        <w:rPr>
          <w:rStyle w:val="FootnoteReference"/>
          <w:color w:val="000000" w:themeColor="text1"/>
        </w:rPr>
        <w:footnoteReference w:id="4"/>
      </w:r>
      <w:r w:rsidRPr="00E263A7">
        <w:rPr>
          <w:color w:val="000000" w:themeColor="text1"/>
        </w:rPr>
        <w:t>.</w:t>
      </w:r>
    </w:p>
    <w:p w14:paraId="10572AB2" w14:textId="17BDC578" w:rsidR="008E67EA" w:rsidRPr="00E263A7" w:rsidRDefault="008E67EA">
      <w:pPr>
        <w:pStyle w:val="NumberLevel3"/>
        <w:numPr>
          <w:ilvl w:val="2"/>
          <w:numId w:val="17"/>
        </w:numPr>
      </w:pPr>
      <w:r w:rsidRPr="00521B00">
        <w:rPr>
          <w:b/>
          <w:bCs/>
        </w:rPr>
        <w:t>would not be likely</w:t>
      </w:r>
      <w:r w:rsidRPr="00E263A7">
        <w:t xml:space="preserve"> to pose an undue hazard to the safety of people exposed to it during its handling or people using anything containing its residues, including potential safety concerns for </w:t>
      </w:r>
      <w:r w:rsidRPr="00E263A7">
        <w:lastRenderedPageBreak/>
        <w:t>professional workers who handle the chemical products during application and/or people who are involved in clean-up activities</w:t>
      </w:r>
      <w:r w:rsidRPr="00E263A7">
        <w:rPr>
          <w:rStyle w:val="FootnoteReference"/>
        </w:rPr>
        <w:footnoteReference w:id="5"/>
      </w:r>
      <w:r w:rsidRPr="00E263A7">
        <w:t>.</w:t>
      </w:r>
    </w:p>
    <w:p w14:paraId="7B0D9686" w14:textId="77777777" w:rsidR="008E67EA" w:rsidRPr="00E263A7" w:rsidRDefault="008E67EA">
      <w:pPr>
        <w:pStyle w:val="NumberLevel3"/>
        <w:numPr>
          <w:ilvl w:val="2"/>
          <w:numId w:val="17"/>
        </w:numPr>
      </w:pPr>
      <w:r w:rsidRPr="00521B00">
        <w:rPr>
          <w:b/>
          <w:bCs/>
        </w:rPr>
        <w:t>would not be likely</w:t>
      </w:r>
      <w:r w:rsidRPr="00E263A7">
        <w:t xml:space="preserve"> not have an effect that is harmful to human beings, including potential safety concerns </w:t>
      </w:r>
      <w:r w:rsidRPr="00E263A7">
        <w:rPr>
          <w:color w:val="000000" w:themeColor="text1"/>
        </w:rPr>
        <w:t>related to vulnerable human beings who may invertedly access baits, human beings who may hunt for wild game in treated areas and/or the potential for contamination of food commodities that may be consumed by human beings</w:t>
      </w:r>
      <w:r w:rsidRPr="00E263A7">
        <w:rPr>
          <w:rStyle w:val="FootnoteReference"/>
          <w:color w:val="000000" w:themeColor="text1"/>
        </w:rPr>
        <w:footnoteReference w:id="6"/>
      </w:r>
      <w:r w:rsidRPr="00E263A7">
        <w:rPr>
          <w:color w:val="000000" w:themeColor="text1"/>
        </w:rPr>
        <w:t>.</w:t>
      </w:r>
    </w:p>
    <w:p w14:paraId="535484CB" w14:textId="664D4BC2" w:rsidR="008E67EA" w:rsidRPr="007A6CDD" w:rsidRDefault="008E67EA">
      <w:pPr>
        <w:pStyle w:val="NumberLevel2"/>
        <w:numPr>
          <w:ilvl w:val="1"/>
          <w:numId w:val="17"/>
        </w:numPr>
        <w:ind w:left="1134"/>
        <w:rPr>
          <w:color w:val="000000" w:themeColor="text1"/>
        </w:rPr>
      </w:pPr>
      <w:r w:rsidRPr="007A6CDD">
        <w:rPr>
          <w:color w:val="000000" w:themeColor="text1"/>
        </w:rPr>
        <w:t>However, under section 34A(1)(b) of the Agvet Code, I am satisfied that the relevant particulars and conditions of the registrations can be varied in such a way as to allow me to be satisfied that products will meet the safety criteria.</w:t>
      </w:r>
    </w:p>
    <w:p w14:paraId="6C775229" w14:textId="3E603009" w:rsidR="008E67EA" w:rsidRPr="007A6CDD" w:rsidRDefault="008E67EA">
      <w:pPr>
        <w:pStyle w:val="NumberLevel2"/>
        <w:numPr>
          <w:ilvl w:val="1"/>
          <w:numId w:val="17"/>
        </w:numPr>
        <w:ind w:left="1134"/>
        <w:rPr>
          <w:color w:val="000000" w:themeColor="text1"/>
        </w:rPr>
      </w:pPr>
      <w:r w:rsidRPr="007A6CDD">
        <w:rPr>
          <w:color w:val="000000" w:themeColor="text1"/>
        </w:rPr>
        <w:t xml:space="preserve">I am satisfied that there are no additional requirements prescribed by the regulations for chemical product registrations beyond </w:t>
      </w:r>
      <w:r w:rsidRPr="007A6CDD">
        <w:t>those that I considered with respect to whether the chemical products meet the safety criteria.</w:t>
      </w:r>
    </w:p>
    <w:p w14:paraId="3897D6BF" w14:textId="0B1FABF4" w:rsidR="008E67EA" w:rsidRPr="007A6CDD" w:rsidRDefault="008E67EA">
      <w:pPr>
        <w:pStyle w:val="NumberLevel2"/>
        <w:numPr>
          <w:ilvl w:val="1"/>
          <w:numId w:val="17"/>
        </w:numPr>
        <w:ind w:left="1134"/>
        <w:rPr>
          <w:color w:val="000000" w:themeColor="text1"/>
        </w:rPr>
      </w:pPr>
      <w:r w:rsidRPr="007A6CDD">
        <w:rPr>
          <w:color w:val="000000" w:themeColor="text1"/>
        </w:rPr>
        <w:t>Therefore, I am satisfied that the relevant particulars and conditions of the registrations can be varied in such a way as to allow the registrations to be affirmed.</w:t>
      </w:r>
    </w:p>
    <w:p w14:paraId="34162DF0" w14:textId="77777777" w:rsidR="008E67EA" w:rsidRPr="004977DD" w:rsidRDefault="008E67EA">
      <w:pPr>
        <w:pStyle w:val="NumberLevel1"/>
        <w:numPr>
          <w:ilvl w:val="0"/>
          <w:numId w:val="17"/>
        </w:numPr>
        <w:tabs>
          <w:tab w:val="clear" w:pos="709"/>
          <w:tab w:val="num" w:pos="2553"/>
        </w:tabs>
        <w:rPr>
          <w:color w:val="000000" w:themeColor="text1"/>
        </w:rPr>
      </w:pPr>
      <w:r w:rsidRPr="004977DD">
        <w:rPr>
          <w:color w:val="000000" w:themeColor="text1"/>
        </w:rPr>
        <w:t xml:space="preserve">In relation to the labels for anticoagulant rodenticide chemical products listed in </w:t>
      </w:r>
      <w:r>
        <w:rPr>
          <w:color w:val="000000" w:themeColor="text1"/>
        </w:rPr>
        <w:t>Attachment A</w:t>
      </w:r>
      <w:r w:rsidRPr="004977DD">
        <w:rPr>
          <w:color w:val="000000" w:themeColor="text1"/>
        </w:rPr>
        <w:t xml:space="preserve"> of this notice:</w:t>
      </w:r>
    </w:p>
    <w:p w14:paraId="51ED0DC7" w14:textId="77777777" w:rsidR="008E67EA" w:rsidRPr="00E23899" w:rsidRDefault="008E67EA">
      <w:pPr>
        <w:pStyle w:val="NumberLevel2"/>
        <w:numPr>
          <w:ilvl w:val="1"/>
          <w:numId w:val="17"/>
        </w:numPr>
        <w:ind w:left="1134"/>
        <w:rPr>
          <w:color w:val="000000" w:themeColor="text1"/>
        </w:rPr>
      </w:pPr>
      <w:r w:rsidRPr="00E23899">
        <w:rPr>
          <w:color w:val="000000" w:themeColor="text1"/>
        </w:rPr>
        <w:t xml:space="preserve">Under section 34A(1)(a) of the Agvet Code, I am </w:t>
      </w:r>
      <w:r w:rsidRPr="00E23899">
        <w:rPr>
          <w:b/>
          <w:bCs/>
          <w:color w:val="000000" w:themeColor="text1"/>
        </w:rPr>
        <w:t>not satisfied</w:t>
      </w:r>
      <w:r w:rsidRPr="00E23899">
        <w:rPr>
          <w:color w:val="000000" w:themeColor="text1"/>
        </w:rPr>
        <w:t xml:space="preserve"> that these labels meet the labelling criteria as they contain inadequate instructions to ensure, as far as reasonably practicable, that the associated chemical product meets the safety criteria.</w:t>
      </w:r>
    </w:p>
    <w:p w14:paraId="0E3670F9" w14:textId="59146B95" w:rsidR="008E67EA" w:rsidRPr="00E23899" w:rsidRDefault="008E67EA">
      <w:pPr>
        <w:pStyle w:val="NumberLevel2"/>
        <w:numPr>
          <w:ilvl w:val="1"/>
          <w:numId w:val="17"/>
        </w:numPr>
        <w:ind w:left="1134"/>
        <w:rPr>
          <w:color w:val="000000" w:themeColor="text1"/>
        </w:rPr>
      </w:pPr>
      <w:r w:rsidRPr="00E23899">
        <w:rPr>
          <w:color w:val="000000" w:themeColor="text1"/>
        </w:rPr>
        <w:t>However, under section 34A(1)(b) of the Agvet Code, I am satisfied that the relevant particulars of the label approval can be varied in such a way so that the labels meet the labelling criteria.</w:t>
      </w:r>
    </w:p>
    <w:p w14:paraId="5998C697" w14:textId="77777777" w:rsidR="008E67EA" w:rsidRPr="00E23899" w:rsidRDefault="008E67EA">
      <w:pPr>
        <w:pStyle w:val="NumberLevel2"/>
        <w:numPr>
          <w:ilvl w:val="1"/>
          <w:numId w:val="17"/>
        </w:numPr>
        <w:ind w:left="1134"/>
        <w:rPr>
          <w:color w:val="000000" w:themeColor="text1"/>
        </w:rPr>
      </w:pPr>
      <w:r w:rsidRPr="00E23899">
        <w:rPr>
          <w:color w:val="000000" w:themeColor="text1"/>
        </w:rPr>
        <w:t>I am satisfied that there are no additional requirements prescribed by the regulations for labels for containers of chemical products beyond those that I considered with respect to whether the label approvals meet the labelling criteria.</w:t>
      </w:r>
    </w:p>
    <w:p w14:paraId="5507694B" w14:textId="7F7018F4" w:rsidR="008E67EA" w:rsidRPr="00E23899" w:rsidRDefault="008E67EA">
      <w:pPr>
        <w:pStyle w:val="NumberLevel2"/>
        <w:numPr>
          <w:ilvl w:val="1"/>
          <w:numId w:val="17"/>
        </w:numPr>
        <w:ind w:left="1134"/>
        <w:rPr>
          <w:color w:val="000000" w:themeColor="text1"/>
        </w:rPr>
      </w:pPr>
      <w:r w:rsidRPr="00E23899">
        <w:rPr>
          <w:color w:val="000000" w:themeColor="text1"/>
        </w:rPr>
        <w:t>Therefore, I am satisfied that the relevant particulars of the label approvals can be varied in such a way as to allow the approvals to be affirmed.</w:t>
      </w:r>
    </w:p>
    <w:p w14:paraId="185F454E" w14:textId="58E54C81" w:rsidR="008E67EA" w:rsidRPr="00B418E9" w:rsidRDefault="008E67EA" w:rsidP="008E67EA">
      <w:pPr>
        <w:pStyle w:val="StatementofReasonsHeading1"/>
      </w:pPr>
      <w:bookmarkStart w:id="137" w:name="_Toc216090753"/>
      <w:r w:rsidRPr="00B418E9">
        <w:t>R</w:t>
      </w:r>
      <w:r w:rsidR="00B347E8" w:rsidRPr="00B418E9">
        <w:t>easons</w:t>
      </w:r>
      <w:bookmarkEnd w:id="137"/>
    </w:p>
    <w:p w14:paraId="19F279C2" w14:textId="6FB4CF6C" w:rsidR="008E67EA" w:rsidRPr="00E23899" w:rsidRDefault="008E67EA">
      <w:pPr>
        <w:pStyle w:val="NumberLevel1"/>
        <w:numPr>
          <w:ilvl w:val="0"/>
          <w:numId w:val="17"/>
        </w:numPr>
        <w:tabs>
          <w:tab w:val="clear" w:pos="709"/>
          <w:tab w:val="num" w:pos="2553"/>
        </w:tabs>
      </w:pPr>
      <w:r>
        <w:t>For the purpose of deciding whether to affirm the approvals and registrations listed in Attachment A of this notice, or to vary the relevant particulars and conditions in such a way as to allow the approvals and registrations to be affi</w:t>
      </w:r>
      <w:r w:rsidRPr="00E23899">
        <w:t>rmed, I have considered the following:</w:t>
      </w:r>
    </w:p>
    <w:p w14:paraId="0635D8B4" w14:textId="77777777" w:rsidR="008E67EA" w:rsidRPr="00E23899" w:rsidRDefault="008E67EA">
      <w:pPr>
        <w:pStyle w:val="NumberLevel2"/>
        <w:numPr>
          <w:ilvl w:val="1"/>
          <w:numId w:val="17"/>
        </w:numPr>
        <w:ind w:left="1134"/>
      </w:pPr>
      <w:bookmarkStart w:id="138" w:name="_Ref193444293"/>
      <w:r w:rsidRPr="00E23899">
        <w:t>For the chemical product registrations, whether the product meets the safety criteria and whether the product complies with any requirement prescribed by the regulations.</w:t>
      </w:r>
      <w:bookmarkEnd w:id="138"/>
    </w:p>
    <w:p w14:paraId="5AC720F8" w14:textId="77777777" w:rsidR="008E67EA" w:rsidRPr="00E23899" w:rsidRDefault="008E67EA">
      <w:pPr>
        <w:pStyle w:val="NumberLevel2"/>
        <w:numPr>
          <w:ilvl w:val="1"/>
          <w:numId w:val="17"/>
        </w:numPr>
        <w:ind w:left="1134"/>
      </w:pPr>
      <w:r w:rsidRPr="00E23899">
        <w:t>For the label approvals, that is whether the label meets the labelling criteria and whether the label complies with any requirement prescribed by the regulations.</w:t>
      </w:r>
    </w:p>
    <w:p w14:paraId="2448B10C" w14:textId="26D22498" w:rsidR="008E67EA" w:rsidRPr="00E23899" w:rsidRDefault="008E67EA">
      <w:pPr>
        <w:pStyle w:val="NumberLevel1"/>
        <w:numPr>
          <w:ilvl w:val="0"/>
          <w:numId w:val="17"/>
        </w:numPr>
        <w:tabs>
          <w:tab w:val="clear" w:pos="709"/>
          <w:tab w:val="num" w:pos="2553"/>
        </w:tabs>
      </w:pPr>
      <w:r w:rsidRPr="00E23899">
        <w:lastRenderedPageBreak/>
        <w:t xml:space="preserve">That being said, for the products that contain a combination of the active constituents </w:t>
      </w:r>
      <w:r w:rsidRPr="00E23899">
        <w:rPr>
          <w:color w:val="000000" w:themeColor="text1"/>
        </w:rPr>
        <w:t>brodifacoum</w:t>
      </w:r>
      <w:r w:rsidRPr="00E23899">
        <w:t xml:space="preserve"> and fipronil (registrations 58661 and 63885), I have decided to only reconsider the matters listed in paragraph </w:t>
      </w:r>
      <w:r w:rsidRPr="00E23899">
        <w:fldChar w:fldCharType="begin"/>
      </w:r>
      <w:r w:rsidRPr="00E23899">
        <w:instrText xml:space="preserve"> REF _Ref193444293 \r \h </w:instrText>
      </w:r>
      <w:r>
        <w:instrText xml:space="preserve"> \* MERGEFORMAT </w:instrText>
      </w:r>
      <w:r w:rsidRPr="00E23899">
        <w:fldChar w:fldCharType="separate"/>
      </w:r>
      <w:r w:rsidR="002C0C2A">
        <w:t>33.1</w:t>
      </w:r>
      <w:r w:rsidRPr="00E23899">
        <w:fldChar w:fldCharType="end"/>
      </w:r>
      <w:r w:rsidRPr="00E23899">
        <w:t xml:space="preserve"> of these reasons to the extent that they relate to the fact that the chemical products contain the active constituent </w:t>
      </w:r>
      <w:r w:rsidRPr="00E23899">
        <w:rPr>
          <w:color w:val="000000" w:themeColor="text1"/>
        </w:rPr>
        <w:t>brodifacoum</w:t>
      </w:r>
      <w:r w:rsidRPr="00E23899">
        <w:t>.</w:t>
      </w:r>
    </w:p>
    <w:p w14:paraId="13BCE2DE" w14:textId="680EA763" w:rsidR="008E67EA" w:rsidRPr="00E23899" w:rsidRDefault="008E67EA">
      <w:pPr>
        <w:pStyle w:val="NumberLevel1"/>
        <w:numPr>
          <w:ilvl w:val="0"/>
          <w:numId w:val="17"/>
        </w:numPr>
        <w:tabs>
          <w:tab w:val="clear" w:pos="709"/>
          <w:tab w:val="num" w:pos="2553"/>
        </w:tabs>
      </w:pPr>
      <w:r w:rsidRPr="00E23899">
        <w:t>In determining whether the products listed in Attachment A of this notice meet the safety criteria, I note that anticoagulant rodenticides are not listed chemical products and no established standard containing instructions has been made in accordance with section 8U(7) of the Agvet Code. Therefore, I have considered whether the products listed in Attachment A of this notice meet the safety criteria with respect to the use of the product in accordance with any instructions approved, or to be approved, by the APVMA.</w:t>
      </w:r>
    </w:p>
    <w:p w14:paraId="50581964" w14:textId="77777777" w:rsidR="008E67EA" w:rsidRPr="00E23899" w:rsidRDefault="008E67EA">
      <w:pPr>
        <w:pStyle w:val="NumberLevel1"/>
        <w:numPr>
          <w:ilvl w:val="0"/>
          <w:numId w:val="17"/>
        </w:numPr>
        <w:tabs>
          <w:tab w:val="clear" w:pos="709"/>
          <w:tab w:val="num" w:pos="2553"/>
        </w:tabs>
      </w:pPr>
      <w:r w:rsidRPr="00E23899">
        <w:t xml:space="preserve">In determining whether the chemical products and labels listed in Attachment A of this notice comply with any requirement prescribed by the regulations, I note that there are no </w:t>
      </w:r>
      <w:r w:rsidRPr="00E23899">
        <w:rPr>
          <w:color w:val="000000" w:themeColor="text1"/>
        </w:rPr>
        <w:t xml:space="preserve">additional requirements prescribed by the regulations beyond </w:t>
      </w:r>
      <w:r w:rsidRPr="00E23899">
        <w:t>those that I have considered with respect to whether the chemical product registrations meet the safety criteria, and whether the label approvals meet the labelling criteria.</w:t>
      </w:r>
    </w:p>
    <w:p w14:paraId="5ED2FAC0" w14:textId="77777777" w:rsidR="008E67EA" w:rsidRDefault="008E67EA" w:rsidP="008E67EA">
      <w:pPr>
        <w:pStyle w:val="StatementofReasonsHeading2"/>
      </w:pPr>
      <w:bookmarkStart w:id="139" w:name="_Toc216090754"/>
      <w:r>
        <w:t>Consideration of the safety criteria</w:t>
      </w:r>
      <w:bookmarkEnd w:id="139"/>
    </w:p>
    <w:p w14:paraId="5EEA8764" w14:textId="3BCF8597" w:rsidR="008E67EA" w:rsidRDefault="008E67EA">
      <w:pPr>
        <w:pStyle w:val="NumberLevel1"/>
        <w:numPr>
          <w:ilvl w:val="0"/>
          <w:numId w:val="17"/>
        </w:numPr>
        <w:tabs>
          <w:tab w:val="clear" w:pos="709"/>
          <w:tab w:val="num" w:pos="2553"/>
        </w:tabs>
      </w:pPr>
      <w:bookmarkStart w:id="140" w:name="_Ref213359886"/>
      <w:r>
        <w:t>For the purposes of determining whether I am satisfied as to</w:t>
      </w:r>
      <w:r w:rsidRPr="003E6110">
        <w:t xml:space="preserve"> whether </w:t>
      </w:r>
      <w:r>
        <w:t xml:space="preserve">the </w:t>
      </w:r>
      <w:r w:rsidRPr="003E6110">
        <w:t>chemical products</w:t>
      </w:r>
      <w:r>
        <w:t xml:space="preserve"> listed in Attachment A of this notice</w:t>
      </w:r>
      <w:r w:rsidRPr="003E6110">
        <w:t xml:space="preserve"> meet the safety criteria</w:t>
      </w:r>
      <w:r>
        <w:t>,</w:t>
      </w:r>
      <w:r w:rsidRPr="003E6110">
        <w:t xml:space="preserve"> </w:t>
      </w:r>
      <w:r>
        <w:t>and, if not, am I satisfied that the relevant particulars or conditions of these registrations</w:t>
      </w:r>
      <w:r w:rsidRPr="003E6110">
        <w:t xml:space="preserve"> </w:t>
      </w:r>
      <w:r>
        <w:t>could be</w:t>
      </w:r>
      <w:r w:rsidRPr="003E6110">
        <w:t xml:space="preserve"> varied</w:t>
      </w:r>
      <w:r>
        <w:t xml:space="preserve"> in such a way so that the chemical products </w:t>
      </w:r>
      <w:r w:rsidRPr="003E6110">
        <w:t xml:space="preserve">meet the safety criteria, I </w:t>
      </w:r>
      <w:r>
        <w:t>have</w:t>
      </w:r>
      <w:r w:rsidRPr="003E6110">
        <w:t xml:space="preserve"> had regard to </w:t>
      </w:r>
      <w:r>
        <w:t>all matters set out</w:t>
      </w:r>
      <w:r w:rsidRPr="003E6110">
        <w:t xml:space="preserve"> section 5A(</w:t>
      </w:r>
      <w:r>
        <w:t>3</w:t>
      </w:r>
      <w:r w:rsidRPr="003E6110">
        <w:t>)</w:t>
      </w:r>
      <w:r>
        <w:t>(a)</w:t>
      </w:r>
      <w:r w:rsidRPr="003E6110">
        <w:t xml:space="preserve"> of the Agvet Code</w:t>
      </w:r>
      <w:r>
        <w:t>.</w:t>
      </w:r>
      <w:bookmarkEnd w:id="140"/>
    </w:p>
    <w:p w14:paraId="6658F9E4" w14:textId="77777777" w:rsidR="008E67EA" w:rsidRPr="00E23899" w:rsidRDefault="008E67EA">
      <w:pPr>
        <w:pStyle w:val="NumberLevel2"/>
        <w:numPr>
          <w:ilvl w:val="1"/>
          <w:numId w:val="17"/>
        </w:numPr>
        <w:ind w:left="1134"/>
        <w:rPr>
          <w:color w:val="000000" w:themeColor="text1"/>
        </w:rPr>
      </w:pPr>
      <w:r w:rsidRPr="00E23899">
        <w:rPr>
          <w:color w:val="000000" w:themeColor="text1"/>
        </w:rPr>
        <w:t xml:space="preserve">In regard to any relevant particulars that are, or would be, entered in the Register for a product ((s 5A(3)(a)(vi)), there has been </w:t>
      </w:r>
      <w:r w:rsidRPr="00E23899">
        <w:t>no new information provided to the APVMA or identified by the APVMA</w:t>
      </w:r>
      <w:r w:rsidRPr="00E23899">
        <w:rPr>
          <w:color w:val="000000" w:themeColor="text1"/>
        </w:rPr>
        <w:t xml:space="preserve"> </w:t>
      </w:r>
      <w:r w:rsidRPr="00E23899">
        <w:t xml:space="preserve">since the registration and/or variation of the chemical products listed in Attachment A of this notice </w:t>
      </w:r>
      <w:r w:rsidRPr="00E23899">
        <w:rPr>
          <w:color w:val="000000" w:themeColor="text1"/>
        </w:rPr>
        <w:t>with respect to the following: the distinguishing number, the distinguishing name (r</w:t>
      </w:r>
      <w:r>
        <w:rPr>
          <w:color w:val="000000" w:themeColor="text1"/>
        </w:rPr>
        <w:t>egulation</w:t>
      </w:r>
      <w:r w:rsidRPr="00E23899">
        <w:rPr>
          <w:color w:val="000000" w:themeColor="text1"/>
        </w:rPr>
        <w:t xml:space="preserve"> 16(a)</w:t>
      </w:r>
      <w:r w:rsidRPr="00E23899">
        <w:t xml:space="preserve"> of the Agvet Regulations</w:t>
      </w:r>
      <w:r w:rsidRPr="00E23899">
        <w:rPr>
          <w:color w:val="000000" w:themeColor="text1"/>
        </w:rPr>
        <w:t>), identifying information for the holder of the registration (r</w:t>
      </w:r>
      <w:r>
        <w:rPr>
          <w:color w:val="000000" w:themeColor="text1"/>
        </w:rPr>
        <w:t>egulation</w:t>
      </w:r>
      <w:r w:rsidRPr="00E23899">
        <w:rPr>
          <w:color w:val="000000" w:themeColor="text1"/>
        </w:rPr>
        <w:t xml:space="preserve"> 16(e)</w:t>
      </w:r>
      <w:r w:rsidRPr="00E23899">
        <w:t xml:space="preserve"> of the Agvet Regulations</w:t>
      </w:r>
      <w:r w:rsidRPr="00E23899">
        <w:rPr>
          <w:color w:val="000000" w:themeColor="text1"/>
        </w:rPr>
        <w:t>), the name of each manufacturer (r</w:t>
      </w:r>
      <w:r>
        <w:rPr>
          <w:color w:val="000000" w:themeColor="text1"/>
        </w:rPr>
        <w:t>egulation</w:t>
      </w:r>
      <w:r w:rsidRPr="00E23899">
        <w:rPr>
          <w:color w:val="000000" w:themeColor="text1"/>
        </w:rPr>
        <w:t xml:space="preserve"> 16(g)</w:t>
      </w:r>
      <w:r w:rsidRPr="00E23899">
        <w:t xml:space="preserve"> of the Agvet Regulations</w:t>
      </w:r>
      <w:r w:rsidRPr="00E23899">
        <w:rPr>
          <w:color w:val="000000" w:themeColor="text1"/>
        </w:rPr>
        <w:t>), the address of each site at which the chemical product is manufactured (r</w:t>
      </w:r>
      <w:r>
        <w:rPr>
          <w:color w:val="000000" w:themeColor="text1"/>
        </w:rPr>
        <w:t>egulation</w:t>
      </w:r>
      <w:r w:rsidRPr="00E23899">
        <w:rPr>
          <w:color w:val="000000" w:themeColor="text1"/>
        </w:rPr>
        <w:t xml:space="preserve"> 16(h) </w:t>
      </w:r>
      <w:r w:rsidRPr="00E23899">
        <w:t>of the Agvet Regulations</w:t>
      </w:r>
      <w:r w:rsidRPr="00E23899">
        <w:rPr>
          <w:color w:val="000000" w:themeColor="text1"/>
        </w:rPr>
        <w:t>), the date of entry of these particulars in the Register (r</w:t>
      </w:r>
      <w:r>
        <w:rPr>
          <w:color w:val="000000" w:themeColor="text1"/>
        </w:rPr>
        <w:t>egulation</w:t>
      </w:r>
      <w:r w:rsidRPr="00E23899">
        <w:rPr>
          <w:color w:val="000000" w:themeColor="text1"/>
        </w:rPr>
        <w:t xml:space="preserve"> 16(j)</w:t>
      </w:r>
      <w:r w:rsidRPr="00E23899">
        <w:t xml:space="preserve"> of the Agvet Regulations</w:t>
      </w:r>
      <w:r w:rsidRPr="00E23899">
        <w:rPr>
          <w:color w:val="000000" w:themeColor="text1"/>
        </w:rPr>
        <w:t>), and identifying information for any nominated agent for the registration (r</w:t>
      </w:r>
      <w:r>
        <w:rPr>
          <w:color w:val="000000" w:themeColor="text1"/>
        </w:rPr>
        <w:t>egulation</w:t>
      </w:r>
      <w:r w:rsidRPr="00E23899">
        <w:rPr>
          <w:color w:val="000000" w:themeColor="text1"/>
        </w:rPr>
        <w:t xml:space="preserve"> 16(k) </w:t>
      </w:r>
      <w:r w:rsidRPr="00E23899">
        <w:t>of the Agvet Regulations</w:t>
      </w:r>
      <w:r w:rsidRPr="00E23899">
        <w:rPr>
          <w:color w:val="000000" w:themeColor="text1"/>
        </w:rPr>
        <w:t xml:space="preserve">). Therefore, I consider that there is nothing that would prevent me from being satisfied that a product listed in Attachment A of this notice meets the safety criteria in relation to these relevant particulars. </w:t>
      </w:r>
    </w:p>
    <w:p w14:paraId="7E77959D" w14:textId="77777777" w:rsidR="008E67EA" w:rsidRPr="001F5F88" w:rsidRDefault="008E67EA">
      <w:pPr>
        <w:pStyle w:val="NumberLevel2"/>
        <w:numPr>
          <w:ilvl w:val="1"/>
          <w:numId w:val="17"/>
        </w:numPr>
        <w:ind w:left="1134"/>
      </w:pPr>
      <w:r w:rsidRPr="001F5F88">
        <w:t>In regard to the remaining matters set out in section 5A(3)(a) of the Agvet Code that the APVMA must have regard to in considering whether a chemical product meets the safety criteria:</w:t>
      </w:r>
    </w:p>
    <w:p w14:paraId="4CB3968E" w14:textId="76FD2EF9" w:rsidR="008E67EA" w:rsidRPr="001F5F88" w:rsidRDefault="008E67EA">
      <w:pPr>
        <w:pStyle w:val="NumberLevel3"/>
        <w:numPr>
          <w:ilvl w:val="2"/>
          <w:numId w:val="17"/>
        </w:numPr>
      </w:pPr>
      <w:r w:rsidRPr="001F5F88">
        <w:t xml:space="preserve">The </w:t>
      </w:r>
      <w:r w:rsidRPr="001F5F88">
        <w:rPr>
          <w:i/>
          <w:iCs/>
        </w:rPr>
        <w:t>‘Likelihood of an unintended effect that is harmful to animals, plants or things or to the environment – s 5A(1)(c)’</w:t>
      </w:r>
      <w:r w:rsidRPr="001F5F88">
        <w:t xml:space="preserve"> section of these reasons (</w:t>
      </w:r>
      <w:r w:rsidRPr="001F5F88">
        <w:rPr>
          <w:color w:val="000000" w:themeColor="text1"/>
        </w:rPr>
        <w:t xml:space="preserve">paragraphs </w:t>
      </w:r>
      <w:r w:rsidRPr="001F5F88">
        <w:rPr>
          <w:color w:val="000000" w:themeColor="text1"/>
        </w:rPr>
        <w:fldChar w:fldCharType="begin"/>
      </w:r>
      <w:r w:rsidRPr="001F5F88">
        <w:rPr>
          <w:color w:val="000000" w:themeColor="text1"/>
        </w:rPr>
        <w:instrText xml:space="preserve"> REF _Ref207101259 \r \h  \* MERGEFORMAT </w:instrText>
      </w:r>
      <w:r w:rsidRPr="001F5F88">
        <w:rPr>
          <w:color w:val="000000" w:themeColor="text1"/>
        </w:rPr>
      </w:r>
      <w:r w:rsidRPr="001F5F88">
        <w:rPr>
          <w:color w:val="000000" w:themeColor="text1"/>
        </w:rPr>
        <w:fldChar w:fldCharType="separate"/>
      </w:r>
      <w:r w:rsidR="002C0C2A">
        <w:rPr>
          <w:color w:val="000000" w:themeColor="text1"/>
        </w:rPr>
        <w:t>39</w:t>
      </w:r>
      <w:r w:rsidRPr="001F5F88">
        <w:rPr>
          <w:color w:val="000000" w:themeColor="text1"/>
        </w:rPr>
        <w:fldChar w:fldCharType="end"/>
      </w:r>
      <w:r w:rsidRPr="001F5F88">
        <w:rPr>
          <w:color w:val="000000" w:themeColor="text1"/>
        </w:rPr>
        <w:t xml:space="preserve"> – </w:t>
      </w:r>
      <w:r w:rsidRPr="001F5F88">
        <w:rPr>
          <w:color w:val="000000" w:themeColor="text1"/>
        </w:rPr>
        <w:fldChar w:fldCharType="begin"/>
      </w:r>
      <w:r w:rsidRPr="001F5F88">
        <w:rPr>
          <w:color w:val="000000" w:themeColor="text1"/>
        </w:rPr>
        <w:instrText xml:space="preserve"> REF _Ref213348422 \r \h  \* MERGEFORMAT </w:instrText>
      </w:r>
      <w:r w:rsidRPr="001F5F88">
        <w:rPr>
          <w:color w:val="000000" w:themeColor="text1"/>
        </w:rPr>
      </w:r>
      <w:r w:rsidRPr="001F5F88">
        <w:rPr>
          <w:color w:val="000000" w:themeColor="text1"/>
        </w:rPr>
        <w:fldChar w:fldCharType="separate"/>
      </w:r>
      <w:r w:rsidR="002C0C2A">
        <w:rPr>
          <w:color w:val="000000" w:themeColor="text1"/>
        </w:rPr>
        <w:t>75</w:t>
      </w:r>
      <w:r w:rsidRPr="001F5F88">
        <w:rPr>
          <w:color w:val="000000" w:themeColor="text1"/>
        </w:rPr>
        <w:fldChar w:fldCharType="end"/>
      </w:r>
      <w:r w:rsidRPr="001F5F88">
        <w:rPr>
          <w:color w:val="000000" w:themeColor="text1"/>
        </w:rPr>
        <w:t>) includes m</w:t>
      </w:r>
      <w:r w:rsidRPr="001F5F88">
        <w:t>y detailed considerations on the following matters</w:t>
      </w:r>
      <w:r>
        <w:t>,</w:t>
      </w:r>
      <w:r w:rsidRPr="001F5F88">
        <w:t xml:space="preserve"> as relevant to the safety of animals, plants or things or to the environment:</w:t>
      </w:r>
    </w:p>
    <w:p w14:paraId="20A39C6E" w14:textId="77777777" w:rsidR="008E67EA" w:rsidRPr="001F5F88" w:rsidRDefault="008E67EA">
      <w:pPr>
        <w:pStyle w:val="NumberLevel4"/>
        <w:numPr>
          <w:ilvl w:val="3"/>
          <w:numId w:val="17"/>
        </w:numPr>
      </w:pPr>
      <w:r w:rsidRPr="001F5F88">
        <w:t xml:space="preserve">the toxicity of the product and its residues, including metabolites and degradation products, in relation to relevant organisms and ecosystems, including human beings (s 5A(3)(a)(i)); and </w:t>
      </w:r>
    </w:p>
    <w:p w14:paraId="3FB4EF71" w14:textId="77777777" w:rsidR="008E67EA" w:rsidRPr="001F5F88" w:rsidRDefault="008E67EA">
      <w:pPr>
        <w:pStyle w:val="NumberLevel4"/>
        <w:numPr>
          <w:ilvl w:val="3"/>
          <w:numId w:val="17"/>
        </w:numPr>
      </w:pPr>
      <w:r w:rsidRPr="001F5F88">
        <w:t>how the product is formulated (s 5A(3)(a)(iii)); and</w:t>
      </w:r>
    </w:p>
    <w:p w14:paraId="1B52A6D5" w14:textId="77777777" w:rsidR="008E67EA" w:rsidRPr="001F5F88" w:rsidRDefault="008E67EA">
      <w:pPr>
        <w:pStyle w:val="NumberLevel4"/>
        <w:numPr>
          <w:ilvl w:val="3"/>
          <w:numId w:val="17"/>
        </w:numPr>
      </w:pPr>
      <w:r w:rsidRPr="001F5F88">
        <w:lastRenderedPageBreak/>
        <w:t>the following relevant particulars that are, or would be, entered in the Register for the product (s 5A(3)(a)(vi): any instructions for use, and the net contents (r</w:t>
      </w:r>
      <w:r>
        <w:t>egulation</w:t>
      </w:r>
      <w:r w:rsidRPr="001F5F88">
        <w:t xml:space="preserve"> 16(db) of the Agvet Regulations)).</w:t>
      </w:r>
    </w:p>
    <w:p w14:paraId="4CD6F89E" w14:textId="02D12A44" w:rsidR="008E67EA" w:rsidRPr="00521B00" w:rsidRDefault="008E67EA">
      <w:pPr>
        <w:pStyle w:val="NumberLevel3"/>
        <w:numPr>
          <w:ilvl w:val="2"/>
          <w:numId w:val="17"/>
        </w:numPr>
      </w:pPr>
      <w:r w:rsidRPr="00521B00">
        <w:rPr>
          <w:color w:val="000000" w:themeColor="text1"/>
        </w:rPr>
        <w:t xml:space="preserve">The </w:t>
      </w:r>
      <w:r w:rsidRPr="001F5F88">
        <w:rPr>
          <w:i/>
          <w:iCs/>
          <w:color w:val="000000" w:themeColor="text1"/>
        </w:rPr>
        <w:t>‘Undue hazard to the safety of humans and harmful effects on human beings – s 5A(1)(a)–(b)’</w:t>
      </w:r>
      <w:r w:rsidRPr="001F5F88">
        <w:rPr>
          <w:color w:val="000000" w:themeColor="text1"/>
        </w:rPr>
        <w:t xml:space="preserve"> section of these reasons (paragraphs </w:t>
      </w:r>
      <w:r w:rsidRPr="001F5F88">
        <w:rPr>
          <w:color w:val="000000" w:themeColor="text1"/>
        </w:rPr>
        <w:fldChar w:fldCharType="begin"/>
      </w:r>
      <w:r w:rsidRPr="001F5F88">
        <w:rPr>
          <w:color w:val="000000" w:themeColor="text1"/>
        </w:rPr>
        <w:instrText xml:space="preserve"> REF _Ref207101325 \r \h  \* MERGEFORMAT </w:instrText>
      </w:r>
      <w:r w:rsidRPr="001F5F88">
        <w:rPr>
          <w:color w:val="000000" w:themeColor="text1"/>
        </w:rPr>
      </w:r>
      <w:r w:rsidRPr="001F5F88">
        <w:rPr>
          <w:color w:val="000000" w:themeColor="text1"/>
        </w:rPr>
        <w:fldChar w:fldCharType="separate"/>
      </w:r>
      <w:r w:rsidR="002C0C2A">
        <w:rPr>
          <w:color w:val="000000" w:themeColor="text1"/>
        </w:rPr>
        <w:t>76</w:t>
      </w:r>
      <w:r w:rsidRPr="001F5F88">
        <w:rPr>
          <w:color w:val="000000" w:themeColor="text1"/>
        </w:rPr>
        <w:fldChar w:fldCharType="end"/>
      </w:r>
      <w:r w:rsidRPr="001F5F88">
        <w:rPr>
          <w:color w:val="000000" w:themeColor="text1"/>
        </w:rPr>
        <w:t xml:space="preserve"> – </w:t>
      </w:r>
      <w:r w:rsidRPr="001F5F88">
        <w:rPr>
          <w:color w:val="000000" w:themeColor="text1"/>
        </w:rPr>
        <w:fldChar w:fldCharType="begin"/>
      </w:r>
      <w:r w:rsidRPr="001F5F88">
        <w:rPr>
          <w:color w:val="000000" w:themeColor="text1"/>
        </w:rPr>
        <w:instrText xml:space="preserve"> REF _Ref207101434 \r \h  \* MERGEFORMAT </w:instrText>
      </w:r>
      <w:r w:rsidRPr="001F5F88">
        <w:rPr>
          <w:color w:val="000000" w:themeColor="text1"/>
        </w:rPr>
      </w:r>
      <w:r w:rsidRPr="001F5F88">
        <w:rPr>
          <w:color w:val="000000" w:themeColor="text1"/>
        </w:rPr>
        <w:fldChar w:fldCharType="separate"/>
      </w:r>
      <w:r w:rsidR="002C0C2A">
        <w:rPr>
          <w:color w:val="000000" w:themeColor="text1"/>
        </w:rPr>
        <w:t>112</w:t>
      </w:r>
      <w:r w:rsidRPr="001F5F88">
        <w:rPr>
          <w:color w:val="000000" w:themeColor="text1"/>
        </w:rPr>
        <w:fldChar w:fldCharType="end"/>
      </w:r>
      <w:r w:rsidRPr="001F5F88">
        <w:rPr>
          <w:color w:val="000000" w:themeColor="text1"/>
        </w:rPr>
        <w:t>) includes my detailed considerations on the following matters</w:t>
      </w:r>
      <w:r>
        <w:rPr>
          <w:color w:val="000000" w:themeColor="text1"/>
        </w:rPr>
        <w:t>,</w:t>
      </w:r>
      <w:r w:rsidRPr="001F5F88">
        <w:rPr>
          <w:color w:val="000000" w:themeColor="text1"/>
        </w:rPr>
        <w:t xml:space="preserve"> as relevant to the safety of people exposed to</w:t>
      </w:r>
      <w:r>
        <w:rPr>
          <w:color w:val="000000" w:themeColor="text1"/>
        </w:rPr>
        <w:t xml:space="preserve"> chemical</w:t>
      </w:r>
      <w:r w:rsidRPr="001F5F88">
        <w:rPr>
          <w:color w:val="000000" w:themeColor="text1"/>
        </w:rPr>
        <w:t xml:space="preserve"> products during handling</w:t>
      </w:r>
      <w:r>
        <w:rPr>
          <w:color w:val="000000" w:themeColor="text1"/>
        </w:rPr>
        <w:t>,</w:t>
      </w:r>
      <w:r w:rsidRPr="001F5F88">
        <w:rPr>
          <w:color w:val="000000" w:themeColor="text1"/>
        </w:rPr>
        <w:t xml:space="preserve"> people using anything containing product residues </w:t>
      </w:r>
      <w:r>
        <w:rPr>
          <w:color w:val="000000" w:themeColor="text1"/>
        </w:rPr>
        <w:t xml:space="preserve">and </w:t>
      </w:r>
      <w:r w:rsidRPr="001F5F88">
        <w:rPr>
          <w:color w:val="000000" w:themeColor="text1"/>
        </w:rPr>
        <w:t>human beings:</w:t>
      </w:r>
    </w:p>
    <w:p w14:paraId="6E0CAAEC" w14:textId="77777777" w:rsidR="008E67EA" w:rsidRPr="001F5F88" w:rsidRDefault="008E67EA">
      <w:pPr>
        <w:pStyle w:val="NumberLevel4"/>
        <w:numPr>
          <w:ilvl w:val="3"/>
          <w:numId w:val="17"/>
        </w:numPr>
      </w:pPr>
      <w:r w:rsidRPr="001F5F88">
        <w:t xml:space="preserve">the toxicity of the product and its residues, including metabolites and degradation products, in relation to relevant organisms and ecosystems, including human beings (s 5A(3)(a)(i)); and </w:t>
      </w:r>
    </w:p>
    <w:p w14:paraId="770624A7" w14:textId="77777777" w:rsidR="008E67EA" w:rsidRPr="001F5F88" w:rsidRDefault="008E67EA">
      <w:pPr>
        <w:pStyle w:val="NumberLevel4"/>
        <w:numPr>
          <w:ilvl w:val="3"/>
          <w:numId w:val="17"/>
        </w:numPr>
      </w:pPr>
      <w:r w:rsidRPr="001F5F88">
        <w:t>the relevant poison classification of the product under the law in force in this jurisdiction (s 5A(3)(a)(ii)); and</w:t>
      </w:r>
    </w:p>
    <w:p w14:paraId="41B923DD" w14:textId="77777777" w:rsidR="008E67EA" w:rsidRPr="001F5F88" w:rsidRDefault="008E67EA">
      <w:pPr>
        <w:pStyle w:val="NumberLevel4"/>
        <w:numPr>
          <w:ilvl w:val="3"/>
          <w:numId w:val="17"/>
        </w:numPr>
      </w:pPr>
      <w:r w:rsidRPr="001F5F88">
        <w:t>how the product is formulated (s 5A(3)(a)(iii)); and</w:t>
      </w:r>
    </w:p>
    <w:p w14:paraId="76A19F3D" w14:textId="77777777" w:rsidR="008E67EA" w:rsidRPr="00521B00" w:rsidRDefault="008E67EA">
      <w:pPr>
        <w:pStyle w:val="NumberLevel4"/>
        <w:numPr>
          <w:ilvl w:val="3"/>
          <w:numId w:val="17"/>
        </w:numPr>
      </w:pPr>
      <w:r w:rsidRPr="001F5F88">
        <w:t>the following relevant particulars that are, or would be, entered in the Register for the product (s 5A(3)(a)(vi): any instructions for use.</w:t>
      </w:r>
    </w:p>
    <w:p w14:paraId="3166CBB7" w14:textId="55656474" w:rsidR="008E67EA" w:rsidRPr="001F5F88" w:rsidRDefault="008E67EA">
      <w:pPr>
        <w:pStyle w:val="NumberLevel3"/>
        <w:numPr>
          <w:ilvl w:val="2"/>
          <w:numId w:val="17"/>
        </w:numPr>
      </w:pPr>
      <w:r w:rsidRPr="001F5F88">
        <w:rPr>
          <w:color w:val="000000" w:themeColor="text1"/>
        </w:rPr>
        <w:t>The ‘</w:t>
      </w:r>
      <w:r w:rsidRPr="001F5F88">
        <w:rPr>
          <w:i/>
          <w:iCs/>
          <w:color w:val="000000" w:themeColor="text1"/>
        </w:rPr>
        <w:t>Chemistry and manufacture matters related to the safety criteria – s 5A(1)(a)–(c)’</w:t>
      </w:r>
      <w:r w:rsidRPr="001F5F88">
        <w:rPr>
          <w:i/>
          <w:iCs/>
        </w:rPr>
        <w:t xml:space="preserve"> </w:t>
      </w:r>
      <w:r w:rsidRPr="001F5F88">
        <w:t xml:space="preserve">section of these reasons (paragraphs </w:t>
      </w:r>
      <w:r w:rsidRPr="001F5F88">
        <w:rPr>
          <w:color w:val="FF0000"/>
        </w:rPr>
        <w:fldChar w:fldCharType="begin"/>
      </w:r>
      <w:r w:rsidRPr="001F5F88">
        <w:instrText xml:space="preserve"> REF _Ref213348509 \r \h </w:instrText>
      </w:r>
      <w:r w:rsidRPr="001F5F88">
        <w:rPr>
          <w:color w:val="FF0000"/>
        </w:rPr>
        <w:instrText xml:space="preserve"> \* MERGEFORMAT </w:instrText>
      </w:r>
      <w:r w:rsidRPr="001F5F88">
        <w:rPr>
          <w:color w:val="FF0000"/>
        </w:rPr>
      </w:r>
      <w:r w:rsidRPr="001F5F88">
        <w:rPr>
          <w:color w:val="FF0000"/>
        </w:rPr>
        <w:fldChar w:fldCharType="separate"/>
      </w:r>
      <w:r w:rsidR="002C0C2A">
        <w:t>113</w:t>
      </w:r>
      <w:r w:rsidRPr="001F5F88">
        <w:rPr>
          <w:color w:val="FF0000"/>
        </w:rPr>
        <w:fldChar w:fldCharType="end"/>
      </w:r>
      <w:r w:rsidRPr="001F5F88">
        <w:rPr>
          <w:color w:val="FF0000"/>
        </w:rPr>
        <w:t xml:space="preserve"> </w:t>
      </w:r>
      <w:r w:rsidRPr="001F5F88">
        <w:rPr>
          <w:color w:val="000000" w:themeColor="text1"/>
        </w:rPr>
        <w:t xml:space="preserve">– </w:t>
      </w:r>
      <w:r w:rsidRPr="001F5F88">
        <w:fldChar w:fldCharType="begin"/>
      </w:r>
      <w:r w:rsidRPr="001F5F88">
        <w:instrText xml:space="preserve"> REF _Ref213350517 \r \h  \* MERGEFORMAT </w:instrText>
      </w:r>
      <w:r w:rsidRPr="001F5F88">
        <w:fldChar w:fldCharType="separate"/>
      </w:r>
      <w:r w:rsidR="002C0C2A">
        <w:t>126</w:t>
      </w:r>
      <w:r w:rsidRPr="001F5F88">
        <w:fldChar w:fldCharType="end"/>
      </w:r>
      <w:r w:rsidRPr="001F5F88">
        <w:rPr>
          <w:color w:val="000000" w:themeColor="text1"/>
        </w:rPr>
        <w:t>)</w:t>
      </w:r>
      <w:r w:rsidRPr="001F5F88">
        <w:t xml:space="preserve"> includes my detailed consideration of the following matters</w:t>
      </w:r>
      <w:r>
        <w:t>, as they pertain to whether a chemical product meets the safety criteria</w:t>
      </w:r>
      <w:r w:rsidRPr="001F5F88">
        <w:t>:</w:t>
      </w:r>
    </w:p>
    <w:p w14:paraId="4FA1FC54" w14:textId="77777777" w:rsidR="008E67EA" w:rsidRPr="001F5F88" w:rsidRDefault="008E67EA">
      <w:pPr>
        <w:pStyle w:val="NumberLevel4"/>
        <w:numPr>
          <w:ilvl w:val="3"/>
          <w:numId w:val="17"/>
        </w:numPr>
      </w:pPr>
      <w:r w:rsidRPr="001F5F88">
        <w:t>how the product is formulated (s 5A(3)(a)(iii)); and</w:t>
      </w:r>
    </w:p>
    <w:p w14:paraId="1459FBFC" w14:textId="77777777" w:rsidR="008E67EA" w:rsidRPr="001F5F88" w:rsidRDefault="008E67EA">
      <w:pPr>
        <w:pStyle w:val="NumberLevel4"/>
        <w:numPr>
          <w:ilvl w:val="3"/>
          <w:numId w:val="17"/>
        </w:numPr>
      </w:pPr>
      <w:r w:rsidRPr="001F5F88">
        <w:t>the composition and form of the constituents of the product (s 5A(3)(a)(iv)); and</w:t>
      </w:r>
    </w:p>
    <w:p w14:paraId="5B24A160" w14:textId="77777777" w:rsidR="008E67EA" w:rsidRPr="001F5F88" w:rsidRDefault="008E67EA">
      <w:pPr>
        <w:pStyle w:val="NumberLevel4"/>
        <w:numPr>
          <w:ilvl w:val="3"/>
          <w:numId w:val="17"/>
        </w:numPr>
      </w:pPr>
      <w:r w:rsidRPr="001F5F88">
        <w:t xml:space="preserve">any conditions to which its registration is, or would be, subject (s 5A(3)(a)(v)); and </w:t>
      </w:r>
    </w:p>
    <w:p w14:paraId="274FCDDF" w14:textId="77777777" w:rsidR="008E67EA" w:rsidRPr="001F5F88" w:rsidRDefault="008E67EA">
      <w:pPr>
        <w:pStyle w:val="NumberLevel4"/>
        <w:numPr>
          <w:ilvl w:val="3"/>
          <w:numId w:val="17"/>
        </w:numPr>
      </w:pPr>
      <w:bookmarkStart w:id="141" w:name="_Hlk202344103"/>
      <w:r w:rsidRPr="001F5F88">
        <w:t xml:space="preserve">the following relevant particulars that are, or would be, entered in the Register for the product (s 5A(3)(a)(vi): the constituents </w:t>
      </w:r>
      <w:r>
        <w:t xml:space="preserve">of the chemical product </w:t>
      </w:r>
      <w:r w:rsidRPr="001F5F88">
        <w:t>(regulation 16(b) of the Agvet Regulations), the concentration of each constituent (regulation 16(c) of the Agvet Regulations), the composition and purity of each active constituent (if possible) (regulation 16(d) of the Agvet Regulations), and the formulation type (regulation 16(da) of the Agvet Regulations); and</w:t>
      </w:r>
    </w:p>
    <w:bookmarkEnd w:id="141"/>
    <w:p w14:paraId="3B99B05D" w14:textId="77777777" w:rsidR="008E67EA" w:rsidRPr="001F5F88" w:rsidRDefault="008E67EA">
      <w:pPr>
        <w:pStyle w:val="NumberLevel4"/>
        <w:numPr>
          <w:ilvl w:val="3"/>
          <w:numId w:val="17"/>
        </w:numPr>
      </w:pPr>
      <w:r w:rsidRPr="001F5F88">
        <w:t>whether the product conforms, or would conform, to any standard made for the product under section 6E to the extent that the standard relates to matters covered by subsection 5A(1) of the Agvet Code ((s 5A(3)(a)(vi)).</w:t>
      </w:r>
    </w:p>
    <w:p w14:paraId="120FBD26" w14:textId="77777777" w:rsidR="008E67EA" w:rsidRDefault="008E67EA">
      <w:pPr>
        <w:pStyle w:val="NumberLevel2"/>
        <w:numPr>
          <w:ilvl w:val="1"/>
          <w:numId w:val="17"/>
        </w:numPr>
        <w:ind w:left="1134"/>
        <w:rPr>
          <w:color w:val="000000" w:themeColor="text1"/>
        </w:rPr>
      </w:pPr>
      <w:r>
        <w:rPr>
          <w:color w:val="000000" w:themeColor="text1"/>
        </w:rPr>
        <w:t xml:space="preserve">In regard to the prescribed matters for a chemical product set out in regulation 8AB of the Agvet Regulations for the purpose of </w:t>
      </w:r>
      <w:r w:rsidRPr="003C4385">
        <w:rPr>
          <w:color w:val="000000" w:themeColor="text1"/>
        </w:rPr>
        <w:t>subparagraph 5A(3)(a)(vii) of the</w:t>
      </w:r>
      <w:r>
        <w:rPr>
          <w:color w:val="000000" w:themeColor="text1"/>
        </w:rPr>
        <w:t xml:space="preserve"> Agvet</w:t>
      </w:r>
      <w:r w:rsidRPr="003C4385">
        <w:rPr>
          <w:color w:val="000000" w:themeColor="text1"/>
        </w:rPr>
        <w:t xml:space="preserve"> Code</w:t>
      </w:r>
      <w:r>
        <w:rPr>
          <w:color w:val="000000" w:themeColor="text1"/>
        </w:rPr>
        <w:t>.</w:t>
      </w:r>
    </w:p>
    <w:p w14:paraId="00D81AB9" w14:textId="15386DC3" w:rsidR="008E67EA" w:rsidRPr="00E23899" w:rsidRDefault="008E67EA">
      <w:pPr>
        <w:pStyle w:val="NumberLevel3"/>
        <w:numPr>
          <w:ilvl w:val="2"/>
          <w:numId w:val="17"/>
        </w:numPr>
      </w:pPr>
      <w:bookmarkStart w:id="142" w:name="_Hlk193332102"/>
      <w:r w:rsidRPr="00E23899">
        <w:t>There has been no new information provided to the APVMA or identified by the APVMA regarding the method of analysis (if any) of the chemical composition and form of the constituents of the chemical product (r</w:t>
      </w:r>
      <w:r>
        <w:t>egulation</w:t>
      </w:r>
      <w:r w:rsidRPr="00E23899">
        <w:t xml:space="preserve"> 8AB(1)(a) of the Agvet Regulations) since the registration and/or variation of the chemical products listed in Attachment A of this notice. Therefore, I consider that the method of analysis (if any) in the APVMA records remain suitable for determining the chemical composition and form of the constituents of anticoagulant rodenticide chemical products.</w:t>
      </w:r>
    </w:p>
    <w:bookmarkEnd w:id="142"/>
    <w:p w14:paraId="7D85DC5B" w14:textId="30D7A1CA" w:rsidR="008E67EA" w:rsidRPr="00E23899" w:rsidRDefault="008E67EA">
      <w:pPr>
        <w:pStyle w:val="NumberLevel3"/>
        <w:numPr>
          <w:ilvl w:val="2"/>
          <w:numId w:val="17"/>
        </w:numPr>
      </w:pPr>
      <w:r w:rsidRPr="00E23899">
        <w:t>Regulations 8AB(1)(b) and (c) of the Agvet Regulations do not apply to the anticoagulant rodenticide chemical products listed in Attachment A of this notice, as they are captured by the exclusion in regulation 8AB(2) of the Agvet Regulations.</w:t>
      </w:r>
    </w:p>
    <w:p w14:paraId="13639542" w14:textId="77777777" w:rsidR="008E67EA" w:rsidRPr="00E23899" w:rsidRDefault="008E67EA">
      <w:pPr>
        <w:pStyle w:val="NumberLevel3"/>
        <w:numPr>
          <w:ilvl w:val="2"/>
          <w:numId w:val="17"/>
        </w:numPr>
      </w:pPr>
      <w:r w:rsidRPr="00E23899">
        <w:lastRenderedPageBreak/>
        <w:t>Regulations 8AB(1)(d) and (e) of the Agvet Regulations do not apply to the anticoagulant rodenticide products listed in Attachment A of this notice, as they are not a molluscicide in the form of a bait, nor do they contain the active constituent metaldehyde or methiocarb.</w:t>
      </w:r>
    </w:p>
    <w:p w14:paraId="6E61D047" w14:textId="5B6694F4" w:rsidR="008E67EA" w:rsidRPr="00E23899" w:rsidRDefault="008E67EA">
      <w:pPr>
        <w:pStyle w:val="NumberLevel3"/>
        <w:numPr>
          <w:ilvl w:val="2"/>
          <w:numId w:val="17"/>
        </w:numPr>
      </w:pPr>
      <w:r w:rsidRPr="00E23899">
        <w:t>Regulations 8AB(1)(f) does not apply to the anticoagulant rodenticide products listed in Attachment A of this notice, as they are not agricultural chemical products to be applied to seeds to be stored before planting or sowing.</w:t>
      </w:r>
    </w:p>
    <w:p w14:paraId="398022B0" w14:textId="77777777" w:rsidR="008E67EA" w:rsidRPr="00E23899" w:rsidRDefault="008E67EA">
      <w:pPr>
        <w:pStyle w:val="NumberLevel1"/>
        <w:numPr>
          <w:ilvl w:val="0"/>
          <w:numId w:val="17"/>
        </w:numPr>
        <w:tabs>
          <w:tab w:val="clear" w:pos="709"/>
          <w:tab w:val="num" w:pos="2553"/>
        </w:tabs>
      </w:pPr>
      <w:r w:rsidRPr="005E2874">
        <w:t>For the purposes of being satisfied as to whether</w:t>
      </w:r>
      <w:r>
        <w:t xml:space="preserve"> the</w:t>
      </w:r>
      <w:r w:rsidRPr="005E2874">
        <w:t xml:space="preserve"> chemical products listed in Attachment A of this notice meet the safety criteria, or whether the relevant particulars or </w:t>
      </w:r>
      <w:r w:rsidRPr="003C4385">
        <w:t xml:space="preserve">conditions of these registrations could be </w:t>
      </w:r>
      <w:r w:rsidRPr="00E23899">
        <w:t>varied in such a way so that the chemical products meet the safety criteria, the matters set out in section 5A(3)(b) of the Agvet Code are discretionary.</w:t>
      </w:r>
    </w:p>
    <w:p w14:paraId="03BF8D30" w14:textId="77777777" w:rsidR="008E67EA" w:rsidRPr="008E234D" w:rsidRDefault="008E67EA">
      <w:pPr>
        <w:pStyle w:val="NumberLevel2"/>
        <w:numPr>
          <w:ilvl w:val="1"/>
          <w:numId w:val="17"/>
        </w:numPr>
        <w:ind w:left="1134"/>
        <w:rPr>
          <w:color w:val="000000" w:themeColor="text1"/>
        </w:rPr>
      </w:pPr>
      <w:r w:rsidRPr="00E23899">
        <w:t>I have chosen not to have regard the discretionary matters listed in sections 5A(3)(b)(i), (ii) and (iii) of the Agvet Code, as they are not relevant to anticoagulant rodenticide chemical products based on their registered</w:t>
      </w:r>
      <w:r w:rsidRPr="00DC021E">
        <w:t xml:space="preserve"> use</w:t>
      </w:r>
      <w:r>
        <w:t xml:space="preserve"> patterns</w:t>
      </w:r>
      <w:r w:rsidRPr="00DC021E">
        <w:t>.</w:t>
      </w:r>
      <w:r>
        <w:t xml:space="preserve"> As detailed in the </w:t>
      </w:r>
      <w:r w:rsidRPr="004A02BF">
        <w:t xml:space="preserve">section </w:t>
      </w:r>
      <w:r w:rsidRPr="00521B00">
        <w:rPr>
          <w:i/>
          <w:iCs/>
        </w:rPr>
        <w:t>‘5. Residues and trade’</w:t>
      </w:r>
      <w:r>
        <w:t xml:space="preserve"> </w:t>
      </w:r>
      <w:r w:rsidRPr="004A02BF">
        <w:t xml:space="preserve">of the </w:t>
      </w:r>
      <w:r w:rsidRPr="008E234D">
        <w:rPr>
          <w:i/>
          <w:iCs/>
        </w:rPr>
        <w:t>Anticoagulant Rodenticides Review Technical Report</w:t>
      </w:r>
      <w:r w:rsidRPr="004A02BF">
        <w:t>, there are</w:t>
      </w:r>
      <w:r>
        <w:t xml:space="preserve"> no</w:t>
      </w:r>
      <w:r w:rsidRPr="004A02BF">
        <w:t xml:space="preserve"> registered uses of anticoagulant rodenticide</w:t>
      </w:r>
      <w:r>
        <w:t xml:space="preserve"> products</w:t>
      </w:r>
      <w:r w:rsidRPr="004A02BF">
        <w:t xml:space="preserve"> for direct application to commodities grown for human food or to food producing livestock or poultry.</w:t>
      </w:r>
      <w:r>
        <w:t xml:space="preserve"> Further</w:t>
      </w:r>
      <w:r w:rsidRPr="00E23899">
        <w:t>, I note the recommendation</w:t>
      </w:r>
      <w:r>
        <w:t xml:space="preserve"> in </w:t>
      </w:r>
      <w:r w:rsidRPr="003C4385">
        <w:t>section</w:t>
      </w:r>
      <w:r>
        <w:t xml:space="preserve"> </w:t>
      </w:r>
      <w:r w:rsidRPr="00521B00">
        <w:rPr>
          <w:i/>
          <w:iCs/>
        </w:rPr>
        <w:t>‘5.4 Agricultural and Veterinary Chemicals (MRL Standard for Residues of Chemical Products) Instrument 2023’</w:t>
      </w:r>
      <w:r w:rsidRPr="003C4385">
        <w:t xml:space="preserve"> of the </w:t>
      </w:r>
      <w:r w:rsidRPr="008E234D">
        <w:rPr>
          <w:i/>
          <w:iCs/>
        </w:rPr>
        <w:t>Anticoagulant Rodenticides Review Technical Report</w:t>
      </w:r>
      <w:r w:rsidRPr="003C4385">
        <w:t xml:space="preserve"> that any current temporary maximum residues limits approved by the APVMA for anticoagulant rodenticides should be removed from the </w:t>
      </w:r>
      <w:r w:rsidRPr="008E234D">
        <w:rPr>
          <w:i/>
          <w:iCs/>
          <w:color w:val="000000" w:themeColor="text1"/>
        </w:rPr>
        <w:t>Agricultural and Veterinary Chemicals (MRL Standard for Residues of Chemical Products) Instrument 2023</w:t>
      </w:r>
      <w:r w:rsidRPr="008E234D">
        <w:rPr>
          <w:color w:val="000000" w:themeColor="text1"/>
        </w:rPr>
        <w:t xml:space="preserve"> (MRL Standard)</w:t>
      </w:r>
    </w:p>
    <w:p w14:paraId="66981658" w14:textId="77777777" w:rsidR="008E67EA" w:rsidRPr="00E23899" w:rsidRDefault="008E67EA">
      <w:pPr>
        <w:pStyle w:val="NumberLevel2"/>
        <w:numPr>
          <w:ilvl w:val="1"/>
          <w:numId w:val="17"/>
        </w:numPr>
        <w:ind w:left="1134"/>
        <w:rPr>
          <w:color w:val="000000" w:themeColor="text1"/>
        </w:rPr>
      </w:pPr>
      <w:r w:rsidRPr="003C4385">
        <w:rPr>
          <w:color w:val="000000" w:themeColor="text1"/>
        </w:rPr>
        <w:t xml:space="preserve">There has been </w:t>
      </w:r>
      <w:r w:rsidRPr="003C4385">
        <w:t>no new information provided to the APVMA or identified by the APVMA regarding</w:t>
      </w:r>
      <w:r w:rsidRPr="003C4385">
        <w:rPr>
          <w:color w:val="000000" w:themeColor="text1"/>
        </w:rPr>
        <w:t xml:space="preserve"> the stability of the product (s 5A(3)(b)(iv)) and the specifications for containers for the product (s 5A(3)(b)(v)) </w:t>
      </w:r>
      <w:r w:rsidRPr="003C4385">
        <w:t xml:space="preserve">since the </w:t>
      </w:r>
      <w:r w:rsidRPr="00E23899">
        <w:t>registration and/or variation of the chemical products listed in Attachment A of this notice</w:t>
      </w:r>
      <w:r w:rsidRPr="00E23899">
        <w:rPr>
          <w:color w:val="000000" w:themeColor="text1"/>
        </w:rPr>
        <w:t xml:space="preserve">. Therefore, I consider that there is nothing that would prevent me from being satisfied that </w:t>
      </w:r>
      <w:bookmarkStart w:id="143" w:name="_Hlk193452742"/>
      <w:r w:rsidRPr="00E23899">
        <w:rPr>
          <w:color w:val="000000" w:themeColor="text1"/>
        </w:rPr>
        <w:t xml:space="preserve">the </w:t>
      </w:r>
      <w:bookmarkStart w:id="144" w:name="_Hlk193452891"/>
      <w:r w:rsidRPr="00E23899">
        <w:rPr>
          <w:color w:val="000000" w:themeColor="text1"/>
        </w:rPr>
        <w:t xml:space="preserve">anticoagulant rodenticide products </w:t>
      </w:r>
      <w:bookmarkEnd w:id="143"/>
      <w:r w:rsidRPr="00E23899">
        <w:rPr>
          <w:color w:val="000000" w:themeColor="text1"/>
        </w:rPr>
        <w:t xml:space="preserve">listed in Attachment A of this notice </w:t>
      </w:r>
      <w:bookmarkEnd w:id="144"/>
      <w:r w:rsidRPr="00E23899">
        <w:rPr>
          <w:color w:val="000000" w:themeColor="text1"/>
        </w:rPr>
        <w:t>meet the safety criteria in relation to these matters.</w:t>
      </w:r>
    </w:p>
    <w:p w14:paraId="739E18BD" w14:textId="77777777" w:rsidR="008E67EA" w:rsidRPr="00E23899" w:rsidRDefault="008E67EA">
      <w:pPr>
        <w:pStyle w:val="NumberLevel2"/>
        <w:numPr>
          <w:ilvl w:val="1"/>
          <w:numId w:val="17"/>
        </w:numPr>
        <w:ind w:left="1134"/>
        <w:rPr>
          <w:color w:val="000000" w:themeColor="text1"/>
        </w:rPr>
      </w:pPr>
      <w:r w:rsidRPr="00E23899">
        <w:rPr>
          <w:color w:val="000000" w:themeColor="text1"/>
        </w:rPr>
        <w:t>In relation to the discretionary matters listed in section 5(3)(b)(vi) of the Agvet Code, there are no other matters that I think relevant with respect to whether the anticoagulant rodenticide products listed in Attachment A of this notice meet the safety criteria.</w:t>
      </w:r>
    </w:p>
    <w:p w14:paraId="132804A5" w14:textId="77777777" w:rsidR="008E67EA" w:rsidRDefault="008E67EA" w:rsidP="008E67EA">
      <w:pPr>
        <w:pStyle w:val="StatementofReasonsHeading3"/>
      </w:pPr>
      <w:bookmarkStart w:id="145" w:name="_Toc216090755"/>
      <w:r>
        <w:t>Likelihood of an unintended effect that is harmful to animals, plants or things or to the environment – s 5A(1)(c)</w:t>
      </w:r>
      <w:bookmarkEnd w:id="145"/>
    </w:p>
    <w:p w14:paraId="0146FCB2" w14:textId="096D34ED" w:rsidR="008E67EA" w:rsidRDefault="008E67EA">
      <w:pPr>
        <w:pStyle w:val="NumberLevel1"/>
        <w:numPr>
          <w:ilvl w:val="0"/>
          <w:numId w:val="17"/>
        </w:numPr>
        <w:tabs>
          <w:tab w:val="clear" w:pos="709"/>
          <w:tab w:val="num" w:pos="2553"/>
        </w:tabs>
        <w:rPr>
          <w:color w:val="000000" w:themeColor="text1"/>
        </w:rPr>
      </w:pPr>
      <w:bookmarkStart w:id="146" w:name="_Ref207101259"/>
      <w:r>
        <w:rPr>
          <w:color w:val="000000" w:themeColor="text1"/>
        </w:rPr>
        <w:t>For a chemical product to meet the safety criteria</w:t>
      </w:r>
      <w:r w:rsidRPr="00E23899">
        <w:rPr>
          <w:color w:val="000000" w:themeColor="text1"/>
        </w:rPr>
        <w:t xml:space="preserve">, section 5A(1)(c) of the Agvet Code requires that the use of </w:t>
      </w:r>
      <w:r>
        <w:rPr>
          <w:color w:val="000000" w:themeColor="text1"/>
        </w:rPr>
        <w:t xml:space="preserve">those </w:t>
      </w:r>
      <w:r w:rsidRPr="00E23899">
        <w:rPr>
          <w:color w:val="000000" w:themeColor="text1"/>
        </w:rPr>
        <w:t>chemical products, in accordance with any instructions approved, or to be approved, by the APVMA would not be likely to have an unintended effect that is harmful to animals, plants or things or to the environment.</w:t>
      </w:r>
    </w:p>
    <w:p w14:paraId="1B58E879" w14:textId="77777777" w:rsidR="008E67EA" w:rsidRDefault="008E67EA">
      <w:pPr>
        <w:pStyle w:val="NumberLevel1"/>
        <w:numPr>
          <w:ilvl w:val="0"/>
          <w:numId w:val="17"/>
        </w:numPr>
        <w:tabs>
          <w:tab w:val="clear" w:pos="709"/>
          <w:tab w:val="num" w:pos="2553"/>
        </w:tabs>
        <w:rPr>
          <w:color w:val="000000" w:themeColor="text1"/>
        </w:rPr>
      </w:pPr>
      <w:r w:rsidRPr="00E23899">
        <w:rPr>
          <w:color w:val="000000" w:themeColor="text1"/>
        </w:rPr>
        <w:t>When considering this criteria, I have specifically considered whether the use of the chemical products in accordance with any instructions approved, or to be approved, would be likely to have an unintended effect that is harmful to a</w:t>
      </w:r>
      <w:r w:rsidRPr="00135910">
        <w:rPr>
          <w:color w:val="000000" w:themeColor="text1"/>
        </w:rPr>
        <w:t xml:space="preserve">nimals, plants or </w:t>
      </w:r>
      <w:r>
        <w:rPr>
          <w:color w:val="000000" w:themeColor="text1"/>
        </w:rPr>
        <w:t xml:space="preserve">and other things in the environment </w:t>
      </w:r>
      <w:r w:rsidRPr="00E23899">
        <w:rPr>
          <w:color w:val="000000" w:themeColor="text1"/>
        </w:rPr>
        <w:t>that may be impacted by the use of agricultural chemical products, including</w:t>
      </w:r>
      <w:r>
        <w:rPr>
          <w:color w:val="000000" w:themeColor="text1"/>
        </w:rPr>
        <w:t>:</w:t>
      </w:r>
    </w:p>
    <w:p w14:paraId="3CDB1917" w14:textId="3D942B3C" w:rsidR="008E67EA" w:rsidRDefault="008E67EA">
      <w:pPr>
        <w:pStyle w:val="NumberLevel2"/>
        <w:numPr>
          <w:ilvl w:val="1"/>
          <w:numId w:val="17"/>
        </w:numPr>
        <w:ind w:left="1134"/>
      </w:pPr>
      <w:r w:rsidRPr="00E23899">
        <w:t>non-target terrestrial vertebrates,</w:t>
      </w:r>
    </w:p>
    <w:p w14:paraId="3C5E5000" w14:textId="784B6D0B" w:rsidR="008E67EA" w:rsidRDefault="008E67EA">
      <w:pPr>
        <w:pStyle w:val="NumberLevel2"/>
        <w:numPr>
          <w:ilvl w:val="1"/>
          <w:numId w:val="17"/>
        </w:numPr>
        <w:ind w:left="1134"/>
      </w:pPr>
      <w:r w:rsidRPr="00E23899">
        <w:t>aquatic species,</w:t>
      </w:r>
    </w:p>
    <w:p w14:paraId="092FDA7B" w14:textId="00A32D72" w:rsidR="008E67EA" w:rsidRDefault="008E67EA">
      <w:pPr>
        <w:pStyle w:val="NumberLevel2"/>
        <w:numPr>
          <w:ilvl w:val="1"/>
          <w:numId w:val="17"/>
        </w:numPr>
        <w:ind w:left="1134"/>
      </w:pPr>
      <w:r w:rsidRPr="00E23899">
        <w:lastRenderedPageBreak/>
        <w:t>biological methods of sewage treatment,</w:t>
      </w:r>
    </w:p>
    <w:p w14:paraId="0BDD694B" w14:textId="0F131801" w:rsidR="008E67EA" w:rsidRDefault="008E67EA">
      <w:pPr>
        <w:pStyle w:val="NumberLevel2"/>
        <w:numPr>
          <w:ilvl w:val="1"/>
          <w:numId w:val="17"/>
        </w:numPr>
        <w:ind w:left="1134"/>
      </w:pPr>
      <w:r w:rsidRPr="00E23899">
        <w:t>soil organisms,</w:t>
      </w:r>
    </w:p>
    <w:p w14:paraId="481D1619" w14:textId="6A8C8A92" w:rsidR="008E67EA" w:rsidRDefault="008E67EA">
      <w:pPr>
        <w:pStyle w:val="NumberLevel2"/>
        <w:numPr>
          <w:ilvl w:val="1"/>
          <w:numId w:val="17"/>
        </w:numPr>
        <w:ind w:left="1134"/>
      </w:pPr>
      <w:r w:rsidRPr="00E23899">
        <w:t>bees and other terrestrial arthropods</w:t>
      </w:r>
      <w:r>
        <w:t>,</w:t>
      </w:r>
    </w:p>
    <w:p w14:paraId="1EE58B3C" w14:textId="77777777" w:rsidR="008E67EA" w:rsidRPr="00E23899" w:rsidRDefault="008E67EA">
      <w:pPr>
        <w:pStyle w:val="NumberLevel2"/>
        <w:numPr>
          <w:ilvl w:val="1"/>
          <w:numId w:val="17"/>
        </w:numPr>
        <w:ind w:left="1134"/>
      </w:pPr>
      <w:r w:rsidRPr="00E23899">
        <w:t>and terrestrial plants.</w:t>
      </w:r>
      <w:bookmarkEnd w:id="146"/>
    </w:p>
    <w:p w14:paraId="671B4194" w14:textId="77777777" w:rsidR="008E67EA" w:rsidRDefault="008E67EA" w:rsidP="008E67EA">
      <w:pPr>
        <w:pStyle w:val="StatementofReasonsHeading4"/>
      </w:pPr>
      <w:bookmarkStart w:id="147" w:name="_Hlk193551180"/>
      <w:r>
        <w:t xml:space="preserve">Risks to non-target terrestrial vertebrates </w:t>
      </w:r>
    </w:p>
    <w:p w14:paraId="1BAFC13B" w14:textId="77777777" w:rsidR="008E67EA" w:rsidRPr="008F4EE6" w:rsidRDefault="008E67EA">
      <w:pPr>
        <w:pStyle w:val="NumberLevel1"/>
        <w:numPr>
          <w:ilvl w:val="0"/>
          <w:numId w:val="17"/>
        </w:numPr>
        <w:tabs>
          <w:tab w:val="clear" w:pos="709"/>
          <w:tab w:val="num" w:pos="2553"/>
        </w:tabs>
        <w:rPr>
          <w:color w:val="000000" w:themeColor="text1"/>
        </w:rPr>
      </w:pPr>
      <w:bookmarkStart w:id="148" w:name="_Ref207113740"/>
      <w:r w:rsidRPr="008F4EE6">
        <w:rPr>
          <w:color w:val="000000" w:themeColor="text1"/>
        </w:rPr>
        <w:t>In considering whether the use of the chemical products listed in Attachment A of this notice in accordance with instructions</w:t>
      </w:r>
      <w:r>
        <w:rPr>
          <w:color w:val="000000" w:themeColor="text1"/>
        </w:rPr>
        <w:t xml:space="preserve"> approved by the APVMA</w:t>
      </w:r>
      <w:r w:rsidRPr="008F4EE6">
        <w:rPr>
          <w:color w:val="000000" w:themeColor="text1"/>
        </w:rPr>
        <w:t xml:space="preserve"> would be likely to have an unintended effect that is harmful to terrestrial vertebrates, I have considered the environmental risk assessments summarised in section </w:t>
      </w:r>
      <w:r w:rsidRPr="00135910">
        <w:rPr>
          <w:i/>
          <w:iCs/>
          <w:color w:val="000000" w:themeColor="text1"/>
        </w:rPr>
        <w:t>‘3. Environment’</w:t>
      </w:r>
      <w:r w:rsidRPr="008F4EE6">
        <w:rPr>
          <w:color w:val="000000" w:themeColor="text1"/>
        </w:rPr>
        <w:t xml:space="preserve"> of the </w:t>
      </w:r>
      <w:r w:rsidRPr="008F4EE6">
        <w:rPr>
          <w:i/>
          <w:iCs/>
          <w:color w:val="000000" w:themeColor="text1"/>
        </w:rPr>
        <w:t xml:space="preserve">Anticoagulant Rodenticides Review Technical Report </w:t>
      </w:r>
      <w:r w:rsidRPr="008F4EE6">
        <w:rPr>
          <w:color w:val="000000" w:themeColor="text1"/>
        </w:rPr>
        <w:t xml:space="preserve">to the extent that </w:t>
      </w:r>
      <w:r>
        <w:rPr>
          <w:color w:val="000000" w:themeColor="text1"/>
        </w:rPr>
        <w:t xml:space="preserve">it relates to terrestrial vertebrates and </w:t>
      </w:r>
      <w:r w:rsidRPr="008F4EE6">
        <w:rPr>
          <w:color w:val="000000" w:themeColor="text1"/>
        </w:rPr>
        <w:t>the following relevant matters that the APVMA must have regard to for the purposes of being satisfied as to whether a chemical product meets the safety criteria:</w:t>
      </w:r>
      <w:bookmarkEnd w:id="148"/>
    </w:p>
    <w:p w14:paraId="4094AE94" w14:textId="77777777" w:rsidR="008E67EA" w:rsidRPr="008F4EE6" w:rsidRDefault="008E67EA">
      <w:pPr>
        <w:pStyle w:val="NumberLevel2"/>
        <w:numPr>
          <w:ilvl w:val="1"/>
          <w:numId w:val="17"/>
        </w:numPr>
        <w:ind w:left="1134"/>
      </w:pPr>
      <w:r w:rsidRPr="008F4EE6">
        <w:t xml:space="preserve">the toxicity of the product and its residues, including metabolites and degradation products, in relation to relevant organisms and ecosystems, including human beings (s 5A(3)(a)(i)); and </w:t>
      </w:r>
    </w:p>
    <w:p w14:paraId="22FA3BCF" w14:textId="77777777" w:rsidR="008E67EA" w:rsidRPr="008F4EE6" w:rsidRDefault="008E67EA">
      <w:pPr>
        <w:pStyle w:val="NumberLevel2"/>
        <w:numPr>
          <w:ilvl w:val="1"/>
          <w:numId w:val="17"/>
        </w:numPr>
        <w:ind w:left="1134"/>
      </w:pPr>
      <w:r w:rsidRPr="008F4EE6">
        <w:t>how the product is formulated (s 5A(3)(a)(iii)); and</w:t>
      </w:r>
    </w:p>
    <w:p w14:paraId="74D53815" w14:textId="77777777" w:rsidR="008E67EA" w:rsidRPr="008F4EE6" w:rsidRDefault="008E67EA">
      <w:pPr>
        <w:pStyle w:val="NumberLevel2"/>
        <w:numPr>
          <w:ilvl w:val="1"/>
          <w:numId w:val="17"/>
        </w:numPr>
        <w:ind w:left="1134"/>
        <w:rPr>
          <w:color w:val="000000" w:themeColor="text1"/>
        </w:rPr>
      </w:pPr>
      <w:r w:rsidRPr="008F4EE6">
        <w:rPr>
          <w:color w:val="000000" w:themeColor="text1"/>
        </w:rPr>
        <w:t>the relevant particulars ‘any instructions for use’ and ‘the net contents’ (regulation 16(db)) that are, or would be, entered in the Register for the product (s 5A(3)(a)(vi)).</w:t>
      </w:r>
    </w:p>
    <w:p w14:paraId="32D56D33" w14:textId="77777777" w:rsidR="008E67EA" w:rsidRPr="00050ACD" w:rsidRDefault="008E67EA" w:rsidP="008E67EA">
      <w:pPr>
        <w:pStyle w:val="StatementofReasonsHeading5"/>
        <w:rPr>
          <w:color w:val="000000" w:themeColor="text1"/>
        </w:rPr>
      </w:pPr>
      <w:r w:rsidRPr="00050ACD">
        <w:rPr>
          <w:color w:val="000000" w:themeColor="text1"/>
        </w:rPr>
        <w:t xml:space="preserve">Toxicity of anticoagulant rodenticides to terrestrial vertebrates </w:t>
      </w:r>
    </w:p>
    <w:p w14:paraId="40CB02D6" w14:textId="77777777" w:rsidR="008E67EA" w:rsidRPr="008E234D" w:rsidRDefault="008E67EA">
      <w:pPr>
        <w:pStyle w:val="NumberLevel1"/>
        <w:numPr>
          <w:ilvl w:val="0"/>
          <w:numId w:val="17"/>
        </w:numPr>
        <w:tabs>
          <w:tab w:val="clear" w:pos="709"/>
          <w:tab w:val="num" w:pos="2553"/>
        </w:tabs>
        <w:rPr>
          <w:color w:val="000000" w:themeColor="text1"/>
        </w:rPr>
      </w:pPr>
      <w:bookmarkStart w:id="149" w:name="_Ref205890210"/>
      <w:r w:rsidRPr="00E23899">
        <w:t>Based on my review and consideration</w:t>
      </w:r>
      <w:r w:rsidRPr="00050ACD">
        <w:t xml:space="preserve"> of the assessment of environmental toxicology studies set out in </w:t>
      </w:r>
      <w:r>
        <w:t xml:space="preserve">section </w:t>
      </w:r>
      <w:r w:rsidRPr="00135910">
        <w:rPr>
          <w:i/>
          <w:iCs/>
        </w:rPr>
        <w:t xml:space="preserve">‘3.2.1 </w:t>
      </w:r>
      <w:r w:rsidRPr="00135910">
        <w:rPr>
          <w:i/>
          <w:iCs/>
          <w:color w:val="000000" w:themeColor="text1"/>
        </w:rPr>
        <w:t>Effects on terrestrial vertebrates’</w:t>
      </w:r>
      <w:r w:rsidRPr="008E234D">
        <w:rPr>
          <w:color w:val="000000" w:themeColor="text1"/>
        </w:rPr>
        <w:t xml:space="preserve"> of the </w:t>
      </w:r>
      <w:r w:rsidRPr="008E234D">
        <w:rPr>
          <w:i/>
          <w:iCs/>
          <w:color w:val="000000" w:themeColor="text1"/>
        </w:rPr>
        <w:t>Anticoagulant Rodenticides Review Technical Report</w:t>
      </w:r>
      <w:r w:rsidRPr="008E234D">
        <w:rPr>
          <w:color w:val="000000" w:themeColor="text1"/>
        </w:rPr>
        <w:t>, I note that:</w:t>
      </w:r>
      <w:bookmarkEnd w:id="149"/>
    </w:p>
    <w:p w14:paraId="4738A641" w14:textId="2CACEED3" w:rsidR="008E67EA" w:rsidRPr="00617481" w:rsidRDefault="008E67EA">
      <w:pPr>
        <w:pStyle w:val="NumberLevel2"/>
        <w:numPr>
          <w:ilvl w:val="1"/>
          <w:numId w:val="17"/>
        </w:numPr>
        <w:ind w:left="1134"/>
      </w:pPr>
      <w:r w:rsidRPr="00050ACD">
        <w:rPr>
          <w:color w:val="000000" w:themeColor="text1"/>
        </w:rPr>
        <w:t xml:space="preserve">All anticoagulant rodenticides in scope of the reconsideration are considered to have a high toxicity to mammals via </w:t>
      </w:r>
      <w:r w:rsidRPr="000B60B6">
        <w:t>acute exposure (i.e. gavage administration) and/or dietary exposure when rodents are considered the representative species</w:t>
      </w:r>
      <w:r>
        <w:t xml:space="preserve"> </w:t>
      </w:r>
      <w:bookmarkStart w:id="150" w:name="_Hlk213096859"/>
      <w:r w:rsidRPr="00C11AD9">
        <w:t>(LD</w:t>
      </w:r>
      <w:r w:rsidRPr="00C11AD9">
        <w:rPr>
          <w:vertAlign w:val="subscript"/>
        </w:rPr>
        <w:t>50</w:t>
      </w:r>
      <w:r w:rsidRPr="00C11AD9">
        <w:t xml:space="preserve"> or LC</w:t>
      </w:r>
      <w:r w:rsidRPr="00C11AD9">
        <w:rPr>
          <w:vertAlign w:val="subscript"/>
        </w:rPr>
        <w:t>50</w:t>
      </w:r>
      <w:r w:rsidRPr="00C11AD9">
        <w:t xml:space="preserve"> &lt; 100 mg/kg bw or mg/kg food; LDD</w:t>
      </w:r>
      <w:r w:rsidRPr="00C11AD9">
        <w:rPr>
          <w:vertAlign w:val="subscript"/>
        </w:rPr>
        <w:t>50</w:t>
      </w:r>
      <w:r w:rsidRPr="00C11AD9">
        <w:t xml:space="preserve"> &lt; 10 mg/kg bw/day)</w:t>
      </w:r>
      <w:bookmarkEnd w:id="150"/>
      <w:r w:rsidRPr="000B60B6">
        <w:t xml:space="preserve">. </w:t>
      </w:r>
      <w:r>
        <w:t>Most a</w:t>
      </w:r>
      <w:r w:rsidRPr="000B60B6">
        <w:t xml:space="preserve">nticoagulant rodenticides where acute and/or dietary toxicity </w:t>
      </w:r>
      <w:r>
        <w:t>has been</w:t>
      </w:r>
      <w:r w:rsidRPr="000B60B6">
        <w:t xml:space="preserve"> </w:t>
      </w:r>
      <w:r>
        <w:t>studied</w:t>
      </w:r>
      <w:r w:rsidRPr="000B60B6">
        <w:t xml:space="preserve"> in non-rodent mammalian species, brodifacoum (rabbits), bromadiolone (dogs and ferrets), difenacoum (dogs), </w:t>
      </w:r>
      <w:r>
        <w:t xml:space="preserve">and </w:t>
      </w:r>
      <w:r w:rsidRPr="000B60B6">
        <w:t xml:space="preserve">diphacinone (ferrets) were still determined to have a high toxicity to mammals. </w:t>
      </w:r>
      <w:r w:rsidRPr="00482255">
        <w:t xml:space="preserve">However, </w:t>
      </w:r>
      <w:r w:rsidRPr="000B60B6">
        <w:t xml:space="preserve">difethialone </w:t>
      </w:r>
      <w:r>
        <w:t xml:space="preserve">only </w:t>
      </w:r>
      <w:r w:rsidRPr="000B60B6">
        <w:t xml:space="preserve">had a low toxicity to ferrets with dietary </w:t>
      </w:r>
      <w:r w:rsidRPr="00617481">
        <w:t xml:space="preserve">exposure </w:t>
      </w:r>
      <w:bookmarkStart w:id="151" w:name="_Hlk213096882"/>
      <w:r>
        <w:t>(L</w:t>
      </w:r>
      <w:r w:rsidRPr="00617481">
        <w:t>DD</w:t>
      </w:r>
      <w:r w:rsidRPr="00617481">
        <w:rPr>
          <w:vertAlign w:val="subscript"/>
        </w:rPr>
        <w:t>50</w:t>
      </w:r>
      <w:r w:rsidRPr="00617481">
        <w:t xml:space="preserve"> &gt; 200 mg/kg bw/d).</w:t>
      </w:r>
      <w:bookmarkEnd w:id="151"/>
    </w:p>
    <w:p w14:paraId="634EF5A3" w14:textId="6C616672" w:rsidR="008E67EA" w:rsidRPr="000B60B6" w:rsidRDefault="008E67EA">
      <w:pPr>
        <w:pStyle w:val="NumberLevel2"/>
        <w:numPr>
          <w:ilvl w:val="1"/>
          <w:numId w:val="17"/>
        </w:numPr>
        <w:ind w:left="1134"/>
      </w:pPr>
      <w:r>
        <w:t xml:space="preserve">Anticoagulant rodenticides also pose a secondary poisoning risk to mammals if they consume </w:t>
      </w:r>
      <w:bookmarkStart w:id="152" w:name="_Hlk213096903"/>
      <w:r w:rsidRPr="00D51CE5">
        <w:t>poisoned rats or mice, poisoned non-target animals or insects</w:t>
      </w:r>
      <w:bookmarkEnd w:id="152"/>
      <w:r>
        <w:t xml:space="preserve">. </w:t>
      </w:r>
      <w:r w:rsidRPr="000B60B6">
        <w:t xml:space="preserve">Secondary poisoning studies </w:t>
      </w:r>
      <w:r>
        <w:t>with</w:t>
      </w:r>
      <w:r w:rsidRPr="000B60B6">
        <w:t xml:space="preserve"> mammal</w:t>
      </w:r>
      <w:r>
        <w:t>s indicate that mortality of the test animal is possible if they consume prey with a high body burden (</w:t>
      </w:r>
      <w:bookmarkStart w:id="153" w:name="_Hlk213096922"/>
      <w:r>
        <w:t>i.e. high levels of the anticoagulant rodenticide are present within the prey animal)</w:t>
      </w:r>
      <w:bookmarkEnd w:id="153"/>
      <w:r>
        <w:t>, and that mortality of mammals generally occurred after a feeding period of 3 days onwards with no clear distinction between first-generation and second-generation anticoagulant rodenticides.</w:t>
      </w:r>
    </w:p>
    <w:p w14:paraId="673248E0" w14:textId="64609748" w:rsidR="008E67EA" w:rsidRDefault="008E67EA">
      <w:pPr>
        <w:pStyle w:val="NumberLevel2"/>
        <w:numPr>
          <w:ilvl w:val="1"/>
          <w:numId w:val="17"/>
        </w:numPr>
        <w:ind w:left="1134"/>
      </w:pPr>
      <w:r w:rsidRPr="00655F8E">
        <w:t>The toxicity of anticoagulant rodenticide</w:t>
      </w:r>
      <w:r>
        <w:t>s</w:t>
      </w:r>
      <w:r w:rsidRPr="00655F8E">
        <w:t xml:space="preserve"> to birds ranged from low to high dependant on the active constituent, type </w:t>
      </w:r>
      <w:r>
        <w:t xml:space="preserve">of </w:t>
      </w:r>
      <w:r w:rsidRPr="00655F8E">
        <w:t>exposure and species of bird</w:t>
      </w:r>
      <w:r>
        <w:t xml:space="preserve"> involved in the study</w:t>
      </w:r>
      <w:r w:rsidRPr="00655F8E">
        <w:t>. Based on acute exposure studies</w:t>
      </w:r>
      <w:r>
        <w:t xml:space="preserve"> </w:t>
      </w:r>
      <w:r w:rsidRPr="00C11AD9">
        <w:t>(i.e. gavage administration)</w:t>
      </w:r>
      <w:r w:rsidRPr="00655F8E">
        <w:t>, brodifacoum, difenacoum, difethialone and flocoumafen were determined to have a high toxicity to birds</w:t>
      </w:r>
      <w:r>
        <w:t xml:space="preserve"> </w:t>
      </w:r>
      <w:bookmarkStart w:id="154" w:name="_Hlk213096937"/>
      <w:r w:rsidRPr="002275A8">
        <w:t>(LD</w:t>
      </w:r>
      <w:r w:rsidRPr="002275A8">
        <w:rPr>
          <w:vertAlign w:val="subscript"/>
        </w:rPr>
        <w:t>50</w:t>
      </w:r>
      <w:r w:rsidRPr="002275A8">
        <w:t xml:space="preserve"> &lt; 100 mg/kg bw)</w:t>
      </w:r>
      <w:bookmarkEnd w:id="154"/>
      <w:r w:rsidRPr="00655F8E">
        <w:t>, bromadiolone was determined to have a moderate toxicity to birds</w:t>
      </w:r>
      <w:r>
        <w:t xml:space="preserve"> </w:t>
      </w:r>
      <w:bookmarkStart w:id="155" w:name="_Hlk213096948"/>
      <w:r w:rsidRPr="002275A8">
        <w:t>(LD</w:t>
      </w:r>
      <w:r w:rsidRPr="002275A8">
        <w:rPr>
          <w:vertAlign w:val="subscript"/>
        </w:rPr>
        <w:t>50</w:t>
      </w:r>
      <w:r w:rsidRPr="002275A8">
        <w:t xml:space="preserve"> 100 – 2000 mg/kg bw)</w:t>
      </w:r>
      <w:bookmarkEnd w:id="155"/>
      <w:r w:rsidRPr="00655F8E">
        <w:t>, and the first-generation anticoagulant rodenticides coumatetralyl, diphacinone w</w:t>
      </w:r>
      <w:r>
        <w:t>as</w:t>
      </w:r>
      <w:r w:rsidRPr="00655F8E">
        <w:t xml:space="preserve"> determined to have a low toxicity to birds</w:t>
      </w:r>
      <w:r>
        <w:t xml:space="preserve"> </w:t>
      </w:r>
      <w:bookmarkStart w:id="156" w:name="_Hlk213096958"/>
      <w:r w:rsidRPr="002275A8">
        <w:t>(LD</w:t>
      </w:r>
      <w:r w:rsidRPr="002275A8">
        <w:rPr>
          <w:vertAlign w:val="subscript"/>
        </w:rPr>
        <w:t>50</w:t>
      </w:r>
      <w:r w:rsidRPr="002275A8">
        <w:t xml:space="preserve"> &gt; 2000 mg/kg bw)</w:t>
      </w:r>
      <w:bookmarkEnd w:id="156"/>
      <w:r w:rsidRPr="00655F8E">
        <w:t xml:space="preserve">. </w:t>
      </w:r>
      <w:r w:rsidRPr="00655F8E">
        <w:lastRenderedPageBreak/>
        <w:t>Alternatively, based on dietary exposure studies, brodifacoum</w:t>
      </w:r>
      <w:r>
        <w:t xml:space="preserve">, </w:t>
      </w:r>
      <w:r w:rsidRPr="00655F8E">
        <w:t>bromadiolone, coumatetralyl, difenacoum, difethialone and flocoumafen were all determined to have a high toxicity to birds</w:t>
      </w:r>
      <w:r>
        <w:t xml:space="preserve"> </w:t>
      </w:r>
      <w:bookmarkStart w:id="157" w:name="_Hlk213096968"/>
      <w:r w:rsidRPr="002275A8">
        <w:t>(LC</w:t>
      </w:r>
      <w:r w:rsidRPr="002275A8">
        <w:rPr>
          <w:vertAlign w:val="subscript"/>
        </w:rPr>
        <w:t>50</w:t>
      </w:r>
      <w:r w:rsidRPr="002275A8">
        <w:t xml:space="preserve"> &lt; 100 mg/kg food; LDD</w:t>
      </w:r>
      <w:r w:rsidRPr="002275A8">
        <w:rPr>
          <w:vertAlign w:val="subscript"/>
        </w:rPr>
        <w:t>50</w:t>
      </w:r>
      <w:r w:rsidRPr="002275A8">
        <w:t xml:space="preserve"> &lt; 10 mg/kg bw/d)</w:t>
      </w:r>
      <w:bookmarkEnd w:id="157"/>
      <w:r w:rsidRPr="00655F8E">
        <w:t xml:space="preserve"> and diphacinone was determined to have a moderate toxicity to birds</w:t>
      </w:r>
      <w:r>
        <w:t xml:space="preserve"> </w:t>
      </w:r>
      <w:bookmarkStart w:id="158" w:name="_Hlk213096980"/>
      <w:r w:rsidRPr="002275A8">
        <w:t>(LC</w:t>
      </w:r>
      <w:r w:rsidRPr="002275A8">
        <w:rPr>
          <w:vertAlign w:val="subscript"/>
        </w:rPr>
        <w:t>50</w:t>
      </w:r>
      <w:r w:rsidRPr="002275A8">
        <w:t xml:space="preserve"> 100 – 2000 mg/kg food)</w:t>
      </w:r>
      <w:bookmarkEnd w:id="158"/>
      <w:r w:rsidRPr="00655F8E">
        <w:t>.</w:t>
      </w:r>
      <w:r w:rsidRPr="00001BDD">
        <w:t xml:space="preserve"> </w:t>
      </w:r>
      <w:r>
        <w:t>Further, in a reproductive study</w:t>
      </w:r>
      <w:r w:rsidRPr="00D625D3">
        <w:t xml:space="preserve"> </w:t>
      </w:r>
      <w:r>
        <w:t>with coumatetralyl, parental death was observed in birds with low dietary concentrations of 60 mg/kg feed.</w:t>
      </w:r>
    </w:p>
    <w:p w14:paraId="0F22B157" w14:textId="68989180" w:rsidR="008E67EA" w:rsidRPr="00655F8E" w:rsidRDefault="008E67EA">
      <w:pPr>
        <w:pStyle w:val="NumberLevel2"/>
        <w:numPr>
          <w:ilvl w:val="1"/>
          <w:numId w:val="17"/>
        </w:numPr>
        <w:ind w:left="1134"/>
      </w:pPr>
      <w:r>
        <w:t xml:space="preserve">In relation to secondary poisoning of birds, only second-generation anticoagulant rodenticides appear to pose a significant risk. </w:t>
      </w:r>
      <w:r w:rsidRPr="000B60B6">
        <w:t>Secondary poisoning studies</w:t>
      </w:r>
      <w:r>
        <w:t xml:space="preserve"> with the first-generation</w:t>
      </w:r>
      <w:r w:rsidRPr="005C38ED">
        <w:t xml:space="preserve"> </w:t>
      </w:r>
      <w:r>
        <w:t xml:space="preserve">anticoagulant rodenticides coumatetralyl, and </w:t>
      </w:r>
      <w:r w:rsidRPr="00655F8E">
        <w:t xml:space="preserve">diphacinone </w:t>
      </w:r>
      <w:r>
        <w:t>indicate that mortality of the test bird is unlikely if they consume poisoned animals. However, s</w:t>
      </w:r>
      <w:r w:rsidRPr="000B60B6">
        <w:t>econdary poisoning studies</w:t>
      </w:r>
      <w:r>
        <w:t xml:space="preserve"> with second-generation anticoagulant rodenticides indicate that mortality of the test bird is possible if they consume animals with high body burdens, with the secondary poisoning hazard potential being the highest for the active constituents brodifacoum and difenacoum.</w:t>
      </w:r>
    </w:p>
    <w:p w14:paraId="40FA02AA" w14:textId="4012D9D4" w:rsidR="008E67EA" w:rsidRPr="0067031E" w:rsidRDefault="008E67EA">
      <w:pPr>
        <w:pStyle w:val="NumberLevel2"/>
        <w:numPr>
          <w:ilvl w:val="1"/>
          <w:numId w:val="17"/>
        </w:numPr>
        <w:ind w:left="1134"/>
      </w:pPr>
      <w:r w:rsidRPr="0067031E">
        <w:t xml:space="preserve">A number of sub-lethal effects have also been observed in primary and secondary </w:t>
      </w:r>
      <w:r>
        <w:t xml:space="preserve">poisoning </w:t>
      </w:r>
      <w:r w:rsidRPr="0067031E">
        <w:t>studies</w:t>
      </w:r>
      <w:r w:rsidRPr="00613D51">
        <w:t xml:space="preserve"> </w:t>
      </w:r>
      <w:r>
        <w:t>with</w:t>
      </w:r>
      <w:r w:rsidRPr="0067031E">
        <w:t xml:space="preserve"> mammals and birds. This includes sub-lethal effects </w:t>
      </w:r>
      <w:r>
        <w:t>that appear to directly relate to</w:t>
      </w:r>
      <w:r w:rsidRPr="0067031E">
        <w:t xml:space="preserve"> vitamin </w:t>
      </w:r>
      <w:r>
        <w:t>K</w:t>
      </w:r>
      <w:r w:rsidRPr="0067031E">
        <w:t xml:space="preserve"> antagonism</w:t>
      </w:r>
      <w:r>
        <w:t xml:space="preserve"> (</w:t>
      </w:r>
      <w:r w:rsidRPr="0067031E">
        <w:t>the mode of action of anticoagulant rodenticides</w:t>
      </w:r>
      <w:r>
        <w:t>)</w:t>
      </w:r>
      <w:r w:rsidRPr="0067031E">
        <w:t xml:space="preserve"> such as bleeding around body orifices, metrorrhagia, blood clots and internal hematomas. </w:t>
      </w:r>
      <w:r>
        <w:t>Further, i</w:t>
      </w:r>
      <w:r w:rsidRPr="0067031E">
        <w:t>n reproductive</w:t>
      </w:r>
      <w:r>
        <w:t xml:space="preserve"> toxicity</w:t>
      </w:r>
      <w:r w:rsidRPr="0067031E">
        <w:t xml:space="preserve"> studies</w:t>
      </w:r>
      <w:r>
        <w:t xml:space="preserve">, </w:t>
      </w:r>
      <w:r w:rsidRPr="00777CE5">
        <w:rPr>
          <w:szCs w:val="20"/>
        </w:rPr>
        <w:t>possible effects on the ovarian function of rats were observed with long-term exposure to difenacoum, and a decreased numbers of surviving 14-day old chicks wa</w:t>
      </w:r>
      <w:r>
        <w:t>s observed with l</w:t>
      </w:r>
      <w:r w:rsidRPr="0067031E">
        <w:t>ong-term exposure</w:t>
      </w:r>
      <w:r>
        <w:t xml:space="preserve"> of birds</w:t>
      </w:r>
      <w:r w:rsidRPr="0067031E">
        <w:t xml:space="preserve"> to difenacoum </w:t>
      </w:r>
      <w:r>
        <w:t>or</w:t>
      </w:r>
      <w:r w:rsidRPr="0067031E">
        <w:t xml:space="preserve"> bromadiolone in drinking water</w:t>
      </w:r>
      <w:r>
        <w:t>.</w:t>
      </w:r>
    </w:p>
    <w:p w14:paraId="5245061A" w14:textId="77777777" w:rsidR="008E67EA" w:rsidRPr="00301214" w:rsidRDefault="008E67EA">
      <w:pPr>
        <w:pStyle w:val="NumberLevel2"/>
        <w:numPr>
          <w:ilvl w:val="1"/>
          <w:numId w:val="17"/>
        </w:numPr>
        <w:ind w:left="1134"/>
      </w:pPr>
      <w:r>
        <w:t>The limited reptile toxicity studies support the position that r</w:t>
      </w:r>
      <w:r w:rsidRPr="008917B7">
        <w:t xml:space="preserve">eptiles have a high tolerance to anticoagulant rodenticides poisoning. Coumatetralyl, diphacinone and brodifacoum were determined to have low toxicity to fence lizards with acute exposure. </w:t>
      </w:r>
      <w:r>
        <w:t>T</w:t>
      </w:r>
      <w:r w:rsidRPr="008917B7">
        <w:t xml:space="preserve">urtles and boas </w:t>
      </w:r>
      <w:r>
        <w:t xml:space="preserve">have </w:t>
      </w:r>
      <w:r w:rsidRPr="008917B7">
        <w:t xml:space="preserve">exhibited a relative insensitivity to </w:t>
      </w:r>
      <w:bookmarkStart w:id="159" w:name="_Hlk213145949"/>
      <w:r w:rsidRPr="0076014C">
        <w:t>diphacinone and brodifacoum,</w:t>
      </w:r>
      <w:bookmarkEnd w:id="159"/>
      <w:r w:rsidRPr="0076014C">
        <w:t xml:space="preserve"> </w:t>
      </w:r>
      <w:r w:rsidRPr="008917B7">
        <w:t>while lizards appeared to be somewhat more sensitive.</w:t>
      </w:r>
      <w:r>
        <w:t xml:space="preserve"> Further, i</w:t>
      </w:r>
      <w:r w:rsidRPr="008917B7">
        <w:t xml:space="preserve">n relation to the effects of diphacinone on the brown tree snake, </w:t>
      </w:r>
      <w:r>
        <w:t>a</w:t>
      </w:r>
      <w:r w:rsidRPr="008917B7">
        <w:t xml:space="preserve"> lowest lethal dose of 10 </w:t>
      </w:r>
      <w:r>
        <w:t xml:space="preserve">mg/kg </w:t>
      </w:r>
      <w:r w:rsidRPr="008917B7">
        <w:t>w</w:t>
      </w:r>
      <w:r>
        <w:t>as</w:t>
      </w:r>
      <w:r w:rsidRPr="008917B7">
        <w:t xml:space="preserve"> determined.</w:t>
      </w:r>
    </w:p>
    <w:p w14:paraId="3D080530" w14:textId="77C3A64E" w:rsidR="008E67EA" w:rsidRPr="00E23899" w:rsidRDefault="008E67EA">
      <w:pPr>
        <w:pStyle w:val="NumberLevel1"/>
        <w:numPr>
          <w:ilvl w:val="0"/>
          <w:numId w:val="17"/>
        </w:numPr>
        <w:tabs>
          <w:tab w:val="clear" w:pos="709"/>
          <w:tab w:val="num" w:pos="2553"/>
        </w:tabs>
        <w:rPr>
          <w:color w:val="000000" w:themeColor="text1"/>
        </w:rPr>
      </w:pPr>
      <w:r w:rsidRPr="00E23899">
        <w:rPr>
          <w:color w:val="000000" w:themeColor="text1"/>
        </w:rPr>
        <w:t xml:space="preserve">I further note that regulatory acceptable levels (RALs) for anticoagulant rodenticide exposure of terrestrial vertebrates were not derived for quantitative risk assessment purposes, as anticoagulant rodenticides are a type of vertebrate poison and it is widely accepted that exposure of terrestrial vertebrates to these vertebrate poisons has the potential to result in death. Noting this position is also supported by the assessment of toxicity studies for terrestrial vertebrates detailed in paragraph </w:t>
      </w:r>
      <w:r w:rsidRPr="00E23899">
        <w:rPr>
          <w:color w:val="000000" w:themeColor="text1"/>
        </w:rPr>
        <w:fldChar w:fldCharType="begin"/>
      </w:r>
      <w:r w:rsidRPr="00E23899">
        <w:rPr>
          <w:color w:val="000000" w:themeColor="text1"/>
        </w:rPr>
        <w:instrText xml:space="preserve"> REF _Ref205890210 \r \h </w:instrText>
      </w:r>
      <w:r>
        <w:rPr>
          <w:color w:val="000000" w:themeColor="text1"/>
        </w:rPr>
        <w:instrText xml:space="preserve"> \* MERGEFORMAT </w:instrText>
      </w:r>
      <w:r w:rsidRPr="00E23899">
        <w:rPr>
          <w:color w:val="000000" w:themeColor="text1"/>
        </w:rPr>
      </w:r>
      <w:r w:rsidRPr="00E23899">
        <w:rPr>
          <w:color w:val="000000" w:themeColor="text1"/>
        </w:rPr>
        <w:fldChar w:fldCharType="separate"/>
      </w:r>
      <w:r w:rsidR="002C0C2A">
        <w:rPr>
          <w:color w:val="000000" w:themeColor="text1"/>
        </w:rPr>
        <w:t>42</w:t>
      </w:r>
      <w:r w:rsidRPr="00E23899">
        <w:rPr>
          <w:color w:val="000000" w:themeColor="text1"/>
        </w:rPr>
        <w:fldChar w:fldCharType="end"/>
      </w:r>
      <w:r w:rsidRPr="00E23899">
        <w:rPr>
          <w:color w:val="000000" w:themeColor="text1"/>
        </w:rPr>
        <w:t xml:space="preserve"> of these reasons, I have considered and agree with this approach and the qualitative, weight-of-evidence risk assessment methodology used.</w:t>
      </w:r>
    </w:p>
    <w:p w14:paraId="77BBD1EF" w14:textId="77777777" w:rsidR="008E67EA" w:rsidRPr="00BD4E84" w:rsidRDefault="008E67EA" w:rsidP="008E67EA">
      <w:pPr>
        <w:pStyle w:val="StatementofReasonsHeading5"/>
      </w:pPr>
      <w:r>
        <w:t>Are the risks to terrestrial vertebrates currently being managed?</w:t>
      </w:r>
    </w:p>
    <w:p w14:paraId="7B71B34F" w14:textId="77777777" w:rsidR="008E67EA" w:rsidRPr="009B7BF8" w:rsidRDefault="008E67EA">
      <w:pPr>
        <w:pStyle w:val="NumberLevel1"/>
        <w:numPr>
          <w:ilvl w:val="0"/>
          <w:numId w:val="17"/>
        </w:numPr>
        <w:tabs>
          <w:tab w:val="clear" w:pos="709"/>
          <w:tab w:val="num" w:pos="2553"/>
        </w:tabs>
        <w:rPr>
          <w:color w:val="000000" w:themeColor="text1"/>
        </w:rPr>
      </w:pPr>
      <w:bookmarkStart w:id="160" w:name="_Ref205891634"/>
      <w:r w:rsidRPr="009B7BF8">
        <w:rPr>
          <w:color w:val="000000" w:themeColor="text1"/>
        </w:rPr>
        <w:t xml:space="preserve">In determining whether the risks to terrestrial vertebrates posed by the use of anticoagulant chemical products are currently being managed, adverse experience reports and monitoring data from Australia and overseas were reviewed in a qualitative, weight-of-evidence risk assessment that is </w:t>
      </w:r>
      <w:r>
        <w:rPr>
          <w:color w:val="000000" w:themeColor="text1"/>
        </w:rPr>
        <w:t>summarised</w:t>
      </w:r>
      <w:r w:rsidRPr="009B7BF8">
        <w:rPr>
          <w:color w:val="000000" w:themeColor="text1"/>
        </w:rPr>
        <w:t xml:space="preserve"> in </w:t>
      </w:r>
      <w:r>
        <w:rPr>
          <w:color w:val="000000" w:themeColor="text1"/>
        </w:rPr>
        <w:t>sections</w:t>
      </w:r>
      <w:r w:rsidRPr="009B7BF8">
        <w:rPr>
          <w:color w:val="000000" w:themeColor="text1"/>
        </w:rPr>
        <w:t xml:space="preserve"> </w:t>
      </w:r>
      <w:r w:rsidRPr="00DD6B07">
        <w:rPr>
          <w:i/>
          <w:iCs/>
          <w:color w:val="000000" w:themeColor="text1"/>
        </w:rPr>
        <w:t>‘3.1.2 Fate and behaviour in biota’</w:t>
      </w:r>
      <w:r>
        <w:rPr>
          <w:color w:val="000000" w:themeColor="text1"/>
        </w:rPr>
        <w:t xml:space="preserve">, </w:t>
      </w:r>
      <w:r w:rsidRPr="006B5FF8">
        <w:rPr>
          <w:i/>
          <w:iCs/>
        </w:rPr>
        <w:t xml:space="preserve">‘3.2.1 </w:t>
      </w:r>
      <w:r w:rsidRPr="006B5FF8">
        <w:rPr>
          <w:i/>
          <w:iCs/>
          <w:color w:val="000000" w:themeColor="text1"/>
        </w:rPr>
        <w:t>Effects on terrestrial vertebrates’</w:t>
      </w:r>
      <w:r w:rsidRPr="009B7BF8">
        <w:rPr>
          <w:color w:val="000000" w:themeColor="text1"/>
        </w:rPr>
        <w:t xml:space="preserve"> </w:t>
      </w:r>
      <w:r>
        <w:rPr>
          <w:color w:val="000000" w:themeColor="text1"/>
        </w:rPr>
        <w:t xml:space="preserve">and </w:t>
      </w:r>
      <w:r w:rsidRPr="00DD6B07">
        <w:rPr>
          <w:i/>
          <w:iCs/>
          <w:color w:val="000000" w:themeColor="text1"/>
        </w:rPr>
        <w:t>‘3.3.2 Risks to terrestrial vertebrates’</w:t>
      </w:r>
      <w:r>
        <w:rPr>
          <w:color w:val="000000" w:themeColor="text1"/>
        </w:rPr>
        <w:t xml:space="preserve"> </w:t>
      </w:r>
      <w:r w:rsidRPr="009B7BF8">
        <w:rPr>
          <w:color w:val="000000" w:themeColor="text1"/>
        </w:rPr>
        <w:t xml:space="preserve">of the </w:t>
      </w:r>
      <w:r w:rsidRPr="009B7BF8">
        <w:rPr>
          <w:i/>
          <w:iCs/>
          <w:color w:val="000000" w:themeColor="text1"/>
        </w:rPr>
        <w:t xml:space="preserve">Anticoagulant </w:t>
      </w:r>
      <w:r w:rsidRPr="00E23899">
        <w:rPr>
          <w:i/>
          <w:iCs/>
          <w:color w:val="000000" w:themeColor="text1"/>
        </w:rPr>
        <w:t xml:space="preserve">Rodenticides Review Technical Report. </w:t>
      </w:r>
      <w:r w:rsidRPr="00E23899">
        <w:rPr>
          <w:color w:val="000000" w:themeColor="text1"/>
        </w:rPr>
        <w:t>I have considered and agree with the approach and methodology and the conclusions of this assessment unless I have indicated otherwise in these reasons. Based on my review and consideration of</w:t>
      </w:r>
      <w:r w:rsidRPr="009B7BF8">
        <w:rPr>
          <w:color w:val="000000" w:themeColor="text1"/>
        </w:rPr>
        <w:t xml:space="preserve"> the risk assessment </w:t>
      </w:r>
      <w:r>
        <w:rPr>
          <w:color w:val="000000" w:themeColor="text1"/>
        </w:rPr>
        <w:t>summarised</w:t>
      </w:r>
      <w:r w:rsidRPr="009B7BF8">
        <w:rPr>
          <w:color w:val="000000" w:themeColor="text1"/>
        </w:rPr>
        <w:t xml:space="preserve"> in </w:t>
      </w:r>
      <w:r>
        <w:rPr>
          <w:color w:val="000000" w:themeColor="text1"/>
        </w:rPr>
        <w:t>sections</w:t>
      </w:r>
      <w:r w:rsidRPr="009B7BF8">
        <w:rPr>
          <w:color w:val="000000" w:themeColor="text1"/>
        </w:rPr>
        <w:t xml:space="preserve"> </w:t>
      </w:r>
      <w:r w:rsidRPr="006B5FF8">
        <w:rPr>
          <w:i/>
          <w:iCs/>
          <w:color w:val="000000" w:themeColor="text1"/>
        </w:rPr>
        <w:t>‘3.1.2 Fate and behaviour in biota’</w:t>
      </w:r>
      <w:r w:rsidRPr="00DD6B07">
        <w:rPr>
          <w:color w:val="000000" w:themeColor="text1"/>
        </w:rPr>
        <w:t>,</w:t>
      </w:r>
      <w:r w:rsidRPr="006B5FF8">
        <w:rPr>
          <w:i/>
          <w:iCs/>
        </w:rPr>
        <w:t xml:space="preserve"> ‘3.2.1 </w:t>
      </w:r>
      <w:r w:rsidRPr="006B5FF8">
        <w:rPr>
          <w:i/>
          <w:iCs/>
          <w:color w:val="000000" w:themeColor="text1"/>
        </w:rPr>
        <w:t>Effects on terrestrial vertebrates’</w:t>
      </w:r>
      <w:r w:rsidRPr="009B7BF8">
        <w:rPr>
          <w:color w:val="000000" w:themeColor="text1"/>
        </w:rPr>
        <w:t xml:space="preserve"> </w:t>
      </w:r>
      <w:r>
        <w:rPr>
          <w:color w:val="000000" w:themeColor="text1"/>
        </w:rPr>
        <w:t xml:space="preserve">and </w:t>
      </w:r>
      <w:r w:rsidRPr="006B5FF8">
        <w:rPr>
          <w:i/>
          <w:iCs/>
          <w:color w:val="000000" w:themeColor="text1"/>
        </w:rPr>
        <w:t>‘3.3.2 Risks to terrestrial vertebrates’</w:t>
      </w:r>
      <w:r>
        <w:rPr>
          <w:color w:val="000000" w:themeColor="text1"/>
        </w:rPr>
        <w:t xml:space="preserve"> </w:t>
      </w:r>
      <w:r w:rsidRPr="009B7BF8">
        <w:rPr>
          <w:color w:val="000000" w:themeColor="text1"/>
        </w:rPr>
        <w:t xml:space="preserve">of the </w:t>
      </w:r>
      <w:r w:rsidRPr="009B7BF8">
        <w:rPr>
          <w:i/>
          <w:iCs/>
          <w:color w:val="000000" w:themeColor="text1"/>
        </w:rPr>
        <w:t>Anticoagulant Rodenticides Review Technical Report:</w:t>
      </w:r>
      <w:bookmarkEnd w:id="160"/>
    </w:p>
    <w:p w14:paraId="53F8D6B5" w14:textId="6D83D0B5" w:rsidR="008E67EA" w:rsidRPr="005D3356" w:rsidRDefault="008E67EA">
      <w:pPr>
        <w:pStyle w:val="NumberLevel2"/>
        <w:numPr>
          <w:ilvl w:val="1"/>
          <w:numId w:val="17"/>
        </w:numPr>
        <w:ind w:left="1134"/>
        <w:rPr>
          <w:color w:val="000000" w:themeColor="text1"/>
        </w:rPr>
      </w:pPr>
      <w:r w:rsidRPr="00E23899">
        <w:rPr>
          <w:color w:val="000000" w:themeColor="text1"/>
        </w:rPr>
        <w:t xml:space="preserve">I note that </w:t>
      </w:r>
      <w:r>
        <w:rPr>
          <w:color w:val="000000" w:themeColor="text1"/>
        </w:rPr>
        <w:t xml:space="preserve">only 4 incidents involving mortality in </w:t>
      </w:r>
      <w:r w:rsidRPr="00E23899">
        <w:rPr>
          <w:color w:val="000000" w:themeColor="text1"/>
        </w:rPr>
        <w:t>Australian wildlife that have been attributed to use of anticoagulant rodenticide chemical products</w:t>
      </w:r>
      <w:r>
        <w:rPr>
          <w:color w:val="000000" w:themeColor="text1"/>
        </w:rPr>
        <w:t xml:space="preserve"> in a specific time and place have been</w:t>
      </w:r>
      <w:r w:rsidRPr="00E23899">
        <w:rPr>
          <w:color w:val="000000" w:themeColor="text1"/>
        </w:rPr>
        <w:t xml:space="preserve"> published in literature from 1983 to 2002. However, I also note</w:t>
      </w:r>
      <w:r w:rsidRPr="005D3356">
        <w:rPr>
          <w:color w:val="000000" w:themeColor="text1"/>
        </w:rPr>
        <w:t xml:space="preserve"> th</w:t>
      </w:r>
      <w:r>
        <w:rPr>
          <w:color w:val="000000" w:themeColor="text1"/>
        </w:rPr>
        <w:t>ere are a significant</w:t>
      </w:r>
      <w:r w:rsidRPr="005D3356">
        <w:rPr>
          <w:color w:val="000000" w:themeColor="text1"/>
        </w:rPr>
        <w:t xml:space="preserve"> number of adverse experience reports in </w:t>
      </w:r>
      <w:r w:rsidRPr="005D3356">
        <w:rPr>
          <w:color w:val="000000" w:themeColor="text1"/>
        </w:rPr>
        <w:lastRenderedPageBreak/>
        <w:t>overseas wildlife have been attributed to similar or equivalent uses of anticoagulant rodenticide chemical products t</w:t>
      </w:r>
      <w:r>
        <w:rPr>
          <w:color w:val="000000" w:themeColor="text1"/>
        </w:rPr>
        <w:t>o those</w:t>
      </w:r>
      <w:r w:rsidRPr="005D3356">
        <w:rPr>
          <w:color w:val="000000" w:themeColor="text1"/>
        </w:rPr>
        <w:t xml:space="preserve"> approved in Australia.</w:t>
      </w:r>
      <w:r w:rsidRPr="00DC6724">
        <w:t xml:space="preserve"> </w:t>
      </w:r>
      <w:r>
        <w:rPr>
          <w:color w:val="000000" w:themeColor="text1"/>
        </w:rPr>
        <w:t xml:space="preserve">The </w:t>
      </w:r>
      <w:r w:rsidRPr="00DC6724">
        <w:rPr>
          <w:color w:val="000000" w:themeColor="text1"/>
        </w:rPr>
        <w:t>available</w:t>
      </w:r>
      <w:r>
        <w:rPr>
          <w:color w:val="000000" w:themeColor="text1"/>
        </w:rPr>
        <w:t xml:space="preserve"> </w:t>
      </w:r>
      <w:r w:rsidRPr="00DC6724">
        <w:rPr>
          <w:color w:val="000000" w:themeColor="text1"/>
        </w:rPr>
        <w:t>worldwide</w:t>
      </w:r>
      <w:r>
        <w:rPr>
          <w:color w:val="000000" w:themeColor="text1"/>
        </w:rPr>
        <w:t xml:space="preserve"> incident</w:t>
      </w:r>
      <w:r w:rsidRPr="00DC6724">
        <w:rPr>
          <w:color w:val="000000" w:themeColor="text1"/>
        </w:rPr>
        <w:t xml:space="preserve"> reports that have been attributed to </w:t>
      </w:r>
      <w:r>
        <w:rPr>
          <w:color w:val="000000" w:themeColor="text1"/>
        </w:rPr>
        <w:t xml:space="preserve">either </w:t>
      </w:r>
      <w:r w:rsidRPr="00DC6724">
        <w:rPr>
          <w:color w:val="000000" w:themeColor="text1"/>
        </w:rPr>
        <w:t xml:space="preserve">approved use or unspecified use </w:t>
      </w:r>
      <w:r>
        <w:rPr>
          <w:color w:val="000000" w:themeColor="text1"/>
        </w:rPr>
        <w:t>of anticoagulant rodenticide</w:t>
      </w:r>
      <w:r w:rsidRPr="00DC6724">
        <w:rPr>
          <w:color w:val="000000" w:themeColor="text1"/>
        </w:rPr>
        <w:t xml:space="preserve"> are </w:t>
      </w:r>
      <w:r>
        <w:rPr>
          <w:color w:val="000000" w:themeColor="text1"/>
        </w:rPr>
        <w:t>summarised</w:t>
      </w:r>
      <w:r w:rsidRPr="00DC6724">
        <w:rPr>
          <w:color w:val="000000" w:themeColor="text1"/>
        </w:rPr>
        <w:t xml:space="preserve"> in </w:t>
      </w:r>
      <w:r w:rsidRPr="00DD6B07">
        <w:rPr>
          <w:i/>
          <w:iCs/>
          <w:color w:val="000000" w:themeColor="text1"/>
        </w:rPr>
        <w:t xml:space="preserve">Appendix A (Tables 90, 100, 106, 112, 122, 131 and 147) </w:t>
      </w:r>
      <w:r w:rsidRPr="00DC6724">
        <w:rPr>
          <w:color w:val="000000" w:themeColor="text1"/>
        </w:rPr>
        <w:t xml:space="preserve">of the </w:t>
      </w:r>
      <w:r w:rsidRPr="00DC6724">
        <w:rPr>
          <w:i/>
          <w:iCs/>
          <w:color w:val="000000" w:themeColor="text1"/>
        </w:rPr>
        <w:t>Anticoagulant Rodenticides Review Technical Report</w:t>
      </w:r>
      <w:r w:rsidRPr="00DC6724">
        <w:rPr>
          <w:color w:val="000000" w:themeColor="text1"/>
        </w:rPr>
        <w:t>.</w:t>
      </w:r>
    </w:p>
    <w:p w14:paraId="0C51C515" w14:textId="74EA9A4D" w:rsidR="008E67EA" w:rsidRPr="00E23899" w:rsidRDefault="008E67EA">
      <w:pPr>
        <w:pStyle w:val="NumberLevel2"/>
        <w:numPr>
          <w:ilvl w:val="1"/>
          <w:numId w:val="17"/>
        </w:numPr>
        <w:ind w:left="1134"/>
        <w:rPr>
          <w:color w:val="000000" w:themeColor="text1"/>
        </w:rPr>
      </w:pPr>
      <w:r w:rsidRPr="00CF0089">
        <w:rPr>
          <w:color w:val="000000" w:themeColor="text1"/>
        </w:rPr>
        <w:t>Regarding</w:t>
      </w:r>
      <w:r>
        <w:rPr>
          <w:color w:val="000000" w:themeColor="text1"/>
        </w:rPr>
        <w:t xml:space="preserve"> Australian</w:t>
      </w:r>
      <w:r w:rsidRPr="00CF0089">
        <w:rPr>
          <w:color w:val="000000" w:themeColor="text1"/>
        </w:rPr>
        <w:t xml:space="preserve"> wildlife monitoring </w:t>
      </w:r>
      <w:r w:rsidRPr="00E23899">
        <w:rPr>
          <w:color w:val="000000" w:themeColor="text1"/>
        </w:rPr>
        <w:t>data, I note that there has been a number of detections of anticoagulant rodenticides residues in potential rodent eating species including snakes, lizards, quolls, Tasmanian devils and many raptors. I also note that multiple incidents considered to be anticoagulant rodenticide poisoning of wildlife have been reported in literature, including in mammalian species (e.g. antechinus, bandicoots, gliders, native rats, possums), birds (e.g. raptors, corellas, frogmouths, galahs, gulls, ibis, kookaburra, parrots, songbirds, starling), reptiles (e.g. lizards, snakes) and amphibians. Further, I note that of the 696 incidents recorded by the Australian national electronic Wildlife Health Information System (eWHIS) between 2006 to 2021, 77 (11%) involved suspected anticoagulant rodenticide poisoning.</w:t>
      </w:r>
    </w:p>
    <w:p w14:paraId="38027C9D" w14:textId="672E6133" w:rsidR="008E67EA" w:rsidRPr="00E23899" w:rsidRDefault="008E67EA">
      <w:pPr>
        <w:pStyle w:val="NumberLevel2"/>
        <w:numPr>
          <w:ilvl w:val="1"/>
          <w:numId w:val="17"/>
        </w:numPr>
        <w:ind w:left="1134"/>
        <w:rPr>
          <w:color w:val="000000" w:themeColor="text1"/>
        </w:rPr>
      </w:pPr>
      <w:r w:rsidRPr="00E23899">
        <w:rPr>
          <w:color w:val="000000" w:themeColor="text1"/>
        </w:rPr>
        <w:t>I note that population level effects on terrestrial vertebrates from the use of anticoagulant rodenticide chemical products in Australia has not been established. That being said, I note that the true number of poisonings and the corresponding impacts on terrestrial vertebrate populations are not known, as the reported anticoagulant rodenticide poisonings and occurrences in wildlife detailed above are only those that have been detected. I also note that anticoagulant rodenticide residue burdens in wildlife can accumulate over time with repeat exposures, which in some cases may result in the accumulation of sufficient levels of anticoagulant rodenticide residues to cause death or morbidity resulting in death by other means. Further, I consider that appreciable mortality of wildlife from use of anticoagulant rodenticide chemical products is an unintended effect that is harmful to these animal species, even without population level effects.</w:t>
      </w:r>
    </w:p>
    <w:p w14:paraId="52735F89" w14:textId="77777777" w:rsidR="008E67EA" w:rsidRPr="009F0A90" w:rsidRDefault="008E67EA">
      <w:pPr>
        <w:pStyle w:val="NumberLevel2"/>
        <w:numPr>
          <w:ilvl w:val="1"/>
          <w:numId w:val="17"/>
        </w:numPr>
        <w:tabs>
          <w:tab w:val="num" w:pos="4253"/>
        </w:tabs>
        <w:ind w:left="1134"/>
        <w:rPr>
          <w:color w:val="000000" w:themeColor="text1"/>
        </w:rPr>
      </w:pPr>
      <w:r w:rsidRPr="009F0A90">
        <w:rPr>
          <w:color w:val="000000" w:themeColor="text1"/>
        </w:rPr>
        <w:t>Finally, I note that the source of anticoagulant rodenticides detections in Australian monitoring data is difficult to trace due to the delay in onset of symptoms and the large hunting areas of the non-target terrestrial vertebrates involved.</w:t>
      </w:r>
      <w:r w:rsidRPr="00FF6253">
        <w:rPr>
          <w:color w:val="000000" w:themeColor="text1"/>
        </w:rPr>
        <w:t xml:space="preserve"> </w:t>
      </w:r>
      <w:r w:rsidRPr="009B2EB6">
        <w:rPr>
          <w:color w:val="000000" w:themeColor="text1"/>
        </w:rPr>
        <w:t xml:space="preserve">However, </w:t>
      </w:r>
      <w:r>
        <w:rPr>
          <w:color w:val="000000" w:themeColor="text1"/>
        </w:rPr>
        <w:t xml:space="preserve">on the present evidence, </w:t>
      </w:r>
      <w:r w:rsidRPr="00F15D14">
        <w:rPr>
          <w:color w:val="000000" w:themeColor="text1"/>
        </w:rPr>
        <w:t xml:space="preserve">I cannot identify any </w:t>
      </w:r>
      <w:r w:rsidRPr="00760DB2">
        <w:rPr>
          <w:color w:val="000000" w:themeColor="text1"/>
        </w:rPr>
        <w:t>plausible sources of anticoagulant rodenticide exposure apart from currently registered products with labels containing approved instructions</w:t>
      </w:r>
      <w:r>
        <w:rPr>
          <w:color w:val="000000" w:themeColor="text1"/>
        </w:rPr>
        <w:t xml:space="preserve"> by the APVMA. </w:t>
      </w:r>
      <w:bookmarkStart w:id="161" w:name="_Hlk216087463"/>
      <w:r w:rsidRPr="009F0A90">
        <w:rPr>
          <w:color w:val="000000" w:themeColor="text1"/>
        </w:rPr>
        <w:t>I consider that use of anticoagulant rodenticide chemical products in accordance with the instructions currently approved by the APVMA is a feasible potential source of these detections.</w:t>
      </w:r>
      <w:r>
        <w:rPr>
          <w:color w:val="000000" w:themeColor="text1"/>
        </w:rPr>
        <w:t xml:space="preserve"> </w:t>
      </w:r>
      <w:bookmarkEnd w:id="161"/>
      <w:r>
        <w:rPr>
          <w:color w:val="000000" w:themeColor="text1"/>
        </w:rPr>
        <w:t>Further</w:t>
      </w:r>
      <w:bookmarkStart w:id="162" w:name="_Hlk216086206"/>
      <w:r>
        <w:rPr>
          <w:color w:val="000000" w:themeColor="text1"/>
        </w:rPr>
        <w:t xml:space="preserve">, </w:t>
      </w:r>
      <w:r w:rsidRPr="009F0A90">
        <w:rPr>
          <w:color w:val="000000" w:themeColor="text1"/>
        </w:rPr>
        <w:t xml:space="preserve">I note that </w:t>
      </w:r>
      <w:r>
        <w:rPr>
          <w:color w:val="000000" w:themeColor="text1"/>
        </w:rPr>
        <w:t>w</w:t>
      </w:r>
      <w:r w:rsidRPr="009F0A90">
        <w:rPr>
          <w:color w:val="000000" w:themeColor="text1"/>
        </w:rPr>
        <w:t>hile intentional misuse of anticoagulant rodenticides chemical product may</w:t>
      </w:r>
      <w:r>
        <w:rPr>
          <w:color w:val="000000" w:themeColor="text1"/>
        </w:rPr>
        <w:t xml:space="preserve"> </w:t>
      </w:r>
      <w:r w:rsidRPr="009F0A90">
        <w:rPr>
          <w:color w:val="000000" w:themeColor="text1"/>
        </w:rPr>
        <w:t>be a contributing factor to these detections in wildlife</w:t>
      </w:r>
      <w:bookmarkEnd w:id="162"/>
      <w:r w:rsidRPr="009F0A90">
        <w:rPr>
          <w:color w:val="000000" w:themeColor="text1"/>
        </w:rPr>
        <w:t xml:space="preserve">, </w:t>
      </w:r>
      <w:bookmarkStart w:id="163" w:name="_Hlk216087558"/>
      <w:bookmarkStart w:id="164" w:name="_Hlk216086288"/>
      <w:r w:rsidRPr="009F0A90">
        <w:rPr>
          <w:color w:val="000000" w:themeColor="text1"/>
        </w:rPr>
        <w:t xml:space="preserve">it is also feasible that accidental misuse of chemical products due to misinterpretation of </w:t>
      </w:r>
      <w:r>
        <w:rPr>
          <w:color w:val="000000" w:themeColor="text1"/>
        </w:rPr>
        <w:t xml:space="preserve">the current </w:t>
      </w:r>
      <w:r w:rsidRPr="009F0A90">
        <w:rPr>
          <w:color w:val="000000" w:themeColor="text1"/>
        </w:rPr>
        <w:t xml:space="preserve">instructions for use may </w:t>
      </w:r>
      <w:r>
        <w:rPr>
          <w:color w:val="000000" w:themeColor="text1"/>
        </w:rPr>
        <w:t>be a contributing facto</w:t>
      </w:r>
      <w:r w:rsidRPr="009F0A90">
        <w:rPr>
          <w:color w:val="000000" w:themeColor="text1"/>
        </w:rPr>
        <w:t>r</w:t>
      </w:r>
      <w:r>
        <w:rPr>
          <w:color w:val="000000" w:themeColor="text1"/>
        </w:rPr>
        <w:t xml:space="preserve"> to these detections</w:t>
      </w:r>
      <w:r w:rsidRPr="009F0A90">
        <w:rPr>
          <w:color w:val="000000" w:themeColor="text1"/>
        </w:rPr>
        <w:t>, indicating that the</w:t>
      </w:r>
      <w:r>
        <w:rPr>
          <w:color w:val="000000" w:themeColor="text1"/>
        </w:rPr>
        <w:t>se</w:t>
      </w:r>
      <w:r w:rsidRPr="009F0A90">
        <w:rPr>
          <w:color w:val="000000" w:themeColor="text1"/>
        </w:rPr>
        <w:t xml:space="preserve"> current instructions for use are insufficient.</w:t>
      </w:r>
      <w:bookmarkEnd w:id="163"/>
      <w:r w:rsidRPr="009F0A90">
        <w:rPr>
          <w:color w:val="000000" w:themeColor="text1"/>
        </w:rPr>
        <w:t xml:space="preserve"> </w:t>
      </w:r>
      <w:bookmarkEnd w:id="164"/>
      <w:r>
        <w:rPr>
          <w:color w:val="000000" w:themeColor="text1"/>
        </w:rPr>
        <w:t xml:space="preserve">It is </w:t>
      </w:r>
      <w:r w:rsidRPr="00F15D14">
        <w:rPr>
          <w:color w:val="000000" w:themeColor="text1"/>
        </w:rPr>
        <w:t>my preliminary view is</w:t>
      </w:r>
      <w:r w:rsidRPr="009B2EB6">
        <w:rPr>
          <w:color w:val="000000" w:themeColor="text1"/>
        </w:rPr>
        <w:t xml:space="preserve"> that use of anticoagulant rodenticide chemical products in accordance with the instructions currently approved by the APVMA is likely to </w:t>
      </w:r>
      <w:r>
        <w:rPr>
          <w:color w:val="000000" w:themeColor="text1"/>
        </w:rPr>
        <w:t>contribute to</w:t>
      </w:r>
      <w:r w:rsidRPr="009B2EB6">
        <w:rPr>
          <w:color w:val="000000" w:themeColor="text1"/>
        </w:rPr>
        <w:t xml:space="preserve"> these detections.</w:t>
      </w:r>
    </w:p>
    <w:p w14:paraId="2F24F611" w14:textId="71C91360" w:rsidR="008E67EA" w:rsidRPr="004C2769" w:rsidRDefault="008E67EA">
      <w:pPr>
        <w:pStyle w:val="NumberLevel1"/>
        <w:numPr>
          <w:ilvl w:val="0"/>
          <w:numId w:val="17"/>
        </w:numPr>
        <w:tabs>
          <w:tab w:val="clear" w:pos="709"/>
          <w:tab w:val="num" w:pos="2553"/>
        </w:tabs>
      </w:pPr>
      <w:r w:rsidRPr="00E23899">
        <w:t xml:space="preserve">Based on my review and consideration the information detailed above in paragraphs </w:t>
      </w:r>
      <w:r w:rsidRPr="00E23899">
        <w:fldChar w:fldCharType="begin"/>
      </w:r>
      <w:r w:rsidRPr="00E23899">
        <w:instrText xml:space="preserve"> REF _Ref205890210 \r \h </w:instrText>
      </w:r>
      <w:r>
        <w:instrText xml:space="preserve"> \* MERGEFORMAT </w:instrText>
      </w:r>
      <w:r w:rsidRPr="00E23899">
        <w:fldChar w:fldCharType="separate"/>
      </w:r>
      <w:r w:rsidR="002C0C2A">
        <w:t>42</w:t>
      </w:r>
      <w:r w:rsidRPr="00E23899">
        <w:fldChar w:fldCharType="end"/>
      </w:r>
      <w:r w:rsidRPr="00E23899">
        <w:t xml:space="preserve"> and </w:t>
      </w:r>
      <w:r w:rsidRPr="00E23899">
        <w:fldChar w:fldCharType="begin"/>
      </w:r>
      <w:r w:rsidRPr="00E23899">
        <w:instrText xml:space="preserve"> REF _Ref205891634 \r \h </w:instrText>
      </w:r>
      <w:r>
        <w:instrText xml:space="preserve"> \* MERGEFORMAT </w:instrText>
      </w:r>
      <w:r w:rsidRPr="00E23899">
        <w:fldChar w:fldCharType="separate"/>
      </w:r>
      <w:r w:rsidR="002C0C2A">
        <w:t>44</w:t>
      </w:r>
      <w:r w:rsidRPr="00E23899">
        <w:fldChar w:fldCharType="end"/>
      </w:r>
      <w:r w:rsidRPr="00E23899">
        <w:t xml:space="preserve"> of these reasons, I </w:t>
      </w:r>
      <w:r>
        <w:t xml:space="preserve">am </w:t>
      </w:r>
      <w:r w:rsidRPr="00DD6B07">
        <w:rPr>
          <w:b/>
          <w:bCs/>
        </w:rPr>
        <w:t>not satisfied</w:t>
      </w:r>
      <w:r w:rsidRPr="00E23899">
        <w:t xml:space="preserve"> that the use of anticoagulant chemical products in accordance with current instructions </w:t>
      </w:r>
      <w:r w:rsidRPr="00DD6B07">
        <w:rPr>
          <w:b/>
          <w:bCs/>
          <w:color w:val="000000" w:themeColor="text1"/>
        </w:rPr>
        <w:t xml:space="preserve">would not be likely to </w:t>
      </w:r>
      <w:r w:rsidRPr="00EE17DF">
        <w:t>have an unintended effect that is harmful to non-target terrestrial vertebrates. In short, this is beca</w:t>
      </w:r>
      <w:r>
        <w:t>use exposure to anticoagulant rodenticides may have lethal or sub-lethal harmful effects on non-target mammals and birds, and the frequent detections of anticoagulant rodenticides in the wider environment demonstrate that the current risk mitigation measures in place are insufficient to prevent exposure of non-target wildlife and the associated unintended harmful effects.</w:t>
      </w:r>
    </w:p>
    <w:p w14:paraId="3800C836" w14:textId="77777777" w:rsidR="008E67EA" w:rsidRPr="00B57016" w:rsidRDefault="008E67EA" w:rsidP="008E67EA">
      <w:pPr>
        <w:pStyle w:val="StatementofReasonsHeading5"/>
        <w:rPr>
          <w:color w:val="000000" w:themeColor="text1"/>
        </w:rPr>
      </w:pPr>
      <w:r w:rsidRPr="00B57016">
        <w:rPr>
          <w:color w:val="000000" w:themeColor="text1"/>
        </w:rPr>
        <w:t xml:space="preserve">Exposure </w:t>
      </w:r>
      <w:r>
        <w:rPr>
          <w:color w:val="000000" w:themeColor="text1"/>
        </w:rPr>
        <w:t>scenarios a</w:t>
      </w:r>
      <w:r w:rsidRPr="00B57016">
        <w:rPr>
          <w:color w:val="000000" w:themeColor="text1"/>
        </w:rPr>
        <w:t>nd potential</w:t>
      </w:r>
      <w:r>
        <w:rPr>
          <w:color w:val="000000" w:themeColor="text1"/>
        </w:rPr>
        <w:t xml:space="preserve"> for</w:t>
      </w:r>
      <w:r w:rsidRPr="00B57016">
        <w:rPr>
          <w:color w:val="000000" w:themeColor="text1"/>
        </w:rPr>
        <w:t xml:space="preserve"> risk mitigation </w:t>
      </w:r>
    </w:p>
    <w:p w14:paraId="110D97E3" w14:textId="6B257185" w:rsidR="008E67EA" w:rsidRPr="00BF4559" w:rsidRDefault="008E67EA">
      <w:pPr>
        <w:pStyle w:val="NumberLevel1"/>
        <w:numPr>
          <w:ilvl w:val="0"/>
          <w:numId w:val="17"/>
        </w:numPr>
        <w:tabs>
          <w:tab w:val="clear" w:pos="709"/>
          <w:tab w:val="num" w:pos="2553"/>
        </w:tabs>
      </w:pPr>
      <w:r w:rsidRPr="00BE0F7B">
        <w:rPr>
          <w:color w:val="000000" w:themeColor="text1"/>
        </w:rPr>
        <w:lastRenderedPageBreak/>
        <w:t xml:space="preserve">Based </w:t>
      </w:r>
      <w:r w:rsidRPr="00E23899">
        <w:rPr>
          <w:color w:val="000000" w:themeColor="text1"/>
        </w:rPr>
        <w:t>on my review and consideration of</w:t>
      </w:r>
      <w:r w:rsidRPr="00BE0F7B">
        <w:rPr>
          <w:color w:val="000000" w:themeColor="text1"/>
        </w:rPr>
        <w:t xml:space="preserve"> primary and secondary poisoning exposure scenarios for non-target terrestrial vertebrates </w:t>
      </w:r>
      <w:r>
        <w:rPr>
          <w:color w:val="000000" w:themeColor="text1"/>
        </w:rPr>
        <w:t>detailed</w:t>
      </w:r>
      <w:r w:rsidRPr="00BE0F7B">
        <w:rPr>
          <w:color w:val="000000" w:themeColor="text1"/>
        </w:rPr>
        <w:t xml:space="preserve"> in</w:t>
      </w:r>
      <w:r>
        <w:rPr>
          <w:color w:val="000000" w:themeColor="text1"/>
        </w:rPr>
        <w:t xml:space="preserve"> </w:t>
      </w:r>
      <w:r w:rsidRPr="00DD6B07">
        <w:rPr>
          <w:color w:val="000000" w:themeColor="text1"/>
        </w:rPr>
        <w:t>section</w:t>
      </w:r>
      <w:r w:rsidRPr="00BE0F7B">
        <w:rPr>
          <w:color w:val="000000" w:themeColor="text1"/>
        </w:rPr>
        <w:t xml:space="preserve"> </w:t>
      </w:r>
      <w:r w:rsidRPr="006B5FF8">
        <w:rPr>
          <w:i/>
          <w:iCs/>
          <w:color w:val="000000" w:themeColor="text1"/>
        </w:rPr>
        <w:t>‘3.3.2 Risks to terrestrial vertebrates’</w:t>
      </w:r>
      <w:r>
        <w:rPr>
          <w:color w:val="000000" w:themeColor="text1"/>
        </w:rPr>
        <w:t xml:space="preserve"> </w:t>
      </w:r>
      <w:r w:rsidRPr="00BE0F7B">
        <w:rPr>
          <w:color w:val="000000" w:themeColor="text1"/>
        </w:rPr>
        <w:t xml:space="preserve">of the </w:t>
      </w:r>
      <w:r w:rsidRPr="00BE0F7B">
        <w:rPr>
          <w:i/>
          <w:iCs/>
          <w:color w:val="000000" w:themeColor="text1"/>
        </w:rPr>
        <w:t xml:space="preserve">Anticoagulant Rodenticides Review Technical Report, </w:t>
      </w:r>
      <w:r>
        <w:rPr>
          <w:color w:val="000000" w:themeColor="text1"/>
        </w:rPr>
        <w:t xml:space="preserve">and the fact that anticoagulant rodenticides are a type of vertebrate poison, </w:t>
      </w:r>
      <w:r w:rsidRPr="00E23899">
        <w:rPr>
          <w:color w:val="000000" w:themeColor="text1"/>
        </w:rPr>
        <w:t>I consider that</w:t>
      </w:r>
      <w:r>
        <w:rPr>
          <w:color w:val="000000" w:themeColor="text1"/>
        </w:rPr>
        <w:t xml:space="preserve"> all potential risks to individual </w:t>
      </w:r>
      <w:r w:rsidRPr="00BE0F7B">
        <w:rPr>
          <w:color w:val="000000" w:themeColor="text1"/>
        </w:rPr>
        <w:t>non-target terrestrial vertebrate</w:t>
      </w:r>
      <w:r>
        <w:rPr>
          <w:color w:val="000000" w:themeColor="text1"/>
        </w:rPr>
        <w:t xml:space="preserve">s </w:t>
      </w:r>
      <w:r w:rsidRPr="00BE0F7B">
        <w:rPr>
          <w:color w:val="000000" w:themeColor="text1"/>
        </w:rPr>
        <w:t>associated with</w:t>
      </w:r>
      <w:r>
        <w:rPr>
          <w:color w:val="000000" w:themeColor="text1"/>
        </w:rPr>
        <w:t xml:space="preserve"> </w:t>
      </w:r>
      <w:r w:rsidRPr="00BE0F7B">
        <w:rPr>
          <w:color w:val="000000" w:themeColor="text1"/>
        </w:rPr>
        <w:t>use of anticoagulant rodenticide chemical products</w:t>
      </w:r>
      <w:r>
        <w:rPr>
          <w:color w:val="000000" w:themeColor="text1"/>
        </w:rPr>
        <w:t xml:space="preserve"> cannot be completely eliminated.</w:t>
      </w:r>
    </w:p>
    <w:p w14:paraId="518891E4" w14:textId="77777777" w:rsidR="008E67EA" w:rsidRDefault="008E67EA">
      <w:pPr>
        <w:pStyle w:val="NumberLevel1"/>
        <w:numPr>
          <w:ilvl w:val="0"/>
          <w:numId w:val="17"/>
        </w:numPr>
        <w:tabs>
          <w:tab w:val="clear" w:pos="709"/>
          <w:tab w:val="num" w:pos="2553"/>
        </w:tabs>
      </w:pPr>
      <w:r>
        <w:rPr>
          <w:color w:val="000000" w:themeColor="text1"/>
        </w:rPr>
        <w:t xml:space="preserve">For the ready-to-use anticoagulant rodenticide chemical products listed in </w:t>
      </w:r>
      <w:r w:rsidRPr="00600114">
        <w:t>Attachment A of this notice</w:t>
      </w:r>
      <w:r>
        <w:t>,</w:t>
      </w:r>
      <w:r>
        <w:rPr>
          <w:color w:val="000000" w:themeColor="text1"/>
        </w:rPr>
        <w:t xml:space="preserve"> </w:t>
      </w:r>
      <w:r w:rsidRPr="00E23899">
        <w:rPr>
          <w:color w:val="000000" w:themeColor="text1"/>
        </w:rPr>
        <w:t>I have reviewed and considered</w:t>
      </w:r>
      <w:r w:rsidRPr="00BE0F7B">
        <w:rPr>
          <w:color w:val="000000" w:themeColor="text1"/>
        </w:rPr>
        <w:t xml:space="preserve"> </w:t>
      </w:r>
      <w:r>
        <w:rPr>
          <w:color w:val="000000" w:themeColor="text1"/>
        </w:rPr>
        <w:t xml:space="preserve">the </w:t>
      </w:r>
      <w:r>
        <w:t xml:space="preserve">best practice risk mitigation measures that were assessed in the environmental risk assessment, as summarised in sections </w:t>
      </w:r>
      <w:r w:rsidRPr="006B5FF8">
        <w:rPr>
          <w:i/>
          <w:iCs/>
          <w:color w:val="000000" w:themeColor="text1"/>
        </w:rPr>
        <w:t>‘3.3.2 Risks to terrestrial vertebrates’</w:t>
      </w:r>
      <w:r w:rsidRPr="005B62E6">
        <w:t xml:space="preserve"> of the </w:t>
      </w:r>
      <w:r w:rsidRPr="00BE0F7B">
        <w:rPr>
          <w:i/>
          <w:iCs/>
        </w:rPr>
        <w:t>Anticoagulant Rodenticides Review Technical Report</w:t>
      </w:r>
      <w:r w:rsidRPr="00BE0F7B">
        <w:t>, and</w:t>
      </w:r>
      <w:r>
        <w:t xml:space="preserve"> whether application of these mitigation measures would sufficiently minimise the risk </w:t>
      </w:r>
      <w:r w:rsidRPr="0044231C">
        <w:rPr>
          <w:color w:val="000000" w:themeColor="text1"/>
        </w:rPr>
        <w:t>to non-target terrestrial vertebrates</w:t>
      </w:r>
      <w:r>
        <w:t xml:space="preserve"> so that the use of the products in accordance with any instructions to be approved by the APVMA </w:t>
      </w:r>
      <w:r w:rsidRPr="00DD6B07">
        <w:rPr>
          <w:b/>
          <w:bCs/>
        </w:rPr>
        <w:t>would not be likely</w:t>
      </w:r>
      <w:r>
        <w:t xml:space="preserve"> to have an u</w:t>
      </w:r>
      <w:r w:rsidRPr="0044231C">
        <w:rPr>
          <w:color w:val="000000" w:themeColor="text1"/>
        </w:rPr>
        <w:t>n</w:t>
      </w:r>
      <w:r>
        <w:rPr>
          <w:color w:val="000000" w:themeColor="text1"/>
        </w:rPr>
        <w:t>in</w:t>
      </w:r>
      <w:r w:rsidRPr="0044231C">
        <w:rPr>
          <w:color w:val="000000" w:themeColor="text1"/>
        </w:rPr>
        <w:t>tended effect that is harmful to non-target terrestrial vertebrates</w:t>
      </w:r>
      <w:r>
        <w:rPr>
          <w:color w:val="000000" w:themeColor="text1"/>
        </w:rPr>
        <w:t>.</w:t>
      </w:r>
    </w:p>
    <w:p w14:paraId="7F51BB08" w14:textId="77777777" w:rsidR="008E67EA" w:rsidRPr="00E23899" w:rsidRDefault="008E67EA">
      <w:pPr>
        <w:pStyle w:val="NumberLevel1"/>
        <w:numPr>
          <w:ilvl w:val="0"/>
          <w:numId w:val="17"/>
        </w:numPr>
        <w:tabs>
          <w:tab w:val="clear" w:pos="709"/>
          <w:tab w:val="num" w:pos="2553"/>
        </w:tabs>
        <w:rPr>
          <w:color w:val="000000" w:themeColor="text1"/>
        </w:rPr>
      </w:pPr>
      <w:r w:rsidRPr="00C15A03">
        <w:rPr>
          <w:color w:val="000000" w:themeColor="text1"/>
        </w:rPr>
        <w:t xml:space="preserve">The prevention of unintended effects that are harmful to non-target terrestrial vertebrates from the use of anticoagulant rodenticides chemical products is of worldwide concern and multiple countries have </w:t>
      </w:r>
      <w:r>
        <w:rPr>
          <w:color w:val="000000" w:themeColor="text1"/>
        </w:rPr>
        <w:t>introduced</w:t>
      </w:r>
      <w:r w:rsidRPr="00C15A03">
        <w:rPr>
          <w:color w:val="000000" w:themeColor="text1"/>
        </w:rPr>
        <w:t xml:space="preserve"> varied risk mitigation </w:t>
      </w:r>
      <w:r>
        <w:rPr>
          <w:color w:val="000000" w:themeColor="text1"/>
        </w:rPr>
        <w:t xml:space="preserve">strategies </w:t>
      </w:r>
      <w:r w:rsidRPr="00C15A03">
        <w:rPr>
          <w:color w:val="000000" w:themeColor="text1"/>
        </w:rPr>
        <w:t xml:space="preserve">to reduce entry of anticoagulant rodenticide residues into the environment. Based on </w:t>
      </w:r>
      <w:r w:rsidRPr="00E23899">
        <w:rPr>
          <w:color w:val="000000" w:themeColor="text1"/>
        </w:rPr>
        <w:t>my review and consideration on the assessment</w:t>
      </w:r>
      <w:r w:rsidRPr="00C15A03">
        <w:rPr>
          <w:color w:val="000000" w:themeColor="text1"/>
        </w:rPr>
        <w:t xml:space="preserve"> of all information and overseas experiences </w:t>
      </w:r>
      <w:r>
        <w:rPr>
          <w:color w:val="000000" w:themeColor="text1"/>
        </w:rPr>
        <w:t xml:space="preserve">summarised in section </w:t>
      </w:r>
      <w:r w:rsidRPr="006B5FF8">
        <w:rPr>
          <w:i/>
          <w:iCs/>
          <w:color w:val="000000" w:themeColor="text1"/>
        </w:rPr>
        <w:t>‘3.3.2 Risks to terrestrial vertebrates’</w:t>
      </w:r>
      <w:r>
        <w:rPr>
          <w:color w:val="000000" w:themeColor="text1"/>
        </w:rPr>
        <w:t xml:space="preserve"> </w:t>
      </w:r>
      <w:r w:rsidRPr="00C15A03">
        <w:rPr>
          <w:color w:val="000000" w:themeColor="text1"/>
        </w:rPr>
        <w:t xml:space="preserve">of the </w:t>
      </w:r>
      <w:r w:rsidRPr="00C15A03">
        <w:rPr>
          <w:i/>
          <w:iCs/>
          <w:color w:val="000000" w:themeColor="text1"/>
        </w:rPr>
        <w:t xml:space="preserve">Anticoagulant Rodenticides Review </w:t>
      </w:r>
      <w:r w:rsidRPr="00E23899">
        <w:rPr>
          <w:i/>
          <w:iCs/>
          <w:color w:val="000000" w:themeColor="text1"/>
        </w:rPr>
        <w:t>Technical Report</w:t>
      </w:r>
      <w:r w:rsidRPr="00E23899">
        <w:rPr>
          <w:color w:val="000000" w:themeColor="text1"/>
        </w:rPr>
        <w:t>:</w:t>
      </w:r>
    </w:p>
    <w:p w14:paraId="7D810EA0" w14:textId="1680FD8B" w:rsidR="008E67EA" w:rsidRPr="00E23899" w:rsidRDefault="008E67EA">
      <w:pPr>
        <w:pStyle w:val="NumberLevel2"/>
        <w:numPr>
          <w:ilvl w:val="1"/>
          <w:numId w:val="17"/>
        </w:numPr>
        <w:ind w:left="1134"/>
      </w:pPr>
      <w:r w:rsidRPr="00E23899">
        <w:t>I note that a number of countries have implemented some best practice risk mitigation measures with limited or no measurable success in reducing wide scale secondary exposure of wildlife</w:t>
      </w:r>
      <w:r>
        <w:t xml:space="preserve"> (specifically, undomesticated non-target terrestrial vertebrates)</w:t>
      </w:r>
      <w:r w:rsidRPr="00E23899">
        <w:t xml:space="preserve">. However, I also note there are already some significant </w:t>
      </w:r>
      <w:r>
        <w:t>differences</w:t>
      </w:r>
      <w:r w:rsidRPr="00E23899">
        <w:t xml:space="preserve"> in the permissible uses of anticoagulant rodenticides</w:t>
      </w:r>
      <w:r>
        <w:t xml:space="preserve"> in Australia and other countries that impact secondary poisoning risks. This includes the fact SGARs are not registered for use in crops or other open area scenarios (which by definition pose a significantly higher risk to non-target wildlife. </w:t>
      </w:r>
      <w:r w:rsidRPr="00E23899">
        <w:t>Nevertheless, I consider that comprehensive and integrated risk management strategies are required to minimise the likelihood of entry of anticoagulant rodenticides into the Australian environment.</w:t>
      </w:r>
    </w:p>
    <w:p w14:paraId="5B1AFF8B" w14:textId="6D8B8BA5" w:rsidR="008E67EA" w:rsidRPr="00E23899" w:rsidRDefault="008E67EA">
      <w:pPr>
        <w:pStyle w:val="NumberLevel2"/>
        <w:numPr>
          <w:ilvl w:val="1"/>
          <w:numId w:val="17"/>
        </w:numPr>
        <w:ind w:left="1134"/>
      </w:pPr>
      <w:r w:rsidRPr="00E23899">
        <w:t xml:space="preserve">I further note that the implementation of best practice risk mitigation measures on chemical products containing only certain anticoagulant rodenticide active constituents has been shown to shift the residues detected in wildlife to different </w:t>
      </w:r>
      <w:r>
        <w:t xml:space="preserve">anticoagulant rodenticide </w:t>
      </w:r>
      <w:r w:rsidRPr="00E23899">
        <w:t>active constituents. Therefore, I consider that appropriate risk mitigation measures to reduce the likelihood of non-target terrestrial vertebrate exposure should be applied consistently across chemical products containing all anticoagulant rodenticide active constituents in scope of the reconsideration.</w:t>
      </w:r>
    </w:p>
    <w:p w14:paraId="35CA553B" w14:textId="280CD9E9" w:rsidR="008E67EA" w:rsidRPr="00C10789" w:rsidRDefault="008E67EA">
      <w:pPr>
        <w:pStyle w:val="NumberLevel1"/>
        <w:numPr>
          <w:ilvl w:val="0"/>
          <w:numId w:val="17"/>
        </w:numPr>
        <w:tabs>
          <w:tab w:val="clear" w:pos="709"/>
          <w:tab w:val="num" w:pos="2553"/>
        </w:tabs>
      </w:pPr>
      <w:r w:rsidRPr="00E23899">
        <w:t xml:space="preserve">The risk mitigation measures that I consider necessary to ensure that the use of anticoagulant rodenticide chemical products in accordance with any instructions to be approved by the APVMA </w:t>
      </w:r>
      <w:r w:rsidRPr="00306D1B">
        <w:rPr>
          <w:b/>
          <w:bCs/>
        </w:rPr>
        <w:t>would not be likely</w:t>
      </w:r>
      <w:r w:rsidRPr="00E23899">
        <w:t xml:space="preserve"> to have an unintended effect that is harmful to non-target terrestrial vertebrates, and my reasoning, are detailed in the </w:t>
      </w:r>
      <w:r w:rsidRPr="00E23899">
        <w:rPr>
          <w:i/>
          <w:iCs/>
        </w:rPr>
        <w:t>‘Risk mitigation measures</w:t>
      </w:r>
      <w:r w:rsidRPr="002C6FBF">
        <w:rPr>
          <w:i/>
          <w:iCs/>
        </w:rPr>
        <w:t xml:space="preserve"> for all chemical products – terrestrial vertebrates’</w:t>
      </w:r>
      <w:r>
        <w:t xml:space="preserve"> (paragraphs </w:t>
      </w:r>
      <w:r>
        <w:fldChar w:fldCharType="begin"/>
      </w:r>
      <w:r>
        <w:instrText xml:space="preserve"> REF _Ref207047575 \r \h </w:instrText>
      </w:r>
      <w:r>
        <w:fldChar w:fldCharType="separate"/>
      </w:r>
      <w:r w:rsidR="002C0C2A">
        <w:t>50</w:t>
      </w:r>
      <w:r>
        <w:fldChar w:fldCharType="end"/>
      </w:r>
      <w:r>
        <w:t xml:space="preserve"> – </w:t>
      </w:r>
      <w:r>
        <w:fldChar w:fldCharType="begin"/>
      </w:r>
      <w:r>
        <w:instrText xml:space="preserve"> REF _Ref206058558 \r \h </w:instrText>
      </w:r>
      <w:r>
        <w:fldChar w:fldCharType="separate"/>
      </w:r>
      <w:r w:rsidR="002C0C2A">
        <w:t>53</w:t>
      </w:r>
      <w:r>
        <w:fldChar w:fldCharType="end"/>
      </w:r>
      <w:r>
        <w:t xml:space="preserve">), </w:t>
      </w:r>
      <w:r w:rsidRPr="002C6FBF">
        <w:rPr>
          <w:i/>
          <w:iCs/>
        </w:rPr>
        <w:t>‘Risk mitigation measures for commercial products – terrestrial vertebrates’</w:t>
      </w:r>
      <w:r>
        <w:t xml:space="preserve"> (paragraphs </w:t>
      </w:r>
      <w:r>
        <w:fldChar w:fldCharType="begin"/>
      </w:r>
      <w:r>
        <w:instrText xml:space="preserve"> REF _Ref207047643 \r \h </w:instrText>
      </w:r>
      <w:r>
        <w:fldChar w:fldCharType="separate"/>
      </w:r>
      <w:r w:rsidR="002C0C2A">
        <w:t>54</w:t>
      </w:r>
      <w:r>
        <w:fldChar w:fldCharType="end"/>
      </w:r>
      <w:r>
        <w:t xml:space="preserve"> – </w:t>
      </w:r>
      <w:r>
        <w:fldChar w:fldCharType="begin"/>
      </w:r>
      <w:r>
        <w:instrText xml:space="preserve"> REF _Ref207047650 \r \h </w:instrText>
      </w:r>
      <w:r>
        <w:fldChar w:fldCharType="separate"/>
      </w:r>
      <w:r w:rsidR="002C0C2A">
        <w:t>57</w:t>
      </w:r>
      <w:r>
        <w:fldChar w:fldCharType="end"/>
      </w:r>
      <w:r>
        <w:t xml:space="preserve">) and </w:t>
      </w:r>
      <w:r w:rsidRPr="002C6FBF">
        <w:rPr>
          <w:i/>
          <w:iCs/>
        </w:rPr>
        <w:t>‘Risk mitigation measures for domestic products – terrestrial vertebrates’</w:t>
      </w:r>
      <w:r>
        <w:t xml:space="preserve"> (paragraphs </w:t>
      </w:r>
      <w:r>
        <w:fldChar w:fldCharType="begin"/>
      </w:r>
      <w:r>
        <w:instrText xml:space="preserve"> REF _Ref207047655 \r \h </w:instrText>
      </w:r>
      <w:r>
        <w:fldChar w:fldCharType="separate"/>
      </w:r>
      <w:r w:rsidR="002C0C2A">
        <w:t>59</w:t>
      </w:r>
      <w:r>
        <w:fldChar w:fldCharType="end"/>
      </w:r>
      <w:r>
        <w:t xml:space="preserve"> – </w:t>
      </w:r>
      <w:r>
        <w:fldChar w:fldCharType="begin"/>
      </w:r>
      <w:r>
        <w:instrText xml:space="preserve"> REF _Ref207047666 \r \h </w:instrText>
      </w:r>
      <w:r>
        <w:fldChar w:fldCharType="separate"/>
      </w:r>
      <w:r w:rsidR="002C0C2A">
        <w:t>61</w:t>
      </w:r>
      <w:r>
        <w:fldChar w:fldCharType="end"/>
      </w:r>
      <w:r>
        <w:t>) sections below.</w:t>
      </w:r>
    </w:p>
    <w:p w14:paraId="2E349B31" w14:textId="77777777" w:rsidR="008E67EA" w:rsidRPr="00BD4E84" w:rsidRDefault="008E67EA" w:rsidP="008E67EA">
      <w:pPr>
        <w:pStyle w:val="StatementofReasonsHeading5"/>
      </w:pPr>
      <w:r>
        <w:t xml:space="preserve">Risk mitigation measures for all chemical products – </w:t>
      </w:r>
      <w:r w:rsidRPr="00C13C12">
        <w:t>terrestrial vertebrates</w:t>
      </w:r>
    </w:p>
    <w:p w14:paraId="333269B6" w14:textId="465773EA" w:rsidR="008E67EA" w:rsidRPr="00E86647" w:rsidRDefault="008E67EA">
      <w:pPr>
        <w:pStyle w:val="NumberLevel1"/>
        <w:numPr>
          <w:ilvl w:val="0"/>
          <w:numId w:val="17"/>
        </w:numPr>
        <w:tabs>
          <w:tab w:val="clear" w:pos="709"/>
          <w:tab w:val="num" w:pos="2553"/>
        </w:tabs>
        <w:rPr>
          <w:color w:val="000000" w:themeColor="text1"/>
        </w:rPr>
      </w:pPr>
      <w:bookmarkStart w:id="165" w:name="_Ref207047575"/>
      <w:r w:rsidRPr="00DC183F">
        <w:t xml:space="preserve">Based on </w:t>
      </w:r>
      <w:r w:rsidRPr="00E23899">
        <w:t>my review and consideration</w:t>
      </w:r>
      <w:r w:rsidRPr="00DC183F">
        <w:t xml:space="preserve"> of</w:t>
      </w:r>
      <w:r>
        <w:t xml:space="preserve"> sections </w:t>
      </w:r>
      <w:r w:rsidRPr="00E86647">
        <w:rPr>
          <w:i/>
          <w:iCs/>
        </w:rPr>
        <w:t xml:space="preserve">‘3.2.1 Effects on terrestrial vertebrates’ </w:t>
      </w:r>
      <w:r>
        <w:t xml:space="preserve">and </w:t>
      </w:r>
      <w:r w:rsidRPr="00B00983">
        <w:rPr>
          <w:i/>
          <w:iCs/>
        </w:rPr>
        <w:t xml:space="preserve">‘3.4.2 </w:t>
      </w:r>
      <w:r w:rsidRPr="00B00983">
        <w:rPr>
          <w:i/>
          <w:iCs/>
          <w:color w:val="000000" w:themeColor="text1"/>
        </w:rPr>
        <w:t>Supported products and uses’</w:t>
      </w:r>
      <w:r w:rsidRPr="00E86647">
        <w:rPr>
          <w:color w:val="000000" w:themeColor="text1"/>
        </w:rPr>
        <w:t xml:space="preserve"> of the </w:t>
      </w:r>
      <w:r w:rsidRPr="00E86647">
        <w:rPr>
          <w:i/>
          <w:iCs/>
          <w:color w:val="000000" w:themeColor="text1"/>
        </w:rPr>
        <w:t>Anticoagulant Rodenticides Review Technical Report</w:t>
      </w:r>
      <w:r w:rsidRPr="00E86647">
        <w:rPr>
          <w:color w:val="000000" w:themeColor="text1"/>
        </w:rPr>
        <w:t xml:space="preserve">, and as discussed above in paragraph </w:t>
      </w:r>
      <w:r w:rsidRPr="00E23899">
        <w:fldChar w:fldCharType="begin"/>
      </w:r>
      <w:r w:rsidRPr="00E23899">
        <w:instrText xml:space="preserve"> REF _Ref205890210 \r \h </w:instrText>
      </w:r>
      <w:r>
        <w:instrText xml:space="preserve"> \* MERGEFORMAT </w:instrText>
      </w:r>
      <w:r w:rsidRPr="00E23899">
        <w:fldChar w:fldCharType="separate"/>
      </w:r>
      <w:r w:rsidR="002C0C2A">
        <w:t>42</w:t>
      </w:r>
      <w:r w:rsidRPr="00E23899">
        <w:fldChar w:fldCharType="end"/>
      </w:r>
      <w:r w:rsidRPr="00E86647">
        <w:rPr>
          <w:color w:val="000000" w:themeColor="text1"/>
        </w:rPr>
        <w:t xml:space="preserve"> of these reasons, I note that all anticoagulant rodenticides in scope of the reconsideration are toxic to terrestrial vertebrates. Therefore, I consider that the hazard warning statement </w:t>
      </w:r>
      <w:r w:rsidRPr="00E86647">
        <w:rPr>
          <w:b/>
          <w:bCs/>
          <w:i/>
          <w:iCs/>
          <w:color w:val="000000" w:themeColor="text1"/>
        </w:rPr>
        <w:t>‘Hazardous to wildlife.’</w:t>
      </w:r>
      <w:r w:rsidRPr="00E86647">
        <w:rPr>
          <w:color w:val="000000" w:themeColor="text1"/>
        </w:rPr>
        <w:t xml:space="preserve"> is required as part of the instructions for use for all anticoagulant rodenticide chemical products.</w:t>
      </w:r>
      <w:bookmarkEnd w:id="165"/>
    </w:p>
    <w:p w14:paraId="300E4CD3" w14:textId="77777777" w:rsidR="008E67EA" w:rsidRPr="00887F07" w:rsidRDefault="008E67EA">
      <w:pPr>
        <w:pStyle w:val="NumberLevel1"/>
        <w:numPr>
          <w:ilvl w:val="0"/>
          <w:numId w:val="17"/>
        </w:numPr>
        <w:tabs>
          <w:tab w:val="clear" w:pos="709"/>
          <w:tab w:val="num" w:pos="2553"/>
        </w:tabs>
        <w:rPr>
          <w:b/>
          <w:bCs/>
          <w:i/>
          <w:iCs/>
          <w:color w:val="000000" w:themeColor="text1"/>
        </w:rPr>
      </w:pPr>
      <w:bookmarkStart w:id="166" w:name="_Ref207139478"/>
      <w:r w:rsidRPr="00887F07">
        <w:rPr>
          <w:color w:val="000000" w:themeColor="text1"/>
        </w:rPr>
        <w:lastRenderedPageBreak/>
        <w:t xml:space="preserve">In relation to instructions for use on the </w:t>
      </w:r>
      <w:r>
        <w:rPr>
          <w:color w:val="000000" w:themeColor="text1"/>
        </w:rPr>
        <w:t>acceptable locations to place a</w:t>
      </w:r>
      <w:r w:rsidRPr="00887F07">
        <w:rPr>
          <w:color w:val="000000" w:themeColor="text1"/>
        </w:rPr>
        <w:t>nticoagulant rodenticide</w:t>
      </w:r>
      <w:r>
        <w:rPr>
          <w:color w:val="000000" w:themeColor="text1"/>
        </w:rPr>
        <w:t xml:space="preserve"> chemical</w:t>
      </w:r>
      <w:r w:rsidRPr="00887F07">
        <w:rPr>
          <w:color w:val="000000" w:themeColor="text1"/>
        </w:rPr>
        <w:t xml:space="preserve"> </w:t>
      </w:r>
      <w:r>
        <w:rPr>
          <w:color w:val="000000" w:themeColor="text1"/>
        </w:rPr>
        <w:t>products</w:t>
      </w:r>
      <w:r w:rsidRPr="00887F07">
        <w:rPr>
          <w:color w:val="000000" w:themeColor="text1"/>
        </w:rPr>
        <w:t xml:space="preserve">, based on </w:t>
      </w:r>
      <w:r w:rsidRPr="00E23899">
        <w:rPr>
          <w:color w:val="000000" w:themeColor="text1"/>
        </w:rPr>
        <w:t>my review and consideration of</w:t>
      </w:r>
      <w:r w:rsidRPr="00887F07">
        <w:rPr>
          <w:color w:val="000000" w:themeColor="text1"/>
        </w:rPr>
        <w:t xml:space="preserve"> </w:t>
      </w:r>
      <w:r>
        <w:rPr>
          <w:color w:val="000000" w:themeColor="text1"/>
        </w:rPr>
        <w:t xml:space="preserve">the risk assessments summarised in sections </w:t>
      </w:r>
      <w:r w:rsidRPr="006B5FF8">
        <w:rPr>
          <w:i/>
          <w:iCs/>
          <w:color w:val="000000" w:themeColor="text1"/>
        </w:rPr>
        <w:t>‘3.3.2 Risks to terrestrial vertebrates’</w:t>
      </w:r>
      <w:r>
        <w:rPr>
          <w:color w:val="000000" w:themeColor="text1"/>
        </w:rPr>
        <w:t xml:space="preserve">, </w:t>
      </w:r>
      <w:r w:rsidRPr="006B5FF8">
        <w:rPr>
          <w:i/>
          <w:iCs/>
        </w:rPr>
        <w:t>‘3.4.</w:t>
      </w:r>
      <w:r>
        <w:rPr>
          <w:i/>
          <w:iCs/>
        </w:rPr>
        <w:t>1 Products and uses not supported'</w:t>
      </w:r>
      <w:r>
        <w:rPr>
          <w:color w:val="000000" w:themeColor="text1"/>
        </w:rPr>
        <w:t xml:space="preserve"> and</w:t>
      </w:r>
      <w:r>
        <w:t xml:space="preserve"> </w:t>
      </w:r>
      <w:r w:rsidRPr="006B5FF8">
        <w:rPr>
          <w:i/>
          <w:iCs/>
        </w:rPr>
        <w:t xml:space="preserve">‘3.4.2 </w:t>
      </w:r>
      <w:r w:rsidRPr="006B5FF8">
        <w:rPr>
          <w:i/>
          <w:iCs/>
          <w:color w:val="000000" w:themeColor="text1"/>
        </w:rPr>
        <w:t>Supported products and uses’</w:t>
      </w:r>
      <w:r w:rsidRPr="00E86647">
        <w:rPr>
          <w:color w:val="000000" w:themeColor="text1"/>
        </w:rPr>
        <w:t xml:space="preserve"> </w:t>
      </w:r>
      <w:r w:rsidRPr="00887F07">
        <w:rPr>
          <w:color w:val="000000" w:themeColor="text1"/>
        </w:rPr>
        <w:t xml:space="preserve">of the </w:t>
      </w:r>
      <w:r w:rsidRPr="00887F07">
        <w:rPr>
          <w:i/>
          <w:iCs/>
          <w:color w:val="000000" w:themeColor="text1"/>
        </w:rPr>
        <w:t>Anticoagulant Rodenticides Review Technical Report:</w:t>
      </w:r>
      <w:bookmarkEnd w:id="166"/>
    </w:p>
    <w:p w14:paraId="2FA60F19" w14:textId="4B6A569A" w:rsidR="008E67EA" w:rsidRPr="00E23899" w:rsidRDefault="008E67EA">
      <w:pPr>
        <w:pStyle w:val="NumberLevel2"/>
        <w:numPr>
          <w:ilvl w:val="1"/>
          <w:numId w:val="17"/>
        </w:numPr>
        <w:ind w:left="1134"/>
        <w:rPr>
          <w:b/>
          <w:bCs/>
          <w:i/>
          <w:iCs/>
          <w:color w:val="000000" w:themeColor="text1"/>
        </w:rPr>
      </w:pPr>
      <w:bookmarkStart w:id="167" w:name="_Ref213518642"/>
      <w:r w:rsidRPr="00E23899">
        <w:rPr>
          <w:color w:val="000000" w:themeColor="text1"/>
        </w:rPr>
        <w:t xml:space="preserve">I note it is widely accepted that the use of anticoagulant rodenticide chemical products poses a low risk to the environment when placed indoors, which is supported by residues monitoring data from studies involving indoor application of anticoagulant baits. Further, given the natural behaviour </w:t>
      </w:r>
      <w:r>
        <w:rPr>
          <w:color w:val="000000" w:themeColor="text1"/>
        </w:rPr>
        <w:t>of</w:t>
      </w:r>
      <w:r w:rsidRPr="00E23899">
        <w:rPr>
          <w:color w:val="000000" w:themeColor="text1"/>
        </w:rPr>
        <w:t xml:space="preserve"> house mice</w:t>
      </w:r>
      <w:r>
        <w:rPr>
          <w:color w:val="000000" w:themeColor="text1"/>
        </w:rPr>
        <w:t xml:space="preserve"> </w:t>
      </w:r>
      <w:r>
        <w:t>(being closely associated with humans)</w:t>
      </w:r>
      <w:r w:rsidRPr="00E23899">
        <w:rPr>
          <w:color w:val="000000" w:themeColor="text1"/>
        </w:rPr>
        <w:t xml:space="preserve">, I note that restricting the placement of baits to indoor use only is a feasible risk mitigation measure to reduce the primary poisoning risks for non-target wildlife. As such, for all chemical products listed in Attachment A of this notice that are approved for control </w:t>
      </w:r>
      <w:r w:rsidRPr="00B00983">
        <w:rPr>
          <w:color w:val="000000" w:themeColor="text1"/>
        </w:rPr>
        <w:t xml:space="preserve">of mice (all products excluding 89206), I consider that the following restraint </w:t>
      </w:r>
      <w:r w:rsidRPr="00B00983">
        <w:rPr>
          <w:b/>
          <w:bCs/>
          <w:i/>
          <w:iCs/>
          <w:color w:val="000000" w:themeColor="text1"/>
        </w:rPr>
        <w:t xml:space="preserve">‘DO NOT place bait stations outdoors around buildings for control of mice.’ </w:t>
      </w:r>
      <w:r w:rsidRPr="00B00983">
        <w:rPr>
          <w:color w:val="000000" w:themeColor="text1"/>
        </w:rPr>
        <w:t>is required to be added to the instructions for use, and that all instructions related</w:t>
      </w:r>
      <w:r w:rsidRPr="00E23899">
        <w:rPr>
          <w:color w:val="000000" w:themeColor="text1"/>
        </w:rPr>
        <w:t xml:space="preserve"> to the control of mice in outdoor situations should be removed from the instructions for use.</w:t>
      </w:r>
      <w:bookmarkEnd w:id="167"/>
    </w:p>
    <w:p w14:paraId="109E00C3" w14:textId="49894064" w:rsidR="008E67EA" w:rsidRPr="00753804" w:rsidRDefault="008E67EA">
      <w:pPr>
        <w:pStyle w:val="NumberLevel2"/>
        <w:numPr>
          <w:ilvl w:val="1"/>
          <w:numId w:val="17"/>
        </w:numPr>
        <w:ind w:left="1134"/>
        <w:rPr>
          <w:b/>
          <w:bCs/>
          <w:i/>
          <w:iCs/>
          <w:color w:val="000000" w:themeColor="text1"/>
        </w:rPr>
      </w:pPr>
      <w:bookmarkStart w:id="168" w:name="_Ref213518627"/>
      <w:r w:rsidRPr="00E23899">
        <w:rPr>
          <w:color w:val="000000" w:themeColor="text1"/>
        </w:rPr>
        <w:t>Similarly, I note the environmental recommendation that for chemical products approved for use around buildings, all outdoor bait stations for the control of rats must be placed within 2 meters of buildings. Given the</w:t>
      </w:r>
      <w:r>
        <w:rPr>
          <w:color w:val="000000" w:themeColor="text1"/>
        </w:rPr>
        <w:t xml:space="preserve"> intent of this recommendation,</w:t>
      </w:r>
      <w:r w:rsidRPr="00361607">
        <w:rPr>
          <w:color w:val="000000" w:themeColor="text1"/>
        </w:rPr>
        <w:t xml:space="preserve"> </w:t>
      </w:r>
      <w:r>
        <w:rPr>
          <w:color w:val="000000" w:themeColor="text1"/>
        </w:rPr>
        <w:t xml:space="preserve">for all </w:t>
      </w:r>
      <w:r w:rsidRPr="00753804">
        <w:rPr>
          <w:color w:val="000000" w:themeColor="text1"/>
        </w:rPr>
        <w:t>chemical products listed in Attachment A of this notice</w:t>
      </w:r>
      <w:r>
        <w:rPr>
          <w:color w:val="000000" w:themeColor="text1"/>
        </w:rPr>
        <w:t xml:space="preserve"> that are approved </w:t>
      </w:r>
      <w:r w:rsidRPr="00B00983">
        <w:rPr>
          <w:color w:val="000000" w:themeColor="text1"/>
        </w:rPr>
        <w:t xml:space="preserve">for control of rats, except those coumatetralyl chemical products approved for use in agricultural crops (52098, 82217), I consider that the restraint </w:t>
      </w:r>
      <w:r w:rsidRPr="00B00983">
        <w:rPr>
          <w:b/>
          <w:bCs/>
          <w:i/>
          <w:iCs/>
          <w:color w:val="000000" w:themeColor="text1"/>
        </w:rPr>
        <w:t xml:space="preserve">‘DO NOT place bait stations more than 2 meters from buildings.’ </w:t>
      </w:r>
      <w:r w:rsidRPr="00B00983">
        <w:rPr>
          <w:color w:val="000000" w:themeColor="text1"/>
        </w:rPr>
        <w:t>is required</w:t>
      </w:r>
      <w:r w:rsidRPr="00753804">
        <w:rPr>
          <w:color w:val="000000" w:themeColor="text1"/>
        </w:rPr>
        <w:t xml:space="preserve"> </w:t>
      </w:r>
      <w:r>
        <w:rPr>
          <w:color w:val="000000" w:themeColor="text1"/>
        </w:rPr>
        <w:t>to be added to the instructions for use, and that all instructions that indicate bait may be placed at a further distance from buildings should be removed from the instructions for use.</w:t>
      </w:r>
      <w:bookmarkEnd w:id="168"/>
    </w:p>
    <w:p w14:paraId="188FE1AE" w14:textId="77777777" w:rsidR="008E67EA" w:rsidRPr="00D035F8" w:rsidRDefault="008E67EA">
      <w:pPr>
        <w:pStyle w:val="NumberLevel2"/>
        <w:numPr>
          <w:ilvl w:val="1"/>
          <w:numId w:val="17"/>
        </w:numPr>
        <w:ind w:left="1134"/>
      </w:pPr>
      <w:bookmarkStart w:id="169" w:name="_Ref213518607"/>
      <w:r w:rsidRPr="00E23899">
        <w:t xml:space="preserve">I consider that the primary </w:t>
      </w:r>
      <w:r w:rsidRPr="00D035F8">
        <w:t xml:space="preserve">poisoning risks for non-target terrestrial vertebrates associated with application of anticoagulant rodenticide chemical products to burrows outdoors around buildings is unacceptable due to the probability of baits being spilled outside the burrow or ejected from burrows by rodents. I note that several flocoumafen chemical products contain instructions for use to direct people to place baits inside rodent burrows or rat holes around buildings (54191, 80663, 90839, 90840). Additionally, while other chemical products do not have explicit instructions for use on burrow baiting, there are currently no instructions that would prohibit use of certain burrow baiting techniques. As such, for chemical products listed in Attachment A of this notice that are approved for control of rats (all products listed in Attachment A excluding 54839, 62635, 67681, 69017, 69158, 81665, 82233, 82234, 89204, 91393, 91394, 94917), I consider that the restraint </w:t>
      </w:r>
      <w:r w:rsidRPr="00D035F8">
        <w:rPr>
          <w:b/>
          <w:bCs/>
          <w:i/>
          <w:iCs/>
        </w:rPr>
        <w:t xml:space="preserve">‘DO NOT apply this product directly into burrows.’ </w:t>
      </w:r>
      <w:r w:rsidRPr="00D035F8">
        <w:t>is required in to be added to the instructions for use, and that all instructions related to burrow baiting are to be removed from the instructions for use.</w:t>
      </w:r>
      <w:bookmarkEnd w:id="169"/>
    </w:p>
    <w:p w14:paraId="62D18376" w14:textId="31780C21" w:rsidR="008E67EA" w:rsidRPr="00E23899" w:rsidRDefault="008E67EA">
      <w:pPr>
        <w:pStyle w:val="NumberLevel1"/>
        <w:numPr>
          <w:ilvl w:val="0"/>
          <w:numId w:val="17"/>
        </w:numPr>
        <w:tabs>
          <w:tab w:val="clear" w:pos="709"/>
          <w:tab w:val="num" w:pos="2553"/>
        </w:tabs>
        <w:rPr>
          <w:b/>
          <w:bCs/>
          <w:i/>
          <w:iCs/>
          <w:color w:val="000000" w:themeColor="text1"/>
        </w:rPr>
      </w:pPr>
      <w:bookmarkStart w:id="170" w:name="_Ref207139474"/>
      <w:r w:rsidRPr="00E23899">
        <w:rPr>
          <w:color w:val="000000" w:themeColor="text1"/>
        </w:rPr>
        <w:t>In relation to the secondary poisoning risks associated with use of anticoagulant rodenticide chemical products in accordance with instructions and the disposal of carcases and uneaten bait, based on my review and consideration of</w:t>
      </w:r>
      <w:r w:rsidRPr="00AD1261">
        <w:rPr>
          <w:color w:val="000000" w:themeColor="text1"/>
        </w:rPr>
        <w:t xml:space="preserve"> the </w:t>
      </w:r>
      <w:r>
        <w:rPr>
          <w:color w:val="000000" w:themeColor="text1"/>
        </w:rPr>
        <w:t xml:space="preserve">risk assessments summarised in sections </w:t>
      </w:r>
      <w:r w:rsidRPr="006B5FF8">
        <w:rPr>
          <w:i/>
          <w:iCs/>
          <w:color w:val="000000" w:themeColor="text1"/>
        </w:rPr>
        <w:t>‘3.3.2 Risks to terrestrial vertebrates’</w:t>
      </w:r>
      <w:r>
        <w:rPr>
          <w:color w:val="000000" w:themeColor="text1"/>
        </w:rPr>
        <w:t xml:space="preserve"> and</w:t>
      </w:r>
      <w:r>
        <w:t xml:space="preserve"> </w:t>
      </w:r>
      <w:r w:rsidRPr="006B5FF8">
        <w:rPr>
          <w:i/>
          <w:iCs/>
        </w:rPr>
        <w:t xml:space="preserve">‘3.4.2 </w:t>
      </w:r>
      <w:r w:rsidRPr="006B5FF8">
        <w:rPr>
          <w:i/>
          <w:iCs/>
          <w:color w:val="000000" w:themeColor="text1"/>
        </w:rPr>
        <w:t>Supported products and uses’</w:t>
      </w:r>
      <w:r w:rsidRPr="00E86647">
        <w:rPr>
          <w:color w:val="000000" w:themeColor="text1"/>
        </w:rPr>
        <w:t xml:space="preserve"> </w:t>
      </w:r>
      <w:r w:rsidRPr="00AD1261">
        <w:rPr>
          <w:color w:val="000000" w:themeColor="text1"/>
        </w:rPr>
        <w:t xml:space="preserve">of the </w:t>
      </w:r>
      <w:r w:rsidRPr="00AD1261">
        <w:rPr>
          <w:i/>
          <w:iCs/>
          <w:color w:val="000000" w:themeColor="text1"/>
        </w:rPr>
        <w:t xml:space="preserve">Anticoagulant Rodenticides Review Technical </w:t>
      </w:r>
      <w:r w:rsidRPr="00E23899">
        <w:rPr>
          <w:i/>
          <w:iCs/>
          <w:color w:val="000000" w:themeColor="text1"/>
        </w:rPr>
        <w:t>Report:</w:t>
      </w:r>
      <w:bookmarkEnd w:id="170"/>
    </w:p>
    <w:p w14:paraId="1AAD2900" w14:textId="6576129F" w:rsidR="008E67EA" w:rsidRPr="00E23899" w:rsidRDefault="008E67EA">
      <w:pPr>
        <w:pStyle w:val="NumberLevel2"/>
        <w:numPr>
          <w:ilvl w:val="1"/>
          <w:numId w:val="17"/>
        </w:numPr>
        <w:ind w:left="1134"/>
        <w:rPr>
          <w:b/>
          <w:bCs/>
          <w:i/>
          <w:iCs/>
        </w:rPr>
      </w:pPr>
      <w:r w:rsidRPr="00E23899">
        <w:t>I note that a number of non-target terrestrial vertebrate species are known to feed on rodents including mammals (e.g.</w:t>
      </w:r>
      <w:r>
        <w:t>,</w:t>
      </w:r>
      <w:r w:rsidRPr="00E23899">
        <w:t xml:space="preserve"> quolls, pigs), predatory and scavenging bird species (e.g. raptors, barn owls, Australian kestrels, crows and ravens) and reptiles (e</w:t>
      </w:r>
      <w:r>
        <w:t>.</w:t>
      </w:r>
      <w:r w:rsidRPr="00E23899">
        <w:t>g.</w:t>
      </w:r>
      <w:r>
        <w:t>,</w:t>
      </w:r>
      <w:r w:rsidRPr="00E23899">
        <w:t xml:space="preserve"> snakes, lizards, bungarras). I also note that terrestrial invertebrates (e.g.</w:t>
      </w:r>
      <w:r>
        <w:t>,</w:t>
      </w:r>
      <w:r w:rsidRPr="00E23899">
        <w:t xml:space="preserve"> slugs, snails, millipedes, cockroaches, weta, ants) are known to feed on anticoagulant rodenticide products, meaning that secondary poisoning of non-target invertebrate-eating wildlife is possible. Furthermore, I note that animals exposed to anticoagulant rodenticide residues through secondary poisoning pathway may in turn also be fed on by other predatory and scavenging species, meaning anticoagulant rodenticide residues may move through multiple trophic layers.</w:t>
      </w:r>
    </w:p>
    <w:p w14:paraId="000AA465" w14:textId="7DB54649" w:rsidR="008E67EA" w:rsidRPr="00E23899" w:rsidRDefault="008E67EA">
      <w:pPr>
        <w:pStyle w:val="NumberLevel2"/>
        <w:numPr>
          <w:ilvl w:val="1"/>
          <w:numId w:val="17"/>
        </w:numPr>
        <w:ind w:left="1134"/>
        <w:rPr>
          <w:b/>
          <w:bCs/>
          <w:i/>
          <w:iCs/>
          <w:color w:val="000000" w:themeColor="text1"/>
        </w:rPr>
      </w:pPr>
      <w:bookmarkStart w:id="171" w:name="_Ref213184776"/>
      <w:r w:rsidRPr="00E23899">
        <w:rPr>
          <w:color w:val="000000" w:themeColor="text1"/>
        </w:rPr>
        <w:lastRenderedPageBreak/>
        <w:t xml:space="preserve">I therefore consider it critical that risk mitigation measures are utilised to reduce the likelihood of the secondary poisoning of non-target predatory and scavenging terrestrial vertebrate species and invertebrate-eating wildlife through the consumption of poisoned rodents or </w:t>
      </w:r>
      <w:r w:rsidRPr="00E23899">
        <w:t>terrestrial invertebrates such as slugs and snails</w:t>
      </w:r>
      <w:r w:rsidRPr="00E23899">
        <w:rPr>
          <w:color w:val="000000" w:themeColor="text1"/>
        </w:rPr>
        <w:t xml:space="preserve">. As such, for all chemical products listed in Attachment A of this notice, I consider that the instruction: </w:t>
      </w:r>
      <w:r w:rsidRPr="00E23899">
        <w:rPr>
          <w:b/>
          <w:bCs/>
          <w:i/>
          <w:iCs/>
          <w:color w:val="000000" w:themeColor="text1"/>
        </w:rPr>
        <w:t xml:space="preserve">‘Search for and dispose of dead rodents and slugs/snails in the infested area at each visit to prevent secondary poisoning. In case slugs/snails are present, move bait station to another location within the rodent infested site, away from slugs/snails.’ </w:t>
      </w:r>
      <w:r w:rsidRPr="00E23899">
        <w:rPr>
          <w:color w:val="000000" w:themeColor="text1"/>
        </w:rPr>
        <w:t>is required to be added to the instructions for use.</w:t>
      </w:r>
      <w:bookmarkEnd w:id="171"/>
    </w:p>
    <w:p w14:paraId="33515D6E" w14:textId="77777777" w:rsidR="008E67EA" w:rsidRPr="00E23899" w:rsidRDefault="008E67EA">
      <w:pPr>
        <w:pStyle w:val="NumberLevel1"/>
        <w:numPr>
          <w:ilvl w:val="0"/>
          <w:numId w:val="17"/>
        </w:numPr>
        <w:tabs>
          <w:tab w:val="clear" w:pos="709"/>
          <w:tab w:val="num" w:pos="2553"/>
        </w:tabs>
        <w:rPr>
          <w:color w:val="000000" w:themeColor="text1"/>
        </w:rPr>
      </w:pPr>
      <w:bookmarkStart w:id="172" w:name="_Ref213357407"/>
      <w:bookmarkStart w:id="173" w:name="_Ref206058558"/>
      <w:r w:rsidRPr="00E23899">
        <w:rPr>
          <w:color w:val="000000" w:themeColor="text1"/>
        </w:rPr>
        <w:t xml:space="preserve">Finally, </w:t>
      </w:r>
      <w:bookmarkStart w:id="174" w:name="_Hlk215483255"/>
      <w:r>
        <w:rPr>
          <w:color w:val="000000" w:themeColor="text1"/>
        </w:rPr>
        <w:t xml:space="preserve">in relation to how the products are formulated, </w:t>
      </w:r>
      <w:bookmarkEnd w:id="174"/>
      <w:r w:rsidRPr="00E23899">
        <w:rPr>
          <w:color w:val="000000" w:themeColor="text1"/>
        </w:rPr>
        <w:t>based on my review and consideration</w:t>
      </w:r>
      <w:r w:rsidRPr="00DC183F">
        <w:rPr>
          <w:color w:val="000000" w:themeColor="text1"/>
        </w:rPr>
        <w:t xml:space="preserve"> of the </w:t>
      </w:r>
      <w:r>
        <w:rPr>
          <w:color w:val="000000" w:themeColor="text1"/>
        </w:rPr>
        <w:t xml:space="preserve">risk assessments summarised in sections </w:t>
      </w:r>
      <w:r w:rsidRPr="006B5FF8">
        <w:rPr>
          <w:i/>
          <w:iCs/>
          <w:color w:val="000000" w:themeColor="text1"/>
        </w:rPr>
        <w:t>‘3.3.2 Risks to terrestrial vertebrates’</w:t>
      </w:r>
      <w:r>
        <w:rPr>
          <w:color w:val="000000" w:themeColor="text1"/>
        </w:rPr>
        <w:t xml:space="preserve"> and </w:t>
      </w:r>
      <w:r w:rsidRPr="006B5FF8">
        <w:rPr>
          <w:i/>
          <w:iCs/>
        </w:rPr>
        <w:t>‘3.4.</w:t>
      </w:r>
      <w:r>
        <w:rPr>
          <w:i/>
          <w:iCs/>
        </w:rPr>
        <w:t>1 Products and uses not supported'</w:t>
      </w:r>
      <w:r>
        <w:rPr>
          <w:color w:val="000000" w:themeColor="text1"/>
        </w:rPr>
        <w:t xml:space="preserve"> </w:t>
      </w:r>
      <w:r w:rsidRPr="00DC183F">
        <w:rPr>
          <w:color w:val="000000" w:themeColor="text1"/>
        </w:rPr>
        <w:t xml:space="preserve">of the </w:t>
      </w:r>
      <w:r w:rsidRPr="00DC183F">
        <w:rPr>
          <w:i/>
          <w:iCs/>
          <w:color w:val="000000" w:themeColor="text1"/>
        </w:rPr>
        <w:t xml:space="preserve">Anticoagulant Rodenticides </w:t>
      </w:r>
      <w:r w:rsidRPr="00E23899">
        <w:rPr>
          <w:i/>
          <w:iCs/>
          <w:color w:val="000000" w:themeColor="text1"/>
        </w:rPr>
        <w:t xml:space="preserve">Review Technical Report, </w:t>
      </w:r>
      <w:r w:rsidRPr="00E23899">
        <w:rPr>
          <w:color w:val="000000" w:themeColor="text1"/>
        </w:rPr>
        <w:t>I consider that a bittering agent and dye are critical formulation components to prevent unintended effects that are harmful to non-target terrestrial vertebrates.</w:t>
      </w:r>
      <w:bookmarkEnd w:id="172"/>
    </w:p>
    <w:p w14:paraId="537A1B47" w14:textId="77777777" w:rsidR="008E67EA" w:rsidRPr="00E23899" w:rsidRDefault="008E67EA">
      <w:pPr>
        <w:pStyle w:val="NumberLevel2"/>
        <w:numPr>
          <w:ilvl w:val="1"/>
          <w:numId w:val="17"/>
        </w:numPr>
        <w:ind w:left="1134"/>
      </w:pPr>
      <w:r w:rsidRPr="00E23899">
        <w:t xml:space="preserve">I note that bittering agents are well-known repellents to non-target terrestrial vertebrate species such as cats, dogs, horses and birds, but do not change the efficacy of baits against target rodent species. </w:t>
      </w:r>
    </w:p>
    <w:p w14:paraId="0E7563DD" w14:textId="2E564745" w:rsidR="008E67EA" w:rsidRDefault="008E67EA">
      <w:pPr>
        <w:pStyle w:val="NumberLevel2"/>
        <w:numPr>
          <w:ilvl w:val="1"/>
          <w:numId w:val="17"/>
        </w:numPr>
        <w:ind w:left="1134"/>
      </w:pPr>
      <w:r w:rsidRPr="00E23899">
        <w:t>Further, in relation to dyes, I note that the colouring of baits (in particular, yellow and green) has been shown to have a consumption deterrent effect for certain species of birds, which is important for outdoor baiting situations where small non-target species may be able to enter bait stations and/or bait may be spilled or expelled</w:t>
      </w:r>
      <w:r w:rsidRPr="00984513">
        <w:t xml:space="preserve"> from bait stations by </w:t>
      </w:r>
      <w:r>
        <w:t>the</w:t>
      </w:r>
      <w:r w:rsidRPr="00984513">
        <w:t xml:space="preserve"> target species.</w:t>
      </w:r>
    </w:p>
    <w:p w14:paraId="4884CC6F" w14:textId="6564982B" w:rsidR="008E67EA" w:rsidRPr="00152BD3" w:rsidRDefault="008E67EA">
      <w:pPr>
        <w:pStyle w:val="NumberLevel2"/>
        <w:numPr>
          <w:ilvl w:val="1"/>
          <w:numId w:val="17"/>
        </w:numPr>
        <w:ind w:left="1134"/>
      </w:pPr>
      <w:r w:rsidRPr="00152BD3">
        <w:t>My consideration on whether the formulations of the chemical products listed in Attachment A of this notice contain the requisite bittering agent and dye is discussed in the ‘‘</w:t>
      </w:r>
      <w:r w:rsidRPr="00152BD3">
        <w:rPr>
          <w:i/>
          <w:iCs/>
        </w:rPr>
        <w:t xml:space="preserve">How the product is formulated – constituents – bittering agent and </w:t>
      </w:r>
      <w:r w:rsidRPr="00A25188">
        <w:rPr>
          <w:i/>
          <w:iCs/>
        </w:rPr>
        <w:t xml:space="preserve">dye’ </w:t>
      </w:r>
      <w:r w:rsidRPr="00A25188">
        <w:t>(</w:t>
      </w:r>
      <w:r w:rsidRPr="00A25188">
        <w:rPr>
          <w:color w:val="000000" w:themeColor="text1"/>
        </w:rPr>
        <w:t xml:space="preserve">paragraphs </w:t>
      </w:r>
      <w:r w:rsidRPr="00A25188">
        <w:rPr>
          <w:color w:val="000000" w:themeColor="text1"/>
        </w:rPr>
        <w:fldChar w:fldCharType="begin"/>
      </w:r>
      <w:r w:rsidRPr="00A25188">
        <w:rPr>
          <w:color w:val="000000" w:themeColor="text1"/>
        </w:rPr>
        <w:instrText xml:space="preserve"> REF _Ref213358628 \r \h  \* MERGEFORMAT </w:instrText>
      </w:r>
      <w:r w:rsidRPr="00A25188">
        <w:rPr>
          <w:color w:val="000000" w:themeColor="text1"/>
        </w:rPr>
      </w:r>
      <w:r w:rsidRPr="00A25188">
        <w:rPr>
          <w:color w:val="000000" w:themeColor="text1"/>
        </w:rPr>
        <w:fldChar w:fldCharType="separate"/>
      </w:r>
      <w:r w:rsidR="002C0C2A">
        <w:rPr>
          <w:color w:val="000000" w:themeColor="text1"/>
        </w:rPr>
        <w:t>121</w:t>
      </w:r>
      <w:r w:rsidRPr="00A25188">
        <w:rPr>
          <w:color w:val="000000" w:themeColor="text1"/>
        </w:rPr>
        <w:fldChar w:fldCharType="end"/>
      </w:r>
      <w:r w:rsidRPr="00A25188">
        <w:rPr>
          <w:color w:val="000000" w:themeColor="text1"/>
        </w:rPr>
        <w:t xml:space="preserve"> – </w:t>
      </w:r>
      <w:r w:rsidRPr="00A25188">
        <w:rPr>
          <w:color w:val="000000" w:themeColor="text1"/>
        </w:rPr>
        <w:fldChar w:fldCharType="begin"/>
      </w:r>
      <w:r w:rsidRPr="00A25188">
        <w:rPr>
          <w:color w:val="000000" w:themeColor="text1"/>
        </w:rPr>
        <w:instrText xml:space="preserve"> REF _Ref213444454 \w \h  \* MERGEFORMAT </w:instrText>
      </w:r>
      <w:r w:rsidRPr="00A25188">
        <w:rPr>
          <w:color w:val="000000" w:themeColor="text1"/>
        </w:rPr>
      </w:r>
      <w:r w:rsidRPr="00A25188">
        <w:rPr>
          <w:color w:val="000000" w:themeColor="text1"/>
        </w:rPr>
        <w:fldChar w:fldCharType="separate"/>
      </w:r>
      <w:r w:rsidR="002C0C2A">
        <w:rPr>
          <w:color w:val="000000" w:themeColor="text1"/>
        </w:rPr>
        <w:t>123</w:t>
      </w:r>
      <w:r w:rsidRPr="00A25188">
        <w:rPr>
          <w:color w:val="000000" w:themeColor="text1"/>
        </w:rPr>
        <w:fldChar w:fldCharType="end"/>
      </w:r>
      <w:r w:rsidRPr="00A25188">
        <w:rPr>
          <w:color w:val="000000" w:themeColor="text1"/>
        </w:rPr>
        <w:t>) section of these reasons below.</w:t>
      </w:r>
      <w:bookmarkEnd w:id="173"/>
    </w:p>
    <w:p w14:paraId="29A38C2D" w14:textId="77777777" w:rsidR="008E67EA" w:rsidRPr="00BD4E84" w:rsidRDefault="008E67EA" w:rsidP="008E67EA">
      <w:pPr>
        <w:pStyle w:val="StatementofReasonsHeading5"/>
      </w:pPr>
      <w:r>
        <w:t xml:space="preserve">Risk mitigation measures for commercial products – </w:t>
      </w:r>
      <w:r w:rsidRPr="00C13C12">
        <w:t>terrestrial vertebrates</w:t>
      </w:r>
    </w:p>
    <w:p w14:paraId="024569A0" w14:textId="4CA83079" w:rsidR="008E67EA" w:rsidRDefault="008E67EA">
      <w:pPr>
        <w:pStyle w:val="NumberLevel1"/>
        <w:numPr>
          <w:ilvl w:val="0"/>
          <w:numId w:val="17"/>
        </w:numPr>
        <w:tabs>
          <w:tab w:val="clear" w:pos="709"/>
          <w:tab w:val="num" w:pos="2553"/>
        </w:tabs>
        <w:rPr>
          <w:color w:val="000000" w:themeColor="text1"/>
        </w:rPr>
      </w:pPr>
      <w:bookmarkStart w:id="175" w:name="_Ref207047643"/>
      <w:r>
        <w:rPr>
          <w:color w:val="000000" w:themeColor="text1"/>
        </w:rPr>
        <w:t>I</w:t>
      </w:r>
      <w:r w:rsidRPr="00706827">
        <w:rPr>
          <w:color w:val="000000" w:themeColor="text1"/>
        </w:rPr>
        <w:t xml:space="preserve">n general, </w:t>
      </w:r>
      <w:r>
        <w:rPr>
          <w:color w:val="000000" w:themeColor="text1"/>
        </w:rPr>
        <w:t xml:space="preserve">commercial </w:t>
      </w:r>
      <w:r w:rsidRPr="00706827">
        <w:rPr>
          <w:color w:val="000000" w:themeColor="text1"/>
        </w:rPr>
        <w:t>pest-control products</w:t>
      </w:r>
      <w:r>
        <w:rPr>
          <w:color w:val="000000" w:themeColor="text1"/>
        </w:rPr>
        <w:t xml:space="preserve"> </w:t>
      </w:r>
      <w:r w:rsidRPr="00706827">
        <w:rPr>
          <w:color w:val="000000" w:themeColor="text1"/>
        </w:rPr>
        <w:t xml:space="preserve">are agricultural chemical products that are designed to be </w:t>
      </w:r>
      <w:r>
        <w:rPr>
          <w:color w:val="000000" w:themeColor="text1"/>
        </w:rPr>
        <w:t>used in a commercial enterprise</w:t>
      </w:r>
      <w:r w:rsidRPr="00E23899">
        <w:rPr>
          <w:color w:val="000000" w:themeColor="text1"/>
        </w:rPr>
        <w:t>. I note that</w:t>
      </w:r>
      <w:r>
        <w:rPr>
          <w:color w:val="000000" w:themeColor="text1"/>
        </w:rPr>
        <w:t xml:space="preserve"> the chemical products subject to this notice that I consider to be </w:t>
      </w:r>
      <w:r w:rsidRPr="00394E02">
        <w:rPr>
          <w:color w:val="000000" w:themeColor="text1"/>
        </w:rPr>
        <w:t>commercial anticoagulant rodenticide chemical products</w:t>
      </w:r>
      <w:r>
        <w:rPr>
          <w:color w:val="000000" w:themeColor="text1"/>
        </w:rPr>
        <w:t xml:space="preserve"> have been classified as such in </w:t>
      </w:r>
      <w:r>
        <w:rPr>
          <w:color w:val="000000" w:themeColor="text1"/>
        </w:rPr>
        <w:fldChar w:fldCharType="begin"/>
      </w:r>
      <w:r>
        <w:rPr>
          <w:color w:val="000000" w:themeColor="text1"/>
        </w:rPr>
        <w:instrText xml:space="preserve"> REF _Ref213257833 \h </w:instrText>
      </w:r>
      <w:r>
        <w:rPr>
          <w:color w:val="000000" w:themeColor="text1"/>
        </w:rPr>
      </w:r>
      <w:r>
        <w:rPr>
          <w:color w:val="000000" w:themeColor="text1"/>
        </w:rPr>
        <w:fldChar w:fldCharType="separate"/>
      </w:r>
      <w:r w:rsidR="002C0C2A">
        <w:t xml:space="preserve">Table </w:t>
      </w:r>
      <w:r w:rsidR="002C0C2A">
        <w:rPr>
          <w:noProof/>
        </w:rPr>
        <w:t>17</w:t>
      </w:r>
      <w:r>
        <w:rPr>
          <w:color w:val="000000" w:themeColor="text1"/>
        </w:rPr>
        <w:fldChar w:fldCharType="end"/>
      </w:r>
      <w:r>
        <w:rPr>
          <w:color w:val="000000" w:themeColor="text1"/>
        </w:rPr>
        <w:t xml:space="preserve"> in Attachment D in this notice.</w:t>
      </w:r>
    </w:p>
    <w:p w14:paraId="3BF1D958" w14:textId="7088C917" w:rsidR="008E67EA" w:rsidRPr="00FE2603" w:rsidRDefault="008E67EA">
      <w:pPr>
        <w:pStyle w:val="NumberLevel1"/>
        <w:numPr>
          <w:ilvl w:val="0"/>
          <w:numId w:val="17"/>
        </w:numPr>
        <w:tabs>
          <w:tab w:val="clear" w:pos="709"/>
          <w:tab w:val="num" w:pos="2553"/>
        </w:tabs>
        <w:rPr>
          <w:color w:val="000000" w:themeColor="text1"/>
        </w:rPr>
      </w:pPr>
      <w:bookmarkStart w:id="176" w:name="_Ref213444912"/>
      <w:r w:rsidRPr="00C8367D">
        <w:rPr>
          <w:color w:val="000000" w:themeColor="text1"/>
        </w:rPr>
        <w:t>In relation to the recommendation</w:t>
      </w:r>
      <w:r>
        <w:rPr>
          <w:color w:val="000000" w:themeColor="text1"/>
        </w:rPr>
        <w:t xml:space="preserve"> in section </w:t>
      </w:r>
      <w:r w:rsidRPr="006B5FF8">
        <w:rPr>
          <w:i/>
          <w:iCs/>
        </w:rPr>
        <w:t xml:space="preserve">‘3.4.2 </w:t>
      </w:r>
      <w:r w:rsidRPr="006B5FF8">
        <w:rPr>
          <w:i/>
          <w:iCs/>
          <w:color w:val="000000" w:themeColor="text1"/>
        </w:rPr>
        <w:t>Supported products and uses’</w:t>
      </w:r>
      <w:r w:rsidRPr="00E86647">
        <w:rPr>
          <w:color w:val="000000" w:themeColor="text1"/>
        </w:rPr>
        <w:t xml:space="preserve"> </w:t>
      </w:r>
      <w:r w:rsidRPr="00934CC2">
        <w:rPr>
          <w:color w:val="000000" w:themeColor="text1"/>
        </w:rPr>
        <w:t xml:space="preserve">of the </w:t>
      </w:r>
      <w:r w:rsidRPr="00934CC2">
        <w:rPr>
          <w:i/>
          <w:iCs/>
          <w:color w:val="000000" w:themeColor="text1"/>
        </w:rPr>
        <w:t>Anticoagulant Rodenticides Review Technical Report</w:t>
      </w:r>
      <w:r>
        <w:rPr>
          <w:color w:val="000000" w:themeColor="text1"/>
        </w:rPr>
        <w:t xml:space="preserve"> that all </w:t>
      </w:r>
      <w:r w:rsidRPr="00394E02">
        <w:rPr>
          <w:color w:val="000000" w:themeColor="text1"/>
        </w:rPr>
        <w:t>commercial anticoagulant rodenticide chemical products</w:t>
      </w:r>
      <w:r>
        <w:rPr>
          <w:color w:val="000000" w:themeColor="text1"/>
        </w:rPr>
        <w:t xml:space="preserve"> be declared as restricted chemical products, in order to restrict supply and use of these chemical products to trained professionals that</w:t>
      </w:r>
      <w:r w:rsidRPr="00A40CD9">
        <w:t xml:space="preserve"> are expected to have advanced knowledge in rodent behaviour and risks to local non-target species.</w:t>
      </w:r>
      <w:bookmarkEnd w:id="175"/>
      <w:bookmarkEnd w:id="176"/>
    </w:p>
    <w:p w14:paraId="482BE3FB" w14:textId="2C8560B8" w:rsidR="008E67EA" w:rsidRPr="00E23899" w:rsidRDefault="008E67EA">
      <w:pPr>
        <w:pStyle w:val="NumberLevel2"/>
        <w:numPr>
          <w:ilvl w:val="1"/>
          <w:numId w:val="17"/>
        </w:numPr>
        <w:ind w:left="1134"/>
        <w:rPr>
          <w:color w:val="000000" w:themeColor="text1"/>
        </w:rPr>
      </w:pPr>
      <w:r>
        <w:t xml:space="preserve">A </w:t>
      </w:r>
      <w:r w:rsidRPr="0086796E">
        <w:rPr>
          <w:b/>
          <w:bCs/>
          <w:i/>
          <w:iCs/>
        </w:rPr>
        <w:t>restricted chemical product</w:t>
      </w:r>
      <w:r>
        <w:t xml:space="preserve"> is defined by section 3 of the Agvet Code as </w:t>
      </w:r>
      <w:r w:rsidRPr="00FE2603">
        <w:t>a chemical product declared by regulations made for the purposes of section 93 to be a restricted chemical product.</w:t>
      </w:r>
      <w:r>
        <w:t xml:space="preserve"> Under section 94 of the Agvet Code, a restricted chemical product can only be supplied to a </w:t>
      </w:r>
      <w:r w:rsidRPr="00E23899">
        <w:t>person who is authorised to use the product under another law of this jurisdiction. This authorisation typically is from the laws of a state and territory and is limited to people with specific training or qualifications in the safe use of these restricted chemical products.</w:t>
      </w:r>
    </w:p>
    <w:p w14:paraId="56D5EAF3" w14:textId="77777777" w:rsidR="008E67EA" w:rsidRPr="00E23899" w:rsidRDefault="008E67EA">
      <w:pPr>
        <w:pStyle w:val="NumberLevel2"/>
        <w:numPr>
          <w:ilvl w:val="1"/>
          <w:numId w:val="17"/>
        </w:numPr>
        <w:ind w:left="1134"/>
      </w:pPr>
      <w:r w:rsidRPr="00E23899">
        <w:t>I note that no anticoagulant rodenticide chemical products have been declared by the Agvet Regulations as restricted chemical products, given that they are not specified in Column 2 of Schedule 4 in accordance with regulation 45 of the Agvet Regulations. I also note that c</w:t>
      </w:r>
      <w:r w:rsidRPr="00E23899">
        <w:rPr>
          <w:color w:val="000000" w:themeColor="text1"/>
        </w:rPr>
        <w:t xml:space="preserve">ommercial pest-control products containing </w:t>
      </w:r>
      <w:r w:rsidRPr="00E23899">
        <w:rPr>
          <w:color w:val="000000" w:themeColor="text1"/>
        </w:rPr>
        <w:lastRenderedPageBreak/>
        <w:t xml:space="preserve">anticoagulant rodenticides cannot be restricted chemical products without being so declared by the </w:t>
      </w:r>
      <w:r w:rsidRPr="00E23899">
        <w:t>Agvet Regulations.</w:t>
      </w:r>
    </w:p>
    <w:p w14:paraId="67A35327" w14:textId="77777777" w:rsidR="008E67EA" w:rsidRPr="00E23899" w:rsidRDefault="008E67EA">
      <w:pPr>
        <w:pStyle w:val="NumberLevel2"/>
        <w:numPr>
          <w:ilvl w:val="1"/>
          <w:numId w:val="17"/>
        </w:numPr>
        <w:ind w:left="1134"/>
        <w:rPr>
          <w:color w:val="000000" w:themeColor="text1"/>
        </w:rPr>
      </w:pPr>
      <w:bookmarkStart w:id="177" w:name="_Ref207139504"/>
      <w:r w:rsidRPr="00E23899">
        <w:t>I have considered and agree with</w:t>
      </w:r>
      <w:r w:rsidRPr="00855EC1">
        <w:t xml:space="preserve"> the risk assessment conclusion</w:t>
      </w:r>
      <w:r>
        <w:t xml:space="preserve">s </w:t>
      </w:r>
      <w:r w:rsidRPr="00855EC1">
        <w:t xml:space="preserve">that the supply and use of </w:t>
      </w:r>
      <w:r w:rsidRPr="00394E02">
        <w:rPr>
          <w:color w:val="000000" w:themeColor="text1"/>
        </w:rPr>
        <w:t>commercial anticoagulant rodenticide chemical products</w:t>
      </w:r>
      <w:r>
        <w:rPr>
          <w:color w:val="000000" w:themeColor="text1"/>
        </w:rPr>
        <w:t xml:space="preserve"> </w:t>
      </w:r>
      <w:r w:rsidRPr="00855EC1">
        <w:t>should be restricted to trained professionals</w:t>
      </w:r>
      <w:r>
        <w:t xml:space="preserve"> in order to reduce the risks to non-target terrestrial vertebrates associated with the use of the inherently hazardous vertebrate poisons, as summarised in section </w:t>
      </w:r>
      <w:r w:rsidRPr="006B5FF8">
        <w:rPr>
          <w:i/>
          <w:iCs/>
        </w:rPr>
        <w:t xml:space="preserve">‘3.4.2 </w:t>
      </w:r>
      <w:r w:rsidRPr="006B5FF8">
        <w:rPr>
          <w:i/>
          <w:iCs/>
          <w:color w:val="000000" w:themeColor="text1"/>
        </w:rPr>
        <w:t>Supported products and uses’</w:t>
      </w:r>
      <w:r>
        <w:rPr>
          <w:i/>
          <w:iCs/>
          <w:color w:val="000000" w:themeColor="text1"/>
        </w:rPr>
        <w:t xml:space="preserve"> </w:t>
      </w:r>
      <w:r w:rsidRPr="00B00983">
        <w:rPr>
          <w:color w:val="000000" w:themeColor="text1"/>
        </w:rPr>
        <w:t>of the</w:t>
      </w:r>
      <w:r>
        <w:rPr>
          <w:i/>
          <w:iCs/>
          <w:color w:val="000000" w:themeColor="text1"/>
        </w:rPr>
        <w:t xml:space="preserve"> </w:t>
      </w:r>
      <w:r w:rsidRPr="00934CC2">
        <w:rPr>
          <w:i/>
          <w:iCs/>
          <w:color w:val="000000" w:themeColor="text1"/>
        </w:rPr>
        <w:t>Anticoagulant Rodenticides Review Technical Report</w:t>
      </w:r>
      <w:r>
        <w:t xml:space="preserve">. In the absence of the legislative authority to register these chemical </w:t>
      </w:r>
      <w:r w:rsidRPr="00394E02">
        <w:rPr>
          <w:color w:val="000000" w:themeColor="text1"/>
        </w:rPr>
        <w:t xml:space="preserve">products as restricted chemical </w:t>
      </w:r>
      <w:r w:rsidRPr="00E23899">
        <w:rPr>
          <w:color w:val="000000" w:themeColor="text1"/>
        </w:rPr>
        <w:t>products, I make the following findings with respect to all commercial anticoagulant rodenticide chemical products listed in Attachment A of this notice:</w:t>
      </w:r>
      <w:bookmarkEnd w:id="177"/>
    </w:p>
    <w:p w14:paraId="7FB9E810" w14:textId="77777777" w:rsidR="008E67EA" w:rsidRPr="00E23899" w:rsidRDefault="008E67EA">
      <w:pPr>
        <w:pStyle w:val="NumberLevel3"/>
        <w:numPr>
          <w:ilvl w:val="2"/>
          <w:numId w:val="17"/>
        </w:numPr>
        <w:rPr>
          <w:color w:val="000000" w:themeColor="text1"/>
        </w:rPr>
      </w:pPr>
      <w:r w:rsidRPr="00E23899">
        <w:rPr>
          <w:color w:val="000000" w:themeColor="text1"/>
        </w:rPr>
        <w:t xml:space="preserve">I find that the following condition of registration is required to restrict permissible supply of the chemical product to trained professionals: </w:t>
      </w:r>
      <w:r w:rsidRPr="00E23899">
        <w:rPr>
          <w:b/>
          <w:bCs/>
          <w:i/>
          <w:iCs/>
          <w:color w:val="000000" w:themeColor="text1"/>
        </w:rPr>
        <w:t>‘DO NOT supply this product to any person unless the person has a current statement of attainment from a registered training organisation stating the person ha</w:t>
      </w:r>
      <w:r>
        <w:rPr>
          <w:b/>
          <w:bCs/>
          <w:i/>
          <w:iCs/>
          <w:color w:val="000000" w:themeColor="text1"/>
        </w:rPr>
        <w:t>s</w:t>
      </w:r>
      <w:r w:rsidRPr="00E23899">
        <w:rPr>
          <w:b/>
          <w:bCs/>
          <w:i/>
          <w:iCs/>
          <w:color w:val="000000" w:themeColor="text1"/>
        </w:rPr>
        <w:t xml:space="preserve"> completed the training course CPPUPM3006 - Manage pests by applying pesticides, or an equivalent unit of competency.’</w:t>
      </w:r>
    </w:p>
    <w:p w14:paraId="1A08B968" w14:textId="77777777" w:rsidR="008E67EA" w:rsidRPr="00E23899" w:rsidRDefault="008E67EA">
      <w:pPr>
        <w:pStyle w:val="NumberLevel3"/>
        <w:numPr>
          <w:ilvl w:val="2"/>
          <w:numId w:val="17"/>
        </w:numPr>
        <w:rPr>
          <w:color w:val="000000" w:themeColor="text1"/>
        </w:rPr>
      </w:pPr>
      <w:bookmarkStart w:id="178" w:name="_Ref213518757"/>
      <w:r w:rsidRPr="00E23899">
        <w:rPr>
          <w:color w:val="000000" w:themeColor="text1"/>
        </w:rPr>
        <w:t xml:space="preserve">I find that the following instructions for use are required to restrict permissible use of the chemical product to trained professionals: </w:t>
      </w:r>
      <w:r w:rsidRPr="00E23899">
        <w:rPr>
          <w:b/>
          <w:bCs/>
          <w:i/>
          <w:iCs/>
          <w:color w:val="000000" w:themeColor="text1"/>
        </w:rPr>
        <w:t>‘DO NOT use this product unless you have a current qualification in the nationally recognised training course for rodent pest management CPPUPM3006 - Manage pests by applying pesticides, or an equivalent unit of competency.’</w:t>
      </w:r>
      <w:bookmarkEnd w:id="178"/>
    </w:p>
    <w:p w14:paraId="5BBD8D8A" w14:textId="77777777" w:rsidR="008E67EA" w:rsidRPr="00934CC2" w:rsidRDefault="008E67EA">
      <w:pPr>
        <w:pStyle w:val="NumberLevel1"/>
        <w:numPr>
          <w:ilvl w:val="0"/>
          <w:numId w:val="17"/>
        </w:numPr>
        <w:tabs>
          <w:tab w:val="clear" w:pos="709"/>
          <w:tab w:val="num" w:pos="2553"/>
        </w:tabs>
        <w:rPr>
          <w:color w:val="000000" w:themeColor="text1"/>
        </w:rPr>
      </w:pPr>
      <w:bookmarkStart w:id="179" w:name="_Ref207139532"/>
      <w:bookmarkStart w:id="180" w:name="_Hlk216089106"/>
      <w:r w:rsidRPr="00E23899">
        <w:rPr>
          <w:color w:val="000000" w:themeColor="text1"/>
        </w:rPr>
        <w:t xml:space="preserve">Further, in relation to instructions for use for commercial anticoagulant rodenticide chemical products, based on my review and consideration of the </w:t>
      </w:r>
      <w:r>
        <w:rPr>
          <w:color w:val="000000" w:themeColor="text1"/>
        </w:rPr>
        <w:t xml:space="preserve">risk assessments and </w:t>
      </w:r>
      <w:r w:rsidRPr="00E23899">
        <w:rPr>
          <w:color w:val="000000" w:themeColor="text1"/>
        </w:rPr>
        <w:t>recomme</w:t>
      </w:r>
      <w:r w:rsidRPr="00934CC2">
        <w:rPr>
          <w:color w:val="000000" w:themeColor="text1"/>
        </w:rPr>
        <w:t xml:space="preserve">ndations </w:t>
      </w:r>
      <w:r>
        <w:rPr>
          <w:color w:val="000000" w:themeColor="text1"/>
        </w:rPr>
        <w:t xml:space="preserve">summarised in sections </w:t>
      </w:r>
      <w:r w:rsidRPr="006B5FF8">
        <w:rPr>
          <w:i/>
          <w:iCs/>
          <w:color w:val="000000" w:themeColor="text1"/>
        </w:rPr>
        <w:t>‘3.3.2 Risks to terrestrial vertebrates’</w:t>
      </w:r>
      <w:r>
        <w:rPr>
          <w:color w:val="000000" w:themeColor="text1"/>
        </w:rPr>
        <w:t xml:space="preserve"> and</w:t>
      </w:r>
      <w:r>
        <w:t xml:space="preserve"> </w:t>
      </w:r>
      <w:r w:rsidRPr="006B5FF8">
        <w:rPr>
          <w:i/>
          <w:iCs/>
        </w:rPr>
        <w:t xml:space="preserve">‘3.4.2 </w:t>
      </w:r>
      <w:r w:rsidRPr="006B5FF8">
        <w:rPr>
          <w:i/>
          <w:iCs/>
          <w:color w:val="000000" w:themeColor="text1"/>
        </w:rPr>
        <w:t>Supported products and uses’</w:t>
      </w:r>
      <w:r w:rsidRPr="00934CC2">
        <w:rPr>
          <w:color w:val="000000" w:themeColor="text1"/>
        </w:rPr>
        <w:t xml:space="preserve"> of the </w:t>
      </w:r>
      <w:r w:rsidRPr="00934CC2">
        <w:rPr>
          <w:i/>
          <w:iCs/>
          <w:color w:val="000000" w:themeColor="text1"/>
        </w:rPr>
        <w:t>Anticoagulant Rodenticides Review Technical Report</w:t>
      </w:r>
      <w:r w:rsidRPr="00934CC2">
        <w:rPr>
          <w:color w:val="000000" w:themeColor="text1"/>
        </w:rPr>
        <w:t>:</w:t>
      </w:r>
      <w:bookmarkEnd w:id="179"/>
    </w:p>
    <w:p w14:paraId="11EBE145" w14:textId="77777777" w:rsidR="008E67EA" w:rsidRPr="004F1570" w:rsidRDefault="008E67EA">
      <w:pPr>
        <w:pStyle w:val="NumberLevel2"/>
        <w:numPr>
          <w:ilvl w:val="1"/>
          <w:numId w:val="17"/>
        </w:numPr>
        <w:ind w:left="1134"/>
        <w:rPr>
          <w:color w:val="000000" w:themeColor="text1"/>
        </w:rPr>
      </w:pPr>
      <w:bookmarkStart w:id="181" w:name="_Ref213491636"/>
      <w:bookmarkStart w:id="182" w:name="_Ref206083607"/>
      <w:r w:rsidRPr="004F1570">
        <w:rPr>
          <w:color w:val="000000" w:themeColor="text1"/>
        </w:rPr>
        <w:t>In relation to the use of bait stations to protect placed bait and reduce the risk of unintended exposure to non-target terrestrial vertebrates:</w:t>
      </w:r>
      <w:bookmarkEnd w:id="181"/>
    </w:p>
    <w:p w14:paraId="212DCA64" w14:textId="77777777" w:rsidR="008E67EA" w:rsidRPr="004F1570" w:rsidRDefault="008E67EA">
      <w:pPr>
        <w:pStyle w:val="NumberLevel3"/>
        <w:numPr>
          <w:ilvl w:val="2"/>
          <w:numId w:val="17"/>
        </w:numPr>
      </w:pPr>
      <w:r w:rsidRPr="004F1570">
        <w:rPr>
          <w:color w:val="000000" w:themeColor="text1"/>
        </w:rPr>
        <w:t xml:space="preserve">I note that the use of bait stations or covered bait points reduces the risk of unintended exposure </w:t>
      </w:r>
      <w:r w:rsidRPr="004F1570">
        <w:t>of granivorous birds as visual recognition plays a dominant role in birds locating food items. I also note that the use of bait stations reduces the risk unintended exposure of other non-target terrestrial vertebrates, as only non-target species that are the same size or smaller than the target rodents can access the bait station.</w:t>
      </w:r>
    </w:p>
    <w:p w14:paraId="74BA2C40" w14:textId="7F0C6D29" w:rsidR="008E67EA" w:rsidRPr="004F1570" w:rsidRDefault="008E67EA">
      <w:pPr>
        <w:pStyle w:val="NumberLevel3"/>
        <w:numPr>
          <w:ilvl w:val="2"/>
          <w:numId w:val="17"/>
        </w:numPr>
      </w:pPr>
      <w:r w:rsidRPr="004F1570">
        <w:rPr>
          <w:color w:val="000000" w:themeColor="text1"/>
        </w:rPr>
        <w:t xml:space="preserve">I note the recommendation in the </w:t>
      </w:r>
      <w:r w:rsidRPr="007020DF">
        <w:rPr>
          <w:i/>
          <w:iCs/>
          <w:color w:val="000000" w:themeColor="text1"/>
        </w:rPr>
        <w:t>Anticoagulant Rodenticides Review Technical Report</w:t>
      </w:r>
      <w:r w:rsidRPr="004F1570">
        <w:rPr>
          <w:color w:val="000000" w:themeColor="text1"/>
        </w:rPr>
        <w:t xml:space="preserve"> that tamper-resistant bait stations should be used to reduce the risks to non-target terrestrial vertebrates, or that covered or protected bait points may be used as long as they provide the same level of protection for non-target species and humans as tamper-resistant bait stations. However, from a risk management perspective, I consider that covered or bait points inherently offer less protection to ground-based non-target terrestrial vertebrates compared to tamper-resistant bait stations, and it is not evident how adequate instructions for use may be developed in order to manage the increased risk to wildlife posed by the use of covered or bait points in outdoor settings.</w:t>
      </w:r>
    </w:p>
    <w:p w14:paraId="25408FDC" w14:textId="77777777" w:rsidR="008E67EA" w:rsidRPr="004F1570" w:rsidRDefault="008E67EA">
      <w:pPr>
        <w:pStyle w:val="NumberLevel3"/>
        <w:numPr>
          <w:ilvl w:val="2"/>
          <w:numId w:val="17"/>
        </w:numPr>
      </w:pPr>
      <w:r w:rsidRPr="004F1570">
        <w:t>I also note that bait stations should be fixed to the ground or other structures to prevent the bait from being easily spilled from the bait station by movement of the bait station.</w:t>
      </w:r>
    </w:p>
    <w:p w14:paraId="38DBA119" w14:textId="77777777" w:rsidR="008E67EA" w:rsidRPr="004F1570" w:rsidRDefault="008E67EA">
      <w:pPr>
        <w:pStyle w:val="NumberLevel3"/>
        <w:numPr>
          <w:ilvl w:val="2"/>
          <w:numId w:val="17"/>
        </w:numPr>
      </w:pPr>
      <w:bookmarkStart w:id="183" w:name="_Ref213529441"/>
      <w:r w:rsidRPr="004F1570">
        <w:t xml:space="preserve">Based on my above considerations, I make the finding that the instruction </w:t>
      </w:r>
      <w:r w:rsidRPr="004F1570">
        <w:rPr>
          <w:b/>
          <w:bCs/>
          <w:i/>
          <w:iCs/>
        </w:rPr>
        <w:t>‘DO NOT place bait outdoors unless it is in a tamper</w:t>
      </w:r>
      <w:r>
        <w:rPr>
          <w:b/>
          <w:bCs/>
          <w:i/>
          <w:iCs/>
        </w:rPr>
        <w:t xml:space="preserve">-resistant </w:t>
      </w:r>
      <w:r w:rsidRPr="004F1570">
        <w:rPr>
          <w:b/>
          <w:bCs/>
          <w:i/>
          <w:iCs/>
        </w:rPr>
        <w:t>bait station which is secured in place.’</w:t>
      </w:r>
      <w:r w:rsidRPr="004F1570">
        <w:t xml:space="preserve"> is required to be added to the instructions for use for all commercial anticoagulant rodenticide chemical </w:t>
      </w:r>
      <w:r w:rsidRPr="004F1570">
        <w:lastRenderedPageBreak/>
        <w:t>products listed in Attachment A of this notice, and any instructions that may be contrary to this requirement are to be removed from the instructions for use</w:t>
      </w:r>
      <w:bookmarkEnd w:id="182"/>
      <w:r w:rsidRPr="004F1570">
        <w:t>.</w:t>
      </w:r>
      <w:bookmarkEnd w:id="183"/>
    </w:p>
    <w:p w14:paraId="5CBFFC12" w14:textId="77777777" w:rsidR="008E67EA" w:rsidRPr="00E23899" w:rsidRDefault="008E67EA">
      <w:pPr>
        <w:pStyle w:val="NumberLevel2"/>
        <w:numPr>
          <w:ilvl w:val="1"/>
          <w:numId w:val="17"/>
        </w:numPr>
        <w:ind w:left="1134"/>
        <w:rPr>
          <w:b/>
          <w:bCs/>
          <w:i/>
          <w:iCs/>
          <w:color w:val="000000" w:themeColor="text1"/>
        </w:rPr>
      </w:pPr>
      <w:bookmarkStart w:id="184" w:name="_Ref213434582"/>
      <w:bookmarkEnd w:id="180"/>
      <w:r w:rsidRPr="004F1570">
        <w:rPr>
          <w:color w:val="000000" w:themeColor="text1"/>
        </w:rPr>
        <w:t>I note that continued rodent activity after 35 days of treatment</w:t>
      </w:r>
      <w:r w:rsidRPr="00E23899">
        <w:rPr>
          <w:color w:val="000000" w:themeColor="text1"/>
        </w:rPr>
        <w:t xml:space="preserve"> may indicate that the baiting strategy in use is ineffective due to resistance build up or the movement of rodents, and that continued use of this treatment regime without an evaluation may needlessly increase the risk of unintended exposure of non-target wildlife. Therefore, for all commercial anticoagulant rodenticide chemical products listed in Attachment A of this notice, with respect to the treatment of active rodent infestations, I consider that the following instructions for use are required: </w:t>
      </w:r>
      <w:r w:rsidRPr="00E23899">
        <w:rPr>
          <w:b/>
          <w:bCs/>
          <w:color w:val="000000" w:themeColor="text1"/>
        </w:rPr>
        <w:t>‘</w:t>
      </w:r>
      <w:r w:rsidRPr="00E23899">
        <w:rPr>
          <w:b/>
          <w:bCs/>
          <w:i/>
          <w:iCs/>
          <w:color w:val="000000" w:themeColor="text1"/>
        </w:rPr>
        <w:t>DO NOT use the product beyond 35 days without an evaluation of the state of the infestation and of the efficacy of the treatment.’</w:t>
      </w:r>
      <w:r w:rsidRPr="00E23899">
        <w:rPr>
          <w:i/>
          <w:iCs/>
          <w:color w:val="000000" w:themeColor="text1"/>
        </w:rPr>
        <w:t>.</w:t>
      </w:r>
      <w:bookmarkEnd w:id="184"/>
    </w:p>
    <w:p w14:paraId="4C361D06" w14:textId="77777777" w:rsidR="008E67EA" w:rsidRPr="00175F2F" w:rsidRDefault="008E67EA">
      <w:pPr>
        <w:pStyle w:val="NumberLevel2"/>
        <w:numPr>
          <w:ilvl w:val="1"/>
          <w:numId w:val="17"/>
        </w:numPr>
        <w:ind w:left="1134"/>
        <w:rPr>
          <w:b/>
          <w:bCs/>
          <w:i/>
          <w:iCs/>
          <w:color w:val="000000" w:themeColor="text1"/>
        </w:rPr>
      </w:pPr>
      <w:bookmarkStart w:id="185" w:name="_Ref213529460"/>
      <w:r w:rsidRPr="00E23899">
        <w:rPr>
          <w:color w:val="000000" w:themeColor="text1"/>
        </w:rPr>
        <w:t>I note that the pulse baiting technique is appropriate for the most potent, single-feed second-generation</w:t>
      </w:r>
      <w:r w:rsidRPr="00271FB9">
        <w:rPr>
          <w:color w:val="000000" w:themeColor="text1"/>
        </w:rPr>
        <w:t xml:space="preserve"> anticoagulant rodenticides, but not first-generation </w:t>
      </w:r>
      <w:r w:rsidRPr="00175F2F">
        <w:rPr>
          <w:color w:val="000000" w:themeColor="text1"/>
        </w:rPr>
        <w:t xml:space="preserve">anticoagulant rodenticides where multiple feeds are required for the target rodent to receive a lethal dose. Therefore, for the commercial anticoagulant rodenticide chemical products listed in Attachment A of this notice that contain the first-generation anticoagulant rodenticides coumatetralyl or diphacinone </w:t>
      </w:r>
      <w:r w:rsidRPr="00D035F8">
        <w:rPr>
          <w:color w:val="000000" w:themeColor="text1"/>
        </w:rPr>
        <w:t>(</w:t>
      </w:r>
      <w:r w:rsidRPr="00D035F8">
        <w:t>51508, 52098, 82217 and 89433</w:t>
      </w:r>
      <w:r w:rsidRPr="00D035F8">
        <w:rPr>
          <w:color w:val="000000" w:themeColor="text1"/>
        </w:rPr>
        <w:t>)</w:t>
      </w:r>
      <w:r w:rsidRPr="00175F2F">
        <w:rPr>
          <w:color w:val="000000" w:themeColor="text1"/>
        </w:rPr>
        <w:t xml:space="preserve">, I consider that the following instructions for use are required </w:t>
      </w:r>
      <w:r w:rsidRPr="00175F2F">
        <w:rPr>
          <w:b/>
          <w:bCs/>
          <w:color w:val="000000" w:themeColor="text1"/>
        </w:rPr>
        <w:t>‘</w:t>
      </w:r>
      <w:r w:rsidRPr="00175F2F">
        <w:rPr>
          <w:b/>
          <w:bCs/>
          <w:i/>
          <w:iCs/>
          <w:color w:val="000000" w:themeColor="text1"/>
        </w:rPr>
        <w:t>DO NOT use the product in pulsed baiting treatments.’</w:t>
      </w:r>
      <w:r w:rsidRPr="00175F2F">
        <w:rPr>
          <w:i/>
          <w:iCs/>
          <w:color w:val="000000" w:themeColor="text1"/>
        </w:rPr>
        <w:t>.</w:t>
      </w:r>
      <w:bookmarkEnd w:id="185"/>
    </w:p>
    <w:p w14:paraId="53044AE4" w14:textId="77A5775C" w:rsidR="008E67EA" w:rsidRDefault="008E67EA">
      <w:pPr>
        <w:pStyle w:val="NumberLevel1"/>
        <w:numPr>
          <w:ilvl w:val="0"/>
          <w:numId w:val="17"/>
        </w:numPr>
        <w:tabs>
          <w:tab w:val="clear" w:pos="709"/>
          <w:tab w:val="num" w:pos="2553"/>
        </w:tabs>
        <w:rPr>
          <w:color w:val="000000" w:themeColor="text1"/>
        </w:rPr>
      </w:pPr>
      <w:bookmarkStart w:id="186" w:name="_Ref213490407"/>
      <w:bookmarkStart w:id="187" w:name="_Ref207047650"/>
      <w:r w:rsidRPr="003A0E11">
        <w:rPr>
          <w:color w:val="000000" w:themeColor="text1"/>
        </w:rPr>
        <w:t xml:space="preserve">I note that a number of best </w:t>
      </w:r>
      <w:r w:rsidRPr="003A0E11">
        <w:t xml:space="preserve">practice risk mitigation measures related to minimising primary and secondary poisoning of non-target terrestrial vertebrates are detailed in the environmental risk assessment but were not included as recommended instructions in the </w:t>
      </w:r>
      <w:r w:rsidRPr="003A0E11">
        <w:rPr>
          <w:color w:val="000000" w:themeColor="text1"/>
        </w:rPr>
        <w:t>environment section</w:t>
      </w:r>
      <w:r w:rsidRPr="003A0E11">
        <w:t xml:space="preserve"> of the </w:t>
      </w:r>
      <w:r w:rsidRPr="003A0E11">
        <w:rPr>
          <w:i/>
          <w:iCs/>
          <w:color w:val="000000" w:themeColor="text1"/>
        </w:rPr>
        <w:t>Anticoagulant Rodenticides Review Technical Report</w:t>
      </w:r>
      <w:r w:rsidRPr="003A0E11">
        <w:rPr>
          <w:color w:val="000000" w:themeColor="text1"/>
        </w:rPr>
        <w:t>. This includes to survey sites before use of anticoagulant rodenticide</w:t>
      </w:r>
      <w:r>
        <w:rPr>
          <w:color w:val="000000" w:themeColor="text1"/>
        </w:rPr>
        <w:t xml:space="preserve"> chemical products, to have indicative instructions for regular inspections of bait sites and to remove uneaten baits at the end of the baiting period. </w:t>
      </w:r>
      <w:r w:rsidRPr="00E23899">
        <w:rPr>
          <w:color w:val="000000" w:themeColor="text1"/>
        </w:rPr>
        <w:t>While I consider that any professional that has been trained in the safe use of anticoagulant rodenticide chemical products would include these measures as part of their baiting strategy, I also consider that inclusion of corresponding instructions for use as a part of chemical product registrations is important to emphasise the necessity of these safety measures and minimise the likelihood of environmental contamination. As such, based on my review and consideration of the</w:t>
      </w:r>
      <w:r>
        <w:rPr>
          <w:color w:val="000000" w:themeColor="text1"/>
        </w:rPr>
        <w:t xml:space="preserve"> </w:t>
      </w:r>
      <w:r>
        <w:t xml:space="preserve">environmental risk assessment summarised in section </w:t>
      </w:r>
      <w:r w:rsidRPr="006B5FF8">
        <w:rPr>
          <w:i/>
          <w:iCs/>
          <w:color w:val="000000" w:themeColor="text1"/>
        </w:rPr>
        <w:t>‘3.3.2 Risks to terrestrial vertebrates’</w:t>
      </w:r>
      <w:r>
        <w:rPr>
          <w:color w:val="000000" w:themeColor="text1"/>
        </w:rPr>
        <w:t xml:space="preserve"> </w:t>
      </w:r>
      <w:r>
        <w:t xml:space="preserve">of the </w:t>
      </w:r>
      <w:r w:rsidRPr="00934CC2">
        <w:rPr>
          <w:i/>
          <w:iCs/>
          <w:color w:val="000000" w:themeColor="text1"/>
        </w:rPr>
        <w:t>Anticoagulant Rodenticides Review Technical Report</w:t>
      </w:r>
      <w:r>
        <w:rPr>
          <w:color w:val="000000" w:themeColor="text1"/>
        </w:rPr>
        <w:t xml:space="preserve">, and the referenced </w:t>
      </w:r>
      <w:r>
        <w:t xml:space="preserve">report </w:t>
      </w:r>
      <w:hyperlink r:id="rId41" w:history="1">
        <w:r w:rsidRPr="00577C04">
          <w:rPr>
            <w:rStyle w:val="Hyperlink"/>
            <w:i/>
            <w:iCs/>
          </w:rPr>
          <w:t>Risk Mitigation Measures for Anticoagulant Rodenticides as Biocidal Products</w:t>
        </w:r>
      </w:hyperlink>
      <w:r>
        <w:rPr>
          <w:rStyle w:val="FootnoteReference"/>
          <w:i/>
          <w:iCs/>
        </w:rPr>
        <w:footnoteReference w:id="7"/>
      </w:r>
      <w:r>
        <w:t>:</w:t>
      </w:r>
      <w:bookmarkEnd w:id="186"/>
    </w:p>
    <w:bookmarkEnd w:id="187"/>
    <w:p w14:paraId="66B9F341" w14:textId="77777777" w:rsidR="008E67EA" w:rsidRPr="00E23899" w:rsidRDefault="008E67EA">
      <w:pPr>
        <w:pStyle w:val="NumberLevel2"/>
        <w:numPr>
          <w:ilvl w:val="1"/>
          <w:numId w:val="17"/>
        </w:numPr>
        <w:ind w:left="1134"/>
        <w:rPr>
          <w:color w:val="000000" w:themeColor="text1"/>
        </w:rPr>
      </w:pPr>
      <w:r w:rsidRPr="00E23899">
        <w:rPr>
          <w:color w:val="000000" w:themeColor="text1"/>
        </w:rPr>
        <w:t xml:space="preserve">I note that a survey of the infested site that considers the pest species, their area of activity, the extent of the infestation and any indications of the presence of non-target animals is critical to ensuring that an appropriate baiting strategy is used that minimises the potential environmental contamination. As such, for all commercial anticoagulant rodenticide chemical products listed in Attachment A of this notice, I consider that the following instructions for use are required: </w:t>
      </w:r>
      <w:r w:rsidRPr="00E23899">
        <w:rPr>
          <w:b/>
          <w:bCs/>
          <w:color w:val="000000" w:themeColor="text1"/>
        </w:rPr>
        <w:t>‘</w:t>
      </w:r>
      <w:r w:rsidRPr="00E23899">
        <w:rPr>
          <w:b/>
          <w:bCs/>
          <w:i/>
          <w:iCs/>
          <w:color w:val="000000" w:themeColor="text1"/>
        </w:rPr>
        <w:t>Survey site prior to treatment, including assessment of the extent of infestation and identification of any indications of the presence of non-target animals.’</w:t>
      </w:r>
      <w:r w:rsidRPr="00E23899">
        <w:rPr>
          <w:color w:val="000000" w:themeColor="text1"/>
        </w:rPr>
        <w:t>.</w:t>
      </w:r>
    </w:p>
    <w:p w14:paraId="06B5EA12" w14:textId="77777777" w:rsidR="008E67EA" w:rsidRPr="00E23899" w:rsidRDefault="008E67EA">
      <w:pPr>
        <w:pStyle w:val="NumberLevel2"/>
        <w:numPr>
          <w:ilvl w:val="1"/>
          <w:numId w:val="17"/>
        </w:numPr>
        <w:ind w:left="1134"/>
        <w:rPr>
          <w:color w:val="000000" w:themeColor="text1"/>
        </w:rPr>
      </w:pPr>
      <w:bookmarkStart w:id="189" w:name="_Ref213184838"/>
      <w:r w:rsidRPr="00E23899">
        <w:rPr>
          <w:color w:val="000000" w:themeColor="text1"/>
        </w:rPr>
        <w:t xml:space="preserve">I note that uneaten bait remaining after treatment of a rodent infestations poses an unnecessary continued risk for non-target terrestrial vertebrates, and that removal of the uneaten bait at the end of the treatment minimises the duration of potential exposure of non-target animals. As such, for all commercial anticoagulant rodenticide chemical products listed in Attachment A of this notice, I consider that the following instructions for use are required: </w:t>
      </w:r>
      <w:r w:rsidRPr="00E23899">
        <w:rPr>
          <w:b/>
          <w:bCs/>
          <w:color w:val="000000" w:themeColor="text1"/>
        </w:rPr>
        <w:t>‘</w:t>
      </w:r>
      <w:r w:rsidRPr="00E23899">
        <w:rPr>
          <w:b/>
          <w:bCs/>
          <w:i/>
          <w:iCs/>
          <w:color w:val="000000" w:themeColor="text1"/>
        </w:rPr>
        <w:t>Remove all uneaten bait at the end of treatment.’</w:t>
      </w:r>
      <w:r w:rsidRPr="00E23899">
        <w:rPr>
          <w:color w:val="000000" w:themeColor="text1"/>
        </w:rPr>
        <w:t>.</w:t>
      </w:r>
      <w:bookmarkEnd w:id="189"/>
    </w:p>
    <w:p w14:paraId="0BE165C5" w14:textId="1AC4A945" w:rsidR="008E67EA" w:rsidRPr="00175F2F" w:rsidRDefault="008E67EA">
      <w:pPr>
        <w:pStyle w:val="NumberLevel2"/>
        <w:numPr>
          <w:ilvl w:val="1"/>
          <w:numId w:val="17"/>
        </w:numPr>
        <w:ind w:left="1134"/>
        <w:rPr>
          <w:b/>
          <w:bCs/>
          <w:i/>
          <w:iCs/>
          <w:color w:val="000000" w:themeColor="text1"/>
        </w:rPr>
      </w:pPr>
      <w:r w:rsidRPr="00E23899">
        <w:rPr>
          <w:color w:val="000000" w:themeColor="text1"/>
        </w:rPr>
        <w:t xml:space="preserve">I note there are also environmental safety considerations in relation to visiting and inspecting bait sites during treatment, including ensuring that the baits remain protected from non-target animals and checking for any signs that baits have been accessed by non-target animals. Therefore, I consider that the </w:t>
      </w:r>
      <w:r w:rsidRPr="00E23899">
        <w:rPr>
          <w:color w:val="000000" w:themeColor="text1"/>
        </w:rPr>
        <w:lastRenderedPageBreak/>
        <w:t xml:space="preserve">instruction </w:t>
      </w:r>
      <w:r w:rsidRPr="00E23899">
        <w:rPr>
          <w:b/>
          <w:bCs/>
          <w:color w:val="000000" w:themeColor="text1"/>
        </w:rPr>
        <w:t>‘</w:t>
      </w:r>
      <w:r w:rsidRPr="00E23899">
        <w:rPr>
          <w:b/>
          <w:bCs/>
          <w:i/>
          <w:iCs/>
          <w:color w:val="000000" w:themeColor="text1"/>
        </w:rPr>
        <w:t>Inspect bait sites at intervals no more than 7 days apart.’</w:t>
      </w:r>
      <w:r w:rsidRPr="00E23899">
        <w:rPr>
          <w:color w:val="000000" w:themeColor="text1"/>
        </w:rPr>
        <w:t>. is required to be</w:t>
      </w:r>
      <w:r w:rsidRPr="00C60C27">
        <w:rPr>
          <w:color w:val="000000" w:themeColor="text1"/>
        </w:rPr>
        <w:t xml:space="preserve"> added to the instructions for use for all commercial anticoagulant rodenticide chemical products listed in Attachment </w:t>
      </w:r>
      <w:r>
        <w:rPr>
          <w:color w:val="000000" w:themeColor="text1"/>
        </w:rPr>
        <w:t xml:space="preserve">A </w:t>
      </w:r>
      <w:r w:rsidRPr="00C60C27">
        <w:rPr>
          <w:color w:val="000000" w:themeColor="text1"/>
        </w:rPr>
        <w:t>of this notice</w:t>
      </w:r>
      <w:r>
        <w:rPr>
          <w:color w:val="000000" w:themeColor="text1"/>
        </w:rPr>
        <w:t xml:space="preserve">, excluding chemical products whose current instructions for use require bait site inspections at shorter time intervals (e.g. daily or every 3 days). </w:t>
      </w:r>
      <w:r w:rsidRPr="00E23899">
        <w:rPr>
          <w:color w:val="000000" w:themeColor="text1"/>
        </w:rPr>
        <w:t>Further, I consider that all instructions that direct people to inspect bait sites at generic time intervals (e.g. regularly)</w:t>
      </w:r>
      <w:r>
        <w:rPr>
          <w:color w:val="000000" w:themeColor="text1"/>
        </w:rPr>
        <w:t xml:space="preserve"> or at time intervals greater than 7 days should be removed from the instructions for use of commercial chemical products.</w:t>
      </w:r>
    </w:p>
    <w:p w14:paraId="6109F701" w14:textId="09A719D1" w:rsidR="008E67EA" w:rsidRPr="00D47DCD" w:rsidRDefault="008E67EA">
      <w:pPr>
        <w:pStyle w:val="NumberLevel2"/>
        <w:numPr>
          <w:ilvl w:val="1"/>
          <w:numId w:val="17"/>
        </w:numPr>
        <w:ind w:left="1134"/>
        <w:rPr>
          <w:b/>
          <w:bCs/>
          <w:i/>
          <w:iCs/>
          <w:color w:val="000000" w:themeColor="text1"/>
        </w:rPr>
      </w:pPr>
      <w:r>
        <w:rPr>
          <w:color w:val="000000" w:themeColor="text1"/>
        </w:rPr>
        <w:t xml:space="preserve">Further, </w:t>
      </w:r>
      <w:r w:rsidRPr="00242977">
        <w:rPr>
          <w:color w:val="000000" w:themeColor="text1"/>
        </w:rPr>
        <w:t xml:space="preserve">with respect to the treatment of active rodent infestations, </w:t>
      </w:r>
      <w:r>
        <w:rPr>
          <w:color w:val="000000" w:themeColor="text1"/>
        </w:rPr>
        <w:t xml:space="preserve">given that I consider that instructions to inspect bait sites at intervals of no more than 7 days apart and remove all uneaten bait at the end of treatment are required, I also consider that the instruction </w:t>
      </w:r>
      <w:r w:rsidRPr="00175F2F">
        <w:rPr>
          <w:b/>
          <w:bCs/>
          <w:i/>
          <w:iCs/>
          <w:color w:val="000000" w:themeColor="text1"/>
        </w:rPr>
        <w:t xml:space="preserve">‘Record the number and locations of bait stations for </w:t>
      </w:r>
      <w:r>
        <w:rPr>
          <w:b/>
          <w:bCs/>
          <w:i/>
          <w:iCs/>
          <w:color w:val="000000" w:themeColor="text1"/>
        </w:rPr>
        <w:t xml:space="preserve">the </w:t>
      </w:r>
      <w:r w:rsidRPr="00175F2F">
        <w:rPr>
          <w:b/>
          <w:bCs/>
          <w:i/>
          <w:iCs/>
          <w:color w:val="000000" w:themeColor="text1"/>
        </w:rPr>
        <w:t xml:space="preserve">purpose of </w:t>
      </w:r>
      <w:r>
        <w:rPr>
          <w:b/>
          <w:bCs/>
          <w:i/>
          <w:iCs/>
          <w:color w:val="000000" w:themeColor="text1"/>
        </w:rPr>
        <w:t xml:space="preserve">inspection, </w:t>
      </w:r>
      <w:r w:rsidRPr="00175F2F">
        <w:rPr>
          <w:b/>
          <w:bCs/>
          <w:i/>
          <w:iCs/>
          <w:color w:val="000000" w:themeColor="text1"/>
        </w:rPr>
        <w:t>replacement and later removal.’</w:t>
      </w:r>
      <w:r>
        <w:rPr>
          <w:color w:val="000000" w:themeColor="text1"/>
        </w:rPr>
        <w:t xml:space="preserve"> </w:t>
      </w:r>
      <w:r w:rsidRPr="00E23899">
        <w:rPr>
          <w:color w:val="000000" w:themeColor="text1"/>
        </w:rPr>
        <w:t>is required to be</w:t>
      </w:r>
      <w:r w:rsidRPr="00C60C27">
        <w:rPr>
          <w:color w:val="000000" w:themeColor="text1"/>
        </w:rPr>
        <w:t xml:space="preserve"> added to the instructions for use for all commercial anticoagulant rodenticide chemical products listed in Attachment </w:t>
      </w:r>
      <w:r>
        <w:rPr>
          <w:color w:val="000000" w:themeColor="text1"/>
        </w:rPr>
        <w:t xml:space="preserve">A </w:t>
      </w:r>
      <w:r w:rsidRPr="00C60C27">
        <w:rPr>
          <w:color w:val="000000" w:themeColor="text1"/>
        </w:rPr>
        <w:t>of this notice</w:t>
      </w:r>
      <w:r>
        <w:rPr>
          <w:color w:val="000000" w:themeColor="text1"/>
        </w:rPr>
        <w:t>.</w:t>
      </w:r>
    </w:p>
    <w:p w14:paraId="5655C34B" w14:textId="03D79D63" w:rsidR="008E67EA" w:rsidRPr="00E23899" w:rsidRDefault="008E67EA">
      <w:pPr>
        <w:pStyle w:val="NumberLevel1"/>
        <w:numPr>
          <w:ilvl w:val="0"/>
          <w:numId w:val="17"/>
        </w:numPr>
        <w:tabs>
          <w:tab w:val="clear" w:pos="709"/>
          <w:tab w:val="num" w:pos="2553"/>
        </w:tabs>
        <w:rPr>
          <w:color w:val="000000" w:themeColor="text1"/>
        </w:rPr>
      </w:pPr>
      <w:bookmarkStart w:id="190" w:name="_Ref213490411"/>
      <w:r w:rsidRPr="00067E69">
        <w:rPr>
          <w:color w:val="000000" w:themeColor="text1"/>
        </w:rPr>
        <w:t xml:space="preserve">Finally, regarding the instructions for use for commercial anticoagulant rodenticide chemical products that relate to the disposal of </w:t>
      </w:r>
      <w:r w:rsidRPr="00E23899">
        <w:rPr>
          <w:color w:val="000000" w:themeColor="text1"/>
        </w:rPr>
        <w:t xml:space="preserve">dead rodents and slugs/snails discussed in paragraph </w:t>
      </w:r>
      <w:r w:rsidRPr="00E23899">
        <w:rPr>
          <w:color w:val="000000" w:themeColor="text1"/>
        </w:rPr>
        <w:fldChar w:fldCharType="begin"/>
      </w:r>
      <w:r w:rsidRPr="00E23899">
        <w:rPr>
          <w:color w:val="000000" w:themeColor="text1"/>
        </w:rPr>
        <w:instrText xml:space="preserve"> REF _Ref213184776 \r \h </w:instrText>
      </w:r>
      <w:r>
        <w:rPr>
          <w:color w:val="000000" w:themeColor="text1"/>
        </w:rPr>
        <w:instrText xml:space="preserve"> \* MERGEFORMAT </w:instrText>
      </w:r>
      <w:r w:rsidRPr="00E23899">
        <w:rPr>
          <w:color w:val="000000" w:themeColor="text1"/>
        </w:rPr>
      </w:r>
      <w:r w:rsidRPr="00E23899">
        <w:rPr>
          <w:color w:val="000000" w:themeColor="text1"/>
        </w:rPr>
        <w:fldChar w:fldCharType="separate"/>
      </w:r>
      <w:r w:rsidR="002C0C2A">
        <w:rPr>
          <w:color w:val="000000" w:themeColor="text1"/>
        </w:rPr>
        <w:t>52.2</w:t>
      </w:r>
      <w:r w:rsidRPr="00E23899">
        <w:rPr>
          <w:color w:val="000000" w:themeColor="text1"/>
        </w:rPr>
        <w:fldChar w:fldCharType="end"/>
      </w:r>
      <w:r w:rsidRPr="00E23899">
        <w:rPr>
          <w:color w:val="000000" w:themeColor="text1"/>
        </w:rPr>
        <w:t xml:space="preserve"> of these reasons above, the disposal of uneaten bait discussed in paragraph </w:t>
      </w:r>
      <w:r w:rsidRPr="00E23899">
        <w:rPr>
          <w:color w:val="000000" w:themeColor="text1"/>
        </w:rPr>
        <w:fldChar w:fldCharType="begin"/>
      </w:r>
      <w:r w:rsidRPr="00E23899">
        <w:rPr>
          <w:color w:val="000000" w:themeColor="text1"/>
        </w:rPr>
        <w:instrText xml:space="preserve"> REF _Ref213184838 \r \h </w:instrText>
      </w:r>
      <w:r>
        <w:rPr>
          <w:color w:val="000000" w:themeColor="text1"/>
        </w:rPr>
        <w:instrText xml:space="preserve"> \* MERGEFORMAT </w:instrText>
      </w:r>
      <w:r w:rsidRPr="00E23899">
        <w:rPr>
          <w:color w:val="000000" w:themeColor="text1"/>
        </w:rPr>
      </w:r>
      <w:r w:rsidRPr="00E23899">
        <w:rPr>
          <w:color w:val="000000" w:themeColor="text1"/>
        </w:rPr>
        <w:fldChar w:fldCharType="separate"/>
      </w:r>
      <w:r w:rsidR="002C0C2A">
        <w:rPr>
          <w:color w:val="000000" w:themeColor="text1"/>
        </w:rPr>
        <w:t>57.2</w:t>
      </w:r>
      <w:r w:rsidRPr="00E23899">
        <w:rPr>
          <w:color w:val="000000" w:themeColor="text1"/>
        </w:rPr>
        <w:fldChar w:fldCharType="end"/>
      </w:r>
      <w:r w:rsidRPr="00E23899">
        <w:rPr>
          <w:color w:val="000000" w:themeColor="text1"/>
        </w:rPr>
        <w:t xml:space="preserve"> of these reasons above, and the disposal of product when no longer required and containers of the product:</w:t>
      </w:r>
      <w:bookmarkEnd w:id="190"/>
    </w:p>
    <w:p w14:paraId="3331FD99" w14:textId="77777777" w:rsidR="008E67EA" w:rsidRPr="002A6FE6" w:rsidRDefault="008E67EA">
      <w:pPr>
        <w:pStyle w:val="NumberLevel2"/>
        <w:numPr>
          <w:ilvl w:val="1"/>
          <w:numId w:val="17"/>
        </w:numPr>
        <w:ind w:left="1134"/>
        <w:rPr>
          <w:b/>
          <w:bCs/>
          <w:i/>
          <w:iCs/>
          <w:color w:val="000000" w:themeColor="text1"/>
        </w:rPr>
      </w:pPr>
      <w:bookmarkStart w:id="191" w:name="_Ref213529721"/>
      <w:r w:rsidRPr="00E23899">
        <w:rPr>
          <w:color w:val="000000" w:themeColor="text1"/>
        </w:rPr>
        <w:t>I consider that retrieved uneaten bait needs to be carefully disposed of to reduce the likelihood of primary poisoning of non-</w:t>
      </w:r>
      <w:r w:rsidRPr="002A6FE6">
        <w:rPr>
          <w:color w:val="000000" w:themeColor="text1"/>
        </w:rPr>
        <w:t xml:space="preserve">target terrestrial vertebrates, and any collected dead rodents </w:t>
      </w:r>
      <w:r>
        <w:rPr>
          <w:color w:val="000000" w:themeColor="text1"/>
        </w:rPr>
        <w:t xml:space="preserve">or </w:t>
      </w:r>
      <w:r w:rsidRPr="002A6FE6">
        <w:rPr>
          <w:color w:val="000000" w:themeColor="text1"/>
        </w:rPr>
        <w:t>slugs/snails need to be carefully disposed of to reduce the likelihood of secondary poisoning of non-target terrestrial vertebrates. As such,</w:t>
      </w:r>
      <w:r>
        <w:rPr>
          <w:color w:val="000000" w:themeColor="text1"/>
        </w:rPr>
        <w:t xml:space="preserve"> based on the recommendations in section </w:t>
      </w:r>
      <w:r w:rsidRPr="006B5FF8">
        <w:rPr>
          <w:i/>
          <w:iCs/>
        </w:rPr>
        <w:t xml:space="preserve">‘3.4.2 </w:t>
      </w:r>
      <w:r w:rsidRPr="006B5FF8">
        <w:rPr>
          <w:i/>
          <w:iCs/>
          <w:color w:val="000000" w:themeColor="text1"/>
        </w:rPr>
        <w:t>Supported products and uses’</w:t>
      </w:r>
      <w:r w:rsidRPr="00934CC2">
        <w:rPr>
          <w:color w:val="000000" w:themeColor="text1"/>
        </w:rPr>
        <w:t xml:space="preserve"> </w:t>
      </w:r>
      <w:r>
        <w:t xml:space="preserve">of the </w:t>
      </w:r>
      <w:r w:rsidRPr="00934CC2">
        <w:rPr>
          <w:i/>
          <w:iCs/>
          <w:color w:val="000000" w:themeColor="text1"/>
        </w:rPr>
        <w:t>Anticoagulant Rodenticides Review Technical Report</w:t>
      </w:r>
      <w:r>
        <w:rPr>
          <w:color w:val="000000" w:themeColor="text1"/>
        </w:rPr>
        <w:t>,</w:t>
      </w:r>
      <w:r w:rsidRPr="002A6FE6">
        <w:rPr>
          <w:color w:val="000000" w:themeColor="text1"/>
        </w:rPr>
        <w:t xml:space="preserve"> I consider that the following instructions for use are required for all </w:t>
      </w:r>
      <w:r>
        <w:rPr>
          <w:color w:val="000000" w:themeColor="text1"/>
        </w:rPr>
        <w:t xml:space="preserve">commercial anticoagulant rodenticide </w:t>
      </w:r>
      <w:r w:rsidRPr="002A6FE6">
        <w:rPr>
          <w:color w:val="000000" w:themeColor="text1"/>
        </w:rPr>
        <w:t xml:space="preserve">chemical products listed in Attachment A of this notice: </w:t>
      </w:r>
      <w:r w:rsidRPr="002A6FE6">
        <w:rPr>
          <w:b/>
          <w:bCs/>
          <w:i/>
          <w:iCs/>
          <w:color w:val="000000" w:themeColor="text1"/>
        </w:rPr>
        <w:t>‘Dispose of slugs/snails in a way non-target animals are not exposed. Dispose of dead rodents and uneaten bait in compliance with local, state or territory government regulations.’</w:t>
      </w:r>
      <w:bookmarkEnd w:id="191"/>
    </w:p>
    <w:p w14:paraId="1FDA98E5" w14:textId="63316D7E" w:rsidR="008E67EA" w:rsidRPr="00A41B3C" w:rsidRDefault="008E67EA">
      <w:pPr>
        <w:pStyle w:val="NumberLevel2"/>
        <w:numPr>
          <w:ilvl w:val="1"/>
          <w:numId w:val="17"/>
        </w:numPr>
        <w:ind w:left="1134"/>
        <w:rPr>
          <w:color w:val="000000" w:themeColor="text1"/>
        </w:rPr>
      </w:pPr>
      <w:bookmarkStart w:id="192" w:name="_Ref213434471"/>
      <w:r>
        <w:rPr>
          <w:color w:val="000000" w:themeColor="text1"/>
        </w:rPr>
        <w:t>F</w:t>
      </w:r>
      <w:r w:rsidRPr="00A41B3C">
        <w:rPr>
          <w:color w:val="000000" w:themeColor="text1"/>
        </w:rPr>
        <w:t xml:space="preserve">or all commercial anticoagulant rodenticide chemical products listed in Attachment A of this </w:t>
      </w:r>
      <w:r w:rsidRPr="00E23899">
        <w:rPr>
          <w:color w:val="000000" w:themeColor="text1"/>
        </w:rPr>
        <w:t>notice, I also consider that the</w:t>
      </w:r>
      <w:r>
        <w:rPr>
          <w:color w:val="000000" w:themeColor="text1"/>
        </w:rPr>
        <w:t xml:space="preserve"> instructions for use related to disposal of product when no longer required and product containers should be varied to </w:t>
      </w:r>
      <w:r w:rsidRPr="00A41B3C">
        <w:rPr>
          <w:color w:val="000000" w:themeColor="text1"/>
        </w:rPr>
        <w:t>‘</w:t>
      </w:r>
      <w:r w:rsidRPr="00A41B3C">
        <w:rPr>
          <w:b/>
          <w:bCs/>
          <w:i/>
          <w:iCs/>
          <w:color w:val="000000" w:themeColor="text1"/>
        </w:rPr>
        <w:t>Triple rinse containers before disposal. Break, crush or puncture and deliver empty packaging to an approved waste management facility. If an approved waste management facility is not available, dispose of empty packaging in compliance with relevant local, state or territory government regulations.</w:t>
      </w:r>
      <w:r>
        <w:rPr>
          <w:b/>
          <w:bCs/>
          <w:i/>
          <w:iCs/>
          <w:color w:val="000000" w:themeColor="text1"/>
        </w:rPr>
        <w:t xml:space="preserve"> </w:t>
      </w:r>
      <w:r w:rsidRPr="00E143FA">
        <w:rPr>
          <w:b/>
          <w:bCs/>
          <w:i/>
          <w:iCs/>
          <w:color w:val="000000" w:themeColor="text1"/>
        </w:rPr>
        <w:t>Dispose of unused product in compliance with relevant local, state or territory government regulations.</w:t>
      </w:r>
      <w:r w:rsidRPr="00A41B3C">
        <w:rPr>
          <w:b/>
          <w:bCs/>
          <w:i/>
          <w:iCs/>
          <w:color w:val="000000" w:themeColor="text1"/>
        </w:rPr>
        <w:t xml:space="preserve"> DO NOT burn empty containers or product.’</w:t>
      </w:r>
      <w:r>
        <w:rPr>
          <w:color w:val="000000" w:themeColor="text1"/>
        </w:rPr>
        <w:t xml:space="preserve"> noting that </w:t>
      </w:r>
      <w:r w:rsidRPr="00A25188">
        <w:rPr>
          <w:color w:val="000000" w:themeColor="text1"/>
        </w:rPr>
        <w:t xml:space="preserve">current instructions may be misleading with respect to environmental safety (as further detailed below in paragraph </w:t>
      </w:r>
      <w:r w:rsidRPr="00A25188">
        <w:rPr>
          <w:color w:val="000000" w:themeColor="text1"/>
        </w:rPr>
        <w:fldChar w:fldCharType="begin"/>
      </w:r>
      <w:r w:rsidRPr="00A25188">
        <w:rPr>
          <w:color w:val="000000" w:themeColor="text1"/>
        </w:rPr>
        <w:instrText xml:space="preserve"> REF _Ref213434407 \r \h  \* MERGEFORMAT </w:instrText>
      </w:r>
      <w:r w:rsidRPr="00A25188">
        <w:rPr>
          <w:color w:val="000000" w:themeColor="text1"/>
        </w:rPr>
      </w:r>
      <w:r w:rsidRPr="00A25188">
        <w:rPr>
          <w:color w:val="000000" w:themeColor="text1"/>
        </w:rPr>
        <w:fldChar w:fldCharType="separate"/>
      </w:r>
      <w:r w:rsidR="002C0C2A">
        <w:rPr>
          <w:color w:val="000000" w:themeColor="text1"/>
        </w:rPr>
        <w:t>146</w:t>
      </w:r>
      <w:r w:rsidRPr="00A25188">
        <w:rPr>
          <w:color w:val="000000" w:themeColor="text1"/>
        </w:rPr>
        <w:fldChar w:fldCharType="end"/>
      </w:r>
      <w:r w:rsidRPr="00A25188">
        <w:rPr>
          <w:color w:val="000000" w:themeColor="text1"/>
        </w:rPr>
        <w:t xml:space="preserve"> of</w:t>
      </w:r>
      <w:r>
        <w:rPr>
          <w:color w:val="000000" w:themeColor="text1"/>
        </w:rPr>
        <w:t xml:space="preserve"> these reasons).</w:t>
      </w:r>
      <w:bookmarkEnd w:id="192"/>
    </w:p>
    <w:p w14:paraId="20285984" w14:textId="77777777" w:rsidR="008E67EA" w:rsidRPr="00BD4E84" w:rsidRDefault="008E67EA" w:rsidP="008E67EA">
      <w:pPr>
        <w:pStyle w:val="StatementofReasonsHeading5"/>
      </w:pPr>
      <w:r>
        <w:t xml:space="preserve">Risk mitigation measures for domestic products – </w:t>
      </w:r>
      <w:r w:rsidRPr="00C13C12">
        <w:t>terrestrial vertebrates</w:t>
      </w:r>
    </w:p>
    <w:p w14:paraId="46FEEC01" w14:textId="480B73D3" w:rsidR="008E67EA" w:rsidRDefault="008E67EA">
      <w:pPr>
        <w:pStyle w:val="NumberLevel1"/>
        <w:numPr>
          <w:ilvl w:val="0"/>
          <w:numId w:val="17"/>
        </w:numPr>
        <w:tabs>
          <w:tab w:val="clear" w:pos="709"/>
          <w:tab w:val="num" w:pos="2553"/>
        </w:tabs>
        <w:rPr>
          <w:color w:val="000000" w:themeColor="text1"/>
        </w:rPr>
      </w:pPr>
      <w:bookmarkStart w:id="193" w:name="_Ref207047655"/>
      <w:r w:rsidRPr="00706827">
        <w:rPr>
          <w:color w:val="000000" w:themeColor="text1"/>
        </w:rPr>
        <w:t xml:space="preserve">In general, domestic pest-control products are agricultural chemical products that are designed to be supplied to and used by the general public for the control of common pests in private </w:t>
      </w:r>
      <w:r w:rsidRPr="00E23899">
        <w:rPr>
          <w:color w:val="000000" w:themeColor="text1"/>
        </w:rPr>
        <w:t>dwellings. I note</w:t>
      </w:r>
      <w:r>
        <w:rPr>
          <w:color w:val="000000" w:themeColor="text1"/>
        </w:rPr>
        <w:t xml:space="preserve"> that the chemical products subject to this notice that I consider to be domestic</w:t>
      </w:r>
      <w:r w:rsidRPr="00394E02">
        <w:rPr>
          <w:color w:val="000000" w:themeColor="text1"/>
        </w:rPr>
        <w:t xml:space="preserve"> anticoagulant rodenticide chemical products</w:t>
      </w:r>
      <w:r>
        <w:rPr>
          <w:color w:val="000000" w:themeColor="text1"/>
        </w:rPr>
        <w:t xml:space="preserve"> have been classified as such in </w:t>
      </w:r>
      <w:r>
        <w:rPr>
          <w:color w:val="000000" w:themeColor="text1"/>
        </w:rPr>
        <w:fldChar w:fldCharType="begin"/>
      </w:r>
      <w:r>
        <w:rPr>
          <w:color w:val="000000" w:themeColor="text1"/>
        </w:rPr>
        <w:instrText xml:space="preserve"> REF _Ref213257833 \h </w:instrText>
      </w:r>
      <w:r>
        <w:rPr>
          <w:color w:val="000000" w:themeColor="text1"/>
        </w:rPr>
      </w:r>
      <w:r>
        <w:rPr>
          <w:color w:val="000000" w:themeColor="text1"/>
        </w:rPr>
        <w:fldChar w:fldCharType="separate"/>
      </w:r>
      <w:r w:rsidR="002C0C2A">
        <w:t xml:space="preserve">Table </w:t>
      </w:r>
      <w:r w:rsidR="002C0C2A">
        <w:rPr>
          <w:noProof/>
        </w:rPr>
        <w:t>17</w:t>
      </w:r>
      <w:r>
        <w:rPr>
          <w:color w:val="000000" w:themeColor="text1"/>
        </w:rPr>
        <w:fldChar w:fldCharType="end"/>
      </w:r>
      <w:r>
        <w:rPr>
          <w:color w:val="000000" w:themeColor="text1"/>
        </w:rPr>
        <w:t xml:space="preserve"> in Attachment D in this notice.</w:t>
      </w:r>
    </w:p>
    <w:p w14:paraId="3CB0AE0B" w14:textId="77777777" w:rsidR="008E67EA" w:rsidRPr="005065D3" w:rsidRDefault="008E67EA">
      <w:pPr>
        <w:pStyle w:val="NumberLevel1"/>
        <w:numPr>
          <w:ilvl w:val="0"/>
          <w:numId w:val="17"/>
        </w:numPr>
        <w:tabs>
          <w:tab w:val="clear" w:pos="709"/>
          <w:tab w:val="num" w:pos="2553"/>
        </w:tabs>
        <w:rPr>
          <w:color w:val="000000" w:themeColor="text1"/>
        </w:rPr>
      </w:pPr>
      <w:bookmarkStart w:id="194" w:name="_Ref213439759"/>
      <w:r w:rsidRPr="005065D3">
        <w:rPr>
          <w:color w:val="000000" w:themeColor="text1"/>
        </w:rPr>
        <w:t xml:space="preserve">Based on my review and consideration of the </w:t>
      </w:r>
      <w:r>
        <w:rPr>
          <w:color w:val="000000" w:themeColor="text1"/>
        </w:rPr>
        <w:t xml:space="preserve">risk assessments summarised in sections </w:t>
      </w:r>
      <w:r w:rsidRPr="006B5FF8">
        <w:rPr>
          <w:i/>
          <w:iCs/>
          <w:color w:val="000000" w:themeColor="text1"/>
        </w:rPr>
        <w:t>3.3.2 Risks to terrestrial vertebrates’</w:t>
      </w:r>
      <w:r>
        <w:rPr>
          <w:color w:val="000000" w:themeColor="text1"/>
        </w:rPr>
        <w:t xml:space="preserve">, </w:t>
      </w:r>
      <w:r w:rsidRPr="006B5FF8">
        <w:rPr>
          <w:i/>
          <w:iCs/>
        </w:rPr>
        <w:t>‘3.4.</w:t>
      </w:r>
      <w:r>
        <w:rPr>
          <w:i/>
          <w:iCs/>
        </w:rPr>
        <w:t>1 Products and uses not supported'</w:t>
      </w:r>
      <w:r>
        <w:rPr>
          <w:color w:val="000000" w:themeColor="text1"/>
        </w:rPr>
        <w:t xml:space="preserve"> and</w:t>
      </w:r>
      <w:r>
        <w:t xml:space="preserve"> </w:t>
      </w:r>
      <w:r w:rsidRPr="006B5FF8">
        <w:rPr>
          <w:i/>
          <w:iCs/>
        </w:rPr>
        <w:t xml:space="preserve">‘3.4.2 </w:t>
      </w:r>
      <w:r w:rsidRPr="006B5FF8">
        <w:rPr>
          <w:i/>
          <w:iCs/>
          <w:color w:val="000000" w:themeColor="text1"/>
        </w:rPr>
        <w:t>Supported products and uses’</w:t>
      </w:r>
      <w:r w:rsidRPr="00E86647">
        <w:rPr>
          <w:color w:val="000000" w:themeColor="text1"/>
        </w:rPr>
        <w:t xml:space="preserve"> </w:t>
      </w:r>
      <w:r w:rsidRPr="005065D3">
        <w:rPr>
          <w:color w:val="000000" w:themeColor="text1"/>
        </w:rPr>
        <w:t xml:space="preserve">of the </w:t>
      </w:r>
      <w:r w:rsidRPr="005065D3">
        <w:rPr>
          <w:i/>
          <w:iCs/>
          <w:color w:val="000000" w:themeColor="text1"/>
        </w:rPr>
        <w:t>Anticoagulant Rodenticides Review Technical Report</w:t>
      </w:r>
      <w:r w:rsidRPr="005065D3">
        <w:rPr>
          <w:color w:val="000000" w:themeColor="text1"/>
        </w:rPr>
        <w:t>:</w:t>
      </w:r>
      <w:bookmarkEnd w:id="193"/>
      <w:bookmarkEnd w:id="194"/>
    </w:p>
    <w:p w14:paraId="6111A101" w14:textId="2BD925C5" w:rsidR="008E67EA" w:rsidRPr="00346726" w:rsidRDefault="008E67EA">
      <w:pPr>
        <w:pStyle w:val="NumberLevel2"/>
        <w:numPr>
          <w:ilvl w:val="1"/>
          <w:numId w:val="17"/>
        </w:numPr>
        <w:ind w:left="1134"/>
      </w:pPr>
      <w:bookmarkStart w:id="195" w:name="_Ref213440027"/>
      <w:r w:rsidRPr="00346726">
        <w:lastRenderedPageBreak/>
        <w:t>I note that there is a high risk of unintentional exposure of non-target terrestrial vertebrates associated with the availability of large pack sizes of anticoagulant rodenticide anticoagulant rodenticide chemical products. This is in part due to the fact that large pack sizes facilitate the over-use of these chemical products due to the placement of excessive number of bait points proportionate to the size of the infestation. I also note that large pack sizes of domestic anticoagulant rodenticide chemical products are not required for a typical rodent infestation in domestic locations, and that the general public are not expected to be trained in the best practice application and safe use of these anticoagulant rodenticide chemical products.</w:t>
      </w:r>
      <w:bookmarkEnd w:id="195"/>
    </w:p>
    <w:p w14:paraId="7C5A885D" w14:textId="4CC75408" w:rsidR="008E67EA" w:rsidRPr="00390689" w:rsidRDefault="008E67EA">
      <w:pPr>
        <w:pStyle w:val="NumberLevel2"/>
        <w:numPr>
          <w:ilvl w:val="1"/>
          <w:numId w:val="17"/>
        </w:numPr>
        <w:ind w:left="1134"/>
      </w:pPr>
      <w:r w:rsidRPr="00390689">
        <w:t>I consider that limiting the pack size of products that are available to the general public is a feasible method of reducing this risk to non-target terrestrial vertebrates. As such, I make the finding that the net contents of all anticoagulant rodenticide domestic anticoagulant rodenticide chemica</w:t>
      </w:r>
      <w:r>
        <w:t>l</w:t>
      </w:r>
      <w:r w:rsidRPr="00390689">
        <w:rPr>
          <w:color w:val="000000" w:themeColor="text1"/>
        </w:rPr>
        <w:t xml:space="preserve"> </w:t>
      </w:r>
      <w:r w:rsidRPr="00390689">
        <w:t xml:space="preserve">products listed in Attachment A of this notice should be limited to the maximum net contents listed in </w:t>
      </w:r>
      <w:r w:rsidRPr="00390689">
        <w:fldChar w:fldCharType="begin"/>
      </w:r>
      <w:r w:rsidRPr="00390689">
        <w:instrText xml:space="preserve"> REF _Ref206093622 \h  \* MERGEFORMAT </w:instrText>
      </w:r>
      <w:r w:rsidRPr="00390689">
        <w:fldChar w:fldCharType="separate"/>
      </w:r>
      <w:r w:rsidR="002C0C2A" w:rsidRPr="002C0C2A">
        <w:t>Table 6</w:t>
      </w:r>
      <w:r w:rsidRPr="00390689">
        <w:fldChar w:fldCharType="end"/>
      </w:r>
      <w:r w:rsidRPr="00390689">
        <w:t xml:space="preserve">, based on the active constituent and bait type of the chemical product. I note that maximum net contents listed in </w:t>
      </w:r>
      <w:r w:rsidRPr="00390689">
        <w:fldChar w:fldCharType="begin"/>
      </w:r>
      <w:r w:rsidRPr="00390689">
        <w:instrText xml:space="preserve"> REF _Ref206093622 \h  \* MERGEFORMAT </w:instrText>
      </w:r>
      <w:r w:rsidRPr="00390689">
        <w:fldChar w:fldCharType="separate"/>
      </w:r>
      <w:r w:rsidR="002C0C2A" w:rsidRPr="002C0C2A">
        <w:t>Table 6</w:t>
      </w:r>
      <w:r w:rsidRPr="00390689">
        <w:fldChar w:fldCharType="end"/>
      </w:r>
      <w:r w:rsidRPr="00390689">
        <w:t xml:space="preserve"> below have been adapted in line with the recommendations of the European Commission, which are set out in the </w:t>
      </w:r>
      <w:hyperlink r:id="rId42" w:history="1">
        <w:r w:rsidRPr="00390689">
          <w:rPr>
            <w:rStyle w:val="Hyperlink"/>
            <w:i/>
            <w:iCs/>
          </w:rPr>
          <w:t>Risk Mitigation Measures for Anticoagulant Rodenticides as Biocidal Products</w:t>
        </w:r>
      </w:hyperlink>
      <w:r w:rsidRPr="00390689">
        <w:rPr>
          <w:rStyle w:val="FootnoteReference"/>
          <w:i/>
          <w:iCs/>
        </w:rPr>
        <w:footnoteReference w:id="8"/>
      </w:r>
      <w:r w:rsidRPr="00390689">
        <w:t xml:space="preserve"> final report.</w:t>
      </w:r>
    </w:p>
    <w:p w14:paraId="382E524B" w14:textId="13F070C8" w:rsidR="008E67EA" w:rsidRPr="00B33ED7" w:rsidRDefault="008E67EA" w:rsidP="00B33ED7">
      <w:pPr>
        <w:pStyle w:val="Caption"/>
        <w:ind w:left="567"/>
        <w:rPr>
          <w:rStyle w:val="charsectno"/>
        </w:rPr>
      </w:pPr>
      <w:bookmarkStart w:id="196" w:name="_Ref206093622"/>
      <w:r w:rsidRPr="00B33ED7">
        <w:rPr>
          <w:rStyle w:val="charsectno"/>
        </w:rPr>
        <w:t xml:space="preserve">Table </w:t>
      </w:r>
      <w:r w:rsidRPr="00B33ED7">
        <w:rPr>
          <w:rStyle w:val="charsectno"/>
        </w:rPr>
        <w:fldChar w:fldCharType="begin"/>
      </w:r>
      <w:r w:rsidRPr="00B33ED7">
        <w:rPr>
          <w:rStyle w:val="charsectno"/>
        </w:rPr>
        <w:instrText xml:space="preserve"> SEQ Table \* ARABIC </w:instrText>
      </w:r>
      <w:r w:rsidRPr="00B33ED7">
        <w:rPr>
          <w:rStyle w:val="charsectno"/>
        </w:rPr>
        <w:fldChar w:fldCharType="separate"/>
      </w:r>
      <w:r w:rsidR="002C0C2A">
        <w:rPr>
          <w:rStyle w:val="charsectno"/>
          <w:noProof/>
        </w:rPr>
        <w:t>6</w:t>
      </w:r>
      <w:r w:rsidRPr="00B33ED7">
        <w:rPr>
          <w:rStyle w:val="charsectno"/>
        </w:rPr>
        <w:fldChar w:fldCharType="end"/>
      </w:r>
      <w:bookmarkEnd w:id="196"/>
      <w:r w:rsidRPr="00B33ED7">
        <w:rPr>
          <w:rStyle w:val="charsectno"/>
        </w:rPr>
        <w:t xml:space="preserve">: Maximum net contents for domestic pest-control products </w:t>
      </w:r>
    </w:p>
    <w:tbl>
      <w:tblPr>
        <w:tblW w:w="466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827"/>
        <w:gridCol w:w="2582"/>
        <w:gridCol w:w="2580"/>
      </w:tblGrid>
      <w:tr w:rsidR="008E67EA" w:rsidRPr="006B74D1" w14:paraId="653D4F68" w14:textId="77777777" w:rsidTr="00B44A74">
        <w:trPr>
          <w:cantSplit/>
          <w:tblHeader/>
        </w:trPr>
        <w:tc>
          <w:tcPr>
            <w:tcW w:w="2129" w:type="pct"/>
            <w:tcBorders>
              <w:top w:val="single" w:sz="4" w:space="0" w:color="auto"/>
              <w:left w:val="single" w:sz="4" w:space="0" w:color="auto"/>
              <w:bottom w:val="single" w:sz="4" w:space="0" w:color="auto"/>
              <w:right w:val="single" w:sz="4" w:space="0" w:color="auto"/>
            </w:tcBorders>
            <w:shd w:val="clear" w:color="auto" w:fill="E6E6E6"/>
          </w:tcPr>
          <w:p w14:paraId="6417E07C" w14:textId="77777777" w:rsidR="008E67EA" w:rsidRPr="003C572C" w:rsidRDefault="008E67EA" w:rsidP="00B44A74">
            <w:pPr>
              <w:pStyle w:val="TableHead"/>
              <w:spacing w:before="0" w:after="0"/>
              <w:rPr>
                <w:color w:val="auto"/>
              </w:rPr>
            </w:pPr>
            <w:r>
              <w:rPr>
                <w:color w:val="auto"/>
              </w:rPr>
              <w:t>Active Constituent</w:t>
            </w:r>
          </w:p>
        </w:tc>
        <w:tc>
          <w:tcPr>
            <w:tcW w:w="1436" w:type="pct"/>
            <w:tcBorders>
              <w:top w:val="single" w:sz="4" w:space="0" w:color="auto"/>
              <w:left w:val="single" w:sz="4" w:space="0" w:color="auto"/>
              <w:bottom w:val="single" w:sz="4" w:space="0" w:color="auto"/>
              <w:right w:val="single" w:sz="4" w:space="0" w:color="auto"/>
            </w:tcBorders>
            <w:shd w:val="clear" w:color="auto" w:fill="E6E6E6"/>
          </w:tcPr>
          <w:p w14:paraId="030BDBB4" w14:textId="77777777" w:rsidR="008E67EA" w:rsidRPr="003C572C" w:rsidRDefault="008E67EA" w:rsidP="00B44A74">
            <w:pPr>
              <w:pStyle w:val="TableHead"/>
              <w:spacing w:before="0" w:after="0"/>
              <w:rPr>
                <w:color w:val="auto"/>
              </w:rPr>
            </w:pPr>
            <w:r>
              <w:rPr>
                <w:color w:val="auto"/>
              </w:rPr>
              <w:t>Bait type</w:t>
            </w:r>
          </w:p>
        </w:tc>
        <w:tc>
          <w:tcPr>
            <w:tcW w:w="1436" w:type="pct"/>
            <w:tcBorders>
              <w:top w:val="single" w:sz="4" w:space="0" w:color="auto"/>
              <w:left w:val="single" w:sz="4" w:space="0" w:color="auto"/>
              <w:bottom w:val="single" w:sz="4" w:space="0" w:color="auto"/>
              <w:right w:val="single" w:sz="4" w:space="0" w:color="auto"/>
            </w:tcBorders>
            <w:shd w:val="clear" w:color="auto" w:fill="E6E6E6"/>
            <w:vAlign w:val="center"/>
          </w:tcPr>
          <w:p w14:paraId="78F83605" w14:textId="77777777" w:rsidR="008E67EA" w:rsidRPr="003C572C" w:rsidRDefault="008E67EA" w:rsidP="00B44A74">
            <w:pPr>
              <w:pStyle w:val="TableHead"/>
              <w:spacing w:before="0" w:after="0"/>
              <w:rPr>
                <w:color w:val="auto"/>
              </w:rPr>
            </w:pPr>
            <w:r>
              <w:rPr>
                <w:color w:val="auto"/>
              </w:rPr>
              <w:t>Maximum net contents (g)</w:t>
            </w:r>
          </w:p>
        </w:tc>
      </w:tr>
      <w:tr w:rsidR="008E67EA" w:rsidRPr="006B74D1" w14:paraId="1EB44505" w14:textId="77777777" w:rsidTr="00B44A74">
        <w:trPr>
          <w:cantSplit/>
        </w:trPr>
        <w:tc>
          <w:tcPr>
            <w:tcW w:w="2129" w:type="pct"/>
            <w:vMerge w:val="restart"/>
            <w:tcBorders>
              <w:top w:val="single" w:sz="4" w:space="0" w:color="auto"/>
              <w:left w:val="single" w:sz="4" w:space="0" w:color="auto"/>
              <w:right w:val="single" w:sz="4" w:space="0" w:color="auto"/>
            </w:tcBorders>
          </w:tcPr>
          <w:p w14:paraId="7C1C47C8" w14:textId="77777777" w:rsidR="008E67EA" w:rsidRDefault="008E67EA" w:rsidP="00B44A74">
            <w:pPr>
              <w:pStyle w:val="APVMATableText"/>
              <w:spacing w:before="0" w:after="0"/>
              <w:rPr>
                <w:szCs w:val="17"/>
              </w:rPr>
            </w:pPr>
            <w:r>
              <w:rPr>
                <w:szCs w:val="17"/>
              </w:rPr>
              <w:t>FGARs: coumatetralyl and diphacinone</w:t>
            </w:r>
          </w:p>
        </w:tc>
        <w:tc>
          <w:tcPr>
            <w:tcW w:w="1436" w:type="pct"/>
            <w:tcBorders>
              <w:top w:val="single" w:sz="4" w:space="0" w:color="auto"/>
              <w:left w:val="single" w:sz="4" w:space="0" w:color="auto"/>
              <w:right w:val="single" w:sz="4" w:space="0" w:color="auto"/>
            </w:tcBorders>
          </w:tcPr>
          <w:p w14:paraId="63FABF49" w14:textId="77777777" w:rsidR="008E67EA" w:rsidRDefault="008E67EA" w:rsidP="00B44A74">
            <w:pPr>
              <w:pStyle w:val="APVMATableText"/>
              <w:spacing w:before="0" w:after="0"/>
              <w:rPr>
                <w:szCs w:val="17"/>
              </w:rPr>
            </w:pPr>
            <w:r w:rsidRPr="00A51960">
              <w:rPr>
                <w:szCs w:val="17"/>
              </w:rPr>
              <w:t>Grain, pellet or paste</w:t>
            </w:r>
          </w:p>
        </w:tc>
        <w:tc>
          <w:tcPr>
            <w:tcW w:w="1436" w:type="pct"/>
            <w:tcBorders>
              <w:top w:val="single" w:sz="4" w:space="0" w:color="auto"/>
              <w:left w:val="single" w:sz="4" w:space="0" w:color="auto"/>
              <w:right w:val="single" w:sz="4" w:space="0" w:color="auto"/>
            </w:tcBorders>
          </w:tcPr>
          <w:p w14:paraId="258948A2" w14:textId="77777777" w:rsidR="008E67EA" w:rsidRDefault="008E67EA" w:rsidP="00B44A74">
            <w:pPr>
              <w:pStyle w:val="APVMATableText"/>
              <w:spacing w:before="0" w:after="0"/>
              <w:rPr>
                <w:szCs w:val="17"/>
              </w:rPr>
            </w:pPr>
            <w:r>
              <w:rPr>
                <w:szCs w:val="17"/>
              </w:rPr>
              <w:t>750</w:t>
            </w:r>
          </w:p>
        </w:tc>
      </w:tr>
      <w:tr w:rsidR="008E67EA" w:rsidRPr="006B74D1" w14:paraId="7C99A51E" w14:textId="77777777" w:rsidTr="00B44A74">
        <w:trPr>
          <w:cantSplit/>
        </w:trPr>
        <w:tc>
          <w:tcPr>
            <w:tcW w:w="2129" w:type="pct"/>
            <w:vMerge/>
            <w:tcBorders>
              <w:left w:val="single" w:sz="4" w:space="0" w:color="auto"/>
              <w:right w:val="single" w:sz="4" w:space="0" w:color="auto"/>
            </w:tcBorders>
          </w:tcPr>
          <w:p w14:paraId="04C8A650" w14:textId="77777777" w:rsidR="008E67EA" w:rsidRDefault="008E67EA" w:rsidP="00B44A74">
            <w:pPr>
              <w:pStyle w:val="APVMATableText"/>
              <w:spacing w:before="0" w:after="0"/>
              <w:rPr>
                <w:szCs w:val="17"/>
              </w:rPr>
            </w:pPr>
          </w:p>
        </w:tc>
        <w:tc>
          <w:tcPr>
            <w:tcW w:w="1436" w:type="pct"/>
            <w:tcBorders>
              <w:top w:val="single" w:sz="4" w:space="0" w:color="auto"/>
              <w:left w:val="single" w:sz="4" w:space="0" w:color="auto"/>
              <w:right w:val="single" w:sz="4" w:space="0" w:color="auto"/>
            </w:tcBorders>
          </w:tcPr>
          <w:p w14:paraId="20A10835" w14:textId="77777777" w:rsidR="008E67EA" w:rsidRDefault="008E67EA" w:rsidP="00B44A74">
            <w:pPr>
              <w:pStyle w:val="APVMATableText"/>
              <w:spacing w:before="0" w:after="0"/>
              <w:rPr>
                <w:szCs w:val="17"/>
              </w:rPr>
            </w:pPr>
            <w:r w:rsidRPr="00A51960">
              <w:rPr>
                <w:szCs w:val="17"/>
              </w:rPr>
              <w:t>Wax blocks</w:t>
            </w:r>
          </w:p>
        </w:tc>
        <w:tc>
          <w:tcPr>
            <w:tcW w:w="1436" w:type="pct"/>
            <w:tcBorders>
              <w:top w:val="single" w:sz="4" w:space="0" w:color="auto"/>
              <w:left w:val="single" w:sz="4" w:space="0" w:color="auto"/>
              <w:right w:val="single" w:sz="4" w:space="0" w:color="auto"/>
            </w:tcBorders>
          </w:tcPr>
          <w:p w14:paraId="5CC4951F" w14:textId="77777777" w:rsidR="008E67EA" w:rsidRDefault="008E67EA" w:rsidP="00B44A74">
            <w:pPr>
              <w:pStyle w:val="APVMATableText"/>
              <w:spacing w:before="0" w:after="0"/>
              <w:rPr>
                <w:szCs w:val="17"/>
              </w:rPr>
            </w:pPr>
            <w:r>
              <w:rPr>
                <w:szCs w:val="17"/>
              </w:rPr>
              <w:t>1500</w:t>
            </w:r>
          </w:p>
        </w:tc>
      </w:tr>
      <w:tr w:rsidR="008E67EA" w:rsidRPr="006B74D1" w14:paraId="53C94189" w14:textId="77777777" w:rsidTr="00B44A74">
        <w:trPr>
          <w:cantSplit/>
        </w:trPr>
        <w:tc>
          <w:tcPr>
            <w:tcW w:w="2129" w:type="pct"/>
            <w:vMerge w:val="restart"/>
            <w:tcBorders>
              <w:left w:val="single" w:sz="4" w:space="0" w:color="auto"/>
              <w:right w:val="single" w:sz="4" w:space="0" w:color="auto"/>
            </w:tcBorders>
          </w:tcPr>
          <w:p w14:paraId="2D606E74" w14:textId="77777777" w:rsidR="008E67EA" w:rsidRDefault="008E67EA" w:rsidP="00B44A74">
            <w:pPr>
              <w:pStyle w:val="APVMATableText"/>
              <w:spacing w:before="0" w:after="0"/>
              <w:rPr>
                <w:szCs w:val="17"/>
              </w:rPr>
            </w:pPr>
            <w:r>
              <w:rPr>
                <w:szCs w:val="17"/>
              </w:rPr>
              <w:t xml:space="preserve">SGARs: </w:t>
            </w:r>
            <w:r w:rsidRPr="00A51960">
              <w:rPr>
                <w:szCs w:val="17"/>
              </w:rPr>
              <w:t>brodifacoum, bromadiolone, difenacoum, difethialone and flocoumafen</w:t>
            </w:r>
          </w:p>
        </w:tc>
        <w:tc>
          <w:tcPr>
            <w:tcW w:w="1436" w:type="pct"/>
            <w:tcBorders>
              <w:left w:val="single" w:sz="4" w:space="0" w:color="auto"/>
              <w:right w:val="single" w:sz="4" w:space="0" w:color="auto"/>
            </w:tcBorders>
          </w:tcPr>
          <w:p w14:paraId="677A2A09" w14:textId="77777777" w:rsidR="008E67EA" w:rsidRDefault="008E67EA" w:rsidP="00B44A74">
            <w:pPr>
              <w:pStyle w:val="APVMATableText"/>
              <w:spacing w:before="0" w:after="0"/>
              <w:rPr>
                <w:szCs w:val="17"/>
              </w:rPr>
            </w:pPr>
            <w:r w:rsidRPr="00A51960">
              <w:rPr>
                <w:szCs w:val="17"/>
              </w:rPr>
              <w:t>Grain, pellet or paste</w:t>
            </w:r>
          </w:p>
        </w:tc>
        <w:tc>
          <w:tcPr>
            <w:tcW w:w="1436" w:type="pct"/>
            <w:tcBorders>
              <w:left w:val="single" w:sz="4" w:space="0" w:color="auto"/>
              <w:right w:val="single" w:sz="4" w:space="0" w:color="auto"/>
            </w:tcBorders>
          </w:tcPr>
          <w:p w14:paraId="54AB8990" w14:textId="77777777" w:rsidR="008E67EA" w:rsidRDefault="008E67EA" w:rsidP="00B44A74">
            <w:pPr>
              <w:pStyle w:val="APVMATableText"/>
              <w:spacing w:before="0" w:after="0"/>
              <w:rPr>
                <w:szCs w:val="17"/>
              </w:rPr>
            </w:pPr>
            <w:r>
              <w:rPr>
                <w:szCs w:val="17"/>
              </w:rPr>
              <w:t>150</w:t>
            </w:r>
          </w:p>
        </w:tc>
      </w:tr>
      <w:tr w:rsidR="008E67EA" w:rsidRPr="006B74D1" w14:paraId="14302942" w14:textId="77777777" w:rsidTr="00B44A74">
        <w:trPr>
          <w:cantSplit/>
        </w:trPr>
        <w:tc>
          <w:tcPr>
            <w:tcW w:w="2129" w:type="pct"/>
            <w:vMerge/>
            <w:tcBorders>
              <w:left w:val="single" w:sz="4" w:space="0" w:color="auto"/>
              <w:bottom w:val="single" w:sz="4" w:space="0" w:color="auto"/>
              <w:right w:val="single" w:sz="4" w:space="0" w:color="auto"/>
            </w:tcBorders>
          </w:tcPr>
          <w:p w14:paraId="6AE41802" w14:textId="77777777" w:rsidR="008E67EA" w:rsidRDefault="008E67EA" w:rsidP="00B44A74">
            <w:pPr>
              <w:pStyle w:val="APVMATableText"/>
              <w:spacing w:before="0" w:after="0"/>
              <w:rPr>
                <w:szCs w:val="17"/>
              </w:rPr>
            </w:pPr>
          </w:p>
        </w:tc>
        <w:tc>
          <w:tcPr>
            <w:tcW w:w="1436" w:type="pct"/>
            <w:tcBorders>
              <w:left w:val="single" w:sz="4" w:space="0" w:color="auto"/>
              <w:bottom w:val="single" w:sz="4" w:space="0" w:color="auto"/>
              <w:right w:val="single" w:sz="4" w:space="0" w:color="auto"/>
            </w:tcBorders>
          </w:tcPr>
          <w:p w14:paraId="4B79EC80" w14:textId="77777777" w:rsidR="008E67EA" w:rsidRDefault="008E67EA" w:rsidP="00B44A74">
            <w:pPr>
              <w:pStyle w:val="APVMATableText"/>
              <w:spacing w:before="0" w:after="0"/>
              <w:rPr>
                <w:szCs w:val="17"/>
              </w:rPr>
            </w:pPr>
            <w:r w:rsidRPr="00A51960">
              <w:rPr>
                <w:szCs w:val="17"/>
              </w:rPr>
              <w:t>Wax blocks</w:t>
            </w:r>
          </w:p>
        </w:tc>
        <w:tc>
          <w:tcPr>
            <w:tcW w:w="1436" w:type="pct"/>
            <w:tcBorders>
              <w:left w:val="single" w:sz="4" w:space="0" w:color="auto"/>
              <w:bottom w:val="single" w:sz="4" w:space="0" w:color="auto"/>
              <w:right w:val="single" w:sz="4" w:space="0" w:color="auto"/>
            </w:tcBorders>
          </w:tcPr>
          <w:p w14:paraId="1F72DA5F" w14:textId="77777777" w:rsidR="008E67EA" w:rsidRDefault="008E67EA" w:rsidP="00B44A74">
            <w:pPr>
              <w:pStyle w:val="APVMATableText"/>
              <w:spacing w:before="0" w:after="0"/>
              <w:rPr>
                <w:szCs w:val="17"/>
              </w:rPr>
            </w:pPr>
            <w:r>
              <w:rPr>
                <w:szCs w:val="17"/>
              </w:rPr>
              <w:t>300</w:t>
            </w:r>
          </w:p>
        </w:tc>
      </w:tr>
    </w:tbl>
    <w:p w14:paraId="16AB8C0A" w14:textId="77777777" w:rsidR="008E67EA" w:rsidRPr="00934CC2" w:rsidRDefault="008E67EA">
      <w:pPr>
        <w:pStyle w:val="NumberLevel1"/>
        <w:numPr>
          <w:ilvl w:val="0"/>
          <w:numId w:val="17"/>
        </w:numPr>
        <w:tabs>
          <w:tab w:val="clear" w:pos="709"/>
          <w:tab w:val="num" w:pos="2553"/>
        </w:tabs>
        <w:rPr>
          <w:color w:val="000000" w:themeColor="text1"/>
        </w:rPr>
      </w:pPr>
      <w:bookmarkStart w:id="197" w:name="_Ref207047666"/>
      <w:r w:rsidRPr="00934CC2">
        <w:rPr>
          <w:color w:val="000000" w:themeColor="text1"/>
        </w:rPr>
        <w:t xml:space="preserve">In relation to </w:t>
      </w:r>
      <w:r w:rsidRPr="00841BCE">
        <w:rPr>
          <w:color w:val="000000" w:themeColor="text1"/>
        </w:rPr>
        <w:t>instructions for use for domestic anticoagulant rodenticide chemical products, based on my review and consideration of the</w:t>
      </w:r>
      <w:r w:rsidRPr="00934CC2">
        <w:rPr>
          <w:color w:val="000000" w:themeColor="text1"/>
        </w:rPr>
        <w:t xml:space="preserve"> </w:t>
      </w:r>
      <w:r>
        <w:rPr>
          <w:color w:val="000000" w:themeColor="text1"/>
        </w:rPr>
        <w:t xml:space="preserve">risk assessments and </w:t>
      </w:r>
      <w:r w:rsidRPr="00934CC2">
        <w:rPr>
          <w:color w:val="000000" w:themeColor="text1"/>
        </w:rPr>
        <w:t xml:space="preserve">recommendations </w:t>
      </w:r>
      <w:r>
        <w:rPr>
          <w:color w:val="000000" w:themeColor="text1"/>
        </w:rPr>
        <w:t xml:space="preserve">summarised </w:t>
      </w:r>
      <w:r w:rsidRPr="00934CC2">
        <w:rPr>
          <w:color w:val="000000" w:themeColor="text1"/>
        </w:rPr>
        <w:t>in</w:t>
      </w:r>
      <w:r>
        <w:rPr>
          <w:color w:val="000000" w:themeColor="text1"/>
        </w:rPr>
        <w:t xml:space="preserve"> section </w:t>
      </w:r>
      <w:r w:rsidRPr="006B5FF8">
        <w:rPr>
          <w:i/>
          <w:iCs/>
          <w:color w:val="000000" w:themeColor="text1"/>
        </w:rPr>
        <w:t>3.3.2 Risks to terrestrial vertebrates’</w:t>
      </w:r>
      <w:r>
        <w:rPr>
          <w:color w:val="000000" w:themeColor="text1"/>
        </w:rPr>
        <w:t xml:space="preserve"> and</w:t>
      </w:r>
      <w:r>
        <w:t xml:space="preserve"> </w:t>
      </w:r>
      <w:r w:rsidRPr="006B5FF8">
        <w:rPr>
          <w:i/>
          <w:iCs/>
        </w:rPr>
        <w:t xml:space="preserve">‘3.4.2 </w:t>
      </w:r>
      <w:r w:rsidRPr="006B5FF8">
        <w:rPr>
          <w:i/>
          <w:iCs/>
          <w:color w:val="000000" w:themeColor="text1"/>
        </w:rPr>
        <w:t>Supported products and uses’</w:t>
      </w:r>
      <w:r w:rsidRPr="00934CC2">
        <w:rPr>
          <w:color w:val="000000" w:themeColor="text1"/>
        </w:rPr>
        <w:t xml:space="preserve"> of the </w:t>
      </w:r>
      <w:r w:rsidRPr="00934CC2">
        <w:rPr>
          <w:i/>
          <w:iCs/>
          <w:color w:val="000000" w:themeColor="text1"/>
        </w:rPr>
        <w:t>Anticoagulant Rodenticides Review Technical Report</w:t>
      </w:r>
      <w:r w:rsidRPr="00934CC2">
        <w:rPr>
          <w:color w:val="000000" w:themeColor="text1"/>
        </w:rPr>
        <w:t>:</w:t>
      </w:r>
      <w:bookmarkEnd w:id="197"/>
    </w:p>
    <w:p w14:paraId="4E2824EA" w14:textId="77777777" w:rsidR="008E67EA" w:rsidRPr="00CA7C40" w:rsidRDefault="008E67EA">
      <w:pPr>
        <w:pStyle w:val="NumberLevel2"/>
        <w:numPr>
          <w:ilvl w:val="1"/>
          <w:numId w:val="17"/>
        </w:numPr>
        <w:ind w:left="1134"/>
        <w:rPr>
          <w:color w:val="000000" w:themeColor="text1"/>
        </w:rPr>
      </w:pPr>
      <w:bookmarkStart w:id="198" w:name="_Ref206083584"/>
      <w:r w:rsidRPr="00CA7C40">
        <w:rPr>
          <w:color w:val="000000" w:themeColor="text1"/>
        </w:rPr>
        <w:t xml:space="preserve">I note that mandated use of tamper resistant bait stations by domestic users is recommended to reduce the risk of unintended exposure of non-target terrestrial vertebrates. I consider this appropriate given that tamper resistant bait stations prevent any non-target species larger than the target rodent from accessing the bait and that domestic users are not expected to be trained on the safe use of anticoagulant rodenticide chemical products. I also note that securing these tamper resistant bait stations prevents baits from being spilled. Noting the intent of these recommendations, I consider that the following restraint and instructions are required to be added to the instructions for use for all domestic anticoagulant rodenticide chemical products listed in Attachment A of this notice: </w:t>
      </w:r>
      <w:r w:rsidRPr="00CA7C40">
        <w:rPr>
          <w:b/>
          <w:bCs/>
          <w:i/>
          <w:iCs/>
          <w:color w:val="000000" w:themeColor="text1"/>
        </w:rPr>
        <w:t xml:space="preserve">‘DO NOT place baits unless in tamper-resistant bait stations.’ </w:t>
      </w:r>
      <w:r w:rsidRPr="00CA7C40">
        <w:rPr>
          <w:color w:val="000000" w:themeColor="text1"/>
        </w:rPr>
        <w:t>and</w:t>
      </w:r>
      <w:r w:rsidRPr="00CA7C40">
        <w:rPr>
          <w:b/>
          <w:bCs/>
          <w:i/>
          <w:iCs/>
          <w:color w:val="000000" w:themeColor="text1"/>
        </w:rPr>
        <w:t xml:space="preserve"> ‘Use in tamper resistant bait stations only. If bait can be dislodged from bait station, fix tamper-resistant bait stations to the ground or other structures.’</w:t>
      </w:r>
      <w:bookmarkEnd w:id="198"/>
    </w:p>
    <w:p w14:paraId="751CF135" w14:textId="77777777" w:rsidR="008E67EA" w:rsidRPr="00841BCE" w:rsidRDefault="008E67EA">
      <w:pPr>
        <w:pStyle w:val="NumberLevel2"/>
        <w:numPr>
          <w:ilvl w:val="1"/>
          <w:numId w:val="17"/>
        </w:numPr>
        <w:ind w:left="1134"/>
        <w:rPr>
          <w:color w:val="000000" w:themeColor="text1"/>
        </w:rPr>
      </w:pPr>
      <w:bookmarkStart w:id="199" w:name="_Ref213434550"/>
      <w:r w:rsidRPr="00841BCE">
        <w:rPr>
          <w:color w:val="000000" w:themeColor="text1"/>
        </w:rPr>
        <w:t xml:space="preserve">I note that the continued rodent activity after 35 days of treatment may indicate the treatment is ineffective due to resistance build up or the movement of rodents, and continued application of baits by untrained domestic users may needlessly increase the risk of unintended exposure of non-target wildlife. Therefore, I consider that the following instructions for use are required for all domestic anticoagulant rodenticide chemical products listed in Attachment A of this notice: </w:t>
      </w:r>
      <w:r w:rsidRPr="00841BCE">
        <w:rPr>
          <w:b/>
          <w:bCs/>
          <w:i/>
          <w:iCs/>
          <w:color w:val="000000" w:themeColor="text1"/>
        </w:rPr>
        <w:t xml:space="preserve">‘DO NOT use the product for longer than 35 </w:t>
      </w:r>
      <w:r w:rsidRPr="00841BCE">
        <w:rPr>
          <w:b/>
          <w:bCs/>
          <w:i/>
          <w:iCs/>
          <w:color w:val="000000" w:themeColor="text1"/>
        </w:rPr>
        <w:lastRenderedPageBreak/>
        <w:t>days. If rodent activity is still observed after 35 days, seek advice from the product supplier or call a pest control service.’</w:t>
      </w:r>
      <w:bookmarkEnd w:id="199"/>
    </w:p>
    <w:p w14:paraId="725E740A" w14:textId="77777777" w:rsidR="008E67EA" w:rsidRPr="00841BCE" w:rsidRDefault="008E67EA">
      <w:pPr>
        <w:pStyle w:val="NumberLevel2"/>
        <w:numPr>
          <w:ilvl w:val="1"/>
          <w:numId w:val="17"/>
        </w:numPr>
        <w:ind w:left="1134"/>
        <w:rPr>
          <w:color w:val="000000" w:themeColor="text1"/>
        </w:rPr>
      </w:pPr>
      <w:bookmarkStart w:id="200" w:name="_Ref213592852"/>
      <w:r w:rsidRPr="00841BCE">
        <w:rPr>
          <w:color w:val="000000" w:themeColor="text1"/>
        </w:rPr>
        <w:t xml:space="preserve">I note that advanced knowledge is required to effectively use the pulsed baiting technique, and domestic users are not expected to be trained on the application of anticoagulant rodenticide chemical products. Therefore, I consider that the following instructions for use are required for all domestic anticoagulant rodenticide chemical products listed in Attachment A of this notice: </w:t>
      </w:r>
      <w:r w:rsidRPr="00841BCE">
        <w:rPr>
          <w:b/>
          <w:bCs/>
          <w:i/>
          <w:iCs/>
          <w:color w:val="000000" w:themeColor="text1"/>
        </w:rPr>
        <w:t>‘DO NOT use the product in pulsed baiting treatments.’</w:t>
      </w:r>
      <w:bookmarkEnd w:id="200"/>
    </w:p>
    <w:p w14:paraId="2C969227" w14:textId="0E5D1609" w:rsidR="008E67EA" w:rsidRPr="00A92CC8" w:rsidRDefault="008E67EA">
      <w:pPr>
        <w:pStyle w:val="NumberLevel1"/>
        <w:numPr>
          <w:ilvl w:val="0"/>
          <w:numId w:val="17"/>
        </w:numPr>
        <w:tabs>
          <w:tab w:val="clear" w:pos="709"/>
          <w:tab w:val="num" w:pos="2553"/>
        </w:tabs>
        <w:rPr>
          <w:color w:val="000000" w:themeColor="text1"/>
        </w:rPr>
      </w:pPr>
      <w:bookmarkStart w:id="201" w:name="_Ref213444267"/>
      <w:r w:rsidRPr="00A92CC8">
        <w:rPr>
          <w:color w:val="000000" w:themeColor="text1"/>
        </w:rPr>
        <w:t xml:space="preserve">Finally, regarding the instructions for use for commercial anticoagulant rodenticide chemical products that relate to the disposal of dead rodents and slugs/snails discussed in paragraph </w:t>
      </w:r>
      <w:r w:rsidRPr="00A92CC8">
        <w:rPr>
          <w:color w:val="000000" w:themeColor="text1"/>
        </w:rPr>
        <w:fldChar w:fldCharType="begin"/>
      </w:r>
      <w:r w:rsidRPr="00A92CC8">
        <w:rPr>
          <w:color w:val="000000" w:themeColor="text1"/>
        </w:rPr>
        <w:instrText xml:space="preserve"> REF _Ref213184776 \r \h </w:instrText>
      </w:r>
      <w:r w:rsidRPr="00A92CC8">
        <w:rPr>
          <w:color w:val="000000" w:themeColor="text1"/>
        </w:rPr>
      </w:r>
      <w:r w:rsidRPr="00A92CC8">
        <w:rPr>
          <w:color w:val="000000" w:themeColor="text1"/>
        </w:rPr>
        <w:fldChar w:fldCharType="separate"/>
      </w:r>
      <w:r w:rsidR="002C0C2A">
        <w:rPr>
          <w:color w:val="000000" w:themeColor="text1"/>
        </w:rPr>
        <w:t>52.2</w:t>
      </w:r>
      <w:r w:rsidRPr="00A92CC8">
        <w:rPr>
          <w:color w:val="000000" w:themeColor="text1"/>
        </w:rPr>
        <w:fldChar w:fldCharType="end"/>
      </w:r>
      <w:r w:rsidRPr="00A92CC8">
        <w:rPr>
          <w:color w:val="000000" w:themeColor="text1"/>
        </w:rPr>
        <w:t xml:space="preserve"> of these reasons above, the disposal of </w:t>
      </w:r>
      <w:r>
        <w:rPr>
          <w:color w:val="000000" w:themeColor="text1"/>
        </w:rPr>
        <w:t xml:space="preserve">any </w:t>
      </w:r>
      <w:r w:rsidRPr="00A92CC8">
        <w:rPr>
          <w:color w:val="000000" w:themeColor="text1"/>
        </w:rPr>
        <w:t>uneaten bait that may be collected at the end of treatment, and the disposal of product when no longer required and containers of the product:</w:t>
      </w:r>
      <w:bookmarkEnd w:id="201"/>
    </w:p>
    <w:p w14:paraId="2771B903" w14:textId="366CFF78" w:rsidR="008E67EA" w:rsidRPr="00841BCE" w:rsidRDefault="008E67EA">
      <w:pPr>
        <w:pStyle w:val="NumberLevel2"/>
        <w:numPr>
          <w:ilvl w:val="1"/>
          <w:numId w:val="17"/>
        </w:numPr>
        <w:ind w:left="1134"/>
        <w:rPr>
          <w:b/>
          <w:bCs/>
          <w:i/>
          <w:iCs/>
          <w:color w:val="000000" w:themeColor="text1"/>
        </w:rPr>
      </w:pPr>
      <w:bookmarkStart w:id="202" w:name="_Ref213592656"/>
      <w:r w:rsidRPr="00841BCE">
        <w:rPr>
          <w:color w:val="000000" w:themeColor="text1"/>
        </w:rPr>
        <w:t xml:space="preserve">I consider that any retrieved uneaten bait needs to be carefully disposed of to reduce the likelihood of primary poisoning of non-target terrestrial vertebrates, and any collected dead rodents or slugs/snails need to be carefully disposed of to reduce the likelihood of secondary poisoning of non-target terrestrial vertebrates. I note that there are recommendations in the </w:t>
      </w:r>
      <w:r w:rsidRPr="006B5FF8">
        <w:rPr>
          <w:i/>
          <w:iCs/>
        </w:rPr>
        <w:t xml:space="preserve">‘3.4.2 </w:t>
      </w:r>
      <w:r w:rsidRPr="006B5FF8">
        <w:rPr>
          <w:i/>
          <w:iCs/>
          <w:color w:val="000000" w:themeColor="text1"/>
        </w:rPr>
        <w:t>Supported products and uses’</w:t>
      </w:r>
      <w:r w:rsidRPr="00841BCE">
        <w:rPr>
          <w:color w:val="000000" w:themeColor="text1"/>
        </w:rPr>
        <w:t xml:space="preserve"> of the </w:t>
      </w:r>
      <w:r w:rsidRPr="00841BCE">
        <w:rPr>
          <w:i/>
          <w:iCs/>
          <w:color w:val="000000" w:themeColor="text1"/>
        </w:rPr>
        <w:t>Anticoagulant Rodenticides Review Technical Report</w:t>
      </w:r>
      <w:r w:rsidRPr="00841BCE">
        <w:rPr>
          <w:color w:val="000000" w:themeColor="text1"/>
        </w:rPr>
        <w:t xml:space="preserve">, to dispose of slugs/snails in a way that non-target animals are not exposed and dead rodents/uneaten bait in compliance with local, state or territory government regulations. However, given that the general public are not expected to be trained in ways of preventing non-target access not in local, state or territory government regulations, the limited quantity of baits proposed to be available in packs of domestic anticoagulant rodenticide chemical products as set out in </w:t>
      </w:r>
      <w:r w:rsidRPr="00841BCE">
        <w:rPr>
          <w:color w:val="000000" w:themeColor="text1"/>
        </w:rPr>
        <w:fldChar w:fldCharType="begin"/>
      </w:r>
      <w:r w:rsidRPr="00841BCE">
        <w:rPr>
          <w:color w:val="000000" w:themeColor="text1"/>
        </w:rPr>
        <w:instrText xml:space="preserve"> REF _Ref206093622 \h </w:instrText>
      </w:r>
      <w:r>
        <w:rPr>
          <w:color w:val="000000" w:themeColor="text1"/>
        </w:rPr>
        <w:instrText xml:space="preserve"> \* MERGEFORMAT </w:instrText>
      </w:r>
      <w:r w:rsidRPr="00841BCE">
        <w:rPr>
          <w:color w:val="000000" w:themeColor="text1"/>
        </w:rPr>
      </w:r>
      <w:r w:rsidRPr="00841BCE">
        <w:rPr>
          <w:color w:val="000000" w:themeColor="text1"/>
        </w:rPr>
        <w:fldChar w:fldCharType="separate"/>
      </w:r>
      <w:r w:rsidR="002C0C2A" w:rsidRPr="002C0C2A">
        <w:t>Table 6</w:t>
      </w:r>
      <w:r w:rsidRPr="00841BCE">
        <w:rPr>
          <w:color w:val="000000" w:themeColor="text1"/>
        </w:rPr>
        <w:fldChar w:fldCharType="end"/>
      </w:r>
      <w:r w:rsidRPr="00841BCE">
        <w:rPr>
          <w:color w:val="000000" w:themeColor="text1"/>
        </w:rPr>
        <w:t xml:space="preserve"> above, and the associated relatively small rodent infestations that are anticipated to be controlled using these domestic products, I consider that the following instructions for use are required for all domestic anticoagulant rodenticide chemical products listed in Attachment A of this notice: </w:t>
      </w:r>
      <w:r w:rsidRPr="00841BCE">
        <w:rPr>
          <w:b/>
          <w:bCs/>
          <w:i/>
          <w:iCs/>
          <w:color w:val="000000" w:themeColor="text1"/>
        </w:rPr>
        <w:t>‘Dispose of slugs/snails, dead rodents and uneaten bait by wrapping in paper, placing in plastic bag and putting in garbage.’</w:t>
      </w:r>
      <w:bookmarkEnd w:id="202"/>
    </w:p>
    <w:p w14:paraId="50D36F92" w14:textId="77777777" w:rsidR="008E67EA" w:rsidRPr="00A92CC8" w:rsidRDefault="008E67EA">
      <w:pPr>
        <w:pStyle w:val="NumberLevel2"/>
        <w:numPr>
          <w:ilvl w:val="1"/>
          <w:numId w:val="17"/>
        </w:numPr>
        <w:ind w:left="1134"/>
        <w:rPr>
          <w:b/>
          <w:bCs/>
          <w:i/>
          <w:iCs/>
          <w:color w:val="000000" w:themeColor="text1"/>
        </w:rPr>
      </w:pPr>
      <w:bookmarkStart w:id="203" w:name="_Ref213413996"/>
      <w:r w:rsidRPr="00A92CC8">
        <w:rPr>
          <w:color w:val="000000" w:themeColor="text1"/>
        </w:rPr>
        <w:t>Similarly</w:t>
      </w:r>
      <w:r w:rsidRPr="00C27ACA">
        <w:rPr>
          <w:color w:val="000000" w:themeColor="text1"/>
        </w:rPr>
        <w:t xml:space="preserve">, </w:t>
      </w:r>
      <w:r w:rsidRPr="00175F2F">
        <w:rPr>
          <w:color w:val="000000" w:themeColor="text1"/>
        </w:rPr>
        <w:t>I also consider</w:t>
      </w:r>
      <w:r w:rsidRPr="00A92CC8">
        <w:rPr>
          <w:color w:val="000000" w:themeColor="text1"/>
        </w:rPr>
        <w:t xml:space="preserve"> that the instructions for use related to disposal of product when no longer required and product containers </w:t>
      </w:r>
      <w:r>
        <w:rPr>
          <w:color w:val="000000" w:themeColor="text1"/>
        </w:rPr>
        <w:t>should</w:t>
      </w:r>
      <w:r w:rsidRPr="00A92CC8">
        <w:rPr>
          <w:color w:val="000000" w:themeColor="text1"/>
        </w:rPr>
        <w:t xml:space="preserve"> be varied to </w:t>
      </w:r>
      <w:r w:rsidRPr="00A92CC8">
        <w:rPr>
          <w:b/>
          <w:bCs/>
          <w:i/>
          <w:iCs/>
          <w:color w:val="000000" w:themeColor="text1"/>
        </w:rPr>
        <w:t xml:space="preserve">‘Dispose of empty </w:t>
      </w:r>
      <w:r w:rsidRPr="00E143FA">
        <w:rPr>
          <w:b/>
          <w:bCs/>
          <w:i/>
          <w:iCs/>
          <w:color w:val="000000" w:themeColor="text1"/>
        </w:rPr>
        <w:t>containers and unused product</w:t>
      </w:r>
      <w:r w:rsidRPr="00A92CC8">
        <w:rPr>
          <w:b/>
          <w:bCs/>
          <w:i/>
          <w:iCs/>
          <w:color w:val="000000" w:themeColor="text1"/>
        </w:rPr>
        <w:t xml:space="preserve"> by wrapping in paper placing in plastic bag and putting in garbage.’</w:t>
      </w:r>
      <w:r w:rsidRPr="00A92CC8">
        <w:rPr>
          <w:color w:val="000000" w:themeColor="text1"/>
        </w:rPr>
        <w:t xml:space="preserve"> for all domestic anticoagulant rodenticide chemical products listed in Attachment A of this notice.</w:t>
      </w:r>
      <w:bookmarkEnd w:id="203"/>
    </w:p>
    <w:p w14:paraId="5A6C18D1" w14:textId="77777777" w:rsidR="008E67EA" w:rsidRDefault="008E67EA" w:rsidP="008E67EA">
      <w:pPr>
        <w:pStyle w:val="StatementofReasonsHeading4"/>
      </w:pPr>
      <w:r>
        <w:t>Risks to other non-target species</w:t>
      </w:r>
    </w:p>
    <w:p w14:paraId="0000EF88" w14:textId="1BB1FFBC" w:rsidR="008E67EA" w:rsidRPr="003A0E11" w:rsidRDefault="008E67EA">
      <w:pPr>
        <w:pStyle w:val="NumberLevel1"/>
        <w:numPr>
          <w:ilvl w:val="0"/>
          <w:numId w:val="17"/>
        </w:numPr>
        <w:tabs>
          <w:tab w:val="clear" w:pos="709"/>
          <w:tab w:val="num" w:pos="2553"/>
        </w:tabs>
        <w:rPr>
          <w:color w:val="000000" w:themeColor="text1"/>
        </w:rPr>
      </w:pPr>
      <w:r w:rsidRPr="003A0E11">
        <w:rPr>
          <w:color w:val="000000" w:themeColor="text1"/>
        </w:rPr>
        <w:t>In considering whether the use of anticoagulant rodenticide chemical products in accordance with instructions would be likely to have an unintended effect that is harmful to aquatic species, biological methods of sewage treatment, bees and other terrestrial arthropods, soil organisms and terrestrial plants,</w:t>
      </w:r>
      <w:r w:rsidRPr="003A0E11">
        <w:t xml:space="preserve"> </w:t>
      </w:r>
      <w:r w:rsidRPr="003A0E11">
        <w:rPr>
          <w:color w:val="000000" w:themeColor="text1"/>
        </w:rPr>
        <w:t xml:space="preserve">I have considered the environmental risk assessments summarised in section </w:t>
      </w:r>
      <w:r w:rsidRPr="00175F2F">
        <w:rPr>
          <w:i/>
          <w:iCs/>
          <w:color w:val="000000" w:themeColor="text1"/>
        </w:rPr>
        <w:t>‘3. Environment’</w:t>
      </w:r>
      <w:r w:rsidRPr="003A0E11">
        <w:rPr>
          <w:color w:val="000000" w:themeColor="text1"/>
        </w:rPr>
        <w:t xml:space="preserve"> of the </w:t>
      </w:r>
      <w:r w:rsidRPr="00175F2F">
        <w:rPr>
          <w:i/>
          <w:iCs/>
          <w:color w:val="000000" w:themeColor="text1"/>
        </w:rPr>
        <w:t>Anticoagulant Rodenticides Review Technical Report</w:t>
      </w:r>
      <w:r w:rsidRPr="003A0E11">
        <w:rPr>
          <w:color w:val="000000" w:themeColor="text1"/>
        </w:rPr>
        <w:t xml:space="preserve"> to the extent that it relates to these non-target species and the following relevant matters that the APVMA must have regard to for the purposes of being satisfied as to whether a chemical product meets the safety criteria:</w:t>
      </w:r>
    </w:p>
    <w:p w14:paraId="3EF1F392" w14:textId="16AC7D88" w:rsidR="008E67EA" w:rsidRPr="003A0E11" w:rsidRDefault="008E67EA">
      <w:pPr>
        <w:pStyle w:val="NumberLevel2"/>
        <w:numPr>
          <w:ilvl w:val="1"/>
          <w:numId w:val="17"/>
        </w:numPr>
        <w:ind w:left="1134"/>
      </w:pPr>
      <w:r w:rsidRPr="003A0E11">
        <w:t>the toxicity of the product and its residues, including metabolites and degradation products, in relation to relevant organisms and ecosystems, including human beings (s 5A(3)(a)(i)); and</w:t>
      </w:r>
    </w:p>
    <w:p w14:paraId="631A0699" w14:textId="77777777" w:rsidR="008E67EA" w:rsidRPr="003A0E11" w:rsidRDefault="008E67EA">
      <w:pPr>
        <w:pStyle w:val="NumberLevel2"/>
        <w:numPr>
          <w:ilvl w:val="1"/>
          <w:numId w:val="17"/>
        </w:numPr>
        <w:ind w:left="1134"/>
      </w:pPr>
      <w:r w:rsidRPr="003A0E11">
        <w:t>the relevant particulars ‘any instructions for use’, that are, or would be, entered in the Register for the product (s 5A(3)(a)(vi)).</w:t>
      </w:r>
    </w:p>
    <w:p w14:paraId="787C0C0C" w14:textId="77777777" w:rsidR="008E67EA" w:rsidRPr="00841BCE" w:rsidRDefault="008E67EA" w:rsidP="008E67EA">
      <w:pPr>
        <w:pStyle w:val="StatementofReasonsHeading5"/>
      </w:pPr>
      <w:r w:rsidRPr="00841BCE">
        <w:t>Aquatic species</w:t>
      </w:r>
    </w:p>
    <w:p w14:paraId="49E71AD9" w14:textId="77777777" w:rsidR="008E67EA" w:rsidRPr="001429E7" w:rsidRDefault="008E67EA">
      <w:pPr>
        <w:pStyle w:val="NumberLevel1"/>
        <w:numPr>
          <w:ilvl w:val="0"/>
          <w:numId w:val="17"/>
        </w:numPr>
        <w:tabs>
          <w:tab w:val="clear" w:pos="709"/>
          <w:tab w:val="num" w:pos="2553"/>
        </w:tabs>
      </w:pPr>
      <w:bookmarkStart w:id="204" w:name="_Ref207139626"/>
      <w:bookmarkStart w:id="205" w:name="_Hlk205912330"/>
      <w:bookmarkStart w:id="206" w:name="_Ref202791601"/>
      <w:r w:rsidRPr="00841BCE">
        <w:rPr>
          <w:color w:val="000000" w:themeColor="text1"/>
          <w:szCs w:val="20"/>
        </w:rPr>
        <w:lastRenderedPageBreak/>
        <w:t>Based on my review and consideration of</w:t>
      </w:r>
      <w:r w:rsidRPr="001A3FE8">
        <w:rPr>
          <w:color w:val="000000" w:themeColor="text1"/>
          <w:szCs w:val="20"/>
        </w:rPr>
        <w:t xml:space="preserve"> </w:t>
      </w:r>
      <w:r>
        <w:rPr>
          <w:color w:val="000000" w:themeColor="text1"/>
          <w:szCs w:val="20"/>
        </w:rPr>
        <w:t xml:space="preserve">toxicity information and recommendations summarised in sections </w:t>
      </w:r>
      <w:r w:rsidRPr="00175F2F">
        <w:rPr>
          <w:i/>
          <w:iCs/>
          <w:color w:val="000000" w:themeColor="text1"/>
          <w:szCs w:val="20"/>
        </w:rPr>
        <w:t xml:space="preserve">‘3.2.2 Effects on other non-target species’ </w:t>
      </w:r>
      <w:r>
        <w:rPr>
          <w:color w:val="000000" w:themeColor="text1"/>
          <w:szCs w:val="20"/>
        </w:rPr>
        <w:t xml:space="preserve">and </w:t>
      </w:r>
      <w:r w:rsidRPr="006B5FF8">
        <w:rPr>
          <w:i/>
          <w:iCs/>
        </w:rPr>
        <w:t xml:space="preserve">‘3.4.2 </w:t>
      </w:r>
      <w:r w:rsidRPr="006B5FF8">
        <w:rPr>
          <w:i/>
          <w:iCs/>
          <w:color w:val="000000" w:themeColor="text1"/>
        </w:rPr>
        <w:t>Supported products and uses’</w:t>
      </w:r>
      <w:r>
        <w:rPr>
          <w:color w:val="000000" w:themeColor="text1"/>
          <w:szCs w:val="20"/>
        </w:rPr>
        <w:t xml:space="preserve"> </w:t>
      </w:r>
      <w:r w:rsidRPr="001A3FE8">
        <w:rPr>
          <w:color w:val="000000" w:themeColor="text1"/>
          <w:szCs w:val="20"/>
        </w:rPr>
        <w:t xml:space="preserve">of the </w:t>
      </w:r>
      <w:r w:rsidRPr="001A3FE8">
        <w:rPr>
          <w:i/>
          <w:iCs/>
          <w:color w:val="000000" w:themeColor="text1"/>
        </w:rPr>
        <w:t>Anticoagulant Rodenticides R</w:t>
      </w:r>
      <w:r w:rsidRPr="001429E7">
        <w:rPr>
          <w:i/>
          <w:iCs/>
          <w:color w:val="000000" w:themeColor="text1"/>
        </w:rPr>
        <w:t>eview Technical Report</w:t>
      </w:r>
      <w:r w:rsidRPr="001429E7">
        <w:rPr>
          <w:color w:val="000000" w:themeColor="text1"/>
          <w:szCs w:val="20"/>
        </w:rPr>
        <w:t>:</w:t>
      </w:r>
      <w:bookmarkEnd w:id="204"/>
    </w:p>
    <w:p w14:paraId="41FDE5A7" w14:textId="380A8B59" w:rsidR="008E67EA" w:rsidRPr="001429E7" w:rsidRDefault="008E67EA">
      <w:pPr>
        <w:pStyle w:val="NumberLevel2"/>
        <w:numPr>
          <w:ilvl w:val="1"/>
          <w:numId w:val="17"/>
        </w:numPr>
        <w:ind w:left="1134"/>
      </w:pPr>
      <w:r w:rsidRPr="001429E7">
        <w:t>I note that in the available effects studies for aquatic species, the active constituents brodifacoum, difenacoum, difethialone, flocoumafen were shown to be very toxic to aquatic life (EC/LC</w:t>
      </w:r>
      <w:r w:rsidRPr="001429E7">
        <w:rPr>
          <w:vertAlign w:val="subscript"/>
        </w:rPr>
        <w:t>50</w:t>
      </w:r>
      <w:r w:rsidRPr="001429E7">
        <w:t xml:space="preserve"> &lt;1 mg/L). Therefore, I consider that the aquatic hazard warning statement </w:t>
      </w:r>
      <w:r w:rsidRPr="001429E7">
        <w:rPr>
          <w:b/>
          <w:bCs/>
          <w:i/>
          <w:iCs/>
        </w:rPr>
        <w:t>‘Very toxic to aquatic life.’</w:t>
      </w:r>
      <w:r w:rsidRPr="001429E7">
        <w:t xml:space="preserve"> is required as part of the instructions for use for brodifacoum, difenacoum, difethialone and flocoumafen chemical products</w:t>
      </w:r>
      <w:r w:rsidR="00A73DFF">
        <w:t>.</w:t>
      </w:r>
    </w:p>
    <w:bookmarkEnd w:id="205"/>
    <w:p w14:paraId="446003F2" w14:textId="484C73FD" w:rsidR="008E67EA" w:rsidRPr="001429E7" w:rsidRDefault="008E67EA">
      <w:pPr>
        <w:pStyle w:val="NumberLevel2"/>
        <w:numPr>
          <w:ilvl w:val="1"/>
          <w:numId w:val="17"/>
        </w:numPr>
        <w:ind w:left="1134"/>
      </w:pPr>
      <w:r w:rsidRPr="001429E7">
        <w:t>I note that in the available effects studies for aquatic species, and the active constituents diphacinone and bromadiolone were shown to be toxic to aquatic life (EC/LC</w:t>
      </w:r>
      <w:r w:rsidRPr="001429E7">
        <w:rPr>
          <w:vertAlign w:val="subscript"/>
        </w:rPr>
        <w:t>50</w:t>
      </w:r>
      <w:r w:rsidRPr="001429E7">
        <w:t xml:space="preserve"> 1-10 mg/L). Therefore, I consider that the aquatic hazard warning statement </w:t>
      </w:r>
      <w:r w:rsidRPr="001429E7">
        <w:rPr>
          <w:b/>
          <w:bCs/>
          <w:i/>
          <w:iCs/>
        </w:rPr>
        <w:t>‘Toxic to aquatic life.’</w:t>
      </w:r>
      <w:r w:rsidRPr="001429E7">
        <w:t xml:space="preserve"> is required for bromadiolone and diphacinone chemical products.</w:t>
      </w:r>
      <w:bookmarkEnd w:id="206"/>
    </w:p>
    <w:p w14:paraId="3284314F" w14:textId="0790B864" w:rsidR="008E67EA" w:rsidRPr="001429E7" w:rsidRDefault="008E67EA">
      <w:pPr>
        <w:pStyle w:val="NumberLevel2"/>
        <w:numPr>
          <w:ilvl w:val="1"/>
          <w:numId w:val="17"/>
        </w:numPr>
        <w:ind w:left="1134"/>
      </w:pPr>
      <w:r w:rsidRPr="001429E7">
        <w:t>I note that coumatetralyl was found to have a low to moderate toxicity to aquatic life in the available effects studies. As such, I consider no aquatic hazard warning statement is required for coumatetralyl chemical products.</w:t>
      </w:r>
    </w:p>
    <w:p w14:paraId="146467BD" w14:textId="55FE8CC0" w:rsidR="008E67EA" w:rsidRPr="0004678E" w:rsidRDefault="008E67EA">
      <w:pPr>
        <w:pStyle w:val="NumberLevel1"/>
        <w:numPr>
          <w:ilvl w:val="0"/>
          <w:numId w:val="17"/>
        </w:numPr>
        <w:tabs>
          <w:tab w:val="clear" w:pos="709"/>
          <w:tab w:val="num" w:pos="2553"/>
        </w:tabs>
        <w:rPr>
          <w:color w:val="000000" w:themeColor="text1"/>
        </w:rPr>
      </w:pPr>
      <w:bookmarkStart w:id="207" w:name="_Ref207139639"/>
      <w:r w:rsidRPr="00616E61">
        <w:t xml:space="preserve">All chemical products in scope of the reconsideration are approved for use in and around buildings, and a number of </w:t>
      </w:r>
      <w:r>
        <w:t xml:space="preserve">ready-to-use </w:t>
      </w:r>
      <w:r w:rsidRPr="00616E61">
        <w:t xml:space="preserve">chemical products containing coumatetralyl are approved for use in agricultural </w:t>
      </w:r>
      <w:r w:rsidRPr="00175F2F">
        <w:t>crops (52098, 82217).</w:t>
      </w:r>
      <w:r w:rsidRPr="00616E61">
        <w:t xml:space="preserve"> </w:t>
      </w:r>
      <w:r>
        <w:t>In relation to the risks posed to aquatic species from the use of anticoagulant rodenticide chemical products in these situations (in and around buildings and in agricultural crops), and</w:t>
      </w:r>
      <w:r w:rsidRPr="00616E61">
        <w:t xml:space="preserve"> </w:t>
      </w:r>
      <w:r w:rsidRPr="0004678E">
        <w:rPr>
          <w:szCs w:val="20"/>
        </w:rPr>
        <w:t xml:space="preserve">based on my review and consideration of sections </w:t>
      </w:r>
      <w:r w:rsidRPr="0004678E">
        <w:rPr>
          <w:i/>
          <w:iCs/>
          <w:szCs w:val="20"/>
        </w:rPr>
        <w:t xml:space="preserve">‘3.3.3 </w:t>
      </w:r>
      <w:r w:rsidRPr="0004678E">
        <w:rPr>
          <w:i/>
          <w:iCs/>
          <w:color w:val="000000" w:themeColor="text1"/>
          <w:szCs w:val="20"/>
        </w:rPr>
        <w:t xml:space="preserve">Risks to other non-target species’ </w:t>
      </w:r>
      <w:r w:rsidRPr="0004678E">
        <w:rPr>
          <w:color w:val="000000" w:themeColor="text1"/>
          <w:szCs w:val="20"/>
        </w:rPr>
        <w:t xml:space="preserve">and </w:t>
      </w:r>
      <w:r w:rsidRPr="0004678E">
        <w:rPr>
          <w:i/>
          <w:iCs/>
        </w:rPr>
        <w:t xml:space="preserve">‘3.4.2 </w:t>
      </w:r>
      <w:r w:rsidRPr="0004678E">
        <w:rPr>
          <w:i/>
          <w:iCs/>
          <w:color w:val="000000" w:themeColor="text1"/>
        </w:rPr>
        <w:t>Supported products and uses’</w:t>
      </w:r>
      <w:r w:rsidRPr="0004678E">
        <w:rPr>
          <w:color w:val="000000" w:themeColor="text1"/>
          <w:szCs w:val="20"/>
        </w:rPr>
        <w:t xml:space="preserve"> </w:t>
      </w:r>
      <w:r w:rsidRPr="0004678E">
        <w:rPr>
          <w:szCs w:val="20"/>
        </w:rPr>
        <w:t xml:space="preserve">of the </w:t>
      </w:r>
      <w:r w:rsidRPr="0004678E">
        <w:rPr>
          <w:i/>
          <w:iCs/>
        </w:rPr>
        <w:t>Anticoagulant Rodenticides Review Technical Report</w:t>
      </w:r>
      <w:r w:rsidRPr="0004678E">
        <w:rPr>
          <w:color w:val="000000" w:themeColor="text1"/>
        </w:rPr>
        <w:t>:</w:t>
      </w:r>
      <w:bookmarkEnd w:id="207"/>
    </w:p>
    <w:p w14:paraId="6AEC6E70" w14:textId="76E0BA56" w:rsidR="008E67EA" w:rsidRPr="00597F83" w:rsidRDefault="008E67EA">
      <w:pPr>
        <w:pStyle w:val="NumberLevel2"/>
        <w:numPr>
          <w:ilvl w:val="1"/>
          <w:numId w:val="17"/>
        </w:numPr>
        <w:ind w:left="1134"/>
        <w:rPr>
          <w:color w:val="000000" w:themeColor="text1"/>
        </w:rPr>
      </w:pPr>
      <w:r w:rsidRPr="00597F83">
        <w:rPr>
          <w:color w:val="000000" w:themeColor="text1"/>
        </w:rPr>
        <w:t xml:space="preserve">I </w:t>
      </w:r>
      <w:r w:rsidRPr="008D1AA2">
        <w:rPr>
          <w:color w:val="000000" w:themeColor="text1"/>
        </w:rPr>
        <w:t xml:space="preserve">have only considered the risks posed to aquatic species from use of anticoagulant rodenticides chemical products in a bait station (requirement detailed in paragraphs </w:t>
      </w:r>
      <w:r w:rsidRPr="008D1AA2">
        <w:rPr>
          <w:color w:val="000000" w:themeColor="text1"/>
        </w:rPr>
        <w:fldChar w:fldCharType="begin"/>
      </w:r>
      <w:r w:rsidRPr="008D1AA2">
        <w:rPr>
          <w:color w:val="000000" w:themeColor="text1"/>
        </w:rPr>
        <w:instrText xml:space="preserve"> REF _Ref206083607 \r \h  \* MERGEFORMAT </w:instrText>
      </w:r>
      <w:r w:rsidRPr="008D1AA2">
        <w:rPr>
          <w:color w:val="000000" w:themeColor="text1"/>
        </w:rPr>
      </w:r>
      <w:r w:rsidRPr="008D1AA2">
        <w:rPr>
          <w:color w:val="000000" w:themeColor="text1"/>
        </w:rPr>
        <w:fldChar w:fldCharType="separate"/>
      </w:r>
      <w:r w:rsidR="002C0C2A">
        <w:rPr>
          <w:color w:val="000000" w:themeColor="text1"/>
        </w:rPr>
        <w:t>56.1</w:t>
      </w:r>
      <w:r w:rsidRPr="008D1AA2">
        <w:rPr>
          <w:color w:val="000000" w:themeColor="text1"/>
        </w:rPr>
        <w:fldChar w:fldCharType="end"/>
      </w:r>
      <w:r w:rsidRPr="008D1AA2">
        <w:rPr>
          <w:color w:val="000000" w:themeColor="text1"/>
        </w:rPr>
        <w:t xml:space="preserve"> and </w:t>
      </w:r>
      <w:r w:rsidRPr="008D1AA2">
        <w:rPr>
          <w:color w:val="000000" w:themeColor="text1"/>
        </w:rPr>
        <w:fldChar w:fldCharType="begin"/>
      </w:r>
      <w:r w:rsidRPr="008D1AA2">
        <w:rPr>
          <w:color w:val="000000" w:themeColor="text1"/>
        </w:rPr>
        <w:instrText xml:space="preserve"> REF _Ref206083584 \r \h  \* MERGEFORMAT </w:instrText>
      </w:r>
      <w:r w:rsidRPr="008D1AA2">
        <w:rPr>
          <w:color w:val="000000" w:themeColor="text1"/>
        </w:rPr>
      </w:r>
      <w:r w:rsidRPr="008D1AA2">
        <w:rPr>
          <w:color w:val="000000" w:themeColor="text1"/>
        </w:rPr>
        <w:fldChar w:fldCharType="separate"/>
      </w:r>
      <w:r w:rsidR="002C0C2A">
        <w:rPr>
          <w:color w:val="000000" w:themeColor="text1"/>
        </w:rPr>
        <w:t>61.1</w:t>
      </w:r>
      <w:r w:rsidRPr="008D1AA2">
        <w:rPr>
          <w:color w:val="000000" w:themeColor="text1"/>
        </w:rPr>
        <w:fldChar w:fldCharType="end"/>
      </w:r>
      <w:r w:rsidRPr="008D1AA2">
        <w:rPr>
          <w:color w:val="000000" w:themeColor="text1"/>
        </w:rPr>
        <w:t xml:space="preserve"> of these reasons). I note that in most instances when bait is contained in a bait station and placed in and around buildings or in agricultural crops, exposure of natural aquatic areas is considered negligible as only a small amount of contamination is expected around the bait station</w:t>
      </w:r>
      <w:r w:rsidRPr="00597F83">
        <w:rPr>
          <w:color w:val="000000" w:themeColor="text1"/>
        </w:rPr>
        <w:t>.</w:t>
      </w:r>
    </w:p>
    <w:p w14:paraId="0B55A20C" w14:textId="77777777" w:rsidR="008E67EA" w:rsidRPr="00597F83" w:rsidRDefault="008E67EA">
      <w:pPr>
        <w:pStyle w:val="NumberLevel2"/>
        <w:numPr>
          <w:ilvl w:val="1"/>
          <w:numId w:val="17"/>
        </w:numPr>
        <w:ind w:left="1134"/>
      </w:pPr>
      <w:bookmarkStart w:id="208" w:name="_Ref213490447"/>
      <w:r w:rsidRPr="00597F83">
        <w:t xml:space="preserve">I note that the placement of baits in certain areas (e.g. intertidal areas or areas liable to flooding) may result in accidental entry of anticoagulant rodenticide chemical products into natural aquatic areas or drainage systems. As such, </w:t>
      </w:r>
      <w:r w:rsidRPr="00597F83">
        <w:rPr>
          <w:szCs w:val="20"/>
        </w:rPr>
        <w:t xml:space="preserve">I consider that the </w:t>
      </w:r>
      <w:r w:rsidRPr="00597F83">
        <w:t xml:space="preserve">following precautionary instructions are required to prevent use of anticoagulant rodenticide chemical products in situations where unacceptable aquatic life exposure may occur: </w:t>
      </w:r>
      <w:r w:rsidRPr="00597F83">
        <w:rPr>
          <w:b/>
          <w:bCs/>
          <w:i/>
          <w:iCs/>
        </w:rPr>
        <w:t>‘DO NOT contaminate wetlands or watercourses with this product or used containers. Place the bait stations in areas not liable to flooding. When placing bait stations close to water drainage systems, ensure that bait contact with water is avoided.’</w:t>
      </w:r>
      <w:bookmarkEnd w:id="208"/>
      <w:r w:rsidRPr="00597F83">
        <w:rPr>
          <w:b/>
          <w:bCs/>
          <w:i/>
          <w:iCs/>
        </w:rPr>
        <w:t xml:space="preserve"> </w:t>
      </w:r>
    </w:p>
    <w:p w14:paraId="6F365470" w14:textId="77777777" w:rsidR="008E67EA" w:rsidRPr="00175F2F" w:rsidRDefault="008E67EA">
      <w:pPr>
        <w:pStyle w:val="NumberLevel2"/>
        <w:numPr>
          <w:ilvl w:val="1"/>
          <w:numId w:val="17"/>
        </w:numPr>
        <w:ind w:left="1134"/>
        <w:rPr>
          <w:color w:val="000000" w:themeColor="text1"/>
        </w:rPr>
      </w:pPr>
      <w:r w:rsidRPr="00597F83">
        <w:rPr>
          <w:color w:val="000000" w:themeColor="text1"/>
        </w:rPr>
        <w:t>I am satisfied that the current use of chemical products in and around buildings, in accordance with these additional instructions for use, and when bait is contained in a bait station, is not expected to have an effect that is harmful to aquatic species. Further, I am satisfied that</w:t>
      </w:r>
      <w:r>
        <w:rPr>
          <w:color w:val="000000" w:themeColor="text1"/>
        </w:rPr>
        <w:t xml:space="preserve"> the c</w:t>
      </w:r>
      <w:r w:rsidRPr="00C9763B">
        <w:rPr>
          <w:color w:val="000000" w:themeColor="text1"/>
        </w:rPr>
        <w:t>urrent use of</w:t>
      </w:r>
      <w:r>
        <w:rPr>
          <w:color w:val="000000" w:themeColor="text1"/>
        </w:rPr>
        <w:t xml:space="preserve"> certain</w:t>
      </w:r>
      <w:r w:rsidRPr="00C9763B">
        <w:rPr>
          <w:color w:val="000000" w:themeColor="text1"/>
        </w:rPr>
        <w:t xml:space="preserve"> </w:t>
      </w:r>
      <w:r w:rsidRPr="00616E61">
        <w:rPr>
          <w:color w:val="000000" w:themeColor="text1"/>
        </w:rPr>
        <w:t xml:space="preserve">coumatetralyl chemical </w:t>
      </w:r>
      <w:r w:rsidRPr="00175F2F">
        <w:rPr>
          <w:color w:val="000000" w:themeColor="text1"/>
        </w:rPr>
        <w:t xml:space="preserve">products </w:t>
      </w:r>
      <w:r w:rsidRPr="00D035F8">
        <w:rPr>
          <w:color w:val="000000" w:themeColor="text1"/>
        </w:rPr>
        <w:t>(52098, 82217)</w:t>
      </w:r>
      <w:r w:rsidRPr="00175F2F">
        <w:rPr>
          <w:color w:val="000000" w:themeColor="text1"/>
        </w:rPr>
        <w:t xml:space="preserve"> in agricultural crops in accordance with these additional instructions for use, and when bait is contained in a bait station, is not expected to have an effect that is harmful to aquatic species.</w:t>
      </w:r>
    </w:p>
    <w:p w14:paraId="125241BB" w14:textId="77777777" w:rsidR="008E67EA" w:rsidRPr="00616E61" w:rsidRDefault="008E67EA">
      <w:pPr>
        <w:pStyle w:val="NumberLevel1"/>
        <w:numPr>
          <w:ilvl w:val="0"/>
          <w:numId w:val="17"/>
        </w:numPr>
        <w:tabs>
          <w:tab w:val="clear" w:pos="709"/>
          <w:tab w:val="num" w:pos="2553"/>
        </w:tabs>
        <w:rPr>
          <w:color w:val="000000" w:themeColor="text1"/>
        </w:rPr>
      </w:pPr>
      <w:r w:rsidRPr="00175F2F">
        <w:rPr>
          <w:color w:val="000000" w:themeColor="text1"/>
        </w:rPr>
        <w:t xml:space="preserve">A number of chemical products containing difethialone and flocoumafen are also currently approved for use in sewer systems </w:t>
      </w:r>
      <w:r w:rsidRPr="00D035F8">
        <w:rPr>
          <w:color w:val="000000" w:themeColor="text1"/>
        </w:rPr>
        <w:t>(</w:t>
      </w:r>
      <w:r w:rsidRPr="00175F2F">
        <w:rPr>
          <w:color w:val="000000" w:themeColor="text1"/>
        </w:rPr>
        <w:t>66889, 69086, 80386, 80663, 90839), and exposure</w:t>
      </w:r>
      <w:r w:rsidRPr="00616E61">
        <w:rPr>
          <w:color w:val="000000" w:themeColor="text1"/>
        </w:rPr>
        <w:t xml:space="preserve"> of aquatic species to these anticoagulant rodenticides is possible as there can be significant releases to surface waters via sewerage treatment plants. The </w:t>
      </w:r>
      <w:r w:rsidRPr="00616E61">
        <w:rPr>
          <w:color w:val="000000" w:themeColor="text1"/>
        </w:rPr>
        <w:lastRenderedPageBreak/>
        <w:t>risks posed to aquatic species from use of chemical products containing difethialone and flocoumafen in sewer systems, in accordance with approved instructions, was determined using quantitative risk assessment methodologies</w:t>
      </w:r>
      <w:r>
        <w:rPr>
          <w:color w:val="000000" w:themeColor="text1"/>
        </w:rPr>
        <w:t xml:space="preserve"> in the environmental risk </w:t>
      </w:r>
      <w:r w:rsidRPr="00597F83">
        <w:rPr>
          <w:color w:val="000000" w:themeColor="text1"/>
        </w:rPr>
        <w:t xml:space="preserve">assessment. I have considered and agree with the approach and methodology and the conclusions in these assessments unless I have indicated otherwise in these reasons. </w:t>
      </w:r>
      <w:r w:rsidRPr="00597F83">
        <w:rPr>
          <w:szCs w:val="20"/>
        </w:rPr>
        <w:t>Based on my review</w:t>
      </w:r>
      <w:r>
        <w:rPr>
          <w:szCs w:val="20"/>
        </w:rPr>
        <w:t xml:space="preserve"> and consideration of </w:t>
      </w:r>
      <w:r w:rsidRPr="000F03D7">
        <w:rPr>
          <w:szCs w:val="20"/>
        </w:rPr>
        <w:t xml:space="preserve">the </w:t>
      </w:r>
      <w:r>
        <w:rPr>
          <w:szCs w:val="20"/>
        </w:rPr>
        <w:t xml:space="preserve">risk assessments summarised in </w:t>
      </w:r>
      <w:r w:rsidRPr="0004678E">
        <w:rPr>
          <w:szCs w:val="20"/>
        </w:rPr>
        <w:t>sections</w:t>
      </w:r>
      <w:r>
        <w:rPr>
          <w:szCs w:val="20"/>
        </w:rPr>
        <w:t xml:space="preserve"> </w:t>
      </w:r>
      <w:r w:rsidRPr="006B5FF8">
        <w:rPr>
          <w:i/>
          <w:iCs/>
          <w:color w:val="000000" w:themeColor="text1"/>
          <w:szCs w:val="20"/>
        </w:rPr>
        <w:t>‘3.2.2 Effects on other non-target species’</w:t>
      </w:r>
      <w:r>
        <w:rPr>
          <w:i/>
          <w:iCs/>
          <w:color w:val="000000" w:themeColor="text1"/>
          <w:szCs w:val="20"/>
        </w:rPr>
        <w:t xml:space="preserve"> </w:t>
      </w:r>
      <w:r w:rsidRPr="00175F2F">
        <w:rPr>
          <w:color w:val="000000" w:themeColor="text1"/>
          <w:szCs w:val="20"/>
        </w:rPr>
        <w:t>and</w:t>
      </w:r>
      <w:r w:rsidRPr="0004678E">
        <w:rPr>
          <w:szCs w:val="20"/>
        </w:rPr>
        <w:t xml:space="preserve"> </w:t>
      </w:r>
      <w:r w:rsidRPr="0004678E">
        <w:rPr>
          <w:i/>
          <w:iCs/>
          <w:szCs w:val="20"/>
        </w:rPr>
        <w:t xml:space="preserve">‘3.3.3 </w:t>
      </w:r>
      <w:r w:rsidRPr="0004678E">
        <w:rPr>
          <w:i/>
          <w:iCs/>
          <w:color w:val="000000" w:themeColor="text1"/>
          <w:szCs w:val="20"/>
        </w:rPr>
        <w:t>Risks to other non-target species’</w:t>
      </w:r>
      <w:r>
        <w:rPr>
          <w:i/>
          <w:iCs/>
          <w:color w:val="000000" w:themeColor="text1"/>
          <w:szCs w:val="20"/>
        </w:rPr>
        <w:t xml:space="preserve"> </w:t>
      </w:r>
      <w:r w:rsidRPr="000F03D7">
        <w:rPr>
          <w:szCs w:val="20"/>
        </w:rPr>
        <w:t xml:space="preserve">of the </w:t>
      </w:r>
      <w:r w:rsidRPr="000F03D7">
        <w:rPr>
          <w:i/>
          <w:iCs/>
        </w:rPr>
        <w:t>Anticoagulant Rodenticides Review Technical Report</w:t>
      </w:r>
      <w:r>
        <w:rPr>
          <w:color w:val="000000" w:themeColor="text1"/>
        </w:rPr>
        <w:t>:</w:t>
      </w:r>
    </w:p>
    <w:p w14:paraId="78B04BEB" w14:textId="2A88B6BE" w:rsidR="008E67EA" w:rsidRPr="00597F83" w:rsidRDefault="008E67EA">
      <w:pPr>
        <w:pStyle w:val="NumberLevel2"/>
        <w:numPr>
          <w:ilvl w:val="1"/>
          <w:numId w:val="17"/>
        </w:numPr>
        <w:tabs>
          <w:tab w:val="left" w:pos="2127"/>
        </w:tabs>
        <w:ind w:left="1134"/>
        <w:rPr>
          <w:color w:val="000000" w:themeColor="text1"/>
        </w:rPr>
      </w:pPr>
      <w:r w:rsidRPr="00597F83">
        <w:rPr>
          <w:color w:val="000000" w:themeColor="text1"/>
        </w:rPr>
        <w:t>I note that in the available effects studies for aquatic species, the anticoagulant rodenticides difethialone and flocoumafen were shown to be very toxic to aquatic life (EC/LC</w:t>
      </w:r>
      <w:r w:rsidRPr="00597F83">
        <w:rPr>
          <w:color w:val="000000" w:themeColor="text1"/>
          <w:vertAlign w:val="subscript"/>
        </w:rPr>
        <w:t>50</w:t>
      </w:r>
      <w:r w:rsidRPr="00597F83">
        <w:rPr>
          <w:color w:val="000000" w:themeColor="text1"/>
        </w:rPr>
        <w:t xml:space="preserve"> &lt;1 mg/L). I also note that the difethialone and flocoumafen RALs for of aquatic species listed in </w:t>
      </w:r>
      <w:r w:rsidR="002C111B">
        <w:rPr>
          <w:color w:val="000000" w:themeColor="text1"/>
        </w:rPr>
        <w:fldChar w:fldCharType="begin"/>
      </w:r>
      <w:r w:rsidR="002C111B">
        <w:rPr>
          <w:color w:val="000000" w:themeColor="text1"/>
        </w:rPr>
        <w:instrText xml:space="preserve"> REF _Ref216291357 \h </w:instrText>
      </w:r>
      <w:r w:rsidR="002C111B">
        <w:rPr>
          <w:color w:val="000000" w:themeColor="text1"/>
        </w:rPr>
      </w:r>
      <w:r w:rsidR="002C111B">
        <w:rPr>
          <w:color w:val="000000" w:themeColor="text1"/>
        </w:rPr>
        <w:fldChar w:fldCharType="separate"/>
      </w:r>
      <w:r w:rsidR="002C0C2A" w:rsidRPr="002F3A90">
        <w:t xml:space="preserve">Table </w:t>
      </w:r>
      <w:r w:rsidR="002C0C2A">
        <w:rPr>
          <w:noProof/>
        </w:rPr>
        <w:t>7</w:t>
      </w:r>
      <w:r w:rsidR="002C111B">
        <w:rPr>
          <w:color w:val="000000" w:themeColor="text1"/>
        </w:rPr>
        <w:fldChar w:fldCharType="end"/>
      </w:r>
      <w:r w:rsidRPr="00597F83">
        <w:rPr>
          <w:color w:val="000000" w:themeColor="text1"/>
        </w:rPr>
        <w:t xml:space="preserve"> were calculated based on endpoints from the most sensitive available effects studies and application of a standard 10-fold assessment factor. I consider that exposure of aquatic species to difethialone and flocoumafen below the respective RALs listed in </w:t>
      </w:r>
      <w:r w:rsidR="002C111B">
        <w:rPr>
          <w:color w:val="000000" w:themeColor="text1"/>
        </w:rPr>
        <w:fldChar w:fldCharType="begin"/>
      </w:r>
      <w:r w:rsidR="002C111B">
        <w:rPr>
          <w:color w:val="000000" w:themeColor="text1"/>
        </w:rPr>
        <w:instrText xml:space="preserve"> REF _Ref216291357 \h </w:instrText>
      </w:r>
      <w:r w:rsidR="002C111B">
        <w:rPr>
          <w:color w:val="000000" w:themeColor="text1"/>
        </w:rPr>
      </w:r>
      <w:r w:rsidR="002C111B">
        <w:rPr>
          <w:color w:val="000000" w:themeColor="text1"/>
        </w:rPr>
        <w:fldChar w:fldCharType="separate"/>
      </w:r>
      <w:r w:rsidR="002C0C2A" w:rsidRPr="002F3A90">
        <w:t xml:space="preserve">Table </w:t>
      </w:r>
      <w:r w:rsidR="002C0C2A">
        <w:rPr>
          <w:noProof/>
        </w:rPr>
        <w:t>7</w:t>
      </w:r>
      <w:r w:rsidR="002C111B">
        <w:rPr>
          <w:color w:val="000000" w:themeColor="text1"/>
        </w:rPr>
        <w:fldChar w:fldCharType="end"/>
      </w:r>
      <w:r w:rsidR="002C111B" w:rsidRPr="00597F83">
        <w:rPr>
          <w:color w:val="000000" w:themeColor="text1"/>
        </w:rPr>
        <w:t xml:space="preserve"> </w:t>
      </w:r>
      <w:r w:rsidRPr="00597F83">
        <w:rPr>
          <w:color w:val="000000" w:themeColor="text1"/>
        </w:rPr>
        <w:t xml:space="preserve"> is not expected to have an effect that is harmful to these non-target organisms.</w:t>
      </w:r>
    </w:p>
    <w:p w14:paraId="1E5D5DED" w14:textId="77777777" w:rsidR="008E67EA" w:rsidRPr="005162CE" w:rsidRDefault="008E67EA">
      <w:pPr>
        <w:pStyle w:val="NumberLevel2"/>
        <w:numPr>
          <w:ilvl w:val="1"/>
          <w:numId w:val="17"/>
        </w:numPr>
        <w:ind w:left="1134"/>
        <w:rPr>
          <w:color w:val="000000" w:themeColor="text1"/>
        </w:rPr>
      </w:pPr>
      <w:bookmarkStart w:id="209" w:name="_Hlk202809335"/>
      <w:bookmarkStart w:id="210" w:name="_Ref202816992"/>
      <w:r w:rsidRPr="00597F83">
        <w:t xml:space="preserve">I note that the potential risks to aquatic species from use of </w:t>
      </w:r>
      <w:r w:rsidRPr="00597F83">
        <w:rPr>
          <w:color w:val="000000" w:themeColor="text1"/>
        </w:rPr>
        <w:t xml:space="preserve">difethialone and flocoumafen chemical </w:t>
      </w:r>
      <w:r w:rsidRPr="00597F83">
        <w:t xml:space="preserve">products in sewer systems have been assessed through environmental exposure modelling using </w:t>
      </w:r>
      <w:bookmarkEnd w:id="209"/>
      <w:r w:rsidRPr="00597F83">
        <w:t xml:space="preserve">the </w:t>
      </w:r>
      <w:r w:rsidRPr="00597F83">
        <w:rPr>
          <w:color w:val="000000" w:themeColor="text1"/>
        </w:rPr>
        <w:t xml:space="preserve">contemporary methodology outlined in the </w:t>
      </w:r>
      <w:r w:rsidRPr="00597F83">
        <w:rPr>
          <w:i/>
          <w:iCs/>
          <w:color w:val="000000" w:themeColor="text1"/>
        </w:rPr>
        <w:t>ECHA (European Chemicals Agency) Revised Emission Scenario Document for Product Type 14 – Rodenticides</w:t>
      </w:r>
      <w:r w:rsidRPr="00597F83">
        <w:rPr>
          <w:i/>
          <w:iCs/>
          <w:color w:val="FF0000"/>
        </w:rPr>
        <w:t xml:space="preserve">. </w:t>
      </w:r>
      <w:r w:rsidRPr="00597F83">
        <w:rPr>
          <w:color w:val="000000" w:themeColor="text1"/>
        </w:rPr>
        <w:t>This methodology involved first calculating a predicted s</w:t>
      </w:r>
      <w:r w:rsidRPr="00597F83">
        <w:t>urface water concentrations from use of chemical products in sewers based on the application rate of the relevant chemical product</w:t>
      </w:r>
      <w:r>
        <w:t>,</w:t>
      </w:r>
      <w:r w:rsidRPr="00597F83">
        <w:t xml:space="preserve"> a range of default input parameters and an intrinsic </w:t>
      </w:r>
      <w:r w:rsidRPr="00597F83">
        <w:rPr>
          <w:color w:val="000000" w:themeColor="text1"/>
        </w:rPr>
        <w:t>chemical</w:t>
      </w:r>
      <w:r w:rsidRPr="00D04ED6">
        <w:rPr>
          <w:color w:val="000000" w:themeColor="text1"/>
        </w:rPr>
        <w:t xml:space="preserve"> propert</w:t>
      </w:r>
      <w:r>
        <w:rPr>
          <w:color w:val="000000" w:themeColor="text1"/>
        </w:rPr>
        <w:t>y known as the o</w:t>
      </w:r>
      <w:r w:rsidRPr="00DF6334">
        <w:rPr>
          <w:color w:val="000000" w:themeColor="text1"/>
        </w:rPr>
        <w:t>rganic-carbon normalised partition coefficient</w:t>
      </w:r>
      <w:r w:rsidRPr="005162CE">
        <w:rPr>
          <w:color w:val="FF0000"/>
        </w:rPr>
        <w:t xml:space="preserve"> </w:t>
      </w:r>
      <w:r>
        <w:t>(</w:t>
      </w:r>
      <w:r w:rsidRPr="00175F2F">
        <w:rPr>
          <w:i/>
          <w:iCs/>
        </w:rPr>
        <w:t>Tables 48, 51 and 52</w:t>
      </w:r>
      <w:r w:rsidRPr="00175F2F">
        <w:t xml:space="preserve"> </w:t>
      </w:r>
      <w:r>
        <w:t xml:space="preserve">of the </w:t>
      </w:r>
      <w:r w:rsidRPr="005162CE">
        <w:rPr>
          <w:i/>
          <w:iCs/>
          <w:color w:val="000000" w:themeColor="text1"/>
        </w:rPr>
        <w:t>Anticoagulant Rodenticides Review Technical Report)</w:t>
      </w:r>
      <w:r w:rsidRPr="005162CE">
        <w:rPr>
          <w:color w:val="000000" w:themeColor="text1"/>
        </w:rPr>
        <w:t xml:space="preserve"> and </w:t>
      </w:r>
      <w:r>
        <w:rPr>
          <w:color w:val="000000" w:themeColor="text1"/>
        </w:rPr>
        <w:t xml:space="preserve">second, calculating a risk quotient using this </w:t>
      </w:r>
      <w:r w:rsidRPr="005162CE">
        <w:rPr>
          <w:color w:val="000000" w:themeColor="text1"/>
        </w:rPr>
        <w:t>predicted s</w:t>
      </w:r>
      <w:r>
        <w:t xml:space="preserve">urface water concentration and the </w:t>
      </w:r>
      <w:r>
        <w:rPr>
          <w:color w:val="000000" w:themeColor="text1"/>
        </w:rPr>
        <w:t xml:space="preserve">relevant RAL </w:t>
      </w:r>
      <w:r>
        <w:t>(</w:t>
      </w:r>
      <w:r w:rsidRPr="00175F2F">
        <w:rPr>
          <w:i/>
          <w:iCs/>
        </w:rPr>
        <w:t>Table 53</w:t>
      </w:r>
      <w:r>
        <w:t xml:space="preserve"> of the </w:t>
      </w:r>
      <w:r w:rsidRPr="005162CE">
        <w:rPr>
          <w:i/>
          <w:iCs/>
          <w:color w:val="000000" w:themeColor="text1"/>
        </w:rPr>
        <w:t>Anticoagulant Rodenticides Review Technical Report)</w:t>
      </w:r>
      <w:r>
        <w:t>. With this model methodology, an acceptable risk quotient of less than or equal to one represents an acceptable level of exposure to aquatic species (i.e. that exposure to aquatic species will be less than the aquatic species RAL).</w:t>
      </w:r>
      <w:bookmarkEnd w:id="210"/>
      <w:r>
        <w:t xml:space="preserve"> </w:t>
      </w:r>
    </w:p>
    <w:p w14:paraId="7EE901C5" w14:textId="6EBEC06F" w:rsidR="008E67EA" w:rsidRPr="00F24CD0" w:rsidRDefault="008E67EA">
      <w:pPr>
        <w:pStyle w:val="NumberLevel2"/>
        <w:numPr>
          <w:ilvl w:val="1"/>
          <w:numId w:val="17"/>
        </w:numPr>
        <w:ind w:left="1134"/>
        <w:rPr>
          <w:color w:val="000000" w:themeColor="text1"/>
        </w:rPr>
      </w:pPr>
      <w:r w:rsidRPr="00F24CD0">
        <w:t>I note that t</w:t>
      </w:r>
      <w:r w:rsidRPr="00F24CD0">
        <w:rPr>
          <w:color w:val="000000" w:themeColor="text1"/>
        </w:rPr>
        <w:t>he aquatic species risk quotients calculated for use of difethialone and flocoumafen chemical products in sewers are in the acceptable range (</w:t>
      </w:r>
      <w:r w:rsidR="002C111B">
        <w:rPr>
          <w:color w:val="000000" w:themeColor="text1"/>
        </w:rPr>
        <w:fldChar w:fldCharType="begin"/>
      </w:r>
      <w:r w:rsidR="002C111B">
        <w:rPr>
          <w:color w:val="000000" w:themeColor="text1"/>
        </w:rPr>
        <w:instrText xml:space="preserve"> REF _Ref216291357 \h </w:instrText>
      </w:r>
      <w:r w:rsidR="002C111B">
        <w:rPr>
          <w:color w:val="000000" w:themeColor="text1"/>
        </w:rPr>
      </w:r>
      <w:r w:rsidR="002C111B">
        <w:rPr>
          <w:color w:val="000000" w:themeColor="text1"/>
        </w:rPr>
        <w:fldChar w:fldCharType="separate"/>
      </w:r>
      <w:r w:rsidR="002C0C2A" w:rsidRPr="002F3A90">
        <w:t xml:space="preserve">Table </w:t>
      </w:r>
      <w:r w:rsidR="002C0C2A">
        <w:rPr>
          <w:noProof/>
        </w:rPr>
        <w:t>7</w:t>
      </w:r>
      <w:r w:rsidR="002C111B">
        <w:rPr>
          <w:color w:val="000000" w:themeColor="text1"/>
        </w:rPr>
        <w:fldChar w:fldCharType="end"/>
      </w:r>
      <w:r w:rsidRPr="00F24CD0">
        <w:rPr>
          <w:color w:val="000000" w:themeColor="text1"/>
        </w:rPr>
        <w:t>). As such, based on the outcomes of this environmental exposure modelling, I am satisfied that use of difethialone and flocoumafen chemical products in sewers in accordance with current instruction for use is not expected to have an unintended effect that is harmful to aquatic species.</w:t>
      </w:r>
    </w:p>
    <w:p w14:paraId="4BF5D701" w14:textId="58296831" w:rsidR="008E67EA" w:rsidRPr="002F3A90" w:rsidRDefault="008E67EA" w:rsidP="00B33ED7">
      <w:pPr>
        <w:pStyle w:val="Caption"/>
        <w:ind w:left="567"/>
      </w:pPr>
      <w:bookmarkStart w:id="211" w:name="_Ref216291357"/>
      <w:r w:rsidRPr="002F3A90">
        <w:t xml:space="preserve">Table </w:t>
      </w:r>
      <w:r w:rsidRPr="002F3A90">
        <w:fldChar w:fldCharType="begin"/>
      </w:r>
      <w:r w:rsidRPr="002F3A90">
        <w:instrText xml:space="preserve"> SEQ Table \* ARABIC </w:instrText>
      </w:r>
      <w:r w:rsidRPr="002F3A90">
        <w:fldChar w:fldCharType="separate"/>
      </w:r>
      <w:r w:rsidR="002C0C2A">
        <w:rPr>
          <w:noProof/>
        </w:rPr>
        <w:t>7</w:t>
      </w:r>
      <w:r w:rsidRPr="002F3A90">
        <w:fldChar w:fldCharType="end"/>
      </w:r>
      <w:bookmarkEnd w:id="211"/>
      <w:r w:rsidRPr="002F3A90">
        <w:t>: Aquatic species – difethialone and flocoumafen – regulatory acceptable levels (RALs) and risk quotients (RQs) calculated for use in sewers</w:t>
      </w:r>
    </w:p>
    <w:tbl>
      <w:tblPr>
        <w:tblW w:w="4711"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702"/>
        <w:gridCol w:w="3402"/>
        <w:gridCol w:w="1700"/>
        <w:gridCol w:w="2268"/>
      </w:tblGrid>
      <w:tr w:rsidR="008E67EA" w:rsidRPr="006B74D1" w14:paraId="0FFB17AF" w14:textId="77777777" w:rsidTr="00B44A74">
        <w:trPr>
          <w:cantSplit/>
          <w:tblHeader/>
        </w:trPr>
        <w:tc>
          <w:tcPr>
            <w:tcW w:w="938" w:type="pct"/>
            <w:tcBorders>
              <w:top w:val="single" w:sz="4" w:space="0" w:color="auto"/>
              <w:left w:val="single" w:sz="4" w:space="0" w:color="auto"/>
              <w:bottom w:val="single" w:sz="4" w:space="0" w:color="auto"/>
              <w:right w:val="single" w:sz="4" w:space="0" w:color="auto"/>
            </w:tcBorders>
            <w:shd w:val="clear" w:color="auto" w:fill="E6E6E6"/>
          </w:tcPr>
          <w:p w14:paraId="314625B2" w14:textId="77777777" w:rsidR="008E67EA" w:rsidRPr="003C572C" w:rsidRDefault="008E67EA" w:rsidP="00B44A74">
            <w:pPr>
              <w:pStyle w:val="TableHead"/>
              <w:spacing w:before="0" w:after="0"/>
              <w:rPr>
                <w:color w:val="auto"/>
              </w:rPr>
            </w:pPr>
            <w:r w:rsidRPr="003C572C">
              <w:rPr>
                <w:color w:val="auto"/>
              </w:rPr>
              <w:t>Active</w:t>
            </w:r>
          </w:p>
        </w:tc>
        <w:tc>
          <w:tcPr>
            <w:tcW w:w="1875" w:type="pct"/>
            <w:tcBorders>
              <w:top w:val="single" w:sz="4" w:space="0" w:color="auto"/>
              <w:left w:val="single" w:sz="4" w:space="0" w:color="auto"/>
              <w:bottom w:val="single" w:sz="4" w:space="0" w:color="auto"/>
              <w:right w:val="single" w:sz="4" w:space="0" w:color="auto"/>
            </w:tcBorders>
            <w:shd w:val="clear" w:color="auto" w:fill="E6E6E6"/>
          </w:tcPr>
          <w:p w14:paraId="6B20D974" w14:textId="77777777" w:rsidR="008E67EA" w:rsidRPr="003C572C" w:rsidRDefault="008E67EA" w:rsidP="00B44A74">
            <w:pPr>
              <w:pStyle w:val="TableHead"/>
              <w:spacing w:before="0" w:after="0"/>
              <w:rPr>
                <w:color w:val="auto"/>
              </w:rPr>
            </w:pPr>
            <w:r>
              <w:rPr>
                <w:color w:val="auto"/>
              </w:rPr>
              <w:t>Study endpoint</w:t>
            </w:r>
          </w:p>
        </w:tc>
        <w:tc>
          <w:tcPr>
            <w:tcW w:w="937" w:type="pct"/>
            <w:tcBorders>
              <w:top w:val="single" w:sz="4" w:space="0" w:color="auto"/>
              <w:left w:val="single" w:sz="4" w:space="0" w:color="auto"/>
              <w:bottom w:val="single" w:sz="4" w:space="0" w:color="auto"/>
              <w:right w:val="single" w:sz="4" w:space="0" w:color="auto"/>
            </w:tcBorders>
            <w:shd w:val="clear" w:color="auto" w:fill="E6E6E6"/>
          </w:tcPr>
          <w:p w14:paraId="66433565" w14:textId="77777777" w:rsidR="008E67EA" w:rsidRPr="003C572C" w:rsidRDefault="008E67EA" w:rsidP="00B44A74">
            <w:pPr>
              <w:pStyle w:val="TableHead"/>
              <w:spacing w:before="0" w:after="0"/>
              <w:jc w:val="center"/>
              <w:rPr>
                <w:color w:val="auto"/>
              </w:rPr>
            </w:pPr>
            <w:r>
              <w:rPr>
                <w:color w:val="auto"/>
              </w:rPr>
              <w:t>RAL (mg/L)</w:t>
            </w:r>
          </w:p>
        </w:tc>
        <w:tc>
          <w:tcPr>
            <w:tcW w:w="1250" w:type="pct"/>
            <w:tcBorders>
              <w:top w:val="single" w:sz="4" w:space="0" w:color="auto"/>
              <w:left w:val="single" w:sz="4" w:space="0" w:color="auto"/>
              <w:bottom w:val="single" w:sz="4" w:space="0" w:color="auto"/>
              <w:right w:val="single" w:sz="4" w:space="0" w:color="auto"/>
            </w:tcBorders>
            <w:shd w:val="clear" w:color="auto" w:fill="E6E6E6"/>
          </w:tcPr>
          <w:p w14:paraId="3B644014" w14:textId="77777777" w:rsidR="008E67EA" w:rsidRPr="003C572C" w:rsidRDefault="008E67EA" w:rsidP="00B44A74">
            <w:pPr>
              <w:pStyle w:val="TableHead"/>
              <w:spacing w:before="0" w:after="0"/>
              <w:jc w:val="center"/>
              <w:rPr>
                <w:color w:val="auto"/>
              </w:rPr>
            </w:pPr>
            <w:r>
              <w:rPr>
                <w:color w:val="auto"/>
              </w:rPr>
              <w:t>RQ (acceptable RQ ≤1)</w:t>
            </w:r>
          </w:p>
        </w:tc>
      </w:tr>
      <w:tr w:rsidR="008E67EA" w:rsidRPr="006B74D1" w14:paraId="1B050FC8" w14:textId="77777777" w:rsidTr="00B44A74">
        <w:trPr>
          <w:cantSplit/>
        </w:trPr>
        <w:tc>
          <w:tcPr>
            <w:tcW w:w="938" w:type="pct"/>
            <w:tcBorders>
              <w:top w:val="single" w:sz="4" w:space="0" w:color="auto"/>
              <w:left w:val="single" w:sz="4" w:space="0" w:color="auto"/>
              <w:right w:val="single" w:sz="4" w:space="0" w:color="auto"/>
            </w:tcBorders>
          </w:tcPr>
          <w:p w14:paraId="2EC854F0" w14:textId="77777777" w:rsidR="008E67EA" w:rsidRDefault="008E67EA" w:rsidP="00B44A74">
            <w:pPr>
              <w:pStyle w:val="APVMATableText"/>
              <w:spacing w:before="0" w:after="0"/>
              <w:rPr>
                <w:szCs w:val="17"/>
              </w:rPr>
            </w:pPr>
            <w:r>
              <w:rPr>
                <w:szCs w:val="17"/>
              </w:rPr>
              <w:t>Difethialone</w:t>
            </w:r>
          </w:p>
        </w:tc>
        <w:tc>
          <w:tcPr>
            <w:tcW w:w="1875" w:type="pct"/>
            <w:tcBorders>
              <w:top w:val="single" w:sz="4" w:space="0" w:color="auto"/>
              <w:left w:val="single" w:sz="4" w:space="0" w:color="auto"/>
              <w:right w:val="single" w:sz="4" w:space="0" w:color="auto"/>
            </w:tcBorders>
          </w:tcPr>
          <w:p w14:paraId="566F5626" w14:textId="77777777" w:rsidR="008E67EA" w:rsidRDefault="008E67EA" w:rsidP="00B44A74">
            <w:pPr>
              <w:pStyle w:val="APVMATableText"/>
              <w:spacing w:before="0" w:after="0"/>
              <w:rPr>
                <w:szCs w:val="17"/>
              </w:rPr>
            </w:pPr>
            <w:r>
              <w:rPr>
                <w:szCs w:val="17"/>
              </w:rPr>
              <w:t>EC</w:t>
            </w:r>
            <w:r w:rsidRPr="00066436">
              <w:rPr>
                <w:szCs w:val="17"/>
                <w:vertAlign w:val="subscript"/>
              </w:rPr>
              <w:t>50</w:t>
            </w:r>
            <w:r>
              <w:rPr>
                <w:szCs w:val="17"/>
              </w:rPr>
              <w:t xml:space="preserve"> 0.0044 mg/L</w:t>
            </w:r>
            <w:r>
              <w:t xml:space="preserve"> –</w:t>
            </w:r>
            <w:r>
              <w:rPr>
                <w:szCs w:val="17"/>
                <w:lang w:eastAsia="en-AU"/>
              </w:rPr>
              <w:t xml:space="preserve"> a</w:t>
            </w:r>
            <w:r w:rsidRPr="009A2082">
              <w:t xml:space="preserve">cute </w:t>
            </w:r>
            <w:r>
              <w:t>exposure of i</w:t>
            </w:r>
            <w:r w:rsidRPr="009A2082">
              <w:t>nvertebrates</w:t>
            </w:r>
            <w:r>
              <w:t xml:space="preserve"> (</w:t>
            </w:r>
            <w:r w:rsidRPr="009A2082">
              <w:rPr>
                <w:i/>
                <w:iCs/>
              </w:rPr>
              <w:t>Daphnia magna</w:t>
            </w:r>
            <w:r>
              <w:t>)</w:t>
            </w:r>
          </w:p>
        </w:tc>
        <w:tc>
          <w:tcPr>
            <w:tcW w:w="937" w:type="pct"/>
            <w:tcBorders>
              <w:top w:val="single" w:sz="4" w:space="0" w:color="auto"/>
              <w:left w:val="single" w:sz="4" w:space="0" w:color="auto"/>
              <w:right w:val="single" w:sz="4" w:space="0" w:color="auto"/>
            </w:tcBorders>
          </w:tcPr>
          <w:p w14:paraId="0848DD47" w14:textId="77777777" w:rsidR="008E67EA" w:rsidRDefault="008E67EA" w:rsidP="00B44A74">
            <w:pPr>
              <w:pStyle w:val="APVMATableText"/>
              <w:spacing w:before="0" w:after="0"/>
              <w:jc w:val="center"/>
              <w:rPr>
                <w:szCs w:val="17"/>
              </w:rPr>
            </w:pPr>
            <w:r>
              <w:rPr>
                <w:szCs w:val="17"/>
              </w:rPr>
              <w:t>0.00044</w:t>
            </w:r>
          </w:p>
        </w:tc>
        <w:tc>
          <w:tcPr>
            <w:tcW w:w="1250" w:type="pct"/>
            <w:tcBorders>
              <w:top w:val="single" w:sz="4" w:space="0" w:color="auto"/>
              <w:left w:val="single" w:sz="4" w:space="0" w:color="auto"/>
              <w:right w:val="single" w:sz="4" w:space="0" w:color="auto"/>
            </w:tcBorders>
          </w:tcPr>
          <w:p w14:paraId="6E5DAEBA" w14:textId="77777777" w:rsidR="008E67EA" w:rsidRDefault="008E67EA" w:rsidP="00B44A74">
            <w:pPr>
              <w:pStyle w:val="APVMATableText"/>
              <w:spacing w:before="0" w:after="0"/>
              <w:jc w:val="center"/>
              <w:rPr>
                <w:szCs w:val="17"/>
              </w:rPr>
            </w:pPr>
            <w:r w:rsidRPr="00A3343E">
              <w:rPr>
                <w:szCs w:val="17"/>
              </w:rPr>
              <w:t>&lt;0.01</w:t>
            </w:r>
          </w:p>
        </w:tc>
      </w:tr>
      <w:tr w:rsidR="008E67EA" w:rsidRPr="006B74D1" w14:paraId="1651541D" w14:textId="77777777" w:rsidTr="00B44A74">
        <w:trPr>
          <w:cantSplit/>
        </w:trPr>
        <w:tc>
          <w:tcPr>
            <w:tcW w:w="938" w:type="pct"/>
            <w:tcBorders>
              <w:left w:val="single" w:sz="4" w:space="0" w:color="auto"/>
              <w:bottom w:val="single" w:sz="4" w:space="0" w:color="auto"/>
              <w:right w:val="single" w:sz="4" w:space="0" w:color="auto"/>
            </w:tcBorders>
          </w:tcPr>
          <w:p w14:paraId="2C3B2906" w14:textId="77777777" w:rsidR="008E67EA" w:rsidRDefault="008E67EA" w:rsidP="00B44A74">
            <w:pPr>
              <w:pStyle w:val="APVMATableText"/>
              <w:spacing w:before="0" w:after="0"/>
              <w:rPr>
                <w:szCs w:val="17"/>
              </w:rPr>
            </w:pPr>
            <w:r>
              <w:rPr>
                <w:szCs w:val="17"/>
              </w:rPr>
              <w:t>Flocoumafen</w:t>
            </w:r>
          </w:p>
        </w:tc>
        <w:tc>
          <w:tcPr>
            <w:tcW w:w="1875" w:type="pct"/>
            <w:tcBorders>
              <w:left w:val="single" w:sz="4" w:space="0" w:color="auto"/>
              <w:bottom w:val="single" w:sz="4" w:space="0" w:color="auto"/>
              <w:right w:val="single" w:sz="4" w:space="0" w:color="auto"/>
            </w:tcBorders>
          </w:tcPr>
          <w:p w14:paraId="74A19BF3" w14:textId="77777777" w:rsidR="008E67EA" w:rsidRDefault="008E67EA" w:rsidP="00B44A74">
            <w:pPr>
              <w:pStyle w:val="APVMATableText"/>
              <w:spacing w:before="0" w:after="0"/>
              <w:rPr>
                <w:szCs w:val="17"/>
              </w:rPr>
            </w:pPr>
            <w:r>
              <w:rPr>
                <w:szCs w:val="17"/>
              </w:rPr>
              <w:t>LC</w:t>
            </w:r>
            <w:r w:rsidRPr="009E1D83">
              <w:rPr>
                <w:szCs w:val="17"/>
                <w:vertAlign w:val="subscript"/>
              </w:rPr>
              <w:t>50</w:t>
            </w:r>
            <w:r>
              <w:rPr>
                <w:szCs w:val="17"/>
              </w:rPr>
              <w:t xml:space="preserve"> 0.070 mg/L</w:t>
            </w:r>
            <w:r w:rsidRPr="009A2082">
              <w:t xml:space="preserve"> </w:t>
            </w:r>
            <w:r>
              <w:t>– a</w:t>
            </w:r>
            <w:r w:rsidRPr="009A2082">
              <w:t xml:space="preserve">cute </w:t>
            </w:r>
            <w:r>
              <w:t>exposure of fish (</w:t>
            </w:r>
            <w:r w:rsidRPr="009A2082">
              <w:rPr>
                <w:i/>
                <w:iCs/>
              </w:rPr>
              <w:t>Oncorhynchus mykiss</w:t>
            </w:r>
            <w:r>
              <w:t>)</w:t>
            </w:r>
          </w:p>
        </w:tc>
        <w:tc>
          <w:tcPr>
            <w:tcW w:w="937" w:type="pct"/>
            <w:tcBorders>
              <w:left w:val="single" w:sz="4" w:space="0" w:color="auto"/>
              <w:bottom w:val="single" w:sz="4" w:space="0" w:color="auto"/>
              <w:right w:val="single" w:sz="4" w:space="0" w:color="auto"/>
            </w:tcBorders>
          </w:tcPr>
          <w:p w14:paraId="76E8B222" w14:textId="77777777" w:rsidR="008E67EA" w:rsidRDefault="008E67EA" w:rsidP="00B44A74">
            <w:pPr>
              <w:pStyle w:val="APVMATableText"/>
              <w:spacing w:before="0" w:after="0"/>
              <w:jc w:val="center"/>
              <w:rPr>
                <w:szCs w:val="17"/>
              </w:rPr>
            </w:pPr>
            <w:r>
              <w:rPr>
                <w:szCs w:val="17"/>
              </w:rPr>
              <w:t>0.0070</w:t>
            </w:r>
          </w:p>
        </w:tc>
        <w:tc>
          <w:tcPr>
            <w:tcW w:w="1250" w:type="pct"/>
            <w:tcBorders>
              <w:left w:val="single" w:sz="4" w:space="0" w:color="auto"/>
              <w:bottom w:val="single" w:sz="4" w:space="0" w:color="auto"/>
              <w:right w:val="single" w:sz="4" w:space="0" w:color="auto"/>
            </w:tcBorders>
          </w:tcPr>
          <w:p w14:paraId="5806C21A" w14:textId="77777777" w:rsidR="008E67EA" w:rsidRDefault="008E67EA" w:rsidP="00B44A74">
            <w:pPr>
              <w:pStyle w:val="APVMATableText"/>
              <w:spacing w:before="0" w:after="0"/>
              <w:jc w:val="center"/>
              <w:rPr>
                <w:szCs w:val="17"/>
              </w:rPr>
            </w:pPr>
            <w:r>
              <w:rPr>
                <w:szCs w:val="17"/>
              </w:rPr>
              <w:t>0.74</w:t>
            </w:r>
          </w:p>
        </w:tc>
      </w:tr>
    </w:tbl>
    <w:p w14:paraId="33D4810C" w14:textId="77777777" w:rsidR="008E67EA" w:rsidRDefault="008E67EA" w:rsidP="008E67EA">
      <w:pPr>
        <w:pStyle w:val="StatementofReasonsHeading5"/>
      </w:pPr>
      <w:bookmarkStart w:id="212" w:name="_Hlk204102659"/>
      <w:r>
        <w:t>Biological methods of sewage treatment</w:t>
      </w:r>
    </w:p>
    <w:bookmarkEnd w:id="212"/>
    <w:p w14:paraId="7A678A9D" w14:textId="77777777" w:rsidR="008E67EA" w:rsidRPr="009225AC" w:rsidRDefault="008E67EA">
      <w:pPr>
        <w:pStyle w:val="NumberLevel1"/>
        <w:numPr>
          <w:ilvl w:val="0"/>
          <w:numId w:val="17"/>
        </w:numPr>
        <w:tabs>
          <w:tab w:val="clear" w:pos="709"/>
          <w:tab w:val="num" w:pos="2553"/>
        </w:tabs>
        <w:rPr>
          <w:color w:val="000000" w:themeColor="text1"/>
        </w:rPr>
      </w:pPr>
      <w:r>
        <w:rPr>
          <w:color w:val="000000" w:themeColor="text1"/>
        </w:rPr>
        <w:t>A number of c</w:t>
      </w:r>
      <w:r w:rsidRPr="009225AC">
        <w:rPr>
          <w:color w:val="000000" w:themeColor="text1"/>
        </w:rPr>
        <w:t xml:space="preserve">hemical products containing difethialone and flocoumafen are currently approved for use in </w:t>
      </w:r>
      <w:r w:rsidRPr="00175F2F">
        <w:rPr>
          <w:color w:val="000000" w:themeColor="text1"/>
        </w:rPr>
        <w:t xml:space="preserve">sewers </w:t>
      </w:r>
      <w:r w:rsidRPr="00D035F8">
        <w:rPr>
          <w:color w:val="000000" w:themeColor="text1"/>
        </w:rPr>
        <w:t>(</w:t>
      </w:r>
      <w:r w:rsidRPr="00175F2F">
        <w:rPr>
          <w:color w:val="000000" w:themeColor="text1"/>
        </w:rPr>
        <w:t xml:space="preserve">66889, 69086, 80386, </w:t>
      </w:r>
      <w:r w:rsidRPr="00D035F8">
        <w:rPr>
          <w:color w:val="000000" w:themeColor="text1"/>
        </w:rPr>
        <w:t>80663, 90839)</w:t>
      </w:r>
      <w:r w:rsidRPr="00175F2F">
        <w:rPr>
          <w:color w:val="000000" w:themeColor="text1"/>
        </w:rPr>
        <w:t>, and therefore</w:t>
      </w:r>
      <w:r w:rsidRPr="009225AC">
        <w:rPr>
          <w:color w:val="000000" w:themeColor="text1"/>
        </w:rPr>
        <w:t xml:space="preserve"> exposure of biological methods of sewage treatment to the</w:t>
      </w:r>
      <w:r>
        <w:rPr>
          <w:color w:val="000000" w:themeColor="text1"/>
        </w:rPr>
        <w:t>se</w:t>
      </w:r>
      <w:r w:rsidRPr="009225AC">
        <w:rPr>
          <w:color w:val="000000" w:themeColor="text1"/>
        </w:rPr>
        <w:t xml:space="preserve"> anticoagulant rodenticides is possible.</w:t>
      </w:r>
      <w:r w:rsidRPr="00637D6F">
        <w:rPr>
          <w:color w:val="000000" w:themeColor="text1"/>
        </w:rPr>
        <w:t xml:space="preserve"> </w:t>
      </w:r>
      <w:r w:rsidRPr="009225AC">
        <w:rPr>
          <w:color w:val="000000" w:themeColor="text1"/>
        </w:rPr>
        <w:t>The risks posed to</w:t>
      </w:r>
      <w:r>
        <w:rPr>
          <w:color w:val="000000" w:themeColor="text1"/>
        </w:rPr>
        <w:t xml:space="preserve"> these</w:t>
      </w:r>
      <w:r w:rsidRPr="009225AC">
        <w:rPr>
          <w:color w:val="000000" w:themeColor="text1"/>
        </w:rPr>
        <w:t xml:space="preserve"> biological methods of sewage treatment </w:t>
      </w:r>
      <w:r>
        <w:rPr>
          <w:color w:val="000000" w:themeColor="text1"/>
        </w:rPr>
        <w:t>from</w:t>
      </w:r>
      <w:r w:rsidRPr="009225AC">
        <w:rPr>
          <w:color w:val="000000" w:themeColor="text1"/>
        </w:rPr>
        <w:t xml:space="preserve"> use of chemical products</w:t>
      </w:r>
      <w:r>
        <w:rPr>
          <w:color w:val="000000" w:themeColor="text1"/>
        </w:rPr>
        <w:t xml:space="preserve"> containing </w:t>
      </w:r>
      <w:r w:rsidRPr="009225AC">
        <w:rPr>
          <w:color w:val="000000" w:themeColor="text1"/>
        </w:rPr>
        <w:t xml:space="preserve">difethialone and flocoumafen in sewers, in accordance with approved </w:t>
      </w:r>
      <w:r w:rsidRPr="009225AC">
        <w:rPr>
          <w:color w:val="000000" w:themeColor="text1"/>
        </w:rPr>
        <w:lastRenderedPageBreak/>
        <w:t>instructions, was determined using quantitative risk assessment methodologies</w:t>
      </w:r>
      <w:r>
        <w:rPr>
          <w:color w:val="000000" w:themeColor="text1"/>
        </w:rPr>
        <w:t xml:space="preserve"> in the environmental risk </w:t>
      </w:r>
      <w:r w:rsidRPr="00F24CD0">
        <w:rPr>
          <w:color w:val="000000" w:themeColor="text1"/>
        </w:rPr>
        <w:t xml:space="preserve">assessment. I have considered and agree with the approach and methodology and the conclusions in these assessments unless I have indicated otherwise in these reasons. </w:t>
      </w:r>
      <w:r w:rsidRPr="00F24CD0">
        <w:rPr>
          <w:szCs w:val="20"/>
        </w:rPr>
        <w:t>Based on my review and consideration of</w:t>
      </w:r>
      <w:r>
        <w:rPr>
          <w:szCs w:val="20"/>
        </w:rPr>
        <w:t xml:space="preserve"> </w:t>
      </w:r>
      <w:r w:rsidRPr="000F03D7">
        <w:rPr>
          <w:szCs w:val="20"/>
        </w:rPr>
        <w:t xml:space="preserve">the </w:t>
      </w:r>
      <w:r>
        <w:rPr>
          <w:szCs w:val="20"/>
        </w:rPr>
        <w:t xml:space="preserve">risk assessments summarised in </w:t>
      </w:r>
      <w:r w:rsidRPr="0004678E">
        <w:rPr>
          <w:szCs w:val="20"/>
        </w:rPr>
        <w:t>sections</w:t>
      </w:r>
      <w:r>
        <w:rPr>
          <w:szCs w:val="20"/>
        </w:rPr>
        <w:t xml:space="preserve"> </w:t>
      </w:r>
      <w:r w:rsidRPr="006B5FF8">
        <w:rPr>
          <w:i/>
          <w:iCs/>
          <w:color w:val="000000" w:themeColor="text1"/>
          <w:szCs w:val="20"/>
        </w:rPr>
        <w:t>‘3.2.2 Effects on other non-target species’</w:t>
      </w:r>
      <w:r>
        <w:rPr>
          <w:i/>
          <w:iCs/>
          <w:color w:val="000000" w:themeColor="text1"/>
          <w:szCs w:val="20"/>
        </w:rPr>
        <w:t xml:space="preserve"> </w:t>
      </w:r>
      <w:r w:rsidRPr="006B5FF8">
        <w:rPr>
          <w:color w:val="000000" w:themeColor="text1"/>
          <w:szCs w:val="20"/>
        </w:rPr>
        <w:t>and</w:t>
      </w:r>
      <w:r w:rsidRPr="0004678E">
        <w:rPr>
          <w:szCs w:val="20"/>
        </w:rPr>
        <w:t xml:space="preserve"> </w:t>
      </w:r>
      <w:r w:rsidRPr="0004678E">
        <w:rPr>
          <w:i/>
          <w:iCs/>
          <w:szCs w:val="20"/>
        </w:rPr>
        <w:t xml:space="preserve">‘3.3.3 </w:t>
      </w:r>
      <w:r w:rsidRPr="0004678E">
        <w:rPr>
          <w:i/>
          <w:iCs/>
          <w:color w:val="000000" w:themeColor="text1"/>
          <w:szCs w:val="20"/>
        </w:rPr>
        <w:t>Risks to other non-target species’</w:t>
      </w:r>
      <w:r>
        <w:rPr>
          <w:i/>
          <w:iCs/>
          <w:color w:val="000000" w:themeColor="text1"/>
          <w:szCs w:val="20"/>
        </w:rPr>
        <w:t xml:space="preserve"> </w:t>
      </w:r>
      <w:r w:rsidRPr="000F03D7">
        <w:rPr>
          <w:szCs w:val="20"/>
        </w:rPr>
        <w:t xml:space="preserve">of the </w:t>
      </w:r>
      <w:r w:rsidRPr="000F03D7">
        <w:rPr>
          <w:i/>
          <w:iCs/>
        </w:rPr>
        <w:t>Anticoagulant Rodenticides Review Technical Report</w:t>
      </w:r>
      <w:r>
        <w:rPr>
          <w:color w:val="000000" w:themeColor="text1"/>
        </w:rPr>
        <w:t>:</w:t>
      </w:r>
    </w:p>
    <w:p w14:paraId="713DA065" w14:textId="5CE364C2" w:rsidR="008E67EA" w:rsidRPr="00F24CD0" w:rsidRDefault="008E67EA">
      <w:pPr>
        <w:pStyle w:val="NumberLevel2"/>
        <w:numPr>
          <w:ilvl w:val="1"/>
          <w:numId w:val="17"/>
        </w:numPr>
        <w:ind w:left="1134"/>
        <w:rPr>
          <w:color w:val="000000" w:themeColor="text1"/>
        </w:rPr>
      </w:pPr>
      <w:r w:rsidRPr="00F24CD0">
        <w:rPr>
          <w:color w:val="000000" w:themeColor="text1"/>
        </w:rPr>
        <w:t xml:space="preserve">I note that in the available effects studies for biological methods of sewage treatment, difethialone and flocoumafen did not inhibit bacterial activity at the highest concentrations tested, which was limited by the solubility of these active constituents. I also note that the difethialone and flocoumafen RALs for soil biological methods of sewage treatment listed in </w:t>
      </w:r>
      <w:r w:rsidRPr="00F24CD0">
        <w:rPr>
          <w:color w:val="000000" w:themeColor="text1"/>
        </w:rPr>
        <w:fldChar w:fldCharType="begin"/>
      </w:r>
      <w:r w:rsidRPr="00F24CD0">
        <w:rPr>
          <w:color w:val="000000" w:themeColor="text1"/>
        </w:rPr>
        <w:instrText xml:space="preserve"> REF _Ref202810418 \h  \* MERGEFORMAT </w:instrText>
      </w:r>
      <w:r w:rsidRPr="00F24CD0">
        <w:rPr>
          <w:color w:val="000000" w:themeColor="text1"/>
        </w:rPr>
      </w:r>
      <w:r w:rsidRPr="00F24CD0">
        <w:rPr>
          <w:color w:val="000000" w:themeColor="text1"/>
        </w:rPr>
        <w:fldChar w:fldCharType="separate"/>
      </w:r>
      <w:r w:rsidR="002C0C2A" w:rsidRPr="002F3A90">
        <w:t xml:space="preserve">Table </w:t>
      </w:r>
      <w:r w:rsidR="002C0C2A">
        <w:rPr>
          <w:noProof/>
        </w:rPr>
        <w:t>8</w:t>
      </w:r>
      <w:r w:rsidRPr="00F24CD0">
        <w:rPr>
          <w:color w:val="000000" w:themeColor="text1"/>
        </w:rPr>
        <w:fldChar w:fldCharType="end"/>
      </w:r>
      <w:r w:rsidRPr="00F24CD0">
        <w:rPr>
          <w:color w:val="000000" w:themeColor="text1"/>
        </w:rPr>
        <w:t xml:space="preserve"> were calculated based on endpoints from the available effects studies and application of a standard 10-fold assessment factor. I consider that exposure of biological methods of sewage treatment to difethialone and flocoumafen below the respective RALs listed in </w:t>
      </w:r>
      <w:r w:rsidRPr="00F24CD0">
        <w:rPr>
          <w:color w:val="000000" w:themeColor="text1"/>
        </w:rPr>
        <w:fldChar w:fldCharType="begin"/>
      </w:r>
      <w:r w:rsidRPr="00F24CD0">
        <w:rPr>
          <w:color w:val="000000" w:themeColor="text1"/>
        </w:rPr>
        <w:instrText xml:space="preserve"> REF _Ref202810418 \h  \* MERGEFORMAT </w:instrText>
      </w:r>
      <w:r w:rsidRPr="00F24CD0">
        <w:rPr>
          <w:color w:val="000000" w:themeColor="text1"/>
        </w:rPr>
      </w:r>
      <w:r w:rsidRPr="00F24CD0">
        <w:rPr>
          <w:color w:val="000000" w:themeColor="text1"/>
        </w:rPr>
        <w:fldChar w:fldCharType="separate"/>
      </w:r>
      <w:r w:rsidR="002C0C2A" w:rsidRPr="002F3A90">
        <w:t xml:space="preserve">Table </w:t>
      </w:r>
      <w:r w:rsidR="002C0C2A">
        <w:rPr>
          <w:noProof/>
        </w:rPr>
        <w:t>8</w:t>
      </w:r>
      <w:r w:rsidRPr="00F24CD0">
        <w:rPr>
          <w:color w:val="000000" w:themeColor="text1"/>
        </w:rPr>
        <w:fldChar w:fldCharType="end"/>
      </w:r>
      <w:r w:rsidRPr="00F24CD0">
        <w:rPr>
          <w:color w:val="000000" w:themeColor="text1"/>
        </w:rPr>
        <w:t xml:space="preserve"> is not expected to have an effect that is harmful to these non-target organisms.</w:t>
      </w:r>
    </w:p>
    <w:p w14:paraId="643F2A2A" w14:textId="1FB03E78" w:rsidR="008E67EA" w:rsidRPr="0046425B" w:rsidRDefault="008E67EA">
      <w:pPr>
        <w:pStyle w:val="NumberLevel2"/>
        <w:numPr>
          <w:ilvl w:val="1"/>
          <w:numId w:val="17"/>
        </w:numPr>
        <w:ind w:left="1134"/>
        <w:rPr>
          <w:color w:val="000000" w:themeColor="text1"/>
        </w:rPr>
      </w:pPr>
      <w:r w:rsidRPr="00F24CD0">
        <w:rPr>
          <w:color w:val="000000" w:themeColor="text1"/>
        </w:rPr>
        <w:t xml:space="preserve">I note that the potential risks to biological methods of sewage treatment from use of difethialone and flocoumafen chemical products in sewer systems have been assessed through environmental exposure modelling using the contemporary methodology outlined in the </w:t>
      </w:r>
      <w:r w:rsidRPr="00F24CD0">
        <w:rPr>
          <w:i/>
          <w:iCs/>
          <w:color w:val="000000" w:themeColor="text1"/>
        </w:rPr>
        <w:t>ECHA Revised Emission Scenario Document for Product Type 14 – Rodenticides</w:t>
      </w:r>
      <w:r w:rsidRPr="00F24CD0">
        <w:rPr>
          <w:color w:val="000000" w:themeColor="text1"/>
        </w:rPr>
        <w:t xml:space="preserve">. This methodology involved first calculating a predicted environmental concentration in sewerage treatments plants based on the predicted surface water concentration (discussed in paragraph </w:t>
      </w:r>
      <w:r w:rsidRPr="00F24CD0">
        <w:rPr>
          <w:color w:val="000000" w:themeColor="text1"/>
        </w:rPr>
        <w:fldChar w:fldCharType="begin"/>
      </w:r>
      <w:r w:rsidRPr="00F24CD0">
        <w:rPr>
          <w:color w:val="000000" w:themeColor="text1"/>
        </w:rPr>
        <w:instrText xml:space="preserve"> REF _Ref202816992 \w \h </w:instrText>
      </w:r>
      <w:r>
        <w:rPr>
          <w:color w:val="000000" w:themeColor="text1"/>
        </w:rPr>
        <w:instrText xml:space="preserve"> \* MERGEFORMAT </w:instrText>
      </w:r>
      <w:r w:rsidRPr="00F24CD0">
        <w:rPr>
          <w:color w:val="000000" w:themeColor="text1"/>
        </w:rPr>
      </w:r>
      <w:r w:rsidRPr="00F24CD0">
        <w:rPr>
          <w:color w:val="000000" w:themeColor="text1"/>
        </w:rPr>
        <w:fldChar w:fldCharType="separate"/>
      </w:r>
      <w:r w:rsidR="002C0C2A">
        <w:rPr>
          <w:color w:val="000000" w:themeColor="text1"/>
        </w:rPr>
        <w:t>66.2</w:t>
      </w:r>
      <w:r w:rsidRPr="00F24CD0">
        <w:rPr>
          <w:color w:val="000000" w:themeColor="text1"/>
        </w:rPr>
        <w:fldChar w:fldCharType="end"/>
      </w:r>
      <w:r w:rsidRPr="00F24CD0">
        <w:rPr>
          <w:color w:val="000000" w:themeColor="text1"/>
        </w:rPr>
        <w:t xml:space="preserve"> of these reasons) and a dilution factor of 10, and second, calculating a risk quotient using this predicted environmental concentration</w:t>
      </w:r>
      <w:r w:rsidRPr="0046425B">
        <w:rPr>
          <w:color w:val="000000" w:themeColor="text1"/>
        </w:rPr>
        <w:t xml:space="preserve"> in sewerage treatments plants and the relevant RAL (</w:t>
      </w:r>
      <w:r w:rsidRPr="00D035F8">
        <w:rPr>
          <w:i/>
          <w:iCs/>
          <w:color w:val="000000" w:themeColor="text1"/>
        </w:rPr>
        <w:t xml:space="preserve">Table 59 </w:t>
      </w:r>
      <w:r>
        <w:rPr>
          <w:color w:val="000000" w:themeColor="text1"/>
        </w:rPr>
        <w:t>of</w:t>
      </w:r>
      <w:r w:rsidRPr="0046425B">
        <w:rPr>
          <w:color w:val="000000" w:themeColor="text1"/>
        </w:rPr>
        <w:t xml:space="preserve"> the </w:t>
      </w:r>
      <w:r w:rsidRPr="001F7113">
        <w:rPr>
          <w:i/>
          <w:iCs/>
          <w:color w:val="000000" w:themeColor="text1"/>
        </w:rPr>
        <w:t>Anticoagulant Rodenticides Review Technical Report</w:t>
      </w:r>
      <w:r w:rsidRPr="0046425B">
        <w:rPr>
          <w:color w:val="000000" w:themeColor="text1"/>
        </w:rPr>
        <w:t xml:space="preserve">). With this model methodology, an acceptable risk quotient of less than or equal to </w:t>
      </w:r>
      <w:r>
        <w:rPr>
          <w:color w:val="000000" w:themeColor="text1"/>
        </w:rPr>
        <w:t xml:space="preserve">one represents an acceptable level of exposure to </w:t>
      </w:r>
      <w:r w:rsidRPr="0046425B">
        <w:rPr>
          <w:color w:val="000000" w:themeColor="text1"/>
        </w:rPr>
        <w:t xml:space="preserve">biological methods of sewage treatment </w:t>
      </w:r>
      <w:r>
        <w:rPr>
          <w:color w:val="000000" w:themeColor="text1"/>
        </w:rPr>
        <w:t xml:space="preserve">(i.e. that </w:t>
      </w:r>
      <w:r w:rsidRPr="0046425B">
        <w:rPr>
          <w:color w:val="000000" w:themeColor="text1"/>
        </w:rPr>
        <w:t xml:space="preserve">exposure to biological methods of sewage treatment will be less than the </w:t>
      </w:r>
      <w:r>
        <w:rPr>
          <w:color w:val="000000" w:themeColor="text1"/>
        </w:rPr>
        <w:t>corresponding</w:t>
      </w:r>
      <w:r w:rsidRPr="0046425B">
        <w:rPr>
          <w:color w:val="000000" w:themeColor="text1"/>
        </w:rPr>
        <w:t xml:space="preserve"> RAL</w:t>
      </w:r>
      <w:r>
        <w:rPr>
          <w:color w:val="000000" w:themeColor="text1"/>
        </w:rPr>
        <w:t>)</w:t>
      </w:r>
      <w:r w:rsidRPr="0046425B">
        <w:rPr>
          <w:color w:val="000000" w:themeColor="text1"/>
        </w:rPr>
        <w:t>.</w:t>
      </w:r>
    </w:p>
    <w:p w14:paraId="6641879D" w14:textId="00E98878" w:rsidR="008E67EA" w:rsidRPr="00F24CD0" w:rsidRDefault="008E67EA">
      <w:pPr>
        <w:pStyle w:val="NumberLevel2"/>
        <w:numPr>
          <w:ilvl w:val="1"/>
          <w:numId w:val="17"/>
        </w:numPr>
        <w:ind w:left="1134"/>
        <w:rPr>
          <w:color w:val="000000" w:themeColor="text1"/>
        </w:rPr>
      </w:pPr>
      <w:r w:rsidRPr="00F24CD0">
        <w:rPr>
          <w:color w:val="000000" w:themeColor="text1"/>
        </w:rPr>
        <w:t>I note that the biological methods of sewage treatment risk quotients calculated for use of difethialone and flocoumafen chemical products in sewers are in the acceptable range (</w:t>
      </w:r>
      <w:r w:rsidRPr="00F24CD0">
        <w:rPr>
          <w:color w:val="000000" w:themeColor="text1"/>
        </w:rPr>
        <w:fldChar w:fldCharType="begin"/>
      </w:r>
      <w:r w:rsidRPr="00F24CD0">
        <w:rPr>
          <w:color w:val="000000" w:themeColor="text1"/>
        </w:rPr>
        <w:instrText xml:space="preserve"> REF _Ref202810418 \h  \* MERGEFORMAT </w:instrText>
      </w:r>
      <w:r w:rsidRPr="00F24CD0">
        <w:rPr>
          <w:color w:val="000000" w:themeColor="text1"/>
        </w:rPr>
      </w:r>
      <w:r w:rsidRPr="00F24CD0">
        <w:rPr>
          <w:color w:val="000000" w:themeColor="text1"/>
        </w:rPr>
        <w:fldChar w:fldCharType="separate"/>
      </w:r>
      <w:r w:rsidR="002C0C2A" w:rsidRPr="002F3A90">
        <w:t xml:space="preserve">Table </w:t>
      </w:r>
      <w:r w:rsidR="002C0C2A">
        <w:rPr>
          <w:noProof/>
        </w:rPr>
        <w:t>8</w:t>
      </w:r>
      <w:r w:rsidRPr="00F24CD0">
        <w:rPr>
          <w:color w:val="000000" w:themeColor="text1"/>
        </w:rPr>
        <w:fldChar w:fldCharType="end"/>
      </w:r>
      <w:r w:rsidRPr="00F24CD0">
        <w:rPr>
          <w:color w:val="000000" w:themeColor="text1"/>
        </w:rPr>
        <w:t>). As such, based on the outcomes of this environmental exposure modelling, I am satisfied that use of difethialone and flocoumafen chemical products in sewers in accordance with current instructions is not expected to have an unintended effect that is harmful to biological methods of sewage treatment.</w:t>
      </w:r>
    </w:p>
    <w:p w14:paraId="7AFC83A0" w14:textId="530E0A0D" w:rsidR="008E67EA" w:rsidRPr="002F3A90" w:rsidRDefault="008E67EA" w:rsidP="00B33ED7">
      <w:pPr>
        <w:pStyle w:val="Caption"/>
        <w:ind w:left="567"/>
      </w:pPr>
      <w:bookmarkStart w:id="213" w:name="_Ref202810418"/>
      <w:r w:rsidRPr="002F3A90">
        <w:t xml:space="preserve">Table </w:t>
      </w:r>
      <w:r w:rsidRPr="002F3A90">
        <w:fldChar w:fldCharType="begin"/>
      </w:r>
      <w:r w:rsidRPr="002F3A90">
        <w:instrText xml:space="preserve"> SEQ Table \* ARABIC </w:instrText>
      </w:r>
      <w:r w:rsidRPr="002F3A90">
        <w:fldChar w:fldCharType="separate"/>
      </w:r>
      <w:r w:rsidR="002C0C2A">
        <w:rPr>
          <w:noProof/>
        </w:rPr>
        <w:t>8</w:t>
      </w:r>
      <w:r w:rsidRPr="002F3A90">
        <w:fldChar w:fldCharType="end"/>
      </w:r>
      <w:bookmarkEnd w:id="213"/>
      <w:r w:rsidRPr="002F3A90">
        <w:t>: Biological methods of sewage treatment – difethialone and flocoumafen – regulatory acceptable levels (RALs) and risk quotients (RQs) calculated for use in sewers</w:t>
      </w:r>
    </w:p>
    <w:tbl>
      <w:tblPr>
        <w:tblW w:w="4711"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702"/>
        <w:gridCol w:w="3402"/>
        <w:gridCol w:w="1700"/>
        <w:gridCol w:w="2268"/>
      </w:tblGrid>
      <w:tr w:rsidR="008E67EA" w:rsidRPr="006B74D1" w14:paraId="74717CFF" w14:textId="77777777" w:rsidTr="00B44A74">
        <w:trPr>
          <w:cantSplit/>
          <w:tblHeader/>
        </w:trPr>
        <w:tc>
          <w:tcPr>
            <w:tcW w:w="938" w:type="pct"/>
            <w:tcBorders>
              <w:top w:val="single" w:sz="4" w:space="0" w:color="auto"/>
              <w:left w:val="single" w:sz="4" w:space="0" w:color="auto"/>
              <w:bottom w:val="single" w:sz="4" w:space="0" w:color="auto"/>
              <w:right w:val="single" w:sz="4" w:space="0" w:color="auto"/>
            </w:tcBorders>
            <w:shd w:val="clear" w:color="auto" w:fill="E6E6E6"/>
          </w:tcPr>
          <w:p w14:paraId="4452790D" w14:textId="77777777" w:rsidR="008E67EA" w:rsidRPr="003C572C" w:rsidRDefault="008E67EA" w:rsidP="00B44A74">
            <w:pPr>
              <w:pStyle w:val="TableHead"/>
              <w:spacing w:before="0" w:after="0"/>
              <w:rPr>
                <w:color w:val="auto"/>
              </w:rPr>
            </w:pPr>
            <w:r w:rsidRPr="003C572C">
              <w:rPr>
                <w:color w:val="auto"/>
              </w:rPr>
              <w:t>Active</w:t>
            </w:r>
          </w:p>
        </w:tc>
        <w:tc>
          <w:tcPr>
            <w:tcW w:w="1875" w:type="pct"/>
            <w:tcBorders>
              <w:top w:val="single" w:sz="4" w:space="0" w:color="auto"/>
              <w:left w:val="single" w:sz="4" w:space="0" w:color="auto"/>
              <w:bottom w:val="single" w:sz="4" w:space="0" w:color="auto"/>
              <w:right w:val="single" w:sz="4" w:space="0" w:color="auto"/>
            </w:tcBorders>
            <w:shd w:val="clear" w:color="auto" w:fill="E6E6E6"/>
          </w:tcPr>
          <w:p w14:paraId="2AFABF2A" w14:textId="77777777" w:rsidR="008E67EA" w:rsidRPr="003C572C" w:rsidRDefault="008E67EA" w:rsidP="00B44A74">
            <w:pPr>
              <w:pStyle w:val="TableHead"/>
              <w:spacing w:before="0" w:after="0"/>
              <w:rPr>
                <w:color w:val="auto"/>
              </w:rPr>
            </w:pPr>
            <w:r>
              <w:rPr>
                <w:color w:val="auto"/>
              </w:rPr>
              <w:t>Study endpoint</w:t>
            </w:r>
          </w:p>
        </w:tc>
        <w:tc>
          <w:tcPr>
            <w:tcW w:w="937" w:type="pct"/>
            <w:tcBorders>
              <w:top w:val="single" w:sz="4" w:space="0" w:color="auto"/>
              <w:left w:val="single" w:sz="4" w:space="0" w:color="auto"/>
              <w:bottom w:val="single" w:sz="4" w:space="0" w:color="auto"/>
              <w:right w:val="single" w:sz="4" w:space="0" w:color="auto"/>
            </w:tcBorders>
            <w:shd w:val="clear" w:color="auto" w:fill="E6E6E6"/>
          </w:tcPr>
          <w:p w14:paraId="7084871F" w14:textId="77777777" w:rsidR="008E67EA" w:rsidRPr="003C572C" w:rsidRDefault="008E67EA" w:rsidP="00B44A74">
            <w:pPr>
              <w:pStyle w:val="TableHead"/>
              <w:spacing w:before="0" w:after="0"/>
              <w:jc w:val="center"/>
              <w:rPr>
                <w:color w:val="auto"/>
              </w:rPr>
            </w:pPr>
            <w:r>
              <w:rPr>
                <w:color w:val="auto"/>
              </w:rPr>
              <w:t>RAL (mg/L)</w:t>
            </w:r>
          </w:p>
        </w:tc>
        <w:tc>
          <w:tcPr>
            <w:tcW w:w="1250" w:type="pct"/>
            <w:tcBorders>
              <w:top w:val="single" w:sz="4" w:space="0" w:color="auto"/>
              <w:left w:val="single" w:sz="4" w:space="0" w:color="auto"/>
              <w:bottom w:val="single" w:sz="4" w:space="0" w:color="auto"/>
              <w:right w:val="single" w:sz="4" w:space="0" w:color="auto"/>
            </w:tcBorders>
            <w:shd w:val="clear" w:color="auto" w:fill="E6E6E6"/>
          </w:tcPr>
          <w:p w14:paraId="27409A70" w14:textId="77777777" w:rsidR="008E67EA" w:rsidRPr="003C572C" w:rsidRDefault="008E67EA" w:rsidP="00B44A74">
            <w:pPr>
              <w:pStyle w:val="TableHead"/>
              <w:spacing w:before="0" w:after="0"/>
              <w:jc w:val="center"/>
              <w:rPr>
                <w:color w:val="auto"/>
              </w:rPr>
            </w:pPr>
            <w:r>
              <w:rPr>
                <w:color w:val="auto"/>
              </w:rPr>
              <w:t>RQ (acceptable RQ ≤1)</w:t>
            </w:r>
          </w:p>
        </w:tc>
      </w:tr>
      <w:tr w:rsidR="008E67EA" w:rsidRPr="006B74D1" w14:paraId="00E9895E" w14:textId="77777777" w:rsidTr="00B44A74">
        <w:trPr>
          <w:cantSplit/>
        </w:trPr>
        <w:tc>
          <w:tcPr>
            <w:tcW w:w="938" w:type="pct"/>
            <w:tcBorders>
              <w:top w:val="single" w:sz="4" w:space="0" w:color="auto"/>
              <w:left w:val="single" w:sz="4" w:space="0" w:color="auto"/>
              <w:right w:val="single" w:sz="4" w:space="0" w:color="auto"/>
            </w:tcBorders>
          </w:tcPr>
          <w:p w14:paraId="40D53953" w14:textId="77777777" w:rsidR="008E67EA" w:rsidRDefault="008E67EA" w:rsidP="00B44A74">
            <w:pPr>
              <w:pStyle w:val="APVMATableText"/>
              <w:spacing w:before="0" w:after="0"/>
              <w:rPr>
                <w:szCs w:val="17"/>
              </w:rPr>
            </w:pPr>
            <w:r>
              <w:rPr>
                <w:szCs w:val="17"/>
              </w:rPr>
              <w:t>Difethialone</w:t>
            </w:r>
          </w:p>
        </w:tc>
        <w:tc>
          <w:tcPr>
            <w:tcW w:w="1875" w:type="pct"/>
            <w:tcBorders>
              <w:top w:val="single" w:sz="4" w:space="0" w:color="auto"/>
              <w:left w:val="single" w:sz="4" w:space="0" w:color="auto"/>
              <w:right w:val="single" w:sz="4" w:space="0" w:color="auto"/>
            </w:tcBorders>
          </w:tcPr>
          <w:p w14:paraId="4F04F433" w14:textId="77777777" w:rsidR="008E67EA" w:rsidRDefault="008E67EA" w:rsidP="00B44A74">
            <w:pPr>
              <w:pStyle w:val="APVMATableText"/>
              <w:spacing w:before="0" w:after="0"/>
              <w:rPr>
                <w:szCs w:val="17"/>
              </w:rPr>
            </w:pPr>
            <w:r w:rsidRPr="007F0040">
              <w:rPr>
                <w:szCs w:val="17"/>
              </w:rPr>
              <w:t>EC</w:t>
            </w:r>
            <w:r w:rsidRPr="007F0040">
              <w:rPr>
                <w:szCs w:val="17"/>
                <w:vertAlign w:val="subscript"/>
              </w:rPr>
              <w:t>50</w:t>
            </w:r>
            <w:r w:rsidRPr="007F0040">
              <w:rPr>
                <w:szCs w:val="17"/>
              </w:rPr>
              <w:t xml:space="preserve"> &gt;100 mg/L</w:t>
            </w:r>
            <w:r>
              <w:t xml:space="preserve"> –</w:t>
            </w:r>
            <w:r>
              <w:rPr>
                <w:szCs w:val="17"/>
                <w:lang w:eastAsia="en-AU"/>
              </w:rPr>
              <w:t xml:space="preserve"> a</w:t>
            </w:r>
            <w:r w:rsidRPr="007F0040">
              <w:rPr>
                <w:szCs w:val="17"/>
                <w:lang w:eastAsia="en-AU"/>
              </w:rPr>
              <w:t>ctivated sludge</w:t>
            </w:r>
          </w:p>
        </w:tc>
        <w:tc>
          <w:tcPr>
            <w:tcW w:w="937" w:type="pct"/>
            <w:tcBorders>
              <w:top w:val="single" w:sz="4" w:space="0" w:color="auto"/>
              <w:left w:val="single" w:sz="4" w:space="0" w:color="auto"/>
              <w:right w:val="single" w:sz="4" w:space="0" w:color="auto"/>
            </w:tcBorders>
          </w:tcPr>
          <w:p w14:paraId="0C193A92" w14:textId="77777777" w:rsidR="008E67EA" w:rsidRDefault="008E67EA" w:rsidP="00B44A74">
            <w:pPr>
              <w:pStyle w:val="APVMATableText"/>
              <w:spacing w:before="0" w:after="0"/>
              <w:jc w:val="center"/>
              <w:rPr>
                <w:szCs w:val="17"/>
              </w:rPr>
            </w:pPr>
            <w:r>
              <w:rPr>
                <w:szCs w:val="17"/>
              </w:rPr>
              <w:t>10</w:t>
            </w:r>
          </w:p>
        </w:tc>
        <w:tc>
          <w:tcPr>
            <w:tcW w:w="1250" w:type="pct"/>
            <w:tcBorders>
              <w:top w:val="single" w:sz="4" w:space="0" w:color="auto"/>
              <w:left w:val="single" w:sz="4" w:space="0" w:color="auto"/>
              <w:right w:val="single" w:sz="4" w:space="0" w:color="auto"/>
            </w:tcBorders>
          </w:tcPr>
          <w:p w14:paraId="3EE8B80C" w14:textId="77777777" w:rsidR="008E67EA" w:rsidRDefault="008E67EA" w:rsidP="00B44A74">
            <w:pPr>
              <w:pStyle w:val="APVMATableText"/>
              <w:spacing w:before="0" w:after="0"/>
              <w:jc w:val="center"/>
              <w:rPr>
                <w:szCs w:val="17"/>
              </w:rPr>
            </w:pPr>
            <w:r>
              <w:rPr>
                <w:szCs w:val="17"/>
              </w:rPr>
              <w:t>&lt;0.01</w:t>
            </w:r>
          </w:p>
        </w:tc>
      </w:tr>
      <w:tr w:rsidR="008E67EA" w:rsidRPr="006B74D1" w14:paraId="2A9C1D6F" w14:textId="77777777" w:rsidTr="00B44A74">
        <w:trPr>
          <w:cantSplit/>
        </w:trPr>
        <w:tc>
          <w:tcPr>
            <w:tcW w:w="938" w:type="pct"/>
            <w:tcBorders>
              <w:left w:val="single" w:sz="4" w:space="0" w:color="auto"/>
              <w:bottom w:val="single" w:sz="4" w:space="0" w:color="auto"/>
              <w:right w:val="single" w:sz="4" w:space="0" w:color="auto"/>
            </w:tcBorders>
          </w:tcPr>
          <w:p w14:paraId="1A4788EF" w14:textId="77777777" w:rsidR="008E67EA" w:rsidRDefault="008E67EA" w:rsidP="00B44A74">
            <w:pPr>
              <w:pStyle w:val="APVMATableText"/>
              <w:spacing w:before="0" w:after="0"/>
              <w:rPr>
                <w:szCs w:val="17"/>
              </w:rPr>
            </w:pPr>
            <w:r>
              <w:rPr>
                <w:szCs w:val="17"/>
              </w:rPr>
              <w:t>Flocoumafen</w:t>
            </w:r>
          </w:p>
        </w:tc>
        <w:tc>
          <w:tcPr>
            <w:tcW w:w="1875" w:type="pct"/>
            <w:tcBorders>
              <w:left w:val="single" w:sz="4" w:space="0" w:color="auto"/>
              <w:bottom w:val="single" w:sz="4" w:space="0" w:color="auto"/>
              <w:right w:val="single" w:sz="4" w:space="0" w:color="auto"/>
            </w:tcBorders>
          </w:tcPr>
          <w:p w14:paraId="455CEBA0" w14:textId="77777777" w:rsidR="008E67EA" w:rsidRDefault="008E67EA" w:rsidP="00B44A74">
            <w:pPr>
              <w:pStyle w:val="APVMATableText"/>
              <w:spacing w:before="0" w:after="0"/>
              <w:rPr>
                <w:szCs w:val="17"/>
              </w:rPr>
            </w:pPr>
            <w:r w:rsidRPr="007F0040">
              <w:rPr>
                <w:szCs w:val="17"/>
              </w:rPr>
              <w:t>EC</w:t>
            </w:r>
            <w:r w:rsidRPr="007F0040">
              <w:rPr>
                <w:szCs w:val="17"/>
                <w:vertAlign w:val="subscript"/>
              </w:rPr>
              <w:t>50</w:t>
            </w:r>
            <w:r w:rsidRPr="007F0040">
              <w:rPr>
                <w:szCs w:val="17"/>
              </w:rPr>
              <w:t xml:space="preserve"> &gt;4.0 mg/L</w:t>
            </w:r>
            <w:r w:rsidRPr="007F0040">
              <w:rPr>
                <w:szCs w:val="17"/>
                <w:lang w:eastAsia="en-AU"/>
              </w:rPr>
              <w:t xml:space="preserve"> </w:t>
            </w:r>
            <w:r>
              <w:t>–</w:t>
            </w:r>
            <w:r>
              <w:rPr>
                <w:szCs w:val="17"/>
                <w:lang w:eastAsia="en-AU"/>
              </w:rPr>
              <w:t xml:space="preserve"> a</w:t>
            </w:r>
            <w:r w:rsidRPr="007F0040">
              <w:rPr>
                <w:szCs w:val="17"/>
                <w:lang w:eastAsia="en-AU"/>
              </w:rPr>
              <w:t>ctivated sludge</w:t>
            </w:r>
          </w:p>
        </w:tc>
        <w:tc>
          <w:tcPr>
            <w:tcW w:w="937" w:type="pct"/>
            <w:tcBorders>
              <w:left w:val="single" w:sz="4" w:space="0" w:color="auto"/>
              <w:bottom w:val="single" w:sz="4" w:space="0" w:color="auto"/>
              <w:right w:val="single" w:sz="4" w:space="0" w:color="auto"/>
            </w:tcBorders>
          </w:tcPr>
          <w:p w14:paraId="18C84450" w14:textId="77777777" w:rsidR="008E67EA" w:rsidRDefault="008E67EA" w:rsidP="00B44A74">
            <w:pPr>
              <w:pStyle w:val="APVMATableText"/>
              <w:spacing w:before="0" w:after="0"/>
              <w:jc w:val="center"/>
              <w:rPr>
                <w:szCs w:val="17"/>
              </w:rPr>
            </w:pPr>
            <w:r>
              <w:rPr>
                <w:szCs w:val="17"/>
              </w:rPr>
              <w:t>0.40</w:t>
            </w:r>
          </w:p>
        </w:tc>
        <w:tc>
          <w:tcPr>
            <w:tcW w:w="1250" w:type="pct"/>
            <w:tcBorders>
              <w:left w:val="single" w:sz="4" w:space="0" w:color="auto"/>
              <w:bottom w:val="single" w:sz="4" w:space="0" w:color="auto"/>
              <w:right w:val="single" w:sz="4" w:space="0" w:color="auto"/>
            </w:tcBorders>
          </w:tcPr>
          <w:p w14:paraId="55F17180" w14:textId="77777777" w:rsidR="008E67EA" w:rsidRDefault="008E67EA" w:rsidP="00B44A74">
            <w:pPr>
              <w:pStyle w:val="APVMATableText"/>
              <w:spacing w:before="0" w:after="0"/>
              <w:jc w:val="center"/>
              <w:rPr>
                <w:szCs w:val="17"/>
              </w:rPr>
            </w:pPr>
            <w:r>
              <w:rPr>
                <w:szCs w:val="17"/>
              </w:rPr>
              <w:t>0.13</w:t>
            </w:r>
          </w:p>
        </w:tc>
      </w:tr>
    </w:tbl>
    <w:p w14:paraId="4221EE4F" w14:textId="77777777" w:rsidR="008E67EA" w:rsidRPr="00F24CD0" w:rsidRDefault="008E67EA">
      <w:pPr>
        <w:pStyle w:val="NumberLevel1"/>
        <w:numPr>
          <w:ilvl w:val="0"/>
          <w:numId w:val="17"/>
        </w:numPr>
        <w:tabs>
          <w:tab w:val="clear" w:pos="709"/>
          <w:tab w:val="num" w:pos="2553"/>
        </w:tabs>
      </w:pPr>
      <w:r w:rsidRPr="000F03D7">
        <w:t xml:space="preserve">In relation to </w:t>
      </w:r>
      <w:r w:rsidRPr="00F24CD0">
        <w:t xml:space="preserve">chemical products containing the anticoagulant rodenticides brodifacoum, bromadiolone, coumatetralyl, difenacoum and diphacinone, I note that these chemical products are not currently approved for use in sewers and therefore that exposure to biological methods of sewage treatment from use of these products in accordance with instructions is not expected. Therefore, </w:t>
      </w:r>
      <w:r w:rsidRPr="00F24CD0">
        <w:rPr>
          <w:color w:val="000000" w:themeColor="text1"/>
        </w:rPr>
        <w:t xml:space="preserve">I am satisfied that the use of these chemical products in accordance with instructions is unlikely to have an unintended effect that is harmful to </w:t>
      </w:r>
      <w:r w:rsidRPr="00F24CD0">
        <w:t>biological methods of sewage treatment</w:t>
      </w:r>
      <w:r w:rsidRPr="00F24CD0">
        <w:rPr>
          <w:color w:val="000000" w:themeColor="text1"/>
        </w:rPr>
        <w:t>.</w:t>
      </w:r>
    </w:p>
    <w:p w14:paraId="2AC03560" w14:textId="77777777" w:rsidR="008E67EA" w:rsidRPr="00F24CD0" w:rsidRDefault="008E67EA" w:rsidP="008E67EA">
      <w:pPr>
        <w:pStyle w:val="StatementofReasonsHeading5"/>
      </w:pPr>
      <w:r w:rsidRPr="00F24CD0">
        <w:t>Bees and other terrestrial arthropods</w:t>
      </w:r>
    </w:p>
    <w:p w14:paraId="2ACC7433" w14:textId="77777777" w:rsidR="008E67EA" w:rsidRPr="00F24CD0" w:rsidRDefault="008E67EA">
      <w:pPr>
        <w:pStyle w:val="NumberLevel1"/>
        <w:numPr>
          <w:ilvl w:val="0"/>
          <w:numId w:val="17"/>
        </w:numPr>
        <w:tabs>
          <w:tab w:val="clear" w:pos="709"/>
          <w:tab w:val="num" w:pos="2553"/>
        </w:tabs>
        <w:rPr>
          <w:color w:val="000000" w:themeColor="text1"/>
        </w:rPr>
      </w:pPr>
      <w:r w:rsidRPr="00F24CD0">
        <w:rPr>
          <w:color w:val="000000" w:themeColor="text1"/>
        </w:rPr>
        <w:t>I note that the limited information available on the effects of anticoagulant rodenticides on bees indicates that the active constituent coumatetralyl has a high toxicity to bees with contact exposure. However, I note there are</w:t>
      </w:r>
      <w:r w:rsidRPr="00F273DD">
        <w:rPr>
          <w:color w:val="000000" w:themeColor="text1"/>
        </w:rPr>
        <w:t xml:space="preserve"> no </w:t>
      </w:r>
      <w:r w:rsidRPr="00F273DD">
        <w:rPr>
          <w:color w:val="000000" w:themeColor="text1"/>
        </w:rPr>
        <w:lastRenderedPageBreak/>
        <w:t xml:space="preserve">direct or indirect exposure pathways for bees expected from current uses of anticoagulant rodenticide chemical products. Therefore, based </w:t>
      </w:r>
      <w:r w:rsidRPr="00F24CD0">
        <w:rPr>
          <w:color w:val="000000" w:themeColor="text1"/>
        </w:rPr>
        <w:t>on my review and consideration of</w:t>
      </w:r>
      <w:r>
        <w:rPr>
          <w:color w:val="000000" w:themeColor="text1"/>
        </w:rPr>
        <w:t xml:space="preserve"> </w:t>
      </w:r>
      <w:r w:rsidRPr="00F273DD">
        <w:rPr>
          <w:color w:val="000000" w:themeColor="text1"/>
        </w:rPr>
        <w:t xml:space="preserve">the risk assessment </w:t>
      </w:r>
      <w:r>
        <w:rPr>
          <w:szCs w:val="20"/>
        </w:rPr>
        <w:t xml:space="preserve">summarised in </w:t>
      </w:r>
      <w:r w:rsidRPr="0004678E">
        <w:rPr>
          <w:szCs w:val="20"/>
        </w:rPr>
        <w:t xml:space="preserve">section </w:t>
      </w:r>
      <w:r w:rsidRPr="0004678E">
        <w:rPr>
          <w:i/>
          <w:iCs/>
          <w:szCs w:val="20"/>
        </w:rPr>
        <w:t xml:space="preserve">‘3.3.3 </w:t>
      </w:r>
      <w:r w:rsidRPr="0004678E">
        <w:rPr>
          <w:i/>
          <w:iCs/>
          <w:color w:val="000000" w:themeColor="text1"/>
          <w:szCs w:val="20"/>
        </w:rPr>
        <w:t>Risks to other non-target species’</w:t>
      </w:r>
      <w:r w:rsidRPr="00F273DD">
        <w:rPr>
          <w:color w:val="000000" w:themeColor="text1"/>
        </w:rPr>
        <w:t xml:space="preserve"> of </w:t>
      </w:r>
      <w:r w:rsidRPr="00F273DD">
        <w:rPr>
          <w:i/>
          <w:iCs/>
          <w:color w:val="000000" w:themeColor="text1"/>
        </w:rPr>
        <w:t>Anticoagulant Rodenticides Review Technical Repo</w:t>
      </w:r>
      <w:r w:rsidRPr="00F24CD0">
        <w:rPr>
          <w:i/>
          <w:iCs/>
          <w:color w:val="000000" w:themeColor="text1"/>
        </w:rPr>
        <w:t>rt</w:t>
      </w:r>
      <w:r w:rsidRPr="00F24CD0">
        <w:rPr>
          <w:color w:val="000000" w:themeColor="text1"/>
        </w:rPr>
        <w:t>, I find that the use of anticoagulant rodenticides products in accordance with instructions is unlikely to have an unintended effect that is harmful to bees.</w:t>
      </w:r>
    </w:p>
    <w:p w14:paraId="00929795" w14:textId="77777777" w:rsidR="008E67EA" w:rsidRPr="00F24CD0" w:rsidRDefault="008E67EA">
      <w:pPr>
        <w:pStyle w:val="NumberLevel1"/>
        <w:numPr>
          <w:ilvl w:val="0"/>
          <w:numId w:val="17"/>
        </w:numPr>
        <w:tabs>
          <w:tab w:val="clear" w:pos="709"/>
          <w:tab w:val="num" w:pos="2553"/>
        </w:tabs>
        <w:rPr>
          <w:color w:val="000000" w:themeColor="text1"/>
        </w:rPr>
      </w:pPr>
      <w:r w:rsidRPr="00F24CD0">
        <w:rPr>
          <w:color w:val="000000" w:themeColor="text1"/>
        </w:rPr>
        <w:t>I note that anticoagulant rodenticides are not expected to have an adverse effect on other terrestrial arthropods based on their mode of action, which is supported by observations in both laboratory studies and baiting programs where terrestrial arthropods (e.g. cockroaches, woodlice, ants, etc.) have fed on bait pellets containing brodifacoum with no apparent effects. Therefore, based on my review and consideration o</w:t>
      </w:r>
      <w:r>
        <w:rPr>
          <w:color w:val="000000" w:themeColor="text1"/>
        </w:rPr>
        <w:t xml:space="preserve">f </w:t>
      </w:r>
      <w:r w:rsidRPr="00E761C2">
        <w:rPr>
          <w:color w:val="000000" w:themeColor="text1"/>
        </w:rPr>
        <w:t xml:space="preserve">the risk assessment </w:t>
      </w:r>
      <w:r>
        <w:rPr>
          <w:szCs w:val="20"/>
        </w:rPr>
        <w:t xml:space="preserve">summarised in </w:t>
      </w:r>
      <w:r w:rsidRPr="0004678E">
        <w:rPr>
          <w:szCs w:val="20"/>
        </w:rPr>
        <w:t>section</w:t>
      </w:r>
      <w:r>
        <w:rPr>
          <w:szCs w:val="20"/>
        </w:rPr>
        <w:t xml:space="preserve">s </w:t>
      </w:r>
      <w:r w:rsidRPr="006B5FF8">
        <w:rPr>
          <w:i/>
          <w:iCs/>
          <w:color w:val="000000" w:themeColor="text1"/>
          <w:szCs w:val="20"/>
        </w:rPr>
        <w:t>‘3.2.2 Effects on other non-target species’</w:t>
      </w:r>
      <w:r>
        <w:rPr>
          <w:i/>
          <w:iCs/>
          <w:color w:val="000000" w:themeColor="text1"/>
          <w:szCs w:val="20"/>
        </w:rPr>
        <w:t xml:space="preserve"> </w:t>
      </w:r>
      <w:r w:rsidRPr="006B5FF8">
        <w:rPr>
          <w:color w:val="000000" w:themeColor="text1"/>
          <w:szCs w:val="20"/>
        </w:rPr>
        <w:t>and</w:t>
      </w:r>
      <w:r w:rsidRPr="0004678E">
        <w:rPr>
          <w:szCs w:val="20"/>
        </w:rPr>
        <w:t xml:space="preserve"> </w:t>
      </w:r>
      <w:r w:rsidRPr="0004678E">
        <w:rPr>
          <w:i/>
          <w:iCs/>
          <w:szCs w:val="20"/>
        </w:rPr>
        <w:t xml:space="preserve">‘3.3.3 </w:t>
      </w:r>
      <w:r w:rsidRPr="0004678E">
        <w:rPr>
          <w:i/>
          <w:iCs/>
          <w:color w:val="000000" w:themeColor="text1"/>
          <w:szCs w:val="20"/>
        </w:rPr>
        <w:t>Risks to other non-target species’</w:t>
      </w:r>
      <w:r w:rsidRPr="00F273DD">
        <w:rPr>
          <w:color w:val="000000" w:themeColor="text1"/>
        </w:rPr>
        <w:t xml:space="preserve"> </w:t>
      </w:r>
      <w:r w:rsidRPr="00E761C2">
        <w:rPr>
          <w:color w:val="000000" w:themeColor="text1"/>
        </w:rPr>
        <w:t>of</w:t>
      </w:r>
      <w:r>
        <w:rPr>
          <w:color w:val="000000" w:themeColor="text1"/>
        </w:rPr>
        <w:t xml:space="preserve"> the</w:t>
      </w:r>
      <w:r w:rsidRPr="00E761C2">
        <w:rPr>
          <w:color w:val="000000" w:themeColor="text1"/>
        </w:rPr>
        <w:t xml:space="preserve"> </w:t>
      </w:r>
      <w:r w:rsidRPr="00E761C2">
        <w:rPr>
          <w:i/>
          <w:iCs/>
          <w:color w:val="000000" w:themeColor="text1"/>
        </w:rPr>
        <w:t>Anticoagulant Rodenticides Review Te</w:t>
      </w:r>
      <w:r w:rsidRPr="00F24CD0">
        <w:rPr>
          <w:i/>
          <w:iCs/>
          <w:color w:val="000000" w:themeColor="text1"/>
        </w:rPr>
        <w:t>chnical Report</w:t>
      </w:r>
      <w:r w:rsidRPr="00F24CD0">
        <w:rPr>
          <w:color w:val="000000" w:themeColor="text1"/>
        </w:rPr>
        <w:t>, I am satisfied that the use of anticoagulant rodenticide products in accordance with instructions is unlikely to have an unintended effect that is harmful to terrestrial arthropods.</w:t>
      </w:r>
    </w:p>
    <w:p w14:paraId="12CDD472" w14:textId="77777777" w:rsidR="008E67EA" w:rsidRPr="00F24CD0" w:rsidRDefault="008E67EA" w:rsidP="008E67EA">
      <w:pPr>
        <w:pStyle w:val="StatementofReasonsHeading5"/>
      </w:pPr>
      <w:r w:rsidRPr="00F24CD0">
        <w:t>Soil organisms</w:t>
      </w:r>
    </w:p>
    <w:p w14:paraId="7D5BDE6C" w14:textId="77777777" w:rsidR="008E67EA" w:rsidRPr="00F24CD0" w:rsidRDefault="008E67EA">
      <w:pPr>
        <w:pStyle w:val="NumberLevel1"/>
        <w:numPr>
          <w:ilvl w:val="0"/>
          <w:numId w:val="17"/>
        </w:numPr>
        <w:tabs>
          <w:tab w:val="clear" w:pos="709"/>
          <w:tab w:val="num" w:pos="2553"/>
        </w:tabs>
        <w:rPr>
          <w:color w:val="000000" w:themeColor="text1"/>
        </w:rPr>
      </w:pPr>
      <w:r w:rsidRPr="00F24CD0">
        <w:rPr>
          <w:color w:val="000000" w:themeColor="text1"/>
        </w:rPr>
        <w:t xml:space="preserve">The risks posed to soil organisms by use of chemical products containing brodifacoum, bromadiolone, coumatetralyl, difenacoum, difethialone, and flocoumafen was determined using quantitative risk assessment methodologies. I have considered and agree with the approach and methodology and the conclusions in these assessments unless I have indicated otherwise in these reasons. </w:t>
      </w:r>
      <w:r w:rsidRPr="00F24CD0">
        <w:rPr>
          <w:szCs w:val="20"/>
        </w:rPr>
        <w:t>Based on my review and consideration</w:t>
      </w:r>
      <w:r>
        <w:rPr>
          <w:szCs w:val="20"/>
        </w:rPr>
        <w:t xml:space="preserve"> of </w:t>
      </w:r>
      <w:r w:rsidRPr="000F03D7">
        <w:rPr>
          <w:szCs w:val="20"/>
        </w:rPr>
        <w:t xml:space="preserve">the </w:t>
      </w:r>
      <w:r>
        <w:rPr>
          <w:szCs w:val="20"/>
        </w:rPr>
        <w:t xml:space="preserve">risk assessment summarised in </w:t>
      </w:r>
      <w:r w:rsidRPr="0004678E">
        <w:rPr>
          <w:szCs w:val="20"/>
        </w:rPr>
        <w:t>section</w:t>
      </w:r>
      <w:r>
        <w:rPr>
          <w:szCs w:val="20"/>
        </w:rPr>
        <w:t xml:space="preserve">s </w:t>
      </w:r>
      <w:r w:rsidRPr="006B5FF8">
        <w:rPr>
          <w:i/>
          <w:iCs/>
          <w:color w:val="000000" w:themeColor="text1"/>
          <w:szCs w:val="20"/>
        </w:rPr>
        <w:t>‘3.2.2 Effects on other non-target species’</w:t>
      </w:r>
      <w:r>
        <w:rPr>
          <w:i/>
          <w:iCs/>
          <w:color w:val="000000" w:themeColor="text1"/>
          <w:szCs w:val="20"/>
        </w:rPr>
        <w:t xml:space="preserve"> </w:t>
      </w:r>
      <w:r w:rsidRPr="006B5FF8">
        <w:rPr>
          <w:color w:val="000000" w:themeColor="text1"/>
          <w:szCs w:val="20"/>
        </w:rPr>
        <w:t>and</w:t>
      </w:r>
      <w:r w:rsidRPr="0004678E">
        <w:rPr>
          <w:szCs w:val="20"/>
        </w:rPr>
        <w:t xml:space="preserve"> </w:t>
      </w:r>
      <w:r w:rsidRPr="0004678E">
        <w:rPr>
          <w:i/>
          <w:iCs/>
          <w:szCs w:val="20"/>
        </w:rPr>
        <w:t xml:space="preserve">‘3.3.3 </w:t>
      </w:r>
      <w:r w:rsidRPr="0004678E">
        <w:rPr>
          <w:i/>
          <w:iCs/>
          <w:color w:val="000000" w:themeColor="text1"/>
          <w:szCs w:val="20"/>
        </w:rPr>
        <w:t>Risks to other non-target species’</w:t>
      </w:r>
      <w:r w:rsidRPr="00F273DD">
        <w:rPr>
          <w:color w:val="000000" w:themeColor="text1"/>
        </w:rPr>
        <w:t xml:space="preserve"> </w:t>
      </w:r>
      <w:r w:rsidRPr="000F03D7">
        <w:rPr>
          <w:szCs w:val="20"/>
        </w:rPr>
        <w:t xml:space="preserve">of the </w:t>
      </w:r>
      <w:r w:rsidRPr="000F03D7">
        <w:rPr>
          <w:i/>
          <w:iCs/>
        </w:rPr>
        <w:t>Anticoagulant Rodenticides Review Technical Re</w:t>
      </w:r>
      <w:r w:rsidRPr="00F24CD0">
        <w:rPr>
          <w:i/>
          <w:iCs/>
        </w:rPr>
        <w:t>port</w:t>
      </w:r>
      <w:r w:rsidRPr="00F24CD0">
        <w:rPr>
          <w:color w:val="000000" w:themeColor="text1"/>
        </w:rPr>
        <w:t>:</w:t>
      </w:r>
    </w:p>
    <w:p w14:paraId="4870C5BD" w14:textId="6527C42D" w:rsidR="008E67EA" w:rsidRPr="00F24CD0" w:rsidRDefault="008E67EA">
      <w:pPr>
        <w:pStyle w:val="NumberLevel2"/>
        <w:numPr>
          <w:ilvl w:val="1"/>
          <w:numId w:val="17"/>
        </w:numPr>
        <w:ind w:left="1134"/>
        <w:rPr>
          <w:color w:val="000000" w:themeColor="text1"/>
        </w:rPr>
      </w:pPr>
      <w:r w:rsidRPr="00F24CD0">
        <w:t xml:space="preserve">I note that brodifacoum, bromadiolone, coumatetralyl, difenacoum and difethialone have a low toxicity to soil macro-organisms such as earthworms with acute exposure, and flocoumafen had a dose-dependent inhibition effect on the reproduction of soil macro-organisms with long-term exposure. I also note that the RALs for soil organisms listed in </w:t>
      </w:r>
      <w:r w:rsidRPr="00F24CD0">
        <w:fldChar w:fldCharType="begin"/>
      </w:r>
      <w:r w:rsidRPr="00F24CD0">
        <w:instrText xml:space="preserve"> REF _Ref202815598 \h  \* MERGEFORMAT </w:instrText>
      </w:r>
      <w:r w:rsidRPr="00F24CD0">
        <w:fldChar w:fldCharType="separate"/>
      </w:r>
      <w:r w:rsidR="002C0C2A" w:rsidRPr="002F3A90">
        <w:t xml:space="preserve">Table </w:t>
      </w:r>
      <w:r w:rsidR="002C0C2A">
        <w:rPr>
          <w:noProof/>
        </w:rPr>
        <w:t>9</w:t>
      </w:r>
      <w:r w:rsidRPr="00F24CD0">
        <w:fldChar w:fldCharType="end"/>
      </w:r>
      <w:r w:rsidRPr="00F24CD0">
        <w:t xml:space="preserve"> below were derived from the endpoints of the available effects studies, and </w:t>
      </w:r>
      <w:r w:rsidRPr="00F24CD0">
        <w:rPr>
          <w:color w:val="000000" w:themeColor="text1"/>
        </w:rPr>
        <w:t>application of a standard 10-fold assessment factor</w:t>
      </w:r>
      <w:r w:rsidRPr="00F24CD0">
        <w:t xml:space="preserve"> to </w:t>
      </w:r>
      <w:r w:rsidRPr="00F24CD0">
        <w:rPr>
          <w:color w:val="000000" w:themeColor="text1"/>
        </w:rPr>
        <w:t xml:space="preserve">endpoints from acute exposure studies only. I consider that exposure of soil organisms to brodifacoum, bromadiolone, coumatetralyl, difenacoum, difethialone and flocoumafen below the respective RALs listed in </w:t>
      </w:r>
      <w:r w:rsidRPr="00F24CD0">
        <w:fldChar w:fldCharType="begin"/>
      </w:r>
      <w:r w:rsidRPr="00F24CD0">
        <w:instrText xml:space="preserve"> REF _Ref202815598 \h  \* MERGEFORMAT </w:instrText>
      </w:r>
      <w:r w:rsidRPr="00F24CD0">
        <w:fldChar w:fldCharType="separate"/>
      </w:r>
      <w:r w:rsidR="002C0C2A" w:rsidRPr="002F3A90">
        <w:t xml:space="preserve">Table </w:t>
      </w:r>
      <w:r w:rsidR="002C0C2A">
        <w:rPr>
          <w:noProof/>
        </w:rPr>
        <w:t>9</w:t>
      </w:r>
      <w:r w:rsidRPr="00F24CD0">
        <w:fldChar w:fldCharType="end"/>
      </w:r>
      <w:r w:rsidRPr="00F24CD0">
        <w:rPr>
          <w:color w:val="000000" w:themeColor="text1"/>
        </w:rPr>
        <w:t xml:space="preserve"> is not expected to have an unintended effect that is harmful to soil organisms.</w:t>
      </w:r>
    </w:p>
    <w:p w14:paraId="295EC67E" w14:textId="5165358E" w:rsidR="008E67EA" w:rsidRPr="00A00E3F" w:rsidRDefault="008E67EA">
      <w:pPr>
        <w:pStyle w:val="NumberLevel2"/>
        <w:numPr>
          <w:ilvl w:val="1"/>
          <w:numId w:val="17"/>
        </w:numPr>
        <w:ind w:left="1134"/>
        <w:rPr>
          <w:color w:val="000000" w:themeColor="text1"/>
        </w:rPr>
      </w:pPr>
      <w:r w:rsidRPr="00F24CD0">
        <w:rPr>
          <w:color w:val="000000" w:themeColor="text1"/>
        </w:rPr>
        <w:t>I note that t</w:t>
      </w:r>
      <w:r w:rsidRPr="00F24CD0">
        <w:t>he potential risks to soil organisms from use of brodifacoum, bromadiolone, coumatetralyl, difenacoum, difethialone and flocoumafen chemical products have been assessed through environmental exposure modelling using the contemporary methodology outline</w:t>
      </w:r>
      <w:r w:rsidRPr="0046425B">
        <w:t xml:space="preserve">d </w:t>
      </w:r>
      <w:r>
        <w:t xml:space="preserve">in the </w:t>
      </w:r>
      <w:r w:rsidRPr="00A00E3F">
        <w:rPr>
          <w:i/>
          <w:iCs/>
        </w:rPr>
        <w:t>ECHA Revised Emission Scenario Document for Product Type 14 – Rodenticides</w:t>
      </w:r>
      <w:r w:rsidRPr="0046425B">
        <w:t>. This methodology involve</w:t>
      </w:r>
      <w:r>
        <w:t>d first</w:t>
      </w:r>
      <w:r w:rsidRPr="0046425B">
        <w:t xml:space="preserve"> calculating </w:t>
      </w:r>
      <w:r>
        <w:t>the</w:t>
      </w:r>
      <w:r w:rsidRPr="0046425B">
        <w:t xml:space="preserve"> predicted environmental concentration</w:t>
      </w:r>
      <w:r>
        <w:t xml:space="preserve"> in soil for each use pattern that may result in soil exposure based on the application rate, the bait type, and a range of default input parameters </w:t>
      </w:r>
      <w:r w:rsidRPr="00F01E91">
        <w:t>(</w:t>
      </w:r>
      <w:r w:rsidRPr="00175F2F">
        <w:rPr>
          <w:i/>
          <w:iCs/>
        </w:rPr>
        <w:t xml:space="preserve">Tables 46, 47, 55 and 56 </w:t>
      </w:r>
      <w:r>
        <w:t>of</w:t>
      </w:r>
      <w:r w:rsidRPr="00F01E91">
        <w:t xml:space="preserve"> the </w:t>
      </w:r>
      <w:r w:rsidRPr="00A00E3F">
        <w:rPr>
          <w:i/>
          <w:iCs/>
        </w:rPr>
        <w:t>Anticoagulant Rodenticides Review Technical Report</w:t>
      </w:r>
      <w:r w:rsidRPr="00F01E91">
        <w:t>)</w:t>
      </w:r>
      <w:r>
        <w:t>. The worst-case soil exposure scenario, which is the use pattern that resulted in the highest predicted environmental concentration in soil, was then determined for these</w:t>
      </w:r>
      <w:r w:rsidRPr="00FC0BBC">
        <w:t xml:space="preserve"> chemical product</w:t>
      </w:r>
      <w:r>
        <w:t>s. Finally, a risk quotient was calculated using the predicted environmental concentration in soil from the worst-case exposure scenario and the relevant soil organism RAL (</w:t>
      </w:r>
      <w:r w:rsidRPr="00175F2F">
        <w:rPr>
          <w:i/>
          <w:iCs/>
        </w:rPr>
        <w:t>Table 57</w:t>
      </w:r>
      <w:r>
        <w:t xml:space="preserve"> of the </w:t>
      </w:r>
      <w:r w:rsidRPr="00A00E3F">
        <w:rPr>
          <w:i/>
          <w:iCs/>
          <w:color w:val="000000" w:themeColor="text1"/>
        </w:rPr>
        <w:t>Anticoagulant Rodenticides Review Technical Report)</w:t>
      </w:r>
      <w:r>
        <w:t>. With this model methodology, an acceptable risk quotient of less than or equal to one represents an acceptable level of exposure to soil organisms (i.e. that exposure to soil organisms will be less than the corresponding soil organisms RAL).</w:t>
      </w:r>
    </w:p>
    <w:p w14:paraId="33F199A7" w14:textId="598BBF28" w:rsidR="008E67EA" w:rsidRPr="00F24CD0" w:rsidRDefault="008E67EA">
      <w:pPr>
        <w:pStyle w:val="NumberLevel2"/>
        <w:numPr>
          <w:ilvl w:val="1"/>
          <w:numId w:val="17"/>
        </w:numPr>
        <w:ind w:left="1134"/>
        <w:rPr>
          <w:color w:val="000000" w:themeColor="text1"/>
        </w:rPr>
      </w:pPr>
      <w:r w:rsidRPr="00F24CD0">
        <w:rPr>
          <w:color w:val="000000" w:themeColor="text1"/>
        </w:rPr>
        <w:t>I note that the soil organisms risk quotients calculated for the worst-case scenario use of brodifacoum, bromadiolone, coumatetralyl, difenacoum, difethialone and flocoumafen chemical products are in the acceptable range (</w:t>
      </w:r>
      <w:r w:rsidRPr="00F24CD0">
        <w:rPr>
          <w:color w:val="000000" w:themeColor="text1"/>
        </w:rPr>
        <w:fldChar w:fldCharType="begin"/>
      </w:r>
      <w:r w:rsidRPr="00F24CD0">
        <w:rPr>
          <w:color w:val="000000" w:themeColor="text1"/>
        </w:rPr>
        <w:instrText xml:space="preserve"> REF _Ref202815598 \h  \* MERGEFORMAT </w:instrText>
      </w:r>
      <w:r w:rsidRPr="00F24CD0">
        <w:rPr>
          <w:color w:val="000000" w:themeColor="text1"/>
        </w:rPr>
      </w:r>
      <w:r w:rsidRPr="00F24CD0">
        <w:rPr>
          <w:color w:val="000000" w:themeColor="text1"/>
        </w:rPr>
        <w:fldChar w:fldCharType="separate"/>
      </w:r>
      <w:r w:rsidR="002C0C2A" w:rsidRPr="002C0C2A">
        <w:rPr>
          <w:color w:val="000000" w:themeColor="text1"/>
        </w:rPr>
        <w:t xml:space="preserve">Table </w:t>
      </w:r>
      <w:r w:rsidR="002C0C2A" w:rsidRPr="002C0C2A">
        <w:rPr>
          <w:noProof/>
          <w:color w:val="000000" w:themeColor="text1"/>
        </w:rPr>
        <w:t>9</w:t>
      </w:r>
      <w:r w:rsidRPr="00F24CD0">
        <w:rPr>
          <w:color w:val="000000" w:themeColor="text1"/>
        </w:rPr>
        <w:fldChar w:fldCharType="end"/>
      </w:r>
      <w:r w:rsidRPr="00F24CD0">
        <w:rPr>
          <w:color w:val="000000" w:themeColor="text1"/>
        </w:rPr>
        <w:t xml:space="preserve">). As such, based on the outcomes of this environmental exposure modelling, I </w:t>
      </w:r>
      <w:r w:rsidRPr="00F24CD0">
        <w:rPr>
          <w:color w:val="000000" w:themeColor="text1"/>
        </w:rPr>
        <w:lastRenderedPageBreak/>
        <w:t>am satisfied that use of brodifacoum, bromadiolone, coumatetralyl, difenacoum, difethialone and flocoumafen chemical products in accordance with current instructions is not expected to have an unintended effect that is harmful to soil organisms.</w:t>
      </w:r>
    </w:p>
    <w:p w14:paraId="56A07941" w14:textId="73DDE7A2" w:rsidR="008E67EA" w:rsidRPr="002F3A90" w:rsidRDefault="008E67EA" w:rsidP="00B33ED7">
      <w:pPr>
        <w:pStyle w:val="Caption"/>
        <w:ind w:left="567"/>
      </w:pPr>
      <w:bookmarkStart w:id="214" w:name="_Ref202815598"/>
      <w:r w:rsidRPr="002F3A90">
        <w:t xml:space="preserve">Table </w:t>
      </w:r>
      <w:r w:rsidRPr="002F3A90">
        <w:fldChar w:fldCharType="begin"/>
      </w:r>
      <w:r w:rsidRPr="002F3A90">
        <w:instrText xml:space="preserve"> SEQ Table \* ARABIC </w:instrText>
      </w:r>
      <w:r w:rsidRPr="002F3A90">
        <w:fldChar w:fldCharType="separate"/>
      </w:r>
      <w:r w:rsidR="002C0C2A">
        <w:rPr>
          <w:noProof/>
        </w:rPr>
        <w:t>9</w:t>
      </w:r>
      <w:r w:rsidRPr="002F3A90">
        <w:fldChar w:fldCharType="end"/>
      </w:r>
      <w:bookmarkEnd w:id="214"/>
      <w:r w:rsidRPr="002F3A90">
        <w:t xml:space="preserve">: Soil organisms – </w:t>
      </w:r>
      <w:r w:rsidRPr="00C90669">
        <w:t xml:space="preserve">brodifacoum, bromadiolone, coumatetralyl, difenacoum, </w:t>
      </w:r>
      <w:r w:rsidRPr="002F3A90">
        <w:t xml:space="preserve">difethialone and flocoumafen – regulatory acceptable levels (RALs) and risk quotients (RQs) </w:t>
      </w:r>
    </w:p>
    <w:tbl>
      <w:tblPr>
        <w:tblW w:w="4705"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278"/>
        <w:gridCol w:w="2549"/>
        <w:gridCol w:w="1276"/>
        <w:gridCol w:w="2410"/>
        <w:gridCol w:w="1547"/>
      </w:tblGrid>
      <w:tr w:rsidR="008E67EA" w:rsidRPr="006B74D1" w14:paraId="2F928989" w14:textId="77777777" w:rsidTr="00B44A74">
        <w:trPr>
          <w:cantSplit/>
          <w:tblHeader/>
        </w:trPr>
        <w:tc>
          <w:tcPr>
            <w:tcW w:w="705" w:type="pct"/>
            <w:tcBorders>
              <w:top w:val="single" w:sz="4" w:space="0" w:color="auto"/>
              <w:left w:val="single" w:sz="4" w:space="0" w:color="auto"/>
              <w:bottom w:val="single" w:sz="4" w:space="0" w:color="auto"/>
              <w:right w:val="single" w:sz="4" w:space="0" w:color="auto"/>
            </w:tcBorders>
            <w:shd w:val="clear" w:color="auto" w:fill="E6E6E6"/>
          </w:tcPr>
          <w:p w14:paraId="6558876E" w14:textId="77777777" w:rsidR="008E67EA" w:rsidRPr="003C572C" w:rsidRDefault="008E67EA" w:rsidP="00B44A74">
            <w:pPr>
              <w:pStyle w:val="TableHead"/>
              <w:spacing w:before="0" w:after="0"/>
              <w:rPr>
                <w:color w:val="auto"/>
              </w:rPr>
            </w:pPr>
            <w:r w:rsidRPr="003C572C">
              <w:rPr>
                <w:color w:val="auto"/>
              </w:rPr>
              <w:t>Active</w:t>
            </w:r>
          </w:p>
        </w:tc>
        <w:tc>
          <w:tcPr>
            <w:tcW w:w="1407" w:type="pct"/>
            <w:tcBorders>
              <w:top w:val="single" w:sz="4" w:space="0" w:color="auto"/>
              <w:left w:val="single" w:sz="4" w:space="0" w:color="auto"/>
              <w:bottom w:val="single" w:sz="4" w:space="0" w:color="auto"/>
              <w:right w:val="single" w:sz="4" w:space="0" w:color="auto"/>
            </w:tcBorders>
            <w:shd w:val="clear" w:color="auto" w:fill="E6E6E6"/>
          </w:tcPr>
          <w:p w14:paraId="1050787B" w14:textId="77777777" w:rsidR="008E67EA" w:rsidRPr="003C572C" w:rsidRDefault="008E67EA" w:rsidP="00B44A74">
            <w:pPr>
              <w:pStyle w:val="TableHead"/>
              <w:spacing w:before="0" w:after="0"/>
              <w:rPr>
                <w:color w:val="auto"/>
              </w:rPr>
            </w:pPr>
            <w:r>
              <w:rPr>
                <w:color w:val="auto"/>
              </w:rPr>
              <w:t>Study endpoint</w:t>
            </w:r>
          </w:p>
        </w:tc>
        <w:tc>
          <w:tcPr>
            <w:tcW w:w="704" w:type="pct"/>
            <w:tcBorders>
              <w:top w:val="single" w:sz="4" w:space="0" w:color="auto"/>
              <w:left w:val="single" w:sz="4" w:space="0" w:color="auto"/>
              <w:bottom w:val="single" w:sz="4" w:space="0" w:color="auto"/>
              <w:right w:val="single" w:sz="4" w:space="0" w:color="auto"/>
            </w:tcBorders>
            <w:shd w:val="clear" w:color="auto" w:fill="E6E6E6"/>
          </w:tcPr>
          <w:p w14:paraId="7A2AC146" w14:textId="77777777" w:rsidR="008E67EA" w:rsidRPr="00D85804" w:rsidRDefault="008E67EA" w:rsidP="00B44A74">
            <w:pPr>
              <w:pStyle w:val="TableHead"/>
              <w:spacing w:before="0" w:after="0"/>
              <w:jc w:val="center"/>
              <w:rPr>
                <w:color w:val="000000" w:themeColor="text1"/>
              </w:rPr>
            </w:pPr>
            <w:r w:rsidRPr="00D85804">
              <w:rPr>
                <w:color w:val="000000" w:themeColor="text1"/>
              </w:rPr>
              <w:t>RAL (</w:t>
            </w:r>
            <w:r w:rsidRPr="00D85804">
              <w:rPr>
                <w:color w:val="000000" w:themeColor="text1"/>
                <w:sz w:val="16"/>
                <w:szCs w:val="16"/>
              </w:rPr>
              <w:t>mg/kg dry soil)</w:t>
            </w:r>
          </w:p>
        </w:tc>
        <w:tc>
          <w:tcPr>
            <w:tcW w:w="1330" w:type="pct"/>
            <w:tcBorders>
              <w:top w:val="single" w:sz="4" w:space="0" w:color="auto"/>
              <w:left w:val="single" w:sz="4" w:space="0" w:color="auto"/>
              <w:bottom w:val="single" w:sz="4" w:space="0" w:color="auto"/>
              <w:right w:val="single" w:sz="4" w:space="0" w:color="auto"/>
            </w:tcBorders>
            <w:shd w:val="clear" w:color="auto" w:fill="E6E6E6"/>
          </w:tcPr>
          <w:p w14:paraId="55459C48" w14:textId="77777777" w:rsidR="008E67EA" w:rsidRPr="00D85804" w:rsidRDefault="008E67EA" w:rsidP="00B44A74">
            <w:pPr>
              <w:pStyle w:val="TableHead"/>
              <w:spacing w:before="0" w:after="0"/>
              <w:jc w:val="center"/>
              <w:rPr>
                <w:color w:val="000000" w:themeColor="text1"/>
              </w:rPr>
            </w:pPr>
            <w:r w:rsidRPr="000E5628">
              <w:rPr>
                <w:color w:val="000000" w:themeColor="text1"/>
              </w:rPr>
              <w:t>Worst-case</w:t>
            </w:r>
            <w:r>
              <w:rPr>
                <w:color w:val="000000" w:themeColor="text1"/>
              </w:rPr>
              <w:t xml:space="preserve"> exposure</w:t>
            </w:r>
            <w:r w:rsidRPr="000E5628">
              <w:rPr>
                <w:color w:val="000000" w:themeColor="text1"/>
              </w:rPr>
              <w:t xml:space="preserve"> scenario</w:t>
            </w:r>
            <w:r>
              <w:rPr>
                <w:color w:val="000000" w:themeColor="text1"/>
              </w:rPr>
              <w:t xml:space="preserve"> assessed</w:t>
            </w:r>
          </w:p>
        </w:tc>
        <w:tc>
          <w:tcPr>
            <w:tcW w:w="854" w:type="pct"/>
            <w:tcBorders>
              <w:top w:val="single" w:sz="4" w:space="0" w:color="auto"/>
              <w:left w:val="single" w:sz="4" w:space="0" w:color="auto"/>
              <w:bottom w:val="single" w:sz="4" w:space="0" w:color="auto"/>
              <w:right w:val="single" w:sz="4" w:space="0" w:color="auto"/>
            </w:tcBorders>
            <w:shd w:val="clear" w:color="auto" w:fill="E6E6E6"/>
          </w:tcPr>
          <w:p w14:paraId="6A8947C0" w14:textId="77777777" w:rsidR="008E67EA" w:rsidRPr="00D85804" w:rsidRDefault="008E67EA" w:rsidP="00B44A74">
            <w:pPr>
              <w:pStyle w:val="TableHead"/>
              <w:spacing w:before="0" w:after="0"/>
              <w:jc w:val="center"/>
              <w:rPr>
                <w:color w:val="000000" w:themeColor="text1"/>
              </w:rPr>
            </w:pPr>
            <w:r w:rsidRPr="00D85804">
              <w:rPr>
                <w:color w:val="000000" w:themeColor="text1"/>
              </w:rPr>
              <w:t>RQ (acceptable</w:t>
            </w:r>
            <w:r>
              <w:rPr>
                <w:color w:val="000000" w:themeColor="text1"/>
              </w:rPr>
              <w:t xml:space="preserve"> RQ</w:t>
            </w:r>
            <w:r w:rsidRPr="00D85804">
              <w:rPr>
                <w:color w:val="000000" w:themeColor="text1"/>
              </w:rPr>
              <w:t xml:space="preserve"> ≤1)</w:t>
            </w:r>
          </w:p>
        </w:tc>
      </w:tr>
      <w:tr w:rsidR="008E67EA" w:rsidRPr="006B74D1" w14:paraId="0CA720C9" w14:textId="77777777" w:rsidTr="00B44A74">
        <w:trPr>
          <w:cantSplit/>
        </w:trPr>
        <w:tc>
          <w:tcPr>
            <w:tcW w:w="705" w:type="pct"/>
            <w:tcBorders>
              <w:top w:val="single" w:sz="4" w:space="0" w:color="auto"/>
              <w:left w:val="single" w:sz="4" w:space="0" w:color="auto"/>
              <w:right w:val="single" w:sz="4" w:space="0" w:color="auto"/>
            </w:tcBorders>
          </w:tcPr>
          <w:p w14:paraId="23B31F1E" w14:textId="77777777" w:rsidR="008E67EA" w:rsidRDefault="008E67EA" w:rsidP="00B44A74">
            <w:pPr>
              <w:pStyle w:val="APVMATableText"/>
              <w:spacing w:before="0" w:after="0"/>
              <w:rPr>
                <w:szCs w:val="17"/>
              </w:rPr>
            </w:pPr>
            <w:r>
              <w:rPr>
                <w:szCs w:val="17"/>
              </w:rPr>
              <w:t>Coumatetralyl</w:t>
            </w:r>
          </w:p>
        </w:tc>
        <w:tc>
          <w:tcPr>
            <w:tcW w:w="1407" w:type="pct"/>
            <w:tcBorders>
              <w:top w:val="single" w:sz="4" w:space="0" w:color="auto"/>
              <w:left w:val="single" w:sz="4" w:space="0" w:color="auto"/>
              <w:right w:val="single" w:sz="4" w:space="0" w:color="auto"/>
            </w:tcBorders>
          </w:tcPr>
          <w:p w14:paraId="29BD8D47" w14:textId="77777777" w:rsidR="008E67EA" w:rsidRDefault="008E67EA" w:rsidP="00B44A74">
            <w:pPr>
              <w:pStyle w:val="APVMATableText"/>
              <w:spacing w:before="0" w:after="0"/>
              <w:rPr>
                <w:szCs w:val="17"/>
              </w:rPr>
            </w:pPr>
            <w:r>
              <w:rPr>
                <w:szCs w:val="17"/>
              </w:rPr>
              <w:t>LC</w:t>
            </w:r>
            <w:r w:rsidRPr="00C72A63">
              <w:rPr>
                <w:szCs w:val="17"/>
                <w:vertAlign w:val="subscript"/>
              </w:rPr>
              <w:t>50</w:t>
            </w:r>
            <w:r>
              <w:rPr>
                <w:szCs w:val="17"/>
              </w:rPr>
              <w:t xml:space="preserve"> 225 mg/kg dry soil</w:t>
            </w:r>
            <w:r>
              <w:t xml:space="preserve"> – a</w:t>
            </w:r>
            <w:r w:rsidRPr="009A2082">
              <w:t xml:space="preserve">cute </w:t>
            </w:r>
            <w:r>
              <w:t>exposure of m</w:t>
            </w:r>
            <w:r>
              <w:rPr>
                <w:szCs w:val="17"/>
              </w:rPr>
              <w:t>acro-organisms (</w:t>
            </w:r>
            <w:r w:rsidRPr="00C72A63">
              <w:rPr>
                <w:i/>
                <w:iCs/>
                <w:szCs w:val="17"/>
              </w:rPr>
              <w:t>Eisenia fetida</w:t>
            </w:r>
            <w:r>
              <w:rPr>
                <w:i/>
                <w:iCs/>
                <w:szCs w:val="17"/>
              </w:rPr>
              <w:t>)</w:t>
            </w:r>
          </w:p>
        </w:tc>
        <w:tc>
          <w:tcPr>
            <w:tcW w:w="704" w:type="pct"/>
            <w:tcBorders>
              <w:top w:val="single" w:sz="4" w:space="0" w:color="auto"/>
              <w:left w:val="single" w:sz="4" w:space="0" w:color="auto"/>
              <w:right w:val="single" w:sz="4" w:space="0" w:color="auto"/>
            </w:tcBorders>
          </w:tcPr>
          <w:p w14:paraId="67E1AC4A" w14:textId="77777777" w:rsidR="008E67EA" w:rsidRDefault="008E67EA" w:rsidP="00B44A74">
            <w:pPr>
              <w:pStyle w:val="APVMATableText"/>
              <w:spacing w:before="0" w:after="0"/>
              <w:jc w:val="center"/>
              <w:rPr>
                <w:szCs w:val="17"/>
              </w:rPr>
            </w:pPr>
            <w:r>
              <w:rPr>
                <w:szCs w:val="17"/>
              </w:rPr>
              <w:t xml:space="preserve">23 </w:t>
            </w:r>
          </w:p>
        </w:tc>
        <w:tc>
          <w:tcPr>
            <w:tcW w:w="1330" w:type="pct"/>
            <w:tcBorders>
              <w:top w:val="single" w:sz="4" w:space="0" w:color="auto"/>
              <w:left w:val="single" w:sz="4" w:space="0" w:color="auto"/>
              <w:right w:val="single" w:sz="4" w:space="0" w:color="auto"/>
            </w:tcBorders>
          </w:tcPr>
          <w:p w14:paraId="579B885F" w14:textId="77777777" w:rsidR="008E67EA" w:rsidRDefault="008E67EA" w:rsidP="00B44A74">
            <w:pPr>
              <w:pStyle w:val="APVMATableText"/>
              <w:spacing w:before="0" w:after="0"/>
              <w:rPr>
                <w:szCs w:val="17"/>
              </w:rPr>
            </w:pPr>
            <w:r>
              <w:t xml:space="preserve">PEC* </w:t>
            </w:r>
            <w:r w:rsidRPr="003338E9">
              <w:t>0.90</w:t>
            </w:r>
            <w:r>
              <w:rPr>
                <w:szCs w:val="17"/>
              </w:rPr>
              <w:t xml:space="preserve"> mg/kg dry soil</w:t>
            </w:r>
            <w:r>
              <w:t xml:space="preserve"> – m</w:t>
            </w:r>
            <w:r w:rsidRPr="00231667">
              <w:t>ouse control using loose grain/fruit bait in stations around buildings</w:t>
            </w:r>
          </w:p>
        </w:tc>
        <w:tc>
          <w:tcPr>
            <w:tcW w:w="854" w:type="pct"/>
            <w:tcBorders>
              <w:top w:val="single" w:sz="4" w:space="0" w:color="auto"/>
              <w:left w:val="single" w:sz="4" w:space="0" w:color="auto"/>
              <w:right w:val="single" w:sz="4" w:space="0" w:color="auto"/>
            </w:tcBorders>
          </w:tcPr>
          <w:p w14:paraId="04CB7729" w14:textId="77777777" w:rsidR="008E67EA" w:rsidRDefault="008E67EA" w:rsidP="00B44A74">
            <w:pPr>
              <w:pStyle w:val="APVMATableText"/>
              <w:spacing w:before="0" w:after="0"/>
              <w:jc w:val="center"/>
              <w:rPr>
                <w:szCs w:val="17"/>
              </w:rPr>
            </w:pPr>
            <w:r>
              <w:rPr>
                <w:szCs w:val="17"/>
              </w:rPr>
              <w:t>0.04</w:t>
            </w:r>
          </w:p>
        </w:tc>
      </w:tr>
      <w:tr w:rsidR="008E67EA" w:rsidRPr="006B74D1" w14:paraId="2C65936B" w14:textId="77777777" w:rsidTr="00B44A74">
        <w:trPr>
          <w:cantSplit/>
        </w:trPr>
        <w:tc>
          <w:tcPr>
            <w:tcW w:w="705" w:type="pct"/>
            <w:tcBorders>
              <w:top w:val="single" w:sz="4" w:space="0" w:color="auto"/>
              <w:left w:val="single" w:sz="4" w:space="0" w:color="auto"/>
              <w:right w:val="single" w:sz="4" w:space="0" w:color="auto"/>
            </w:tcBorders>
          </w:tcPr>
          <w:p w14:paraId="02A17E0A" w14:textId="77777777" w:rsidR="008E67EA" w:rsidRDefault="008E67EA" w:rsidP="00B44A74">
            <w:pPr>
              <w:pStyle w:val="APVMATableText"/>
              <w:spacing w:before="0" w:after="0"/>
              <w:rPr>
                <w:szCs w:val="17"/>
              </w:rPr>
            </w:pPr>
            <w:r>
              <w:rPr>
                <w:szCs w:val="17"/>
              </w:rPr>
              <w:t>Brodifacoum</w:t>
            </w:r>
          </w:p>
        </w:tc>
        <w:tc>
          <w:tcPr>
            <w:tcW w:w="1407" w:type="pct"/>
            <w:tcBorders>
              <w:top w:val="single" w:sz="4" w:space="0" w:color="auto"/>
              <w:left w:val="single" w:sz="4" w:space="0" w:color="auto"/>
              <w:right w:val="single" w:sz="4" w:space="0" w:color="auto"/>
            </w:tcBorders>
          </w:tcPr>
          <w:p w14:paraId="086CEFE5" w14:textId="77777777" w:rsidR="008E67EA" w:rsidRPr="007F0040" w:rsidRDefault="008E67EA" w:rsidP="00B44A74">
            <w:pPr>
              <w:pStyle w:val="APVMATableText"/>
              <w:spacing w:before="0" w:after="0"/>
              <w:rPr>
                <w:szCs w:val="17"/>
              </w:rPr>
            </w:pPr>
            <w:r>
              <w:rPr>
                <w:szCs w:val="17"/>
              </w:rPr>
              <w:t>LC</w:t>
            </w:r>
            <w:r w:rsidRPr="00C72A63">
              <w:rPr>
                <w:szCs w:val="17"/>
                <w:vertAlign w:val="subscript"/>
              </w:rPr>
              <w:t>50</w:t>
            </w:r>
            <w:r>
              <w:rPr>
                <w:szCs w:val="17"/>
                <w:vertAlign w:val="subscript"/>
              </w:rPr>
              <w:t>corr</w:t>
            </w:r>
            <w:r>
              <w:rPr>
                <w:szCs w:val="17"/>
              </w:rPr>
              <w:t xml:space="preserve"> &gt;497 mg/kg dry soil</w:t>
            </w:r>
            <w:r>
              <w:t xml:space="preserve"> – a</w:t>
            </w:r>
            <w:r w:rsidRPr="009A2082">
              <w:t xml:space="preserve">cute </w:t>
            </w:r>
            <w:r>
              <w:t>exposure of m</w:t>
            </w:r>
            <w:r>
              <w:rPr>
                <w:szCs w:val="17"/>
              </w:rPr>
              <w:t>acro-organisms (</w:t>
            </w:r>
            <w:r w:rsidRPr="00C72A63">
              <w:rPr>
                <w:i/>
                <w:iCs/>
                <w:szCs w:val="17"/>
              </w:rPr>
              <w:t>Eisenia fetida</w:t>
            </w:r>
            <w:r>
              <w:rPr>
                <w:i/>
                <w:iCs/>
                <w:szCs w:val="17"/>
              </w:rPr>
              <w:t>)</w:t>
            </w:r>
          </w:p>
        </w:tc>
        <w:tc>
          <w:tcPr>
            <w:tcW w:w="704" w:type="pct"/>
            <w:tcBorders>
              <w:top w:val="single" w:sz="4" w:space="0" w:color="auto"/>
              <w:left w:val="single" w:sz="4" w:space="0" w:color="auto"/>
              <w:right w:val="single" w:sz="4" w:space="0" w:color="auto"/>
            </w:tcBorders>
          </w:tcPr>
          <w:p w14:paraId="563BE8C1" w14:textId="77777777" w:rsidR="008E67EA" w:rsidRDefault="008E67EA" w:rsidP="00B44A74">
            <w:pPr>
              <w:pStyle w:val="APVMATableText"/>
              <w:spacing w:before="0" w:after="0"/>
              <w:jc w:val="center"/>
              <w:rPr>
                <w:szCs w:val="17"/>
              </w:rPr>
            </w:pPr>
            <w:r>
              <w:rPr>
                <w:szCs w:val="17"/>
              </w:rPr>
              <w:t>50</w:t>
            </w:r>
          </w:p>
        </w:tc>
        <w:tc>
          <w:tcPr>
            <w:tcW w:w="1330" w:type="pct"/>
            <w:tcBorders>
              <w:top w:val="single" w:sz="4" w:space="0" w:color="auto"/>
              <w:left w:val="single" w:sz="4" w:space="0" w:color="auto"/>
              <w:right w:val="single" w:sz="4" w:space="0" w:color="auto"/>
            </w:tcBorders>
          </w:tcPr>
          <w:p w14:paraId="535D064D" w14:textId="77777777" w:rsidR="008E67EA" w:rsidRDefault="008E67EA" w:rsidP="00B44A74">
            <w:pPr>
              <w:pStyle w:val="APVMATableText"/>
              <w:spacing w:before="0" w:after="0"/>
              <w:rPr>
                <w:szCs w:val="17"/>
              </w:rPr>
            </w:pPr>
            <w:r>
              <w:t>PEC* 0.38</w:t>
            </w:r>
            <w:r>
              <w:rPr>
                <w:szCs w:val="17"/>
              </w:rPr>
              <w:t xml:space="preserve"> mg/kg dry soil</w:t>
            </w:r>
            <w:r>
              <w:t xml:space="preserve"> – r</w:t>
            </w:r>
            <w:r w:rsidRPr="00231667">
              <w:t>at control using loose grain/pellet bait in stations around buildings</w:t>
            </w:r>
          </w:p>
        </w:tc>
        <w:tc>
          <w:tcPr>
            <w:tcW w:w="854" w:type="pct"/>
            <w:tcBorders>
              <w:top w:val="single" w:sz="4" w:space="0" w:color="auto"/>
              <w:left w:val="single" w:sz="4" w:space="0" w:color="auto"/>
              <w:right w:val="single" w:sz="4" w:space="0" w:color="auto"/>
            </w:tcBorders>
          </w:tcPr>
          <w:p w14:paraId="32C78C7E" w14:textId="77777777" w:rsidR="008E67EA" w:rsidRDefault="008E67EA" w:rsidP="00B44A74">
            <w:pPr>
              <w:pStyle w:val="APVMATableText"/>
              <w:spacing w:before="0" w:after="0"/>
              <w:jc w:val="center"/>
              <w:rPr>
                <w:szCs w:val="17"/>
              </w:rPr>
            </w:pPr>
            <w:r>
              <w:rPr>
                <w:szCs w:val="17"/>
              </w:rPr>
              <w:t>&lt;0.01</w:t>
            </w:r>
          </w:p>
        </w:tc>
      </w:tr>
      <w:tr w:rsidR="008E67EA" w:rsidRPr="006B74D1" w14:paraId="00F55DEF" w14:textId="77777777" w:rsidTr="00B44A74">
        <w:trPr>
          <w:cantSplit/>
        </w:trPr>
        <w:tc>
          <w:tcPr>
            <w:tcW w:w="705" w:type="pct"/>
            <w:tcBorders>
              <w:top w:val="single" w:sz="4" w:space="0" w:color="auto"/>
              <w:left w:val="single" w:sz="4" w:space="0" w:color="auto"/>
              <w:right w:val="single" w:sz="4" w:space="0" w:color="auto"/>
            </w:tcBorders>
          </w:tcPr>
          <w:p w14:paraId="4FD53AF3" w14:textId="77777777" w:rsidR="008E67EA" w:rsidRDefault="008E67EA" w:rsidP="00B44A74">
            <w:pPr>
              <w:pStyle w:val="APVMATableText"/>
              <w:spacing w:before="0" w:after="0"/>
              <w:rPr>
                <w:szCs w:val="17"/>
              </w:rPr>
            </w:pPr>
            <w:r>
              <w:rPr>
                <w:szCs w:val="17"/>
              </w:rPr>
              <w:t>Bromadiolone</w:t>
            </w:r>
          </w:p>
        </w:tc>
        <w:tc>
          <w:tcPr>
            <w:tcW w:w="1407" w:type="pct"/>
            <w:tcBorders>
              <w:top w:val="single" w:sz="4" w:space="0" w:color="auto"/>
              <w:left w:val="single" w:sz="4" w:space="0" w:color="auto"/>
              <w:right w:val="single" w:sz="4" w:space="0" w:color="auto"/>
            </w:tcBorders>
          </w:tcPr>
          <w:p w14:paraId="42435644" w14:textId="77777777" w:rsidR="008E67EA" w:rsidRPr="007F0040" w:rsidRDefault="008E67EA" w:rsidP="00B44A74">
            <w:pPr>
              <w:pStyle w:val="APVMATableText"/>
              <w:spacing w:before="0" w:after="0"/>
              <w:rPr>
                <w:szCs w:val="17"/>
              </w:rPr>
            </w:pPr>
            <w:r>
              <w:rPr>
                <w:szCs w:val="17"/>
              </w:rPr>
              <w:t>LC</w:t>
            </w:r>
            <w:r w:rsidRPr="00C72A63">
              <w:rPr>
                <w:szCs w:val="17"/>
                <w:vertAlign w:val="subscript"/>
              </w:rPr>
              <w:t>50</w:t>
            </w:r>
            <w:r>
              <w:rPr>
                <w:szCs w:val="17"/>
                <w:vertAlign w:val="subscript"/>
              </w:rPr>
              <w:t>corr</w:t>
            </w:r>
            <w:r>
              <w:rPr>
                <w:szCs w:val="17"/>
              </w:rPr>
              <w:t xml:space="preserve"> &gt;665 mg/kg dry soil</w:t>
            </w:r>
            <w:r>
              <w:t xml:space="preserve"> – a</w:t>
            </w:r>
            <w:r w:rsidRPr="009A2082">
              <w:t xml:space="preserve">cute </w:t>
            </w:r>
            <w:r>
              <w:t>exposure of m</w:t>
            </w:r>
            <w:r>
              <w:rPr>
                <w:szCs w:val="17"/>
              </w:rPr>
              <w:t>acro-organisms (</w:t>
            </w:r>
            <w:r w:rsidRPr="00C72A63">
              <w:rPr>
                <w:i/>
                <w:iCs/>
                <w:szCs w:val="17"/>
              </w:rPr>
              <w:t>Eisenia fetida</w:t>
            </w:r>
            <w:r>
              <w:rPr>
                <w:i/>
                <w:iCs/>
                <w:szCs w:val="17"/>
              </w:rPr>
              <w:t>)</w:t>
            </w:r>
          </w:p>
        </w:tc>
        <w:tc>
          <w:tcPr>
            <w:tcW w:w="704" w:type="pct"/>
            <w:tcBorders>
              <w:top w:val="single" w:sz="4" w:space="0" w:color="auto"/>
              <w:left w:val="single" w:sz="4" w:space="0" w:color="auto"/>
              <w:right w:val="single" w:sz="4" w:space="0" w:color="auto"/>
            </w:tcBorders>
          </w:tcPr>
          <w:p w14:paraId="2C514E50" w14:textId="77777777" w:rsidR="008E67EA" w:rsidRDefault="008E67EA" w:rsidP="00B44A74">
            <w:pPr>
              <w:pStyle w:val="APVMATableText"/>
              <w:spacing w:before="0" w:after="0"/>
              <w:jc w:val="center"/>
              <w:rPr>
                <w:szCs w:val="17"/>
              </w:rPr>
            </w:pPr>
            <w:r>
              <w:rPr>
                <w:szCs w:val="17"/>
              </w:rPr>
              <w:t>67</w:t>
            </w:r>
          </w:p>
        </w:tc>
        <w:tc>
          <w:tcPr>
            <w:tcW w:w="1330" w:type="pct"/>
            <w:tcBorders>
              <w:top w:val="single" w:sz="4" w:space="0" w:color="auto"/>
              <w:left w:val="single" w:sz="4" w:space="0" w:color="auto"/>
              <w:right w:val="single" w:sz="4" w:space="0" w:color="auto"/>
            </w:tcBorders>
          </w:tcPr>
          <w:p w14:paraId="46362436" w14:textId="77777777" w:rsidR="008E67EA" w:rsidRDefault="008E67EA" w:rsidP="00B44A74">
            <w:pPr>
              <w:pStyle w:val="APVMATableText"/>
              <w:spacing w:before="0" w:after="0"/>
              <w:rPr>
                <w:szCs w:val="17"/>
              </w:rPr>
            </w:pPr>
            <w:r>
              <w:t xml:space="preserve">PEC* </w:t>
            </w:r>
            <w:r w:rsidRPr="003338E9">
              <w:t>0.9</w:t>
            </w:r>
            <w:r>
              <w:t>8</w:t>
            </w:r>
            <w:r>
              <w:rPr>
                <w:szCs w:val="17"/>
              </w:rPr>
              <w:t xml:space="preserve"> mg/kg dry soil</w:t>
            </w:r>
            <w:r>
              <w:t xml:space="preserve"> –r</w:t>
            </w:r>
            <w:r w:rsidRPr="00231667">
              <w:t>at control using loose grain/pellet bait in stations around buildings</w:t>
            </w:r>
          </w:p>
        </w:tc>
        <w:tc>
          <w:tcPr>
            <w:tcW w:w="854" w:type="pct"/>
            <w:tcBorders>
              <w:top w:val="single" w:sz="4" w:space="0" w:color="auto"/>
              <w:left w:val="single" w:sz="4" w:space="0" w:color="auto"/>
              <w:right w:val="single" w:sz="4" w:space="0" w:color="auto"/>
            </w:tcBorders>
          </w:tcPr>
          <w:p w14:paraId="2617FA98" w14:textId="77777777" w:rsidR="008E67EA" w:rsidRDefault="008E67EA" w:rsidP="00B44A74">
            <w:pPr>
              <w:pStyle w:val="APVMATableText"/>
              <w:spacing w:before="0" w:after="0"/>
              <w:jc w:val="center"/>
              <w:rPr>
                <w:szCs w:val="17"/>
              </w:rPr>
            </w:pPr>
            <w:r>
              <w:rPr>
                <w:szCs w:val="17"/>
              </w:rPr>
              <w:t>0.01</w:t>
            </w:r>
          </w:p>
        </w:tc>
      </w:tr>
      <w:tr w:rsidR="008E67EA" w:rsidRPr="006B74D1" w14:paraId="3E192211" w14:textId="77777777" w:rsidTr="00B44A74">
        <w:trPr>
          <w:cantSplit/>
        </w:trPr>
        <w:tc>
          <w:tcPr>
            <w:tcW w:w="705" w:type="pct"/>
            <w:tcBorders>
              <w:top w:val="single" w:sz="4" w:space="0" w:color="auto"/>
              <w:left w:val="single" w:sz="4" w:space="0" w:color="auto"/>
              <w:right w:val="single" w:sz="4" w:space="0" w:color="auto"/>
            </w:tcBorders>
          </w:tcPr>
          <w:p w14:paraId="60213C97" w14:textId="77777777" w:rsidR="008E67EA" w:rsidRDefault="008E67EA" w:rsidP="00B44A74">
            <w:pPr>
              <w:pStyle w:val="APVMATableText"/>
              <w:spacing w:before="0" w:after="0"/>
              <w:rPr>
                <w:szCs w:val="17"/>
              </w:rPr>
            </w:pPr>
            <w:r>
              <w:rPr>
                <w:szCs w:val="17"/>
              </w:rPr>
              <w:t>Difenacoum</w:t>
            </w:r>
          </w:p>
        </w:tc>
        <w:tc>
          <w:tcPr>
            <w:tcW w:w="1407" w:type="pct"/>
            <w:tcBorders>
              <w:top w:val="single" w:sz="4" w:space="0" w:color="auto"/>
              <w:left w:val="single" w:sz="4" w:space="0" w:color="auto"/>
              <w:right w:val="single" w:sz="4" w:space="0" w:color="auto"/>
            </w:tcBorders>
          </w:tcPr>
          <w:p w14:paraId="761E517B" w14:textId="77777777" w:rsidR="008E67EA" w:rsidRPr="007F0040" w:rsidRDefault="008E67EA" w:rsidP="00B44A74">
            <w:pPr>
              <w:pStyle w:val="APVMATableText"/>
              <w:spacing w:before="0" w:after="0"/>
              <w:rPr>
                <w:szCs w:val="17"/>
              </w:rPr>
            </w:pPr>
            <w:r>
              <w:rPr>
                <w:szCs w:val="17"/>
              </w:rPr>
              <w:t>LC</w:t>
            </w:r>
            <w:r w:rsidRPr="00C72A63">
              <w:rPr>
                <w:szCs w:val="17"/>
                <w:vertAlign w:val="subscript"/>
              </w:rPr>
              <w:t>50</w:t>
            </w:r>
            <w:r>
              <w:rPr>
                <w:szCs w:val="17"/>
                <w:vertAlign w:val="subscript"/>
              </w:rPr>
              <w:t>corr</w:t>
            </w:r>
            <w:r>
              <w:rPr>
                <w:szCs w:val="17"/>
              </w:rPr>
              <w:t xml:space="preserve"> &gt;497 mg/kg dry soil</w:t>
            </w:r>
            <w:r>
              <w:t xml:space="preserve"> – a</w:t>
            </w:r>
            <w:r w:rsidRPr="009A2082">
              <w:t xml:space="preserve">cute </w:t>
            </w:r>
            <w:r>
              <w:t>exposure of m</w:t>
            </w:r>
            <w:r>
              <w:rPr>
                <w:szCs w:val="17"/>
              </w:rPr>
              <w:t>acro-organisms (</w:t>
            </w:r>
            <w:r w:rsidRPr="00C72A63">
              <w:rPr>
                <w:i/>
                <w:iCs/>
                <w:szCs w:val="17"/>
              </w:rPr>
              <w:t>Eisenia fetida</w:t>
            </w:r>
            <w:r>
              <w:rPr>
                <w:i/>
                <w:iCs/>
                <w:szCs w:val="17"/>
              </w:rPr>
              <w:t>)</w:t>
            </w:r>
          </w:p>
        </w:tc>
        <w:tc>
          <w:tcPr>
            <w:tcW w:w="704" w:type="pct"/>
            <w:tcBorders>
              <w:top w:val="single" w:sz="4" w:space="0" w:color="auto"/>
              <w:left w:val="single" w:sz="4" w:space="0" w:color="auto"/>
              <w:right w:val="single" w:sz="4" w:space="0" w:color="auto"/>
            </w:tcBorders>
          </w:tcPr>
          <w:p w14:paraId="0428E52E" w14:textId="77777777" w:rsidR="008E67EA" w:rsidRDefault="008E67EA" w:rsidP="00B44A74">
            <w:pPr>
              <w:pStyle w:val="APVMATableText"/>
              <w:spacing w:before="0" w:after="0"/>
              <w:jc w:val="center"/>
              <w:rPr>
                <w:szCs w:val="17"/>
              </w:rPr>
            </w:pPr>
            <w:r>
              <w:rPr>
                <w:szCs w:val="17"/>
              </w:rPr>
              <w:t>50</w:t>
            </w:r>
          </w:p>
        </w:tc>
        <w:tc>
          <w:tcPr>
            <w:tcW w:w="1330" w:type="pct"/>
            <w:tcBorders>
              <w:top w:val="single" w:sz="4" w:space="0" w:color="auto"/>
              <w:left w:val="single" w:sz="4" w:space="0" w:color="auto"/>
              <w:right w:val="single" w:sz="4" w:space="0" w:color="auto"/>
            </w:tcBorders>
          </w:tcPr>
          <w:p w14:paraId="2FECD52D" w14:textId="77777777" w:rsidR="008E67EA" w:rsidRDefault="008E67EA" w:rsidP="00B44A74">
            <w:pPr>
              <w:pStyle w:val="APVMATableText"/>
              <w:spacing w:before="0" w:after="0"/>
              <w:rPr>
                <w:szCs w:val="17"/>
              </w:rPr>
            </w:pPr>
            <w:r>
              <w:t xml:space="preserve">PEC* </w:t>
            </w:r>
            <w:r w:rsidRPr="003338E9">
              <w:t>0.</w:t>
            </w:r>
            <w:r>
              <w:t>38</w:t>
            </w:r>
            <w:r>
              <w:rPr>
                <w:szCs w:val="17"/>
              </w:rPr>
              <w:t xml:space="preserve"> mg/kg dry soil</w:t>
            </w:r>
            <w:r>
              <w:t xml:space="preserve"> – r</w:t>
            </w:r>
            <w:r w:rsidRPr="00231667">
              <w:t>at control using loose grain/pellet bait in stations around buildings</w:t>
            </w:r>
          </w:p>
        </w:tc>
        <w:tc>
          <w:tcPr>
            <w:tcW w:w="854" w:type="pct"/>
            <w:tcBorders>
              <w:top w:val="single" w:sz="4" w:space="0" w:color="auto"/>
              <w:left w:val="single" w:sz="4" w:space="0" w:color="auto"/>
              <w:right w:val="single" w:sz="4" w:space="0" w:color="auto"/>
            </w:tcBorders>
          </w:tcPr>
          <w:p w14:paraId="2BBAF36B" w14:textId="77777777" w:rsidR="008E67EA" w:rsidRDefault="008E67EA" w:rsidP="00B44A74">
            <w:pPr>
              <w:pStyle w:val="APVMATableText"/>
              <w:spacing w:before="0" w:after="0"/>
              <w:jc w:val="center"/>
              <w:rPr>
                <w:szCs w:val="17"/>
              </w:rPr>
            </w:pPr>
            <w:r>
              <w:rPr>
                <w:szCs w:val="17"/>
              </w:rPr>
              <w:t>&lt;0.01</w:t>
            </w:r>
          </w:p>
        </w:tc>
      </w:tr>
      <w:tr w:rsidR="008E67EA" w:rsidRPr="006B74D1" w14:paraId="57756B43" w14:textId="77777777" w:rsidTr="00B44A74">
        <w:trPr>
          <w:cantSplit/>
        </w:trPr>
        <w:tc>
          <w:tcPr>
            <w:tcW w:w="705" w:type="pct"/>
            <w:tcBorders>
              <w:top w:val="single" w:sz="4" w:space="0" w:color="auto"/>
              <w:left w:val="single" w:sz="4" w:space="0" w:color="auto"/>
              <w:right w:val="single" w:sz="4" w:space="0" w:color="auto"/>
            </w:tcBorders>
          </w:tcPr>
          <w:p w14:paraId="653CC9FA" w14:textId="77777777" w:rsidR="008E67EA" w:rsidRDefault="008E67EA" w:rsidP="00B44A74">
            <w:pPr>
              <w:pStyle w:val="APVMATableText"/>
              <w:spacing w:before="0" w:after="0"/>
              <w:rPr>
                <w:szCs w:val="17"/>
              </w:rPr>
            </w:pPr>
            <w:r>
              <w:rPr>
                <w:szCs w:val="17"/>
              </w:rPr>
              <w:t>Difethialone</w:t>
            </w:r>
          </w:p>
        </w:tc>
        <w:tc>
          <w:tcPr>
            <w:tcW w:w="1407" w:type="pct"/>
            <w:tcBorders>
              <w:top w:val="single" w:sz="4" w:space="0" w:color="auto"/>
              <w:left w:val="single" w:sz="4" w:space="0" w:color="auto"/>
              <w:right w:val="single" w:sz="4" w:space="0" w:color="auto"/>
            </w:tcBorders>
          </w:tcPr>
          <w:p w14:paraId="681D79EC" w14:textId="77777777" w:rsidR="008E67EA" w:rsidRPr="007F0040" w:rsidRDefault="008E67EA" w:rsidP="00B44A74">
            <w:pPr>
              <w:pStyle w:val="APVMATableText"/>
              <w:spacing w:before="0" w:after="0"/>
              <w:rPr>
                <w:szCs w:val="17"/>
              </w:rPr>
            </w:pPr>
            <w:r>
              <w:rPr>
                <w:szCs w:val="17"/>
              </w:rPr>
              <w:t>LC</w:t>
            </w:r>
            <w:r w:rsidRPr="00C72A63">
              <w:rPr>
                <w:szCs w:val="17"/>
                <w:vertAlign w:val="subscript"/>
              </w:rPr>
              <w:t>50</w:t>
            </w:r>
            <w:r>
              <w:rPr>
                <w:szCs w:val="17"/>
                <w:vertAlign w:val="subscript"/>
              </w:rPr>
              <w:t>corr</w:t>
            </w:r>
            <w:r>
              <w:rPr>
                <w:szCs w:val="17"/>
              </w:rPr>
              <w:t xml:space="preserve"> &gt;500 mg/kg dry soil</w:t>
            </w:r>
            <w:r>
              <w:t xml:space="preserve"> – a</w:t>
            </w:r>
            <w:r w:rsidRPr="009A2082">
              <w:t xml:space="preserve">cute </w:t>
            </w:r>
            <w:r>
              <w:t>exposure of m</w:t>
            </w:r>
            <w:r>
              <w:rPr>
                <w:szCs w:val="17"/>
              </w:rPr>
              <w:t>acro-organisms (</w:t>
            </w:r>
            <w:r w:rsidRPr="00C72A63">
              <w:rPr>
                <w:i/>
                <w:iCs/>
                <w:szCs w:val="17"/>
              </w:rPr>
              <w:t>Eisenia fetida</w:t>
            </w:r>
            <w:r>
              <w:rPr>
                <w:i/>
                <w:iCs/>
                <w:szCs w:val="17"/>
              </w:rPr>
              <w:t>)</w:t>
            </w:r>
          </w:p>
        </w:tc>
        <w:tc>
          <w:tcPr>
            <w:tcW w:w="704" w:type="pct"/>
            <w:tcBorders>
              <w:top w:val="single" w:sz="4" w:space="0" w:color="auto"/>
              <w:left w:val="single" w:sz="4" w:space="0" w:color="auto"/>
              <w:right w:val="single" w:sz="4" w:space="0" w:color="auto"/>
            </w:tcBorders>
          </w:tcPr>
          <w:p w14:paraId="4DDB4779" w14:textId="77777777" w:rsidR="008E67EA" w:rsidRDefault="008E67EA" w:rsidP="00B44A74">
            <w:pPr>
              <w:pStyle w:val="APVMATableText"/>
              <w:spacing w:before="0" w:after="0"/>
              <w:jc w:val="center"/>
              <w:rPr>
                <w:szCs w:val="17"/>
              </w:rPr>
            </w:pPr>
            <w:r>
              <w:rPr>
                <w:szCs w:val="17"/>
              </w:rPr>
              <w:t>50</w:t>
            </w:r>
          </w:p>
        </w:tc>
        <w:tc>
          <w:tcPr>
            <w:tcW w:w="1330" w:type="pct"/>
            <w:tcBorders>
              <w:top w:val="single" w:sz="4" w:space="0" w:color="auto"/>
              <w:left w:val="single" w:sz="4" w:space="0" w:color="auto"/>
              <w:right w:val="single" w:sz="4" w:space="0" w:color="auto"/>
            </w:tcBorders>
          </w:tcPr>
          <w:p w14:paraId="7051C6A5" w14:textId="77777777" w:rsidR="008E67EA" w:rsidRDefault="008E67EA" w:rsidP="00B44A74">
            <w:pPr>
              <w:pStyle w:val="APVMATableText"/>
              <w:spacing w:before="0" w:after="0"/>
              <w:rPr>
                <w:szCs w:val="17"/>
              </w:rPr>
            </w:pPr>
            <w:r>
              <w:t xml:space="preserve">PEC* </w:t>
            </w:r>
            <w:r w:rsidRPr="003338E9">
              <w:t>0.</w:t>
            </w:r>
            <w:r>
              <w:t>15</w:t>
            </w:r>
            <w:r>
              <w:rPr>
                <w:szCs w:val="17"/>
              </w:rPr>
              <w:t xml:space="preserve"> mg/kg dry soil</w:t>
            </w:r>
            <w:r>
              <w:t xml:space="preserve"> – m</w:t>
            </w:r>
            <w:r w:rsidRPr="00231667">
              <w:t>ouse control using loose grain/pellet bait in stations around buildings</w:t>
            </w:r>
          </w:p>
        </w:tc>
        <w:tc>
          <w:tcPr>
            <w:tcW w:w="854" w:type="pct"/>
            <w:tcBorders>
              <w:top w:val="single" w:sz="4" w:space="0" w:color="auto"/>
              <w:left w:val="single" w:sz="4" w:space="0" w:color="auto"/>
              <w:right w:val="single" w:sz="4" w:space="0" w:color="auto"/>
            </w:tcBorders>
          </w:tcPr>
          <w:p w14:paraId="0C3E920B" w14:textId="77777777" w:rsidR="008E67EA" w:rsidRDefault="008E67EA" w:rsidP="00B44A74">
            <w:pPr>
              <w:pStyle w:val="APVMATableText"/>
              <w:spacing w:before="0" w:after="0"/>
              <w:jc w:val="center"/>
              <w:rPr>
                <w:szCs w:val="17"/>
              </w:rPr>
            </w:pPr>
            <w:r>
              <w:rPr>
                <w:szCs w:val="17"/>
              </w:rPr>
              <w:t>&lt;0.01</w:t>
            </w:r>
          </w:p>
        </w:tc>
      </w:tr>
      <w:tr w:rsidR="008E67EA" w:rsidRPr="006B74D1" w14:paraId="31671F47" w14:textId="77777777" w:rsidTr="00B44A74">
        <w:trPr>
          <w:cantSplit/>
        </w:trPr>
        <w:tc>
          <w:tcPr>
            <w:tcW w:w="705" w:type="pct"/>
            <w:tcBorders>
              <w:left w:val="single" w:sz="4" w:space="0" w:color="auto"/>
              <w:bottom w:val="single" w:sz="4" w:space="0" w:color="auto"/>
              <w:right w:val="single" w:sz="4" w:space="0" w:color="auto"/>
            </w:tcBorders>
          </w:tcPr>
          <w:p w14:paraId="4EA0DD2E" w14:textId="77777777" w:rsidR="008E67EA" w:rsidRDefault="008E67EA" w:rsidP="00B44A74">
            <w:pPr>
              <w:pStyle w:val="APVMATableText"/>
              <w:spacing w:before="0" w:after="0"/>
              <w:rPr>
                <w:szCs w:val="17"/>
              </w:rPr>
            </w:pPr>
            <w:r>
              <w:rPr>
                <w:szCs w:val="17"/>
              </w:rPr>
              <w:t>Flocoumafen</w:t>
            </w:r>
          </w:p>
        </w:tc>
        <w:tc>
          <w:tcPr>
            <w:tcW w:w="1407" w:type="pct"/>
            <w:tcBorders>
              <w:left w:val="single" w:sz="4" w:space="0" w:color="auto"/>
              <w:bottom w:val="single" w:sz="4" w:space="0" w:color="auto"/>
              <w:right w:val="single" w:sz="4" w:space="0" w:color="auto"/>
            </w:tcBorders>
          </w:tcPr>
          <w:p w14:paraId="0C520083" w14:textId="77777777" w:rsidR="008E67EA" w:rsidRDefault="008E67EA" w:rsidP="00B44A74">
            <w:pPr>
              <w:pStyle w:val="APVMATableText"/>
              <w:spacing w:before="0" w:after="0"/>
              <w:rPr>
                <w:szCs w:val="17"/>
              </w:rPr>
            </w:pPr>
            <w:r>
              <w:rPr>
                <w:szCs w:val="17"/>
              </w:rPr>
              <w:t>EC</w:t>
            </w:r>
            <w:r w:rsidRPr="00F364D4">
              <w:rPr>
                <w:szCs w:val="17"/>
                <w:vertAlign w:val="subscript"/>
              </w:rPr>
              <w:t>10corr</w:t>
            </w:r>
            <w:r>
              <w:rPr>
                <w:szCs w:val="17"/>
              </w:rPr>
              <w:t xml:space="preserve"> 2.8 mg/kg dry soil </w:t>
            </w:r>
            <w:r>
              <w:t>–</w:t>
            </w:r>
            <w:r>
              <w:rPr>
                <w:szCs w:val="17"/>
              </w:rPr>
              <w:t xml:space="preserve"> chronic exposure of macro-organisms (</w:t>
            </w:r>
            <w:r w:rsidRPr="00C72A63">
              <w:rPr>
                <w:i/>
                <w:iCs/>
                <w:szCs w:val="17"/>
              </w:rPr>
              <w:t>Eisenia fetida</w:t>
            </w:r>
            <w:r>
              <w:rPr>
                <w:i/>
                <w:iCs/>
                <w:szCs w:val="17"/>
              </w:rPr>
              <w:t>)</w:t>
            </w:r>
          </w:p>
        </w:tc>
        <w:tc>
          <w:tcPr>
            <w:tcW w:w="704" w:type="pct"/>
            <w:tcBorders>
              <w:left w:val="single" w:sz="4" w:space="0" w:color="auto"/>
              <w:bottom w:val="single" w:sz="4" w:space="0" w:color="auto"/>
              <w:right w:val="single" w:sz="4" w:space="0" w:color="auto"/>
            </w:tcBorders>
          </w:tcPr>
          <w:p w14:paraId="40EA4A0D" w14:textId="77777777" w:rsidR="008E67EA" w:rsidRDefault="008E67EA" w:rsidP="00B44A74">
            <w:pPr>
              <w:pStyle w:val="APVMATableText"/>
              <w:spacing w:before="0" w:after="0"/>
              <w:jc w:val="center"/>
              <w:rPr>
                <w:szCs w:val="17"/>
              </w:rPr>
            </w:pPr>
            <w:r>
              <w:rPr>
                <w:szCs w:val="17"/>
              </w:rPr>
              <w:t>2.8</w:t>
            </w:r>
          </w:p>
        </w:tc>
        <w:tc>
          <w:tcPr>
            <w:tcW w:w="1330" w:type="pct"/>
            <w:tcBorders>
              <w:left w:val="single" w:sz="4" w:space="0" w:color="auto"/>
              <w:bottom w:val="single" w:sz="4" w:space="0" w:color="auto"/>
              <w:right w:val="single" w:sz="4" w:space="0" w:color="auto"/>
            </w:tcBorders>
          </w:tcPr>
          <w:p w14:paraId="7727B1DB" w14:textId="77777777" w:rsidR="008E67EA" w:rsidRDefault="008E67EA" w:rsidP="00B44A74">
            <w:pPr>
              <w:pStyle w:val="APVMATableText"/>
              <w:spacing w:before="0" w:after="0"/>
              <w:rPr>
                <w:szCs w:val="17"/>
              </w:rPr>
            </w:pPr>
            <w:r>
              <w:t xml:space="preserve">PEC* </w:t>
            </w:r>
            <w:r w:rsidRPr="003338E9">
              <w:t>0.</w:t>
            </w:r>
            <w:r>
              <w:t>088</w:t>
            </w:r>
            <w:r>
              <w:rPr>
                <w:szCs w:val="17"/>
              </w:rPr>
              <w:t xml:space="preserve"> mg/kg dry soil</w:t>
            </w:r>
            <w:r>
              <w:t xml:space="preserve"> – r</w:t>
            </w:r>
            <w:r w:rsidRPr="00231667">
              <w:t>at control using loose grain/pellet bait in stations around buildings</w:t>
            </w:r>
          </w:p>
        </w:tc>
        <w:tc>
          <w:tcPr>
            <w:tcW w:w="854" w:type="pct"/>
            <w:tcBorders>
              <w:left w:val="single" w:sz="4" w:space="0" w:color="auto"/>
              <w:bottom w:val="single" w:sz="4" w:space="0" w:color="auto"/>
              <w:right w:val="single" w:sz="4" w:space="0" w:color="auto"/>
            </w:tcBorders>
          </w:tcPr>
          <w:p w14:paraId="48DF164B" w14:textId="77777777" w:rsidR="008E67EA" w:rsidRDefault="008E67EA" w:rsidP="00B44A74">
            <w:pPr>
              <w:pStyle w:val="APVMATableText"/>
              <w:spacing w:before="0" w:after="0"/>
              <w:jc w:val="center"/>
              <w:rPr>
                <w:szCs w:val="17"/>
              </w:rPr>
            </w:pPr>
            <w:r>
              <w:rPr>
                <w:szCs w:val="17"/>
              </w:rPr>
              <w:t>0.03</w:t>
            </w:r>
          </w:p>
        </w:tc>
      </w:tr>
    </w:tbl>
    <w:p w14:paraId="5C27AD13" w14:textId="77777777" w:rsidR="008E67EA" w:rsidRPr="003338E9" w:rsidRDefault="008E67EA" w:rsidP="008E67EA">
      <w:pPr>
        <w:pStyle w:val="NumberLevel1"/>
        <w:numPr>
          <w:ilvl w:val="0"/>
          <w:numId w:val="0"/>
        </w:numPr>
        <w:spacing w:before="0"/>
        <w:ind w:left="567"/>
        <w:rPr>
          <w:color w:val="000000" w:themeColor="text1"/>
        </w:rPr>
      </w:pPr>
      <w:r>
        <w:rPr>
          <w:sz w:val="16"/>
          <w:szCs w:val="16"/>
        </w:rPr>
        <w:t xml:space="preserve">*PEC: predicted environmental concentration in soil </w:t>
      </w:r>
    </w:p>
    <w:p w14:paraId="79279A46" w14:textId="77777777" w:rsidR="008E67EA" w:rsidRPr="00F24CD0" w:rsidRDefault="008E67EA">
      <w:pPr>
        <w:pStyle w:val="NumberLevel1"/>
        <w:numPr>
          <w:ilvl w:val="0"/>
          <w:numId w:val="17"/>
        </w:numPr>
        <w:tabs>
          <w:tab w:val="clear" w:pos="709"/>
          <w:tab w:val="num" w:pos="2553"/>
        </w:tabs>
        <w:rPr>
          <w:color w:val="000000" w:themeColor="text1"/>
        </w:rPr>
      </w:pPr>
      <w:r w:rsidRPr="00F24CD0">
        <w:rPr>
          <w:color w:val="000000" w:themeColor="text1"/>
        </w:rPr>
        <w:t>I note that a quantitative risk assessment was not conducted to determine the risks posed to soil organisms from use of chemical products containing diphacinone, as there was no information available on the effects on soil organisms. However, based on my review and consideration of the risk assessment</w:t>
      </w:r>
      <w:r>
        <w:rPr>
          <w:color w:val="000000" w:themeColor="text1"/>
        </w:rPr>
        <w:t xml:space="preserve"> summarised in section</w:t>
      </w:r>
      <w:r w:rsidRPr="00F24CD0">
        <w:rPr>
          <w:color w:val="000000" w:themeColor="text1"/>
        </w:rPr>
        <w:t xml:space="preserve"> </w:t>
      </w:r>
      <w:r w:rsidRPr="0004678E">
        <w:rPr>
          <w:i/>
          <w:iCs/>
          <w:szCs w:val="20"/>
        </w:rPr>
        <w:t xml:space="preserve">‘3.3.3 </w:t>
      </w:r>
      <w:r w:rsidRPr="0004678E">
        <w:rPr>
          <w:i/>
          <w:iCs/>
          <w:color w:val="000000" w:themeColor="text1"/>
          <w:szCs w:val="20"/>
        </w:rPr>
        <w:t>Risks to other non-target species’</w:t>
      </w:r>
      <w:r w:rsidRPr="00F273DD">
        <w:rPr>
          <w:color w:val="000000" w:themeColor="text1"/>
        </w:rPr>
        <w:t xml:space="preserve"> </w:t>
      </w:r>
      <w:r>
        <w:rPr>
          <w:color w:val="000000" w:themeColor="text1"/>
        </w:rPr>
        <w:t xml:space="preserve">of </w:t>
      </w:r>
      <w:r w:rsidRPr="00F24CD0">
        <w:rPr>
          <w:color w:val="000000" w:themeColor="text1"/>
        </w:rPr>
        <w:t xml:space="preserve">the </w:t>
      </w:r>
      <w:r w:rsidRPr="00F24CD0">
        <w:rPr>
          <w:i/>
          <w:iCs/>
          <w:color w:val="000000" w:themeColor="text1"/>
        </w:rPr>
        <w:t>Anticoagulant Rodenticides Review Technical Report</w:t>
      </w:r>
      <w:r w:rsidRPr="00F24CD0">
        <w:rPr>
          <w:color w:val="000000" w:themeColor="text1"/>
        </w:rPr>
        <w:t>, I note that the exposure of soil and soil organisms resulting from the use of diphacinone chemical products in and around buildings may be considered insignificant, as only spot contamination is likely to occur. Therefore, I am satisfied that the use of diphacinone chemical products in accordance with instructions is not expected to have an unintended effect that is harmful to soil organisms.</w:t>
      </w:r>
    </w:p>
    <w:p w14:paraId="7F56709A" w14:textId="77777777" w:rsidR="008E67EA" w:rsidRPr="006520F5" w:rsidRDefault="008E67EA" w:rsidP="008E67EA">
      <w:pPr>
        <w:pStyle w:val="StatementofReasonsHeading5"/>
      </w:pPr>
      <w:r w:rsidRPr="00FD12A2">
        <w:t>Terrestrial plants</w:t>
      </w:r>
      <w:r w:rsidRPr="006520F5">
        <w:t xml:space="preserve"> </w:t>
      </w:r>
    </w:p>
    <w:p w14:paraId="322AC9D8" w14:textId="77777777" w:rsidR="008E67EA" w:rsidRDefault="008E67EA">
      <w:pPr>
        <w:pStyle w:val="NumberLevel1"/>
        <w:numPr>
          <w:ilvl w:val="0"/>
          <w:numId w:val="17"/>
        </w:numPr>
        <w:tabs>
          <w:tab w:val="clear" w:pos="709"/>
          <w:tab w:val="num" w:pos="2553"/>
        </w:tabs>
        <w:rPr>
          <w:color w:val="000000" w:themeColor="text1"/>
        </w:rPr>
      </w:pPr>
      <w:r>
        <w:rPr>
          <w:color w:val="000000" w:themeColor="text1"/>
        </w:rPr>
        <w:t>B</w:t>
      </w:r>
      <w:r w:rsidRPr="00F273DD">
        <w:rPr>
          <w:color w:val="000000" w:themeColor="text1"/>
        </w:rPr>
        <w:t xml:space="preserve">ased </w:t>
      </w:r>
      <w:r w:rsidRPr="00F24CD0">
        <w:rPr>
          <w:color w:val="000000" w:themeColor="text1"/>
        </w:rPr>
        <w:t>on my review and consideration of the risk assessment</w:t>
      </w:r>
      <w:r>
        <w:rPr>
          <w:color w:val="000000" w:themeColor="text1"/>
        </w:rPr>
        <w:t xml:space="preserve"> summarised in section</w:t>
      </w:r>
      <w:r w:rsidRPr="00F273DD">
        <w:rPr>
          <w:color w:val="000000" w:themeColor="text1"/>
        </w:rPr>
        <w:t xml:space="preserve"> </w:t>
      </w:r>
      <w:r w:rsidRPr="0004678E">
        <w:rPr>
          <w:i/>
          <w:iCs/>
          <w:szCs w:val="20"/>
        </w:rPr>
        <w:t xml:space="preserve">‘3.3.3 </w:t>
      </w:r>
      <w:r w:rsidRPr="0004678E">
        <w:rPr>
          <w:i/>
          <w:iCs/>
          <w:color w:val="000000" w:themeColor="text1"/>
          <w:szCs w:val="20"/>
        </w:rPr>
        <w:t>Risks to other non-target species’</w:t>
      </w:r>
      <w:r w:rsidRPr="00F273DD">
        <w:rPr>
          <w:color w:val="000000" w:themeColor="text1"/>
        </w:rPr>
        <w:t xml:space="preserve"> of </w:t>
      </w:r>
      <w:r w:rsidRPr="00F273DD">
        <w:rPr>
          <w:i/>
          <w:iCs/>
          <w:color w:val="000000" w:themeColor="text1"/>
        </w:rPr>
        <w:t xml:space="preserve">Anticoagulant Rodenticides Review Technical </w:t>
      </w:r>
      <w:r w:rsidRPr="00F24CD0">
        <w:rPr>
          <w:i/>
          <w:iCs/>
          <w:color w:val="000000" w:themeColor="text1"/>
        </w:rPr>
        <w:t>Report</w:t>
      </w:r>
      <w:r w:rsidRPr="00F24CD0">
        <w:rPr>
          <w:color w:val="000000" w:themeColor="text1"/>
        </w:rPr>
        <w:t>, I note that there is no toxicity information available for the effects of anticoagulant rodenticides on terrestrial plants but that any risks posed from use of anticoagulant chemical products are considered acceptable due to the mode of action, method of application, low bioavailability in soil, and a lack of a similar blood-clotting mechanism in plants. Therefore, I am satisfied that the use of anticoagulant rodenticide chemical products is not expected to have an unintended effect that is harmful to terrestrial plants</w:t>
      </w:r>
      <w:r w:rsidRPr="00E761C2">
        <w:rPr>
          <w:color w:val="000000" w:themeColor="text1"/>
        </w:rPr>
        <w:t>.</w:t>
      </w:r>
    </w:p>
    <w:p w14:paraId="2E8E2DB9" w14:textId="77777777" w:rsidR="008E67EA" w:rsidRDefault="008E67EA" w:rsidP="008E67EA">
      <w:pPr>
        <w:pStyle w:val="StatementofReasonsHeading4"/>
      </w:pPr>
      <w:r>
        <w:lastRenderedPageBreak/>
        <w:t>Overall considerations on the likelihood of unintended harmful environmental effects</w:t>
      </w:r>
    </w:p>
    <w:p w14:paraId="1F7CEC46" w14:textId="36453BA3" w:rsidR="008E67EA" w:rsidRPr="00F24CD0" w:rsidRDefault="008E67EA">
      <w:pPr>
        <w:pStyle w:val="NumberLevel1"/>
        <w:numPr>
          <w:ilvl w:val="0"/>
          <w:numId w:val="17"/>
        </w:numPr>
        <w:tabs>
          <w:tab w:val="clear" w:pos="709"/>
          <w:tab w:val="num" w:pos="2553"/>
        </w:tabs>
        <w:rPr>
          <w:color w:val="000000" w:themeColor="text1"/>
        </w:rPr>
      </w:pPr>
      <w:r w:rsidRPr="00F24CD0">
        <w:rPr>
          <w:color w:val="000000" w:themeColor="text1"/>
        </w:rPr>
        <w:t>I consider that there are no other relevant matters with respect to whether the use of anticoagulant rodenticide chemical products in accordance with instructions would have an unintended effect that is harmful to animals, plants or things or to the environment.</w:t>
      </w:r>
    </w:p>
    <w:p w14:paraId="1680F9A5" w14:textId="2EAC913E" w:rsidR="008E67EA" w:rsidRPr="004C6C63" w:rsidRDefault="008E67EA">
      <w:pPr>
        <w:pStyle w:val="NumberLevel1"/>
        <w:numPr>
          <w:ilvl w:val="0"/>
          <w:numId w:val="17"/>
        </w:numPr>
        <w:tabs>
          <w:tab w:val="clear" w:pos="709"/>
          <w:tab w:val="num" w:pos="2553"/>
        </w:tabs>
      </w:pPr>
      <w:bookmarkStart w:id="215" w:name="_Ref213348422"/>
      <w:r>
        <w:t xml:space="preserve">I am not satisfied that use of the </w:t>
      </w:r>
      <w:r w:rsidRPr="00F24CD0">
        <w:t xml:space="preserve">ready-to-use anticoagulant rodenticides chemical products listed in Attachment A </w:t>
      </w:r>
      <w:r w:rsidRPr="00D869C6">
        <w:t>of this notice</w:t>
      </w:r>
      <w:r>
        <w:t xml:space="preserve"> in accordance with current instructions</w:t>
      </w:r>
      <w:r w:rsidRPr="00E47497">
        <w:t xml:space="preserve"> </w:t>
      </w:r>
      <w:r w:rsidRPr="00F24CD0">
        <w:t>would not</w:t>
      </w:r>
      <w:r w:rsidRPr="004C6C63">
        <w:t xml:space="preserve"> be likely to have an unintended effect that is harmful to animals, plants or things or to the environment</w:t>
      </w:r>
      <w:r>
        <w:t xml:space="preserve">. However, </w:t>
      </w:r>
      <w:r w:rsidRPr="00F24CD0">
        <w:t xml:space="preserve">I am satisfied that </w:t>
      </w:r>
      <w:r>
        <w:t>use of these products</w:t>
      </w:r>
      <w:r w:rsidRPr="00F24CD0">
        <w:t xml:space="preserve"> would not</w:t>
      </w:r>
      <w:r w:rsidRPr="004C6C63">
        <w:t xml:space="preserve"> be likely to have an unintended effect that is harmful to animals, plants or things or to the environment after variation of the instructions for use</w:t>
      </w:r>
      <w:r>
        <w:t xml:space="preserve"> </w:t>
      </w:r>
      <w:r w:rsidRPr="004C6C63">
        <w:t xml:space="preserve">and/or net contents detailed above in </w:t>
      </w:r>
      <w:r w:rsidRPr="0000530A">
        <w:t xml:space="preserve">paragraphs </w:t>
      </w:r>
      <w:r w:rsidRPr="0000530A">
        <w:rPr>
          <w:color w:val="000000" w:themeColor="text1"/>
        </w:rPr>
        <w:fldChar w:fldCharType="begin"/>
      </w:r>
      <w:r w:rsidRPr="0000530A">
        <w:rPr>
          <w:color w:val="000000" w:themeColor="text1"/>
        </w:rPr>
        <w:instrText xml:space="preserve"> REF _Ref207047575 \r \h  \* MERGEFORMAT </w:instrText>
      </w:r>
      <w:r w:rsidRPr="0000530A">
        <w:rPr>
          <w:color w:val="000000" w:themeColor="text1"/>
        </w:rPr>
      </w:r>
      <w:r w:rsidRPr="0000530A">
        <w:rPr>
          <w:color w:val="000000" w:themeColor="text1"/>
        </w:rPr>
        <w:fldChar w:fldCharType="separate"/>
      </w:r>
      <w:r w:rsidR="002C0C2A">
        <w:rPr>
          <w:color w:val="000000" w:themeColor="text1"/>
        </w:rPr>
        <w:t>50</w:t>
      </w:r>
      <w:r w:rsidRPr="0000530A">
        <w:rPr>
          <w:color w:val="000000" w:themeColor="text1"/>
        </w:rPr>
        <w:fldChar w:fldCharType="end"/>
      </w:r>
      <w:r w:rsidRPr="0000530A">
        <w:rPr>
          <w:color w:val="000000" w:themeColor="text1"/>
        </w:rPr>
        <w:t xml:space="preserve"> – </w:t>
      </w:r>
      <w:r w:rsidRPr="0000530A">
        <w:rPr>
          <w:color w:val="000000" w:themeColor="text1"/>
        </w:rPr>
        <w:fldChar w:fldCharType="begin"/>
      </w:r>
      <w:r w:rsidRPr="0000530A">
        <w:rPr>
          <w:color w:val="000000" w:themeColor="text1"/>
        </w:rPr>
        <w:instrText xml:space="preserve"> REF _Ref207139474 \w \h </w:instrText>
      </w:r>
      <w:r>
        <w:rPr>
          <w:color w:val="000000" w:themeColor="text1"/>
        </w:rPr>
        <w:instrText xml:space="preserve"> \* MERGEFORMAT </w:instrText>
      </w:r>
      <w:r w:rsidRPr="0000530A">
        <w:rPr>
          <w:color w:val="000000" w:themeColor="text1"/>
        </w:rPr>
      </w:r>
      <w:r w:rsidRPr="0000530A">
        <w:rPr>
          <w:color w:val="000000" w:themeColor="text1"/>
        </w:rPr>
        <w:fldChar w:fldCharType="separate"/>
      </w:r>
      <w:r w:rsidR="002C0C2A">
        <w:rPr>
          <w:color w:val="000000" w:themeColor="text1"/>
        </w:rPr>
        <w:t>52</w:t>
      </w:r>
      <w:r w:rsidRPr="0000530A">
        <w:rPr>
          <w:color w:val="000000" w:themeColor="text1"/>
        </w:rPr>
        <w:fldChar w:fldCharType="end"/>
      </w:r>
      <w:r w:rsidRPr="0000530A">
        <w:rPr>
          <w:color w:val="000000" w:themeColor="text1"/>
        </w:rPr>
        <w:t xml:space="preserve">, </w:t>
      </w:r>
      <w:r w:rsidRPr="0000530A">
        <w:rPr>
          <w:color w:val="000000" w:themeColor="text1"/>
        </w:rPr>
        <w:fldChar w:fldCharType="begin"/>
      </w:r>
      <w:r w:rsidRPr="0000530A">
        <w:rPr>
          <w:color w:val="000000" w:themeColor="text1"/>
        </w:rPr>
        <w:instrText xml:space="preserve"> REF _Ref213444912 \w \h </w:instrText>
      </w:r>
      <w:r>
        <w:rPr>
          <w:color w:val="000000" w:themeColor="text1"/>
        </w:rPr>
        <w:instrText xml:space="preserve"> \* MERGEFORMAT </w:instrText>
      </w:r>
      <w:r w:rsidRPr="0000530A">
        <w:rPr>
          <w:color w:val="000000" w:themeColor="text1"/>
        </w:rPr>
      </w:r>
      <w:r w:rsidRPr="0000530A">
        <w:rPr>
          <w:color w:val="000000" w:themeColor="text1"/>
        </w:rPr>
        <w:fldChar w:fldCharType="separate"/>
      </w:r>
      <w:r w:rsidR="002C0C2A">
        <w:rPr>
          <w:color w:val="000000" w:themeColor="text1"/>
        </w:rPr>
        <w:t>55</w:t>
      </w:r>
      <w:r w:rsidRPr="0000530A">
        <w:rPr>
          <w:color w:val="000000" w:themeColor="text1"/>
        </w:rPr>
        <w:fldChar w:fldCharType="end"/>
      </w:r>
      <w:r w:rsidRPr="0000530A">
        <w:rPr>
          <w:color w:val="000000" w:themeColor="text1"/>
        </w:rPr>
        <w:t xml:space="preserve"> – </w:t>
      </w:r>
      <w:r w:rsidRPr="0000530A">
        <w:rPr>
          <w:color w:val="000000" w:themeColor="text1"/>
        </w:rPr>
        <w:fldChar w:fldCharType="begin"/>
      </w:r>
      <w:r w:rsidRPr="0000530A">
        <w:rPr>
          <w:color w:val="000000" w:themeColor="text1"/>
        </w:rPr>
        <w:instrText xml:space="preserve"> REF _Ref213444267 \w \h  \* MERGEFORMAT </w:instrText>
      </w:r>
      <w:r w:rsidRPr="0000530A">
        <w:rPr>
          <w:color w:val="000000" w:themeColor="text1"/>
        </w:rPr>
      </w:r>
      <w:r w:rsidRPr="0000530A">
        <w:rPr>
          <w:color w:val="000000" w:themeColor="text1"/>
        </w:rPr>
        <w:fldChar w:fldCharType="separate"/>
      </w:r>
      <w:r w:rsidR="002C0C2A">
        <w:rPr>
          <w:color w:val="000000" w:themeColor="text1"/>
        </w:rPr>
        <w:t>62</w:t>
      </w:r>
      <w:r w:rsidRPr="0000530A">
        <w:rPr>
          <w:color w:val="000000" w:themeColor="text1"/>
        </w:rPr>
        <w:fldChar w:fldCharType="end"/>
      </w:r>
      <w:r w:rsidRPr="0000530A">
        <w:rPr>
          <w:color w:val="000000" w:themeColor="text1"/>
        </w:rPr>
        <w:t xml:space="preserve">, </w:t>
      </w:r>
      <w:r w:rsidRPr="0000530A">
        <w:rPr>
          <w:color w:val="000000" w:themeColor="text1"/>
        </w:rPr>
        <w:fldChar w:fldCharType="begin"/>
      </w:r>
      <w:r w:rsidRPr="0000530A">
        <w:rPr>
          <w:color w:val="000000" w:themeColor="text1"/>
        </w:rPr>
        <w:instrText xml:space="preserve"> REF _Ref207139626 \r \h  \* MERGEFORMAT </w:instrText>
      </w:r>
      <w:r w:rsidRPr="0000530A">
        <w:rPr>
          <w:color w:val="000000" w:themeColor="text1"/>
        </w:rPr>
      </w:r>
      <w:r w:rsidRPr="0000530A">
        <w:rPr>
          <w:color w:val="000000" w:themeColor="text1"/>
        </w:rPr>
        <w:fldChar w:fldCharType="separate"/>
      </w:r>
      <w:r w:rsidR="002C0C2A">
        <w:rPr>
          <w:color w:val="000000" w:themeColor="text1"/>
        </w:rPr>
        <w:t>64</w:t>
      </w:r>
      <w:r w:rsidRPr="0000530A">
        <w:rPr>
          <w:color w:val="000000" w:themeColor="text1"/>
        </w:rPr>
        <w:fldChar w:fldCharType="end"/>
      </w:r>
      <w:r w:rsidRPr="0000530A">
        <w:rPr>
          <w:color w:val="000000" w:themeColor="text1"/>
        </w:rPr>
        <w:t xml:space="preserve"> and </w:t>
      </w:r>
      <w:r w:rsidRPr="0000530A">
        <w:rPr>
          <w:color w:val="000000" w:themeColor="text1"/>
        </w:rPr>
        <w:fldChar w:fldCharType="begin"/>
      </w:r>
      <w:r w:rsidRPr="0000530A">
        <w:rPr>
          <w:color w:val="000000" w:themeColor="text1"/>
        </w:rPr>
        <w:instrText xml:space="preserve"> REF _Ref207139639 \r \h  \* MERGEFORMAT </w:instrText>
      </w:r>
      <w:r w:rsidRPr="0000530A">
        <w:rPr>
          <w:color w:val="000000" w:themeColor="text1"/>
        </w:rPr>
      </w:r>
      <w:r w:rsidRPr="0000530A">
        <w:rPr>
          <w:color w:val="000000" w:themeColor="text1"/>
        </w:rPr>
        <w:fldChar w:fldCharType="separate"/>
      </w:r>
      <w:r w:rsidR="002C0C2A">
        <w:rPr>
          <w:color w:val="000000" w:themeColor="text1"/>
        </w:rPr>
        <w:t>65</w:t>
      </w:r>
      <w:r w:rsidRPr="0000530A">
        <w:rPr>
          <w:color w:val="000000" w:themeColor="text1"/>
        </w:rPr>
        <w:fldChar w:fldCharType="end"/>
      </w:r>
      <w:r w:rsidRPr="0000530A">
        <w:rPr>
          <w:color w:val="000000" w:themeColor="text1"/>
        </w:rPr>
        <w:t xml:space="preserve"> of</w:t>
      </w:r>
      <w:r w:rsidRPr="0012723F">
        <w:rPr>
          <w:color w:val="000000" w:themeColor="text1"/>
        </w:rPr>
        <w:t xml:space="preserve"> these reasons,</w:t>
      </w:r>
      <w:r w:rsidRPr="0012723F">
        <w:rPr>
          <w:color w:val="FF0000"/>
        </w:rPr>
        <w:t xml:space="preserve"> </w:t>
      </w:r>
      <w:r w:rsidRPr="0012723F">
        <w:rPr>
          <w:color w:val="000000" w:themeColor="text1"/>
        </w:rPr>
        <w:t xml:space="preserve">in addition to variations with respect to chemistry and manufacture matters related to the safety criteria that are detailed below in </w:t>
      </w:r>
      <w:r w:rsidRPr="0000530A">
        <w:rPr>
          <w:color w:val="000000" w:themeColor="text1"/>
        </w:rPr>
        <w:t>paragraphs</w:t>
      </w:r>
      <w:r w:rsidR="00FC0551">
        <w:rPr>
          <w:color w:val="000000" w:themeColor="text1"/>
        </w:rPr>
        <w:t xml:space="preserve"> </w:t>
      </w:r>
      <w:r w:rsidR="00FC0551">
        <w:rPr>
          <w:color w:val="000000" w:themeColor="text1"/>
        </w:rPr>
        <w:fldChar w:fldCharType="begin"/>
      </w:r>
      <w:r w:rsidR="00FC0551">
        <w:rPr>
          <w:color w:val="000000" w:themeColor="text1"/>
        </w:rPr>
        <w:instrText xml:space="preserve"> REF _Ref213490072 \w \h </w:instrText>
      </w:r>
      <w:r w:rsidR="00FC0551">
        <w:rPr>
          <w:color w:val="000000" w:themeColor="text1"/>
        </w:rPr>
      </w:r>
      <w:r w:rsidR="00FC0551">
        <w:rPr>
          <w:color w:val="000000" w:themeColor="text1"/>
        </w:rPr>
        <w:fldChar w:fldCharType="separate"/>
      </w:r>
      <w:r w:rsidR="002C0C2A">
        <w:rPr>
          <w:color w:val="000000" w:themeColor="text1"/>
        </w:rPr>
        <w:t>117</w:t>
      </w:r>
      <w:r w:rsidR="00FC0551">
        <w:rPr>
          <w:color w:val="000000" w:themeColor="text1"/>
        </w:rPr>
        <w:fldChar w:fldCharType="end"/>
      </w:r>
      <w:r w:rsidRPr="0000530A">
        <w:rPr>
          <w:color w:val="000000" w:themeColor="text1"/>
        </w:rPr>
        <w:t xml:space="preserve">, </w:t>
      </w:r>
      <w:r w:rsidRPr="0000530A">
        <w:rPr>
          <w:color w:val="000000" w:themeColor="text1"/>
        </w:rPr>
        <w:fldChar w:fldCharType="begin"/>
      </w:r>
      <w:r w:rsidRPr="0000530A">
        <w:rPr>
          <w:color w:val="000000" w:themeColor="text1"/>
        </w:rPr>
        <w:instrText xml:space="preserve"> REF _Ref213444454 \w \h  \* MERGEFORMAT </w:instrText>
      </w:r>
      <w:r w:rsidRPr="0000530A">
        <w:rPr>
          <w:color w:val="000000" w:themeColor="text1"/>
        </w:rPr>
      </w:r>
      <w:r w:rsidRPr="0000530A">
        <w:rPr>
          <w:color w:val="000000" w:themeColor="text1"/>
        </w:rPr>
        <w:fldChar w:fldCharType="separate"/>
      </w:r>
      <w:r w:rsidR="002C0C2A">
        <w:rPr>
          <w:color w:val="000000" w:themeColor="text1"/>
        </w:rPr>
        <w:t>123</w:t>
      </w:r>
      <w:r w:rsidRPr="0000530A">
        <w:rPr>
          <w:color w:val="000000" w:themeColor="text1"/>
        </w:rPr>
        <w:fldChar w:fldCharType="end"/>
      </w:r>
      <w:r w:rsidRPr="0000530A">
        <w:rPr>
          <w:color w:val="000000" w:themeColor="text1"/>
        </w:rPr>
        <w:t xml:space="preserve">, </w:t>
      </w:r>
      <w:r w:rsidRPr="0000530A">
        <w:rPr>
          <w:color w:val="000000" w:themeColor="text1"/>
        </w:rPr>
        <w:fldChar w:fldCharType="begin"/>
      </w:r>
      <w:r w:rsidRPr="0000530A">
        <w:rPr>
          <w:color w:val="000000" w:themeColor="text1"/>
        </w:rPr>
        <w:instrText xml:space="preserve"> REF _Ref213091629 \w \h  \* MERGEFORMAT </w:instrText>
      </w:r>
      <w:r w:rsidRPr="0000530A">
        <w:rPr>
          <w:color w:val="000000" w:themeColor="text1"/>
        </w:rPr>
      </w:r>
      <w:r w:rsidRPr="0000530A">
        <w:rPr>
          <w:color w:val="000000" w:themeColor="text1"/>
        </w:rPr>
        <w:fldChar w:fldCharType="separate"/>
      </w:r>
      <w:r w:rsidR="002C0C2A">
        <w:rPr>
          <w:color w:val="000000" w:themeColor="text1"/>
        </w:rPr>
        <w:t>125</w:t>
      </w:r>
      <w:r w:rsidRPr="0000530A">
        <w:rPr>
          <w:color w:val="000000" w:themeColor="text1"/>
        </w:rPr>
        <w:fldChar w:fldCharType="end"/>
      </w:r>
      <w:r w:rsidRPr="0000530A">
        <w:rPr>
          <w:color w:val="000000" w:themeColor="text1"/>
        </w:rPr>
        <w:t xml:space="preserve"> and </w:t>
      </w:r>
      <w:r w:rsidRPr="0000530A">
        <w:rPr>
          <w:color w:val="000000" w:themeColor="text1"/>
        </w:rPr>
        <w:fldChar w:fldCharType="begin"/>
      </w:r>
      <w:r w:rsidRPr="0000530A">
        <w:rPr>
          <w:color w:val="000000" w:themeColor="text1"/>
        </w:rPr>
        <w:instrText xml:space="preserve"> REF _Ref213444483 \w \h  \* MERGEFORMAT </w:instrText>
      </w:r>
      <w:r w:rsidRPr="0000530A">
        <w:rPr>
          <w:color w:val="000000" w:themeColor="text1"/>
        </w:rPr>
      </w:r>
      <w:r w:rsidRPr="0000530A">
        <w:rPr>
          <w:color w:val="000000" w:themeColor="text1"/>
        </w:rPr>
        <w:fldChar w:fldCharType="separate"/>
      </w:r>
      <w:r w:rsidR="002C0C2A">
        <w:rPr>
          <w:color w:val="000000" w:themeColor="text1"/>
        </w:rPr>
        <w:t>126.2</w:t>
      </w:r>
      <w:r w:rsidRPr="0000530A">
        <w:rPr>
          <w:color w:val="000000" w:themeColor="text1"/>
        </w:rPr>
        <w:fldChar w:fldCharType="end"/>
      </w:r>
      <w:r w:rsidRPr="0000530A">
        <w:rPr>
          <w:color w:val="000000" w:themeColor="text1"/>
        </w:rPr>
        <w:t xml:space="preserve"> and</w:t>
      </w:r>
      <w:r w:rsidRPr="0012723F">
        <w:rPr>
          <w:color w:val="000000" w:themeColor="text1"/>
        </w:rPr>
        <w:t xml:space="preserve"> of these reasons.</w:t>
      </w:r>
      <w:bookmarkEnd w:id="215"/>
    </w:p>
    <w:p w14:paraId="6CF5FBF7" w14:textId="77777777" w:rsidR="008E67EA" w:rsidRDefault="008E67EA" w:rsidP="008E67EA">
      <w:pPr>
        <w:pStyle w:val="StatementofReasonsHeading3"/>
      </w:pPr>
      <w:bookmarkStart w:id="216" w:name="_Hlk193365179"/>
      <w:bookmarkStart w:id="217" w:name="_Toc216090756"/>
      <w:bookmarkEnd w:id="147"/>
      <w:r>
        <w:t xml:space="preserve">Undue hazard to the safety of humans and harmful effects on human beings </w:t>
      </w:r>
      <w:bookmarkEnd w:id="216"/>
      <w:r>
        <w:t>– s 5A(1)(a)–(b)</w:t>
      </w:r>
      <w:bookmarkEnd w:id="217"/>
    </w:p>
    <w:p w14:paraId="33D02872" w14:textId="5B375510" w:rsidR="008E67EA" w:rsidRPr="00D869C6" w:rsidRDefault="008E67EA">
      <w:pPr>
        <w:pStyle w:val="NumberLevel1"/>
        <w:numPr>
          <w:ilvl w:val="0"/>
          <w:numId w:val="17"/>
        </w:numPr>
        <w:tabs>
          <w:tab w:val="clear" w:pos="709"/>
          <w:tab w:val="num" w:pos="2553"/>
        </w:tabs>
        <w:rPr>
          <w:color w:val="000000" w:themeColor="text1"/>
        </w:rPr>
      </w:pPr>
      <w:bookmarkStart w:id="218" w:name="_Ref207101325"/>
      <w:r>
        <w:rPr>
          <w:color w:val="000000" w:themeColor="text1"/>
        </w:rPr>
        <w:t>To be satisfied that the a</w:t>
      </w:r>
      <w:r w:rsidRPr="007406DD">
        <w:rPr>
          <w:color w:val="000000" w:themeColor="text1"/>
        </w:rPr>
        <w:t xml:space="preserve">nticoagulant rodenticide chemical products in Attachment A of this notice meet the safety criteria, </w:t>
      </w:r>
      <w:r>
        <w:rPr>
          <w:color w:val="000000" w:themeColor="text1"/>
        </w:rPr>
        <w:t xml:space="preserve">sections 5A(1)(a) and 5A(1)(b) of the Agvet Code requires that the </w:t>
      </w:r>
      <w:r w:rsidRPr="007406DD">
        <w:rPr>
          <w:color w:val="000000" w:themeColor="text1"/>
        </w:rPr>
        <w:t xml:space="preserve">use of chemical products, in accordance with any instructions approved, or to be approved, by the APVMA </w:t>
      </w:r>
      <w:r>
        <w:rPr>
          <w:color w:val="000000" w:themeColor="text1"/>
        </w:rPr>
        <w:t>would</w:t>
      </w:r>
      <w:r w:rsidRPr="007406DD">
        <w:rPr>
          <w:color w:val="000000" w:themeColor="text1"/>
        </w:rPr>
        <w:t xml:space="preserve"> </w:t>
      </w:r>
      <w:r>
        <w:rPr>
          <w:color w:val="000000" w:themeColor="text1"/>
        </w:rPr>
        <w:t xml:space="preserve">not be </w:t>
      </w:r>
      <w:r w:rsidRPr="007406DD">
        <w:rPr>
          <w:color w:val="000000" w:themeColor="text1"/>
        </w:rPr>
        <w:t xml:space="preserve">an undue hazard to the safety of people exposed to it during its handling or people using anything containing its residues and </w:t>
      </w:r>
      <w:r>
        <w:rPr>
          <w:color w:val="000000" w:themeColor="text1"/>
        </w:rPr>
        <w:t>would not be</w:t>
      </w:r>
      <w:r w:rsidRPr="007406DD">
        <w:rPr>
          <w:color w:val="000000" w:themeColor="text1"/>
        </w:rPr>
        <w:t xml:space="preserve"> likely to have an effect that is harmful to human beings. </w:t>
      </w:r>
      <w:r>
        <w:rPr>
          <w:color w:val="000000" w:themeColor="text1"/>
        </w:rPr>
        <w:t>When considering these criteria</w:t>
      </w:r>
      <w:r w:rsidRPr="00D869C6">
        <w:rPr>
          <w:color w:val="000000" w:themeColor="text1"/>
        </w:rPr>
        <w:t>, I have specifically considered the intrinsic hazards of anticoagulant rodenticides and the risks that may associated with occupational and non-professional use of chemical products, bystander exposure and any potential dietary exposure when products are used in accordance with instructions.</w:t>
      </w:r>
      <w:bookmarkEnd w:id="218"/>
    </w:p>
    <w:p w14:paraId="53AC5EAD" w14:textId="1830A1D7" w:rsidR="008E67EA" w:rsidRPr="008F4EE6" w:rsidRDefault="008E67EA">
      <w:pPr>
        <w:pStyle w:val="NumberLevel1"/>
        <w:numPr>
          <w:ilvl w:val="0"/>
          <w:numId w:val="17"/>
        </w:numPr>
        <w:tabs>
          <w:tab w:val="clear" w:pos="709"/>
          <w:tab w:val="num" w:pos="2553"/>
        </w:tabs>
        <w:rPr>
          <w:color w:val="000000" w:themeColor="text1"/>
        </w:rPr>
      </w:pPr>
      <w:r w:rsidRPr="008F4EE6">
        <w:rPr>
          <w:color w:val="000000" w:themeColor="text1"/>
        </w:rPr>
        <w:t>In considering whether the use of anticoagulant rodenticide chemical products in accordance with instructions would be an undue hazard to the safety of people exposed to it during its handling or people using anything containing its residues or would be likely to have an effect that is harmful to human beings, I have also considered the risk assessments summarised in the sections ‘</w:t>
      </w:r>
      <w:r w:rsidRPr="00175F2F">
        <w:rPr>
          <w:i/>
          <w:iCs/>
          <w:color w:val="000000" w:themeColor="text1"/>
        </w:rPr>
        <w:t xml:space="preserve">4. Toxicology and human health’ </w:t>
      </w:r>
      <w:r w:rsidRPr="008F4EE6">
        <w:rPr>
          <w:color w:val="000000" w:themeColor="text1"/>
        </w:rPr>
        <w:t xml:space="preserve">and </w:t>
      </w:r>
      <w:r w:rsidRPr="00175F2F">
        <w:rPr>
          <w:i/>
          <w:iCs/>
          <w:color w:val="000000" w:themeColor="text1"/>
        </w:rPr>
        <w:t xml:space="preserve">‘5. Residues and trade’ </w:t>
      </w:r>
      <w:r w:rsidRPr="008F4EE6">
        <w:rPr>
          <w:color w:val="000000" w:themeColor="text1"/>
        </w:rPr>
        <w:t xml:space="preserve">of the </w:t>
      </w:r>
      <w:r w:rsidRPr="008F4EE6">
        <w:rPr>
          <w:i/>
          <w:iCs/>
          <w:color w:val="000000" w:themeColor="text1"/>
        </w:rPr>
        <w:t xml:space="preserve">Anticoagulant Rodenticides Review Technical Report </w:t>
      </w:r>
      <w:r w:rsidRPr="008F4EE6">
        <w:rPr>
          <w:color w:val="000000" w:themeColor="text1"/>
        </w:rPr>
        <w:t>to the extent that they relate the following relevant matters that the APVMA must have regard to for the purposes of being satisfied as to whether a chemical product meets the safety criteria:</w:t>
      </w:r>
    </w:p>
    <w:p w14:paraId="16B8F4B5" w14:textId="1CBD73F9" w:rsidR="008E67EA" w:rsidRPr="008F4EE6" w:rsidRDefault="008E67EA">
      <w:pPr>
        <w:pStyle w:val="NumberLevel2"/>
        <w:numPr>
          <w:ilvl w:val="1"/>
          <w:numId w:val="17"/>
        </w:numPr>
        <w:ind w:left="1134"/>
      </w:pPr>
      <w:r w:rsidRPr="008F4EE6">
        <w:t>the toxicity of the product and its residues, including metabolites and degradation products, in relation to relevant organisms and ecosystems, including human beings (s 5A(3)(a)(i)); and</w:t>
      </w:r>
    </w:p>
    <w:p w14:paraId="50907FC5" w14:textId="77777777" w:rsidR="008E67EA" w:rsidRPr="008F4EE6" w:rsidRDefault="008E67EA">
      <w:pPr>
        <w:pStyle w:val="NumberLevel2"/>
        <w:numPr>
          <w:ilvl w:val="1"/>
          <w:numId w:val="17"/>
        </w:numPr>
        <w:ind w:left="1134"/>
      </w:pPr>
      <w:r w:rsidRPr="008F4EE6">
        <w:t>the relevant poison classification of the product under the law in force in this jurisdiction (s 5A(3)(a)(ii)); and</w:t>
      </w:r>
    </w:p>
    <w:p w14:paraId="5282955D" w14:textId="77777777" w:rsidR="008E67EA" w:rsidRPr="008F4EE6" w:rsidRDefault="008E67EA">
      <w:pPr>
        <w:pStyle w:val="NumberLevel2"/>
        <w:numPr>
          <w:ilvl w:val="1"/>
          <w:numId w:val="17"/>
        </w:numPr>
        <w:ind w:left="1134"/>
      </w:pPr>
      <w:r w:rsidRPr="008F4EE6">
        <w:t>how the product is formulated (s 5A(3)(a)(iii)); and</w:t>
      </w:r>
    </w:p>
    <w:p w14:paraId="76A8E0BB" w14:textId="77777777" w:rsidR="008E67EA" w:rsidRPr="008F4EE6" w:rsidRDefault="008E67EA">
      <w:pPr>
        <w:pStyle w:val="NumberLevel2"/>
        <w:numPr>
          <w:ilvl w:val="1"/>
          <w:numId w:val="17"/>
        </w:numPr>
        <w:ind w:left="1134"/>
      </w:pPr>
      <w:r w:rsidRPr="008F4EE6">
        <w:t>the relevant particulars ‘any instructions for use’, that are, or would be, entered in the Register for the product (s 5A(3)(a)(vi)).</w:t>
      </w:r>
    </w:p>
    <w:p w14:paraId="47C25EDE" w14:textId="77777777" w:rsidR="008E67EA" w:rsidRPr="00D869C6" w:rsidRDefault="008E67EA" w:rsidP="008E67EA">
      <w:pPr>
        <w:pStyle w:val="StatementofReasonsHeading4"/>
        <w:tabs>
          <w:tab w:val="left" w:pos="4140"/>
        </w:tabs>
        <w:rPr>
          <w:color w:val="000000" w:themeColor="text1"/>
        </w:rPr>
      </w:pPr>
      <w:r w:rsidRPr="00D869C6">
        <w:rPr>
          <w:color w:val="000000" w:themeColor="text1"/>
        </w:rPr>
        <w:t>Hazards of anticoagulant rodenticides</w:t>
      </w:r>
    </w:p>
    <w:p w14:paraId="06BE4B16" w14:textId="77777777" w:rsidR="008E67EA" w:rsidRPr="00D869C6" w:rsidRDefault="008E67EA" w:rsidP="008E67EA">
      <w:pPr>
        <w:pStyle w:val="StatementofReasonsHeading4"/>
        <w:ind w:firstLine="567"/>
        <w:rPr>
          <w:i/>
          <w:iCs/>
          <w:color w:val="000000" w:themeColor="text1"/>
        </w:rPr>
      </w:pPr>
      <w:r w:rsidRPr="00D869C6">
        <w:rPr>
          <w:i/>
          <w:iCs/>
          <w:color w:val="000000" w:themeColor="text1"/>
        </w:rPr>
        <w:t>Hazards information</w:t>
      </w:r>
    </w:p>
    <w:p w14:paraId="4D5335B3" w14:textId="2B16DA25" w:rsidR="008E67EA" w:rsidRPr="00E445D5" w:rsidRDefault="008E67EA">
      <w:pPr>
        <w:pStyle w:val="NumberLevel1"/>
        <w:numPr>
          <w:ilvl w:val="0"/>
          <w:numId w:val="17"/>
        </w:numPr>
        <w:tabs>
          <w:tab w:val="clear" w:pos="709"/>
          <w:tab w:val="num" w:pos="2553"/>
        </w:tabs>
        <w:rPr>
          <w:color w:val="000000" w:themeColor="text1"/>
        </w:rPr>
      </w:pPr>
      <w:r w:rsidRPr="00D869C6">
        <w:rPr>
          <w:color w:val="000000" w:themeColor="text1"/>
        </w:rPr>
        <w:t xml:space="preserve">In considering the human health risks associated with the current use of anticoagulant rodenticides chemical products, I have reviewed and relied upon the hazard assessments completed by the APVMA’s subject matter </w:t>
      </w:r>
      <w:r w:rsidRPr="00D869C6">
        <w:rPr>
          <w:color w:val="000000" w:themeColor="text1"/>
        </w:rPr>
        <w:lastRenderedPageBreak/>
        <w:t>experts which have assessed the following information. I have considered and agree with the approach and methodology and the conclusions in these assessments unless I have indicated otherwise in the</w:t>
      </w:r>
      <w:r>
        <w:rPr>
          <w:color w:val="000000" w:themeColor="text1"/>
        </w:rPr>
        <w:t>se reasons.</w:t>
      </w:r>
    </w:p>
    <w:p w14:paraId="0C400266" w14:textId="26BB8A3F" w:rsidR="008E67EA" w:rsidRPr="00B14195" w:rsidRDefault="008E67EA">
      <w:pPr>
        <w:pStyle w:val="NumberLevel2"/>
        <w:numPr>
          <w:ilvl w:val="1"/>
          <w:numId w:val="17"/>
        </w:numPr>
        <w:ind w:left="1134"/>
      </w:pPr>
      <w:r w:rsidRPr="00B14195">
        <w:t xml:space="preserve">Studies on the toxicokinetics and metabolism of anticoagulant rodenticides in the mammalian body, as </w:t>
      </w:r>
      <w:r>
        <w:t>summarised</w:t>
      </w:r>
      <w:r w:rsidRPr="00B14195">
        <w:t xml:space="preserve"> in</w:t>
      </w:r>
      <w:r>
        <w:t xml:space="preserve"> sections </w:t>
      </w:r>
      <w:r w:rsidRPr="00175F2F">
        <w:rPr>
          <w:i/>
          <w:iCs/>
        </w:rPr>
        <w:t>‘3.1.2 Fate and behaviour in biota’</w:t>
      </w:r>
      <w:r>
        <w:t xml:space="preserve"> and </w:t>
      </w:r>
      <w:r w:rsidRPr="00175F2F">
        <w:rPr>
          <w:i/>
          <w:iCs/>
        </w:rPr>
        <w:t>‘4.2.9 Toxicokinetics’</w:t>
      </w:r>
      <w:r w:rsidRPr="00B14195">
        <w:t xml:space="preserve"> of the </w:t>
      </w:r>
      <w:r w:rsidRPr="0058361D">
        <w:rPr>
          <w:i/>
          <w:iCs/>
        </w:rPr>
        <w:t>Anticoagulant Rodenticides Review Technical Report.</w:t>
      </w:r>
    </w:p>
    <w:p w14:paraId="0EA8CBE3" w14:textId="10AA836F" w:rsidR="008E67EA" w:rsidRPr="00125A18" w:rsidRDefault="008E67EA">
      <w:pPr>
        <w:pStyle w:val="NumberLevel2"/>
        <w:numPr>
          <w:ilvl w:val="1"/>
          <w:numId w:val="17"/>
        </w:numPr>
        <w:ind w:left="1134"/>
      </w:pPr>
      <w:r w:rsidRPr="00125A18">
        <w:t>The following toxicity studies that examine adverse effects from administration of or exposure to anticoagulant rodenticides, using suitable mammalian laboratory animals as a surrogate for human beings, or</w:t>
      </w:r>
      <w:r w:rsidRPr="00B51322">
        <w:rPr>
          <w:i/>
          <w:iCs/>
        </w:rPr>
        <w:t xml:space="preserve"> in vitro</w:t>
      </w:r>
      <w:r w:rsidRPr="00125A18">
        <w:t xml:space="preserve"> studies with tissues or cell cultures, as </w:t>
      </w:r>
      <w:r>
        <w:t>summarised</w:t>
      </w:r>
      <w:r w:rsidRPr="00125A18">
        <w:t xml:space="preserve"> in </w:t>
      </w:r>
      <w:r>
        <w:t xml:space="preserve">section </w:t>
      </w:r>
      <w:r w:rsidRPr="00175F2F">
        <w:rPr>
          <w:i/>
          <w:iCs/>
        </w:rPr>
        <w:t>‘4.2 Summary of available toxicological studies’</w:t>
      </w:r>
      <w:r w:rsidRPr="00B51322">
        <w:t xml:space="preserve"> </w:t>
      </w:r>
      <w:r w:rsidRPr="00125A18">
        <w:t xml:space="preserve">of the </w:t>
      </w:r>
      <w:r w:rsidRPr="00B51322">
        <w:rPr>
          <w:i/>
          <w:iCs/>
        </w:rPr>
        <w:t>Anticoagulant Rodenticides Review Technical Report</w:t>
      </w:r>
      <w:r w:rsidRPr="00125A18">
        <w:t>.</w:t>
      </w:r>
    </w:p>
    <w:p w14:paraId="7CA28C38" w14:textId="77777777" w:rsidR="008E67EA" w:rsidRPr="00966FD2" w:rsidRDefault="008E67EA">
      <w:pPr>
        <w:pStyle w:val="NumberLevel3"/>
        <w:numPr>
          <w:ilvl w:val="2"/>
          <w:numId w:val="17"/>
        </w:numPr>
      </w:pPr>
      <w:r w:rsidRPr="00966FD2">
        <w:t>Brodifacoum – acute toxicity (oral, dermal, inhalation, skin irritation, eye irritation and skin sensitisation), short-term oral repeat dose toxicity, sub-chronic dietary repeat dose toxicity, developmental toxicity, reproductive toxicity and genotoxicity studies.</w:t>
      </w:r>
    </w:p>
    <w:p w14:paraId="02EA2880" w14:textId="77777777" w:rsidR="008E67EA" w:rsidRPr="00A879E8" w:rsidRDefault="008E67EA">
      <w:pPr>
        <w:pStyle w:val="NumberLevel3"/>
        <w:numPr>
          <w:ilvl w:val="2"/>
          <w:numId w:val="17"/>
        </w:numPr>
      </w:pPr>
      <w:r w:rsidRPr="00A879E8">
        <w:t xml:space="preserve">Bromadiolone – acute toxicity (oral, dermal, inhalation, skin irritation, eye irritation and skin sensitisation), sub-chronic repeat dose </w:t>
      </w:r>
      <w:r>
        <w:t xml:space="preserve">oral </w:t>
      </w:r>
      <w:r w:rsidRPr="00A879E8">
        <w:t>toxicity, developmental toxicity, reproductive toxicity and genotoxicity studies.</w:t>
      </w:r>
    </w:p>
    <w:p w14:paraId="6C205631" w14:textId="77777777" w:rsidR="008E67EA" w:rsidRPr="006B7FE4" w:rsidRDefault="008E67EA">
      <w:pPr>
        <w:pStyle w:val="NumberLevel3"/>
        <w:numPr>
          <w:ilvl w:val="2"/>
          <w:numId w:val="17"/>
        </w:numPr>
      </w:pPr>
      <w:r w:rsidRPr="006B7FE4">
        <w:t xml:space="preserve">Coumatetralyl – acute toxicity (oral, dermal, inhalation, skin irritation, eye irritation and skin sensitisation), sub-chronic repeat dose </w:t>
      </w:r>
      <w:r w:rsidRPr="00013616">
        <w:t xml:space="preserve">dietary </w:t>
      </w:r>
      <w:r>
        <w:t>toxicity</w:t>
      </w:r>
      <w:r w:rsidRPr="006B7FE4">
        <w:t>, developmental toxicity and genotoxicity studies.</w:t>
      </w:r>
    </w:p>
    <w:p w14:paraId="2F978FA3" w14:textId="77777777" w:rsidR="008E67EA" w:rsidRPr="00A879E8" w:rsidRDefault="008E67EA">
      <w:pPr>
        <w:pStyle w:val="NumberLevel3"/>
        <w:numPr>
          <w:ilvl w:val="2"/>
          <w:numId w:val="17"/>
        </w:numPr>
      </w:pPr>
      <w:r w:rsidRPr="00A879E8">
        <w:t>Difenacoum – acute toxicity (oral, dermal, inhalation, skin irritation, eye irritation and skin sensitisation),</w:t>
      </w:r>
      <w:r>
        <w:t xml:space="preserve"> short-term</w:t>
      </w:r>
      <w:r w:rsidRPr="00A879E8">
        <w:t xml:space="preserve"> repeat dose toxicity (oral and dermal), developmental toxicity, reproductive toxicity and genotoxicity studies.</w:t>
      </w:r>
    </w:p>
    <w:p w14:paraId="646E381B" w14:textId="77777777" w:rsidR="008E67EA" w:rsidRPr="00E9563A" w:rsidRDefault="008E67EA">
      <w:pPr>
        <w:pStyle w:val="NumberLevel3"/>
        <w:numPr>
          <w:ilvl w:val="2"/>
          <w:numId w:val="17"/>
        </w:numPr>
      </w:pPr>
      <w:r w:rsidRPr="00E9563A">
        <w:t xml:space="preserve">Difethialone – acute toxicity (oral, dermal, inhalation, skin irritation, eye irritation and skin sensitisation), </w:t>
      </w:r>
      <w:r>
        <w:t xml:space="preserve">short-term and </w:t>
      </w:r>
      <w:r w:rsidRPr="00E9563A">
        <w:t xml:space="preserve">sub-chronic repeat dose </w:t>
      </w:r>
      <w:r>
        <w:t xml:space="preserve">oral </w:t>
      </w:r>
      <w:r w:rsidRPr="00E9563A">
        <w:t>toxici</w:t>
      </w:r>
      <w:r>
        <w:t>ty</w:t>
      </w:r>
      <w:r w:rsidRPr="00E9563A">
        <w:t>, developmental toxicity and genotoxicity studies.</w:t>
      </w:r>
    </w:p>
    <w:p w14:paraId="736B401E" w14:textId="7880ECB9" w:rsidR="008E67EA" w:rsidRPr="005B2F00" w:rsidRDefault="008E67EA">
      <w:pPr>
        <w:pStyle w:val="NumberLevel3"/>
        <w:numPr>
          <w:ilvl w:val="2"/>
          <w:numId w:val="17"/>
        </w:numPr>
      </w:pPr>
      <w:r w:rsidRPr="005B2F00">
        <w:t>Diphacinone – acute toxicity (oral, dermal, inhalation, skin irritation, eye irritation and skin sensitisation</w:t>
      </w:r>
      <w:r w:rsidRPr="00966FD2">
        <w:t xml:space="preserve">), short-term </w:t>
      </w:r>
      <w:r w:rsidRPr="005B2F00">
        <w:t xml:space="preserve">repeat dose </w:t>
      </w:r>
      <w:r>
        <w:t>toxicity</w:t>
      </w:r>
      <w:r w:rsidRPr="005B2F00">
        <w:t xml:space="preserve"> (oral, dermal and inhalation), developmental toxicity and genotoxicity studies.</w:t>
      </w:r>
    </w:p>
    <w:p w14:paraId="7487B6B5" w14:textId="77777777" w:rsidR="008E67EA" w:rsidRPr="00125A18" w:rsidRDefault="008E67EA">
      <w:pPr>
        <w:pStyle w:val="NumberLevel3"/>
        <w:numPr>
          <w:ilvl w:val="2"/>
          <w:numId w:val="17"/>
        </w:numPr>
      </w:pPr>
      <w:r w:rsidRPr="00125A18">
        <w:t>Flocoumafen – acute toxicity (oral, dermal, skin irritation, eye irritation and skin sensitisation), short-term and sub-chronic repeat dose oral toxicity, developmental toxicity and genotoxicity studies.</w:t>
      </w:r>
    </w:p>
    <w:p w14:paraId="157928AE" w14:textId="77777777" w:rsidR="008E67EA" w:rsidRPr="00B51322" w:rsidRDefault="008E67EA">
      <w:pPr>
        <w:pStyle w:val="NumberLevel2"/>
        <w:numPr>
          <w:ilvl w:val="1"/>
          <w:numId w:val="17"/>
        </w:numPr>
        <w:ind w:left="1134"/>
        <w:rPr>
          <w:color w:val="000000" w:themeColor="text1"/>
        </w:rPr>
      </w:pPr>
      <w:r w:rsidRPr="00E445D5">
        <w:t>Adverse experiences reports involving anticoagulant rodenticides chemical products in Australia</w:t>
      </w:r>
      <w:r>
        <w:t xml:space="preserve"> </w:t>
      </w:r>
      <w:r w:rsidRPr="00E445D5">
        <w:t xml:space="preserve">as </w:t>
      </w:r>
      <w:r>
        <w:t xml:space="preserve">summarised </w:t>
      </w:r>
      <w:r w:rsidRPr="00E445D5">
        <w:t xml:space="preserve">in </w:t>
      </w:r>
      <w:r>
        <w:t xml:space="preserve">section </w:t>
      </w:r>
      <w:r w:rsidRPr="00175F2F">
        <w:rPr>
          <w:i/>
          <w:iCs/>
        </w:rPr>
        <w:t xml:space="preserve">‘4.3 </w:t>
      </w:r>
      <w:r w:rsidRPr="00175F2F">
        <w:rPr>
          <w:i/>
          <w:iCs/>
          <w:color w:val="000000" w:themeColor="text1"/>
        </w:rPr>
        <w:t>Human adverse events involving anticoagulant rodenticide exposure in Australia’</w:t>
      </w:r>
      <w:r w:rsidRPr="00B51322">
        <w:rPr>
          <w:color w:val="000000" w:themeColor="text1"/>
        </w:rPr>
        <w:t xml:space="preserve"> of the </w:t>
      </w:r>
      <w:r w:rsidRPr="00B51322">
        <w:rPr>
          <w:i/>
          <w:iCs/>
          <w:color w:val="000000" w:themeColor="text1"/>
        </w:rPr>
        <w:t>Anticoagulant Rodenticides Review Technical Report</w:t>
      </w:r>
      <w:r w:rsidRPr="00B51322">
        <w:rPr>
          <w:color w:val="000000" w:themeColor="text1"/>
        </w:rPr>
        <w:t>.</w:t>
      </w:r>
    </w:p>
    <w:p w14:paraId="641A567A" w14:textId="77777777" w:rsidR="008E67EA" w:rsidRPr="00093382" w:rsidRDefault="008E67EA">
      <w:pPr>
        <w:pStyle w:val="NumberLevel2"/>
        <w:numPr>
          <w:ilvl w:val="1"/>
          <w:numId w:val="17"/>
        </w:numPr>
        <w:ind w:left="1134"/>
        <w:rPr>
          <w:color w:val="000000" w:themeColor="text1"/>
        </w:rPr>
      </w:pPr>
      <w:r w:rsidRPr="00093382">
        <w:rPr>
          <w:color w:val="000000" w:themeColor="text1"/>
        </w:rPr>
        <w:t xml:space="preserve">The current entries in the </w:t>
      </w:r>
      <w:bookmarkStart w:id="219" w:name="_Hlk159943695"/>
      <w:r w:rsidRPr="00093382">
        <w:rPr>
          <w:i/>
          <w:iCs/>
          <w:color w:val="000000" w:themeColor="text1"/>
          <w:lang w:val="en-GB"/>
        </w:rPr>
        <w:t>Therapeutic Goods (Poisons Standard</w:t>
      </w:r>
      <w:r w:rsidRPr="00093382">
        <w:rPr>
          <w:rFonts w:hint="eastAsia"/>
          <w:i/>
          <w:iCs/>
          <w:color w:val="000000" w:themeColor="text1"/>
          <w:lang w:val="en-GB"/>
        </w:rPr>
        <w:t>—</w:t>
      </w:r>
      <w:r w:rsidRPr="00093382">
        <w:rPr>
          <w:i/>
          <w:iCs/>
          <w:color w:val="000000" w:themeColor="text1"/>
          <w:lang w:val="en-GB"/>
        </w:rPr>
        <w:t>June 2025) Instrument 2024</w:t>
      </w:r>
      <w:bookmarkEnd w:id="219"/>
      <w:r w:rsidRPr="00093382">
        <w:rPr>
          <w:color w:val="000000" w:themeColor="text1"/>
          <w:lang w:val="en-GB"/>
        </w:rPr>
        <w:t xml:space="preserve"> </w:t>
      </w:r>
      <w:r w:rsidRPr="00093382">
        <w:rPr>
          <w:color w:val="000000" w:themeColor="text1"/>
        </w:rPr>
        <w:t xml:space="preserve">(the Poisons Standard) for brodifacoum, bromadiolone, coumatetralyl, difenacoum, difethialone, diphacinone and flocoumafen. </w:t>
      </w:r>
      <w:r w:rsidRPr="00093382">
        <w:rPr>
          <w:color w:val="000000" w:themeColor="text1"/>
          <w:lang w:val="en-GB"/>
        </w:rPr>
        <w:t xml:space="preserve">The Poisons Standard is a Legislative Instrument for the purposes of the </w:t>
      </w:r>
      <w:r w:rsidRPr="00093382">
        <w:rPr>
          <w:i/>
          <w:iCs/>
          <w:color w:val="000000" w:themeColor="text1"/>
          <w:lang w:val="en-GB"/>
        </w:rPr>
        <w:t>Legislation Act 2003</w:t>
      </w:r>
      <w:r w:rsidRPr="00093382">
        <w:rPr>
          <w:color w:val="000000" w:themeColor="text1"/>
          <w:lang w:val="en-GB"/>
        </w:rPr>
        <w:t>. The Poisons Standard may also be cited as the Standard for the Uniform Scheduling of Medicines and Poisons (the SUSMP).</w:t>
      </w:r>
    </w:p>
    <w:p w14:paraId="61747A28" w14:textId="77777777" w:rsidR="008E67EA" w:rsidRPr="00A46813" w:rsidRDefault="008E67EA" w:rsidP="008E67EA">
      <w:pPr>
        <w:pStyle w:val="StatementofReasonsHeading4"/>
        <w:ind w:firstLine="567"/>
        <w:rPr>
          <w:i/>
          <w:iCs/>
          <w:color w:val="000000" w:themeColor="text1"/>
        </w:rPr>
      </w:pPr>
      <w:r w:rsidRPr="00A46813">
        <w:rPr>
          <w:i/>
          <w:iCs/>
          <w:color w:val="000000" w:themeColor="text1"/>
        </w:rPr>
        <w:t>Poisons Standard</w:t>
      </w:r>
    </w:p>
    <w:p w14:paraId="4C7F49B1" w14:textId="73AE5439" w:rsidR="008E67EA" w:rsidRPr="00093382" w:rsidRDefault="008E67EA">
      <w:pPr>
        <w:pStyle w:val="NumberLevel1"/>
        <w:numPr>
          <w:ilvl w:val="0"/>
          <w:numId w:val="17"/>
        </w:numPr>
        <w:tabs>
          <w:tab w:val="clear" w:pos="709"/>
          <w:tab w:val="num" w:pos="2553"/>
        </w:tabs>
        <w:rPr>
          <w:color w:val="000000" w:themeColor="text1"/>
        </w:rPr>
      </w:pPr>
      <w:r w:rsidRPr="00093382">
        <w:rPr>
          <w:color w:val="000000" w:themeColor="text1"/>
        </w:rPr>
        <w:t xml:space="preserve">The relevant poisons classification of </w:t>
      </w:r>
      <w:r>
        <w:rPr>
          <w:color w:val="000000" w:themeColor="text1"/>
        </w:rPr>
        <w:t xml:space="preserve">the </w:t>
      </w:r>
      <w:r w:rsidRPr="000B1FE7">
        <w:rPr>
          <w:color w:val="000000" w:themeColor="text1"/>
        </w:rPr>
        <w:t xml:space="preserve">anticoagulant rodenticides </w:t>
      </w:r>
      <w:r w:rsidRPr="002B391F">
        <w:t>coumatetralyl, diphacinone, brodifacoum, bromadiolone, difenacoum</w:t>
      </w:r>
      <w:r>
        <w:t xml:space="preserve">, </w:t>
      </w:r>
      <w:r w:rsidRPr="002B391F">
        <w:t>difethialone</w:t>
      </w:r>
      <w:r>
        <w:t xml:space="preserve"> or flocoumafen </w:t>
      </w:r>
      <w:r w:rsidRPr="00DF28BD">
        <w:rPr>
          <w:b/>
          <w:bCs/>
          <w:i/>
          <w:iCs/>
        </w:rPr>
        <w:t>(relevant active constituents</w:t>
      </w:r>
      <w:r>
        <w:rPr>
          <w:b/>
          <w:bCs/>
          <w:i/>
          <w:iCs/>
        </w:rPr>
        <w:t>)</w:t>
      </w:r>
      <w:r w:rsidRPr="00093382">
        <w:rPr>
          <w:color w:val="000000" w:themeColor="text1"/>
        </w:rPr>
        <w:t xml:space="preserve"> in th</w:t>
      </w:r>
      <w:r>
        <w:rPr>
          <w:color w:val="000000" w:themeColor="text1"/>
        </w:rPr>
        <w:t xml:space="preserve">e current </w:t>
      </w:r>
      <w:r w:rsidRPr="00093382">
        <w:rPr>
          <w:color w:val="000000" w:themeColor="text1"/>
        </w:rPr>
        <w:t xml:space="preserve">Poisons </w:t>
      </w:r>
      <w:r w:rsidRPr="00093382">
        <w:rPr>
          <w:color w:val="000000" w:themeColor="text1"/>
        </w:rPr>
        <w:lastRenderedPageBreak/>
        <w:t xml:space="preserve">Standard, at concentrations relevant to the ready-to-use chemical products listed in Attachment A of this notice, are set out below in </w:t>
      </w:r>
      <w:r w:rsidRPr="00093382">
        <w:rPr>
          <w:color w:val="000000" w:themeColor="text1"/>
        </w:rPr>
        <w:fldChar w:fldCharType="begin"/>
      </w:r>
      <w:r w:rsidRPr="00093382">
        <w:rPr>
          <w:color w:val="000000" w:themeColor="text1"/>
        </w:rPr>
        <w:instrText xml:space="preserve"> REF _Ref202970519 \h </w:instrText>
      </w:r>
      <w:r w:rsidRPr="00093382">
        <w:rPr>
          <w:color w:val="000000" w:themeColor="text1"/>
        </w:rPr>
      </w:r>
      <w:r w:rsidRPr="00093382">
        <w:rPr>
          <w:color w:val="000000" w:themeColor="text1"/>
        </w:rPr>
        <w:fldChar w:fldCharType="separate"/>
      </w:r>
      <w:r w:rsidR="002C0C2A" w:rsidRPr="002F3A90">
        <w:t xml:space="preserve">Table </w:t>
      </w:r>
      <w:r w:rsidR="002C0C2A">
        <w:rPr>
          <w:noProof/>
        </w:rPr>
        <w:t>10</w:t>
      </w:r>
      <w:r w:rsidRPr="00093382">
        <w:rPr>
          <w:color w:val="000000" w:themeColor="text1"/>
        </w:rPr>
        <w:fldChar w:fldCharType="end"/>
      </w:r>
      <w:r w:rsidRPr="00093382">
        <w:rPr>
          <w:color w:val="000000" w:themeColor="text1"/>
        </w:rPr>
        <w:t xml:space="preserve"> of this notice.</w:t>
      </w:r>
    </w:p>
    <w:p w14:paraId="4A3ADA20" w14:textId="618E6903" w:rsidR="008E67EA" w:rsidRPr="00093382" w:rsidRDefault="008E67EA">
      <w:pPr>
        <w:pStyle w:val="NumberLevel1"/>
        <w:numPr>
          <w:ilvl w:val="0"/>
          <w:numId w:val="17"/>
        </w:numPr>
        <w:tabs>
          <w:tab w:val="clear" w:pos="709"/>
          <w:tab w:val="num" w:pos="2553"/>
        </w:tabs>
        <w:rPr>
          <w:color w:val="000000" w:themeColor="text1"/>
        </w:rPr>
      </w:pPr>
      <w:r w:rsidRPr="00D869C6">
        <w:rPr>
          <w:color w:val="000000" w:themeColor="text1"/>
        </w:rPr>
        <w:t>I note that the human health assessment concluded that no changes to the poison classifications of the relevant</w:t>
      </w:r>
      <w:r>
        <w:rPr>
          <w:color w:val="000000" w:themeColor="text1"/>
        </w:rPr>
        <w:t xml:space="preserve"> active constituents </w:t>
      </w:r>
      <w:r w:rsidRPr="00093382">
        <w:rPr>
          <w:color w:val="000000" w:themeColor="text1"/>
        </w:rPr>
        <w:t xml:space="preserve">at concentrations relevant to the </w:t>
      </w:r>
      <w:r>
        <w:rPr>
          <w:color w:val="000000" w:themeColor="text1"/>
        </w:rPr>
        <w:t xml:space="preserve">ready-to-use </w:t>
      </w:r>
      <w:r w:rsidRPr="00093382">
        <w:rPr>
          <w:color w:val="000000" w:themeColor="text1"/>
        </w:rPr>
        <w:t xml:space="preserve">chemical products listed in Attachment A of this notice are required, as </w:t>
      </w:r>
      <w:r>
        <w:rPr>
          <w:color w:val="000000" w:themeColor="text1"/>
        </w:rPr>
        <w:t>summarised</w:t>
      </w:r>
      <w:r w:rsidRPr="00093382">
        <w:rPr>
          <w:color w:val="000000" w:themeColor="text1"/>
        </w:rPr>
        <w:t xml:space="preserve"> in</w:t>
      </w:r>
      <w:r>
        <w:rPr>
          <w:color w:val="000000" w:themeColor="text1"/>
        </w:rPr>
        <w:t xml:space="preserve"> section</w:t>
      </w:r>
      <w:r w:rsidRPr="00093382">
        <w:rPr>
          <w:color w:val="000000" w:themeColor="text1"/>
        </w:rPr>
        <w:t xml:space="preserve"> </w:t>
      </w:r>
      <w:r w:rsidRPr="00175F2F">
        <w:rPr>
          <w:i/>
          <w:iCs/>
          <w:color w:val="000000" w:themeColor="text1"/>
        </w:rPr>
        <w:t>‘4.10 Poisons Standard’</w:t>
      </w:r>
      <w:r>
        <w:rPr>
          <w:color w:val="000000" w:themeColor="text1"/>
        </w:rPr>
        <w:t xml:space="preserve"> </w:t>
      </w:r>
      <w:r w:rsidRPr="00093382">
        <w:rPr>
          <w:color w:val="000000" w:themeColor="text1"/>
        </w:rPr>
        <w:t xml:space="preserve">of the </w:t>
      </w:r>
      <w:r w:rsidRPr="00093382">
        <w:rPr>
          <w:i/>
          <w:iCs/>
          <w:color w:val="000000" w:themeColor="text1"/>
        </w:rPr>
        <w:t>Anticoagulant Rodenticides Review Technical Report</w:t>
      </w:r>
      <w:r w:rsidRPr="00093382">
        <w:rPr>
          <w:color w:val="000000" w:themeColor="text1"/>
        </w:rPr>
        <w:t>.</w:t>
      </w:r>
    </w:p>
    <w:p w14:paraId="4ECEDAC3" w14:textId="77777777" w:rsidR="008E67EA" w:rsidRPr="00D869C6" w:rsidRDefault="008E67EA">
      <w:pPr>
        <w:pStyle w:val="NumberLevel2"/>
        <w:numPr>
          <w:ilvl w:val="1"/>
          <w:numId w:val="17"/>
        </w:numPr>
        <w:ind w:left="1134"/>
        <w:rPr>
          <w:color w:val="000000" w:themeColor="text1"/>
        </w:rPr>
      </w:pPr>
      <w:r w:rsidRPr="00093382">
        <w:rPr>
          <w:color w:val="000000" w:themeColor="text1"/>
        </w:rPr>
        <w:t xml:space="preserve">In relation to the </w:t>
      </w:r>
      <w:r>
        <w:rPr>
          <w:color w:val="000000" w:themeColor="text1"/>
        </w:rPr>
        <w:t>conclusion</w:t>
      </w:r>
      <w:r w:rsidRPr="00093382">
        <w:rPr>
          <w:color w:val="000000" w:themeColor="text1"/>
        </w:rPr>
        <w:t xml:space="preserve"> that diphacinone meet</w:t>
      </w:r>
      <w:r>
        <w:rPr>
          <w:color w:val="000000" w:themeColor="text1"/>
        </w:rPr>
        <w:t>s</w:t>
      </w:r>
      <w:r w:rsidRPr="00093382">
        <w:rPr>
          <w:color w:val="000000" w:themeColor="text1"/>
        </w:rPr>
        <w:t xml:space="preserve"> the </w:t>
      </w:r>
      <w:r w:rsidRPr="00A506C1">
        <w:rPr>
          <w:color w:val="000000" w:themeColor="text1"/>
        </w:rPr>
        <w:t xml:space="preserve">Scheduling Policy Framework criteria </w:t>
      </w:r>
      <w:r w:rsidRPr="00093382">
        <w:rPr>
          <w:color w:val="000000" w:themeColor="text1"/>
        </w:rPr>
        <w:t xml:space="preserve">for inclusion in Schedule 7 of the Poisons Standard based on </w:t>
      </w:r>
      <w:r>
        <w:rPr>
          <w:color w:val="000000" w:themeColor="text1"/>
        </w:rPr>
        <w:t xml:space="preserve">its </w:t>
      </w:r>
      <w:r w:rsidRPr="00093382">
        <w:rPr>
          <w:color w:val="000000" w:themeColor="text1"/>
        </w:rPr>
        <w:t>acute hazard</w:t>
      </w:r>
      <w:r w:rsidRPr="00D869C6">
        <w:rPr>
          <w:color w:val="000000" w:themeColor="text1"/>
        </w:rPr>
        <w:t>s, I note this relates directly to the technical active constituent concentrations and would not impact the poisons classification of anticoagulant rodenticide chemical products formulated to contain 0.005% diphacinone.</w:t>
      </w:r>
    </w:p>
    <w:p w14:paraId="70AB3C36" w14:textId="1E3A2CB4" w:rsidR="008E67EA" w:rsidRPr="00D869C6" w:rsidRDefault="008E67EA">
      <w:pPr>
        <w:pStyle w:val="NumberLevel1"/>
        <w:numPr>
          <w:ilvl w:val="0"/>
          <w:numId w:val="17"/>
        </w:numPr>
        <w:tabs>
          <w:tab w:val="clear" w:pos="709"/>
          <w:tab w:val="num" w:pos="2553"/>
        </w:tabs>
        <w:rPr>
          <w:color w:val="000000" w:themeColor="text1"/>
        </w:rPr>
      </w:pPr>
      <w:r w:rsidRPr="00D869C6">
        <w:rPr>
          <w:color w:val="000000" w:themeColor="text1"/>
        </w:rPr>
        <w:t xml:space="preserve">Further, I note that the information in the APVMA records on the poison classification of the ready-to-use anticoagulant rodenticides chemical products listed in Attachment A are consistent with the current requirements of the Poisons Standard, detailed below in </w:t>
      </w:r>
      <w:r w:rsidRPr="00D869C6">
        <w:rPr>
          <w:color w:val="000000" w:themeColor="text1"/>
        </w:rPr>
        <w:fldChar w:fldCharType="begin"/>
      </w:r>
      <w:r w:rsidRPr="00D869C6">
        <w:rPr>
          <w:color w:val="000000" w:themeColor="text1"/>
        </w:rPr>
        <w:instrText xml:space="preserve"> REF _Ref202970519 \h </w:instrText>
      </w:r>
      <w:r>
        <w:rPr>
          <w:color w:val="000000" w:themeColor="text1"/>
        </w:rPr>
        <w:instrText xml:space="preserve"> \* MERGEFORMAT </w:instrText>
      </w:r>
      <w:r w:rsidRPr="00D869C6">
        <w:rPr>
          <w:color w:val="000000" w:themeColor="text1"/>
        </w:rPr>
      </w:r>
      <w:r w:rsidRPr="00D869C6">
        <w:rPr>
          <w:color w:val="000000" w:themeColor="text1"/>
        </w:rPr>
        <w:fldChar w:fldCharType="separate"/>
      </w:r>
      <w:r w:rsidR="002C0C2A" w:rsidRPr="002F3A90">
        <w:t xml:space="preserve">Table </w:t>
      </w:r>
      <w:r w:rsidR="002C0C2A">
        <w:rPr>
          <w:noProof/>
        </w:rPr>
        <w:t>10</w:t>
      </w:r>
      <w:r w:rsidRPr="00D869C6">
        <w:rPr>
          <w:color w:val="000000" w:themeColor="text1"/>
        </w:rPr>
        <w:fldChar w:fldCharType="end"/>
      </w:r>
      <w:r w:rsidRPr="00D869C6">
        <w:rPr>
          <w:color w:val="000000" w:themeColor="text1"/>
        </w:rPr>
        <w:t xml:space="preserve"> of this notice. As such, I consider that the current poisons classification for all ready-to-use chemical products listed in Attachment A of this notice remain appropriate.</w:t>
      </w:r>
    </w:p>
    <w:p w14:paraId="7431C77E" w14:textId="18537C17" w:rsidR="008E67EA" w:rsidRPr="002F3A90" w:rsidRDefault="008E67EA" w:rsidP="00B33ED7">
      <w:pPr>
        <w:pStyle w:val="Caption"/>
        <w:ind w:left="567"/>
      </w:pPr>
      <w:bookmarkStart w:id="220" w:name="_Ref202970519"/>
      <w:r w:rsidRPr="002F3A90">
        <w:t xml:space="preserve">Table </w:t>
      </w:r>
      <w:r w:rsidRPr="002F3A90">
        <w:fldChar w:fldCharType="begin"/>
      </w:r>
      <w:r w:rsidRPr="002F3A90">
        <w:instrText xml:space="preserve"> SEQ Table \* ARABIC </w:instrText>
      </w:r>
      <w:r w:rsidRPr="002F3A90">
        <w:fldChar w:fldCharType="separate"/>
      </w:r>
      <w:r w:rsidR="002C0C2A">
        <w:rPr>
          <w:noProof/>
        </w:rPr>
        <w:t>10</w:t>
      </w:r>
      <w:r w:rsidRPr="002F3A90">
        <w:fldChar w:fldCharType="end"/>
      </w:r>
      <w:bookmarkEnd w:id="220"/>
      <w:r w:rsidRPr="002F3A90">
        <w:t xml:space="preserve">: </w:t>
      </w:r>
      <w:r>
        <w:t>The Poison Standard entries relevant to ready-to-use agricultural rodenticide chemical products</w:t>
      </w:r>
    </w:p>
    <w:tbl>
      <w:tblPr>
        <w:tblW w:w="4660"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843"/>
        <w:gridCol w:w="2552"/>
        <w:gridCol w:w="4578"/>
      </w:tblGrid>
      <w:tr w:rsidR="008E67EA" w:rsidRPr="006B74D1" w14:paraId="4B0D83C1" w14:textId="77777777" w:rsidTr="00B44A74">
        <w:trPr>
          <w:cantSplit/>
          <w:tblHeader/>
        </w:trPr>
        <w:tc>
          <w:tcPr>
            <w:tcW w:w="1027" w:type="pct"/>
            <w:tcBorders>
              <w:top w:val="single" w:sz="4" w:space="0" w:color="auto"/>
              <w:left w:val="single" w:sz="4" w:space="0" w:color="auto"/>
              <w:bottom w:val="single" w:sz="4" w:space="0" w:color="auto"/>
              <w:right w:val="single" w:sz="4" w:space="0" w:color="auto"/>
            </w:tcBorders>
            <w:shd w:val="clear" w:color="auto" w:fill="E6E6E6"/>
            <w:hideMark/>
          </w:tcPr>
          <w:p w14:paraId="34BF31EC" w14:textId="77777777" w:rsidR="008E67EA" w:rsidRPr="00B251FC" w:rsidRDefault="008E67EA" w:rsidP="00B44A74">
            <w:pPr>
              <w:pStyle w:val="TableHead"/>
              <w:spacing w:before="0" w:after="0"/>
              <w:rPr>
                <w:color w:val="000000" w:themeColor="text1"/>
              </w:rPr>
            </w:pPr>
            <w:r w:rsidRPr="00B251FC">
              <w:rPr>
                <w:color w:val="000000" w:themeColor="text1"/>
              </w:rPr>
              <w:t>Active</w:t>
            </w:r>
          </w:p>
        </w:tc>
        <w:tc>
          <w:tcPr>
            <w:tcW w:w="1422" w:type="pct"/>
            <w:tcBorders>
              <w:top w:val="single" w:sz="4" w:space="0" w:color="auto"/>
              <w:left w:val="single" w:sz="4" w:space="0" w:color="auto"/>
              <w:bottom w:val="single" w:sz="4" w:space="0" w:color="auto"/>
              <w:right w:val="single" w:sz="4" w:space="0" w:color="auto"/>
            </w:tcBorders>
            <w:shd w:val="clear" w:color="auto" w:fill="E6E6E6"/>
          </w:tcPr>
          <w:p w14:paraId="25EAFC09" w14:textId="77777777" w:rsidR="008E67EA" w:rsidRPr="00B251FC" w:rsidRDefault="008E67EA" w:rsidP="00B44A74">
            <w:pPr>
              <w:pStyle w:val="TableHead"/>
              <w:spacing w:before="0" w:after="0"/>
              <w:rPr>
                <w:color w:val="000000" w:themeColor="text1"/>
              </w:rPr>
            </w:pPr>
            <w:r>
              <w:rPr>
                <w:color w:val="000000" w:themeColor="text1"/>
              </w:rPr>
              <w:t>Poison Classification</w:t>
            </w:r>
          </w:p>
        </w:tc>
        <w:tc>
          <w:tcPr>
            <w:tcW w:w="2551" w:type="pct"/>
            <w:tcBorders>
              <w:top w:val="single" w:sz="4" w:space="0" w:color="auto"/>
              <w:left w:val="single" w:sz="4" w:space="0" w:color="auto"/>
              <w:bottom w:val="single" w:sz="4" w:space="0" w:color="auto"/>
              <w:right w:val="single" w:sz="4" w:space="0" w:color="auto"/>
            </w:tcBorders>
            <w:shd w:val="clear" w:color="auto" w:fill="E6E6E6"/>
          </w:tcPr>
          <w:p w14:paraId="42D39BD1" w14:textId="77777777" w:rsidR="008E67EA" w:rsidRPr="00B251FC" w:rsidRDefault="008E67EA" w:rsidP="00B44A74">
            <w:pPr>
              <w:pStyle w:val="TableHead"/>
              <w:spacing w:before="0" w:after="0"/>
              <w:rPr>
                <w:color w:val="000000" w:themeColor="text1"/>
              </w:rPr>
            </w:pPr>
            <w:r>
              <w:rPr>
                <w:color w:val="000000" w:themeColor="text1"/>
              </w:rPr>
              <w:t>Description</w:t>
            </w:r>
          </w:p>
        </w:tc>
      </w:tr>
      <w:tr w:rsidR="008E67EA" w:rsidRPr="006B74D1" w14:paraId="544A47A5" w14:textId="77777777" w:rsidTr="00B44A74">
        <w:trPr>
          <w:cantSplit/>
        </w:trPr>
        <w:tc>
          <w:tcPr>
            <w:tcW w:w="5000" w:type="pct"/>
            <w:gridSpan w:val="3"/>
            <w:tcBorders>
              <w:top w:val="single" w:sz="4" w:space="0" w:color="auto"/>
              <w:left w:val="single" w:sz="4" w:space="0" w:color="auto"/>
              <w:bottom w:val="single" w:sz="4" w:space="0" w:color="auto"/>
              <w:right w:val="single" w:sz="4" w:space="0" w:color="auto"/>
            </w:tcBorders>
          </w:tcPr>
          <w:p w14:paraId="6084735B" w14:textId="77777777" w:rsidR="008E67EA" w:rsidRPr="00B251FC" w:rsidRDefault="008E67EA" w:rsidP="00B44A74">
            <w:pPr>
              <w:pStyle w:val="APVMATableText"/>
              <w:spacing w:before="0" w:after="0"/>
              <w:rPr>
                <w:i/>
                <w:iCs/>
                <w:color w:val="000000" w:themeColor="text1"/>
              </w:rPr>
            </w:pPr>
            <w:r w:rsidRPr="00B251FC">
              <w:rPr>
                <w:i/>
                <w:iCs/>
                <w:color w:val="000000" w:themeColor="text1"/>
              </w:rPr>
              <w:t>First generation anticoagulant rodenticides</w:t>
            </w:r>
          </w:p>
        </w:tc>
      </w:tr>
      <w:tr w:rsidR="008E67EA" w:rsidRPr="006B74D1" w14:paraId="1D7157EC" w14:textId="77777777" w:rsidTr="00B44A74">
        <w:trPr>
          <w:cantSplit/>
        </w:trPr>
        <w:tc>
          <w:tcPr>
            <w:tcW w:w="1027" w:type="pct"/>
            <w:tcBorders>
              <w:top w:val="single" w:sz="4" w:space="0" w:color="auto"/>
              <w:left w:val="single" w:sz="4" w:space="0" w:color="auto"/>
              <w:right w:val="single" w:sz="4" w:space="0" w:color="auto"/>
            </w:tcBorders>
          </w:tcPr>
          <w:p w14:paraId="40AB59C3" w14:textId="77777777" w:rsidR="008E67EA" w:rsidRPr="00B251FC" w:rsidRDefault="008E67EA" w:rsidP="00B44A74">
            <w:pPr>
              <w:pStyle w:val="APVMATableText"/>
              <w:spacing w:before="0" w:after="0"/>
              <w:rPr>
                <w:color w:val="000000" w:themeColor="text1"/>
              </w:rPr>
            </w:pPr>
            <w:r w:rsidRPr="00B251FC">
              <w:rPr>
                <w:color w:val="000000" w:themeColor="text1"/>
              </w:rPr>
              <w:t>Coumatetralyl</w:t>
            </w:r>
          </w:p>
        </w:tc>
        <w:tc>
          <w:tcPr>
            <w:tcW w:w="1422" w:type="pct"/>
            <w:tcBorders>
              <w:top w:val="single" w:sz="4" w:space="0" w:color="auto"/>
              <w:left w:val="single" w:sz="4" w:space="0" w:color="auto"/>
              <w:bottom w:val="single" w:sz="4" w:space="0" w:color="auto"/>
              <w:right w:val="single" w:sz="4" w:space="0" w:color="auto"/>
            </w:tcBorders>
          </w:tcPr>
          <w:p w14:paraId="089F58FF" w14:textId="77777777" w:rsidR="008E67EA" w:rsidRPr="00B251FC" w:rsidRDefault="008E67EA" w:rsidP="00B44A74">
            <w:pPr>
              <w:pStyle w:val="APVMATableText"/>
              <w:spacing w:before="0" w:after="0"/>
              <w:rPr>
                <w:color w:val="000000" w:themeColor="text1"/>
              </w:rPr>
            </w:pPr>
            <w:r>
              <w:rPr>
                <w:color w:val="000000" w:themeColor="text1"/>
              </w:rPr>
              <w:t>Schedule 5 – Caution</w:t>
            </w:r>
          </w:p>
        </w:tc>
        <w:tc>
          <w:tcPr>
            <w:tcW w:w="2551" w:type="pct"/>
            <w:tcBorders>
              <w:top w:val="single" w:sz="4" w:space="0" w:color="auto"/>
              <w:left w:val="single" w:sz="4" w:space="0" w:color="auto"/>
              <w:bottom w:val="single" w:sz="4" w:space="0" w:color="auto"/>
              <w:right w:val="single" w:sz="4" w:space="0" w:color="auto"/>
            </w:tcBorders>
          </w:tcPr>
          <w:p w14:paraId="6425E93B" w14:textId="77777777" w:rsidR="008E67EA" w:rsidRPr="00B251FC" w:rsidRDefault="008E67EA" w:rsidP="00B44A74">
            <w:pPr>
              <w:pStyle w:val="APVMATableText"/>
              <w:spacing w:before="0" w:after="0"/>
              <w:rPr>
                <w:color w:val="000000" w:themeColor="text1"/>
              </w:rPr>
            </w:pPr>
            <w:r w:rsidRPr="00A46813">
              <w:rPr>
                <w:color w:val="000000" w:themeColor="text1"/>
              </w:rPr>
              <w:t>COUMATETRALYL in rodenticides containing 0.05% or less of coumatetralyl.</w:t>
            </w:r>
          </w:p>
        </w:tc>
      </w:tr>
      <w:tr w:rsidR="008E67EA" w:rsidRPr="006B74D1" w14:paraId="512469F7" w14:textId="77777777" w:rsidTr="00B44A74">
        <w:trPr>
          <w:cantSplit/>
        </w:trPr>
        <w:tc>
          <w:tcPr>
            <w:tcW w:w="1027" w:type="pct"/>
            <w:tcBorders>
              <w:top w:val="single" w:sz="4" w:space="0" w:color="auto"/>
              <w:left w:val="single" w:sz="4" w:space="0" w:color="auto"/>
              <w:bottom w:val="single" w:sz="4" w:space="0" w:color="auto"/>
              <w:right w:val="single" w:sz="4" w:space="0" w:color="auto"/>
            </w:tcBorders>
          </w:tcPr>
          <w:p w14:paraId="2046CA42" w14:textId="77777777" w:rsidR="008E67EA" w:rsidRPr="00B251FC" w:rsidRDefault="008E67EA" w:rsidP="00B44A74">
            <w:pPr>
              <w:pStyle w:val="APVMATableText"/>
              <w:spacing w:before="0" w:after="0"/>
              <w:rPr>
                <w:color w:val="000000" w:themeColor="text1"/>
              </w:rPr>
            </w:pPr>
            <w:r w:rsidRPr="00B251FC">
              <w:rPr>
                <w:color w:val="000000" w:themeColor="text1"/>
              </w:rPr>
              <w:t>Diphacinone</w:t>
            </w:r>
          </w:p>
        </w:tc>
        <w:tc>
          <w:tcPr>
            <w:tcW w:w="1422" w:type="pct"/>
            <w:tcBorders>
              <w:top w:val="single" w:sz="4" w:space="0" w:color="auto"/>
              <w:left w:val="single" w:sz="4" w:space="0" w:color="auto"/>
              <w:bottom w:val="single" w:sz="4" w:space="0" w:color="auto"/>
              <w:right w:val="single" w:sz="4" w:space="0" w:color="auto"/>
            </w:tcBorders>
          </w:tcPr>
          <w:p w14:paraId="56CA116E" w14:textId="77777777" w:rsidR="008E67EA" w:rsidRPr="00B251FC" w:rsidRDefault="008E67EA" w:rsidP="00B44A74">
            <w:pPr>
              <w:pStyle w:val="APVMATableText"/>
              <w:spacing w:before="0" w:after="0"/>
              <w:rPr>
                <w:color w:val="000000" w:themeColor="text1"/>
              </w:rPr>
            </w:pPr>
            <w:r>
              <w:rPr>
                <w:color w:val="000000" w:themeColor="text1"/>
              </w:rPr>
              <w:t>Schedule 6 – Poisons</w:t>
            </w:r>
          </w:p>
        </w:tc>
        <w:tc>
          <w:tcPr>
            <w:tcW w:w="2551" w:type="pct"/>
            <w:tcBorders>
              <w:top w:val="single" w:sz="4" w:space="0" w:color="auto"/>
              <w:left w:val="single" w:sz="4" w:space="0" w:color="auto"/>
              <w:bottom w:val="single" w:sz="4" w:space="0" w:color="auto"/>
              <w:right w:val="single" w:sz="4" w:space="0" w:color="auto"/>
            </w:tcBorders>
          </w:tcPr>
          <w:p w14:paraId="210B7F6E" w14:textId="77777777" w:rsidR="008E67EA" w:rsidRPr="00B251FC" w:rsidRDefault="008E67EA" w:rsidP="00B44A74">
            <w:pPr>
              <w:pStyle w:val="APVMATableText"/>
              <w:spacing w:before="0" w:after="0"/>
              <w:rPr>
                <w:color w:val="000000" w:themeColor="text1"/>
              </w:rPr>
            </w:pPr>
            <w:r w:rsidRPr="00A46813">
              <w:rPr>
                <w:color w:val="000000" w:themeColor="text1"/>
              </w:rPr>
              <w:t>DIPHACINONE</w:t>
            </w:r>
          </w:p>
        </w:tc>
      </w:tr>
      <w:tr w:rsidR="008E67EA" w:rsidRPr="006B74D1" w14:paraId="5023D87B" w14:textId="77777777" w:rsidTr="00B44A74">
        <w:trPr>
          <w:cantSplit/>
        </w:trPr>
        <w:tc>
          <w:tcPr>
            <w:tcW w:w="5000" w:type="pct"/>
            <w:gridSpan w:val="3"/>
            <w:tcBorders>
              <w:top w:val="single" w:sz="4" w:space="0" w:color="auto"/>
              <w:left w:val="single" w:sz="4" w:space="0" w:color="auto"/>
              <w:bottom w:val="single" w:sz="4" w:space="0" w:color="auto"/>
              <w:right w:val="single" w:sz="4" w:space="0" w:color="auto"/>
            </w:tcBorders>
          </w:tcPr>
          <w:p w14:paraId="7D01FBBF" w14:textId="77777777" w:rsidR="008E67EA" w:rsidRPr="00B251FC" w:rsidRDefault="008E67EA" w:rsidP="00B44A74">
            <w:pPr>
              <w:pStyle w:val="APVMATableText"/>
              <w:spacing w:before="0" w:after="0"/>
              <w:rPr>
                <w:color w:val="000000" w:themeColor="text1"/>
              </w:rPr>
            </w:pPr>
            <w:r w:rsidRPr="00B251FC">
              <w:rPr>
                <w:i/>
                <w:iCs/>
                <w:color w:val="000000" w:themeColor="text1"/>
              </w:rPr>
              <w:t>Second generation anticoagulant rodenticides</w:t>
            </w:r>
          </w:p>
        </w:tc>
      </w:tr>
      <w:tr w:rsidR="008E67EA" w:rsidRPr="006B74D1" w14:paraId="2A4A15E3" w14:textId="77777777" w:rsidTr="00B44A74">
        <w:trPr>
          <w:cantSplit/>
        </w:trPr>
        <w:tc>
          <w:tcPr>
            <w:tcW w:w="1027" w:type="pct"/>
            <w:tcBorders>
              <w:top w:val="single" w:sz="4" w:space="0" w:color="auto"/>
              <w:left w:val="single" w:sz="4" w:space="0" w:color="auto"/>
              <w:bottom w:val="single" w:sz="4" w:space="0" w:color="auto"/>
              <w:right w:val="single" w:sz="4" w:space="0" w:color="auto"/>
            </w:tcBorders>
          </w:tcPr>
          <w:p w14:paraId="0A34B789" w14:textId="77777777" w:rsidR="008E67EA" w:rsidRPr="00B251FC" w:rsidRDefault="008E67EA" w:rsidP="00B44A74">
            <w:pPr>
              <w:pStyle w:val="APVMATableText"/>
              <w:spacing w:before="0" w:after="0"/>
              <w:rPr>
                <w:color w:val="000000" w:themeColor="text1"/>
              </w:rPr>
            </w:pPr>
            <w:r w:rsidRPr="00B251FC">
              <w:rPr>
                <w:color w:val="000000" w:themeColor="text1"/>
              </w:rPr>
              <w:t>Brodifacoum</w:t>
            </w:r>
          </w:p>
        </w:tc>
        <w:tc>
          <w:tcPr>
            <w:tcW w:w="1422" w:type="pct"/>
            <w:tcBorders>
              <w:top w:val="single" w:sz="4" w:space="0" w:color="auto"/>
              <w:left w:val="single" w:sz="4" w:space="0" w:color="auto"/>
              <w:bottom w:val="single" w:sz="4" w:space="0" w:color="auto"/>
              <w:right w:val="single" w:sz="4" w:space="0" w:color="auto"/>
            </w:tcBorders>
          </w:tcPr>
          <w:p w14:paraId="2371B5DF" w14:textId="77777777" w:rsidR="008E67EA" w:rsidRPr="00B251FC" w:rsidRDefault="008E67EA" w:rsidP="00B44A74">
            <w:pPr>
              <w:pStyle w:val="APVMATableText"/>
              <w:spacing w:before="0" w:after="0"/>
              <w:rPr>
                <w:color w:val="000000" w:themeColor="text1"/>
              </w:rPr>
            </w:pPr>
            <w:r>
              <w:rPr>
                <w:color w:val="000000" w:themeColor="text1"/>
              </w:rPr>
              <w:t>Schedule 6 – Poisons</w:t>
            </w:r>
          </w:p>
        </w:tc>
        <w:tc>
          <w:tcPr>
            <w:tcW w:w="2551" w:type="pct"/>
            <w:tcBorders>
              <w:top w:val="single" w:sz="4" w:space="0" w:color="auto"/>
              <w:left w:val="single" w:sz="4" w:space="0" w:color="auto"/>
              <w:bottom w:val="single" w:sz="4" w:space="0" w:color="auto"/>
              <w:right w:val="single" w:sz="4" w:space="0" w:color="auto"/>
            </w:tcBorders>
          </w:tcPr>
          <w:p w14:paraId="5C5B0134" w14:textId="77777777" w:rsidR="008E67EA" w:rsidRPr="00A46813" w:rsidRDefault="008E67EA" w:rsidP="00B44A74">
            <w:pPr>
              <w:pStyle w:val="APVMATableText"/>
              <w:spacing w:before="0" w:after="0"/>
              <w:rPr>
                <w:color w:val="000000" w:themeColor="text1"/>
              </w:rPr>
            </w:pPr>
            <w:r w:rsidRPr="00A46813">
              <w:rPr>
                <w:color w:val="000000" w:themeColor="text1"/>
              </w:rPr>
              <w:t>BRODIFACOUM in preparations containing 0.25% or less of brodifacoum.</w:t>
            </w:r>
          </w:p>
        </w:tc>
      </w:tr>
      <w:tr w:rsidR="008E67EA" w:rsidRPr="006B74D1" w14:paraId="015A0372" w14:textId="77777777" w:rsidTr="00B44A74">
        <w:trPr>
          <w:cantSplit/>
        </w:trPr>
        <w:tc>
          <w:tcPr>
            <w:tcW w:w="1027" w:type="pct"/>
            <w:tcBorders>
              <w:top w:val="single" w:sz="4" w:space="0" w:color="auto"/>
              <w:left w:val="single" w:sz="4" w:space="0" w:color="auto"/>
              <w:right w:val="single" w:sz="4" w:space="0" w:color="auto"/>
            </w:tcBorders>
          </w:tcPr>
          <w:p w14:paraId="773671D0" w14:textId="77777777" w:rsidR="008E67EA" w:rsidRPr="00B251FC" w:rsidRDefault="008E67EA" w:rsidP="00B44A74">
            <w:pPr>
              <w:pStyle w:val="APVMATableText"/>
              <w:spacing w:before="0" w:after="0"/>
              <w:rPr>
                <w:color w:val="000000" w:themeColor="text1"/>
              </w:rPr>
            </w:pPr>
            <w:r w:rsidRPr="00B251FC">
              <w:rPr>
                <w:color w:val="000000" w:themeColor="text1"/>
              </w:rPr>
              <w:t>Bromadiolone</w:t>
            </w:r>
          </w:p>
        </w:tc>
        <w:tc>
          <w:tcPr>
            <w:tcW w:w="1422" w:type="pct"/>
            <w:tcBorders>
              <w:top w:val="single" w:sz="4" w:space="0" w:color="auto"/>
              <w:left w:val="single" w:sz="4" w:space="0" w:color="auto"/>
              <w:bottom w:val="single" w:sz="4" w:space="0" w:color="auto"/>
              <w:right w:val="single" w:sz="4" w:space="0" w:color="auto"/>
            </w:tcBorders>
          </w:tcPr>
          <w:p w14:paraId="7EB93C48" w14:textId="77777777" w:rsidR="008E67EA" w:rsidRPr="00694C29" w:rsidRDefault="008E67EA" w:rsidP="00B44A74">
            <w:pPr>
              <w:pStyle w:val="APVMATableText"/>
              <w:spacing w:before="0" w:after="0"/>
              <w:rPr>
                <w:color w:val="000000" w:themeColor="text1"/>
              </w:rPr>
            </w:pPr>
            <w:r>
              <w:rPr>
                <w:color w:val="000000" w:themeColor="text1"/>
              </w:rPr>
              <w:t>Schedule 6 – Poisons</w:t>
            </w:r>
          </w:p>
        </w:tc>
        <w:tc>
          <w:tcPr>
            <w:tcW w:w="2551" w:type="pct"/>
            <w:tcBorders>
              <w:top w:val="single" w:sz="4" w:space="0" w:color="auto"/>
              <w:left w:val="single" w:sz="4" w:space="0" w:color="auto"/>
              <w:bottom w:val="single" w:sz="4" w:space="0" w:color="auto"/>
              <w:right w:val="single" w:sz="4" w:space="0" w:color="auto"/>
            </w:tcBorders>
          </w:tcPr>
          <w:p w14:paraId="234AA2F3" w14:textId="77777777" w:rsidR="008E67EA" w:rsidRPr="00A46813" w:rsidRDefault="008E67EA" w:rsidP="00B44A74">
            <w:pPr>
              <w:pStyle w:val="APVMATableText"/>
              <w:spacing w:before="0" w:after="0"/>
              <w:rPr>
                <w:color w:val="000000" w:themeColor="text1"/>
              </w:rPr>
            </w:pPr>
            <w:r w:rsidRPr="00A46813">
              <w:rPr>
                <w:color w:val="000000" w:themeColor="text1"/>
              </w:rPr>
              <w:t>BROMADIOLONE in preparations containing 0.25% or less of bromadiolone.</w:t>
            </w:r>
          </w:p>
        </w:tc>
      </w:tr>
      <w:tr w:rsidR="008E67EA" w:rsidRPr="006B74D1" w14:paraId="69D703C8" w14:textId="77777777" w:rsidTr="00B44A74">
        <w:trPr>
          <w:cantSplit/>
        </w:trPr>
        <w:tc>
          <w:tcPr>
            <w:tcW w:w="1027" w:type="pct"/>
            <w:tcBorders>
              <w:top w:val="single" w:sz="4" w:space="0" w:color="auto"/>
              <w:left w:val="single" w:sz="4" w:space="0" w:color="auto"/>
              <w:right w:val="single" w:sz="4" w:space="0" w:color="auto"/>
            </w:tcBorders>
          </w:tcPr>
          <w:p w14:paraId="7542E49B" w14:textId="77777777" w:rsidR="008E67EA" w:rsidRPr="00B251FC" w:rsidRDefault="008E67EA" w:rsidP="00B44A74">
            <w:pPr>
              <w:pStyle w:val="APVMATableText"/>
              <w:spacing w:before="0" w:after="0"/>
              <w:rPr>
                <w:color w:val="000000" w:themeColor="text1"/>
              </w:rPr>
            </w:pPr>
            <w:r w:rsidRPr="00B251FC">
              <w:rPr>
                <w:color w:val="000000" w:themeColor="text1"/>
              </w:rPr>
              <w:t>Difenacoum</w:t>
            </w:r>
          </w:p>
        </w:tc>
        <w:tc>
          <w:tcPr>
            <w:tcW w:w="1422" w:type="pct"/>
            <w:tcBorders>
              <w:top w:val="single" w:sz="4" w:space="0" w:color="auto"/>
              <w:left w:val="single" w:sz="4" w:space="0" w:color="auto"/>
              <w:bottom w:val="single" w:sz="4" w:space="0" w:color="auto"/>
              <w:right w:val="single" w:sz="4" w:space="0" w:color="auto"/>
            </w:tcBorders>
          </w:tcPr>
          <w:p w14:paraId="2249175B" w14:textId="77777777" w:rsidR="008E67EA" w:rsidRPr="00B251FC" w:rsidRDefault="008E67EA" w:rsidP="00B44A74">
            <w:pPr>
              <w:pStyle w:val="APVMATableText"/>
              <w:spacing w:before="0" w:after="0"/>
              <w:rPr>
                <w:color w:val="000000" w:themeColor="text1"/>
              </w:rPr>
            </w:pPr>
            <w:r>
              <w:rPr>
                <w:color w:val="000000" w:themeColor="text1"/>
              </w:rPr>
              <w:t>Schedule 6 – Poisons</w:t>
            </w:r>
          </w:p>
        </w:tc>
        <w:tc>
          <w:tcPr>
            <w:tcW w:w="2551" w:type="pct"/>
            <w:tcBorders>
              <w:top w:val="single" w:sz="4" w:space="0" w:color="auto"/>
              <w:left w:val="single" w:sz="4" w:space="0" w:color="auto"/>
              <w:bottom w:val="single" w:sz="4" w:space="0" w:color="auto"/>
              <w:right w:val="single" w:sz="4" w:space="0" w:color="auto"/>
            </w:tcBorders>
          </w:tcPr>
          <w:p w14:paraId="6911C59D" w14:textId="77777777" w:rsidR="008E67EA" w:rsidRPr="00B251FC" w:rsidRDefault="008E67EA" w:rsidP="00B44A74">
            <w:pPr>
              <w:pStyle w:val="APVMATableText"/>
              <w:spacing w:before="0" w:after="0"/>
              <w:rPr>
                <w:color w:val="000000" w:themeColor="text1"/>
              </w:rPr>
            </w:pPr>
            <w:r w:rsidRPr="00A46813">
              <w:rPr>
                <w:color w:val="000000" w:themeColor="text1"/>
              </w:rPr>
              <w:t>DIFENACOUM in preparations containing 0.25% or less of difenacoum.</w:t>
            </w:r>
          </w:p>
        </w:tc>
      </w:tr>
      <w:tr w:rsidR="008E67EA" w:rsidRPr="006B74D1" w14:paraId="6049F7C3" w14:textId="77777777" w:rsidTr="00B44A74">
        <w:trPr>
          <w:cantSplit/>
        </w:trPr>
        <w:tc>
          <w:tcPr>
            <w:tcW w:w="1027" w:type="pct"/>
            <w:tcBorders>
              <w:top w:val="single" w:sz="4" w:space="0" w:color="auto"/>
              <w:left w:val="single" w:sz="4" w:space="0" w:color="auto"/>
              <w:bottom w:val="single" w:sz="4" w:space="0" w:color="auto"/>
              <w:right w:val="single" w:sz="4" w:space="0" w:color="auto"/>
            </w:tcBorders>
          </w:tcPr>
          <w:p w14:paraId="78B8F123" w14:textId="77777777" w:rsidR="008E67EA" w:rsidRPr="00B251FC" w:rsidRDefault="008E67EA" w:rsidP="00B44A74">
            <w:pPr>
              <w:pStyle w:val="APVMATableText"/>
              <w:spacing w:before="0" w:after="0"/>
              <w:rPr>
                <w:color w:val="000000" w:themeColor="text1"/>
              </w:rPr>
            </w:pPr>
            <w:r w:rsidRPr="00B251FC">
              <w:rPr>
                <w:color w:val="000000" w:themeColor="text1"/>
              </w:rPr>
              <w:t>Difethialone</w:t>
            </w:r>
          </w:p>
        </w:tc>
        <w:tc>
          <w:tcPr>
            <w:tcW w:w="1422" w:type="pct"/>
            <w:tcBorders>
              <w:top w:val="single" w:sz="4" w:space="0" w:color="auto"/>
              <w:left w:val="single" w:sz="4" w:space="0" w:color="auto"/>
              <w:bottom w:val="single" w:sz="4" w:space="0" w:color="auto"/>
              <w:right w:val="single" w:sz="4" w:space="0" w:color="auto"/>
            </w:tcBorders>
          </w:tcPr>
          <w:p w14:paraId="6A07B19D" w14:textId="77777777" w:rsidR="008E67EA" w:rsidRPr="00B251FC" w:rsidRDefault="008E67EA" w:rsidP="00B44A74">
            <w:pPr>
              <w:pStyle w:val="APVMATableText"/>
              <w:spacing w:before="0" w:after="0"/>
              <w:rPr>
                <w:color w:val="000000" w:themeColor="text1"/>
              </w:rPr>
            </w:pPr>
            <w:r>
              <w:rPr>
                <w:color w:val="000000" w:themeColor="text1"/>
              </w:rPr>
              <w:t>Schedule 6 – Poisons</w:t>
            </w:r>
          </w:p>
        </w:tc>
        <w:tc>
          <w:tcPr>
            <w:tcW w:w="2551" w:type="pct"/>
            <w:tcBorders>
              <w:top w:val="single" w:sz="4" w:space="0" w:color="auto"/>
              <w:left w:val="single" w:sz="4" w:space="0" w:color="auto"/>
              <w:bottom w:val="single" w:sz="4" w:space="0" w:color="auto"/>
              <w:right w:val="single" w:sz="4" w:space="0" w:color="auto"/>
            </w:tcBorders>
          </w:tcPr>
          <w:p w14:paraId="4435D570" w14:textId="77777777" w:rsidR="008E67EA" w:rsidRPr="00A46813" w:rsidRDefault="008E67EA" w:rsidP="00B44A74">
            <w:pPr>
              <w:pStyle w:val="APVMATableText"/>
              <w:spacing w:before="0" w:after="0"/>
              <w:rPr>
                <w:color w:val="000000" w:themeColor="text1"/>
              </w:rPr>
            </w:pPr>
            <w:r w:rsidRPr="00A46813">
              <w:rPr>
                <w:color w:val="000000" w:themeColor="text1"/>
              </w:rPr>
              <w:t>DIFETHIALONE in rodent baits containing 0.0025% or less of difethialone.</w:t>
            </w:r>
          </w:p>
        </w:tc>
      </w:tr>
      <w:tr w:rsidR="008E67EA" w:rsidRPr="006B74D1" w14:paraId="4FE86BFB" w14:textId="77777777" w:rsidTr="00B44A74">
        <w:trPr>
          <w:cantSplit/>
        </w:trPr>
        <w:tc>
          <w:tcPr>
            <w:tcW w:w="1027" w:type="pct"/>
            <w:tcBorders>
              <w:top w:val="single" w:sz="4" w:space="0" w:color="auto"/>
              <w:left w:val="single" w:sz="4" w:space="0" w:color="auto"/>
              <w:bottom w:val="single" w:sz="4" w:space="0" w:color="auto"/>
              <w:right w:val="single" w:sz="4" w:space="0" w:color="auto"/>
            </w:tcBorders>
          </w:tcPr>
          <w:p w14:paraId="10B2D806" w14:textId="77777777" w:rsidR="008E67EA" w:rsidRPr="00B251FC" w:rsidRDefault="008E67EA" w:rsidP="00B44A74">
            <w:pPr>
              <w:pStyle w:val="APVMATableText"/>
              <w:spacing w:before="0" w:after="0"/>
              <w:rPr>
                <w:color w:val="000000" w:themeColor="text1"/>
              </w:rPr>
            </w:pPr>
            <w:r w:rsidRPr="00B251FC">
              <w:rPr>
                <w:color w:val="000000" w:themeColor="text1"/>
              </w:rPr>
              <w:t>Flocoumafen</w:t>
            </w:r>
          </w:p>
        </w:tc>
        <w:tc>
          <w:tcPr>
            <w:tcW w:w="1422" w:type="pct"/>
            <w:tcBorders>
              <w:top w:val="single" w:sz="4" w:space="0" w:color="auto"/>
              <w:left w:val="single" w:sz="4" w:space="0" w:color="auto"/>
              <w:bottom w:val="single" w:sz="4" w:space="0" w:color="auto"/>
              <w:right w:val="single" w:sz="4" w:space="0" w:color="auto"/>
            </w:tcBorders>
          </w:tcPr>
          <w:p w14:paraId="38160C09" w14:textId="77777777" w:rsidR="008E67EA" w:rsidRPr="00B251FC" w:rsidRDefault="008E67EA" w:rsidP="00B44A74">
            <w:pPr>
              <w:pStyle w:val="APVMATableText"/>
              <w:spacing w:before="0" w:after="0"/>
              <w:rPr>
                <w:color w:val="000000" w:themeColor="text1"/>
              </w:rPr>
            </w:pPr>
            <w:r>
              <w:rPr>
                <w:color w:val="000000" w:themeColor="text1"/>
              </w:rPr>
              <w:t>Schedule 6 – Poisons</w:t>
            </w:r>
          </w:p>
        </w:tc>
        <w:tc>
          <w:tcPr>
            <w:tcW w:w="2551" w:type="pct"/>
            <w:tcBorders>
              <w:top w:val="single" w:sz="4" w:space="0" w:color="auto"/>
              <w:left w:val="single" w:sz="4" w:space="0" w:color="auto"/>
              <w:bottom w:val="single" w:sz="4" w:space="0" w:color="auto"/>
              <w:right w:val="single" w:sz="4" w:space="0" w:color="auto"/>
            </w:tcBorders>
          </w:tcPr>
          <w:p w14:paraId="40D89567" w14:textId="77777777" w:rsidR="008E67EA" w:rsidRPr="00B251FC" w:rsidRDefault="008E67EA" w:rsidP="00B44A74">
            <w:pPr>
              <w:pStyle w:val="APVMATableText"/>
              <w:spacing w:before="0" w:after="0"/>
              <w:rPr>
                <w:color w:val="000000" w:themeColor="text1"/>
              </w:rPr>
            </w:pPr>
            <w:r w:rsidRPr="00A46813">
              <w:rPr>
                <w:color w:val="000000" w:themeColor="text1"/>
              </w:rPr>
              <w:t>FLOCOUMAFEN in preparations containing 0.005% or less of flocoumafen.</w:t>
            </w:r>
          </w:p>
        </w:tc>
      </w:tr>
    </w:tbl>
    <w:p w14:paraId="228354AD" w14:textId="77777777" w:rsidR="008E67EA" w:rsidRPr="00A46813" w:rsidRDefault="008E67EA" w:rsidP="008E67EA">
      <w:pPr>
        <w:pStyle w:val="StatementofReasonsHeading4"/>
        <w:ind w:firstLine="567"/>
        <w:rPr>
          <w:i/>
          <w:iCs/>
          <w:color w:val="000000" w:themeColor="text1"/>
        </w:rPr>
      </w:pPr>
      <w:r w:rsidRPr="00A46813">
        <w:rPr>
          <w:i/>
          <w:iCs/>
          <w:color w:val="000000" w:themeColor="text1"/>
        </w:rPr>
        <w:t>First aid instructions</w:t>
      </w:r>
    </w:p>
    <w:p w14:paraId="2354382E" w14:textId="00A1AF96" w:rsidR="008E67EA" w:rsidRPr="00F36C15" w:rsidRDefault="008E67EA">
      <w:pPr>
        <w:pStyle w:val="NumberLevel1"/>
        <w:numPr>
          <w:ilvl w:val="0"/>
          <w:numId w:val="17"/>
        </w:numPr>
        <w:tabs>
          <w:tab w:val="clear" w:pos="709"/>
          <w:tab w:val="num" w:pos="2553"/>
        </w:tabs>
        <w:rPr>
          <w:color w:val="000000" w:themeColor="text1"/>
        </w:rPr>
      </w:pPr>
      <w:bookmarkStart w:id="221" w:name="_Ref205884961"/>
      <w:r w:rsidRPr="00F36C15">
        <w:rPr>
          <w:color w:val="000000" w:themeColor="text1"/>
        </w:rPr>
        <w:t>First aid instructions specify the initial action to be taken to counteract the effects of exposure to a chemical product, based on the intrinsic hazards of the constituents contained</w:t>
      </w:r>
      <w:r>
        <w:rPr>
          <w:color w:val="000000" w:themeColor="text1"/>
        </w:rPr>
        <w:t xml:space="preserve"> within the</w:t>
      </w:r>
      <w:r w:rsidRPr="00F36C15">
        <w:rPr>
          <w:color w:val="000000" w:themeColor="text1"/>
        </w:rPr>
        <w:t xml:space="preserve"> </w:t>
      </w:r>
      <w:r>
        <w:rPr>
          <w:color w:val="000000" w:themeColor="text1"/>
        </w:rPr>
        <w:t xml:space="preserve">formulated </w:t>
      </w:r>
      <w:r w:rsidRPr="00F36C15">
        <w:rPr>
          <w:color w:val="000000" w:themeColor="text1"/>
        </w:rPr>
        <w:t>chemical product</w:t>
      </w:r>
      <w:r>
        <w:rPr>
          <w:color w:val="000000" w:themeColor="text1"/>
        </w:rPr>
        <w:t>s</w:t>
      </w:r>
      <w:r w:rsidRPr="00F36C15">
        <w:rPr>
          <w:color w:val="000000" w:themeColor="text1"/>
        </w:rPr>
        <w:t xml:space="preserve">. </w:t>
      </w:r>
      <w:r>
        <w:rPr>
          <w:color w:val="000000" w:themeColor="text1"/>
        </w:rPr>
        <w:t>B</w:t>
      </w:r>
      <w:r w:rsidRPr="00F36C15">
        <w:rPr>
          <w:color w:val="000000" w:themeColor="text1"/>
        </w:rPr>
        <w:t xml:space="preserve">ased </w:t>
      </w:r>
      <w:r w:rsidRPr="00D869C6">
        <w:rPr>
          <w:color w:val="000000" w:themeColor="text1"/>
        </w:rPr>
        <w:t>on my review and consideration o</w:t>
      </w:r>
      <w:r>
        <w:rPr>
          <w:color w:val="000000" w:themeColor="text1"/>
        </w:rPr>
        <w:t xml:space="preserve">f </w:t>
      </w:r>
      <w:r w:rsidRPr="00F36C15">
        <w:rPr>
          <w:color w:val="000000" w:themeColor="text1"/>
        </w:rPr>
        <w:t xml:space="preserve">the recommendation in section </w:t>
      </w:r>
      <w:r w:rsidRPr="00175F2F">
        <w:rPr>
          <w:i/>
          <w:iCs/>
          <w:color w:val="000000" w:themeColor="text1"/>
        </w:rPr>
        <w:t>‘4.9.1 First Aid Instructions’</w:t>
      </w:r>
      <w:r>
        <w:rPr>
          <w:color w:val="000000" w:themeColor="text1"/>
        </w:rPr>
        <w:t xml:space="preserve"> </w:t>
      </w:r>
      <w:r w:rsidRPr="00F36C15">
        <w:rPr>
          <w:color w:val="000000" w:themeColor="text1"/>
        </w:rPr>
        <w:t xml:space="preserve">of the </w:t>
      </w:r>
      <w:r w:rsidRPr="00F36C15">
        <w:rPr>
          <w:i/>
          <w:iCs/>
          <w:color w:val="000000" w:themeColor="text1"/>
        </w:rPr>
        <w:t>Anticoagulant Rodenticides Review Technical Repo</w:t>
      </w:r>
      <w:r w:rsidRPr="00D869C6">
        <w:rPr>
          <w:i/>
          <w:iCs/>
          <w:color w:val="000000" w:themeColor="text1"/>
        </w:rPr>
        <w:t xml:space="preserve">rt, </w:t>
      </w:r>
      <w:r w:rsidRPr="00D869C6">
        <w:rPr>
          <w:color w:val="000000" w:themeColor="text1"/>
        </w:rPr>
        <w:t>I consider</w:t>
      </w:r>
      <w:r w:rsidRPr="00F36C15">
        <w:rPr>
          <w:color w:val="000000" w:themeColor="text1"/>
        </w:rPr>
        <w:t xml:space="preserve"> that the first aid instructions </w:t>
      </w:r>
      <w:r w:rsidRPr="00F36C15">
        <w:rPr>
          <w:b/>
          <w:bCs/>
          <w:i/>
          <w:iCs/>
          <w:color w:val="000000" w:themeColor="text1"/>
        </w:rPr>
        <w:t xml:space="preserve">‘If poisoning occurs, contact a doctor or Poisons Information Centre. Phone Australia 13 11 26, New Zealand 0800 764 766. Vitamin K1 (Phytomenadione) is antidotal.’ </w:t>
      </w:r>
      <w:r w:rsidRPr="00F36C15">
        <w:rPr>
          <w:color w:val="000000" w:themeColor="text1"/>
        </w:rPr>
        <w:t xml:space="preserve">are required </w:t>
      </w:r>
      <w:r>
        <w:rPr>
          <w:color w:val="000000" w:themeColor="text1"/>
        </w:rPr>
        <w:t xml:space="preserve">in the instructions for use of </w:t>
      </w:r>
      <w:r w:rsidRPr="00F36C15">
        <w:rPr>
          <w:color w:val="000000" w:themeColor="text1"/>
        </w:rPr>
        <w:t>all anticoagulant rodenticides chemical products listed in Attachment A of this notice</w:t>
      </w:r>
      <w:r>
        <w:rPr>
          <w:color w:val="000000" w:themeColor="text1"/>
        </w:rPr>
        <w:t>.</w:t>
      </w:r>
      <w:bookmarkEnd w:id="221"/>
    </w:p>
    <w:p w14:paraId="70FC138D" w14:textId="77777777" w:rsidR="008E67EA" w:rsidRDefault="008E67EA" w:rsidP="008E67EA">
      <w:pPr>
        <w:pStyle w:val="StatementofReasonsHeading4"/>
      </w:pPr>
      <w:r>
        <w:t xml:space="preserve">Occupational and non-professional user safety </w:t>
      </w:r>
    </w:p>
    <w:p w14:paraId="1186F612" w14:textId="55D9C816" w:rsidR="008E67EA" w:rsidRDefault="008E67EA">
      <w:pPr>
        <w:pStyle w:val="NumberLevel1"/>
        <w:numPr>
          <w:ilvl w:val="0"/>
          <w:numId w:val="17"/>
        </w:numPr>
        <w:tabs>
          <w:tab w:val="clear" w:pos="709"/>
          <w:tab w:val="num" w:pos="2553"/>
        </w:tabs>
        <w:rPr>
          <w:color w:val="000000" w:themeColor="text1"/>
        </w:rPr>
      </w:pPr>
      <w:r>
        <w:rPr>
          <w:color w:val="000000" w:themeColor="text1"/>
        </w:rPr>
        <w:lastRenderedPageBreak/>
        <w:t>The use of ready-to-use anticoagulant rodenticide chemical products may result in exposure of professional (occupational) and non-professional users during product application and re-handling activities, such as bait clean-up operations and removal and disposal of rodent carcasses.</w:t>
      </w:r>
    </w:p>
    <w:p w14:paraId="019ACF1C" w14:textId="77777777" w:rsidR="008E67EA" w:rsidRPr="0002361A" w:rsidRDefault="008E67EA" w:rsidP="008E67EA">
      <w:pPr>
        <w:pStyle w:val="StatementofReasonsHeading4"/>
        <w:rPr>
          <w:i/>
          <w:iCs/>
        </w:rPr>
      </w:pPr>
      <w:r w:rsidRPr="0002361A">
        <w:rPr>
          <w:i/>
          <w:iCs/>
        </w:rPr>
        <w:tab/>
      </w:r>
      <w:r w:rsidRPr="0002361A">
        <w:rPr>
          <w:i/>
          <w:iCs/>
        </w:rPr>
        <w:tab/>
      </w:r>
      <w:bookmarkStart w:id="222" w:name="_Hlk203989382"/>
      <w:r w:rsidRPr="0002361A">
        <w:rPr>
          <w:i/>
          <w:iCs/>
        </w:rPr>
        <w:t>Occupational user</w:t>
      </w:r>
      <w:r>
        <w:rPr>
          <w:i/>
          <w:iCs/>
        </w:rPr>
        <w:t>s</w:t>
      </w:r>
      <w:r w:rsidRPr="0002361A">
        <w:rPr>
          <w:i/>
          <w:iCs/>
        </w:rPr>
        <w:t xml:space="preserve"> </w:t>
      </w:r>
      <w:r>
        <w:rPr>
          <w:i/>
          <w:iCs/>
        </w:rPr>
        <w:t>– product application</w:t>
      </w:r>
      <w:bookmarkEnd w:id="222"/>
    </w:p>
    <w:p w14:paraId="2B080BFD" w14:textId="77777777" w:rsidR="008E67EA" w:rsidRPr="000D522C" w:rsidRDefault="008E67EA">
      <w:pPr>
        <w:pStyle w:val="NumberLevel1"/>
        <w:numPr>
          <w:ilvl w:val="0"/>
          <w:numId w:val="17"/>
        </w:numPr>
        <w:tabs>
          <w:tab w:val="clear" w:pos="709"/>
          <w:tab w:val="num" w:pos="2553"/>
        </w:tabs>
        <w:rPr>
          <w:color w:val="000000" w:themeColor="text1"/>
        </w:rPr>
      </w:pPr>
      <w:bookmarkStart w:id="223" w:name="_Ref213489189"/>
      <w:r>
        <w:t xml:space="preserve">In relation to </w:t>
      </w:r>
      <w:r w:rsidRPr="000B1FE7">
        <w:t xml:space="preserve">chemical products containing </w:t>
      </w:r>
      <w:r>
        <w:t xml:space="preserve">the </w:t>
      </w:r>
      <w:r w:rsidRPr="00DF28BD">
        <w:t>relevant active constituent</w:t>
      </w:r>
      <w:r w:rsidRPr="00D869C6">
        <w:t>s, I note a</w:t>
      </w:r>
      <w:r>
        <w:t xml:space="preserve"> first-tier risk characterisation</w:t>
      </w:r>
      <w:r w:rsidRPr="000B1FE7">
        <w:t xml:space="preserve"> </w:t>
      </w:r>
      <w:r>
        <w:t>was conducted to assess th</w:t>
      </w:r>
      <w:r w:rsidRPr="000B1FE7">
        <w:t>e risks posed to occupational users from application of</w:t>
      </w:r>
      <w:r>
        <w:t xml:space="preserve"> ready-to-use baits. Based on my review of </w:t>
      </w:r>
      <w:r w:rsidRPr="0062305B">
        <w:t xml:space="preserve">the </w:t>
      </w:r>
      <w:r>
        <w:t xml:space="preserve">risk assessment parameters summarised in sections </w:t>
      </w:r>
      <w:r w:rsidRPr="00175F2F">
        <w:rPr>
          <w:i/>
          <w:iCs/>
        </w:rPr>
        <w:t>‘4.5 Exposure and Risk Assessment</w:t>
      </w:r>
      <w:r>
        <w:rPr>
          <w:i/>
          <w:iCs/>
        </w:rPr>
        <w:t>’</w:t>
      </w:r>
      <w:r w:rsidRPr="00175F2F">
        <w:rPr>
          <w:i/>
          <w:iCs/>
        </w:rPr>
        <w:t xml:space="preserve"> </w:t>
      </w:r>
      <w:r>
        <w:t xml:space="preserve">and </w:t>
      </w:r>
      <w:r w:rsidRPr="00175F2F">
        <w:rPr>
          <w:i/>
          <w:iCs/>
        </w:rPr>
        <w:t>‘4.7 Basic parameters used in the exposure assessments and risk characterisations’</w:t>
      </w:r>
      <w:r w:rsidRPr="00175F2F">
        <w:rPr>
          <w:i/>
          <w:iCs/>
          <w:color w:val="000000" w:themeColor="text1"/>
        </w:rPr>
        <w:t xml:space="preserve"> </w:t>
      </w:r>
      <w:r>
        <w:rPr>
          <w:color w:val="000000" w:themeColor="text1"/>
        </w:rPr>
        <w:t>of</w:t>
      </w:r>
      <w:r w:rsidRPr="000D522C">
        <w:rPr>
          <w:color w:val="000000" w:themeColor="text1"/>
        </w:rPr>
        <w:t xml:space="preserve"> the </w:t>
      </w:r>
      <w:r w:rsidRPr="000D522C">
        <w:rPr>
          <w:i/>
          <w:iCs/>
          <w:color w:val="000000" w:themeColor="text1"/>
        </w:rPr>
        <w:t>Anticoagulant Rodenticides Review Technical Report</w:t>
      </w:r>
      <w:r w:rsidRPr="000D522C">
        <w:rPr>
          <w:color w:val="000000" w:themeColor="text1"/>
        </w:rPr>
        <w:t>, I also note that this first-tier risk characterisation considered application at the highest currently approved application rate for each anticoagulant rodenticide and, in the absence of any user exposure studies for the use of anticoagulant rodenticide chemical products, used the United States Environmental Protection Agency (US EPA) Occupational Pesticide Handler Exposure Calculator (OPHEC).</w:t>
      </w:r>
      <w:bookmarkEnd w:id="223"/>
    </w:p>
    <w:p w14:paraId="6EC09FD5" w14:textId="77777777" w:rsidR="008E67EA" w:rsidRPr="00D869C6" w:rsidRDefault="008E67EA">
      <w:pPr>
        <w:pStyle w:val="NumberLevel1"/>
        <w:numPr>
          <w:ilvl w:val="0"/>
          <w:numId w:val="17"/>
        </w:numPr>
        <w:tabs>
          <w:tab w:val="clear" w:pos="709"/>
          <w:tab w:val="num" w:pos="2553"/>
        </w:tabs>
        <w:rPr>
          <w:color w:val="000000" w:themeColor="text1"/>
        </w:rPr>
      </w:pPr>
      <w:r w:rsidRPr="00D869C6">
        <w:t>Based on my review and consideration of</w:t>
      </w:r>
      <w:r w:rsidRPr="0062305B">
        <w:t xml:space="preserve"> the assessment of </w:t>
      </w:r>
      <w:r>
        <w:t xml:space="preserve">available </w:t>
      </w:r>
      <w:r w:rsidRPr="0062305B">
        <w:t>toxicity studie</w:t>
      </w:r>
      <w:r>
        <w:t xml:space="preserve">s for the relevant active constituents summarised </w:t>
      </w:r>
      <w:r w:rsidRPr="0062305B">
        <w:t xml:space="preserve">in </w:t>
      </w:r>
      <w:r>
        <w:t xml:space="preserve">section </w:t>
      </w:r>
      <w:r w:rsidRPr="006B5FF8">
        <w:rPr>
          <w:i/>
          <w:iCs/>
        </w:rPr>
        <w:t>‘4.5 Exposure and Risk Assessment</w:t>
      </w:r>
      <w:r>
        <w:rPr>
          <w:i/>
          <w:iCs/>
        </w:rPr>
        <w:t>’</w:t>
      </w:r>
      <w:r w:rsidRPr="006B5FF8">
        <w:rPr>
          <w:i/>
          <w:iCs/>
        </w:rPr>
        <w:t xml:space="preserve"> </w:t>
      </w:r>
      <w:r w:rsidRPr="0062305B">
        <w:rPr>
          <w:color w:val="000000" w:themeColor="text1"/>
        </w:rPr>
        <w:t xml:space="preserve">of the </w:t>
      </w:r>
      <w:r w:rsidRPr="0062305B">
        <w:rPr>
          <w:i/>
          <w:iCs/>
          <w:color w:val="000000" w:themeColor="text1"/>
        </w:rPr>
        <w:t>Anticoagulant Rodenticides Review Technic</w:t>
      </w:r>
      <w:r w:rsidRPr="00D869C6">
        <w:rPr>
          <w:i/>
          <w:iCs/>
          <w:color w:val="000000" w:themeColor="text1"/>
        </w:rPr>
        <w:t>al Report</w:t>
      </w:r>
      <w:r w:rsidRPr="00D869C6">
        <w:rPr>
          <w:color w:val="000000" w:themeColor="text1"/>
        </w:rPr>
        <w:t>:</w:t>
      </w:r>
    </w:p>
    <w:p w14:paraId="6EC09930" w14:textId="012065C4" w:rsidR="008E67EA" w:rsidRPr="00D869C6" w:rsidRDefault="008E67EA">
      <w:pPr>
        <w:pStyle w:val="NumberLevel2"/>
        <w:numPr>
          <w:ilvl w:val="1"/>
          <w:numId w:val="17"/>
        </w:numPr>
        <w:ind w:left="1134"/>
      </w:pPr>
      <w:bookmarkStart w:id="224" w:name="_Ref202965442"/>
      <w:r w:rsidRPr="00D869C6">
        <w:t xml:space="preserve">I find that the points of departure listed in </w:t>
      </w:r>
      <w:r w:rsidRPr="00D869C6">
        <w:fldChar w:fldCharType="begin"/>
      </w:r>
      <w:r w:rsidRPr="00D869C6">
        <w:instrText xml:space="preserve"> REF _Ref202888586 \h </w:instrText>
      </w:r>
      <w:r>
        <w:instrText xml:space="preserve"> \* MERGEFORMAT </w:instrText>
      </w:r>
      <w:r w:rsidRPr="00D869C6">
        <w:fldChar w:fldCharType="separate"/>
      </w:r>
      <w:r w:rsidR="002C0C2A" w:rsidRPr="00D869C6">
        <w:t xml:space="preserve">Table </w:t>
      </w:r>
      <w:r w:rsidR="002C0C2A">
        <w:rPr>
          <w:noProof/>
        </w:rPr>
        <w:t>11</w:t>
      </w:r>
      <w:r w:rsidRPr="00D869C6">
        <w:fldChar w:fldCharType="end"/>
      </w:r>
      <w:r w:rsidRPr="00D869C6">
        <w:t xml:space="preserve"> are appropriate to assess the effects of repeat exposure to occupational users. I note that these points of departure are based on the most appropriate no observed adverse effect level (NOAEL) or lowest observed adverse effect level (LOAEL) in the limited toxicology database available, based on the criteria that the point of departure is protective of the effects seen in all repeat-dose studies in the database and that it is relevant to the potential effects in humans.</w:t>
      </w:r>
      <w:bookmarkEnd w:id="224"/>
    </w:p>
    <w:p w14:paraId="6DC1B0C2" w14:textId="77777777" w:rsidR="008E67EA" w:rsidRPr="00D869C6" w:rsidRDefault="008E67EA">
      <w:pPr>
        <w:pStyle w:val="NumberLevel2"/>
        <w:numPr>
          <w:ilvl w:val="1"/>
          <w:numId w:val="17"/>
        </w:numPr>
        <w:ind w:left="1134"/>
      </w:pPr>
      <w:r w:rsidRPr="00D869C6">
        <w:t xml:space="preserve">I find that a margin of exposure of 1000 is appropriate to assess the risks to occupational users, based on a standard 10-fold uncertainty (UF) for inter-species extrapolation, a standard 10-fold UF for intra-species differences in susceptibility to effects, and an additional 10-fold UF to account for the lack of chronic toxicity studies in the toxicology databases. As such, I consider that a margin of exposure of greater than or equal to 1000 calculated using the US EPA OPHEC model represents a safe level of exposure for occupational users. </w:t>
      </w:r>
    </w:p>
    <w:p w14:paraId="3AA6F917" w14:textId="70A4B0B5" w:rsidR="008E67EA" w:rsidRPr="00D869C6" w:rsidRDefault="008E67EA" w:rsidP="00B33ED7">
      <w:pPr>
        <w:pStyle w:val="Caption"/>
        <w:ind w:left="567"/>
      </w:pPr>
      <w:bookmarkStart w:id="225" w:name="_Ref202888586"/>
      <w:r w:rsidRPr="00D869C6">
        <w:t xml:space="preserve">Table </w:t>
      </w:r>
      <w:r w:rsidRPr="00D869C6">
        <w:fldChar w:fldCharType="begin"/>
      </w:r>
      <w:r w:rsidRPr="00D869C6">
        <w:instrText xml:space="preserve"> SEQ Table \* ARABIC </w:instrText>
      </w:r>
      <w:r w:rsidRPr="00D869C6">
        <w:fldChar w:fldCharType="separate"/>
      </w:r>
      <w:r w:rsidR="002C0C2A">
        <w:rPr>
          <w:noProof/>
        </w:rPr>
        <w:t>11</w:t>
      </w:r>
      <w:r w:rsidRPr="00D869C6">
        <w:fldChar w:fldCharType="end"/>
      </w:r>
      <w:bookmarkEnd w:id="225"/>
      <w:r w:rsidRPr="00D869C6">
        <w:t>: Points of departure for occupational and non-professional health risk assessments</w:t>
      </w:r>
    </w:p>
    <w:tbl>
      <w:tblPr>
        <w:tblW w:w="4660"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702"/>
        <w:gridCol w:w="2232"/>
        <w:gridCol w:w="5039"/>
      </w:tblGrid>
      <w:tr w:rsidR="008E67EA" w:rsidRPr="00D869C6" w14:paraId="646221CC" w14:textId="77777777" w:rsidTr="00B44A74">
        <w:trPr>
          <w:cantSplit/>
          <w:tblHeader/>
        </w:trPr>
        <w:tc>
          <w:tcPr>
            <w:tcW w:w="948" w:type="pct"/>
            <w:tcBorders>
              <w:top w:val="single" w:sz="4" w:space="0" w:color="auto"/>
              <w:left w:val="single" w:sz="4" w:space="0" w:color="auto"/>
              <w:bottom w:val="single" w:sz="4" w:space="0" w:color="auto"/>
              <w:right w:val="single" w:sz="4" w:space="0" w:color="auto"/>
            </w:tcBorders>
            <w:shd w:val="clear" w:color="auto" w:fill="E6E6E6"/>
            <w:hideMark/>
          </w:tcPr>
          <w:p w14:paraId="32AEAF83" w14:textId="77777777" w:rsidR="008E67EA" w:rsidRPr="00D869C6" w:rsidRDefault="008E67EA" w:rsidP="00B44A74">
            <w:pPr>
              <w:pStyle w:val="TableHead"/>
              <w:spacing w:before="0" w:after="0"/>
              <w:rPr>
                <w:color w:val="000000" w:themeColor="text1"/>
              </w:rPr>
            </w:pPr>
            <w:r w:rsidRPr="00D869C6">
              <w:rPr>
                <w:color w:val="000000" w:themeColor="text1"/>
              </w:rPr>
              <w:t>Active</w:t>
            </w:r>
          </w:p>
        </w:tc>
        <w:tc>
          <w:tcPr>
            <w:tcW w:w="1244" w:type="pct"/>
            <w:tcBorders>
              <w:top w:val="single" w:sz="4" w:space="0" w:color="auto"/>
              <w:left w:val="single" w:sz="4" w:space="0" w:color="auto"/>
              <w:bottom w:val="single" w:sz="4" w:space="0" w:color="auto"/>
              <w:right w:val="single" w:sz="4" w:space="0" w:color="auto"/>
            </w:tcBorders>
            <w:shd w:val="clear" w:color="auto" w:fill="E6E6E6"/>
            <w:hideMark/>
          </w:tcPr>
          <w:p w14:paraId="72900B5B" w14:textId="77777777" w:rsidR="008E67EA" w:rsidRPr="00D869C6" w:rsidRDefault="008E67EA" w:rsidP="00B44A74">
            <w:pPr>
              <w:pStyle w:val="TableHead"/>
              <w:spacing w:before="0" w:after="0"/>
              <w:rPr>
                <w:color w:val="000000" w:themeColor="text1"/>
              </w:rPr>
            </w:pPr>
            <w:r w:rsidRPr="00D869C6">
              <w:rPr>
                <w:color w:val="000000" w:themeColor="text1"/>
              </w:rPr>
              <w:t xml:space="preserve">Point of Departure </w:t>
            </w:r>
            <w:r w:rsidRPr="00D869C6">
              <w:rPr>
                <w:color w:val="000000" w:themeColor="text1"/>
              </w:rPr>
              <w:br/>
              <w:t>(mg/kg bw/day)</w:t>
            </w:r>
          </w:p>
        </w:tc>
        <w:tc>
          <w:tcPr>
            <w:tcW w:w="2808" w:type="pct"/>
            <w:tcBorders>
              <w:top w:val="single" w:sz="4" w:space="0" w:color="auto"/>
              <w:left w:val="single" w:sz="4" w:space="0" w:color="auto"/>
              <w:bottom w:val="single" w:sz="4" w:space="0" w:color="auto"/>
              <w:right w:val="single" w:sz="4" w:space="0" w:color="auto"/>
            </w:tcBorders>
            <w:shd w:val="clear" w:color="auto" w:fill="E6E6E6"/>
          </w:tcPr>
          <w:p w14:paraId="1B1088F0" w14:textId="77777777" w:rsidR="008E67EA" w:rsidRPr="00D869C6" w:rsidRDefault="008E67EA" w:rsidP="00B44A74">
            <w:pPr>
              <w:pStyle w:val="TableHead"/>
              <w:spacing w:before="0" w:after="0"/>
              <w:rPr>
                <w:color w:val="000000" w:themeColor="text1"/>
              </w:rPr>
            </w:pPr>
            <w:r w:rsidRPr="00D869C6">
              <w:rPr>
                <w:color w:val="000000" w:themeColor="text1"/>
              </w:rPr>
              <w:t>Study</w:t>
            </w:r>
          </w:p>
        </w:tc>
      </w:tr>
      <w:tr w:rsidR="008E67EA" w:rsidRPr="00D869C6" w14:paraId="51024443" w14:textId="77777777" w:rsidTr="00B44A74">
        <w:trPr>
          <w:cantSplit/>
        </w:trPr>
        <w:tc>
          <w:tcPr>
            <w:tcW w:w="5000" w:type="pct"/>
            <w:gridSpan w:val="3"/>
            <w:tcBorders>
              <w:top w:val="single" w:sz="4" w:space="0" w:color="auto"/>
              <w:left w:val="single" w:sz="4" w:space="0" w:color="auto"/>
              <w:bottom w:val="single" w:sz="4" w:space="0" w:color="auto"/>
              <w:right w:val="single" w:sz="4" w:space="0" w:color="auto"/>
            </w:tcBorders>
          </w:tcPr>
          <w:p w14:paraId="23B77B4F" w14:textId="77777777" w:rsidR="008E67EA" w:rsidRPr="00D869C6" w:rsidRDefault="008E67EA" w:rsidP="00B44A74">
            <w:pPr>
              <w:pStyle w:val="APVMATableText"/>
              <w:spacing w:before="0" w:after="0"/>
              <w:rPr>
                <w:i/>
                <w:iCs/>
                <w:color w:val="000000" w:themeColor="text1"/>
              </w:rPr>
            </w:pPr>
            <w:r w:rsidRPr="00D869C6">
              <w:rPr>
                <w:i/>
                <w:iCs/>
                <w:color w:val="000000" w:themeColor="text1"/>
              </w:rPr>
              <w:t>First generation anticoagulant rodenticides</w:t>
            </w:r>
          </w:p>
        </w:tc>
      </w:tr>
      <w:tr w:rsidR="008E67EA" w:rsidRPr="00D869C6" w14:paraId="71429A0B" w14:textId="77777777" w:rsidTr="00B44A74">
        <w:trPr>
          <w:cantSplit/>
        </w:trPr>
        <w:tc>
          <w:tcPr>
            <w:tcW w:w="948" w:type="pct"/>
            <w:tcBorders>
              <w:top w:val="single" w:sz="4" w:space="0" w:color="auto"/>
              <w:left w:val="single" w:sz="4" w:space="0" w:color="auto"/>
              <w:right w:val="single" w:sz="4" w:space="0" w:color="auto"/>
            </w:tcBorders>
          </w:tcPr>
          <w:p w14:paraId="5F01B1E1" w14:textId="77777777" w:rsidR="008E67EA" w:rsidRPr="00D869C6" w:rsidRDefault="008E67EA" w:rsidP="00B44A74">
            <w:pPr>
              <w:pStyle w:val="APVMATableText"/>
              <w:spacing w:before="0" w:after="0"/>
              <w:rPr>
                <w:color w:val="000000" w:themeColor="text1"/>
              </w:rPr>
            </w:pPr>
            <w:r w:rsidRPr="00D869C6">
              <w:rPr>
                <w:color w:val="000000" w:themeColor="text1"/>
              </w:rPr>
              <w:t>Coumatetralyl</w:t>
            </w:r>
          </w:p>
        </w:tc>
        <w:tc>
          <w:tcPr>
            <w:tcW w:w="1244" w:type="pct"/>
            <w:tcBorders>
              <w:top w:val="single" w:sz="4" w:space="0" w:color="auto"/>
              <w:left w:val="single" w:sz="4" w:space="0" w:color="auto"/>
              <w:bottom w:val="single" w:sz="4" w:space="0" w:color="auto"/>
              <w:right w:val="single" w:sz="4" w:space="0" w:color="auto"/>
            </w:tcBorders>
          </w:tcPr>
          <w:p w14:paraId="5F11E206" w14:textId="77777777" w:rsidR="008E67EA" w:rsidRPr="00D869C6" w:rsidRDefault="008E67EA" w:rsidP="00B44A74">
            <w:pPr>
              <w:pStyle w:val="APVMATableText"/>
              <w:spacing w:before="0" w:after="0"/>
              <w:rPr>
                <w:color w:val="000000" w:themeColor="text1"/>
              </w:rPr>
            </w:pPr>
            <w:r w:rsidRPr="00D869C6">
              <w:rPr>
                <w:color w:val="000000" w:themeColor="text1"/>
              </w:rPr>
              <w:t>0.0068 (occupational and non-professional)</w:t>
            </w:r>
          </w:p>
        </w:tc>
        <w:tc>
          <w:tcPr>
            <w:tcW w:w="2808" w:type="pct"/>
            <w:tcBorders>
              <w:top w:val="single" w:sz="4" w:space="0" w:color="auto"/>
              <w:left w:val="single" w:sz="4" w:space="0" w:color="auto"/>
              <w:bottom w:val="single" w:sz="4" w:space="0" w:color="auto"/>
              <w:right w:val="single" w:sz="4" w:space="0" w:color="auto"/>
            </w:tcBorders>
          </w:tcPr>
          <w:p w14:paraId="4C18DF7D" w14:textId="77777777" w:rsidR="008E67EA" w:rsidRPr="00D869C6" w:rsidRDefault="008E67EA" w:rsidP="00B44A74">
            <w:pPr>
              <w:pStyle w:val="APVMATableText"/>
              <w:spacing w:before="0" w:after="0"/>
              <w:rPr>
                <w:color w:val="000000" w:themeColor="text1"/>
              </w:rPr>
            </w:pPr>
            <w:r w:rsidRPr="00D869C6">
              <w:rPr>
                <w:color w:val="000000" w:themeColor="text1"/>
              </w:rPr>
              <w:t>16-week dietary toxicity study in rats. NOAEL of 0.0068 mg/kg bw/day based on prolonged blood clotting (prothrombin) time at the next highest dose.</w:t>
            </w:r>
          </w:p>
        </w:tc>
      </w:tr>
      <w:tr w:rsidR="008E67EA" w:rsidRPr="00D869C6" w14:paraId="06955F97" w14:textId="77777777" w:rsidTr="00B44A74">
        <w:trPr>
          <w:cantSplit/>
        </w:trPr>
        <w:tc>
          <w:tcPr>
            <w:tcW w:w="948" w:type="pct"/>
            <w:tcBorders>
              <w:top w:val="single" w:sz="4" w:space="0" w:color="auto"/>
              <w:left w:val="single" w:sz="4" w:space="0" w:color="auto"/>
              <w:bottom w:val="single" w:sz="4" w:space="0" w:color="auto"/>
              <w:right w:val="single" w:sz="4" w:space="0" w:color="auto"/>
            </w:tcBorders>
          </w:tcPr>
          <w:p w14:paraId="231C9DD2" w14:textId="77777777" w:rsidR="008E67EA" w:rsidRPr="00D869C6" w:rsidRDefault="008E67EA" w:rsidP="00B44A74">
            <w:pPr>
              <w:pStyle w:val="APVMATableText"/>
              <w:spacing w:before="0" w:after="0"/>
              <w:rPr>
                <w:color w:val="000000" w:themeColor="text1"/>
              </w:rPr>
            </w:pPr>
            <w:r w:rsidRPr="00D869C6">
              <w:rPr>
                <w:color w:val="000000" w:themeColor="text1"/>
              </w:rPr>
              <w:t>Diphacinone</w:t>
            </w:r>
          </w:p>
        </w:tc>
        <w:tc>
          <w:tcPr>
            <w:tcW w:w="1244" w:type="pct"/>
            <w:tcBorders>
              <w:top w:val="single" w:sz="4" w:space="0" w:color="auto"/>
              <w:left w:val="single" w:sz="4" w:space="0" w:color="auto"/>
              <w:bottom w:val="single" w:sz="4" w:space="0" w:color="auto"/>
              <w:right w:val="single" w:sz="4" w:space="0" w:color="auto"/>
            </w:tcBorders>
          </w:tcPr>
          <w:p w14:paraId="1BDF44A7" w14:textId="77777777" w:rsidR="008E67EA" w:rsidRPr="00D869C6" w:rsidRDefault="008E67EA" w:rsidP="00B44A74">
            <w:pPr>
              <w:pStyle w:val="APVMATableText"/>
              <w:spacing w:before="0" w:after="0"/>
              <w:rPr>
                <w:color w:val="000000" w:themeColor="text1"/>
              </w:rPr>
            </w:pPr>
            <w:r w:rsidRPr="00D869C6">
              <w:rPr>
                <w:color w:val="000000" w:themeColor="text1"/>
              </w:rPr>
              <w:t>0.025 (occupational and non-professional)</w:t>
            </w:r>
          </w:p>
        </w:tc>
        <w:tc>
          <w:tcPr>
            <w:tcW w:w="2808" w:type="pct"/>
            <w:tcBorders>
              <w:top w:val="single" w:sz="4" w:space="0" w:color="auto"/>
              <w:left w:val="single" w:sz="4" w:space="0" w:color="auto"/>
              <w:bottom w:val="single" w:sz="4" w:space="0" w:color="auto"/>
              <w:right w:val="single" w:sz="4" w:space="0" w:color="auto"/>
            </w:tcBorders>
          </w:tcPr>
          <w:p w14:paraId="5F597975" w14:textId="77777777" w:rsidR="008E67EA" w:rsidRPr="00D869C6" w:rsidRDefault="008E67EA" w:rsidP="00B44A74">
            <w:pPr>
              <w:pStyle w:val="APVMATableText"/>
              <w:spacing w:before="0" w:after="0"/>
              <w:rPr>
                <w:color w:val="000000" w:themeColor="text1"/>
              </w:rPr>
            </w:pPr>
            <w:r w:rsidRPr="00D869C6">
              <w:rPr>
                <w:color w:val="000000" w:themeColor="text1"/>
              </w:rPr>
              <w:t xml:space="preserve">Oral developmental toxicity study in rats. </w:t>
            </w:r>
            <w:r w:rsidRPr="00D869C6">
              <w:rPr>
                <w:rFonts w:cs="Times New Roman"/>
                <w:color w:val="000000" w:themeColor="text1"/>
              </w:rPr>
              <w:t>NOAEL of 0.025 mg/kg bw/day based on maternal and embryo toxicity based on increased incidence of early resorptions and post implantation loss at the next higher dose.</w:t>
            </w:r>
          </w:p>
        </w:tc>
      </w:tr>
      <w:tr w:rsidR="008E67EA" w:rsidRPr="00D869C6" w14:paraId="077B98F2" w14:textId="77777777" w:rsidTr="00B44A74">
        <w:trPr>
          <w:cantSplit/>
        </w:trPr>
        <w:tc>
          <w:tcPr>
            <w:tcW w:w="5000" w:type="pct"/>
            <w:gridSpan w:val="3"/>
            <w:tcBorders>
              <w:top w:val="single" w:sz="4" w:space="0" w:color="auto"/>
              <w:left w:val="single" w:sz="4" w:space="0" w:color="auto"/>
              <w:bottom w:val="single" w:sz="4" w:space="0" w:color="auto"/>
              <w:right w:val="single" w:sz="4" w:space="0" w:color="auto"/>
            </w:tcBorders>
          </w:tcPr>
          <w:p w14:paraId="2B80CE6B" w14:textId="77777777" w:rsidR="008E67EA" w:rsidRPr="00D869C6" w:rsidRDefault="008E67EA" w:rsidP="00B44A74">
            <w:pPr>
              <w:pStyle w:val="APVMATableText"/>
              <w:spacing w:before="0" w:after="0"/>
              <w:rPr>
                <w:color w:val="000000" w:themeColor="text1"/>
              </w:rPr>
            </w:pPr>
            <w:r w:rsidRPr="00D869C6">
              <w:rPr>
                <w:i/>
                <w:iCs/>
                <w:color w:val="000000" w:themeColor="text1"/>
              </w:rPr>
              <w:t>Second generation anticoagulant rodenticides</w:t>
            </w:r>
          </w:p>
        </w:tc>
      </w:tr>
      <w:tr w:rsidR="008E67EA" w:rsidRPr="006B74D1" w14:paraId="0B02A0D5" w14:textId="77777777" w:rsidTr="00B44A74">
        <w:trPr>
          <w:cantSplit/>
        </w:trPr>
        <w:tc>
          <w:tcPr>
            <w:tcW w:w="948" w:type="pct"/>
            <w:tcBorders>
              <w:top w:val="single" w:sz="4" w:space="0" w:color="auto"/>
              <w:left w:val="single" w:sz="4" w:space="0" w:color="auto"/>
              <w:bottom w:val="single" w:sz="4" w:space="0" w:color="auto"/>
              <w:right w:val="single" w:sz="4" w:space="0" w:color="auto"/>
            </w:tcBorders>
          </w:tcPr>
          <w:p w14:paraId="2BA726A0" w14:textId="77777777" w:rsidR="008E67EA" w:rsidRPr="00D869C6" w:rsidRDefault="008E67EA" w:rsidP="00B44A74">
            <w:pPr>
              <w:pStyle w:val="APVMATableText"/>
              <w:spacing w:before="0" w:after="0"/>
              <w:rPr>
                <w:color w:val="000000" w:themeColor="text1"/>
              </w:rPr>
            </w:pPr>
            <w:r w:rsidRPr="00D869C6">
              <w:rPr>
                <w:color w:val="000000" w:themeColor="text1"/>
              </w:rPr>
              <w:t>Brodifacoum</w:t>
            </w:r>
          </w:p>
        </w:tc>
        <w:tc>
          <w:tcPr>
            <w:tcW w:w="1244" w:type="pct"/>
            <w:tcBorders>
              <w:top w:val="single" w:sz="4" w:space="0" w:color="auto"/>
              <w:left w:val="single" w:sz="4" w:space="0" w:color="auto"/>
              <w:bottom w:val="single" w:sz="4" w:space="0" w:color="auto"/>
              <w:right w:val="single" w:sz="4" w:space="0" w:color="auto"/>
            </w:tcBorders>
          </w:tcPr>
          <w:p w14:paraId="46819022" w14:textId="77777777" w:rsidR="008E67EA" w:rsidRPr="00D869C6" w:rsidRDefault="008E67EA" w:rsidP="00B44A74">
            <w:pPr>
              <w:pStyle w:val="APVMATableText"/>
              <w:spacing w:before="0" w:after="0"/>
              <w:rPr>
                <w:color w:val="000000" w:themeColor="text1"/>
              </w:rPr>
            </w:pPr>
            <w:r w:rsidRPr="00D869C6">
              <w:rPr>
                <w:color w:val="000000" w:themeColor="text1"/>
              </w:rPr>
              <w:t>0.001 (occupational and non-professional)</w:t>
            </w:r>
          </w:p>
        </w:tc>
        <w:tc>
          <w:tcPr>
            <w:tcW w:w="2808" w:type="pct"/>
            <w:tcBorders>
              <w:top w:val="single" w:sz="4" w:space="0" w:color="auto"/>
              <w:left w:val="single" w:sz="4" w:space="0" w:color="auto"/>
              <w:bottom w:val="single" w:sz="4" w:space="0" w:color="auto"/>
              <w:right w:val="single" w:sz="4" w:space="0" w:color="auto"/>
            </w:tcBorders>
          </w:tcPr>
          <w:p w14:paraId="7383312E" w14:textId="77777777" w:rsidR="008E67EA" w:rsidRPr="00B251FC" w:rsidRDefault="008E67EA" w:rsidP="00B44A74">
            <w:pPr>
              <w:pStyle w:val="APVMATableText"/>
              <w:spacing w:before="0" w:after="0"/>
              <w:rPr>
                <w:color w:val="000000" w:themeColor="text1"/>
              </w:rPr>
            </w:pPr>
            <w:r w:rsidRPr="00D869C6">
              <w:rPr>
                <w:color w:val="000000" w:themeColor="text1"/>
              </w:rPr>
              <w:t xml:space="preserve">13-week dietary toxicity study in rats. NOAEL of </w:t>
            </w:r>
            <w:r w:rsidRPr="00D869C6">
              <w:rPr>
                <w:rFonts w:cs="Times New Roman"/>
                <w:color w:val="000000" w:themeColor="text1"/>
              </w:rPr>
              <w:t>0.001 mg/kg bw/day</w:t>
            </w:r>
            <w:r w:rsidRPr="00D869C6">
              <w:rPr>
                <w:color w:val="000000" w:themeColor="text1"/>
              </w:rPr>
              <w:t xml:space="preserve"> based on prolonged blood clotting (prothrombin) time at the next higher dose.</w:t>
            </w:r>
          </w:p>
        </w:tc>
      </w:tr>
      <w:tr w:rsidR="008E67EA" w:rsidRPr="006B74D1" w14:paraId="716EF48C" w14:textId="77777777" w:rsidTr="00B44A74">
        <w:trPr>
          <w:cantSplit/>
        </w:trPr>
        <w:tc>
          <w:tcPr>
            <w:tcW w:w="948" w:type="pct"/>
            <w:vMerge w:val="restart"/>
            <w:tcBorders>
              <w:top w:val="single" w:sz="4" w:space="0" w:color="auto"/>
              <w:left w:val="single" w:sz="4" w:space="0" w:color="auto"/>
              <w:right w:val="single" w:sz="4" w:space="0" w:color="auto"/>
            </w:tcBorders>
          </w:tcPr>
          <w:p w14:paraId="7EE0CD3D" w14:textId="77777777" w:rsidR="008E67EA" w:rsidRPr="00B251FC" w:rsidRDefault="008E67EA" w:rsidP="00B44A74">
            <w:pPr>
              <w:pStyle w:val="APVMATableText"/>
              <w:spacing w:before="0" w:after="0"/>
              <w:rPr>
                <w:color w:val="000000" w:themeColor="text1"/>
              </w:rPr>
            </w:pPr>
            <w:r w:rsidRPr="00B251FC">
              <w:rPr>
                <w:color w:val="000000" w:themeColor="text1"/>
              </w:rPr>
              <w:t>Bromadiolone</w:t>
            </w:r>
          </w:p>
        </w:tc>
        <w:tc>
          <w:tcPr>
            <w:tcW w:w="1244" w:type="pct"/>
            <w:tcBorders>
              <w:top w:val="single" w:sz="4" w:space="0" w:color="auto"/>
              <w:left w:val="single" w:sz="4" w:space="0" w:color="auto"/>
              <w:bottom w:val="single" w:sz="4" w:space="0" w:color="auto"/>
              <w:right w:val="single" w:sz="4" w:space="0" w:color="auto"/>
            </w:tcBorders>
          </w:tcPr>
          <w:p w14:paraId="112E9067" w14:textId="77777777" w:rsidR="008E67EA" w:rsidRPr="00694C29" w:rsidRDefault="008E67EA" w:rsidP="00B44A74">
            <w:pPr>
              <w:pStyle w:val="APVMATableText"/>
              <w:spacing w:before="0" w:after="0"/>
              <w:rPr>
                <w:color w:val="000000" w:themeColor="text1"/>
              </w:rPr>
            </w:pPr>
            <w:r w:rsidRPr="00694C29">
              <w:rPr>
                <w:color w:val="000000" w:themeColor="text1"/>
              </w:rPr>
              <w:t>0.00</w:t>
            </w:r>
            <w:r>
              <w:rPr>
                <w:color w:val="000000" w:themeColor="text1"/>
              </w:rPr>
              <w:t>0</w:t>
            </w:r>
            <w:r w:rsidRPr="00694C29">
              <w:rPr>
                <w:color w:val="000000" w:themeColor="text1"/>
              </w:rPr>
              <w:t>5 (occupational)</w:t>
            </w:r>
          </w:p>
        </w:tc>
        <w:tc>
          <w:tcPr>
            <w:tcW w:w="2808" w:type="pct"/>
            <w:tcBorders>
              <w:top w:val="single" w:sz="4" w:space="0" w:color="auto"/>
              <w:left w:val="single" w:sz="4" w:space="0" w:color="auto"/>
              <w:bottom w:val="single" w:sz="4" w:space="0" w:color="auto"/>
              <w:right w:val="single" w:sz="4" w:space="0" w:color="auto"/>
            </w:tcBorders>
          </w:tcPr>
          <w:p w14:paraId="426680FB" w14:textId="77777777" w:rsidR="008E67EA" w:rsidRPr="00694C29" w:rsidRDefault="008E67EA" w:rsidP="00B44A74">
            <w:pPr>
              <w:pStyle w:val="APVMATableText"/>
              <w:spacing w:before="0" w:after="0"/>
              <w:rPr>
                <w:rFonts w:cs="Times New Roman"/>
                <w:color w:val="000000" w:themeColor="text1"/>
              </w:rPr>
            </w:pPr>
            <w:r w:rsidRPr="00694C29">
              <w:rPr>
                <w:color w:val="000000" w:themeColor="text1"/>
              </w:rPr>
              <w:t xml:space="preserve">Oral subchronic toxicity study in rabbits. </w:t>
            </w:r>
            <w:r w:rsidRPr="00694C29">
              <w:rPr>
                <w:rFonts w:cs="Times New Roman"/>
                <w:color w:val="000000" w:themeColor="text1"/>
              </w:rPr>
              <w:t xml:space="preserve">NOAEL of 0.0005 mg/kg bw/day based </w:t>
            </w:r>
            <w:r w:rsidRPr="00694C29">
              <w:rPr>
                <w:color w:val="000000" w:themeColor="text1"/>
              </w:rPr>
              <w:t>on increased blood clotting (prothrombin) time at the next higher dose</w:t>
            </w:r>
            <w:r w:rsidRPr="00694C29">
              <w:rPr>
                <w:rFonts w:cs="Times New Roman"/>
                <w:color w:val="000000" w:themeColor="text1"/>
              </w:rPr>
              <w:t>.</w:t>
            </w:r>
          </w:p>
        </w:tc>
      </w:tr>
      <w:tr w:rsidR="008E67EA" w:rsidRPr="006B74D1" w14:paraId="689A0B4F" w14:textId="77777777" w:rsidTr="00B44A74">
        <w:trPr>
          <w:cantSplit/>
        </w:trPr>
        <w:tc>
          <w:tcPr>
            <w:tcW w:w="948" w:type="pct"/>
            <w:vMerge/>
            <w:tcBorders>
              <w:left w:val="single" w:sz="4" w:space="0" w:color="auto"/>
              <w:bottom w:val="single" w:sz="4" w:space="0" w:color="auto"/>
              <w:right w:val="single" w:sz="4" w:space="0" w:color="auto"/>
            </w:tcBorders>
          </w:tcPr>
          <w:p w14:paraId="48A8971E" w14:textId="77777777" w:rsidR="008E67EA" w:rsidRPr="00B251FC" w:rsidRDefault="008E67EA" w:rsidP="00B44A74">
            <w:pPr>
              <w:pStyle w:val="APVMATableText"/>
              <w:spacing w:before="0" w:after="0"/>
              <w:rPr>
                <w:color w:val="000000" w:themeColor="text1"/>
              </w:rPr>
            </w:pPr>
          </w:p>
        </w:tc>
        <w:tc>
          <w:tcPr>
            <w:tcW w:w="1244" w:type="pct"/>
            <w:tcBorders>
              <w:top w:val="single" w:sz="4" w:space="0" w:color="auto"/>
              <w:left w:val="single" w:sz="4" w:space="0" w:color="auto"/>
              <w:bottom w:val="single" w:sz="4" w:space="0" w:color="auto"/>
              <w:right w:val="single" w:sz="4" w:space="0" w:color="auto"/>
            </w:tcBorders>
          </w:tcPr>
          <w:p w14:paraId="06BA4846" w14:textId="77777777" w:rsidR="008E67EA" w:rsidRPr="00694C29" w:rsidRDefault="008E67EA" w:rsidP="00B44A74">
            <w:pPr>
              <w:pStyle w:val="APVMATableText"/>
              <w:spacing w:before="0" w:after="0"/>
              <w:rPr>
                <w:color w:val="000000" w:themeColor="text1"/>
              </w:rPr>
            </w:pPr>
            <w:r w:rsidRPr="00694C29">
              <w:rPr>
                <w:color w:val="000000" w:themeColor="text1"/>
              </w:rPr>
              <w:t>0.002 (non-professional)</w:t>
            </w:r>
          </w:p>
        </w:tc>
        <w:tc>
          <w:tcPr>
            <w:tcW w:w="2808" w:type="pct"/>
            <w:tcBorders>
              <w:top w:val="single" w:sz="4" w:space="0" w:color="auto"/>
              <w:left w:val="single" w:sz="4" w:space="0" w:color="auto"/>
              <w:bottom w:val="single" w:sz="4" w:space="0" w:color="auto"/>
              <w:right w:val="single" w:sz="4" w:space="0" w:color="auto"/>
            </w:tcBorders>
          </w:tcPr>
          <w:p w14:paraId="337347E6" w14:textId="77777777" w:rsidR="008E67EA" w:rsidRPr="00694C29" w:rsidRDefault="008E67EA" w:rsidP="00B44A74">
            <w:pPr>
              <w:pStyle w:val="APVMATableText"/>
              <w:spacing w:before="0" w:after="0"/>
              <w:rPr>
                <w:color w:val="000000" w:themeColor="text1"/>
              </w:rPr>
            </w:pPr>
            <w:r w:rsidRPr="00694C29">
              <w:rPr>
                <w:color w:val="000000" w:themeColor="text1"/>
              </w:rPr>
              <w:t xml:space="preserve">Developmental toxicity study in rabbits with a </w:t>
            </w:r>
            <w:r w:rsidRPr="00694C29">
              <w:rPr>
                <w:rFonts w:cs="Times New Roman"/>
                <w:color w:val="000000" w:themeColor="text1"/>
              </w:rPr>
              <w:t>LOAEL of 0.002 mg/kg bw/day</w:t>
            </w:r>
            <w:r w:rsidRPr="00694C29">
              <w:rPr>
                <w:color w:val="000000" w:themeColor="text1"/>
              </w:rPr>
              <w:t>, noting that exposure will be much less frequent for non-professional users.</w:t>
            </w:r>
          </w:p>
        </w:tc>
      </w:tr>
      <w:tr w:rsidR="008E67EA" w:rsidRPr="006B74D1" w14:paraId="57752FE5" w14:textId="77777777" w:rsidTr="00B44A74">
        <w:trPr>
          <w:cantSplit/>
        </w:trPr>
        <w:tc>
          <w:tcPr>
            <w:tcW w:w="948" w:type="pct"/>
            <w:tcBorders>
              <w:top w:val="single" w:sz="4" w:space="0" w:color="auto"/>
              <w:left w:val="single" w:sz="4" w:space="0" w:color="auto"/>
              <w:right w:val="single" w:sz="4" w:space="0" w:color="auto"/>
            </w:tcBorders>
          </w:tcPr>
          <w:p w14:paraId="78B0BDD9" w14:textId="77777777" w:rsidR="008E67EA" w:rsidRPr="00B251FC" w:rsidRDefault="008E67EA" w:rsidP="00B44A74">
            <w:pPr>
              <w:pStyle w:val="APVMATableText"/>
              <w:spacing w:before="0" w:after="0"/>
              <w:rPr>
                <w:color w:val="000000" w:themeColor="text1"/>
              </w:rPr>
            </w:pPr>
            <w:r w:rsidRPr="00B251FC">
              <w:rPr>
                <w:color w:val="000000" w:themeColor="text1"/>
              </w:rPr>
              <w:t>Difenacoum</w:t>
            </w:r>
          </w:p>
        </w:tc>
        <w:tc>
          <w:tcPr>
            <w:tcW w:w="1244" w:type="pct"/>
            <w:tcBorders>
              <w:top w:val="single" w:sz="4" w:space="0" w:color="auto"/>
              <w:left w:val="single" w:sz="4" w:space="0" w:color="auto"/>
              <w:bottom w:val="single" w:sz="4" w:space="0" w:color="auto"/>
              <w:right w:val="single" w:sz="4" w:space="0" w:color="auto"/>
            </w:tcBorders>
          </w:tcPr>
          <w:p w14:paraId="2F701A1B" w14:textId="77777777" w:rsidR="008E67EA" w:rsidRPr="00B251FC" w:rsidRDefault="008E67EA" w:rsidP="00B44A74">
            <w:pPr>
              <w:pStyle w:val="APVMATableText"/>
              <w:spacing w:before="0" w:after="0"/>
              <w:rPr>
                <w:color w:val="000000" w:themeColor="text1"/>
              </w:rPr>
            </w:pPr>
            <w:r w:rsidRPr="00B251FC">
              <w:rPr>
                <w:color w:val="000000" w:themeColor="text1"/>
              </w:rPr>
              <w:t>0.001</w:t>
            </w:r>
            <w:r>
              <w:rPr>
                <w:color w:val="000000" w:themeColor="text1"/>
              </w:rPr>
              <w:t xml:space="preserve"> (occupational and non-professional)</w:t>
            </w:r>
          </w:p>
        </w:tc>
        <w:tc>
          <w:tcPr>
            <w:tcW w:w="2808" w:type="pct"/>
            <w:tcBorders>
              <w:top w:val="single" w:sz="4" w:space="0" w:color="auto"/>
              <w:left w:val="single" w:sz="4" w:space="0" w:color="auto"/>
              <w:bottom w:val="single" w:sz="4" w:space="0" w:color="auto"/>
              <w:right w:val="single" w:sz="4" w:space="0" w:color="auto"/>
            </w:tcBorders>
          </w:tcPr>
          <w:p w14:paraId="7AA6436A" w14:textId="77777777" w:rsidR="008E67EA" w:rsidRPr="00B251FC" w:rsidRDefault="008E67EA" w:rsidP="00B44A74">
            <w:pPr>
              <w:pStyle w:val="APVMATableText"/>
              <w:spacing w:before="0" w:after="0"/>
              <w:rPr>
                <w:color w:val="000000" w:themeColor="text1"/>
              </w:rPr>
            </w:pPr>
            <w:r>
              <w:rPr>
                <w:rFonts w:cs="Times New Roman"/>
              </w:rPr>
              <w:t>Developmental toxicity</w:t>
            </w:r>
            <w:r w:rsidRPr="000C6169">
              <w:rPr>
                <w:rFonts w:cs="Times New Roman"/>
              </w:rPr>
              <w:t xml:space="preserve"> study</w:t>
            </w:r>
            <w:r>
              <w:rPr>
                <w:rFonts w:cs="Times New Roman"/>
              </w:rPr>
              <w:t xml:space="preserve"> in rabbits. L</w:t>
            </w:r>
            <w:r w:rsidRPr="00094842">
              <w:rPr>
                <w:rFonts w:cs="Times New Roman"/>
              </w:rPr>
              <w:t xml:space="preserve">OAEL </w:t>
            </w:r>
            <w:r>
              <w:rPr>
                <w:rFonts w:cs="Times New Roman"/>
              </w:rPr>
              <w:t xml:space="preserve">of </w:t>
            </w:r>
            <w:r w:rsidRPr="005C1ABE">
              <w:rPr>
                <w:rFonts w:cs="Times New Roman"/>
              </w:rPr>
              <w:t xml:space="preserve">0.001 mg/kg bw/day </w:t>
            </w:r>
            <w:r w:rsidRPr="00094842">
              <w:rPr>
                <w:rFonts w:cs="Times New Roman"/>
              </w:rPr>
              <w:t xml:space="preserve">based on </w:t>
            </w:r>
            <w:r w:rsidRPr="00094842">
              <w:t xml:space="preserve">haemorrhage in multiple tissues/organs </w:t>
            </w:r>
            <w:r>
              <w:t>at the lowest dose tested.</w:t>
            </w:r>
          </w:p>
        </w:tc>
      </w:tr>
      <w:tr w:rsidR="008E67EA" w:rsidRPr="006B74D1" w14:paraId="6EB270F1" w14:textId="77777777" w:rsidTr="00B44A74">
        <w:trPr>
          <w:cantSplit/>
        </w:trPr>
        <w:tc>
          <w:tcPr>
            <w:tcW w:w="948" w:type="pct"/>
            <w:tcBorders>
              <w:top w:val="single" w:sz="4" w:space="0" w:color="auto"/>
              <w:left w:val="single" w:sz="4" w:space="0" w:color="auto"/>
              <w:bottom w:val="single" w:sz="4" w:space="0" w:color="auto"/>
              <w:right w:val="single" w:sz="4" w:space="0" w:color="auto"/>
            </w:tcBorders>
          </w:tcPr>
          <w:p w14:paraId="45BB3DBB" w14:textId="77777777" w:rsidR="008E67EA" w:rsidRPr="00B251FC" w:rsidRDefault="008E67EA" w:rsidP="00B44A74">
            <w:pPr>
              <w:pStyle w:val="APVMATableText"/>
              <w:spacing w:before="0" w:after="0"/>
              <w:rPr>
                <w:color w:val="000000" w:themeColor="text1"/>
              </w:rPr>
            </w:pPr>
            <w:r w:rsidRPr="00B251FC">
              <w:rPr>
                <w:color w:val="000000" w:themeColor="text1"/>
              </w:rPr>
              <w:t>Difethialone</w:t>
            </w:r>
          </w:p>
        </w:tc>
        <w:tc>
          <w:tcPr>
            <w:tcW w:w="1244" w:type="pct"/>
            <w:tcBorders>
              <w:top w:val="single" w:sz="4" w:space="0" w:color="auto"/>
              <w:left w:val="single" w:sz="4" w:space="0" w:color="auto"/>
              <w:bottom w:val="single" w:sz="4" w:space="0" w:color="auto"/>
              <w:right w:val="single" w:sz="4" w:space="0" w:color="auto"/>
            </w:tcBorders>
          </w:tcPr>
          <w:p w14:paraId="3B3C0B19" w14:textId="77777777" w:rsidR="008E67EA" w:rsidRPr="00B251FC" w:rsidRDefault="008E67EA" w:rsidP="00B44A74">
            <w:pPr>
              <w:pStyle w:val="APVMATableText"/>
              <w:spacing w:before="0" w:after="0"/>
              <w:rPr>
                <w:color w:val="000000" w:themeColor="text1"/>
              </w:rPr>
            </w:pPr>
            <w:r w:rsidRPr="00B251FC">
              <w:rPr>
                <w:color w:val="000000" w:themeColor="text1"/>
              </w:rPr>
              <w:t>0.00125</w:t>
            </w:r>
            <w:r>
              <w:rPr>
                <w:color w:val="000000" w:themeColor="text1"/>
              </w:rPr>
              <w:t xml:space="preserve"> (occupational and non-professional)</w:t>
            </w:r>
          </w:p>
        </w:tc>
        <w:tc>
          <w:tcPr>
            <w:tcW w:w="2808" w:type="pct"/>
            <w:tcBorders>
              <w:top w:val="single" w:sz="4" w:space="0" w:color="auto"/>
              <w:left w:val="single" w:sz="4" w:space="0" w:color="auto"/>
              <w:bottom w:val="single" w:sz="4" w:space="0" w:color="auto"/>
              <w:right w:val="single" w:sz="4" w:space="0" w:color="auto"/>
            </w:tcBorders>
          </w:tcPr>
          <w:p w14:paraId="09828199" w14:textId="77777777" w:rsidR="008E67EA" w:rsidRPr="00B251FC" w:rsidRDefault="008E67EA" w:rsidP="00B44A74">
            <w:pPr>
              <w:pStyle w:val="APVMATableText"/>
              <w:spacing w:before="0" w:after="0"/>
              <w:rPr>
                <w:color w:val="000000" w:themeColor="text1"/>
              </w:rPr>
            </w:pPr>
            <w:r>
              <w:rPr>
                <w:rFonts w:cs="Times New Roman"/>
              </w:rPr>
              <w:t>Oral</w:t>
            </w:r>
            <w:r w:rsidRPr="00094842">
              <w:rPr>
                <w:rFonts w:cs="Times New Roman"/>
              </w:rPr>
              <w:t xml:space="preserve"> developmental </w:t>
            </w:r>
            <w:r>
              <w:rPr>
                <w:rFonts w:cs="Times New Roman"/>
              </w:rPr>
              <w:t>toxicity</w:t>
            </w:r>
            <w:r w:rsidRPr="00094842">
              <w:rPr>
                <w:rFonts w:cs="Times New Roman"/>
              </w:rPr>
              <w:t xml:space="preserve"> study </w:t>
            </w:r>
            <w:r>
              <w:rPr>
                <w:rFonts w:cs="Times New Roman"/>
              </w:rPr>
              <w:t xml:space="preserve">in rabbits. </w:t>
            </w:r>
            <w:r w:rsidRPr="00094842">
              <w:rPr>
                <w:rFonts w:cs="Times New Roman"/>
              </w:rPr>
              <w:t xml:space="preserve">NOAEL </w:t>
            </w:r>
            <w:r>
              <w:rPr>
                <w:rFonts w:cs="Times New Roman"/>
              </w:rPr>
              <w:t>of</w:t>
            </w:r>
            <w:r w:rsidRPr="00094842">
              <w:rPr>
                <w:rFonts w:cs="Times New Roman"/>
              </w:rPr>
              <w:t xml:space="preserve"> 0.00125 mg/kg bw/day based on depressed weight gain </w:t>
            </w:r>
            <w:r>
              <w:rPr>
                <w:rFonts w:cs="Times New Roman"/>
              </w:rPr>
              <w:t>i</w:t>
            </w:r>
            <w:r w:rsidRPr="00094842">
              <w:rPr>
                <w:rFonts w:cs="Times New Roman"/>
              </w:rPr>
              <w:t>n dams, elevated incidence of incompletely ossified 5th sternebra at the next highest dose of 0.0025 mg/kg bw/day.</w:t>
            </w:r>
          </w:p>
        </w:tc>
      </w:tr>
      <w:tr w:rsidR="008E67EA" w:rsidRPr="006B74D1" w14:paraId="68787268" w14:textId="77777777" w:rsidTr="00B44A74">
        <w:trPr>
          <w:cantSplit/>
        </w:trPr>
        <w:tc>
          <w:tcPr>
            <w:tcW w:w="948" w:type="pct"/>
            <w:tcBorders>
              <w:top w:val="single" w:sz="4" w:space="0" w:color="auto"/>
              <w:left w:val="single" w:sz="4" w:space="0" w:color="auto"/>
              <w:bottom w:val="single" w:sz="4" w:space="0" w:color="auto"/>
              <w:right w:val="single" w:sz="4" w:space="0" w:color="auto"/>
            </w:tcBorders>
          </w:tcPr>
          <w:p w14:paraId="4EA3CDC1" w14:textId="77777777" w:rsidR="008E67EA" w:rsidRPr="00B251FC" w:rsidRDefault="008E67EA" w:rsidP="00B44A74">
            <w:pPr>
              <w:pStyle w:val="APVMATableText"/>
              <w:spacing w:before="0" w:after="0"/>
              <w:rPr>
                <w:color w:val="000000" w:themeColor="text1"/>
              </w:rPr>
            </w:pPr>
            <w:r w:rsidRPr="00B251FC">
              <w:rPr>
                <w:color w:val="000000" w:themeColor="text1"/>
              </w:rPr>
              <w:t>Flocoumafen</w:t>
            </w:r>
          </w:p>
        </w:tc>
        <w:tc>
          <w:tcPr>
            <w:tcW w:w="1244" w:type="pct"/>
            <w:tcBorders>
              <w:top w:val="single" w:sz="4" w:space="0" w:color="auto"/>
              <w:left w:val="single" w:sz="4" w:space="0" w:color="auto"/>
              <w:bottom w:val="single" w:sz="4" w:space="0" w:color="auto"/>
              <w:right w:val="single" w:sz="4" w:space="0" w:color="auto"/>
            </w:tcBorders>
          </w:tcPr>
          <w:p w14:paraId="7D1936DB" w14:textId="77777777" w:rsidR="008E67EA" w:rsidRPr="00B251FC" w:rsidRDefault="008E67EA" w:rsidP="00B44A74">
            <w:pPr>
              <w:pStyle w:val="APVMATableText"/>
              <w:spacing w:before="0" w:after="0"/>
              <w:rPr>
                <w:color w:val="000000" w:themeColor="text1"/>
              </w:rPr>
            </w:pPr>
            <w:r w:rsidRPr="00B251FC">
              <w:rPr>
                <w:color w:val="000000" w:themeColor="text1"/>
              </w:rPr>
              <w:t>0.0014</w:t>
            </w:r>
            <w:r>
              <w:rPr>
                <w:color w:val="000000" w:themeColor="text1"/>
              </w:rPr>
              <w:t xml:space="preserve"> (occupational and non-professional)</w:t>
            </w:r>
          </w:p>
        </w:tc>
        <w:tc>
          <w:tcPr>
            <w:tcW w:w="2808" w:type="pct"/>
            <w:tcBorders>
              <w:top w:val="single" w:sz="4" w:space="0" w:color="auto"/>
              <w:left w:val="single" w:sz="4" w:space="0" w:color="auto"/>
              <w:bottom w:val="single" w:sz="4" w:space="0" w:color="auto"/>
              <w:right w:val="single" w:sz="4" w:space="0" w:color="auto"/>
            </w:tcBorders>
          </w:tcPr>
          <w:p w14:paraId="4B5A7648" w14:textId="77777777" w:rsidR="008E67EA" w:rsidRPr="00B251FC" w:rsidRDefault="008E67EA" w:rsidP="00B44A74">
            <w:pPr>
              <w:pStyle w:val="APVMATableText"/>
              <w:spacing w:before="0" w:after="0"/>
              <w:rPr>
                <w:color w:val="000000" w:themeColor="text1"/>
              </w:rPr>
            </w:pPr>
            <w:r w:rsidRPr="00094842">
              <w:rPr>
                <w:rFonts w:cs="Times New Roman"/>
              </w:rPr>
              <w:t>90</w:t>
            </w:r>
            <w:r>
              <w:rPr>
                <w:rFonts w:cs="Times New Roman"/>
              </w:rPr>
              <w:t>-</w:t>
            </w:r>
            <w:r w:rsidRPr="00094842">
              <w:rPr>
                <w:rFonts w:cs="Times New Roman"/>
              </w:rPr>
              <w:t>day dietary toxicity study</w:t>
            </w:r>
            <w:r>
              <w:rPr>
                <w:rFonts w:cs="Times New Roman"/>
              </w:rPr>
              <w:t xml:space="preserve"> in rats. </w:t>
            </w:r>
            <w:r w:rsidRPr="00094842">
              <w:rPr>
                <w:rFonts w:cs="Times New Roman"/>
              </w:rPr>
              <w:t xml:space="preserve">NOAEL </w:t>
            </w:r>
            <w:r>
              <w:rPr>
                <w:rFonts w:cs="Times New Roman"/>
              </w:rPr>
              <w:t xml:space="preserve">of </w:t>
            </w:r>
            <w:r w:rsidRPr="00094842">
              <w:rPr>
                <w:rFonts w:cs="Times New Roman"/>
              </w:rPr>
              <w:t>0.0014 mg/kg bw/day (0.02 ppm) based on increased levels of serum cholesterol at the next highest dose of 0.0036 mg/kg bw/day (0.05 ppm).</w:t>
            </w:r>
          </w:p>
        </w:tc>
      </w:tr>
    </w:tbl>
    <w:p w14:paraId="6FCA0035" w14:textId="09A14FEC" w:rsidR="008E67EA" w:rsidRPr="00671731" w:rsidRDefault="008E67EA">
      <w:pPr>
        <w:pStyle w:val="NumberLevel1"/>
        <w:numPr>
          <w:ilvl w:val="0"/>
          <w:numId w:val="17"/>
        </w:numPr>
        <w:tabs>
          <w:tab w:val="clear" w:pos="709"/>
          <w:tab w:val="num" w:pos="2553"/>
        </w:tabs>
      </w:pPr>
      <w:r>
        <w:t xml:space="preserve">For the occupational user exposure modelling with the US EPA OPHEC, in addition to the selected points of departure and the margin of exposure listed </w:t>
      </w:r>
      <w:r w:rsidRPr="00D869C6">
        <w:t>above, I note that</w:t>
      </w:r>
      <w:r>
        <w:t xml:space="preserve"> default values or assumptions have been selected for the assessment parameters of body weight (adult), dermal and inhalation absorption factors, number of bait stations loaded per day and area </w:t>
      </w:r>
      <w:r w:rsidRPr="000D522C">
        <w:t>treated (</w:t>
      </w:r>
      <w:r w:rsidRPr="00D035F8">
        <w:rPr>
          <w:i/>
          <w:iCs/>
        </w:rPr>
        <w:t>‘</w:t>
      </w:r>
      <w:r w:rsidRPr="00175F2F">
        <w:rPr>
          <w:i/>
          <w:iCs/>
        </w:rPr>
        <w:t xml:space="preserve">Table 60: Parameters, assumptions and models used in risk assessment for rodenticide users’ </w:t>
      </w:r>
      <w:r w:rsidRPr="000D522C">
        <w:t xml:space="preserve">in the </w:t>
      </w:r>
      <w:r w:rsidRPr="000D522C">
        <w:rPr>
          <w:i/>
          <w:iCs/>
        </w:rPr>
        <w:t>Anticoagulant</w:t>
      </w:r>
      <w:r w:rsidRPr="00C560C5">
        <w:rPr>
          <w:i/>
          <w:iCs/>
        </w:rPr>
        <w:t xml:space="preserve"> Rodenticides Review Technical Report</w:t>
      </w:r>
      <w:r w:rsidRPr="00F01E91">
        <w:t>)</w:t>
      </w:r>
      <w:r>
        <w:t xml:space="preserve">. Finally, based on the current instructions for use for chemical </w:t>
      </w:r>
      <w:r w:rsidRPr="00D869C6">
        <w:t>products, I note that</w:t>
      </w:r>
      <w:r>
        <w:t xml:space="preserve"> this modelling was conducted on the basis that the user is wearing a single layer of clothing and gloves and that the products are applied by hand or with a cup (or scoop/measure), as either loose baits or within refillable bait stations.</w:t>
      </w:r>
    </w:p>
    <w:p w14:paraId="3376D7D5" w14:textId="77777777" w:rsidR="008E67EA" w:rsidRPr="00D869C6" w:rsidRDefault="008E67EA">
      <w:pPr>
        <w:pStyle w:val="NumberLevel1"/>
        <w:numPr>
          <w:ilvl w:val="0"/>
          <w:numId w:val="17"/>
        </w:numPr>
        <w:tabs>
          <w:tab w:val="clear" w:pos="709"/>
          <w:tab w:val="num" w:pos="2553"/>
        </w:tabs>
      </w:pPr>
      <w:bookmarkStart w:id="226" w:name="_Ref213489191"/>
      <w:r>
        <w:rPr>
          <w:color w:val="000000" w:themeColor="text1"/>
        </w:rPr>
        <w:t>In relation</w:t>
      </w:r>
      <w:r w:rsidRPr="00897C26">
        <w:rPr>
          <w:color w:val="000000" w:themeColor="text1"/>
        </w:rPr>
        <w:t xml:space="preserve"> </w:t>
      </w:r>
      <w:r>
        <w:rPr>
          <w:color w:val="000000" w:themeColor="text1"/>
        </w:rPr>
        <w:t xml:space="preserve">to margins of exposure calculated in </w:t>
      </w:r>
      <w:r w:rsidRPr="00897C26">
        <w:rPr>
          <w:color w:val="000000" w:themeColor="text1"/>
        </w:rPr>
        <w:t xml:space="preserve">the first-tier risk characterisation </w:t>
      </w:r>
      <w:r>
        <w:rPr>
          <w:color w:val="000000" w:themeColor="text1"/>
        </w:rPr>
        <w:t>for the occupational</w:t>
      </w:r>
      <w:r w:rsidRPr="00897C26">
        <w:rPr>
          <w:color w:val="000000" w:themeColor="text1"/>
        </w:rPr>
        <w:t xml:space="preserve"> use of </w:t>
      </w:r>
      <w:r w:rsidRPr="000B1FE7">
        <w:rPr>
          <w:color w:val="000000" w:themeColor="text1"/>
        </w:rPr>
        <w:t xml:space="preserve">chemical products containing </w:t>
      </w:r>
      <w:r>
        <w:rPr>
          <w:color w:val="000000" w:themeColor="text1"/>
        </w:rPr>
        <w:t xml:space="preserve">the relevant active constituents, </w:t>
      </w:r>
      <w:r w:rsidRPr="00D869C6">
        <w:rPr>
          <w:color w:val="000000" w:themeColor="text1"/>
        </w:rPr>
        <w:t>based on my review and consideration of the</w:t>
      </w:r>
      <w:r>
        <w:rPr>
          <w:color w:val="000000" w:themeColor="text1"/>
        </w:rPr>
        <w:t xml:space="preserve"> risk assessment summarised </w:t>
      </w:r>
      <w:r w:rsidRPr="0062305B">
        <w:rPr>
          <w:color w:val="000000" w:themeColor="text1"/>
        </w:rPr>
        <w:t xml:space="preserve">in </w:t>
      </w:r>
      <w:r>
        <w:rPr>
          <w:color w:val="000000" w:themeColor="text1"/>
        </w:rPr>
        <w:t xml:space="preserve">section </w:t>
      </w:r>
      <w:r w:rsidRPr="00D035F8">
        <w:rPr>
          <w:i/>
          <w:iCs/>
          <w:color w:val="000000" w:themeColor="text1"/>
        </w:rPr>
        <w:t>‘4.8.1 Professional users’</w:t>
      </w:r>
      <w:r w:rsidRPr="0062305B">
        <w:rPr>
          <w:color w:val="000000" w:themeColor="text1"/>
        </w:rPr>
        <w:t xml:space="preserve"> of the </w:t>
      </w:r>
      <w:r w:rsidRPr="0062305B">
        <w:rPr>
          <w:i/>
          <w:iCs/>
          <w:color w:val="000000" w:themeColor="text1"/>
        </w:rPr>
        <w:t>Anticoagulant Rodenticid</w:t>
      </w:r>
      <w:r w:rsidRPr="00D869C6">
        <w:rPr>
          <w:i/>
          <w:iCs/>
          <w:color w:val="000000" w:themeColor="text1"/>
        </w:rPr>
        <w:t>es Review Technical Report</w:t>
      </w:r>
      <w:r w:rsidRPr="00D869C6">
        <w:rPr>
          <w:color w:val="000000" w:themeColor="text1"/>
        </w:rPr>
        <w:t>:</w:t>
      </w:r>
      <w:bookmarkEnd w:id="226"/>
    </w:p>
    <w:p w14:paraId="7142D37A" w14:textId="73F9584C" w:rsidR="008E67EA" w:rsidRPr="00D869C6" w:rsidRDefault="008E67EA">
      <w:pPr>
        <w:pStyle w:val="NumberLevel2"/>
        <w:numPr>
          <w:ilvl w:val="1"/>
          <w:numId w:val="17"/>
        </w:numPr>
        <w:ind w:left="1134"/>
        <w:rPr>
          <w:color w:val="000000" w:themeColor="text1"/>
        </w:rPr>
      </w:pPr>
      <w:r w:rsidRPr="00D869C6">
        <w:rPr>
          <w:color w:val="000000" w:themeColor="text1"/>
        </w:rPr>
        <w:t xml:space="preserve">I note that the margins of exposure calculated for hand application of loose baits, either as broadcast baits or in refillable bait stations, </w:t>
      </w:r>
      <w:r w:rsidRPr="00D869C6">
        <w:rPr>
          <w:b/>
          <w:bCs/>
          <w:color w:val="000000" w:themeColor="text1"/>
          <w:u w:val="single"/>
        </w:rPr>
        <w:t>are not</w:t>
      </w:r>
      <w:r w:rsidRPr="00D869C6">
        <w:rPr>
          <w:color w:val="000000" w:themeColor="text1"/>
        </w:rPr>
        <w:t xml:space="preserve"> within the acceptable range of greater than or equal to 1000 (</w:t>
      </w:r>
      <w:r w:rsidRPr="00D869C6">
        <w:rPr>
          <w:color w:val="000000" w:themeColor="text1"/>
        </w:rPr>
        <w:fldChar w:fldCharType="begin"/>
      </w:r>
      <w:r w:rsidRPr="00D869C6">
        <w:rPr>
          <w:color w:val="000000" w:themeColor="text1"/>
        </w:rPr>
        <w:instrText xml:space="preserve"> REF _Ref203929935 \h </w:instrText>
      </w:r>
      <w:r>
        <w:rPr>
          <w:color w:val="000000" w:themeColor="text1"/>
        </w:rPr>
        <w:instrText xml:space="preserve"> \* MERGEFORMAT </w:instrText>
      </w:r>
      <w:r w:rsidRPr="00D869C6">
        <w:rPr>
          <w:color w:val="000000" w:themeColor="text1"/>
        </w:rPr>
      </w:r>
      <w:r w:rsidRPr="00D869C6">
        <w:rPr>
          <w:color w:val="000000" w:themeColor="text1"/>
        </w:rPr>
        <w:fldChar w:fldCharType="separate"/>
      </w:r>
      <w:r w:rsidR="002C0C2A" w:rsidRPr="00D869C6">
        <w:t xml:space="preserve">Table </w:t>
      </w:r>
      <w:r w:rsidR="002C0C2A">
        <w:rPr>
          <w:noProof/>
        </w:rPr>
        <w:t>12</w:t>
      </w:r>
      <w:r w:rsidRPr="00D869C6">
        <w:rPr>
          <w:color w:val="000000" w:themeColor="text1"/>
        </w:rPr>
        <w:fldChar w:fldCharType="end"/>
      </w:r>
      <w:r w:rsidRPr="00D869C6">
        <w:rPr>
          <w:color w:val="000000" w:themeColor="text1"/>
        </w:rPr>
        <w:t xml:space="preserve">). As such, for the chemical products listed in Attachment A of this notice whose current instructions for use permit an occupational user to apply loose baits by hand while only wearing a single layer of clothing and gloves, I consider that the use in accordance with the current approved instructions </w:t>
      </w:r>
      <w:r w:rsidRPr="00D869C6">
        <w:rPr>
          <w:b/>
          <w:bCs/>
          <w:color w:val="000000" w:themeColor="text1"/>
        </w:rPr>
        <w:t>may</w:t>
      </w:r>
      <w:r w:rsidRPr="00D869C6">
        <w:rPr>
          <w:color w:val="000000" w:themeColor="text1"/>
        </w:rPr>
        <w:t xml:space="preserve"> pose an undue hazard to an occupational user exposed to the chemical product during application.</w:t>
      </w:r>
    </w:p>
    <w:p w14:paraId="2BB7EC01" w14:textId="4B94AF48" w:rsidR="008E67EA" w:rsidRPr="00D869C6" w:rsidRDefault="008E67EA">
      <w:pPr>
        <w:pStyle w:val="NumberLevel2"/>
        <w:numPr>
          <w:ilvl w:val="1"/>
          <w:numId w:val="17"/>
        </w:numPr>
        <w:ind w:left="1134"/>
        <w:rPr>
          <w:color w:val="000000" w:themeColor="text1"/>
        </w:rPr>
      </w:pPr>
      <w:r w:rsidRPr="00D869C6">
        <w:rPr>
          <w:color w:val="000000" w:themeColor="text1"/>
        </w:rPr>
        <w:t>I also note that the margins of exposure calculated for the application of loose baits using a cup (or scoop/measure) are well above the minimum acceptable margin of exposure of 1000 (</w:t>
      </w:r>
      <w:r w:rsidRPr="00D869C6">
        <w:rPr>
          <w:color w:val="000000" w:themeColor="text1"/>
        </w:rPr>
        <w:fldChar w:fldCharType="begin"/>
      </w:r>
      <w:r w:rsidRPr="00D869C6">
        <w:rPr>
          <w:color w:val="000000" w:themeColor="text1"/>
        </w:rPr>
        <w:instrText xml:space="preserve"> REF _Ref203929935 \h </w:instrText>
      </w:r>
      <w:r>
        <w:rPr>
          <w:color w:val="000000" w:themeColor="text1"/>
        </w:rPr>
        <w:instrText xml:space="preserve"> \* MERGEFORMAT </w:instrText>
      </w:r>
      <w:r w:rsidRPr="00D869C6">
        <w:rPr>
          <w:color w:val="000000" w:themeColor="text1"/>
        </w:rPr>
      </w:r>
      <w:r w:rsidRPr="00D869C6">
        <w:rPr>
          <w:color w:val="000000" w:themeColor="text1"/>
        </w:rPr>
        <w:fldChar w:fldCharType="separate"/>
      </w:r>
      <w:r w:rsidR="002C0C2A" w:rsidRPr="00D869C6">
        <w:t xml:space="preserve">Table </w:t>
      </w:r>
      <w:r w:rsidR="002C0C2A">
        <w:rPr>
          <w:noProof/>
        </w:rPr>
        <w:t>12</w:t>
      </w:r>
      <w:r w:rsidRPr="00D869C6">
        <w:rPr>
          <w:color w:val="000000" w:themeColor="text1"/>
        </w:rPr>
        <w:fldChar w:fldCharType="end"/>
      </w:r>
      <w:r w:rsidRPr="00D869C6">
        <w:rPr>
          <w:color w:val="000000" w:themeColor="text1"/>
        </w:rPr>
        <w:t>). I consider that it can be inferred from the cup application modelling outcomes that the use of chemical products packaged within a caulking gun, sachets or place packs or within a pre-baited bait station would also result in acceptable levels of exposure for occupational users, provided that the bait itself is not handled.</w:t>
      </w:r>
    </w:p>
    <w:p w14:paraId="49E59F6E" w14:textId="35293623" w:rsidR="008E67EA" w:rsidRPr="00D869C6" w:rsidRDefault="008E67EA">
      <w:pPr>
        <w:pStyle w:val="NumberLevel2"/>
        <w:numPr>
          <w:ilvl w:val="1"/>
          <w:numId w:val="17"/>
        </w:numPr>
        <w:ind w:left="1134"/>
        <w:rPr>
          <w:color w:val="000000" w:themeColor="text1"/>
        </w:rPr>
      </w:pPr>
      <w:bookmarkStart w:id="227" w:name="_Ref213444614"/>
      <w:r w:rsidRPr="00D869C6">
        <w:rPr>
          <w:color w:val="000000" w:themeColor="text1"/>
        </w:rPr>
        <w:t xml:space="preserve">As such, I find that instructions that direct people to wear disposable gloves when using the product and to not touch the bait are required to mitigate the risks to occupational users who apply the anticoagulant rodenticides chemical products listed in Attachment A of this notice (further detailed below in </w:t>
      </w:r>
      <w:r w:rsidRPr="00D869C6">
        <w:rPr>
          <w:i/>
          <w:iCs/>
          <w:color w:val="000000" w:themeColor="text1"/>
        </w:rPr>
        <w:t>‘Safety directions’</w:t>
      </w:r>
      <w:r w:rsidRPr="00D869C6">
        <w:rPr>
          <w:color w:val="000000" w:themeColor="text1"/>
        </w:rPr>
        <w:t xml:space="preserve"> section at paragraphs </w:t>
      </w:r>
      <w:r w:rsidRPr="00D869C6">
        <w:rPr>
          <w:color w:val="000000" w:themeColor="text1"/>
        </w:rPr>
        <w:fldChar w:fldCharType="begin"/>
      </w:r>
      <w:r w:rsidRPr="00D869C6">
        <w:rPr>
          <w:color w:val="000000" w:themeColor="text1"/>
        </w:rPr>
        <w:instrText xml:space="preserve"> REF _Ref205886343 \r \h </w:instrText>
      </w:r>
      <w:r>
        <w:rPr>
          <w:color w:val="000000" w:themeColor="text1"/>
        </w:rPr>
        <w:instrText xml:space="preserve"> \* MERGEFORMAT </w:instrText>
      </w:r>
      <w:r w:rsidRPr="00D869C6">
        <w:rPr>
          <w:color w:val="000000" w:themeColor="text1"/>
        </w:rPr>
      </w:r>
      <w:r w:rsidRPr="00D869C6">
        <w:rPr>
          <w:color w:val="000000" w:themeColor="text1"/>
        </w:rPr>
        <w:fldChar w:fldCharType="separate"/>
      </w:r>
      <w:r w:rsidR="002C0C2A">
        <w:rPr>
          <w:color w:val="000000" w:themeColor="text1"/>
        </w:rPr>
        <w:t>92</w:t>
      </w:r>
      <w:r w:rsidRPr="00D869C6">
        <w:rPr>
          <w:color w:val="000000" w:themeColor="text1"/>
        </w:rPr>
        <w:fldChar w:fldCharType="end"/>
      </w:r>
      <w:r w:rsidRPr="00D869C6">
        <w:rPr>
          <w:color w:val="000000" w:themeColor="text1"/>
        </w:rPr>
        <w:t xml:space="preserve"> – </w:t>
      </w:r>
      <w:r w:rsidRPr="00D869C6">
        <w:rPr>
          <w:color w:val="000000" w:themeColor="text1"/>
        </w:rPr>
        <w:fldChar w:fldCharType="begin"/>
      </w:r>
      <w:r w:rsidRPr="00D869C6">
        <w:rPr>
          <w:color w:val="000000" w:themeColor="text1"/>
        </w:rPr>
        <w:instrText xml:space="preserve"> REF _Ref205885561 \r \h </w:instrText>
      </w:r>
      <w:r>
        <w:rPr>
          <w:color w:val="000000" w:themeColor="text1"/>
        </w:rPr>
        <w:instrText xml:space="preserve"> \* MERGEFORMAT </w:instrText>
      </w:r>
      <w:r w:rsidRPr="00D869C6">
        <w:rPr>
          <w:color w:val="000000" w:themeColor="text1"/>
        </w:rPr>
      </w:r>
      <w:r w:rsidRPr="00D869C6">
        <w:rPr>
          <w:color w:val="000000" w:themeColor="text1"/>
        </w:rPr>
        <w:fldChar w:fldCharType="separate"/>
      </w:r>
      <w:r w:rsidR="002C0C2A">
        <w:rPr>
          <w:color w:val="000000" w:themeColor="text1"/>
        </w:rPr>
        <w:t>93</w:t>
      </w:r>
      <w:r w:rsidRPr="00D869C6">
        <w:rPr>
          <w:color w:val="000000" w:themeColor="text1"/>
        </w:rPr>
        <w:fldChar w:fldCharType="end"/>
      </w:r>
      <w:r w:rsidRPr="00D869C6">
        <w:rPr>
          <w:color w:val="000000" w:themeColor="text1"/>
        </w:rPr>
        <w:t xml:space="preserve"> of these reasons). I also consider that any current instructions for use that indicate people should avoid touching the bait should be varied to </w:t>
      </w:r>
      <w:r w:rsidRPr="00D869C6">
        <w:rPr>
          <w:b/>
          <w:bCs/>
          <w:i/>
          <w:iCs/>
          <w:color w:val="000000" w:themeColor="text1"/>
        </w:rPr>
        <w:t>‘DO NOT touch bait’</w:t>
      </w:r>
      <w:r w:rsidRPr="00D869C6">
        <w:rPr>
          <w:color w:val="000000" w:themeColor="text1"/>
        </w:rPr>
        <w:t>. Finally, I am satisfied that any potential exposure from application of current chemical products containing the relevant active constituents in accordance with the varied instructions would not be an undue hazard to occupational users.</w:t>
      </w:r>
      <w:bookmarkEnd w:id="227"/>
    </w:p>
    <w:p w14:paraId="09221A3A" w14:textId="08CE3521" w:rsidR="008E67EA" w:rsidRPr="00D869C6" w:rsidRDefault="008E67EA" w:rsidP="00B33ED7">
      <w:pPr>
        <w:pStyle w:val="Caption"/>
        <w:ind w:left="567"/>
      </w:pPr>
      <w:bookmarkStart w:id="228" w:name="_Ref203929935"/>
      <w:r w:rsidRPr="00D869C6">
        <w:lastRenderedPageBreak/>
        <w:t xml:space="preserve">Table </w:t>
      </w:r>
      <w:r w:rsidRPr="00D869C6">
        <w:fldChar w:fldCharType="begin"/>
      </w:r>
      <w:r w:rsidRPr="00D869C6">
        <w:instrText xml:space="preserve"> SEQ Table \* ARABIC </w:instrText>
      </w:r>
      <w:r w:rsidRPr="00D869C6">
        <w:fldChar w:fldCharType="separate"/>
      </w:r>
      <w:r w:rsidR="002C0C2A">
        <w:rPr>
          <w:noProof/>
        </w:rPr>
        <w:t>12</w:t>
      </w:r>
      <w:r w:rsidRPr="00D869C6">
        <w:fldChar w:fldCharType="end"/>
      </w:r>
      <w:bookmarkEnd w:id="228"/>
      <w:r w:rsidRPr="00D869C6">
        <w:t xml:space="preserve">: Occupational users – outcomes summary for the first-tier risk characterisation </w:t>
      </w: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344"/>
        <w:gridCol w:w="2199"/>
        <w:gridCol w:w="2412"/>
        <w:gridCol w:w="1559"/>
        <w:gridCol w:w="1552"/>
      </w:tblGrid>
      <w:tr w:rsidR="008E67EA" w:rsidRPr="00D869C6" w14:paraId="255F06F2" w14:textId="77777777" w:rsidTr="00B44A74">
        <w:trPr>
          <w:cantSplit/>
          <w:tblHeader/>
        </w:trPr>
        <w:tc>
          <w:tcPr>
            <w:tcW w:w="741" w:type="pct"/>
            <w:tcBorders>
              <w:top w:val="single" w:sz="4" w:space="0" w:color="auto"/>
              <w:left w:val="single" w:sz="4" w:space="0" w:color="auto"/>
              <w:bottom w:val="single" w:sz="4" w:space="0" w:color="auto"/>
              <w:right w:val="single" w:sz="4" w:space="0" w:color="auto"/>
            </w:tcBorders>
            <w:shd w:val="clear" w:color="auto" w:fill="E6E6E6"/>
            <w:hideMark/>
          </w:tcPr>
          <w:p w14:paraId="7C54DFAF" w14:textId="77777777" w:rsidR="008E67EA" w:rsidRPr="00D869C6" w:rsidRDefault="008E67EA" w:rsidP="00B44A74">
            <w:pPr>
              <w:pStyle w:val="TableHead"/>
              <w:spacing w:before="0" w:after="0"/>
              <w:rPr>
                <w:color w:val="auto"/>
              </w:rPr>
            </w:pPr>
            <w:r w:rsidRPr="00D869C6">
              <w:rPr>
                <w:color w:val="auto"/>
              </w:rPr>
              <w:t>Active</w:t>
            </w:r>
          </w:p>
        </w:tc>
        <w:tc>
          <w:tcPr>
            <w:tcW w:w="1213" w:type="pct"/>
            <w:tcBorders>
              <w:top w:val="single" w:sz="4" w:space="0" w:color="auto"/>
              <w:left w:val="single" w:sz="4" w:space="0" w:color="auto"/>
              <w:bottom w:val="single" w:sz="4" w:space="0" w:color="auto"/>
              <w:right w:val="single" w:sz="4" w:space="0" w:color="auto"/>
            </w:tcBorders>
            <w:shd w:val="clear" w:color="auto" w:fill="E6E6E6"/>
          </w:tcPr>
          <w:p w14:paraId="5F163AC0" w14:textId="77777777" w:rsidR="008E67EA" w:rsidRPr="00D869C6" w:rsidRDefault="008E67EA" w:rsidP="00B44A74">
            <w:pPr>
              <w:pStyle w:val="TableHead"/>
              <w:spacing w:before="0" w:after="0"/>
              <w:rPr>
                <w:color w:val="auto"/>
              </w:rPr>
            </w:pPr>
            <w:r w:rsidRPr="00D869C6">
              <w:rPr>
                <w:color w:val="auto"/>
              </w:rPr>
              <w:t>Application method</w:t>
            </w:r>
          </w:p>
        </w:tc>
        <w:tc>
          <w:tcPr>
            <w:tcW w:w="1330" w:type="pct"/>
            <w:tcBorders>
              <w:top w:val="single" w:sz="4" w:space="0" w:color="auto"/>
              <w:left w:val="single" w:sz="4" w:space="0" w:color="auto"/>
              <w:bottom w:val="single" w:sz="4" w:space="0" w:color="auto"/>
              <w:right w:val="single" w:sz="4" w:space="0" w:color="auto"/>
            </w:tcBorders>
            <w:shd w:val="clear" w:color="auto" w:fill="E6E6E6"/>
            <w:hideMark/>
          </w:tcPr>
          <w:p w14:paraId="72D8D374" w14:textId="77777777" w:rsidR="008E67EA" w:rsidRPr="00D869C6" w:rsidRDefault="008E67EA" w:rsidP="00B44A74">
            <w:pPr>
              <w:pStyle w:val="TableHead"/>
              <w:spacing w:before="0" w:after="0"/>
              <w:rPr>
                <w:color w:val="auto"/>
              </w:rPr>
            </w:pPr>
            <w:r w:rsidRPr="00D869C6">
              <w:rPr>
                <w:color w:val="auto"/>
              </w:rPr>
              <w:t xml:space="preserve">Application rate </w:t>
            </w:r>
          </w:p>
        </w:tc>
        <w:tc>
          <w:tcPr>
            <w:tcW w:w="860" w:type="pct"/>
            <w:tcBorders>
              <w:top w:val="single" w:sz="4" w:space="0" w:color="auto"/>
              <w:left w:val="single" w:sz="4" w:space="0" w:color="auto"/>
              <w:bottom w:val="single" w:sz="4" w:space="0" w:color="auto"/>
              <w:right w:val="single" w:sz="4" w:space="0" w:color="auto"/>
            </w:tcBorders>
            <w:shd w:val="clear" w:color="auto" w:fill="E6E6E6"/>
          </w:tcPr>
          <w:p w14:paraId="03350513" w14:textId="77777777" w:rsidR="008E67EA" w:rsidRPr="00D869C6" w:rsidRDefault="008E67EA" w:rsidP="00B44A74">
            <w:pPr>
              <w:pStyle w:val="TableHead"/>
              <w:spacing w:before="0" w:after="0"/>
              <w:jc w:val="center"/>
              <w:rPr>
                <w:color w:val="auto"/>
              </w:rPr>
            </w:pPr>
            <w:r w:rsidRPr="00D869C6">
              <w:rPr>
                <w:color w:val="auto"/>
              </w:rPr>
              <w:t>MOE* (hand application)</w:t>
            </w:r>
          </w:p>
        </w:tc>
        <w:tc>
          <w:tcPr>
            <w:tcW w:w="856" w:type="pct"/>
            <w:tcBorders>
              <w:top w:val="single" w:sz="4" w:space="0" w:color="auto"/>
              <w:left w:val="single" w:sz="4" w:space="0" w:color="auto"/>
              <w:bottom w:val="single" w:sz="4" w:space="0" w:color="auto"/>
              <w:right w:val="single" w:sz="4" w:space="0" w:color="auto"/>
            </w:tcBorders>
            <w:shd w:val="clear" w:color="auto" w:fill="E6E6E6"/>
          </w:tcPr>
          <w:p w14:paraId="24106E2A" w14:textId="77777777" w:rsidR="008E67EA" w:rsidRPr="00D869C6" w:rsidRDefault="008E67EA" w:rsidP="00B44A74">
            <w:pPr>
              <w:pStyle w:val="TableHead"/>
              <w:spacing w:before="0" w:after="0"/>
              <w:jc w:val="center"/>
              <w:rPr>
                <w:color w:val="auto"/>
              </w:rPr>
            </w:pPr>
            <w:r w:rsidRPr="00D869C6">
              <w:rPr>
                <w:color w:val="auto"/>
              </w:rPr>
              <w:t>MOE* (cup application)</w:t>
            </w:r>
          </w:p>
        </w:tc>
      </w:tr>
      <w:tr w:rsidR="008E67EA" w:rsidRPr="00D869C6" w14:paraId="3C9E7C36" w14:textId="77777777" w:rsidTr="00B44A74">
        <w:trPr>
          <w:cantSplit/>
        </w:trPr>
        <w:tc>
          <w:tcPr>
            <w:tcW w:w="5000" w:type="pct"/>
            <w:gridSpan w:val="5"/>
            <w:tcBorders>
              <w:top w:val="single" w:sz="4" w:space="0" w:color="auto"/>
              <w:left w:val="single" w:sz="4" w:space="0" w:color="auto"/>
              <w:bottom w:val="single" w:sz="4" w:space="0" w:color="auto"/>
              <w:right w:val="single" w:sz="4" w:space="0" w:color="auto"/>
            </w:tcBorders>
          </w:tcPr>
          <w:p w14:paraId="499A398C" w14:textId="77777777" w:rsidR="008E67EA" w:rsidRPr="00D869C6" w:rsidRDefault="008E67EA" w:rsidP="00B44A74">
            <w:pPr>
              <w:pStyle w:val="APVMATableText"/>
              <w:spacing w:before="0" w:after="0"/>
              <w:rPr>
                <w:i/>
                <w:iCs/>
              </w:rPr>
            </w:pPr>
            <w:r w:rsidRPr="00D869C6">
              <w:rPr>
                <w:i/>
                <w:iCs/>
              </w:rPr>
              <w:t>First generation anticoagulant rodenticides</w:t>
            </w:r>
          </w:p>
        </w:tc>
      </w:tr>
      <w:tr w:rsidR="008E67EA" w:rsidRPr="00B47D21" w14:paraId="0A9AAECC" w14:textId="77777777" w:rsidTr="00B44A74">
        <w:trPr>
          <w:cantSplit/>
        </w:trPr>
        <w:tc>
          <w:tcPr>
            <w:tcW w:w="741" w:type="pct"/>
            <w:vMerge w:val="restart"/>
            <w:tcBorders>
              <w:top w:val="single" w:sz="4" w:space="0" w:color="auto"/>
              <w:left w:val="single" w:sz="4" w:space="0" w:color="auto"/>
              <w:right w:val="single" w:sz="4" w:space="0" w:color="auto"/>
            </w:tcBorders>
          </w:tcPr>
          <w:p w14:paraId="271000FB" w14:textId="77777777" w:rsidR="008E67EA" w:rsidRPr="00D869C6" w:rsidRDefault="008E67EA" w:rsidP="00B44A74">
            <w:pPr>
              <w:pStyle w:val="APVMATableText"/>
              <w:spacing w:before="0" w:after="0"/>
            </w:pPr>
            <w:r w:rsidRPr="00D869C6">
              <w:t>Coumatetralyl</w:t>
            </w:r>
          </w:p>
        </w:tc>
        <w:tc>
          <w:tcPr>
            <w:tcW w:w="1213" w:type="pct"/>
            <w:tcBorders>
              <w:top w:val="single" w:sz="4" w:space="0" w:color="auto"/>
              <w:left w:val="single" w:sz="4" w:space="0" w:color="auto"/>
              <w:right w:val="single" w:sz="4" w:space="0" w:color="auto"/>
            </w:tcBorders>
          </w:tcPr>
          <w:p w14:paraId="2C025D19" w14:textId="77777777" w:rsidR="008E67EA" w:rsidRPr="00D869C6" w:rsidRDefault="008E67EA" w:rsidP="00B44A74">
            <w:pPr>
              <w:pStyle w:val="APVMATableText"/>
              <w:spacing w:before="0" w:after="0"/>
            </w:pPr>
            <w:r w:rsidRPr="00D869C6">
              <w:t>Broadcast baits</w:t>
            </w:r>
          </w:p>
        </w:tc>
        <w:tc>
          <w:tcPr>
            <w:tcW w:w="1330" w:type="pct"/>
            <w:tcBorders>
              <w:top w:val="single" w:sz="4" w:space="0" w:color="auto"/>
              <w:left w:val="single" w:sz="4" w:space="0" w:color="auto"/>
              <w:bottom w:val="single" w:sz="4" w:space="0" w:color="auto"/>
              <w:right w:val="single" w:sz="4" w:space="0" w:color="auto"/>
            </w:tcBorders>
            <w:vAlign w:val="center"/>
          </w:tcPr>
          <w:p w14:paraId="71BA5F98" w14:textId="77777777" w:rsidR="008E67EA" w:rsidRPr="00D869C6" w:rsidRDefault="008E67EA" w:rsidP="00B44A74">
            <w:pPr>
              <w:pStyle w:val="APVMATableText"/>
              <w:spacing w:before="0" w:after="0"/>
            </w:pPr>
            <w:r w:rsidRPr="00D869C6">
              <w:t>1.14 g ac/ha</w:t>
            </w:r>
          </w:p>
        </w:tc>
        <w:tc>
          <w:tcPr>
            <w:tcW w:w="860" w:type="pct"/>
            <w:tcBorders>
              <w:top w:val="single" w:sz="4" w:space="0" w:color="auto"/>
              <w:left w:val="single" w:sz="4" w:space="0" w:color="auto"/>
              <w:bottom w:val="single" w:sz="4" w:space="0" w:color="auto"/>
              <w:right w:val="single" w:sz="4" w:space="0" w:color="auto"/>
            </w:tcBorders>
          </w:tcPr>
          <w:p w14:paraId="15F2506B" w14:textId="77777777" w:rsidR="008E67EA" w:rsidRPr="00D869C6" w:rsidRDefault="008E67EA" w:rsidP="00B44A74">
            <w:pPr>
              <w:pStyle w:val="APVMATableText"/>
              <w:spacing w:before="0" w:after="0"/>
              <w:jc w:val="center"/>
            </w:pPr>
            <w:r w:rsidRPr="00D869C6">
              <w:t>310</w:t>
            </w:r>
          </w:p>
        </w:tc>
        <w:tc>
          <w:tcPr>
            <w:tcW w:w="856" w:type="pct"/>
            <w:tcBorders>
              <w:top w:val="single" w:sz="4" w:space="0" w:color="auto"/>
              <w:left w:val="single" w:sz="4" w:space="0" w:color="auto"/>
              <w:bottom w:val="single" w:sz="4" w:space="0" w:color="auto"/>
              <w:right w:val="single" w:sz="4" w:space="0" w:color="auto"/>
            </w:tcBorders>
          </w:tcPr>
          <w:p w14:paraId="0C03D8A3" w14:textId="77777777" w:rsidR="008E67EA" w:rsidRPr="00B47D21" w:rsidRDefault="008E67EA" w:rsidP="00B44A74">
            <w:pPr>
              <w:pStyle w:val="APVMATableText"/>
              <w:spacing w:before="0" w:after="0"/>
              <w:jc w:val="center"/>
            </w:pPr>
            <w:r w:rsidRPr="00D869C6">
              <w:t>170 000</w:t>
            </w:r>
          </w:p>
        </w:tc>
      </w:tr>
      <w:tr w:rsidR="008E67EA" w:rsidRPr="00B47D21" w14:paraId="05DA2F19" w14:textId="77777777" w:rsidTr="00B44A74">
        <w:trPr>
          <w:cantSplit/>
        </w:trPr>
        <w:tc>
          <w:tcPr>
            <w:tcW w:w="741" w:type="pct"/>
            <w:vMerge/>
            <w:tcBorders>
              <w:left w:val="single" w:sz="4" w:space="0" w:color="auto"/>
              <w:right w:val="single" w:sz="4" w:space="0" w:color="auto"/>
            </w:tcBorders>
          </w:tcPr>
          <w:p w14:paraId="6B3089D2" w14:textId="77777777" w:rsidR="008E67EA" w:rsidRPr="00B47D21" w:rsidRDefault="008E67EA" w:rsidP="00B44A74">
            <w:pPr>
              <w:pStyle w:val="APVMATableText"/>
              <w:spacing w:before="0" w:after="0"/>
            </w:pPr>
          </w:p>
        </w:tc>
        <w:tc>
          <w:tcPr>
            <w:tcW w:w="1213" w:type="pct"/>
            <w:tcBorders>
              <w:left w:val="single" w:sz="4" w:space="0" w:color="auto"/>
              <w:right w:val="single" w:sz="4" w:space="0" w:color="auto"/>
            </w:tcBorders>
          </w:tcPr>
          <w:p w14:paraId="40242298" w14:textId="77777777" w:rsidR="008E67EA" w:rsidRPr="00B47D21" w:rsidRDefault="008E67EA" w:rsidP="00B44A74">
            <w:pPr>
              <w:pStyle w:val="APVMATableText"/>
              <w:spacing w:before="0" w:after="0"/>
            </w:pPr>
            <w:r w:rsidRPr="00B47D21">
              <w:t>Refillable bait stations</w:t>
            </w:r>
          </w:p>
        </w:tc>
        <w:tc>
          <w:tcPr>
            <w:tcW w:w="1330" w:type="pct"/>
            <w:tcBorders>
              <w:top w:val="single" w:sz="4" w:space="0" w:color="auto"/>
              <w:left w:val="single" w:sz="4" w:space="0" w:color="auto"/>
              <w:bottom w:val="single" w:sz="4" w:space="0" w:color="auto"/>
              <w:right w:val="single" w:sz="4" w:space="0" w:color="auto"/>
            </w:tcBorders>
            <w:vAlign w:val="center"/>
          </w:tcPr>
          <w:p w14:paraId="454FEAE0" w14:textId="77777777" w:rsidR="008E67EA" w:rsidRPr="00B47D21" w:rsidRDefault="008E67EA" w:rsidP="00B44A74">
            <w:pPr>
              <w:pStyle w:val="APVMATableText"/>
              <w:spacing w:before="0" w:after="0"/>
            </w:pPr>
            <w:r w:rsidRPr="00B47D21">
              <w:t>38.1 mg ac/bait station</w:t>
            </w:r>
          </w:p>
        </w:tc>
        <w:tc>
          <w:tcPr>
            <w:tcW w:w="860" w:type="pct"/>
            <w:tcBorders>
              <w:top w:val="single" w:sz="4" w:space="0" w:color="auto"/>
              <w:left w:val="single" w:sz="4" w:space="0" w:color="auto"/>
              <w:bottom w:val="single" w:sz="4" w:space="0" w:color="auto"/>
              <w:right w:val="single" w:sz="4" w:space="0" w:color="auto"/>
            </w:tcBorders>
          </w:tcPr>
          <w:p w14:paraId="25F25C0F" w14:textId="77777777" w:rsidR="008E67EA" w:rsidRPr="00B47D21" w:rsidRDefault="008E67EA" w:rsidP="00B44A74">
            <w:pPr>
              <w:pStyle w:val="APVMATableText"/>
              <w:spacing w:before="0" w:after="0"/>
              <w:jc w:val="center"/>
            </w:pPr>
            <w:r w:rsidRPr="00B47D21">
              <w:t>29</w:t>
            </w:r>
          </w:p>
        </w:tc>
        <w:tc>
          <w:tcPr>
            <w:tcW w:w="856" w:type="pct"/>
            <w:tcBorders>
              <w:top w:val="single" w:sz="4" w:space="0" w:color="auto"/>
              <w:left w:val="single" w:sz="4" w:space="0" w:color="auto"/>
              <w:bottom w:val="single" w:sz="4" w:space="0" w:color="auto"/>
              <w:right w:val="single" w:sz="4" w:space="0" w:color="auto"/>
            </w:tcBorders>
          </w:tcPr>
          <w:p w14:paraId="5DC26644" w14:textId="77777777" w:rsidR="008E67EA" w:rsidRPr="00B47D21" w:rsidRDefault="008E67EA" w:rsidP="00B44A74">
            <w:pPr>
              <w:pStyle w:val="APVMATableText"/>
              <w:spacing w:before="0" w:after="0"/>
              <w:jc w:val="center"/>
            </w:pPr>
            <w:r w:rsidRPr="00B47D21">
              <w:t>16 000</w:t>
            </w:r>
          </w:p>
        </w:tc>
      </w:tr>
      <w:tr w:rsidR="008E67EA" w:rsidRPr="00B47D21" w14:paraId="2DAD4C50" w14:textId="77777777" w:rsidTr="00B44A74">
        <w:trPr>
          <w:cantSplit/>
        </w:trPr>
        <w:tc>
          <w:tcPr>
            <w:tcW w:w="741" w:type="pct"/>
            <w:vMerge w:val="restart"/>
            <w:tcBorders>
              <w:top w:val="single" w:sz="4" w:space="0" w:color="auto"/>
              <w:left w:val="single" w:sz="4" w:space="0" w:color="auto"/>
              <w:right w:val="single" w:sz="4" w:space="0" w:color="auto"/>
            </w:tcBorders>
          </w:tcPr>
          <w:p w14:paraId="1E4D973E" w14:textId="77777777" w:rsidR="008E67EA" w:rsidRPr="00B47D21" w:rsidRDefault="008E67EA" w:rsidP="00B44A74">
            <w:pPr>
              <w:pStyle w:val="APVMATableText"/>
              <w:spacing w:before="0" w:after="0"/>
            </w:pPr>
            <w:r w:rsidRPr="00B47D21">
              <w:t>Diphacinone</w:t>
            </w:r>
          </w:p>
        </w:tc>
        <w:tc>
          <w:tcPr>
            <w:tcW w:w="1213" w:type="pct"/>
            <w:tcBorders>
              <w:top w:val="single" w:sz="4" w:space="0" w:color="auto"/>
              <w:left w:val="single" w:sz="4" w:space="0" w:color="auto"/>
              <w:right w:val="single" w:sz="4" w:space="0" w:color="auto"/>
            </w:tcBorders>
          </w:tcPr>
          <w:p w14:paraId="21AFF21A" w14:textId="77777777" w:rsidR="008E67EA" w:rsidRPr="00B47D21" w:rsidRDefault="008E67EA" w:rsidP="00B44A74">
            <w:pPr>
              <w:pStyle w:val="APVMATableText"/>
              <w:spacing w:before="0" w:after="0"/>
            </w:pPr>
            <w:r w:rsidRPr="00B47D21">
              <w:t>Broadcast baits</w:t>
            </w:r>
          </w:p>
        </w:tc>
        <w:tc>
          <w:tcPr>
            <w:tcW w:w="1330" w:type="pct"/>
            <w:tcBorders>
              <w:top w:val="single" w:sz="4" w:space="0" w:color="auto"/>
              <w:left w:val="single" w:sz="4" w:space="0" w:color="auto"/>
              <w:bottom w:val="single" w:sz="4" w:space="0" w:color="auto"/>
              <w:right w:val="single" w:sz="4" w:space="0" w:color="auto"/>
            </w:tcBorders>
          </w:tcPr>
          <w:p w14:paraId="75E79B58" w14:textId="77777777" w:rsidR="008E67EA" w:rsidRPr="00B47D21" w:rsidRDefault="008E67EA" w:rsidP="00B44A74">
            <w:pPr>
              <w:pStyle w:val="APVMATableText"/>
              <w:spacing w:before="0" w:after="0"/>
            </w:pPr>
            <w:r w:rsidRPr="00B47D21">
              <w:t>0.68 g ac/ha</w:t>
            </w:r>
          </w:p>
        </w:tc>
        <w:tc>
          <w:tcPr>
            <w:tcW w:w="860" w:type="pct"/>
            <w:tcBorders>
              <w:top w:val="single" w:sz="4" w:space="0" w:color="auto"/>
              <w:left w:val="single" w:sz="4" w:space="0" w:color="auto"/>
              <w:bottom w:val="single" w:sz="4" w:space="0" w:color="auto"/>
              <w:right w:val="single" w:sz="4" w:space="0" w:color="auto"/>
            </w:tcBorders>
          </w:tcPr>
          <w:p w14:paraId="513F7F3F" w14:textId="77777777" w:rsidR="008E67EA" w:rsidRPr="00B47D21" w:rsidRDefault="008E67EA" w:rsidP="00B44A74">
            <w:pPr>
              <w:pStyle w:val="APVMATableText"/>
              <w:spacing w:before="0" w:after="0"/>
              <w:jc w:val="center"/>
            </w:pPr>
            <w:r w:rsidRPr="00B47D21">
              <w:t>520</w:t>
            </w:r>
          </w:p>
        </w:tc>
        <w:tc>
          <w:tcPr>
            <w:tcW w:w="856" w:type="pct"/>
            <w:tcBorders>
              <w:top w:val="single" w:sz="4" w:space="0" w:color="auto"/>
              <w:left w:val="single" w:sz="4" w:space="0" w:color="auto"/>
              <w:bottom w:val="single" w:sz="4" w:space="0" w:color="auto"/>
              <w:right w:val="single" w:sz="4" w:space="0" w:color="auto"/>
            </w:tcBorders>
          </w:tcPr>
          <w:p w14:paraId="0C016C88" w14:textId="77777777" w:rsidR="008E67EA" w:rsidRPr="00B47D21" w:rsidRDefault="008E67EA" w:rsidP="00B44A74">
            <w:pPr>
              <w:pStyle w:val="APVMATableText"/>
              <w:spacing w:before="0" w:after="0"/>
              <w:jc w:val="center"/>
            </w:pPr>
            <w:r w:rsidRPr="00B47D21">
              <w:t>280 000</w:t>
            </w:r>
          </w:p>
        </w:tc>
      </w:tr>
      <w:tr w:rsidR="008E67EA" w:rsidRPr="00B47D21" w14:paraId="3CEFC4E5" w14:textId="77777777" w:rsidTr="00B44A74">
        <w:trPr>
          <w:cantSplit/>
        </w:trPr>
        <w:tc>
          <w:tcPr>
            <w:tcW w:w="741" w:type="pct"/>
            <w:vMerge/>
            <w:tcBorders>
              <w:left w:val="single" w:sz="4" w:space="0" w:color="auto"/>
              <w:bottom w:val="single" w:sz="4" w:space="0" w:color="auto"/>
              <w:right w:val="single" w:sz="4" w:space="0" w:color="auto"/>
            </w:tcBorders>
          </w:tcPr>
          <w:p w14:paraId="6C5567A9" w14:textId="77777777" w:rsidR="008E67EA" w:rsidRPr="00B47D21" w:rsidRDefault="008E67EA" w:rsidP="00B44A74">
            <w:pPr>
              <w:pStyle w:val="APVMATableText"/>
              <w:spacing w:before="0" w:after="0"/>
            </w:pPr>
          </w:p>
        </w:tc>
        <w:tc>
          <w:tcPr>
            <w:tcW w:w="1213" w:type="pct"/>
            <w:tcBorders>
              <w:left w:val="single" w:sz="4" w:space="0" w:color="auto"/>
              <w:bottom w:val="single" w:sz="4" w:space="0" w:color="auto"/>
              <w:right w:val="single" w:sz="4" w:space="0" w:color="auto"/>
            </w:tcBorders>
          </w:tcPr>
          <w:p w14:paraId="2376ACFE" w14:textId="77777777" w:rsidR="008E67EA" w:rsidRPr="00B47D21" w:rsidRDefault="008E67EA" w:rsidP="00B44A74">
            <w:pPr>
              <w:pStyle w:val="APVMATableText"/>
              <w:spacing w:before="0" w:after="0"/>
            </w:pPr>
            <w:r w:rsidRPr="00B47D21">
              <w:t>Refillable bait stations</w:t>
            </w:r>
          </w:p>
        </w:tc>
        <w:tc>
          <w:tcPr>
            <w:tcW w:w="1330" w:type="pct"/>
            <w:tcBorders>
              <w:top w:val="single" w:sz="4" w:space="0" w:color="auto"/>
              <w:left w:val="single" w:sz="4" w:space="0" w:color="auto"/>
              <w:bottom w:val="single" w:sz="4" w:space="0" w:color="auto"/>
              <w:right w:val="single" w:sz="4" w:space="0" w:color="auto"/>
            </w:tcBorders>
          </w:tcPr>
          <w:p w14:paraId="1AD743A6" w14:textId="77777777" w:rsidR="008E67EA" w:rsidRPr="00B47D21" w:rsidRDefault="008E67EA" w:rsidP="00B44A74">
            <w:pPr>
              <w:pStyle w:val="APVMATableText"/>
              <w:spacing w:before="0" w:after="0"/>
            </w:pPr>
            <w:r w:rsidRPr="00B47D21">
              <w:t>22.5 mg ac/bait station</w:t>
            </w:r>
          </w:p>
        </w:tc>
        <w:tc>
          <w:tcPr>
            <w:tcW w:w="860" w:type="pct"/>
            <w:tcBorders>
              <w:top w:val="single" w:sz="4" w:space="0" w:color="auto"/>
              <w:left w:val="single" w:sz="4" w:space="0" w:color="auto"/>
              <w:bottom w:val="single" w:sz="4" w:space="0" w:color="auto"/>
              <w:right w:val="single" w:sz="4" w:space="0" w:color="auto"/>
            </w:tcBorders>
          </w:tcPr>
          <w:p w14:paraId="4F4AF3B2" w14:textId="77777777" w:rsidR="008E67EA" w:rsidRPr="00B47D21" w:rsidRDefault="008E67EA" w:rsidP="00B44A74">
            <w:pPr>
              <w:pStyle w:val="APVMATableText"/>
              <w:spacing w:before="0" w:after="0"/>
              <w:jc w:val="center"/>
            </w:pPr>
            <w:r w:rsidRPr="00B47D21">
              <w:t>180</w:t>
            </w:r>
          </w:p>
        </w:tc>
        <w:tc>
          <w:tcPr>
            <w:tcW w:w="856" w:type="pct"/>
            <w:tcBorders>
              <w:top w:val="single" w:sz="4" w:space="0" w:color="auto"/>
              <w:left w:val="single" w:sz="4" w:space="0" w:color="auto"/>
              <w:bottom w:val="single" w:sz="4" w:space="0" w:color="auto"/>
              <w:right w:val="single" w:sz="4" w:space="0" w:color="auto"/>
            </w:tcBorders>
          </w:tcPr>
          <w:p w14:paraId="0973DCF1" w14:textId="77777777" w:rsidR="008E67EA" w:rsidRPr="00B47D21" w:rsidRDefault="008E67EA" w:rsidP="00B44A74">
            <w:pPr>
              <w:pStyle w:val="APVMATableText"/>
              <w:spacing w:before="0" w:after="0"/>
              <w:jc w:val="center"/>
            </w:pPr>
            <w:r w:rsidRPr="00B47D21">
              <w:t>100 000</w:t>
            </w:r>
          </w:p>
        </w:tc>
      </w:tr>
      <w:tr w:rsidR="008E67EA" w:rsidRPr="00B47D21" w14:paraId="12B890E5" w14:textId="77777777" w:rsidTr="00B44A74">
        <w:trPr>
          <w:cantSplit/>
        </w:trPr>
        <w:tc>
          <w:tcPr>
            <w:tcW w:w="5000" w:type="pct"/>
            <w:gridSpan w:val="5"/>
            <w:tcBorders>
              <w:top w:val="single" w:sz="4" w:space="0" w:color="auto"/>
              <w:left w:val="single" w:sz="4" w:space="0" w:color="auto"/>
              <w:bottom w:val="single" w:sz="4" w:space="0" w:color="auto"/>
              <w:right w:val="single" w:sz="4" w:space="0" w:color="auto"/>
            </w:tcBorders>
          </w:tcPr>
          <w:p w14:paraId="556159A2" w14:textId="77777777" w:rsidR="008E67EA" w:rsidRPr="00B47D21" w:rsidRDefault="008E67EA" w:rsidP="00B44A74">
            <w:pPr>
              <w:pStyle w:val="APVMATableText"/>
              <w:spacing w:before="0" w:after="0"/>
            </w:pPr>
            <w:r w:rsidRPr="00B47D21">
              <w:rPr>
                <w:i/>
                <w:iCs/>
              </w:rPr>
              <w:t>Second generation anticoagulant rodenticides</w:t>
            </w:r>
          </w:p>
        </w:tc>
      </w:tr>
      <w:tr w:rsidR="008E67EA" w:rsidRPr="00B47D21" w14:paraId="16D7CE9A" w14:textId="77777777" w:rsidTr="00B44A74">
        <w:trPr>
          <w:cantSplit/>
        </w:trPr>
        <w:tc>
          <w:tcPr>
            <w:tcW w:w="741" w:type="pct"/>
            <w:vMerge w:val="restart"/>
            <w:tcBorders>
              <w:top w:val="single" w:sz="4" w:space="0" w:color="auto"/>
              <w:left w:val="single" w:sz="4" w:space="0" w:color="auto"/>
              <w:right w:val="single" w:sz="4" w:space="0" w:color="auto"/>
            </w:tcBorders>
          </w:tcPr>
          <w:p w14:paraId="4D9B4A07" w14:textId="77777777" w:rsidR="008E67EA" w:rsidRPr="00B47D21" w:rsidRDefault="008E67EA" w:rsidP="00B44A74">
            <w:pPr>
              <w:pStyle w:val="APVMATableText"/>
              <w:spacing w:before="0" w:after="0"/>
            </w:pPr>
            <w:r w:rsidRPr="00B47D21">
              <w:t>Brodifacoum</w:t>
            </w:r>
          </w:p>
        </w:tc>
        <w:tc>
          <w:tcPr>
            <w:tcW w:w="1213" w:type="pct"/>
            <w:tcBorders>
              <w:top w:val="single" w:sz="4" w:space="0" w:color="auto"/>
              <w:left w:val="single" w:sz="4" w:space="0" w:color="auto"/>
              <w:right w:val="single" w:sz="4" w:space="0" w:color="auto"/>
            </w:tcBorders>
          </w:tcPr>
          <w:p w14:paraId="5973C828" w14:textId="77777777" w:rsidR="008E67EA" w:rsidRPr="00B47D21" w:rsidRDefault="008E67EA" w:rsidP="00B44A74">
            <w:pPr>
              <w:pStyle w:val="APVMATableText"/>
              <w:spacing w:before="0" w:after="0"/>
            </w:pPr>
            <w:r w:rsidRPr="00B47D21">
              <w:t>Broadcast baits</w:t>
            </w:r>
          </w:p>
        </w:tc>
        <w:tc>
          <w:tcPr>
            <w:tcW w:w="1330" w:type="pct"/>
            <w:tcBorders>
              <w:top w:val="single" w:sz="4" w:space="0" w:color="auto"/>
              <w:left w:val="single" w:sz="4" w:space="0" w:color="auto"/>
              <w:bottom w:val="single" w:sz="4" w:space="0" w:color="auto"/>
              <w:right w:val="single" w:sz="4" w:space="0" w:color="auto"/>
            </w:tcBorders>
          </w:tcPr>
          <w:p w14:paraId="49D289A9" w14:textId="77777777" w:rsidR="008E67EA" w:rsidRPr="00B47D21" w:rsidRDefault="008E67EA" w:rsidP="00B44A74">
            <w:pPr>
              <w:pStyle w:val="APVMATableText"/>
              <w:spacing w:before="0" w:after="0"/>
            </w:pPr>
            <w:r w:rsidRPr="00B47D21">
              <w:t>0.3 g ac/ha</w:t>
            </w:r>
          </w:p>
        </w:tc>
        <w:tc>
          <w:tcPr>
            <w:tcW w:w="860" w:type="pct"/>
            <w:tcBorders>
              <w:top w:val="single" w:sz="4" w:space="0" w:color="auto"/>
              <w:left w:val="single" w:sz="4" w:space="0" w:color="auto"/>
              <w:bottom w:val="single" w:sz="4" w:space="0" w:color="auto"/>
              <w:right w:val="single" w:sz="4" w:space="0" w:color="auto"/>
            </w:tcBorders>
          </w:tcPr>
          <w:p w14:paraId="2CF7FE26" w14:textId="77777777" w:rsidR="008E67EA" w:rsidRPr="00B47D21" w:rsidRDefault="008E67EA" w:rsidP="00B44A74">
            <w:pPr>
              <w:pStyle w:val="APVMATableText"/>
              <w:spacing w:before="0" w:after="0"/>
              <w:jc w:val="center"/>
            </w:pPr>
            <w:r w:rsidRPr="00B47D21">
              <w:t>16</w:t>
            </w:r>
          </w:p>
        </w:tc>
        <w:tc>
          <w:tcPr>
            <w:tcW w:w="856" w:type="pct"/>
            <w:tcBorders>
              <w:top w:val="single" w:sz="4" w:space="0" w:color="auto"/>
              <w:left w:val="single" w:sz="4" w:space="0" w:color="auto"/>
              <w:bottom w:val="single" w:sz="4" w:space="0" w:color="auto"/>
              <w:right w:val="single" w:sz="4" w:space="0" w:color="auto"/>
            </w:tcBorders>
          </w:tcPr>
          <w:p w14:paraId="40DDC4E8" w14:textId="77777777" w:rsidR="008E67EA" w:rsidRPr="00B47D21" w:rsidRDefault="008E67EA" w:rsidP="00B44A74">
            <w:pPr>
              <w:pStyle w:val="APVMATableText"/>
              <w:spacing w:before="0" w:after="0"/>
              <w:jc w:val="center"/>
            </w:pPr>
            <w:r w:rsidRPr="00B47D21">
              <w:t>8 900</w:t>
            </w:r>
          </w:p>
        </w:tc>
      </w:tr>
      <w:tr w:rsidR="008E67EA" w:rsidRPr="00B47D21" w14:paraId="0D89D62A" w14:textId="77777777" w:rsidTr="00B44A74">
        <w:trPr>
          <w:cantSplit/>
        </w:trPr>
        <w:tc>
          <w:tcPr>
            <w:tcW w:w="741" w:type="pct"/>
            <w:vMerge/>
            <w:tcBorders>
              <w:left w:val="single" w:sz="4" w:space="0" w:color="auto"/>
              <w:bottom w:val="single" w:sz="4" w:space="0" w:color="auto"/>
              <w:right w:val="single" w:sz="4" w:space="0" w:color="auto"/>
            </w:tcBorders>
          </w:tcPr>
          <w:p w14:paraId="701DA702" w14:textId="77777777" w:rsidR="008E67EA" w:rsidRPr="00B47D21" w:rsidRDefault="008E67EA" w:rsidP="00B44A74">
            <w:pPr>
              <w:pStyle w:val="APVMATableText"/>
              <w:spacing w:before="0" w:after="0"/>
            </w:pPr>
          </w:p>
        </w:tc>
        <w:tc>
          <w:tcPr>
            <w:tcW w:w="1213" w:type="pct"/>
            <w:tcBorders>
              <w:left w:val="single" w:sz="4" w:space="0" w:color="auto"/>
              <w:bottom w:val="single" w:sz="4" w:space="0" w:color="auto"/>
              <w:right w:val="single" w:sz="4" w:space="0" w:color="auto"/>
            </w:tcBorders>
          </w:tcPr>
          <w:p w14:paraId="3C9CF95A" w14:textId="77777777" w:rsidR="008E67EA" w:rsidRPr="00B47D21" w:rsidRDefault="008E67EA" w:rsidP="00B44A74">
            <w:pPr>
              <w:pStyle w:val="APVMATableText"/>
              <w:spacing w:before="0" w:after="0"/>
            </w:pPr>
            <w:r w:rsidRPr="00B47D21">
              <w:t>Refillable bait stations</w:t>
            </w:r>
          </w:p>
        </w:tc>
        <w:tc>
          <w:tcPr>
            <w:tcW w:w="1330" w:type="pct"/>
            <w:tcBorders>
              <w:top w:val="single" w:sz="4" w:space="0" w:color="auto"/>
              <w:left w:val="single" w:sz="4" w:space="0" w:color="auto"/>
              <w:bottom w:val="single" w:sz="4" w:space="0" w:color="auto"/>
              <w:right w:val="single" w:sz="4" w:space="0" w:color="auto"/>
            </w:tcBorders>
          </w:tcPr>
          <w:p w14:paraId="6D16D4D3" w14:textId="77777777" w:rsidR="008E67EA" w:rsidRPr="00B47D21" w:rsidRDefault="008E67EA" w:rsidP="00B44A74">
            <w:pPr>
              <w:pStyle w:val="APVMATableText"/>
              <w:spacing w:before="0" w:after="0"/>
            </w:pPr>
            <w:r w:rsidRPr="00B47D21">
              <w:t>10 mg ac/bait station</w:t>
            </w:r>
          </w:p>
        </w:tc>
        <w:tc>
          <w:tcPr>
            <w:tcW w:w="860" w:type="pct"/>
            <w:tcBorders>
              <w:top w:val="single" w:sz="4" w:space="0" w:color="auto"/>
              <w:left w:val="single" w:sz="4" w:space="0" w:color="auto"/>
              <w:bottom w:val="single" w:sz="4" w:space="0" w:color="auto"/>
              <w:right w:val="single" w:sz="4" w:space="0" w:color="auto"/>
            </w:tcBorders>
          </w:tcPr>
          <w:p w14:paraId="1FEF8868" w14:textId="77777777" w:rsidR="008E67EA" w:rsidRPr="00B47D21" w:rsidRDefault="008E67EA" w:rsidP="00B44A74">
            <w:pPr>
              <w:pStyle w:val="APVMATableText"/>
              <w:spacing w:before="0" w:after="0"/>
              <w:jc w:val="center"/>
            </w:pPr>
            <w:r w:rsidRPr="00B47D21">
              <w:t>170</w:t>
            </w:r>
          </w:p>
        </w:tc>
        <w:tc>
          <w:tcPr>
            <w:tcW w:w="856" w:type="pct"/>
            <w:tcBorders>
              <w:top w:val="single" w:sz="4" w:space="0" w:color="auto"/>
              <w:left w:val="single" w:sz="4" w:space="0" w:color="auto"/>
              <w:bottom w:val="single" w:sz="4" w:space="0" w:color="auto"/>
              <w:right w:val="single" w:sz="4" w:space="0" w:color="auto"/>
            </w:tcBorders>
          </w:tcPr>
          <w:p w14:paraId="4350CB08" w14:textId="77777777" w:rsidR="008E67EA" w:rsidRPr="00B47D21" w:rsidRDefault="008E67EA" w:rsidP="00B44A74">
            <w:pPr>
              <w:pStyle w:val="APVMATableText"/>
              <w:spacing w:before="0" w:after="0"/>
              <w:jc w:val="center"/>
            </w:pPr>
            <w:r w:rsidRPr="00B47D21">
              <w:t>92 000</w:t>
            </w:r>
          </w:p>
        </w:tc>
      </w:tr>
      <w:tr w:rsidR="008E67EA" w:rsidRPr="00B47D21" w14:paraId="5658332F" w14:textId="77777777" w:rsidTr="00B44A74">
        <w:trPr>
          <w:cantSplit/>
        </w:trPr>
        <w:tc>
          <w:tcPr>
            <w:tcW w:w="741" w:type="pct"/>
            <w:vMerge w:val="restart"/>
            <w:tcBorders>
              <w:top w:val="single" w:sz="4" w:space="0" w:color="auto"/>
              <w:left w:val="single" w:sz="4" w:space="0" w:color="auto"/>
              <w:right w:val="single" w:sz="4" w:space="0" w:color="auto"/>
            </w:tcBorders>
          </w:tcPr>
          <w:p w14:paraId="7BE9BE14" w14:textId="77777777" w:rsidR="008E67EA" w:rsidRPr="00B47D21" w:rsidRDefault="008E67EA" w:rsidP="00B44A74">
            <w:pPr>
              <w:pStyle w:val="APVMATableText"/>
              <w:spacing w:before="0" w:after="0"/>
            </w:pPr>
            <w:r w:rsidRPr="00B47D21">
              <w:t>Bromadiolone</w:t>
            </w:r>
          </w:p>
        </w:tc>
        <w:tc>
          <w:tcPr>
            <w:tcW w:w="1213" w:type="pct"/>
            <w:tcBorders>
              <w:top w:val="single" w:sz="4" w:space="0" w:color="auto"/>
              <w:left w:val="single" w:sz="4" w:space="0" w:color="auto"/>
              <w:right w:val="single" w:sz="4" w:space="0" w:color="auto"/>
            </w:tcBorders>
          </w:tcPr>
          <w:p w14:paraId="512E07A4" w14:textId="77777777" w:rsidR="008E67EA" w:rsidRPr="00B47D21" w:rsidRDefault="008E67EA" w:rsidP="00B44A74">
            <w:pPr>
              <w:pStyle w:val="APVMATableText"/>
              <w:spacing w:before="0" w:after="0"/>
            </w:pPr>
            <w:r w:rsidRPr="00B47D21">
              <w:t>Broadcast baits</w:t>
            </w:r>
          </w:p>
        </w:tc>
        <w:tc>
          <w:tcPr>
            <w:tcW w:w="1330" w:type="pct"/>
            <w:tcBorders>
              <w:top w:val="single" w:sz="4" w:space="0" w:color="auto"/>
              <w:left w:val="single" w:sz="4" w:space="0" w:color="auto"/>
              <w:bottom w:val="single" w:sz="4" w:space="0" w:color="auto"/>
              <w:right w:val="single" w:sz="4" w:space="0" w:color="auto"/>
            </w:tcBorders>
          </w:tcPr>
          <w:p w14:paraId="6DE7FA83" w14:textId="77777777" w:rsidR="008E67EA" w:rsidRPr="00B47D21" w:rsidRDefault="008E67EA" w:rsidP="00B44A74">
            <w:pPr>
              <w:pStyle w:val="APVMATableText"/>
              <w:spacing w:before="0" w:after="0"/>
            </w:pPr>
            <w:r w:rsidRPr="00B47D21">
              <w:t>0.68 g ac/ha</w:t>
            </w:r>
          </w:p>
        </w:tc>
        <w:tc>
          <w:tcPr>
            <w:tcW w:w="860" w:type="pct"/>
            <w:tcBorders>
              <w:top w:val="single" w:sz="4" w:space="0" w:color="auto"/>
              <w:left w:val="single" w:sz="4" w:space="0" w:color="auto"/>
              <w:bottom w:val="single" w:sz="4" w:space="0" w:color="auto"/>
              <w:right w:val="single" w:sz="4" w:space="0" w:color="auto"/>
            </w:tcBorders>
          </w:tcPr>
          <w:p w14:paraId="77826EEB" w14:textId="77777777" w:rsidR="008E67EA" w:rsidRPr="00B47D21" w:rsidRDefault="008E67EA" w:rsidP="00B44A74">
            <w:pPr>
              <w:pStyle w:val="APVMATableText"/>
              <w:spacing w:before="0" w:after="0"/>
              <w:jc w:val="center"/>
              <w:rPr>
                <w:rFonts w:cs="Times New Roman"/>
              </w:rPr>
            </w:pPr>
            <w:r w:rsidRPr="00B47D21">
              <w:rPr>
                <w:rFonts w:cs="Times New Roman"/>
              </w:rPr>
              <w:t>3.6</w:t>
            </w:r>
          </w:p>
        </w:tc>
        <w:tc>
          <w:tcPr>
            <w:tcW w:w="856" w:type="pct"/>
            <w:tcBorders>
              <w:top w:val="single" w:sz="4" w:space="0" w:color="auto"/>
              <w:left w:val="single" w:sz="4" w:space="0" w:color="auto"/>
              <w:bottom w:val="single" w:sz="4" w:space="0" w:color="auto"/>
              <w:right w:val="single" w:sz="4" w:space="0" w:color="auto"/>
            </w:tcBorders>
          </w:tcPr>
          <w:p w14:paraId="61E62CF9" w14:textId="77777777" w:rsidR="008E67EA" w:rsidRPr="00B47D21" w:rsidRDefault="008E67EA" w:rsidP="00B44A74">
            <w:pPr>
              <w:pStyle w:val="APVMATableText"/>
              <w:spacing w:before="0" w:after="0"/>
              <w:jc w:val="center"/>
            </w:pPr>
            <w:r w:rsidRPr="00B47D21">
              <w:t>1 900</w:t>
            </w:r>
          </w:p>
        </w:tc>
      </w:tr>
      <w:tr w:rsidR="008E67EA" w:rsidRPr="00B47D21" w14:paraId="60F9A03B" w14:textId="77777777" w:rsidTr="00B44A74">
        <w:trPr>
          <w:cantSplit/>
        </w:trPr>
        <w:tc>
          <w:tcPr>
            <w:tcW w:w="741" w:type="pct"/>
            <w:vMerge/>
            <w:tcBorders>
              <w:left w:val="single" w:sz="4" w:space="0" w:color="auto"/>
              <w:right w:val="single" w:sz="4" w:space="0" w:color="auto"/>
            </w:tcBorders>
          </w:tcPr>
          <w:p w14:paraId="10B06D0A" w14:textId="77777777" w:rsidR="008E67EA" w:rsidRPr="00B47D21" w:rsidRDefault="008E67EA" w:rsidP="00B44A74">
            <w:pPr>
              <w:pStyle w:val="APVMATableText"/>
              <w:spacing w:before="0" w:after="0"/>
            </w:pPr>
          </w:p>
        </w:tc>
        <w:tc>
          <w:tcPr>
            <w:tcW w:w="1213" w:type="pct"/>
            <w:tcBorders>
              <w:left w:val="single" w:sz="4" w:space="0" w:color="auto"/>
              <w:right w:val="single" w:sz="4" w:space="0" w:color="auto"/>
            </w:tcBorders>
          </w:tcPr>
          <w:p w14:paraId="5B53DFBD" w14:textId="77777777" w:rsidR="008E67EA" w:rsidRPr="00B47D21" w:rsidRDefault="008E67EA" w:rsidP="00B44A74">
            <w:pPr>
              <w:pStyle w:val="APVMATableText"/>
              <w:spacing w:before="0" w:after="0"/>
            </w:pPr>
            <w:r w:rsidRPr="00B47D21">
              <w:t>Refillable bait stations</w:t>
            </w:r>
          </w:p>
        </w:tc>
        <w:tc>
          <w:tcPr>
            <w:tcW w:w="1330" w:type="pct"/>
            <w:tcBorders>
              <w:top w:val="single" w:sz="4" w:space="0" w:color="auto"/>
              <w:left w:val="single" w:sz="4" w:space="0" w:color="auto"/>
              <w:bottom w:val="single" w:sz="4" w:space="0" w:color="auto"/>
              <w:right w:val="single" w:sz="4" w:space="0" w:color="auto"/>
            </w:tcBorders>
          </w:tcPr>
          <w:p w14:paraId="3BBB3DF6" w14:textId="77777777" w:rsidR="008E67EA" w:rsidRPr="00B47D21" w:rsidRDefault="008E67EA" w:rsidP="00B44A74">
            <w:pPr>
              <w:pStyle w:val="APVMATableText"/>
              <w:spacing w:before="0" w:after="0"/>
            </w:pPr>
            <w:r w:rsidRPr="00B47D21">
              <w:t>22.5 mg ac/bait station</w:t>
            </w:r>
          </w:p>
        </w:tc>
        <w:tc>
          <w:tcPr>
            <w:tcW w:w="860" w:type="pct"/>
            <w:tcBorders>
              <w:top w:val="single" w:sz="4" w:space="0" w:color="auto"/>
              <w:left w:val="single" w:sz="4" w:space="0" w:color="auto"/>
              <w:bottom w:val="single" w:sz="4" w:space="0" w:color="auto"/>
              <w:right w:val="single" w:sz="4" w:space="0" w:color="auto"/>
            </w:tcBorders>
          </w:tcPr>
          <w:p w14:paraId="1944DA37" w14:textId="77777777" w:rsidR="008E67EA" w:rsidRPr="00B47D21" w:rsidRDefault="008E67EA" w:rsidP="00B44A74">
            <w:pPr>
              <w:pStyle w:val="APVMATableText"/>
              <w:spacing w:before="0" w:after="0"/>
              <w:jc w:val="center"/>
              <w:rPr>
                <w:rFonts w:cs="Times New Roman"/>
              </w:rPr>
            </w:pPr>
            <w:r w:rsidRPr="00B47D21">
              <w:rPr>
                <w:rFonts w:cs="Times New Roman"/>
              </w:rPr>
              <w:t>39</w:t>
            </w:r>
          </w:p>
        </w:tc>
        <w:tc>
          <w:tcPr>
            <w:tcW w:w="856" w:type="pct"/>
            <w:tcBorders>
              <w:top w:val="single" w:sz="4" w:space="0" w:color="auto"/>
              <w:left w:val="single" w:sz="4" w:space="0" w:color="auto"/>
              <w:bottom w:val="single" w:sz="4" w:space="0" w:color="auto"/>
              <w:right w:val="single" w:sz="4" w:space="0" w:color="auto"/>
            </w:tcBorders>
            <w:vAlign w:val="center"/>
          </w:tcPr>
          <w:p w14:paraId="01742D47" w14:textId="77777777" w:rsidR="008E67EA" w:rsidRPr="00B47D21" w:rsidRDefault="008E67EA" w:rsidP="00B44A74">
            <w:pPr>
              <w:pStyle w:val="APVMATableText"/>
              <w:spacing w:before="0" w:after="0"/>
              <w:jc w:val="center"/>
            </w:pPr>
            <w:r w:rsidRPr="00B47D21">
              <w:t>21 000</w:t>
            </w:r>
          </w:p>
        </w:tc>
      </w:tr>
      <w:tr w:rsidR="008E67EA" w:rsidRPr="00B47D21" w14:paraId="1454CF48" w14:textId="77777777" w:rsidTr="00B44A74">
        <w:trPr>
          <w:cantSplit/>
        </w:trPr>
        <w:tc>
          <w:tcPr>
            <w:tcW w:w="741" w:type="pct"/>
            <w:vMerge w:val="restart"/>
            <w:tcBorders>
              <w:top w:val="single" w:sz="4" w:space="0" w:color="auto"/>
              <w:left w:val="single" w:sz="4" w:space="0" w:color="auto"/>
              <w:right w:val="single" w:sz="4" w:space="0" w:color="auto"/>
            </w:tcBorders>
          </w:tcPr>
          <w:p w14:paraId="6384F46A" w14:textId="77777777" w:rsidR="008E67EA" w:rsidRPr="00B47D21" w:rsidRDefault="008E67EA" w:rsidP="00B44A74">
            <w:pPr>
              <w:pStyle w:val="APVMATableText"/>
              <w:spacing w:before="0" w:after="0"/>
            </w:pPr>
            <w:r w:rsidRPr="00B47D21">
              <w:t>Difenacoum</w:t>
            </w:r>
          </w:p>
        </w:tc>
        <w:tc>
          <w:tcPr>
            <w:tcW w:w="1213" w:type="pct"/>
            <w:tcBorders>
              <w:top w:val="single" w:sz="4" w:space="0" w:color="auto"/>
              <w:left w:val="single" w:sz="4" w:space="0" w:color="auto"/>
              <w:right w:val="single" w:sz="4" w:space="0" w:color="auto"/>
            </w:tcBorders>
          </w:tcPr>
          <w:p w14:paraId="7EA16AE9" w14:textId="77777777" w:rsidR="008E67EA" w:rsidRPr="00B47D21" w:rsidRDefault="008E67EA" w:rsidP="00B44A74">
            <w:pPr>
              <w:pStyle w:val="APVMATableText"/>
              <w:spacing w:before="0" w:after="0"/>
            </w:pPr>
            <w:r w:rsidRPr="00B47D21">
              <w:t>Broadcast baits</w:t>
            </w:r>
          </w:p>
        </w:tc>
        <w:tc>
          <w:tcPr>
            <w:tcW w:w="1330" w:type="pct"/>
            <w:tcBorders>
              <w:top w:val="single" w:sz="4" w:space="0" w:color="auto"/>
              <w:left w:val="single" w:sz="4" w:space="0" w:color="auto"/>
              <w:bottom w:val="single" w:sz="4" w:space="0" w:color="auto"/>
              <w:right w:val="single" w:sz="4" w:space="0" w:color="auto"/>
            </w:tcBorders>
          </w:tcPr>
          <w:p w14:paraId="118F55C6" w14:textId="77777777" w:rsidR="008E67EA" w:rsidRPr="00B47D21" w:rsidRDefault="008E67EA" w:rsidP="00B44A74">
            <w:pPr>
              <w:pStyle w:val="APVMATableText"/>
              <w:spacing w:before="0" w:after="0"/>
            </w:pPr>
            <w:r w:rsidRPr="00B47D21">
              <w:t>0.3 g ac/ha</w:t>
            </w:r>
          </w:p>
        </w:tc>
        <w:tc>
          <w:tcPr>
            <w:tcW w:w="860" w:type="pct"/>
            <w:tcBorders>
              <w:top w:val="single" w:sz="4" w:space="0" w:color="auto"/>
              <w:left w:val="single" w:sz="4" w:space="0" w:color="auto"/>
              <w:bottom w:val="single" w:sz="4" w:space="0" w:color="auto"/>
              <w:right w:val="single" w:sz="4" w:space="0" w:color="auto"/>
            </w:tcBorders>
          </w:tcPr>
          <w:p w14:paraId="42DA3A69" w14:textId="77777777" w:rsidR="008E67EA" w:rsidRPr="00B47D21" w:rsidRDefault="008E67EA" w:rsidP="00B44A74">
            <w:pPr>
              <w:pStyle w:val="APVMATableText"/>
              <w:spacing w:before="0" w:after="0"/>
              <w:jc w:val="center"/>
            </w:pPr>
            <w:r w:rsidRPr="00B47D21">
              <w:t>16</w:t>
            </w:r>
          </w:p>
        </w:tc>
        <w:tc>
          <w:tcPr>
            <w:tcW w:w="856" w:type="pct"/>
            <w:tcBorders>
              <w:top w:val="single" w:sz="4" w:space="0" w:color="auto"/>
              <w:left w:val="single" w:sz="4" w:space="0" w:color="auto"/>
              <w:bottom w:val="single" w:sz="4" w:space="0" w:color="auto"/>
              <w:right w:val="single" w:sz="4" w:space="0" w:color="auto"/>
            </w:tcBorders>
          </w:tcPr>
          <w:p w14:paraId="48FFB1CD" w14:textId="77777777" w:rsidR="008E67EA" w:rsidRPr="00B47D21" w:rsidRDefault="008E67EA" w:rsidP="00B44A74">
            <w:pPr>
              <w:pStyle w:val="APVMATableText"/>
              <w:spacing w:before="0" w:after="0"/>
              <w:jc w:val="center"/>
            </w:pPr>
            <w:r w:rsidRPr="00B47D21">
              <w:t>8 900</w:t>
            </w:r>
          </w:p>
        </w:tc>
      </w:tr>
      <w:tr w:rsidR="008E67EA" w:rsidRPr="00B47D21" w14:paraId="5B5209C9" w14:textId="77777777" w:rsidTr="00B44A74">
        <w:trPr>
          <w:cantSplit/>
        </w:trPr>
        <w:tc>
          <w:tcPr>
            <w:tcW w:w="741" w:type="pct"/>
            <w:vMerge/>
            <w:tcBorders>
              <w:left w:val="single" w:sz="4" w:space="0" w:color="auto"/>
              <w:right w:val="single" w:sz="4" w:space="0" w:color="auto"/>
            </w:tcBorders>
          </w:tcPr>
          <w:p w14:paraId="14A0AD6A" w14:textId="77777777" w:rsidR="008E67EA" w:rsidRPr="00B47D21" w:rsidRDefault="008E67EA" w:rsidP="00B44A74">
            <w:pPr>
              <w:pStyle w:val="APVMATableText"/>
              <w:spacing w:before="0" w:after="0"/>
            </w:pPr>
          </w:p>
        </w:tc>
        <w:tc>
          <w:tcPr>
            <w:tcW w:w="1213" w:type="pct"/>
            <w:tcBorders>
              <w:left w:val="single" w:sz="4" w:space="0" w:color="auto"/>
              <w:right w:val="single" w:sz="4" w:space="0" w:color="auto"/>
            </w:tcBorders>
          </w:tcPr>
          <w:p w14:paraId="73296E15" w14:textId="77777777" w:rsidR="008E67EA" w:rsidRPr="00B47D21" w:rsidRDefault="008E67EA" w:rsidP="00B44A74">
            <w:pPr>
              <w:pStyle w:val="APVMATableText"/>
              <w:spacing w:before="0" w:after="0"/>
            </w:pPr>
            <w:r w:rsidRPr="00B47D21">
              <w:t>Refillable bait stations</w:t>
            </w:r>
          </w:p>
        </w:tc>
        <w:tc>
          <w:tcPr>
            <w:tcW w:w="1330" w:type="pct"/>
            <w:tcBorders>
              <w:top w:val="single" w:sz="4" w:space="0" w:color="auto"/>
              <w:left w:val="single" w:sz="4" w:space="0" w:color="auto"/>
              <w:bottom w:val="single" w:sz="4" w:space="0" w:color="auto"/>
              <w:right w:val="single" w:sz="4" w:space="0" w:color="auto"/>
            </w:tcBorders>
          </w:tcPr>
          <w:p w14:paraId="17710CC6" w14:textId="77777777" w:rsidR="008E67EA" w:rsidRPr="00B47D21" w:rsidRDefault="008E67EA" w:rsidP="00B44A74">
            <w:pPr>
              <w:pStyle w:val="APVMATableText"/>
              <w:spacing w:before="0" w:after="0"/>
            </w:pPr>
            <w:r w:rsidRPr="00B47D21">
              <w:t>10 mg ac/bait station</w:t>
            </w:r>
          </w:p>
        </w:tc>
        <w:tc>
          <w:tcPr>
            <w:tcW w:w="860" w:type="pct"/>
            <w:tcBorders>
              <w:top w:val="single" w:sz="4" w:space="0" w:color="auto"/>
              <w:left w:val="single" w:sz="4" w:space="0" w:color="auto"/>
              <w:bottom w:val="single" w:sz="4" w:space="0" w:color="auto"/>
              <w:right w:val="single" w:sz="4" w:space="0" w:color="auto"/>
            </w:tcBorders>
          </w:tcPr>
          <w:p w14:paraId="6703C631" w14:textId="77777777" w:rsidR="008E67EA" w:rsidRPr="00B47D21" w:rsidRDefault="008E67EA" w:rsidP="00B44A74">
            <w:pPr>
              <w:pStyle w:val="APVMATableText"/>
              <w:spacing w:before="0" w:after="0"/>
              <w:jc w:val="center"/>
            </w:pPr>
            <w:r w:rsidRPr="00B47D21">
              <w:t>170</w:t>
            </w:r>
          </w:p>
        </w:tc>
        <w:tc>
          <w:tcPr>
            <w:tcW w:w="856" w:type="pct"/>
            <w:tcBorders>
              <w:top w:val="single" w:sz="4" w:space="0" w:color="auto"/>
              <w:left w:val="single" w:sz="4" w:space="0" w:color="auto"/>
              <w:bottom w:val="single" w:sz="4" w:space="0" w:color="auto"/>
              <w:right w:val="single" w:sz="4" w:space="0" w:color="auto"/>
            </w:tcBorders>
          </w:tcPr>
          <w:p w14:paraId="16D743D5" w14:textId="77777777" w:rsidR="008E67EA" w:rsidRPr="00B47D21" w:rsidRDefault="008E67EA" w:rsidP="00B44A74">
            <w:pPr>
              <w:pStyle w:val="APVMATableText"/>
              <w:spacing w:before="0" w:after="0"/>
              <w:jc w:val="center"/>
            </w:pPr>
            <w:r w:rsidRPr="00B47D21">
              <w:t>92 000</w:t>
            </w:r>
          </w:p>
        </w:tc>
      </w:tr>
      <w:tr w:rsidR="008E67EA" w:rsidRPr="00B47D21" w14:paraId="543EB3A9" w14:textId="77777777" w:rsidTr="00B44A74">
        <w:trPr>
          <w:cantSplit/>
        </w:trPr>
        <w:tc>
          <w:tcPr>
            <w:tcW w:w="741" w:type="pct"/>
            <w:vMerge w:val="restart"/>
            <w:tcBorders>
              <w:top w:val="single" w:sz="4" w:space="0" w:color="auto"/>
              <w:left w:val="single" w:sz="4" w:space="0" w:color="auto"/>
              <w:right w:val="single" w:sz="4" w:space="0" w:color="auto"/>
            </w:tcBorders>
          </w:tcPr>
          <w:p w14:paraId="754E41D4" w14:textId="77777777" w:rsidR="008E67EA" w:rsidRPr="00B47D21" w:rsidRDefault="008E67EA" w:rsidP="00B44A74">
            <w:pPr>
              <w:pStyle w:val="APVMATableText"/>
              <w:spacing w:before="0" w:after="0"/>
            </w:pPr>
            <w:r w:rsidRPr="00B47D21">
              <w:t>Difethialone</w:t>
            </w:r>
          </w:p>
        </w:tc>
        <w:tc>
          <w:tcPr>
            <w:tcW w:w="1213" w:type="pct"/>
            <w:tcBorders>
              <w:top w:val="single" w:sz="4" w:space="0" w:color="auto"/>
              <w:left w:val="single" w:sz="4" w:space="0" w:color="auto"/>
              <w:right w:val="single" w:sz="4" w:space="0" w:color="auto"/>
            </w:tcBorders>
          </w:tcPr>
          <w:p w14:paraId="56404BBD" w14:textId="77777777" w:rsidR="008E67EA" w:rsidRPr="00B47D21" w:rsidRDefault="008E67EA" w:rsidP="00B44A74">
            <w:pPr>
              <w:pStyle w:val="APVMATableText"/>
              <w:spacing w:before="0" w:after="0"/>
            </w:pPr>
            <w:r w:rsidRPr="00B47D21">
              <w:t>Broadcast baits</w:t>
            </w:r>
          </w:p>
        </w:tc>
        <w:tc>
          <w:tcPr>
            <w:tcW w:w="1330" w:type="pct"/>
            <w:tcBorders>
              <w:top w:val="single" w:sz="4" w:space="0" w:color="auto"/>
              <w:left w:val="single" w:sz="4" w:space="0" w:color="auto"/>
              <w:bottom w:val="single" w:sz="4" w:space="0" w:color="auto"/>
              <w:right w:val="single" w:sz="4" w:space="0" w:color="auto"/>
            </w:tcBorders>
          </w:tcPr>
          <w:p w14:paraId="7BA676E3" w14:textId="77777777" w:rsidR="008E67EA" w:rsidRPr="00B47D21" w:rsidRDefault="008E67EA" w:rsidP="00B44A74">
            <w:pPr>
              <w:pStyle w:val="APVMATableText"/>
              <w:spacing w:before="0" w:after="0"/>
            </w:pPr>
            <w:r w:rsidRPr="00B47D21">
              <w:t>0.12 g ac/ha</w:t>
            </w:r>
          </w:p>
        </w:tc>
        <w:tc>
          <w:tcPr>
            <w:tcW w:w="860" w:type="pct"/>
            <w:tcBorders>
              <w:top w:val="single" w:sz="4" w:space="0" w:color="auto"/>
              <w:left w:val="single" w:sz="4" w:space="0" w:color="auto"/>
              <w:bottom w:val="single" w:sz="4" w:space="0" w:color="auto"/>
              <w:right w:val="single" w:sz="4" w:space="0" w:color="auto"/>
            </w:tcBorders>
          </w:tcPr>
          <w:p w14:paraId="3C2BCB84" w14:textId="77777777" w:rsidR="008E67EA" w:rsidRPr="00B47D21" w:rsidRDefault="008E67EA" w:rsidP="00B44A74">
            <w:pPr>
              <w:pStyle w:val="APVMATableText"/>
              <w:spacing w:before="0" w:after="0"/>
              <w:jc w:val="center"/>
            </w:pPr>
            <w:r w:rsidRPr="00B47D21">
              <w:t>50</w:t>
            </w:r>
          </w:p>
        </w:tc>
        <w:tc>
          <w:tcPr>
            <w:tcW w:w="856" w:type="pct"/>
            <w:tcBorders>
              <w:top w:val="single" w:sz="4" w:space="0" w:color="auto"/>
              <w:left w:val="single" w:sz="4" w:space="0" w:color="auto"/>
              <w:bottom w:val="single" w:sz="4" w:space="0" w:color="auto"/>
              <w:right w:val="single" w:sz="4" w:space="0" w:color="auto"/>
            </w:tcBorders>
          </w:tcPr>
          <w:p w14:paraId="772B53E7" w14:textId="77777777" w:rsidR="008E67EA" w:rsidRPr="00B47D21" w:rsidRDefault="008E67EA" w:rsidP="00B44A74">
            <w:pPr>
              <w:pStyle w:val="APVMATableText"/>
              <w:spacing w:before="0" w:after="0"/>
              <w:jc w:val="center"/>
            </w:pPr>
            <w:r w:rsidRPr="00B47D21">
              <w:t>28 000</w:t>
            </w:r>
          </w:p>
        </w:tc>
      </w:tr>
      <w:tr w:rsidR="008E67EA" w:rsidRPr="00B47D21" w14:paraId="0E221A1A" w14:textId="77777777" w:rsidTr="00B44A74">
        <w:trPr>
          <w:cantSplit/>
        </w:trPr>
        <w:tc>
          <w:tcPr>
            <w:tcW w:w="741" w:type="pct"/>
            <w:vMerge/>
            <w:tcBorders>
              <w:left w:val="single" w:sz="4" w:space="0" w:color="auto"/>
              <w:bottom w:val="single" w:sz="4" w:space="0" w:color="auto"/>
              <w:right w:val="single" w:sz="4" w:space="0" w:color="auto"/>
            </w:tcBorders>
          </w:tcPr>
          <w:p w14:paraId="047F4638" w14:textId="77777777" w:rsidR="008E67EA" w:rsidRPr="00B47D21" w:rsidRDefault="008E67EA" w:rsidP="00B44A74">
            <w:pPr>
              <w:pStyle w:val="APVMATableText"/>
              <w:spacing w:before="0" w:after="0"/>
            </w:pPr>
          </w:p>
        </w:tc>
        <w:tc>
          <w:tcPr>
            <w:tcW w:w="1213" w:type="pct"/>
            <w:tcBorders>
              <w:left w:val="single" w:sz="4" w:space="0" w:color="auto"/>
              <w:bottom w:val="single" w:sz="4" w:space="0" w:color="auto"/>
              <w:right w:val="single" w:sz="4" w:space="0" w:color="auto"/>
            </w:tcBorders>
          </w:tcPr>
          <w:p w14:paraId="21B5946F" w14:textId="77777777" w:rsidR="008E67EA" w:rsidRPr="00B47D21" w:rsidRDefault="008E67EA" w:rsidP="00B44A74">
            <w:pPr>
              <w:pStyle w:val="APVMATableText"/>
              <w:spacing w:before="0" w:after="0"/>
            </w:pPr>
            <w:r w:rsidRPr="00B47D21">
              <w:t>Refillable bait stations</w:t>
            </w:r>
          </w:p>
        </w:tc>
        <w:tc>
          <w:tcPr>
            <w:tcW w:w="1330" w:type="pct"/>
            <w:tcBorders>
              <w:top w:val="single" w:sz="4" w:space="0" w:color="auto"/>
              <w:left w:val="single" w:sz="4" w:space="0" w:color="auto"/>
              <w:bottom w:val="single" w:sz="4" w:space="0" w:color="auto"/>
              <w:right w:val="single" w:sz="4" w:space="0" w:color="auto"/>
            </w:tcBorders>
          </w:tcPr>
          <w:p w14:paraId="4E0C21BE" w14:textId="77777777" w:rsidR="008E67EA" w:rsidRPr="00B47D21" w:rsidRDefault="008E67EA" w:rsidP="00B44A74">
            <w:pPr>
              <w:pStyle w:val="APVMATableText"/>
              <w:spacing w:before="0" w:after="0"/>
            </w:pPr>
            <w:r w:rsidRPr="00B47D21">
              <w:t>4 mg ac/bait station</w:t>
            </w:r>
          </w:p>
        </w:tc>
        <w:tc>
          <w:tcPr>
            <w:tcW w:w="860" w:type="pct"/>
            <w:tcBorders>
              <w:top w:val="single" w:sz="4" w:space="0" w:color="auto"/>
              <w:left w:val="single" w:sz="4" w:space="0" w:color="auto"/>
              <w:bottom w:val="single" w:sz="4" w:space="0" w:color="auto"/>
              <w:right w:val="single" w:sz="4" w:space="0" w:color="auto"/>
            </w:tcBorders>
          </w:tcPr>
          <w:p w14:paraId="42775170" w14:textId="77777777" w:rsidR="008E67EA" w:rsidRPr="00B47D21" w:rsidRDefault="008E67EA" w:rsidP="00B44A74">
            <w:pPr>
              <w:pStyle w:val="APVMATableText"/>
              <w:spacing w:before="0" w:after="0"/>
              <w:jc w:val="center"/>
            </w:pPr>
            <w:r w:rsidRPr="00B47D21">
              <w:t>150</w:t>
            </w:r>
          </w:p>
        </w:tc>
        <w:tc>
          <w:tcPr>
            <w:tcW w:w="856" w:type="pct"/>
            <w:tcBorders>
              <w:top w:val="single" w:sz="4" w:space="0" w:color="auto"/>
              <w:left w:val="single" w:sz="4" w:space="0" w:color="auto"/>
              <w:bottom w:val="single" w:sz="4" w:space="0" w:color="auto"/>
              <w:right w:val="single" w:sz="4" w:space="0" w:color="auto"/>
            </w:tcBorders>
            <w:vAlign w:val="center"/>
          </w:tcPr>
          <w:p w14:paraId="767C003D" w14:textId="77777777" w:rsidR="008E67EA" w:rsidRPr="00B47D21" w:rsidRDefault="008E67EA" w:rsidP="00B44A74">
            <w:pPr>
              <w:pStyle w:val="APVMATableText"/>
              <w:spacing w:before="0" w:after="0"/>
              <w:jc w:val="center"/>
            </w:pPr>
            <w:r w:rsidRPr="00B47D21">
              <w:t>82 000</w:t>
            </w:r>
          </w:p>
        </w:tc>
      </w:tr>
      <w:tr w:rsidR="008E67EA" w:rsidRPr="00B47D21" w14:paraId="7DB6D5FA" w14:textId="77777777" w:rsidTr="00B44A74">
        <w:trPr>
          <w:cantSplit/>
        </w:trPr>
        <w:tc>
          <w:tcPr>
            <w:tcW w:w="741" w:type="pct"/>
            <w:vMerge w:val="restart"/>
            <w:tcBorders>
              <w:top w:val="single" w:sz="4" w:space="0" w:color="auto"/>
              <w:left w:val="single" w:sz="4" w:space="0" w:color="auto"/>
              <w:right w:val="single" w:sz="4" w:space="0" w:color="auto"/>
            </w:tcBorders>
          </w:tcPr>
          <w:p w14:paraId="4D500753" w14:textId="77777777" w:rsidR="008E67EA" w:rsidRPr="00B47D21" w:rsidRDefault="008E67EA" w:rsidP="00B44A74">
            <w:pPr>
              <w:pStyle w:val="APVMATableText"/>
              <w:spacing w:before="0" w:after="0"/>
            </w:pPr>
            <w:r w:rsidRPr="00B47D21">
              <w:t>Flocoumafen</w:t>
            </w:r>
          </w:p>
        </w:tc>
        <w:tc>
          <w:tcPr>
            <w:tcW w:w="1213" w:type="pct"/>
            <w:tcBorders>
              <w:top w:val="single" w:sz="4" w:space="0" w:color="auto"/>
              <w:left w:val="single" w:sz="4" w:space="0" w:color="auto"/>
              <w:right w:val="single" w:sz="4" w:space="0" w:color="auto"/>
            </w:tcBorders>
          </w:tcPr>
          <w:p w14:paraId="1235D79E" w14:textId="77777777" w:rsidR="008E67EA" w:rsidRPr="00B47D21" w:rsidRDefault="008E67EA" w:rsidP="00B44A74">
            <w:pPr>
              <w:pStyle w:val="APVMATableText"/>
              <w:spacing w:before="0" w:after="0"/>
            </w:pPr>
            <w:r w:rsidRPr="00B47D21">
              <w:t>Broadcast baits</w:t>
            </w:r>
          </w:p>
        </w:tc>
        <w:tc>
          <w:tcPr>
            <w:tcW w:w="1330" w:type="pct"/>
            <w:tcBorders>
              <w:top w:val="single" w:sz="4" w:space="0" w:color="auto"/>
              <w:left w:val="single" w:sz="4" w:space="0" w:color="auto"/>
              <w:bottom w:val="single" w:sz="4" w:space="0" w:color="auto"/>
              <w:right w:val="single" w:sz="4" w:space="0" w:color="auto"/>
            </w:tcBorders>
          </w:tcPr>
          <w:p w14:paraId="369D816B" w14:textId="77777777" w:rsidR="008E67EA" w:rsidRPr="00B47D21" w:rsidRDefault="008E67EA" w:rsidP="00B44A74">
            <w:pPr>
              <w:pStyle w:val="APVMATableText"/>
              <w:spacing w:before="0" w:after="0"/>
            </w:pPr>
            <w:r w:rsidRPr="00B47D21">
              <w:t>4 g ac/ha</w:t>
            </w:r>
          </w:p>
        </w:tc>
        <w:tc>
          <w:tcPr>
            <w:tcW w:w="860" w:type="pct"/>
            <w:tcBorders>
              <w:top w:val="single" w:sz="4" w:space="0" w:color="auto"/>
              <w:left w:val="single" w:sz="4" w:space="0" w:color="auto"/>
              <w:bottom w:val="single" w:sz="4" w:space="0" w:color="auto"/>
              <w:right w:val="single" w:sz="4" w:space="0" w:color="auto"/>
            </w:tcBorders>
          </w:tcPr>
          <w:p w14:paraId="537AC87A" w14:textId="77777777" w:rsidR="008E67EA" w:rsidRPr="00B47D21" w:rsidRDefault="008E67EA" w:rsidP="00B44A74">
            <w:pPr>
              <w:pStyle w:val="APVMATableText"/>
              <w:spacing w:before="0" w:after="0"/>
              <w:jc w:val="center"/>
            </w:pPr>
            <w:r w:rsidRPr="00B47D21">
              <w:t>57</w:t>
            </w:r>
          </w:p>
        </w:tc>
        <w:tc>
          <w:tcPr>
            <w:tcW w:w="856" w:type="pct"/>
            <w:tcBorders>
              <w:top w:val="single" w:sz="4" w:space="0" w:color="auto"/>
              <w:left w:val="single" w:sz="4" w:space="0" w:color="auto"/>
              <w:bottom w:val="single" w:sz="4" w:space="0" w:color="auto"/>
              <w:right w:val="single" w:sz="4" w:space="0" w:color="auto"/>
            </w:tcBorders>
          </w:tcPr>
          <w:p w14:paraId="2869CBA9" w14:textId="77777777" w:rsidR="008E67EA" w:rsidRPr="00B47D21" w:rsidRDefault="008E67EA" w:rsidP="00B44A74">
            <w:pPr>
              <w:pStyle w:val="APVMATableText"/>
              <w:spacing w:before="0" w:after="0"/>
              <w:jc w:val="center"/>
            </w:pPr>
            <w:r w:rsidRPr="00B47D21">
              <w:t>31 000</w:t>
            </w:r>
          </w:p>
        </w:tc>
      </w:tr>
      <w:tr w:rsidR="008E67EA" w:rsidRPr="00B47D21" w14:paraId="595AC399" w14:textId="77777777" w:rsidTr="00B44A74">
        <w:trPr>
          <w:cantSplit/>
        </w:trPr>
        <w:tc>
          <w:tcPr>
            <w:tcW w:w="741" w:type="pct"/>
            <w:vMerge/>
            <w:tcBorders>
              <w:left w:val="single" w:sz="4" w:space="0" w:color="auto"/>
              <w:bottom w:val="single" w:sz="4" w:space="0" w:color="auto"/>
              <w:right w:val="single" w:sz="4" w:space="0" w:color="auto"/>
            </w:tcBorders>
          </w:tcPr>
          <w:p w14:paraId="6A3BD1E0" w14:textId="77777777" w:rsidR="008E67EA" w:rsidRPr="00B47D21" w:rsidRDefault="008E67EA" w:rsidP="00B44A74">
            <w:pPr>
              <w:pStyle w:val="APVMATableText"/>
              <w:spacing w:before="0" w:after="0"/>
            </w:pPr>
          </w:p>
        </w:tc>
        <w:tc>
          <w:tcPr>
            <w:tcW w:w="1213" w:type="pct"/>
            <w:tcBorders>
              <w:left w:val="single" w:sz="4" w:space="0" w:color="auto"/>
              <w:bottom w:val="single" w:sz="4" w:space="0" w:color="auto"/>
              <w:right w:val="single" w:sz="4" w:space="0" w:color="auto"/>
            </w:tcBorders>
          </w:tcPr>
          <w:p w14:paraId="13EF7A89" w14:textId="77777777" w:rsidR="008E67EA" w:rsidRPr="00B47D21" w:rsidRDefault="008E67EA" w:rsidP="00B44A74">
            <w:pPr>
              <w:pStyle w:val="APVMATableText"/>
              <w:spacing w:before="0" w:after="0"/>
            </w:pPr>
            <w:r w:rsidRPr="00B47D21">
              <w:t>Refillable bait stations</w:t>
            </w:r>
          </w:p>
        </w:tc>
        <w:tc>
          <w:tcPr>
            <w:tcW w:w="1330" w:type="pct"/>
            <w:tcBorders>
              <w:top w:val="single" w:sz="4" w:space="0" w:color="auto"/>
              <w:left w:val="single" w:sz="4" w:space="0" w:color="auto"/>
              <w:bottom w:val="single" w:sz="4" w:space="0" w:color="auto"/>
              <w:right w:val="single" w:sz="4" w:space="0" w:color="auto"/>
            </w:tcBorders>
          </w:tcPr>
          <w:p w14:paraId="653C8C6B" w14:textId="77777777" w:rsidR="008E67EA" w:rsidRPr="00B47D21" w:rsidRDefault="008E67EA" w:rsidP="00B44A74">
            <w:pPr>
              <w:pStyle w:val="APVMATableText"/>
              <w:spacing w:before="0" w:after="0"/>
            </w:pPr>
            <w:r w:rsidRPr="00B47D21">
              <w:t>4 mg ac/bait station</w:t>
            </w:r>
          </w:p>
        </w:tc>
        <w:tc>
          <w:tcPr>
            <w:tcW w:w="860" w:type="pct"/>
            <w:tcBorders>
              <w:top w:val="single" w:sz="4" w:space="0" w:color="auto"/>
              <w:left w:val="single" w:sz="4" w:space="0" w:color="auto"/>
              <w:bottom w:val="single" w:sz="4" w:space="0" w:color="auto"/>
              <w:right w:val="single" w:sz="4" w:space="0" w:color="auto"/>
            </w:tcBorders>
          </w:tcPr>
          <w:p w14:paraId="5EE3DCFB" w14:textId="77777777" w:rsidR="008E67EA" w:rsidRPr="00B47D21" w:rsidRDefault="008E67EA" w:rsidP="00B44A74">
            <w:pPr>
              <w:pStyle w:val="APVMATableText"/>
              <w:spacing w:before="0" w:after="0"/>
              <w:jc w:val="center"/>
            </w:pPr>
            <w:r w:rsidRPr="00B47D21">
              <w:t>170</w:t>
            </w:r>
          </w:p>
        </w:tc>
        <w:tc>
          <w:tcPr>
            <w:tcW w:w="856" w:type="pct"/>
            <w:tcBorders>
              <w:top w:val="single" w:sz="4" w:space="0" w:color="auto"/>
              <w:left w:val="single" w:sz="4" w:space="0" w:color="auto"/>
              <w:bottom w:val="single" w:sz="4" w:space="0" w:color="auto"/>
              <w:right w:val="single" w:sz="4" w:space="0" w:color="auto"/>
            </w:tcBorders>
          </w:tcPr>
          <w:p w14:paraId="66A1698A" w14:textId="77777777" w:rsidR="008E67EA" w:rsidRPr="00B47D21" w:rsidRDefault="008E67EA" w:rsidP="00B44A74">
            <w:pPr>
              <w:pStyle w:val="APVMATableText"/>
              <w:spacing w:before="0" w:after="0"/>
              <w:jc w:val="center"/>
            </w:pPr>
            <w:r w:rsidRPr="00B47D21">
              <w:t>91 000</w:t>
            </w:r>
          </w:p>
        </w:tc>
      </w:tr>
    </w:tbl>
    <w:p w14:paraId="0A0EB713" w14:textId="77777777" w:rsidR="008E67EA" w:rsidRPr="00B17C97" w:rsidRDefault="008E67EA" w:rsidP="008E67EA">
      <w:pPr>
        <w:pStyle w:val="NumberLevel1"/>
        <w:numPr>
          <w:ilvl w:val="0"/>
          <w:numId w:val="0"/>
        </w:numPr>
        <w:spacing w:before="0"/>
        <w:ind w:left="567"/>
        <w:rPr>
          <w:sz w:val="16"/>
          <w:szCs w:val="16"/>
        </w:rPr>
      </w:pPr>
      <w:r w:rsidRPr="00B17C97">
        <w:rPr>
          <w:sz w:val="16"/>
          <w:szCs w:val="16"/>
        </w:rPr>
        <w:t xml:space="preserve">*Acceptable MOE for product application by </w:t>
      </w:r>
      <w:r>
        <w:rPr>
          <w:sz w:val="16"/>
          <w:szCs w:val="16"/>
        </w:rPr>
        <w:t>occupational</w:t>
      </w:r>
      <w:r w:rsidRPr="00B17C97">
        <w:rPr>
          <w:sz w:val="16"/>
          <w:szCs w:val="16"/>
        </w:rPr>
        <w:t xml:space="preserve"> users is ≥</w:t>
      </w:r>
      <w:r>
        <w:rPr>
          <w:sz w:val="16"/>
          <w:szCs w:val="16"/>
        </w:rPr>
        <w:t>1000</w:t>
      </w:r>
    </w:p>
    <w:p w14:paraId="71921C5B" w14:textId="77777777" w:rsidR="008E67EA" w:rsidRPr="0002361A" w:rsidRDefault="008E67EA" w:rsidP="008E67EA">
      <w:pPr>
        <w:pStyle w:val="StatementofReasonsHeading4"/>
        <w:rPr>
          <w:i/>
          <w:iCs/>
        </w:rPr>
      </w:pPr>
      <w:r w:rsidRPr="0002361A">
        <w:rPr>
          <w:i/>
          <w:iCs/>
        </w:rPr>
        <w:tab/>
      </w:r>
      <w:r w:rsidRPr="0002361A">
        <w:rPr>
          <w:i/>
          <w:iCs/>
        </w:rPr>
        <w:tab/>
      </w:r>
      <w:r>
        <w:rPr>
          <w:i/>
          <w:iCs/>
        </w:rPr>
        <w:t>Non-professional</w:t>
      </w:r>
      <w:r w:rsidRPr="0002361A">
        <w:rPr>
          <w:i/>
          <w:iCs/>
        </w:rPr>
        <w:t xml:space="preserve"> user</w:t>
      </w:r>
      <w:r>
        <w:rPr>
          <w:i/>
          <w:iCs/>
        </w:rPr>
        <w:t>s</w:t>
      </w:r>
      <w:r w:rsidRPr="0002361A">
        <w:rPr>
          <w:i/>
          <w:iCs/>
        </w:rPr>
        <w:t xml:space="preserve"> </w:t>
      </w:r>
      <w:bookmarkStart w:id="229" w:name="_Hlk203988204"/>
      <w:r>
        <w:rPr>
          <w:i/>
          <w:iCs/>
        </w:rPr>
        <w:t>– product application</w:t>
      </w:r>
    </w:p>
    <w:bookmarkEnd w:id="229"/>
    <w:p w14:paraId="0D56C1B4" w14:textId="38C87DBC" w:rsidR="008E67EA" w:rsidRPr="00D869C6" w:rsidRDefault="008E67EA">
      <w:pPr>
        <w:pStyle w:val="NumberLevel1"/>
        <w:numPr>
          <w:ilvl w:val="0"/>
          <w:numId w:val="17"/>
        </w:numPr>
        <w:tabs>
          <w:tab w:val="clear" w:pos="709"/>
          <w:tab w:val="num" w:pos="2553"/>
        </w:tabs>
        <w:rPr>
          <w:color w:val="000000" w:themeColor="text1"/>
        </w:rPr>
      </w:pPr>
      <w:r>
        <w:rPr>
          <w:color w:val="000000" w:themeColor="text1"/>
        </w:rPr>
        <w:t xml:space="preserve">In relation to </w:t>
      </w:r>
      <w:r w:rsidRPr="000B1FE7">
        <w:rPr>
          <w:color w:val="000000" w:themeColor="text1"/>
        </w:rPr>
        <w:t>chemical products containing</w:t>
      </w:r>
      <w:r>
        <w:t xml:space="preserve"> the relevant active </w:t>
      </w:r>
      <w:r w:rsidRPr="00D869C6">
        <w:t>constituents</w:t>
      </w:r>
      <w:r w:rsidRPr="00D869C6">
        <w:rPr>
          <w:color w:val="000000" w:themeColor="text1"/>
        </w:rPr>
        <w:t>, I note a first-tier risk characterisation was also conducted to assess the risks posed to non-professional</w:t>
      </w:r>
      <w:r w:rsidRPr="00492D70">
        <w:rPr>
          <w:color w:val="000000" w:themeColor="text1"/>
        </w:rPr>
        <w:t xml:space="preserve"> users from application of ready-to-use baits. </w:t>
      </w:r>
      <w:r>
        <w:rPr>
          <w:color w:val="000000" w:themeColor="text1"/>
        </w:rPr>
        <w:t xml:space="preserve">Based on my review of </w:t>
      </w:r>
      <w:r w:rsidRPr="0062305B">
        <w:rPr>
          <w:color w:val="000000" w:themeColor="text1"/>
        </w:rPr>
        <w:t xml:space="preserve">the </w:t>
      </w:r>
      <w:r>
        <w:t xml:space="preserve">risk assessment parameters summarised in sections </w:t>
      </w:r>
      <w:r w:rsidRPr="006B5FF8">
        <w:rPr>
          <w:i/>
          <w:iCs/>
        </w:rPr>
        <w:t>‘4.5 Exposure and Risk Assessment</w:t>
      </w:r>
      <w:r>
        <w:rPr>
          <w:i/>
          <w:iCs/>
        </w:rPr>
        <w:t>’</w:t>
      </w:r>
      <w:r w:rsidRPr="006B5FF8">
        <w:rPr>
          <w:i/>
          <w:iCs/>
        </w:rPr>
        <w:t xml:space="preserve"> </w:t>
      </w:r>
      <w:r>
        <w:t xml:space="preserve">and </w:t>
      </w:r>
      <w:r w:rsidRPr="006B5FF8">
        <w:rPr>
          <w:i/>
          <w:iCs/>
        </w:rPr>
        <w:t>‘4.7 Basic parameters used in the exposure assessments and risk characterisations’</w:t>
      </w:r>
      <w:r w:rsidRPr="0062305B">
        <w:rPr>
          <w:color w:val="000000" w:themeColor="text1"/>
        </w:rPr>
        <w:t xml:space="preserve"> of the </w:t>
      </w:r>
      <w:r w:rsidRPr="0062305B">
        <w:rPr>
          <w:i/>
          <w:iCs/>
          <w:color w:val="000000" w:themeColor="text1"/>
        </w:rPr>
        <w:t>Anticoagulant Rodenticides Review Technical Rep</w:t>
      </w:r>
      <w:r w:rsidRPr="00D869C6">
        <w:rPr>
          <w:i/>
          <w:iCs/>
          <w:color w:val="000000" w:themeColor="text1"/>
        </w:rPr>
        <w:t>ort,</w:t>
      </w:r>
      <w:r w:rsidRPr="00D869C6">
        <w:rPr>
          <w:color w:val="000000" w:themeColor="text1"/>
        </w:rPr>
        <w:t xml:space="preserve"> I also note that this first-tier risk characterisation considered application at the highest currently approved application rate for each anticoagulant rodenticide and, in the absence of any user exposure studies for the use of anticoagulant rodenticide chemical products, used the US EPA Standard Operating Procedures (SOP) for Residential Pesticide Exposure Assessment and, specifically, the </w:t>
      </w:r>
      <w:bookmarkStart w:id="230" w:name="_Hlk202902319"/>
      <w:r w:rsidRPr="00D869C6">
        <w:rPr>
          <w:rFonts w:cs="Times New Roman"/>
          <w:szCs w:val="24"/>
        </w:rPr>
        <w:t>Residential Handler SOP</w:t>
      </w:r>
      <w:bookmarkEnd w:id="230"/>
      <w:r w:rsidRPr="00D869C6">
        <w:rPr>
          <w:rFonts w:cs="Times New Roman"/>
          <w:szCs w:val="24"/>
        </w:rPr>
        <w:t xml:space="preserve"> calculator</w:t>
      </w:r>
      <w:r w:rsidRPr="00D869C6">
        <w:rPr>
          <w:color w:val="000000" w:themeColor="text1"/>
        </w:rPr>
        <w:t>.</w:t>
      </w:r>
    </w:p>
    <w:p w14:paraId="5451C692" w14:textId="77777777" w:rsidR="008E67EA" w:rsidRPr="00492D70" w:rsidRDefault="008E67EA">
      <w:pPr>
        <w:pStyle w:val="NumberLevel1"/>
        <w:numPr>
          <w:ilvl w:val="0"/>
          <w:numId w:val="17"/>
        </w:numPr>
        <w:tabs>
          <w:tab w:val="clear" w:pos="709"/>
          <w:tab w:val="num" w:pos="2553"/>
        </w:tabs>
        <w:rPr>
          <w:color w:val="000000" w:themeColor="text1"/>
        </w:rPr>
      </w:pPr>
      <w:r w:rsidRPr="00D869C6">
        <w:rPr>
          <w:color w:val="000000" w:themeColor="text1"/>
        </w:rPr>
        <w:t>Based on my review and consideration the assess</w:t>
      </w:r>
      <w:r w:rsidRPr="00492D70">
        <w:rPr>
          <w:color w:val="000000" w:themeColor="text1"/>
        </w:rPr>
        <w:t>ment of available toxicity studie</w:t>
      </w:r>
      <w:r>
        <w:rPr>
          <w:color w:val="000000" w:themeColor="text1"/>
        </w:rPr>
        <w:t xml:space="preserve">s for the relevant active constituents </w:t>
      </w:r>
      <w:r>
        <w:t xml:space="preserve">summarised </w:t>
      </w:r>
      <w:r w:rsidRPr="0062305B">
        <w:t xml:space="preserve">in </w:t>
      </w:r>
      <w:r>
        <w:t xml:space="preserve">section </w:t>
      </w:r>
      <w:r w:rsidRPr="006B5FF8">
        <w:rPr>
          <w:i/>
          <w:iCs/>
        </w:rPr>
        <w:t>‘4.5 Exposure and Risk Assessment</w:t>
      </w:r>
      <w:r>
        <w:rPr>
          <w:i/>
          <w:iCs/>
        </w:rPr>
        <w:t>’</w:t>
      </w:r>
      <w:r w:rsidRPr="006B5FF8">
        <w:rPr>
          <w:i/>
          <w:iCs/>
        </w:rPr>
        <w:t xml:space="preserve"> </w:t>
      </w:r>
      <w:r w:rsidRPr="00492D70">
        <w:rPr>
          <w:color w:val="000000" w:themeColor="text1"/>
        </w:rPr>
        <w:t xml:space="preserve">of the </w:t>
      </w:r>
      <w:r w:rsidRPr="00492D70">
        <w:rPr>
          <w:i/>
          <w:iCs/>
          <w:color w:val="000000" w:themeColor="text1"/>
        </w:rPr>
        <w:t>Anticoagulant Rodenticides Review Technical Report</w:t>
      </w:r>
      <w:r w:rsidRPr="00492D70">
        <w:rPr>
          <w:color w:val="000000" w:themeColor="text1"/>
        </w:rPr>
        <w:t>:</w:t>
      </w:r>
    </w:p>
    <w:p w14:paraId="603BA102" w14:textId="4670503C" w:rsidR="008E67EA" w:rsidRPr="00D869C6" w:rsidRDefault="008E67EA">
      <w:pPr>
        <w:pStyle w:val="NumberLevel2"/>
        <w:numPr>
          <w:ilvl w:val="1"/>
          <w:numId w:val="17"/>
        </w:numPr>
        <w:ind w:left="1134"/>
      </w:pPr>
      <w:r w:rsidRPr="00D869C6">
        <w:t xml:space="preserve">I find that the points of departure listed in </w:t>
      </w:r>
      <w:r w:rsidRPr="00D869C6">
        <w:fldChar w:fldCharType="begin"/>
      </w:r>
      <w:r w:rsidRPr="00D869C6">
        <w:instrText xml:space="preserve"> REF _Ref202888586 \h </w:instrText>
      </w:r>
      <w:r>
        <w:instrText xml:space="preserve"> \* MERGEFORMAT </w:instrText>
      </w:r>
      <w:r w:rsidRPr="00D869C6">
        <w:fldChar w:fldCharType="separate"/>
      </w:r>
      <w:r w:rsidR="002C0C2A" w:rsidRPr="00D869C6">
        <w:t xml:space="preserve">Table </w:t>
      </w:r>
      <w:r w:rsidR="002C0C2A">
        <w:rPr>
          <w:noProof/>
        </w:rPr>
        <w:t>11</w:t>
      </w:r>
      <w:r w:rsidRPr="00D869C6">
        <w:fldChar w:fldCharType="end"/>
      </w:r>
      <w:r w:rsidRPr="00D869C6">
        <w:t xml:space="preserve"> are appropriate to assess the effects of repeat exposure to non-professional users. I note that these points of departure are based on the most appropriate no observed adverse effect level (NOAEL) or lowest observed adverse effect level (LOAEL) in the limited toxicology database available, based on the criteria that the point of departure is protective of the effects seen in all repeat-dose studies in the database and that it is relevant to the potential effects in humans.</w:t>
      </w:r>
    </w:p>
    <w:p w14:paraId="6A9CBEFD" w14:textId="77777777" w:rsidR="008E67EA" w:rsidRPr="00D869C6" w:rsidRDefault="008E67EA">
      <w:pPr>
        <w:pStyle w:val="NumberLevel2"/>
        <w:numPr>
          <w:ilvl w:val="1"/>
          <w:numId w:val="17"/>
        </w:numPr>
        <w:ind w:left="1134"/>
      </w:pPr>
      <w:r w:rsidRPr="00D869C6">
        <w:t xml:space="preserve">I find that a margin of exposure of 300 is appropriate to assess the risks to non-professional users, based on a standard 10-fold UF for inter-species extrapolation, a standard 10-fold UF for intra-species </w:t>
      </w:r>
      <w:r w:rsidRPr="00D869C6">
        <w:lastRenderedPageBreak/>
        <w:t xml:space="preserve">differences in susceptibility to effects, and (noting that the frequency of non-professional use is much more sporadic compared to occupational use) an additional 3-fold UF to account for the lack of chronic toxicity studies in the toxicology databases. As such, I consider that a margin of exposure of greater than or equal to 300 calculated using the US EPA </w:t>
      </w:r>
      <w:r w:rsidRPr="00D869C6">
        <w:rPr>
          <w:rFonts w:cs="Times New Roman"/>
          <w:szCs w:val="24"/>
        </w:rPr>
        <w:t>Residential Handler SOP model</w:t>
      </w:r>
      <w:r w:rsidRPr="00D869C6">
        <w:t xml:space="preserve"> represents a safe level of exposure for non-professional users.</w:t>
      </w:r>
    </w:p>
    <w:p w14:paraId="1A57D404" w14:textId="5EE67ED1" w:rsidR="008E67EA" w:rsidRDefault="008E67EA">
      <w:pPr>
        <w:pStyle w:val="NumberLevel1"/>
        <w:numPr>
          <w:ilvl w:val="0"/>
          <w:numId w:val="17"/>
        </w:numPr>
        <w:tabs>
          <w:tab w:val="clear" w:pos="709"/>
          <w:tab w:val="num" w:pos="2553"/>
        </w:tabs>
      </w:pPr>
      <w:r w:rsidRPr="00D869C6">
        <w:t xml:space="preserve">For the exposure modelling for non-professional users using the US EPA </w:t>
      </w:r>
      <w:r w:rsidRPr="00D869C6">
        <w:rPr>
          <w:rFonts w:cs="Times New Roman"/>
          <w:szCs w:val="24"/>
        </w:rPr>
        <w:t>Residential Handler SOP Calculator</w:t>
      </w:r>
      <w:r w:rsidRPr="00D869C6">
        <w:t>, in addition to the selected points of departure and the margin of exposure listed above, I note that default values or assumptions have been</w:t>
      </w:r>
      <w:r>
        <w:t xml:space="preserve"> selected for the assessment parameters of body weight (adult), dermal and inhalation absorption factors, number of bait stations loaded per day and area treated (</w:t>
      </w:r>
      <w:r w:rsidRPr="006B5FF8">
        <w:rPr>
          <w:i/>
          <w:iCs/>
        </w:rPr>
        <w:t>‘Table 60: Parameters, assumptions and models used in risk assessment for rodenticide users’</w:t>
      </w:r>
      <w:r w:rsidRPr="00F01E91">
        <w:t xml:space="preserve"> in the </w:t>
      </w:r>
      <w:r w:rsidRPr="00250CED">
        <w:rPr>
          <w:i/>
          <w:iCs/>
        </w:rPr>
        <w:t>Anticoagulant Rodenticides Review Technical Report</w:t>
      </w:r>
      <w:r w:rsidRPr="00F01E91">
        <w:t>)</w:t>
      </w:r>
      <w:r>
        <w:t>. Finally, as is standard practice when assessing any potential exposure of non-professionals from use of agricultural chemical products, it has been assumed that the individuals handling the chemical products are not wearing any specialised personal protective equipment (PPE).</w:t>
      </w:r>
    </w:p>
    <w:p w14:paraId="366D6AB5" w14:textId="5D89625A" w:rsidR="008E67EA" w:rsidRPr="00897C26" w:rsidRDefault="008E67EA">
      <w:pPr>
        <w:pStyle w:val="NumberLevel1"/>
        <w:numPr>
          <w:ilvl w:val="0"/>
          <w:numId w:val="17"/>
        </w:numPr>
        <w:tabs>
          <w:tab w:val="clear" w:pos="709"/>
          <w:tab w:val="num" w:pos="2553"/>
        </w:tabs>
      </w:pPr>
      <w:r w:rsidRPr="00D244E7">
        <w:rPr>
          <w:color w:val="000000" w:themeColor="text1"/>
        </w:rPr>
        <w:t>In relation to the first-tier risk characterisation for the non-professional use of chemical products containing the relevant active constituents</w:t>
      </w:r>
      <w:r>
        <w:t xml:space="preserve">, </w:t>
      </w:r>
      <w:r w:rsidRPr="00D244E7">
        <w:rPr>
          <w:color w:val="000000" w:themeColor="text1"/>
        </w:rPr>
        <w:t xml:space="preserve">based </w:t>
      </w:r>
      <w:r w:rsidRPr="00D869C6">
        <w:rPr>
          <w:color w:val="000000" w:themeColor="text1"/>
        </w:rPr>
        <w:t>on my review and consideration of the</w:t>
      </w:r>
      <w:r w:rsidRPr="00D244E7">
        <w:rPr>
          <w:color w:val="000000" w:themeColor="text1"/>
        </w:rPr>
        <w:t xml:space="preserve"> risk assessment </w:t>
      </w:r>
      <w:r>
        <w:rPr>
          <w:color w:val="000000" w:themeColor="text1"/>
        </w:rPr>
        <w:t>summarised</w:t>
      </w:r>
      <w:r w:rsidRPr="00D244E7">
        <w:rPr>
          <w:color w:val="000000" w:themeColor="text1"/>
        </w:rPr>
        <w:t xml:space="preserve"> in </w:t>
      </w:r>
      <w:r>
        <w:rPr>
          <w:color w:val="000000" w:themeColor="text1"/>
        </w:rPr>
        <w:t xml:space="preserve">section </w:t>
      </w:r>
      <w:r w:rsidRPr="00175F2F">
        <w:rPr>
          <w:i/>
          <w:iCs/>
          <w:color w:val="000000" w:themeColor="text1"/>
        </w:rPr>
        <w:t>‘4.8.2 Non-professional use’</w:t>
      </w:r>
      <w:r>
        <w:rPr>
          <w:color w:val="000000" w:themeColor="text1"/>
        </w:rPr>
        <w:t xml:space="preserve"> </w:t>
      </w:r>
      <w:r w:rsidRPr="00D869C6">
        <w:rPr>
          <w:color w:val="000000" w:themeColor="text1"/>
        </w:rPr>
        <w:t xml:space="preserve">of the </w:t>
      </w:r>
      <w:r w:rsidRPr="00D869C6">
        <w:rPr>
          <w:i/>
          <w:iCs/>
          <w:color w:val="000000" w:themeColor="text1"/>
        </w:rPr>
        <w:t xml:space="preserve">Anticoagulant Rodenticides Review Technical Report, </w:t>
      </w:r>
      <w:r w:rsidRPr="00D869C6">
        <w:t>I note that the margins of exposure calculated are in the acceptable range of greater than or equal to 300 (</w:t>
      </w:r>
      <w:r w:rsidRPr="00D869C6">
        <w:fldChar w:fldCharType="begin"/>
      </w:r>
      <w:r w:rsidRPr="00D869C6">
        <w:instrText xml:space="preserve"> REF _Ref203928074 \h </w:instrText>
      </w:r>
      <w:r>
        <w:instrText xml:space="preserve"> \* MERGEFORMAT </w:instrText>
      </w:r>
      <w:r w:rsidRPr="00D869C6">
        <w:fldChar w:fldCharType="separate"/>
      </w:r>
      <w:r w:rsidR="002C0C2A" w:rsidRPr="002F3A90">
        <w:t xml:space="preserve">Table </w:t>
      </w:r>
      <w:r w:rsidR="002C0C2A">
        <w:rPr>
          <w:noProof/>
        </w:rPr>
        <w:t>13</w:t>
      </w:r>
      <w:r w:rsidRPr="00D869C6">
        <w:fldChar w:fldCharType="end"/>
      </w:r>
      <w:r w:rsidRPr="00D869C6">
        <w:t>). Therefore, I am satisfied th</w:t>
      </w:r>
      <w:r w:rsidRPr="00156920">
        <w:t>at use of the chemical products listed in Attachment A of this notice in accordance with current instructions would not be an undue hazard to non-professionals exposed to the chemical products during application.</w:t>
      </w:r>
    </w:p>
    <w:p w14:paraId="1EA35FA6" w14:textId="2D787CA0" w:rsidR="008E67EA" w:rsidRPr="002F3A90" w:rsidRDefault="008E67EA" w:rsidP="00B33ED7">
      <w:pPr>
        <w:pStyle w:val="Caption"/>
        <w:ind w:left="567"/>
      </w:pPr>
      <w:bookmarkStart w:id="231" w:name="_Ref203928074"/>
      <w:r w:rsidRPr="002F3A90">
        <w:t xml:space="preserve">Table </w:t>
      </w:r>
      <w:r w:rsidRPr="002F3A90">
        <w:fldChar w:fldCharType="begin"/>
      </w:r>
      <w:r w:rsidRPr="002F3A90">
        <w:instrText xml:space="preserve"> SEQ Table \* ARABIC </w:instrText>
      </w:r>
      <w:r w:rsidRPr="002F3A90">
        <w:fldChar w:fldCharType="separate"/>
      </w:r>
      <w:r w:rsidR="002C0C2A">
        <w:rPr>
          <w:noProof/>
        </w:rPr>
        <w:t>13</w:t>
      </w:r>
      <w:r w:rsidRPr="002F3A90">
        <w:fldChar w:fldCharType="end"/>
      </w:r>
      <w:bookmarkEnd w:id="231"/>
      <w:r w:rsidRPr="002F3A90">
        <w:t>: Non-professional users – outcomes summary for the first-tier risk characterisation</w:t>
      </w:r>
    </w:p>
    <w:tbl>
      <w:tblPr>
        <w:tblW w:w="4660"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552"/>
        <w:gridCol w:w="4111"/>
        <w:gridCol w:w="2310"/>
      </w:tblGrid>
      <w:tr w:rsidR="008E67EA" w:rsidRPr="006B74D1" w14:paraId="412C9128" w14:textId="77777777" w:rsidTr="00B44A74">
        <w:trPr>
          <w:cantSplit/>
          <w:tblHeader/>
        </w:trPr>
        <w:tc>
          <w:tcPr>
            <w:tcW w:w="1422" w:type="pct"/>
            <w:tcBorders>
              <w:top w:val="single" w:sz="4" w:space="0" w:color="auto"/>
              <w:left w:val="single" w:sz="4" w:space="0" w:color="auto"/>
              <w:bottom w:val="single" w:sz="4" w:space="0" w:color="auto"/>
              <w:right w:val="single" w:sz="4" w:space="0" w:color="auto"/>
            </w:tcBorders>
            <w:shd w:val="clear" w:color="auto" w:fill="E6E6E6"/>
            <w:hideMark/>
          </w:tcPr>
          <w:p w14:paraId="7C991820" w14:textId="77777777" w:rsidR="008E67EA" w:rsidRPr="00B251FC" w:rsidRDefault="008E67EA" w:rsidP="00B44A74">
            <w:pPr>
              <w:pStyle w:val="TableHead"/>
              <w:spacing w:before="0" w:after="0"/>
              <w:rPr>
                <w:color w:val="000000" w:themeColor="text1"/>
              </w:rPr>
            </w:pPr>
            <w:r w:rsidRPr="00B251FC">
              <w:rPr>
                <w:color w:val="000000" w:themeColor="text1"/>
              </w:rPr>
              <w:t>Active</w:t>
            </w:r>
          </w:p>
        </w:tc>
        <w:tc>
          <w:tcPr>
            <w:tcW w:w="2291" w:type="pct"/>
            <w:tcBorders>
              <w:top w:val="single" w:sz="4" w:space="0" w:color="auto"/>
              <w:left w:val="single" w:sz="4" w:space="0" w:color="auto"/>
              <w:bottom w:val="single" w:sz="4" w:space="0" w:color="auto"/>
              <w:right w:val="single" w:sz="4" w:space="0" w:color="auto"/>
            </w:tcBorders>
            <w:shd w:val="clear" w:color="auto" w:fill="E6E6E6"/>
            <w:hideMark/>
          </w:tcPr>
          <w:p w14:paraId="183F8601" w14:textId="77777777" w:rsidR="008E67EA" w:rsidRPr="00B251FC" w:rsidRDefault="008E67EA" w:rsidP="00B44A74">
            <w:pPr>
              <w:pStyle w:val="TableHead"/>
              <w:spacing w:before="0" w:after="0"/>
              <w:jc w:val="center"/>
              <w:rPr>
                <w:color w:val="000000" w:themeColor="text1"/>
              </w:rPr>
            </w:pPr>
            <w:r w:rsidRPr="00B47D21">
              <w:rPr>
                <w:color w:val="auto"/>
              </w:rPr>
              <w:t>Application rate</w:t>
            </w:r>
            <w:r>
              <w:rPr>
                <w:color w:val="auto"/>
              </w:rPr>
              <w:t xml:space="preserve"> (mg ac/bait station)</w:t>
            </w:r>
          </w:p>
        </w:tc>
        <w:tc>
          <w:tcPr>
            <w:tcW w:w="1287" w:type="pct"/>
            <w:tcBorders>
              <w:top w:val="single" w:sz="4" w:space="0" w:color="auto"/>
              <w:left w:val="single" w:sz="4" w:space="0" w:color="auto"/>
              <w:bottom w:val="single" w:sz="4" w:space="0" w:color="auto"/>
              <w:right w:val="single" w:sz="4" w:space="0" w:color="auto"/>
            </w:tcBorders>
            <w:shd w:val="clear" w:color="auto" w:fill="E6E6E6"/>
          </w:tcPr>
          <w:p w14:paraId="580489F0" w14:textId="77777777" w:rsidR="008E67EA" w:rsidRPr="00B251FC" w:rsidRDefault="008E67EA" w:rsidP="00B44A74">
            <w:pPr>
              <w:pStyle w:val="TableHead"/>
              <w:spacing w:before="0" w:after="0"/>
              <w:jc w:val="center"/>
              <w:rPr>
                <w:color w:val="000000" w:themeColor="text1"/>
              </w:rPr>
            </w:pPr>
            <w:r>
              <w:rPr>
                <w:color w:val="000000" w:themeColor="text1"/>
              </w:rPr>
              <w:t>MOE*</w:t>
            </w:r>
          </w:p>
        </w:tc>
      </w:tr>
      <w:tr w:rsidR="008E67EA" w:rsidRPr="006B74D1" w14:paraId="7EF1A079" w14:textId="77777777" w:rsidTr="00B44A74">
        <w:trPr>
          <w:cantSplit/>
        </w:trPr>
        <w:tc>
          <w:tcPr>
            <w:tcW w:w="5000" w:type="pct"/>
            <w:gridSpan w:val="3"/>
            <w:tcBorders>
              <w:top w:val="single" w:sz="4" w:space="0" w:color="auto"/>
              <w:left w:val="single" w:sz="4" w:space="0" w:color="auto"/>
              <w:bottom w:val="single" w:sz="4" w:space="0" w:color="auto"/>
              <w:right w:val="single" w:sz="4" w:space="0" w:color="auto"/>
            </w:tcBorders>
          </w:tcPr>
          <w:p w14:paraId="65C9849E" w14:textId="77777777" w:rsidR="008E67EA" w:rsidRPr="00B251FC" w:rsidRDefault="008E67EA" w:rsidP="00B44A74">
            <w:pPr>
              <w:pStyle w:val="APVMATableText"/>
              <w:spacing w:before="0" w:after="0"/>
              <w:rPr>
                <w:i/>
                <w:iCs/>
                <w:color w:val="000000" w:themeColor="text1"/>
              </w:rPr>
            </w:pPr>
            <w:r w:rsidRPr="00B251FC">
              <w:rPr>
                <w:i/>
                <w:iCs/>
                <w:color w:val="000000" w:themeColor="text1"/>
              </w:rPr>
              <w:t>First generation anticoagulant rodenticides</w:t>
            </w:r>
          </w:p>
        </w:tc>
      </w:tr>
      <w:tr w:rsidR="008E67EA" w:rsidRPr="006B74D1" w14:paraId="76B7FEC7" w14:textId="77777777" w:rsidTr="00B44A74">
        <w:trPr>
          <w:cantSplit/>
        </w:trPr>
        <w:tc>
          <w:tcPr>
            <w:tcW w:w="1422" w:type="pct"/>
            <w:tcBorders>
              <w:top w:val="single" w:sz="4" w:space="0" w:color="auto"/>
              <w:left w:val="single" w:sz="4" w:space="0" w:color="auto"/>
              <w:right w:val="single" w:sz="4" w:space="0" w:color="auto"/>
            </w:tcBorders>
          </w:tcPr>
          <w:p w14:paraId="16A6448F" w14:textId="77777777" w:rsidR="008E67EA" w:rsidRPr="00B251FC" w:rsidRDefault="008E67EA" w:rsidP="00B44A74">
            <w:pPr>
              <w:pStyle w:val="APVMATableText"/>
              <w:spacing w:before="0" w:after="0"/>
              <w:rPr>
                <w:color w:val="000000" w:themeColor="text1"/>
              </w:rPr>
            </w:pPr>
            <w:r w:rsidRPr="00B251FC">
              <w:rPr>
                <w:color w:val="000000" w:themeColor="text1"/>
              </w:rPr>
              <w:t>Coumatetralyl</w:t>
            </w:r>
          </w:p>
        </w:tc>
        <w:tc>
          <w:tcPr>
            <w:tcW w:w="2291" w:type="pct"/>
            <w:tcBorders>
              <w:top w:val="single" w:sz="4" w:space="0" w:color="auto"/>
              <w:left w:val="single" w:sz="4" w:space="0" w:color="auto"/>
              <w:bottom w:val="single" w:sz="4" w:space="0" w:color="auto"/>
              <w:right w:val="single" w:sz="4" w:space="0" w:color="auto"/>
            </w:tcBorders>
            <w:vAlign w:val="center"/>
          </w:tcPr>
          <w:p w14:paraId="03A0EC82" w14:textId="77777777" w:rsidR="008E67EA" w:rsidRPr="00B251FC" w:rsidRDefault="008E67EA" w:rsidP="00B44A74">
            <w:pPr>
              <w:pStyle w:val="APVMATableText"/>
              <w:spacing w:before="0" w:after="0"/>
              <w:jc w:val="center"/>
              <w:rPr>
                <w:color w:val="000000" w:themeColor="text1"/>
              </w:rPr>
            </w:pPr>
            <w:r w:rsidRPr="00024D6C">
              <w:rPr>
                <w:color w:val="000000" w:themeColor="text1"/>
              </w:rPr>
              <w:t>22.9</w:t>
            </w:r>
          </w:p>
        </w:tc>
        <w:tc>
          <w:tcPr>
            <w:tcW w:w="1287" w:type="pct"/>
            <w:tcBorders>
              <w:top w:val="single" w:sz="4" w:space="0" w:color="auto"/>
              <w:left w:val="single" w:sz="4" w:space="0" w:color="auto"/>
              <w:bottom w:val="single" w:sz="4" w:space="0" w:color="auto"/>
              <w:right w:val="single" w:sz="4" w:space="0" w:color="auto"/>
            </w:tcBorders>
            <w:vAlign w:val="center"/>
          </w:tcPr>
          <w:p w14:paraId="4F9DE070" w14:textId="77777777" w:rsidR="008E67EA" w:rsidRPr="00B251FC" w:rsidRDefault="008E67EA" w:rsidP="00B44A74">
            <w:pPr>
              <w:pStyle w:val="APVMATableText"/>
              <w:spacing w:before="0" w:after="0"/>
              <w:jc w:val="center"/>
              <w:rPr>
                <w:color w:val="000000" w:themeColor="text1"/>
              </w:rPr>
            </w:pPr>
            <w:r w:rsidRPr="00024D6C">
              <w:rPr>
                <w:color w:val="000000" w:themeColor="text1"/>
              </w:rPr>
              <w:t>1 300</w:t>
            </w:r>
          </w:p>
        </w:tc>
      </w:tr>
      <w:tr w:rsidR="008E67EA" w:rsidRPr="006B74D1" w14:paraId="06889F77" w14:textId="77777777" w:rsidTr="00B44A74">
        <w:trPr>
          <w:cantSplit/>
        </w:trPr>
        <w:tc>
          <w:tcPr>
            <w:tcW w:w="1422" w:type="pct"/>
            <w:tcBorders>
              <w:top w:val="single" w:sz="4" w:space="0" w:color="auto"/>
              <w:left w:val="single" w:sz="4" w:space="0" w:color="auto"/>
              <w:bottom w:val="single" w:sz="4" w:space="0" w:color="auto"/>
              <w:right w:val="single" w:sz="4" w:space="0" w:color="auto"/>
            </w:tcBorders>
          </w:tcPr>
          <w:p w14:paraId="0BB60D2F" w14:textId="77777777" w:rsidR="008E67EA" w:rsidRPr="00B251FC" w:rsidRDefault="008E67EA" w:rsidP="00B44A74">
            <w:pPr>
              <w:pStyle w:val="APVMATableText"/>
              <w:spacing w:before="0" w:after="0"/>
              <w:rPr>
                <w:color w:val="000000" w:themeColor="text1"/>
              </w:rPr>
            </w:pPr>
            <w:r w:rsidRPr="00B251FC">
              <w:rPr>
                <w:color w:val="000000" w:themeColor="text1"/>
              </w:rPr>
              <w:t>Diphacinone</w:t>
            </w:r>
          </w:p>
        </w:tc>
        <w:tc>
          <w:tcPr>
            <w:tcW w:w="2291" w:type="pct"/>
            <w:tcBorders>
              <w:top w:val="single" w:sz="4" w:space="0" w:color="auto"/>
              <w:left w:val="single" w:sz="4" w:space="0" w:color="auto"/>
              <w:bottom w:val="single" w:sz="4" w:space="0" w:color="auto"/>
              <w:right w:val="single" w:sz="4" w:space="0" w:color="auto"/>
            </w:tcBorders>
            <w:vAlign w:val="center"/>
          </w:tcPr>
          <w:p w14:paraId="62248556" w14:textId="77777777" w:rsidR="008E67EA" w:rsidRPr="00B251FC" w:rsidRDefault="008E67EA" w:rsidP="00B44A74">
            <w:pPr>
              <w:pStyle w:val="APVMATableText"/>
              <w:spacing w:before="0" w:after="0"/>
              <w:jc w:val="center"/>
              <w:rPr>
                <w:color w:val="000000" w:themeColor="text1"/>
              </w:rPr>
            </w:pPr>
            <w:r w:rsidRPr="00024D6C">
              <w:rPr>
                <w:color w:val="000000" w:themeColor="text1"/>
              </w:rPr>
              <w:t>22.5</w:t>
            </w:r>
          </w:p>
        </w:tc>
        <w:tc>
          <w:tcPr>
            <w:tcW w:w="1287" w:type="pct"/>
            <w:tcBorders>
              <w:top w:val="single" w:sz="4" w:space="0" w:color="auto"/>
              <w:left w:val="single" w:sz="4" w:space="0" w:color="auto"/>
              <w:bottom w:val="single" w:sz="4" w:space="0" w:color="auto"/>
              <w:right w:val="single" w:sz="4" w:space="0" w:color="auto"/>
            </w:tcBorders>
            <w:vAlign w:val="center"/>
          </w:tcPr>
          <w:p w14:paraId="2E1C161A" w14:textId="77777777" w:rsidR="008E67EA" w:rsidRPr="00B251FC" w:rsidRDefault="008E67EA" w:rsidP="00B44A74">
            <w:pPr>
              <w:pStyle w:val="APVMATableText"/>
              <w:spacing w:before="0" w:after="0"/>
              <w:jc w:val="center"/>
              <w:rPr>
                <w:color w:val="000000" w:themeColor="text1"/>
              </w:rPr>
            </w:pPr>
            <w:r w:rsidRPr="00024D6C">
              <w:rPr>
                <w:color w:val="000000" w:themeColor="text1"/>
              </w:rPr>
              <w:t>2 200</w:t>
            </w:r>
          </w:p>
        </w:tc>
      </w:tr>
      <w:tr w:rsidR="008E67EA" w:rsidRPr="006B74D1" w14:paraId="1FEE6FB5" w14:textId="77777777" w:rsidTr="00B44A74">
        <w:trPr>
          <w:cantSplit/>
        </w:trPr>
        <w:tc>
          <w:tcPr>
            <w:tcW w:w="5000" w:type="pct"/>
            <w:gridSpan w:val="3"/>
            <w:tcBorders>
              <w:top w:val="single" w:sz="4" w:space="0" w:color="auto"/>
              <w:left w:val="single" w:sz="4" w:space="0" w:color="auto"/>
              <w:bottom w:val="single" w:sz="4" w:space="0" w:color="auto"/>
              <w:right w:val="single" w:sz="4" w:space="0" w:color="auto"/>
            </w:tcBorders>
          </w:tcPr>
          <w:p w14:paraId="425A5EAA" w14:textId="77777777" w:rsidR="008E67EA" w:rsidRPr="00B251FC" w:rsidRDefault="008E67EA" w:rsidP="00B44A74">
            <w:pPr>
              <w:pStyle w:val="APVMATableText"/>
              <w:spacing w:before="0" w:after="0"/>
              <w:rPr>
                <w:color w:val="000000" w:themeColor="text1"/>
              </w:rPr>
            </w:pPr>
            <w:r w:rsidRPr="00B251FC">
              <w:rPr>
                <w:i/>
                <w:iCs/>
                <w:color w:val="000000" w:themeColor="text1"/>
              </w:rPr>
              <w:t>Second generation anticoagulant rodenticides</w:t>
            </w:r>
          </w:p>
        </w:tc>
      </w:tr>
      <w:tr w:rsidR="008E67EA" w:rsidRPr="006B74D1" w14:paraId="11A316E7" w14:textId="77777777" w:rsidTr="00B44A74">
        <w:trPr>
          <w:cantSplit/>
        </w:trPr>
        <w:tc>
          <w:tcPr>
            <w:tcW w:w="1422" w:type="pct"/>
            <w:tcBorders>
              <w:top w:val="single" w:sz="4" w:space="0" w:color="auto"/>
              <w:left w:val="single" w:sz="4" w:space="0" w:color="auto"/>
              <w:bottom w:val="single" w:sz="4" w:space="0" w:color="auto"/>
              <w:right w:val="single" w:sz="4" w:space="0" w:color="auto"/>
            </w:tcBorders>
          </w:tcPr>
          <w:p w14:paraId="19404554" w14:textId="77777777" w:rsidR="008E67EA" w:rsidRPr="00B251FC" w:rsidRDefault="008E67EA" w:rsidP="00B44A74">
            <w:pPr>
              <w:pStyle w:val="APVMATableText"/>
              <w:spacing w:before="0" w:after="0"/>
              <w:rPr>
                <w:color w:val="000000" w:themeColor="text1"/>
              </w:rPr>
            </w:pPr>
            <w:r w:rsidRPr="00B251FC">
              <w:rPr>
                <w:color w:val="000000" w:themeColor="text1"/>
              </w:rPr>
              <w:t>Brodifacoum</w:t>
            </w:r>
          </w:p>
        </w:tc>
        <w:tc>
          <w:tcPr>
            <w:tcW w:w="2291" w:type="pct"/>
            <w:tcBorders>
              <w:top w:val="single" w:sz="4" w:space="0" w:color="auto"/>
              <w:left w:val="single" w:sz="4" w:space="0" w:color="auto"/>
              <w:bottom w:val="single" w:sz="4" w:space="0" w:color="auto"/>
              <w:right w:val="single" w:sz="4" w:space="0" w:color="auto"/>
            </w:tcBorders>
            <w:vAlign w:val="center"/>
          </w:tcPr>
          <w:p w14:paraId="51B0616F" w14:textId="77777777" w:rsidR="008E67EA" w:rsidRPr="00B251FC" w:rsidRDefault="008E67EA" w:rsidP="00B44A74">
            <w:pPr>
              <w:pStyle w:val="APVMATableText"/>
              <w:spacing w:before="0" w:after="0"/>
              <w:jc w:val="center"/>
              <w:rPr>
                <w:color w:val="000000" w:themeColor="text1"/>
              </w:rPr>
            </w:pPr>
            <w:r w:rsidRPr="00024D6C">
              <w:rPr>
                <w:color w:val="000000" w:themeColor="text1"/>
              </w:rPr>
              <w:t>10</w:t>
            </w:r>
          </w:p>
        </w:tc>
        <w:tc>
          <w:tcPr>
            <w:tcW w:w="1287" w:type="pct"/>
            <w:tcBorders>
              <w:top w:val="single" w:sz="4" w:space="0" w:color="auto"/>
              <w:left w:val="single" w:sz="4" w:space="0" w:color="auto"/>
              <w:bottom w:val="single" w:sz="4" w:space="0" w:color="auto"/>
              <w:right w:val="single" w:sz="4" w:space="0" w:color="auto"/>
            </w:tcBorders>
            <w:vAlign w:val="center"/>
          </w:tcPr>
          <w:p w14:paraId="7696C8D2" w14:textId="77777777" w:rsidR="008E67EA" w:rsidRPr="00B251FC" w:rsidRDefault="008E67EA" w:rsidP="00B44A74">
            <w:pPr>
              <w:pStyle w:val="APVMATableText"/>
              <w:spacing w:before="0" w:after="0"/>
              <w:jc w:val="center"/>
              <w:rPr>
                <w:color w:val="000000" w:themeColor="text1"/>
              </w:rPr>
            </w:pPr>
            <w:r w:rsidRPr="00024D6C">
              <w:rPr>
                <w:color w:val="000000" w:themeColor="text1"/>
              </w:rPr>
              <w:t>740</w:t>
            </w:r>
          </w:p>
        </w:tc>
      </w:tr>
      <w:tr w:rsidR="008E67EA" w:rsidRPr="006B74D1" w14:paraId="7A352888" w14:textId="77777777" w:rsidTr="00B44A74">
        <w:trPr>
          <w:cantSplit/>
        </w:trPr>
        <w:tc>
          <w:tcPr>
            <w:tcW w:w="1422" w:type="pct"/>
            <w:tcBorders>
              <w:top w:val="single" w:sz="4" w:space="0" w:color="auto"/>
              <w:left w:val="single" w:sz="4" w:space="0" w:color="auto"/>
              <w:right w:val="single" w:sz="4" w:space="0" w:color="auto"/>
            </w:tcBorders>
          </w:tcPr>
          <w:p w14:paraId="38B26413" w14:textId="77777777" w:rsidR="008E67EA" w:rsidRPr="00B251FC" w:rsidRDefault="008E67EA" w:rsidP="00B44A74">
            <w:pPr>
              <w:pStyle w:val="APVMATableText"/>
              <w:spacing w:before="0" w:after="0"/>
              <w:rPr>
                <w:color w:val="000000" w:themeColor="text1"/>
              </w:rPr>
            </w:pPr>
            <w:r w:rsidRPr="00B251FC">
              <w:rPr>
                <w:color w:val="000000" w:themeColor="text1"/>
              </w:rPr>
              <w:t>Bromadiolone</w:t>
            </w:r>
          </w:p>
        </w:tc>
        <w:tc>
          <w:tcPr>
            <w:tcW w:w="2291" w:type="pct"/>
            <w:tcBorders>
              <w:top w:val="single" w:sz="4" w:space="0" w:color="auto"/>
              <w:left w:val="single" w:sz="4" w:space="0" w:color="auto"/>
              <w:bottom w:val="single" w:sz="4" w:space="0" w:color="auto"/>
              <w:right w:val="single" w:sz="4" w:space="0" w:color="auto"/>
            </w:tcBorders>
            <w:vAlign w:val="center"/>
          </w:tcPr>
          <w:p w14:paraId="2EB603AC" w14:textId="77777777" w:rsidR="008E67EA" w:rsidRPr="00694C29" w:rsidRDefault="008E67EA" w:rsidP="00B44A74">
            <w:pPr>
              <w:pStyle w:val="APVMATableText"/>
              <w:spacing w:before="0" w:after="0"/>
              <w:jc w:val="center"/>
              <w:rPr>
                <w:color w:val="000000" w:themeColor="text1"/>
              </w:rPr>
            </w:pPr>
            <w:r w:rsidRPr="00024D6C">
              <w:rPr>
                <w:color w:val="000000" w:themeColor="text1"/>
              </w:rPr>
              <w:t>22.5</w:t>
            </w:r>
          </w:p>
        </w:tc>
        <w:tc>
          <w:tcPr>
            <w:tcW w:w="1287" w:type="pct"/>
            <w:tcBorders>
              <w:top w:val="single" w:sz="4" w:space="0" w:color="auto"/>
              <w:left w:val="single" w:sz="4" w:space="0" w:color="auto"/>
              <w:bottom w:val="single" w:sz="4" w:space="0" w:color="auto"/>
              <w:right w:val="single" w:sz="4" w:space="0" w:color="auto"/>
            </w:tcBorders>
            <w:vAlign w:val="center"/>
          </w:tcPr>
          <w:p w14:paraId="17B79E00" w14:textId="77777777" w:rsidR="008E67EA" w:rsidRPr="00024D6C" w:rsidRDefault="008E67EA" w:rsidP="00B44A74">
            <w:pPr>
              <w:pStyle w:val="APVMATableText"/>
              <w:spacing w:before="0" w:after="0"/>
              <w:jc w:val="center"/>
              <w:rPr>
                <w:color w:val="000000" w:themeColor="text1"/>
              </w:rPr>
            </w:pPr>
            <w:r w:rsidRPr="00024D6C">
              <w:rPr>
                <w:color w:val="000000" w:themeColor="text1"/>
              </w:rPr>
              <w:t>660</w:t>
            </w:r>
          </w:p>
        </w:tc>
      </w:tr>
      <w:tr w:rsidR="008E67EA" w:rsidRPr="006B74D1" w14:paraId="41BDB482" w14:textId="77777777" w:rsidTr="00B44A74">
        <w:trPr>
          <w:cantSplit/>
        </w:trPr>
        <w:tc>
          <w:tcPr>
            <w:tcW w:w="1422" w:type="pct"/>
            <w:tcBorders>
              <w:top w:val="single" w:sz="4" w:space="0" w:color="auto"/>
              <w:left w:val="single" w:sz="4" w:space="0" w:color="auto"/>
              <w:right w:val="single" w:sz="4" w:space="0" w:color="auto"/>
            </w:tcBorders>
          </w:tcPr>
          <w:p w14:paraId="6460F4FF" w14:textId="77777777" w:rsidR="008E67EA" w:rsidRPr="00B251FC" w:rsidRDefault="008E67EA" w:rsidP="00B44A74">
            <w:pPr>
              <w:pStyle w:val="APVMATableText"/>
              <w:spacing w:before="0" w:after="0"/>
              <w:rPr>
                <w:color w:val="000000" w:themeColor="text1"/>
              </w:rPr>
            </w:pPr>
            <w:r w:rsidRPr="00B251FC">
              <w:rPr>
                <w:color w:val="000000" w:themeColor="text1"/>
              </w:rPr>
              <w:t>Difenacoum</w:t>
            </w:r>
          </w:p>
        </w:tc>
        <w:tc>
          <w:tcPr>
            <w:tcW w:w="2291" w:type="pct"/>
            <w:tcBorders>
              <w:top w:val="single" w:sz="4" w:space="0" w:color="auto"/>
              <w:left w:val="single" w:sz="4" w:space="0" w:color="auto"/>
              <w:bottom w:val="single" w:sz="4" w:space="0" w:color="auto"/>
              <w:right w:val="single" w:sz="4" w:space="0" w:color="auto"/>
            </w:tcBorders>
            <w:vAlign w:val="center"/>
          </w:tcPr>
          <w:p w14:paraId="76A3C3C2" w14:textId="77777777" w:rsidR="008E67EA" w:rsidRPr="00B251FC" w:rsidRDefault="008E67EA" w:rsidP="00B44A74">
            <w:pPr>
              <w:pStyle w:val="APVMATableText"/>
              <w:spacing w:before="0" w:after="0"/>
              <w:jc w:val="center"/>
              <w:rPr>
                <w:color w:val="000000" w:themeColor="text1"/>
              </w:rPr>
            </w:pPr>
            <w:r w:rsidRPr="00024D6C">
              <w:rPr>
                <w:color w:val="000000" w:themeColor="text1"/>
              </w:rPr>
              <w:t>10</w:t>
            </w:r>
          </w:p>
        </w:tc>
        <w:tc>
          <w:tcPr>
            <w:tcW w:w="1287" w:type="pct"/>
            <w:tcBorders>
              <w:top w:val="single" w:sz="4" w:space="0" w:color="auto"/>
              <w:left w:val="single" w:sz="4" w:space="0" w:color="auto"/>
              <w:bottom w:val="single" w:sz="4" w:space="0" w:color="auto"/>
              <w:right w:val="single" w:sz="4" w:space="0" w:color="auto"/>
            </w:tcBorders>
            <w:vAlign w:val="center"/>
          </w:tcPr>
          <w:p w14:paraId="0399E39D" w14:textId="77777777" w:rsidR="008E67EA" w:rsidRPr="00B251FC" w:rsidRDefault="008E67EA" w:rsidP="00B44A74">
            <w:pPr>
              <w:pStyle w:val="APVMATableText"/>
              <w:spacing w:before="0" w:after="0"/>
              <w:jc w:val="center"/>
              <w:rPr>
                <w:color w:val="000000" w:themeColor="text1"/>
              </w:rPr>
            </w:pPr>
            <w:r w:rsidRPr="00024D6C">
              <w:rPr>
                <w:color w:val="000000" w:themeColor="text1"/>
              </w:rPr>
              <w:t>740</w:t>
            </w:r>
          </w:p>
        </w:tc>
      </w:tr>
      <w:tr w:rsidR="008E67EA" w:rsidRPr="006B74D1" w14:paraId="619F9668" w14:textId="77777777" w:rsidTr="00B44A74">
        <w:trPr>
          <w:cantSplit/>
        </w:trPr>
        <w:tc>
          <w:tcPr>
            <w:tcW w:w="1422" w:type="pct"/>
            <w:tcBorders>
              <w:top w:val="single" w:sz="4" w:space="0" w:color="auto"/>
              <w:left w:val="single" w:sz="4" w:space="0" w:color="auto"/>
              <w:bottom w:val="single" w:sz="4" w:space="0" w:color="auto"/>
              <w:right w:val="single" w:sz="4" w:space="0" w:color="auto"/>
            </w:tcBorders>
          </w:tcPr>
          <w:p w14:paraId="25C2BB17" w14:textId="77777777" w:rsidR="008E67EA" w:rsidRPr="00B251FC" w:rsidRDefault="008E67EA" w:rsidP="00B44A74">
            <w:pPr>
              <w:pStyle w:val="APVMATableText"/>
              <w:spacing w:before="0" w:after="0"/>
              <w:rPr>
                <w:color w:val="000000" w:themeColor="text1"/>
              </w:rPr>
            </w:pPr>
            <w:r w:rsidRPr="00B251FC">
              <w:rPr>
                <w:color w:val="000000" w:themeColor="text1"/>
              </w:rPr>
              <w:t>Difethialone</w:t>
            </w:r>
          </w:p>
        </w:tc>
        <w:tc>
          <w:tcPr>
            <w:tcW w:w="2291" w:type="pct"/>
            <w:tcBorders>
              <w:top w:val="single" w:sz="4" w:space="0" w:color="auto"/>
              <w:left w:val="single" w:sz="4" w:space="0" w:color="auto"/>
              <w:bottom w:val="single" w:sz="4" w:space="0" w:color="auto"/>
              <w:right w:val="single" w:sz="4" w:space="0" w:color="auto"/>
            </w:tcBorders>
            <w:vAlign w:val="center"/>
          </w:tcPr>
          <w:p w14:paraId="3A902F5B" w14:textId="77777777" w:rsidR="008E67EA" w:rsidRPr="00B251FC" w:rsidRDefault="008E67EA" w:rsidP="00B44A74">
            <w:pPr>
              <w:pStyle w:val="APVMATableText"/>
              <w:spacing w:before="0" w:after="0"/>
              <w:jc w:val="center"/>
              <w:rPr>
                <w:color w:val="000000" w:themeColor="text1"/>
              </w:rPr>
            </w:pPr>
            <w:r w:rsidRPr="00024D6C">
              <w:rPr>
                <w:color w:val="000000" w:themeColor="text1"/>
              </w:rPr>
              <w:t>4</w:t>
            </w:r>
          </w:p>
        </w:tc>
        <w:tc>
          <w:tcPr>
            <w:tcW w:w="1287" w:type="pct"/>
            <w:tcBorders>
              <w:top w:val="single" w:sz="4" w:space="0" w:color="auto"/>
              <w:left w:val="single" w:sz="4" w:space="0" w:color="auto"/>
              <w:bottom w:val="single" w:sz="4" w:space="0" w:color="auto"/>
              <w:right w:val="single" w:sz="4" w:space="0" w:color="auto"/>
            </w:tcBorders>
            <w:vAlign w:val="center"/>
          </w:tcPr>
          <w:p w14:paraId="48759345" w14:textId="77777777" w:rsidR="008E67EA" w:rsidRPr="00B251FC" w:rsidRDefault="008E67EA" w:rsidP="00B44A74">
            <w:pPr>
              <w:pStyle w:val="APVMATableText"/>
              <w:spacing w:before="0" w:after="0"/>
              <w:jc w:val="center"/>
              <w:rPr>
                <w:color w:val="000000" w:themeColor="text1"/>
              </w:rPr>
            </w:pPr>
            <w:r w:rsidRPr="00024D6C">
              <w:rPr>
                <w:color w:val="000000" w:themeColor="text1"/>
              </w:rPr>
              <w:t>2 300</w:t>
            </w:r>
          </w:p>
        </w:tc>
      </w:tr>
      <w:tr w:rsidR="008E67EA" w:rsidRPr="006B74D1" w14:paraId="362CD7BA" w14:textId="77777777" w:rsidTr="00B44A74">
        <w:trPr>
          <w:cantSplit/>
        </w:trPr>
        <w:tc>
          <w:tcPr>
            <w:tcW w:w="1422" w:type="pct"/>
            <w:tcBorders>
              <w:top w:val="single" w:sz="4" w:space="0" w:color="auto"/>
              <w:left w:val="single" w:sz="4" w:space="0" w:color="auto"/>
              <w:bottom w:val="single" w:sz="4" w:space="0" w:color="auto"/>
              <w:right w:val="single" w:sz="4" w:space="0" w:color="auto"/>
            </w:tcBorders>
          </w:tcPr>
          <w:p w14:paraId="4259F38A" w14:textId="77777777" w:rsidR="008E67EA" w:rsidRPr="00B251FC" w:rsidRDefault="008E67EA" w:rsidP="00B44A74">
            <w:pPr>
              <w:pStyle w:val="APVMATableText"/>
              <w:spacing w:before="0" w:after="0"/>
              <w:rPr>
                <w:color w:val="000000" w:themeColor="text1"/>
              </w:rPr>
            </w:pPr>
            <w:r w:rsidRPr="00B251FC">
              <w:rPr>
                <w:color w:val="000000" w:themeColor="text1"/>
              </w:rPr>
              <w:t>Flocoumafen</w:t>
            </w:r>
          </w:p>
        </w:tc>
        <w:tc>
          <w:tcPr>
            <w:tcW w:w="2291" w:type="pct"/>
            <w:tcBorders>
              <w:top w:val="single" w:sz="4" w:space="0" w:color="auto"/>
              <w:left w:val="single" w:sz="4" w:space="0" w:color="auto"/>
              <w:bottom w:val="single" w:sz="4" w:space="0" w:color="auto"/>
              <w:right w:val="single" w:sz="4" w:space="0" w:color="auto"/>
            </w:tcBorders>
            <w:vAlign w:val="center"/>
          </w:tcPr>
          <w:p w14:paraId="0FE0D438" w14:textId="77777777" w:rsidR="008E67EA" w:rsidRPr="00B251FC" w:rsidRDefault="008E67EA" w:rsidP="00B44A74">
            <w:pPr>
              <w:pStyle w:val="APVMATableText"/>
              <w:spacing w:before="0" w:after="0"/>
              <w:jc w:val="center"/>
              <w:rPr>
                <w:color w:val="000000" w:themeColor="text1"/>
              </w:rPr>
            </w:pPr>
            <w:r w:rsidRPr="00024D6C">
              <w:rPr>
                <w:color w:val="000000" w:themeColor="text1"/>
              </w:rPr>
              <w:t>4</w:t>
            </w:r>
          </w:p>
        </w:tc>
        <w:tc>
          <w:tcPr>
            <w:tcW w:w="1287" w:type="pct"/>
            <w:tcBorders>
              <w:top w:val="single" w:sz="4" w:space="0" w:color="auto"/>
              <w:left w:val="single" w:sz="4" w:space="0" w:color="auto"/>
              <w:bottom w:val="single" w:sz="4" w:space="0" w:color="auto"/>
              <w:right w:val="single" w:sz="4" w:space="0" w:color="auto"/>
            </w:tcBorders>
            <w:vAlign w:val="center"/>
          </w:tcPr>
          <w:p w14:paraId="3F3A2F14" w14:textId="77777777" w:rsidR="008E67EA" w:rsidRPr="00B251FC" w:rsidRDefault="008E67EA" w:rsidP="00B44A74">
            <w:pPr>
              <w:pStyle w:val="APVMATableText"/>
              <w:spacing w:before="0" w:after="0"/>
              <w:jc w:val="center"/>
              <w:rPr>
                <w:color w:val="000000" w:themeColor="text1"/>
              </w:rPr>
            </w:pPr>
            <w:r w:rsidRPr="00024D6C">
              <w:rPr>
                <w:color w:val="000000" w:themeColor="text1"/>
              </w:rPr>
              <w:t>2 600</w:t>
            </w:r>
          </w:p>
        </w:tc>
      </w:tr>
    </w:tbl>
    <w:p w14:paraId="715CBCA8" w14:textId="77777777" w:rsidR="008E67EA" w:rsidRPr="00B17C97" w:rsidRDefault="008E67EA" w:rsidP="008E67EA">
      <w:pPr>
        <w:pStyle w:val="NumberLevel1"/>
        <w:numPr>
          <w:ilvl w:val="0"/>
          <w:numId w:val="0"/>
        </w:numPr>
        <w:spacing w:before="0"/>
        <w:ind w:left="567"/>
        <w:rPr>
          <w:sz w:val="16"/>
          <w:szCs w:val="16"/>
        </w:rPr>
      </w:pPr>
      <w:r w:rsidRPr="00B17C97">
        <w:rPr>
          <w:sz w:val="16"/>
          <w:szCs w:val="16"/>
        </w:rPr>
        <w:t>*Acceptable MOE for product application by non-professional users is ≥300</w:t>
      </w:r>
    </w:p>
    <w:p w14:paraId="0DBE5AD1" w14:textId="77777777" w:rsidR="008E67EA" w:rsidRDefault="008E67EA" w:rsidP="008E67EA">
      <w:pPr>
        <w:pStyle w:val="StatementofReasonsHeading4"/>
        <w:ind w:left="720" w:firstLine="720"/>
        <w:rPr>
          <w:i/>
          <w:iCs/>
        </w:rPr>
      </w:pPr>
      <w:r>
        <w:rPr>
          <w:i/>
          <w:iCs/>
        </w:rPr>
        <w:t>Safety directions</w:t>
      </w:r>
    </w:p>
    <w:p w14:paraId="5AAEB90C" w14:textId="4B9C083E" w:rsidR="008E67EA" w:rsidRPr="007D723C" w:rsidRDefault="008E67EA">
      <w:pPr>
        <w:pStyle w:val="NumberLevel1"/>
        <w:numPr>
          <w:ilvl w:val="0"/>
          <w:numId w:val="17"/>
        </w:numPr>
        <w:tabs>
          <w:tab w:val="clear" w:pos="709"/>
          <w:tab w:val="num" w:pos="2553"/>
        </w:tabs>
        <w:rPr>
          <w:color w:val="000000" w:themeColor="text1"/>
        </w:rPr>
      </w:pPr>
      <w:bookmarkStart w:id="232" w:name="_Ref205886343"/>
      <w:r w:rsidRPr="00685E59">
        <w:rPr>
          <w:color w:val="000000" w:themeColor="text1"/>
        </w:rPr>
        <w:t xml:space="preserve">Safety directions are product-specific (or formulation-specific) instructions for use designed to ensure the safe handling of agricultural chemical products. They include statements relating to the potential </w:t>
      </w:r>
      <w:r w:rsidRPr="007D723C">
        <w:rPr>
          <w:color w:val="000000" w:themeColor="text1"/>
        </w:rPr>
        <w:t>hazards of chemical products, precautions that should be taken both during and after use of the chemical product, and the requirements for protective equipment to ensure the safety of the user during handling and use of the chemical products.</w:t>
      </w:r>
      <w:bookmarkEnd w:id="232"/>
    </w:p>
    <w:p w14:paraId="7BFDF93E" w14:textId="5F31B9AD" w:rsidR="008E67EA" w:rsidRPr="007D723C" w:rsidRDefault="008E67EA">
      <w:pPr>
        <w:pStyle w:val="NumberLevel1"/>
        <w:numPr>
          <w:ilvl w:val="0"/>
          <w:numId w:val="17"/>
        </w:numPr>
        <w:tabs>
          <w:tab w:val="clear" w:pos="709"/>
          <w:tab w:val="num" w:pos="2553"/>
        </w:tabs>
        <w:rPr>
          <w:color w:val="000000" w:themeColor="text1"/>
        </w:rPr>
      </w:pPr>
      <w:bookmarkStart w:id="233" w:name="_Ref205885561"/>
      <w:r w:rsidRPr="007D723C">
        <w:rPr>
          <w:color w:val="000000" w:themeColor="text1"/>
        </w:rPr>
        <w:t xml:space="preserve">Based on my review and consideration the assessment of the risks posed to both occupational and non-professional users from application of anticoagulant rodenticides chemical products detailed above, and the recommendations in </w:t>
      </w:r>
      <w:r>
        <w:rPr>
          <w:color w:val="000000" w:themeColor="text1"/>
        </w:rPr>
        <w:t xml:space="preserve">section </w:t>
      </w:r>
      <w:r w:rsidRPr="00175F2F">
        <w:rPr>
          <w:i/>
          <w:iCs/>
          <w:color w:val="000000" w:themeColor="text1"/>
        </w:rPr>
        <w:t>‘4.9.2 Safety Directions’</w:t>
      </w:r>
      <w:r>
        <w:rPr>
          <w:color w:val="000000" w:themeColor="text1"/>
        </w:rPr>
        <w:t xml:space="preserve"> </w:t>
      </w:r>
      <w:r w:rsidRPr="007D723C">
        <w:rPr>
          <w:color w:val="000000" w:themeColor="text1"/>
        </w:rPr>
        <w:t xml:space="preserve">of the </w:t>
      </w:r>
      <w:r w:rsidRPr="007D723C">
        <w:rPr>
          <w:i/>
          <w:iCs/>
          <w:color w:val="000000" w:themeColor="text1"/>
        </w:rPr>
        <w:t xml:space="preserve">Anticoagulant Rodenticides Review Technical Report, </w:t>
      </w:r>
      <w:r w:rsidRPr="007D723C">
        <w:rPr>
          <w:color w:val="000000" w:themeColor="text1"/>
        </w:rPr>
        <w:lastRenderedPageBreak/>
        <w:t xml:space="preserve">I consider that the relevant safety directions set out in </w:t>
      </w:r>
      <w:r w:rsidRPr="007D723C">
        <w:rPr>
          <w:color w:val="000000" w:themeColor="text1"/>
        </w:rPr>
        <w:fldChar w:fldCharType="begin"/>
      </w:r>
      <w:r w:rsidRPr="007D723C">
        <w:rPr>
          <w:color w:val="000000" w:themeColor="text1"/>
        </w:rPr>
        <w:instrText xml:space="preserve"> REF _Ref204016099 \h  \* MERGEFORMAT </w:instrText>
      </w:r>
      <w:r w:rsidRPr="007D723C">
        <w:rPr>
          <w:color w:val="000000" w:themeColor="text1"/>
        </w:rPr>
      </w:r>
      <w:r w:rsidRPr="007D723C">
        <w:rPr>
          <w:color w:val="000000" w:themeColor="text1"/>
        </w:rPr>
        <w:fldChar w:fldCharType="separate"/>
      </w:r>
      <w:r w:rsidR="002C0C2A" w:rsidRPr="00C90669">
        <w:t xml:space="preserve">Table </w:t>
      </w:r>
      <w:r w:rsidR="002C0C2A">
        <w:rPr>
          <w:noProof/>
        </w:rPr>
        <w:t>14</w:t>
      </w:r>
      <w:r w:rsidRPr="007D723C">
        <w:rPr>
          <w:color w:val="000000" w:themeColor="text1"/>
        </w:rPr>
        <w:fldChar w:fldCharType="end"/>
      </w:r>
      <w:r w:rsidRPr="007D723C">
        <w:rPr>
          <w:color w:val="000000" w:themeColor="text1"/>
        </w:rPr>
        <w:t xml:space="preserve"> below are required as part of the instructions for use of the anticoagulant rodenticides chemical products listed in Attachment A of this notice.</w:t>
      </w:r>
      <w:bookmarkEnd w:id="233"/>
    </w:p>
    <w:p w14:paraId="594FB157" w14:textId="09ED37E1" w:rsidR="008E67EA" w:rsidRPr="00C90669" w:rsidRDefault="008E67EA" w:rsidP="00B33ED7">
      <w:pPr>
        <w:pStyle w:val="Caption"/>
        <w:ind w:left="567"/>
      </w:pPr>
      <w:bookmarkStart w:id="234" w:name="_Ref204016099"/>
      <w:bookmarkStart w:id="235" w:name="_Ref204016094"/>
      <w:r w:rsidRPr="00C90669">
        <w:t xml:space="preserve">Table </w:t>
      </w:r>
      <w:r w:rsidRPr="00C90669">
        <w:fldChar w:fldCharType="begin"/>
      </w:r>
      <w:r w:rsidRPr="00C90669">
        <w:instrText xml:space="preserve"> SEQ Table \* ARABIC </w:instrText>
      </w:r>
      <w:r w:rsidRPr="00C90669">
        <w:fldChar w:fldCharType="separate"/>
      </w:r>
      <w:r w:rsidR="002C0C2A">
        <w:rPr>
          <w:noProof/>
        </w:rPr>
        <w:t>14</w:t>
      </w:r>
      <w:r w:rsidRPr="00C90669">
        <w:fldChar w:fldCharType="end"/>
      </w:r>
      <w:bookmarkEnd w:id="234"/>
      <w:r w:rsidRPr="00C90669">
        <w:t>: Safety directions for ready-to-use anticoagulant rodenticides chemical products</w:t>
      </w:r>
      <w:bookmarkEnd w:id="235"/>
      <w:r w:rsidRPr="00C90669">
        <w:t xml:space="preserve"> </w:t>
      </w:r>
    </w:p>
    <w:tbl>
      <w:tblPr>
        <w:tblW w:w="4660"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559"/>
        <w:gridCol w:w="2127"/>
        <w:gridCol w:w="5287"/>
      </w:tblGrid>
      <w:tr w:rsidR="008E67EA" w:rsidRPr="006B74D1" w14:paraId="6F7E74E7" w14:textId="77777777" w:rsidTr="00B44A74">
        <w:trPr>
          <w:cantSplit/>
          <w:tblHeader/>
        </w:trPr>
        <w:tc>
          <w:tcPr>
            <w:tcW w:w="869" w:type="pct"/>
            <w:tcBorders>
              <w:top w:val="single" w:sz="4" w:space="0" w:color="auto"/>
              <w:left w:val="single" w:sz="4" w:space="0" w:color="auto"/>
              <w:bottom w:val="single" w:sz="4" w:space="0" w:color="auto"/>
              <w:right w:val="single" w:sz="4" w:space="0" w:color="auto"/>
            </w:tcBorders>
            <w:shd w:val="clear" w:color="auto" w:fill="E6E6E6"/>
            <w:hideMark/>
          </w:tcPr>
          <w:p w14:paraId="61532D25" w14:textId="77777777" w:rsidR="008E67EA" w:rsidRPr="00B251FC" w:rsidRDefault="008E67EA" w:rsidP="00B44A74">
            <w:pPr>
              <w:pStyle w:val="TableHead"/>
              <w:spacing w:before="0" w:after="0"/>
              <w:rPr>
                <w:color w:val="000000" w:themeColor="text1"/>
              </w:rPr>
            </w:pPr>
            <w:r w:rsidRPr="00B251FC">
              <w:rPr>
                <w:color w:val="000000" w:themeColor="text1"/>
              </w:rPr>
              <w:t>Active</w:t>
            </w:r>
          </w:p>
        </w:tc>
        <w:tc>
          <w:tcPr>
            <w:tcW w:w="1185" w:type="pct"/>
            <w:tcBorders>
              <w:top w:val="single" w:sz="4" w:space="0" w:color="auto"/>
              <w:left w:val="single" w:sz="4" w:space="0" w:color="auto"/>
              <w:bottom w:val="single" w:sz="4" w:space="0" w:color="auto"/>
              <w:right w:val="single" w:sz="4" w:space="0" w:color="auto"/>
            </w:tcBorders>
            <w:shd w:val="clear" w:color="auto" w:fill="E6E6E6"/>
            <w:hideMark/>
          </w:tcPr>
          <w:p w14:paraId="4EF7DCC7" w14:textId="77777777" w:rsidR="008E67EA" w:rsidRPr="00B251FC" w:rsidRDefault="008E67EA" w:rsidP="00B44A74">
            <w:pPr>
              <w:pStyle w:val="TableHead"/>
              <w:spacing w:before="0" w:after="0"/>
              <w:rPr>
                <w:color w:val="000000" w:themeColor="text1"/>
              </w:rPr>
            </w:pPr>
            <w:r>
              <w:rPr>
                <w:color w:val="000000" w:themeColor="text1"/>
              </w:rPr>
              <w:t>Formulation</w:t>
            </w:r>
          </w:p>
        </w:tc>
        <w:tc>
          <w:tcPr>
            <w:tcW w:w="2946" w:type="pct"/>
            <w:tcBorders>
              <w:top w:val="single" w:sz="4" w:space="0" w:color="auto"/>
              <w:left w:val="single" w:sz="4" w:space="0" w:color="auto"/>
              <w:bottom w:val="single" w:sz="4" w:space="0" w:color="auto"/>
              <w:right w:val="single" w:sz="4" w:space="0" w:color="auto"/>
            </w:tcBorders>
            <w:shd w:val="clear" w:color="auto" w:fill="E6E6E6"/>
          </w:tcPr>
          <w:p w14:paraId="15DD8D32" w14:textId="77777777" w:rsidR="008E67EA" w:rsidRPr="00B251FC" w:rsidRDefault="008E67EA" w:rsidP="00B44A74">
            <w:pPr>
              <w:pStyle w:val="TableHead"/>
              <w:spacing w:before="0" w:after="0"/>
              <w:rPr>
                <w:color w:val="000000" w:themeColor="text1"/>
              </w:rPr>
            </w:pPr>
            <w:r>
              <w:rPr>
                <w:color w:val="000000" w:themeColor="text1"/>
              </w:rPr>
              <w:t>Safety Directions</w:t>
            </w:r>
          </w:p>
        </w:tc>
      </w:tr>
      <w:tr w:rsidR="008E67EA" w:rsidRPr="006B74D1" w14:paraId="7CDC06BB" w14:textId="77777777" w:rsidTr="00B44A74">
        <w:trPr>
          <w:cantSplit/>
        </w:trPr>
        <w:tc>
          <w:tcPr>
            <w:tcW w:w="5000" w:type="pct"/>
            <w:gridSpan w:val="3"/>
            <w:tcBorders>
              <w:top w:val="single" w:sz="4" w:space="0" w:color="auto"/>
              <w:left w:val="single" w:sz="4" w:space="0" w:color="auto"/>
              <w:bottom w:val="single" w:sz="4" w:space="0" w:color="auto"/>
              <w:right w:val="single" w:sz="4" w:space="0" w:color="auto"/>
            </w:tcBorders>
          </w:tcPr>
          <w:p w14:paraId="6157B588" w14:textId="77777777" w:rsidR="008E67EA" w:rsidRPr="00B251FC" w:rsidRDefault="008E67EA" w:rsidP="00B44A74">
            <w:pPr>
              <w:pStyle w:val="APVMATableText"/>
              <w:spacing w:before="0" w:after="0"/>
              <w:rPr>
                <w:i/>
                <w:iCs/>
                <w:color w:val="000000" w:themeColor="text1"/>
              </w:rPr>
            </w:pPr>
            <w:r w:rsidRPr="00B251FC">
              <w:rPr>
                <w:i/>
                <w:iCs/>
                <w:color w:val="000000" w:themeColor="text1"/>
              </w:rPr>
              <w:t>First generation anticoagulant rodenticides</w:t>
            </w:r>
          </w:p>
        </w:tc>
      </w:tr>
      <w:tr w:rsidR="008E67EA" w:rsidRPr="006B74D1" w14:paraId="1E4D3293" w14:textId="77777777" w:rsidTr="00B44A74">
        <w:trPr>
          <w:cantSplit/>
        </w:trPr>
        <w:tc>
          <w:tcPr>
            <w:tcW w:w="869" w:type="pct"/>
            <w:vMerge w:val="restart"/>
            <w:tcBorders>
              <w:top w:val="single" w:sz="4" w:space="0" w:color="auto"/>
              <w:left w:val="single" w:sz="4" w:space="0" w:color="auto"/>
              <w:right w:val="single" w:sz="4" w:space="0" w:color="auto"/>
            </w:tcBorders>
          </w:tcPr>
          <w:p w14:paraId="1FFB3C75" w14:textId="77777777" w:rsidR="008E67EA" w:rsidRPr="00B251FC" w:rsidRDefault="008E67EA" w:rsidP="00B44A74">
            <w:pPr>
              <w:pStyle w:val="APVMATableText"/>
              <w:spacing w:before="0" w:after="0"/>
              <w:rPr>
                <w:color w:val="000000" w:themeColor="text1"/>
              </w:rPr>
            </w:pPr>
            <w:r w:rsidRPr="00B251FC">
              <w:rPr>
                <w:color w:val="000000" w:themeColor="text1"/>
              </w:rPr>
              <w:t>Coumatetralyl</w:t>
            </w:r>
          </w:p>
        </w:tc>
        <w:tc>
          <w:tcPr>
            <w:tcW w:w="1185" w:type="pct"/>
            <w:tcBorders>
              <w:top w:val="single" w:sz="4" w:space="0" w:color="auto"/>
              <w:left w:val="single" w:sz="4" w:space="0" w:color="auto"/>
              <w:bottom w:val="single" w:sz="4" w:space="0" w:color="auto"/>
              <w:right w:val="single" w:sz="4" w:space="0" w:color="auto"/>
            </w:tcBorders>
          </w:tcPr>
          <w:p w14:paraId="044B062F" w14:textId="77777777" w:rsidR="008E67EA" w:rsidRPr="00267F46" w:rsidRDefault="008E67EA" w:rsidP="00B44A74">
            <w:pPr>
              <w:pStyle w:val="APVMATableText"/>
              <w:spacing w:before="0" w:after="0"/>
              <w:rPr>
                <w:color w:val="000000" w:themeColor="text1"/>
              </w:rPr>
            </w:pPr>
            <w:r w:rsidRPr="00267F46">
              <w:rPr>
                <w:color w:val="000000" w:themeColor="text1"/>
              </w:rPr>
              <w:t xml:space="preserve">RB 0.4 g/kg or less in </w:t>
            </w:r>
            <w:bookmarkStart w:id="236" w:name="_Hlk203930492"/>
            <w:r w:rsidRPr="00267F46">
              <w:rPr>
                <w:color w:val="000000" w:themeColor="text1"/>
              </w:rPr>
              <w:t>sachet or place pack</w:t>
            </w:r>
            <w:bookmarkEnd w:id="236"/>
          </w:p>
        </w:tc>
        <w:tc>
          <w:tcPr>
            <w:tcW w:w="2946" w:type="pct"/>
            <w:tcBorders>
              <w:top w:val="single" w:sz="4" w:space="0" w:color="auto"/>
              <w:left w:val="single" w:sz="4" w:space="0" w:color="auto"/>
              <w:bottom w:val="single" w:sz="4" w:space="0" w:color="auto"/>
              <w:right w:val="single" w:sz="4" w:space="0" w:color="auto"/>
            </w:tcBorders>
          </w:tcPr>
          <w:p w14:paraId="4D38FCF5" w14:textId="77777777" w:rsidR="008E67EA" w:rsidRPr="00883E6A" w:rsidRDefault="008E67EA" w:rsidP="00B44A74">
            <w:pPr>
              <w:pStyle w:val="APVMATableText"/>
              <w:spacing w:before="0" w:after="0"/>
              <w:rPr>
                <w:color w:val="000000" w:themeColor="text1"/>
              </w:rPr>
            </w:pPr>
            <w:r w:rsidRPr="004B7FA9">
              <w:rPr>
                <w:color w:val="000000" w:themeColor="text1"/>
              </w:rPr>
              <w:t>Repeated minor exposure may have a cumulative poisoning effect. When using the product wear disposable gloves</w:t>
            </w:r>
            <w:r>
              <w:rPr>
                <w:color w:val="000000" w:themeColor="text1"/>
              </w:rPr>
              <w:t xml:space="preserve">. </w:t>
            </w:r>
            <w:r w:rsidRPr="00267F46">
              <w:rPr>
                <w:color w:val="000000" w:themeColor="text1"/>
              </w:rPr>
              <w:t>During cleanup, disposal operations of bait and bait stations and when handling rodent carcasses wear single layer clothing and disposable gloves.</w:t>
            </w:r>
            <w:r>
              <w:rPr>
                <w:color w:val="000000" w:themeColor="text1"/>
              </w:rPr>
              <w:t xml:space="preserve"> </w:t>
            </w:r>
            <w:r w:rsidRPr="004B7FA9">
              <w:rPr>
                <w:color w:val="000000" w:themeColor="text1"/>
              </w:rPr>
              <w:t xml:space="preserve">If on skin and after each baiting, wash thoroughly with soap and water. </w:t>
            </w:r>
            <w:r w:rsidRPr="00267F46">
              <w:rPr>
                <w:color w:val="000000" w:themeColor="text1"/>
              </w:rPr>
              <w:t>After each day’s use wash contaminated clothing.</w:t>
            </w:r>
          </w:p>
        </w:tc>
      </w:tr>
      <w:tr w:rsidR="008E67EA" w:rsidRPr="006B74D1" w14:paraId="2D17BC0D" w14:textId="77777777" w:rsidTr="00B44A74">
        <w:trPr>
          <w:cantSplit/>
        </w:trPr>
        <w:tc>
          <w:tcPr>
            <w:tcW w:w="869" w:type="pct"/>
            <w:vMerge/>
            <w:tcBorders>
              <w:left w:val="single" w:sz="4" w:space="0" w:color="auto"/>
              <w:right w:val="single" w:sz="4" w:space="0" w:color="auto"/>
            </w:tcBorders>
          </w:tcPr>
          <w:p w14:paraId="1299F6A4" w14:textId="77777777" w:rsidR="008E67EA" w:rsidRPr="00B251FC" w:rsidRDefault="008E67EA" w:rsidP="00B44A74">
            <w:pPr>
              <w:pStyle w:val="APVMATableText"/>
              <w:spacing w:before="0" w:after="0"/>
              <w:rPr>
                <w:color w:val="000000" w:themeColor="text1"/>
              </w:rPr>
            </w:pPr>
          </w:p>
        </w:tc>
        <w:tc>
          <w:tcPr>
            <w:tcW w:w="1185" w:type="pct"/>
            <w:tcBorders>
              <w:top w:val="single" w:sz="4" w:space="0" w:color="auto"/>
              <w:left w:val="single" w:sz="4" w:space="0" w:color="auto"/>
              <w:bottom w:val="single" w:sz="4" w:space="0" w:color="auto"/>
              <w:right w:val="single" w:sz="4" w:space="0" w:color="auto"/>
            </w:tcBorders>
          </w:tcPr>
          <w:p w14:paraId="37979EC3" w14:textId="77777777" w:rsidR="008E67EA" w:rsidRPr="009D1C4A" w:rsidRDefault="008E67EA" w:rsidP="00B44A74">
            <w:pPr>
              <w:pStyle w:val="APVMATableText"/>
              <w:spacing w:before="0" w:after="0"/>
              <w:rPr>
                <w:color w:val="000000" w:themeColor="text1"/>
              </w:rPr>
            </w:pPr>
            <w:r w:rsidRPr="009D1C4A">
              <w:rPr>
                <w:color w:val="000000" w:themeColor="text1"/>
              </w:rPr>
              <w:t>RB 0.4 g/kg or less in block formulation</w:t>
            </w:r>
          </w:p>
        </w:tc>
        <w:tc>
          <w:tcPr>
            <w:tcW w:w="2946" w:type="pct"/>
            <w:tcBorders>
              <w:top w:val="single" w:sz="4" w:space="0" w:color="auto"/>
              <w:left w:val="single" w:sz="4" w:space="0" w:color="auto"/>
              <w:bottom w:val="single" w:sz="4" w:space="0" w:color="auto"/>
              <w:right w:val="single" w:sz="4" w:space="0" w:color="auto"/>
            </w:tcBorders>
          </w:tcPr>
          <w:p w14:paraId="4EB2669F" w14:textId="77777777" w:rsidR="008E67EA" w:rsidRPr="00883E6A" w:rsidRDefault="008E67EA" w:rsidP="00B44A74">
            <w:pPr>
              <w:pStyle w:val="APVMATableText"/>
              <w:spacing w:before="0" w:after="0"/>
              <w:rPr>
                <w:color w:val="000000" w:themeColor="text1"/>
              </w:rPr>
            </w:pPr>
            <w:r w:rsidRPr="004B7FA9">
              <w:rPr>
                <w:color w:val="000000" w:themeColor="text1"/>
              </w:rPr>
              <w:t>Repeated minor exposure may have a cumulative poisoning effect. Do not touch bait, use scoop or measure. When using the product wear disposable gloves. If on skin and after each baiting, wash thoroughly with soap and water.</w:t>
            </w:r>
          </w:p>
        </w:tc>
      </w:tr>
      <w:tr w:rsidR="008E67EA" w:rsidRPr="006B74D1" w14:paraId="553490A4" w14:textId="77777777" w:rsidTr="00B44A74">
        <w:trPr>
          <w:cantSplit/>
        </w:trPr>
        <w:tc>
          <w:tcPr>
            <w:tcW w:w="869" w:type="pct"/>
            <w:vMerge/>
            <w:tcBorders>
              <w:left w:val="single" w:sz="4" w:space="0" w:color="auto"/>
              <w:right w:val="single" w:sz="4" w:space="0" w:color="auto"/>
            </w:tcBorders>
          </w:tcPr>
          <w:p w14:paraId="029613D8" w14:textId="77777777" w:rsidR="008E67EA" w:rsidRPr="00B251FC" w:rsidRDefault="008E67EA" w:rsidP="00B44A74">
            <w:pPr>
              <w:pStyle w:val="APVMATableText"/>
              <w:spacing w:before="0" w:after="0"/>
              <w:rPr>
                <w:color w:val="000000" w:themeColor="text1"/>
              </w:rPr>
            </w:pPr>
          </w:p>
        </w:tc>
        <w:tc>
          <w:tcPr>
            <w:tcW w:w="1185" w:type="pct"/>
            <w:tcBorders>
              <w:top w:val="single" w:sz="4" w:space="0" w:color="auto"/>
              <w:left w:val="single" w:sz="4" w:space="0" w:color="auto"/>
              <w:bottom w:val="single" w:sz="4" w:space="0" w:color="auto"/>
              <w:right w:val="single" w:sz="4" w:space="0" w:color="auto"/>
            </w:tcBorders>
          </w:tcPr>
          <w:p w14:paraId="52840622" w14:textId="77777777" w:rsidR="008E67EA" w:rsidRPr="009D1C4A" w:rsidRDefault="008E67EA" w:rsidP="00B44A74">
            <w:pPr>
              <w:pStyle w:val="APVMATableText"/>
              <w:spacing w:before="0" w:after="0"/>
              <w:rPr>
                <w:color w:val="000000" w:themeColor="text1"/>
              </w:rPr>
            </w:pPr>
            <w:r w:rsidRPr="009D1C4A">
              <w:rPr>
                <w:color w:val="000000" w:themeColor="text1"/>
              </w:rPr>
              <w:t>RB 0.4 g/kg or less in pellet formulation</w:t>
            </w:r>
          </w:p>
        </w:tc>
        <w:tc>
          <w:tcPr>
            <w:tcW w:w="2946" w:type="pct"/>
            <w:tcBorders>
              <w:top w:val="single" w:sz="4" w:space="0" w:color="auto"/>
              <w:left w:val="single" w:sz="4" w:space="0" w:color="auto"/>
              <w:bottom w:val="single" w:sz="4" w:space="0" w:color="auto"/>
              <w:right w:val="single" w:sz="4" w:space="0" w:color="auto"/>
            </w:tcBorders>
          </w:tcPr>
          <w:p w14:paraId="2DEC16D4" w14:textId="77777777" w:rsidR="008E67EA" w:rsidRPr="00883E6A" w:rsidRDefault="008E67EA" w:rsidP="00B44A74">
            <w:pPr>
              <w:pStyle w:val="APVMATableText"/>
              <w:spacing w:before="0" w:after="0"/>
              <w:rPr>
                <w:color w:val="000000" w:themeColor="text1"/>
              </w:rPr>
            </w:pPr>
            <w:r w:rsidRPr="004B7FA9">
              <w:rPr>
                <w:color w:val="000000" w:themeColor="text1"/>
              </w:rPr>
              <w:t>Repeated minor exposure may have a cumulative poisoning effect. Avoid contact with eyes and skin. Do not inhale dust. Do not touch bait, use scoop or measure</w:t>
            </w:r>
            <w:r>
              <w:rPr>
                <w:color w:val="000000" w:themeColor="text1"/>
              </w:rPr>
              <w:t xml:space="preserve">. </w:t>
            </w:r>
            <w:r w:rsidRPr="004B7FA9">
              <w:rPr>
                <w:color w:val="000000" w:themeColor="text1"/>
              </w:rPr>
              <w:t>When using the product wear disposable gloves</w:t>
            </w:r>
            <w:r>
              <w:rPr>
                <w:color w:val="000000" w:themeColor="text1"/>
              </w:rPr>
              <w:t xml:space="preserve">. </w:t>
            </w:r>
            <w:r w:rsidRPr="004B7FA9">
              <w:rPr>
                <w:color w:val="000000" w:themeColor="text1"/>
              </w:rPr>
              <w:t>If on skin and after each baiting, wash thoroughly with soap and water</w:t>
            </w:r>
            <w:r>
              <w:rPr>
                <w:color w:val="000000" w:themeColor="text1"/>
              </w:rPr>
              <w:t>.</w:t>
            </w:r>
          </w:p>
        </w:tc>
      </w:tr>
      <w:tr w:rsidR="008E67EA" w:rsidRPr="006B74D1" w14:paraId="33DB5958" w14:textId="77777777" w:rsidTr="00B44A74">
        <w:trPr>
          <w:cantSplit/>
        </w:trPr>
        <w:tc>
          <w:tcPr>
            <w:tcW w:w="869" w:type="pct"/>
            <w:vMerge w:val="restart"/>
            <w:tcBorders>
              <w:top w:val="single" w:sz="4" w:space="0" w:color="auto"/>
              <w:left w:val="single" w:sz="4" w:space="0" w:color="auto"/>
              <w:right w:val="single" w:sz="4" w:space="0" w:color="auto"/>
            </w:tcBorders>
          </w:tcPr>
          <w:p w14:paraId="5C9DC44F" w14:textId="77777777" w:rsidR="008E67EA" w:rsidRPr="00B251FC" w:rsidRDefault="008E67EA" w:rsidP="00B44A74">
            <w:pPr>
              <w:pStyle w:val="APVMATableText"/>
              <w:spacing w:before="0" w:after="0"/>
              <w:rPr>
                <w:color w:val="000000" w:themeColor="text1"/>
              </w:rPr>
            </w:pPr>
            <w:r w:rsidRPr="00B251FC">
              <w:rPr>
                <w:color w:val="000000" w:themeColor="text1"/>
              </w:rPr>
              <w:t>Diphacinone</w:t>
            </w:r>
          </w:p>
        </w:tc>
        <w:tc>
          <w:tcPr>
            <w:tcW w:w="1185" w:type="pct"/>
            <w:tcBorders>
              <w:top w:val="single" w:sz="4" w:space="0" w:color="auto"/>
              <w:left w:val="single" w:sz="4" w:space="0" w:color="auto"/>
              <w:bottom w:val="single" w:sz="4" w:space="0" w:color="auto"/>
              <w:right w:val="single" w:sz="4" w:space="0" w:color="auto"/>
            </w:tcBorders>
          </w:tcPr>
          <w:p w14:paraId="2B80F7A6" w14:textId="77777777" w:rsidR="008E67EA" w:rsidRPr="009D1C4A" w:rsidRDefault="008E67EA" w:rsidP="00B44A74">
            <w:pPr>
              <w:pStyle w:val="APVMATableText"/>
              <w:spacing w:before="0" w:after="0"/>
              <w:rPr>
                <w:color w:val="000000" w:themeColor="text1"/>
              </w:rPr>
            </w:pPr>
            <w:r w:rsidRPr="009D1C4A">
              <w:rPr>
                <w:color w:val="000000" w:themeColor="text1"/>
              </w:rPr>
              <w:t>RB 0.05 g/kg or less in block formulation</w:t>
            </w:r>
          </w:p>
        </w:tc>
        <w:tc>
          <w:tcPr>
            <w:tcW w:w="2946" w:type="pct"/>
            <w:tcBorders>
              <w:top w:val="single" w:sz="4" w:space="0" w:color="auto"/>
              <w:left w:val="single" w:sz="4" w:space="0" w:color="auto"/>
              <w:bottom w:val="single" w:sz="4" w:space="0" w:color="auto"/>
              <w:right w:val="single" w:sz="4" w:space="0" w:color="auto"/>
            </w:tcBorders>
          </w:tcPr>
          <w:p w14:paraId="0DA952D4" w14:textId="77777777" w:rsidR="008E67EA" w:rsidRPr="00883E6A" w:rsidRDefault="008E67EA" w:rsidP="00B44A74">
            <w:pPr>
              <w:pStyle w:val="APVMATableText"/>
              <w:spacing w:before="0" w:after="0"/>
              <w:rPr>
                <w:color w:val="000000" w:themeColor="text1"/>
              </w:rPr>
            </w:pPr>
            <w:r w:rsidRPr="004B7FA9">
              <w:rPr>
                <w:color w:val="000000" w:themeColor="text1"/>
              </w:rPr>
              <w:t>Repeated minor exposure may have a cumulative poisoning effect. Do not touch bait, use scoop or measure. When using the product wear disposable gloves. If on skin and after each baiting, wash thoroughly with soap and water.</w:t>
            </w:r>
          </w:p>
        </w:tc>
      </w:tr>
      <w:tr w:rsidR="008E67EA" w:rsidRPr="006B74D1" w14:paraId="7276EC92" w14:textId="77777777" w:rsidTr="00B44A74">
        <w:trPr>
          <w:cantSplit/>
        </w:trPr>
        <w:tc>
          <w:tcPr>
            <w:tcW w:w="869" w:type="pct"/>
            <w:vMerge/>
            <w:tcBorders>
              <w:left w:val="single" w:sz="4" w:space="0" w:color="auto"/>
              <w:bottom w:val="single" w:sz="4" w:space="0" w:color="auto"/>
              <w:right w:val="single" w:sz="4" w:space="0" w:color="auto"/>
            </w:tcBorders>
          </w:tcPr>
          <w:p w14:paraId="00FF6601" w14:textId="77777777" w:rsidR="008E67EA" w:rsidRPr="00B251FC" w:rsidRDefault="008E67EA" w:rsidP="00B44A74">
            <w:pPr>
              <w:pStyle w:val="APVMATableText"/>
              <w:spacing w:before="0" w:after="0"/>
              <w:rPr>
                <w:color w:val="000000" w:themeColor="text1"/>
              </w:rPr>
            </w:pPr>
          </w:p>
        </w:tc>
        <w:tc>
          <w:tcPr>
            <w:tcW w:w="1185" w:type="pct"/>
            <w:tcBorders>
              <w:top w:val="single" w:sz="4" w:space="0" w:color="auto"/>
              <w:left w:val="single" w:sz="4" w:space="0" w:color="auto"/>
              <w:bottom w:val="single" w:sz="4" w:space="0" w:color="auto"/>
              <w:right w:val="single" w:sz="4" w:space="0" w:color="auto"/>
            </w:tcBorders>
          </w:tcPr>
          <w:p w14:paraId="60F8F074" w14:textId="77777777" w:rsidR="008E67EA" w:rsidRPr="009D1C4A" w:rsidRDefault="008E67EA" w:rsidP="00B44A74">
            <w:pPr>
              <w:pStyle w:val="APVMATableText"/>
              <w:spacing w:before="0" w:after="0"/>
              <w:rPr>
                <w:color w:val="000000" w:themeColor="text1"/>
              </w:rPr>
            </w:pPr>
            <w:r w:rsidRPr="009D1C4A">
              <w:rPr>
                <w:color w:val="000000" w:themeColor="text1"/>
              </w:rPr>
              <w:t>RB 0.05 g/kg or less in pellet formulation</w:t>
            </w:r>
          </w:p>
        </w:tc>
        <w:tc>
          <w:tcPr>
            <w:tcW w:w="2946" w:type="pct"/>
            <w:tcBorders>
              <w:top w:val="single" w:sz="4" w:space="0" w:color="auto"/>
              <w:left w:val="single" w:sz="4" w:space="0" w:color="auto"/>
              <w:bottom w:val="single" w:sz="4" w:space="0" w:color="auto"/>
              <w:right w:val="single" w:sz="4" w:space="0" w:color="auto"/>
            </w:tcBorders>
          </w:tcPr>
          <w:p w14:paraId="492D85E8" w14:textId="77777777" w:rsidR="008E67EA" w:rsidRPr="00883E6A" w:rsidRDefault="008E67EA" w:rsidP="00B44A74">
            <w:pPr>
              <w:pStyle w:val="APVMATableText"/>
              <w:spacing w:before="0" w:after="0"/>
              <w:rPr>
                <w:color w:val="000000" w:themeColor="text1"/>
              </w:rPr>
            </w:pPr>
            <w:r w:rsidRPr="004B7FA9">
              <w:rPr>
                <w:color w:val="000000" w:themeColor="text1"/>
              </w:rPr>
              <w:t>Repeated minor exposure may have a cumulative poisoning effect. Avoid contact with eyes and skin. Do not inhale dust. Do not touch bait, use scoop or measure</w:t>
            </w:r>
            <w:r>
              <w:rPr>
                <w:color w:val="000000" w:themeColor="text1"/>
              </w:rPr>
              <w:t xml:space="preserve">. </w:t>
            </w:r>
            <w:r w:rsidRPr="004B7FA9">
              <w:rPr>
                <w:color w:val="000000" w:themeColor="text1"/>
              </w:rPr>
              <w:t>When using the product wear disposable gloves</w:t>
            </w:r>
            <w:r>
              <w:rPr>
                <w:color w:val="000000" w:themeColor="text1"/>
              </w:rPr>
              <w:t xml:space="preserve">. </w:t>
            </w:r>
            <w:r w:rsidRPr="004B7FA9">
              <w:rPr>
                <w:color w:val="000000" w:themeColor="text1"/>
              </w:rPr>
              <w:t>If on skin and after each baiting, wash thoroughly with soap and water</w:t>
            </w:r>
            <w:r>
              <w:rPr>
                <w:color w:val="000000" w:themeColor="text1"/>
              </w:rPr>
              <w:t>.</w:t>
            </w:r>
          </w:p>
        </w:tc>
      </w:tr>
      <w:tr w:rsidR="008E67EA" w:rsidRPr="006B74D1" w14:paraId="61871EEE" w14:textId="77777777" w:rsidTr="00B44A74">
        <w:trPr>
          <w:cantSplit/>
        </w:trPr>
        <w:tc>
          <w:tcPr>
            <w:tcW w:w="5000" w:type="pct"/>
            <w:gridSpan w:val="3"/>
            <w:tcBorders>
              <w:top w:val="single" w:sz="4" w:space="0" w:color="auto"/>
              <w:left w:val="single" w:sz="4" w:space="0" w:color="auto"/>
              <w:bottom w:val="single" w:sz="4" w:space="0" w:color="auto"/>
              <w:right w:val="single" w:sz="4" w:space="0" w:color="auto"/>
            </w:tcBorders>
          </w:tcPr>
          <w:p w14:paraId="575E8E54" w14:textId="77777777" w:rsidR="008E67EA" w:rsidRPr="00B251FC" w:rsidRDefault="008E67EA" w:rsidP="00B44A74">
            <w:pPr>
              <w:pStyle w:val="APVMATableText"/>
              <w:spacing w:before="0" w:after="0"/>
              <w:rPr>
                <w:color w:val="000000" w:themeColor="text1"/>
              </w:rPr>
            </w:pPr>
            <w:r w:rsidRPr="00B251FC">
              <w:rPr>
                <w:i/>
                <w:iCs/>
                <w:color w:val="000000" w:themeColor="text1"/>
              </w:rPr>
              <w:t>Second generation anticoagulant rodenticides</w:t>
            </w:r>
          </w:p>
        </w:tc>
      </w:tr>
      <w:tr w:rsidR="008E67EA" w:rsidRPr="006B74D1" w14:paraId="12130D06" w14:textId="77777777" w:rsidTr="00B44A74">
        <w:trPr>
          <w:cantSplit/>
        </w:trPr>
        <w:tc>
          <w:tcPr>
            <w:tcW w:w="869" w:type="pct"/>
            <w:vMerge w:val="restart"/>
            <w:tcBorders>
              <w:top w:val="single" w:sz="4" w:space="0" w:color="auto"/>
              <w:left w:val="single" w:sz="4" w:space="0" w:color="auto"/>
              <w:right w:val="single" w:sz="4" w:space="0" w:color="auto"/>
            </w:tcBorders>
          </w:tcPr>
          <w:p w14:paraId="17BA7850" w14:textId="77777777" w:rsidR="008E67EA" w:rsidRPr="00B251FC" w:rsidRDefault="008E67EA" w:rsidP="00B44A74">
            <w:pPr>
              <w:pStyle w:val="APVMATableText"/>
              <w:spacing w:before="0" w:after="0"/>
              <w:rPr>
                <w:color w:val="000000" w:themeColor="text1"/>
              </w:rPr>
            </w:pPr>
            <w:r w:rsidRPr="00B251FC">
              <w:rPr>
                <w:color w:val="000000" w:themeColor="text1"/>
              </w:rPr>
              <w:t>Brodifacoum</w:t>
            </w:r>
          </w:p>
        </w:tc>
        <w:tc>
          <w:tcPr>
            <w:tcW w:w="1185" w:type="pct"/>
            <w:tcBorders>
              <w:top w:val="single" w:sz="4" w:space="0" w:color="auto"/>
              <w:left w:val="single" w:sz="4" w:space="0" w:color="auto"/>
              <w:bottom w:val="single" w:sz="4" w:space="0" w:color="auto"/>
              <w:right w:val="single" w:sz="4" w:space="0" w:color="auto"/>
            </w:tcBorders>
          </w:tcPr>
          <w:p w14:paraId="67A66575" w14:textId="77777777" w:rsidR="008E67EA" w:rsidRPr="00267F46" w:rsidRDefault="008E67EA" w:rsidP="00B44A74">
            <w:pPr>
              <w:pStyle w:val="APVMATableText"/>
              <w:spacing w:before="0" w:after="0"/>
              <w:rPr>
                <w:color w:val="000000" w:themeColor="text1"/>
              </w:rPr>
            </w:pPr>
            <w:r w:rsidRPr="00267F46">
              <w:rPr>
                <w:color w:val="000000" w:themeColor="text1"/>
              </w:rPr>
              <w:t>RB 0.05 g/kg or less in sachet or place pack</w:t>
            </w:r>
          </w:p>
        </w:tc>
        <w:tc>
          <w:tcPr>
            <w:tcW w:w="2946" w:type="pct"/>
            <w:tcBorders>
              <w:top w:val="single" w:sz="4" w:space="0" w:color="auto"/>
              <w:left w:val="single" w:sz="4" w:space="0" w:color="auto"/>
              <w:bottom w:val="single" w:sz="4" w:space="0" w:color="auto"/>
              <w:right w:val="single" w:sz="4" w:space="0" w:color="auto"/>
            </w:tcBorders>
          </w:tcPr>
          <w:p w14:paraId="758F35E2" w14:textId="77777777" w:rsidR="008E67EA" w:rsidRPr="00883E6A" w:rsidRDefault="008E67EA" w:rsidP="00B44A74">
            <w:pPr>
              <w:pStyle w:val="APVMATableText"/>
              <w:spacing w:before="0" w:after="0"/>
              <w:rPr>
                <w:color w:val="000000" w:themeColor="text1"/>
              </w:rPr>
            </w:pPr>
            <w:r w:rsidRPr="004B7FA9">
              <w:rPr>
                <w:color w:val="000000" w:themeColor="text1"/>
              </w:rPr>
              <w:t>Repeated minor exposure may have a cumulative poisoning effect. When using the product wear disposable gloves</w:t>
            </w:r>
            <w:r>
              <w:rPr>
                <w:color w:val="000000" w:themeColor="text1"/>
              </w:rPr>
              <w:t xml:space="preserve">. </w:t>
            </w:r>
            <w:r w:rsidRPr="00267F46">
              <w:rPr>
                <w:color w:val="000000" w:themeColor="text1"/>
              </w:rPr>
              <w:t>During cleanup, disposal operations of bait and bait stations and when handling rodent carcasses wear single layer clothing and disposable gloves.</w:t>
            </w:r>
            <w:r>
              <w:rPr>
                <w:color w:val="000000" w:themeColor="text1"/>
              </w:rPr>
              <w:t xml:space="preserve"> </w:t>
            </w:r>
            <w:r w:rsidRPr="004B7FA9">
              <w:rPr>
                <w:color w:val="000000" w:themeColor="text1"/>
              </w:rPr>
              <w:t xml:space="preserve">If on skin and after each baiting, wash thoroughly with soap and water. </w:t>
            </w:r>
            <w:r w:rsidRPr="00267F46">
              <w:rPr>
                <w:color w:val="000000" w:themeColor="text1"/>
              </w:rPr>
              <w:t>After each day’s use wash contaminated clothing.</w:t>
            </w:r>
          </w:p>
        </w:tc>
      </w:tr>
      <w:tr w:rsidR="008E67EA" w:rsidRPr="006B74D1" w14:paraId="264E095D" w14:textId="77777777" w:rsidTr="00B44A74">
        <w:trPr>
          <w:cantSplit/>
        </w:trPr>
        <w:tc>
          <w:tcPr>
            <w:tcW w:w="869" w:type="pct"/>
            <w:vMerge/>
            <w:tcBorders>
              <w:left w:val="single" w:sz="4" w:space="0" w:color="auto"/>
              <w:right w:val="single" w:sz="4" w:space="0" w:color="auto"/>
            </w:tcBorders>
          </w:tcPr>
          <w:p w14:paraId="7FE764A2" w14:textId="77777777" w:rsidR="008E67EA" w:rsidRPr="00B251FC" w:rsidRDefault="008E67EA" w:rsidP="00B44A74">
            <w:pPr>
              <w:pStyle w:val="APVMATableText"/>
              <w:spacing w:before="0" w:after="0"/>
              <w:rPr>
                <w:color w:val="000000" w:themeColor="text1"/>
              </w:rPr>
            </w:pPr>
          </w:p>
        </w:tc>
        <w:tc>
          <w:tcPr>
            <w:tcW w:w="1185" w:type="pct"/>
            <w:tcBorders>
              <w:top w:val="single" w:sz="4" w:space="0" w:color="auto"/>
              <w:left w:val="single" w:sz="4" w:space="0" w:color="auto"/>
              <w:bottom w:val="single" w:sz="4" w:space="0" w:color="auto"/>
              <w:right w:val="single" w:sz="4" w:space="0" w:color="auto"/>
            </w:tcBorders>
          </w:tcPr>
          <w:p w14:paraId="6B0CA9AA" w14:textId="77777777" w:rsidR="008E67EA" w:rsidRPr="009D1C4A" w:rsidRDefault="008E67EA" w:rsidP="00B44A74">
            <w:pPr>
              <w:pStyle w:val="APVMATableText"/>
              <w:spacing w:before="0" w:after="0"/>
              <w:rPr>
                <w:color w:val="000000" w:themeColor="text1"/>
              </w:rPr>
            </w:pPr>
            <w:r w:rsidRPr="009D1C4A">
              <w:rPr>
                <w:color w:val="000000" w:themeColor="text1"/>
              </w:rPr>
              <w:t>RB 0.05 g/kg or less in block formulation</w:t>
            </w:r>
          </w:p>
        </w:tc>
        <w:tc>
          <w:tcPr>
            <w:tcW w:w="2946" w:type="pct"/>
            <w:tcBorders>
              <w:top w:val="single" w:sz="4" w:space="0" w:color="auto"/>
              <w:left w:val="single" w:sz="4" w:space="0" w:color="auto"/>
              <w:bottom w:val="single" w:sz="4" w:space="0" w:color="auto"/>
              <w:right w:val="single" w:sz="4" w:space="0" w:color="auto"/>
            </w:tcBorders>
          </w:tcPr>
          <w:p w14:paraId="5FD5C0B0" w14:textId="77777777" w:rsidR="008E67EA" w:rsidRPr="00883E6A" w:rsidRDefault="008E67EA" w:rsidP="00B44A74">
            <w:pPr>
              <w:pStyle w:val="APVMATableText"/>
              <w:spacing w:before="0" w:after="0"/>
              <w:rPr>
                <w:color w:val="000000" w:themeColor="text1"/>
              </w:rPr>
            </w:pPr>
            <w:r w:rsidRPr="004B7FA9">
              <w:rPr>
                <w:color w:val="000000" w:themeColor="text1"/>
              </w:rPr>
              <w:t>Repeated minor exposure may have a cumulative poisoning effect. Do not touch bait, use scoop or measure. When using the product wear disposable gloves. If on skin and after each baiting, wash thoroughly with soap and water.</w:t>
            </w:r>
          </w:p>
        </w:tc>
      </w:tr>
      <w:tr w:rsidR="008E67EA" w:rsidRPr="006B74D1" w14:paraId="6C8B47E9" w14:textId="77777777" w:rsidTr="00B44A74">
        <w:trPr>
          <w:cantSplit/>
        </w:trPr>
        <w:tc>
          <w:tcPr>
            <w:tcW w:w="869" w:type="pct"/>
            <w:vMerge/>
            <w:tcBorders>
              <w:left w:val="single" w:sz="4" w:space="0" w:color="auto"/>
              <w:right w:val="single" w:sz="4" w:space="0" w:color="auto"/>
            </w:tcBorders>
          </w:tcPr>
          <w:p w14:paraId="1AC9FE11" w14:textId="77777777" w:rsidR="008E67EA" w:rsidRPr="00B251FC" w:rsidRDefault="008E67EA" w:rsidP="00B44A74">
            <w:pPr>
              <w:pStyle w:val="APVMATableText"/>
              <w:spacing w:before="0" w:after="0"/>
              <w:rPr>
                <w:color w:val="000000" w:themeColor="text1"/>
              </w:rPr>
            </w:pPr>
          </w:p>
        </w:tc>
        <w:tc>
          <w:tcPr>
            <w:tcW w:w="1185" w:type="pct"/>
            <w:tcBorders>
              <w:top w:val="single" w:sz="4" w:space="0" w:color="auto"/>
              <w:left w:val="single" w:sz="4" w:space="0" w:color="auto"/>
              <w:bottom w:val="single" w:sz="4" w:space="0" w:color="auto"/>
              <w:right w:val="single" w:sz="4" w:space="0" w:color="auto"/>
            </w:tcBorders>
          </w:tcPr>
          <w:p w14:paraId="52249E61" w14:textId="77777777" w:rsidR="008E67EA" w:rsidRPr="009D1C4A" w:rsidRDefault="008E67EA" w:rsidP="00B44A74">
            <w:pPr>
              <w:pStyle w:val="APVMATableText"/>
              <w:spacing w:before="0" w:after="0"/>
              <w:rPr>
                <w:color w:val="000000" w:themeColor="text1"/>
              </w:rPr>
            </w:pPr>
            <w:r w:rsidRPr="009D1C4A">
              <w:rPr>
                <w:color w:val="000000" w:themeColor="text1"/>
              </w:rPr>
              <w:t>RB 0.05 g/kg or less in pellet formulation</w:t>
            </w:r>
          </w:p>
        </w:tc>
        <w:tc>
          <w:tcPr>
            <w:tcW w:w="2946" w:type="pct"/>
            <w:tcBorders>
              <w:top w:val="single" w:sz="4" w:space="0" w:color="auto"/>
              <w:left w:val="single" w:sz="4" w:space="0" w:color="auto"/>
              <w:bottom w:val="single" w:sz="4" w:space="0" w:color="auto"/>
              <w:right w:val="single" w:sz="4" w:space="0" w:color="auto"/>
            </w:tcBorders>
          </w:tcPr>
          <w:p w14:paraId="61DCBEA9" w14:textId="77777777" w:rsidR="008E67EA" w:rsidRPr="00883E6A" w:rsidRDefault="008E67EA" w:rsidP="00B44A74">
            <w:pPr>
              <w:pStyle w:val="APVMATableText"/>
              <w:spacing w:before="0" w:after="0"/>
              <w:rPr>
                <w:color w:val="000000" w:themeColor="text1"/>
              </w:rPr>
            </w:pPr>
            <w:r w:rsidRPr="004B7FA9">
              <w:rPr>
                <w:color w:val="000000" w:themeColor="text1"/>
              </w:rPr>
              <w:t>Repeated minor exposure may have a cumulative poisoning effect. Avoid contact with eyes and skin. Do not inhale dust. Do not touch bait, use scoop or measure</w:t>
            </w:r>
            <w:r>
              <w:rPr>
                <w:color w:val="000000" w:themeColor="text1"/>
              </w:rPr>
              <w:t xml:space="preserve">. </w:t>
            </w:r>
            <w:r w:rsidRPr="004B7FA9">
              <w:rPr>
                <w:color w:val="000000" w:themeColor="text1"/>
              </w:rPr>
              <w:t>When using the product wear disposable gloves</w:t>
            </w:r>
            <w:r>
              <w:rPr>
                <w:color w:val="000000" w:themeColor="text1"/>
              </w:rPr>
              <w:t xml:space="preserve">. </w:t>
            </w:r>
            <w:r w:rsidRPr="004B7FA9">
              <w:rPr>
                <w:color w:val="000000" w:themeColor="text1"/>
              </w:rPr>
              <w:t>If on skin and after each baiting, wash thoroughly with soap and water</w:t>
            </w:r>
            <w:r>
              <w:rPr>
                <w:color w:val="000000" w:themeColor="text1"/>
              </w:rPr>
              <w:t>.</w:t>
            </w:r>
          </w:p>
        </w:tc>
      </w:tr>
      <w:tr w:rsidR="008E67EA" w:rsidRPr="006B74D1" w14:paraId="670B4C4E" w14:textId="77777777" w:rsidTr="00B44A74">
        <w:trPr>
          <w:cantSplit/>
        </w:trPr>
        <w:tc>
          <w:tcPr>
            <w:tcW w:w="869" w:type="pct"/>
            <w:vMerge/>
            <w:tcBorders>
              <w:left w:val="single" w:sz="4" w:space="0" w:color="auto"/>
              <w:bottom w:val="single" w:sz="4" w:space="0" w:color="auto"/>
              <w:right w:val="single" w:sz="4" w:space="0" w:color="auto"/>
            </w:tcBorders>
          </w:tcPr>
          <w:p w14:paraId="3652B2C7" w14:textId="77777777" w:rsidR="008E67EA" w:rsidRPr="00B251FC" w:rsidRDefault="008E67EA" w:rsidP="00B44A74">
            <w:pPr>
              <w:pStyle w:val="APVMATableText"/>
              <w:spacing w:before="0" w:after="0"/>
              <w:rPr>
                <w:color w:val="000000" w:themeColor="text1"/>
              </w:rPr>
            </w:pPr>
          </w:p>
        </w:tc>
        <w:tc>
          <w:tcPr>
            <w:tcW w:w="1185" w:type="pct"/>
            <w:tcBorders>
              <w:top w:val="single" w:sz="4" w:space="0" w:color="auto"/>
              <w:left w:val="single" w:sz="4" w:space="0" w:color="auto"/>
              <w:bottom w:val="single" w:sz="4" w:space="0" w:color="auto"/>
              <w:right w:val="single" w:sz="4" w:space="0" w:color="auto"/>
            </w:tcBorders>
          </w:tcPr>
          <w:p w14:paraId="1DA13CF5" w14:textId="77777777" w:rsidR="008E67EA" w:rsidRPr="009D1C4A" w:rsidRDefault="008E67EA" w:rsidP="00B44A74">
            <w:pPr>
              <w:pStyle w:val="APVMATableText"/>
              <w:spacing w:before="0" w:after="0"/>
              <w:rPr>
                <w:color w:val="000000" w:themeColor="text1"/>
              </w:rPr>
            </w:pPr>
            <w:r w:rsidRPr="009D1C4A">
              <w:rPr>
                <w:color w:val="000000" w:themeColor="text1"/>
              </w:rPr>
              <w:t>RB 0.05 g/kg or less as a paste in caulking gun</w:t>
            </w:r>
          </w:p>
        </w:tc>
        <w:tc>
          <w:tcPr>
            <w:tcW w:w="2946" w:type="pct"/>
            <w:tcBorders>
              <w:top w:val="single" w:sz="4" w:space="0" w:color="auto"/>
              <w:left w:val="single" w:sz="4" w:space="0" w:color="auto"/>
              <w:bottom w:val="single" w:sz="4" w:space="0" w:color="auto"/>
              <w:right w:val="single" w:sz="4" w:space="0" w:color="auto"/>
            </w:tcBorders>
          </w:tcPr>
          <w:p w14:paraId="4DAC537A" w14:textId="77777777" w:rsidR="008E67EA" w:rsidRPr="00883E6A" w:rsidRDefault="008E67EA" w:rsidP="00B44A74">
            <w:pPr>
              <w:pStyle w:val="APVMATableText"/>
              <w:spacing w:before="0" w:after="0"/>
              <w:rPr>
                <w:color w:val="000000" w:themeColor="text1"/>
              </w:rPr>
            </w:pPr>
            <w:r w:rsidRPr="004B7FA9">
              <w:rPr>
                <w:color w:val="000000" w:themeColor="text1"/>
              </w:rPr>
              <w:t>Repeated minor exposure may have a cumulative poisoning effect. Do not touch bait. When using the product wear disposable gloves. If on skin and after each baiting, wash thoroughly with soap and water.</w:t>
            </w:r>
          </w:p>
        </w:tc>
      </w:tr>
      <w:tr w:rsidR="008E67EA" w:rsidRPr="006B74D1" w14:paraId="72FDDDAA" w14:textId="77777777" w:rsidTr="00B44A74">
        <w:trPr>
          <w:cantSplit/>
        </w:trPr>
        <w:tc>
          <w:tcPr>
            <w:tcW w:w="869" w:type="pct"/>
            <w:vMerge w:val="restart"/>
            <w:tcBorders>
              <w:top w:val="single" w:sz="4" w:space="0" w:color="auto"/>
              <w:left w:val="single" w:sz="4" w:space="0" w:color="auto"/>
              <w:right w:val="single" w:sz="4" w:space="0" w:color="auto"/>
            </w:tcBorders>
          </w:tcPr>
          <w:p w14:paraId="377B3623" w14:textId="77777777" w:rsidR="008E67EA" w:rsidRPr="00B251FC" w:rsidRDefault="008E67EA" w:rsidP="00B44A74">
            <w:pPr>
              <w:pStyle w:val="APVMATableText"/>
              <w:spacing w:before="0" w:after="0"/>
              <w:rPr>
                <w:color w:val="000000" w:themeColor="text1"/>
              </w:rPr>
            </w:pPr>
            <w:r w:rsidRPr="00B251FC">
              <w:rPr>
                <w:color w:val="000000" w:themeColor="text1"/>
              </w:rPr>
              <w:lastRenderedPageBreak/>
              <w:t>Bromadiolone</w:t>
            </w:r>
          </w:p>
        </w:tc>
        <w:tc>
          <w:tcPr>
            <w:tcW w:w="1185" w:type="pct"/>
            <w:tcBorders>
              <w:top w:val="single" w:sz="4" w:space="0" w:color="auto"/>
              <w:left w:val="single" w:sz="4" w:space="0" w:color="auto"/>
              <w:bottom w:val="single" w:sz="4" w:space="0" w:color="auto"/>
              <w:right w:val="single" w:sz="4" w:space="0" w:color="auto"/>
            </w:tcBorders>
          </w:tcPr>
          <w:p w14:paraId="0CD8A27A" w14:textId="77777777" w:rsidR="008E67EA" w:rsidRPr="00267F46" w:rsidRDefault="008E67EA" w:rsidP="00B44A74">
            <w:pPr>
              <w:pStyle w:val="APVMATableText"/>
              <w:spacing w:before="0" w:after="0"/>
              <w:rPr>
                <w:color w:val="000000" w:themeColor="text1"/>
              </w:rPr>
            </w:pPr>
            <w:r w:rsidRPr="00267F46">
              <w:rPr>
                <w:color w:val="000000" w:themeColor="text1"/>
              </w:rPr>
              <w:t>RB 0.05 g/kg or less in sachet or place pack</w:t>
            </w:r>
          </w:p>
        </w:tc>
        <w:tc>
          <w:tcPr>
            <w:tcW w:w="2946" w:type="pct"/>
            <w:tcBorders>
              <w:top w:val="single" w:sz="4" w:space="0" w:color="auto"/>
              <w:left w:val="single" w:sz="4" w:space="0" w:color="auto"/>
              <w:bottom w:val="single" w:sz="4" w:space="0" w:color="auto"/>
              <w:right w:val="single" w:sz="4" w:space="0" w:color="auto"/>
            </w:tcBorders>
          </w:tcPr>
          <w:p w14:paraId="6DDDD9EA" w14:textId="77777777" w:rsidR="008E67EA" w:rsidRPr="00883E6A" w:rsidRDefault="008E67EA" w:rsidP="00B44A74">
            <w:pPr>
              <w:pStyle w:val="APVMATableText"/>
              <w:spacing w:before="0" w:after="0"/>
              <w:rPr>
                <w:color w:val="000000" w:themeColor="text1"/>
              </w:rPr>
            </w:pPr>
            <w:r w:rsidRPr="004B7FA9">
              <w:rPr>
                <w:color w:val="000000" w:themeColor="text1"/>
              </w:rPr>
              <w:t>Repeated minor exposure may have a cumulative poisoning effect. When using the product wear disposable gloves</w:t>
            </w:r>
            <w:r>
              <w:rPr>
                <w:color w:val="000000" w:themeColor="text1"/>
              </w:rPr>
              <w:t xml:space="preserve">. </w:t>
            </w:r>
            <w:r w:rsidRPr="00267F46">
              <w:rPr>
                <w:color w:val="000000" w:themeColor="text1"/>
              </w:rPr>
              <w:t>During cleanup, disposal operations of bait and bait stations and when handling rodent carcasses wear single layer clothing and disposable gloves.</w:t>
            </w:r>
            <w:r>
              <w:rPr>
                <w:color w:val="000000" w:themeColor="text1"/>
              </w:rPr>
              <w:t xml:space="preserve"> </w:t>
            </w:r>
            <w:r w:rsidRPr="004B7FA9">
              <w:rPr>
                <w:color w:val="000000" w:themeColor="text1"/>
              </w:rPr>
              <w:t xml:space="preserve">If on skin and after each baiting, wash thoroughly with soap and water. </w:t>
            </w:r>
            <w:r w:rsidRPr="00267F46">
              <w:rPr>
                <w:color w:val="000000" w:themeColor="text1"/>
              </w:rPr>
              <w:t>After each day’s use wash contaminated clothing.</w:t>
            </w:r>
          </w:p>
        </w:tc>
      </w:tr>
      <w:tr w:rsidR="008E67EA" w:rsidRPr="006B74D1" w14:paraId="18EFCCD0" w14:textId="77777777" w:rsidTr="00B44A74">
        <w:trPr>
          <w:cantSplit/>
        </w:trPr>
        <w:tc>
          <w:tcPr>
            <w:tcW w:w="869" w:type="pct"/>
            <w:vMerge/>
            <w:tcBorders>
              <w:left w:val="single" w:sz="4" w:space="0" w:color="auto"/>
              <w:right w:val="single" w:sz="4" w:space="0" w:color="auto"/>
            </w:tcBorders>
          </w:tcPr>
          <w:p w14:paraId="102DC61C" w14:textId="77777777" w:rsidR="008E67EA" w:rsidRPr="00B251FC" w:rsidRDefault="008E67EA" w:rsidP="00B44A74">
            <w:pPr>
              <w:pStyle w:val="APVMATableText"/>
              <w:spacing w:before="0" w:after="0"/>
              <w:rPr>
                <w:color w:val="000000" w:themeColor="text1"/>
              </w:rPr>
            </w:pPr>
          </w:p>
        </w:tc>
        <w:tc>
          <w:tcPr>
            <w:tcW w:w="1185" w:type="pct"/>
            <w:tcBorders>
              <w:top w:val="single" w:sz="4" w:space="0" w:color="auto"/>
              <w:left w:val="single" w:sz="4" w:space="0" w:color="auto"/>
              <w:bottom w:val="single" w:sz="4" w:space="0" w:color="auto"/>
              <w:right w:val="single" w:sz="4" w:space="0" w:color="auto"/>
            </w:tcBorders>
          </w:tcPr>
          <w:p w14:paraId="4715E3AF" w14:textId="77777777" w:rsidR="008E67EA" w:rsidRPr="009D1C4A" w:rsidRDefault="008E67EA" w:rsidP="00B44A74">
            <w:pPr>
              <w:pStyle w:val="APVMATableText"/>
              <w:spacing w:before="0" w:after="0"/>
              <w:rPr>
                <w:color w:val="000000" w:themeColor="text1"/>
              </w:rPr>
            </w:pPr>
            <w:r w:rsidRPr="009D1C4A">
              <w:rPr>
                <w:color w:val="000000" w:themeColor="text1"/>
              </w:rPr>
              <w:t>RB 0.05 g/kg or less in block formulation</w:t>
            </w:r>
          </w:p>
        </w:tc>
        <w:tc>
          <w:tcPr>
            <w:tcW w:w="2946" w:type="pct"/>
            <w:tcBorders>
              <w:top w:val="single" w:sz="4" w:space="0" w:color="auto"/>
              <w:left w:val="single" w:sz="4" w:space="0" w:color="auto"/>
              <w:bottom w:val="single" w:sz="4" w:space="0" w:color="auto"/>
              <w:right w:val="single" w:sz="4" w:space="0" w:color="auto"/>
            </w:tcBorders>
          </w:tcPr>
          <w:p w14:paraId="2DCC7D4D" w14:textId="77777777" w:rsidR="008E67EA" w:rsidRPr="00883E6A" w:rsidRDefault="008E67EA" w:rsidP="00B44A74">
            <w:pPr>
              <w:pStyle w:val="APVMATableText"/>
              <w:spacing w:before="0" w:after="0"/>
              <w:rPr>
                <w:color w:val="000000" w:themeColor="text1"/>
              </w:rPr>
            </w:pPr>
            <w:r w:rsidRPr="004B7FA9">
              <w:rPr>
                <w:color w:val="000000" w:themeColor="text1"/>
              </w:rPr>
              <w:t>Repeated minor exposure may have a cumulative poisoning effect. Do not touch bait, use scoop or measure. When using the product wear disposable gloves. If on skin and after each baiting, wash thoroughly with soap and water.</w:t>
            </w:r>
          </w:p>
        </w:tc>
      </w:tr>
      <w:tr w:rsidR="008E67EA" w:rsidRPr="006B74D1" w14:paraId="79823482" w14:textId="77777777" w:rsidTr="00B44A74">
        <w:trPr>
          <w:cantSplit/>
        </w:trPr>
        <w:tc>
          <w:tcPr>
            <w:tcW w:w="869" w:type="pct"/>
            <w:vMerge/>
            <w:tcBorders>
              <w:left w:val="single" w:sz="4" w:space="0" w:color="auto"/>
              <w:right w:val="single" w:sz="4" w:space="0" w:color="auto"/>
            </w:tcBorders>
          </w:tcPr>
          <w:p w14:paraId="4291193C" w14:textId="77777777" w:rsidR="008E67EA" w:rsidRPr="00B251FC" w:rsidRDefault="008E67EA" w:rsidP="00B44A74">
            <w:pPr>
              <w:pStyle w:val="APVMATableText"/>
              <w:spacing w:before="0" w:after="0"/>
              <w:rPr>
                <w:color w:val="000000" w:themeColor="text1"/>
              </w:rPr>
            </w:pPr>
          </w:p>
        </w:tc>
        <w:tc>
          <w:tcPr>
            <w:tcW w:w="1185" w:type="pct"/>
            <w:tcBorders>
              <w:top w:val="single" w:sz="4" w:space="0" w:color="auto"/>
              <w:left w:val="single" w:sz="4" w:space="0" w:color="auto"/>
              <w:bottom w:val="single" w:sz="4" w:space="0" w:color="auto"/>
              <w:right w:val="single" w:sz="4" w:space="0" w:color="auto"/>
            </w:tcBorders>
          </w:tcPr>
          <w:p w14:paraId="5381EC2F" w14:textId="77777777" w:rsidR="008E67EA" w:rsidRPr="009D1C4A" w:rsidRDefault="008E67EA" w:rsidP="00B44A74">
            <w:pPr>
              <w:pStyle w:val="APVMATableText"/>
              <w:spacing w:before="0" w:after="0"/>
              <w:rPr>
                <w:color w:val="000000" w:themeColor="text1"/>
              </w:rPr>
            </w:pPr>
            <w:r w:rsidRPr="009D1C4A">
              <w:rPr>
                <w:color w:val="000000" w:themeColor="text1"/>
              </w:rPr>
              <w:t>RB 0.05 g/kg or less in pellet formulation</w:t>
            </w:r>
          </w:p>
        </w:tc>
        <w:tc>
          <w:tcPr>
            <w:tcW w:w="2946" w:type="pct"/>
            <w:tcBorders>
              <w:top w:val="single" w:sz="4" w:space="0" w:color="auto"/>
              <w:left w:val="single" w:sz="4" w:space="0" w:color="auto"/>
              <w:bottom w:val="single" w:sz="4" w:space="0" w:color="auto"/>
              <w:right w:val="single" w:sz="4" w:space="0" w:color="auto"/>
            </w:tcBorders>
          </w:tcPr>
          <w:p w14:paraId="3A4EBBAA" w14:textId="77777777" w:rsidR="008E67EA" w:rsidRPr="00883E6A" w:rsidRDefault="008E67EA" w:rsidP="00B44A74">
            <w:pPr>
              <w:pStyle w:val="APVMATableText"/>
              <w:spacing w:before="0" w:after="0"/>
              <w:rPr>
                <w:color w:val="000000" w:themeColor="text1"/>
              </w:rPr>
            </w:pPr>
            <w:r w:rsidRPr="004B7FA9">
              <w:rPr>
                <w:color w:val="000000" w:themeColor="text1"/>
              </w:rPr>
              <w:t>Repeated minor exposure may have a cumulative poisoning effect. Avoid contact with eyes and skin. Do not inhale dust. Do not touch bait, use scoop or measure</w:t>
            </w:r>
            <w:r>
              <w:rPr>
                <w:color w:val="000000" w:themeColor="text1"/>
              </w:rPr>
              <w:t xml:space="preserve">. </w:t>
            </w:r>
            <w:r w:rsidRPr="004B7FA9">
              <w:rPr>
                <w:color w:val="000000" w:themeColor="text1"/>
              </w:rPr>
              <w:t>When using the product wear disposable gloves</w:t>
            </w:r>
            <w:r>
              <w:rPr>
                <w:color w:val="000000" w:themeColor="text1"/>
              </w:rPr>
              <w:t xml:space="preserve">. </w:t>
            </w:r>
            <w:r w:rsidRPr="004B7FA9">
              <w:rPr>
                <w:color w:val="000000" w:themeColor="text1"/>
              </w:rPr>
              <w:t>If on skin and after each baiting, wash thoroughly with soap and water</w:t>
            </w:r>
            <w:r>
              <w:rPr>
                <w:color w:val="000000" w:themeColor="text1"/>
              </w:rPr>
              <w:t>.</w:t>
            </w:r>
          </w:p>
        </w:tc>
      </w:tr>
      <w:tr w:rsidR="008E67EA" w:rsidRPr="006B74D1" w14:paraId="3286E705" w14:textId="77777777" w:rsidTr="00B44A74">
        <w:trPr>
          <w:cantSplit/>
        </w:trPr>
        <w:tc>
          <w:tcPr>
            <w:tcW w:w="869" w:type="pct"/>
            <w:vMerge/>
            <w:tcBorders>
              <w:left w:val="single" w:sz="4" w:space="0" w:color="auto"/>
              <w:bottom w:val="single" w:sz="4" w:space="0" w:color="auto"/>
              <w:right w:val="single" w:sz="4" w:space="0" w:color="auto"/>
            </w:tcBorders>
          </w:tcPr>
          <w:p w14:paraId="13255192" w14:textId="77777777" w:rsidR="008E67EA" w:rsidRPr="00B251FC" w:rsidRDefault="008E67EA" w:rsidP="00B44A74">
            <w:pPr>
              <w:pStyle w:val="APVMATableText"/>
              <w:spacing w:before="0" w:after="0"/>
              <w:rPr>
                <w:color w:val="000000" w:themeColor="text1"/>
              </w:rPr>
            </w:pPr>
          </w:p>
        </w:tc>
        <w:tc>
          <w:tcPr>
            <w:tcW w:w="1185" w:type="pct"/>
            <w:tcBorders>
              <w:top w:val="single" w:sz="4" w:space="0" w:color="auto"/>
              <w:left w:val="single" w:sz="4" w:space="0" w:color="auto"/>
              <w:bottom w:val="single" w:sz="4" w:space="0" w:color="auto"/>
              <w:right w:val="single" w:sz="4" w:space="0" w:color="auto"/>
            </w:tcBorders>
          </w:tcPr>
          <w:p w14:paraId="19B708B6" w14:textId="77777777" w:rsidR="008E67EA" w:rsidRPr="009D1C4A" w:rsidRDefault="008E67EA" w:rsidP="00B44A74">
            <w:pPr>
              <w:pStyle w:val="APVMATableText"/>
              <w:spacing w:before="0" w:after="0"/>
              <w:rPr>
                <w:color w:val="000000" w:themeColor="text1"/>
              </w:rPr>
            </w:pPr>
            <w:r w:rsidRPr="009D1C4A">
              <w:rPr>
                <w:color w:val="000000" w:themeColor="text1"/>
              </w:rPr>
              <w:t>RB 0.1 g/kg or less as a paste in caulking gun</w:t>
            </w:r>
          </w:p>
        </w:tc>
        <w:tc>
          <w:tcPr>
            <w:tcW w:w="2946" w:type="pct"/>
            <w:tcBorders>
              <w:top w:val="single" w:sz="4" w:space="0" w:color="auto"/>
              <w:left w:val="single" w:sz="4" w:space="0" w:color="auto"/>
              <w:bottom w:val="single" w:sz="4" w:space="0" w:color="auto"/>
              <w:right w:val="single" w:sz="4" w:space="0" w:color="auto"/>
            </w:tcBorders>
          </w:tcPr>
          <w:p w14:paraId="1DD5EA36" w14:textId="77777777" w:rsidR="008E67EA" w:rsidRPr="00883E6A" w:rsidRDefault="008E67EA" w:rsidP="00B44A74">
            <w:pPr>
              <w:pStyle w:val="APVMATableText"/>
              <w:spacing w:before="0" w:after="0"/>
              <w:rPr>
                <w:color w:val="000000" w:themeColor="text1"/>
              </w:rPr>
            </w:pPr>
            <w:r w:rsidRPr="004B7FA9">
              <w:rPr>
                <w:color w:val="000000" w:themeColor="text1"/>
              </w:rPr>
              <w:t>Repeated minor exposure may have a cumulative poisoning effect. Do not touch bait. When using the product wear disposable gloves. If on skin and after each baiting, wash thoroughly with soap and water.</w:t>
            </w:r>
          </w:p>
        </w:tc>
      </w:tr>
      <w:tr w:rsidR="008E67EA" w:rsidRPr="006B74D1" w14:paraId="014C5CD7" w14:textId="77777777" w:rsidTr="00B44A74">
        <w:trPr>
          <w:cantSplit/>
        </w:trPr>
        <w:tc>
          <w:tcPr>
            <w:tcW w:w="869" w:type="pct"/>
            <w:vMerge w:val="restart"/>
            <w:tcBorders>
              <w:top w:val="single" w:sz="4" w:space="0" w:color="auto"/>
              <w:left w:val="single" w:sz="4" w:space="0" w:color="auto"/>
              <w:right w:val="single" w:sz="4" w:space="0" w:color="auto"/>
            </w:tcBorders>
          </w:tcPr>
          <w:p w14:paraId="7C5976A4" w14:textId="77777777" w:rsidR="008E67EA" w:rsidRPr="00B251FC" w:rsidRDefault="008E67EA" w:rsidP="00B44A74">
            <w:pPr>
              <w:pStyle w:val="APVMATableText"/>
              <w:spacing w:before="0" w:after="0"/>
              <w:rPr>
                <w:color w:val="000000" w:themeColor="text1"/>
              </w:rPr>
            </w:pPr>
            <w:r w:rsidRPr="00B251FC">
              <w:rPr>
                <w:color w:val="000000" w:themeColor="text1"/>
              </w:rPr>
              <w:t>Difenacoum</w:t>
            </w:r>
          </w:p>
        </w:tc>
        <w:tc>
          <w:tcPr>
            <w:tcW w:w="1185" w:type="pct"/>
            <w:tcBorders>
              <w:top w:val="single" w:sz="4" w:space="0" w:color="auto"/>
              <w:left w:val="single" w:sz="4" w:space="0" w:color="auto"/>
              <w:bottom w:val="single" w:sz="4" w:space="0" w:color="auto"/>
              <w:right w:val="single" w:sz="4" w:space="0" w:color="auto"/>
            </w:tcBorders>
          </w:tcPr>
          <w:p w14:paraId="0F296AE4" w14:textId="77777777" w:rsidR="008E67EA" w:rsidRPr="00267F46" w:rsidRDefault="008E67EA" w:rsidP="00B44A74">
            <w:pPr>
              <w:pStyle w:val="APVMATableText"/>
              <w:spacing w:before="0" w:after="0"/>
              <w:rPr>
                <w:color w:val="000000" w:themeColor="text1"/>
              </w:rPr>
            </w:pPr>
            <w:r w:rsidRPr="00267F46">
              <w:rPr>
                <w:color w:val="000000" w:themeColor="text1"/>
              </w:rPr>
              <w:t>RB 0.05 g/kg or less in sachet or place pack</w:t>
            </w:r>
          </w:p>
        </w:tc>
        <w:tc>
          <w:tcPr>
            <w:tcW w:w="2946" w:type="pct"/>
            <w:tcBorders>
              <w:top w:val="single" w:sz="4" w:space="0" w:color="auto"/>
              <w:left w:val="single" w:sz="4" w:space="0" w:color="auto"/>
              <w:bottom w:val="single" w:sz="4" w:space="0" w:color="auto"/>
              <w:right w:val="single" w:sz="4" w:space="0" w:color="auto"/>
            </w:tcBorders>
          </w:tcPr>
          <w:p w14:paraId="42F6634D" w14:textId="77777777" w:rsidR="008E67EA" w:rsidRPr="00883E6A" w:rsidRDefault="008E67EA" w:rsidP="00B44A74">
            <w:pPr>
              <w:pStyle w:val="APVMATableText"/>
              <w:spacing w:before="0" w:after="0"/>
              <w:rPr>
                <w:color w:val="000000" w:themeColor="text1"/>
              </w:rPr>
            </w:pPr>
            <w:r w:rsidRPr="004B7FA9">
              <w:rPr>
                <w:color w:val="000000" w:themeColor="text1"/>
              </w:rPr>
              <w:t xml:space="preserve"> </w:t>
            </w:r>
            <w:r w:rsidRPr="00267F46">
              <w:rPr>
                <w:color w:val="000000" w:themeColor="text1"/>
              </w:rPr>
              <w:t>Repeated minor exposure may have a cumulative poisoning effect.</w:t>
            </w:r>
            <w:r>
              <w:rPr>
                <w:color w:val="000000" w:themeColor="text1"/>
              </w:rPr>
              <w:t xml:space="preserve"> </w:t>
            </w:r>
            <w:r w:rsidRPr="00267F46">
              <w:rPr>
                <w:color w:val="000000" w:themeColor="text1"/>
              </w:rPr>
              <w:t>Will irritate the skin. May irritate eyes. Avoid contact with eyes and skin.</w:t>
            </w:r>
            <w:r>
              <w:rPr>
                <w:color w:val="000000" w:themeColor="text1"/>
              </w:rPr>
              <w:t xml:space="preserve"> </w:t>
            </w:r>
            <w:r w:rsidRPr="00267F46">
              <w:rPr>
                <w:color w:val="000000" w:themeColor="text1"/>
              </w:rPr>
              <w:t>When using the product wear disposable gloves.</w:t>
            </w:r>
            <w:r>
              <w:rPr>
                <w:color w:val="000000" w:themeColor="text1"/>
              </w:rPr>
              <w:t xml:space="preserve"> </w:t>
            </w:r>
            <w:r w:rsidRPr="00267F46">
              <w:rPr>
                <w:color w:val="000000" w:themeColor="text1"/>
              </w:rPr>
              <w:t>During cleanup, disposal operations of bait and bait stations and when handling rodent carcasses wear single layer clothing and disposable gloves.</w:t>
            </w:r>
            <w:r>
              <w:rPr>
                <w:color w:val="000000" w:themeColor="text1"/>
              </w:rPr>
              <w:t xml:space="preserve"> </w:t>
            </w:r>
            <w:r w:rsidRPr="00267F46">
              <w:rPr>
                <w:color w:val="000000" w:themeColor="text1"/>
              </w:rPr>
              <w:t>If on skin and after each baiting, wash thoroughly with soap and water.</w:t>
            </w:r>
            <w:r>
              <w:rPr>
                <w:color w:val="000000" w:themeColor="text1"/>
              </w:rPr>
              <w:t xml:space="preserve"> </w:t>
            </w:r>
            <w:r w:rsidRPr="00267F46">
              <w:rPr>
                <w:color w:val="000000" w:themeColor="text1"/>
              </w:rPr>
              <w:t>After each day’s use wash contaminated clothing.</w:t>
            </w:r>
          </w:p>
        </w:tc>
      </w:tr>
      <w:tr w:rsidR="008E67EA" w:rsidRPr="006B74D1" w14:paraId="5EE2A5AF" w14:textId="77777777" w:rsidTr="00B44A74">
        <w:trPr>
          <w:cantSplit/>
        </w:trPr>
        <w:tc>
          <w:tcPr>
            <w:tcW w:w="869" w:type="pct"/>
            <w:vMerge/>
            <w:tcBorders>
              <w:left w:val="single" w:sz="4" w:space="0" w:color="auto"/>
              <w:right w:val="single" w:sz="4" w:space="0" w:color="auto"/>
            </w:tcBorders>
          </w:tcPr>
          <w:p w14:paraId="69924BBE" w14:textId="77777777" w:rsidR="008E67EA" w:rsidRPr="00B251FC" w:rsidRDefault="008E67EA" w:rsidP="00B44A74">
            <w:pPr>
              <w:pStyle w:val="APVMATableText"/>
              <w:spacing w:before="0" w:after="0"/>
              <w:rPr>
                <w:color w:val="000000" w:themeColor="text1"/>
              </w:rPr>
            </w:pPr>
          </w:p>
        </w:tc>
        <w:tc>
          <w:tcPr>
            <w:tcW w:w="1185" w:type="pct"/>
            <w:tcBorders>
              <w:top w:val="single" w:sz="4" w:space="0" w:color="auto"/>
              <w:left w:val="single" w:sz="4" w:space="0" w:color="auto"/>
              <w:bottom w:val="single" w:sz="4" w:space="0" w:color="auto"/>
              <w:right w:val="single" w:sz="4" w:space="0" w:color="auto"/>
            </w:tcBorders>
          </w:tcPr>
          <w:p w14:paraId="2C70953D" w14:textId="77777777" w:rsidR="008E67EA" w:rsidRPr="009D1C4A" w:rsidRDefault="008E67EA" w:rsidP="00B44A74">
            <w:pPr>
              <w:pStyle w:val="APVMATableText"/>
              <w:spacing w:before="0" w:after="0"/>
              <w:rPr>
                <w:color w:val="000000" w:themeColor="text1"/>
              </w:rPr>
            </w:pPr>
            <w:r w:rsidRPr="009D1C4A">
              <w:rPr>
                <w:color w:val="000000" w:themeColor="text1"/>
              </w:rPr>
              <w:t>RB 0.05 g/kg or less in block formulation</w:t>
            </w:r>
          </w:p>
        </w:tc>
        <w:tc>
          <w:tcPr>
            <w:tcW w:w="2946" w:type="pct"/>
            <w:tcBorders>
              <w:top w:val="single" w:sz="4" w:space="0" w:color="auto"/>
              <w:left w:val="single" w:sz="4" w:space="0" w:color="auto"/>
              <w:bottom w:val="single" w:sz="4" w:space="0" w:color="auto"/>
              <w:right w:val="single" w:sz="4" w:space="0" w:color="auto"/>
            </w:tcBorders>
          </w:tcPr>
          <w:p w14:paraId="761A0299" w14:textId="77777777" w:rsidR="008E67EA" w:rsidRPr="00883E6A" w:rsidRDefault="008E67EA" w:rsidP="00B44A74">
            <w:pPr>
              <w:pStyle w:val="APVMATableText"/>
              <w:spacing w:before="0" w:after="0"/>
              <w:rPr>
                <w:color w:val="000000" w:themeColor="text1"/>
              </w:rPr>
            </w:pPr>
            <w:r w:rsidRPr="004B7FA9">
              <w:rPr>
                <w:color w:val="000000" w:themeColor="text1"/>
              </w:rPr>
              <w:t>Repeated minor exposure may have a cumulative poisoning effect. Will irritate the skin. May irritate eyes. Avoid contact with eyes and skin. Do not touch bait, use scoop or measure. When using the product wear disposable gloves. If on skin and after each baiting, wash thoroughly with soap and water.</w:t>
            </w:r>
          </w:p>
        </w:tc>
      </w:tr>
      <w:tr w:rsidR="008E67EA" w:rsidRPr="006B74D1" w14:paraId="57786C13" w14:textId="77777777" w:rsidTr="00B44A74">
        <w:trPr>
          <w:cantSplit/>
        </w:trPr>
        <w:tc>
          <w:tcPr>
            <w:tcW w:w="869" w:type="pct"/>
            <w:vMerge/>
            <w:tcBorders>
              <w:left w:val="single" w:sz="4" w:space="0" w:color="auto"/>
              <w:right w:val="single" w:sz="4" w:space="0" w:color="auto"/>
            </w:tcBorders>
          </w:tcPr>
          <w:p w14:paraId="37FB1F63" w14:textId="77777777" w:rsidR="008E67EA" w:rsidRPr="00B251FC" w:rsidRDefault="008E67EA" w:rsidP="00B44A74">
            <w:pPr>
              <w:pStyle w:val="APVMATableText"/>
              <w:spacing w:before="0" w:after="0"/>
              <w:rPr>
                <w:color w:val="000000" w:themeColor="text1"/>
              </w:rPr>
            </w:pPr>
          </w:p>
        </w:tc>
        <w:tc>
          <w:tcPr>
            <w:tcW w:w="1185" w:type="pct"/>
            <w:tcBorders>
              <w:top w:val="single" w:sz="4" w:space="0" w:color="auto"/>
              <w:left w:val="single" w:sz="4" w:space="0" w:color="auto"/>
              <w:bottom w:val="single" w:sz="4" w:space="0" w:color="auto"/>
              <w:right w:val="single" w:sz="4" w:space="0" w:color="auto"/>
            </w:tcBorders>
          </w:tcPr>
          <w:p w14:paraId="37EFF9A0" w14:textId="77777777" w:rsidR="008E67EA" w:rsidRPr="009D1C4A" w:rsidRDefault="008E67EA" w:rsidP="00B44A74">
            <w:pPr>
              <w:pStyle w:val="APVMATableText"/>
              <w:spacing w:before="0" w:after="0"/>
              <w:rPr>
                <w:color w:val="000000" w:themeColor="text1"/>
              </w:rPr>
            </w:pPr>
            <w:r w:rsidRPr="009D1C4A">
              <w:rPr>
                <w:color w:val="000000" w:themeColor="text1"/>
              </w:rPr>
              <w:t>RB 0.05 g/kg or less in pellet formulation</w:t>
            </w:r>
          </w:p>
        </w:tc>
        <w:tc>
          <w:tcPr>
            <w:tcW w:w="2946" w:type="pct"/>
            <w:tcBorders>
              <w:top w:val="single" w:sz="4" w:space="0" w:color="auto"/>
              <w:left w:val="single" w:sz="4" w:space="0" w:color="auto"/>
              <w:bottom w:val="single" w:sz="4" w:space="0" w:color="auto"/>
              <w:right w:val="single" w:sz="4" w:space="0" w:color="auto"/>
            </w:tcBorders>
          </w:tcPr>
          <w:p w14:paraId="0C482EBE" w14:textId="77777777" w:rsidR="008E67EA" w:rsidRPr="004B7FA9" w:rsidRDefault="008E67EA" w:rsidP="00B44A74">
            <w:pPr>
              <w:pStyle w:val="APVMATableText"/>
              <w:spacing w:before="0" w:after="0"/>
              <w:rPr>
                <w:color w:val="000000" w:themeColor="text1"/>
              </w:rPr>
            </w:pPr>
            <w:r w:rsidRPr="004B7FA9">
              <w:rPr>
                <w:color w:val="000000" w:themeColor="text1"/>
              </w:rPr>
              <w:t>Repeated minor exposure may have a cumulative poisoning effect. May irritate the eyes. Avoid contact with eyes and skin.</w:t>
            </w:r>
          </w:p>
          <w:p w14:paraId="4835EAAB" w14:textId="77777777" w:rsidR="008E67EA" w:rsidRPr="00883E6A" w:rsidRDefault="008E67EA" w:rsidP="00B44A74">
            <w:pPr>
              <w:pStyle w:val="APVMATableText"/>
              <w:spacing w:before="0" w:after="0"/>
              <w:rPr>
                <w:color w:val="000000" w:themeColor="text1"/>
              </w:rPr>
            </w:pPr>
            <w:r w:rsidRPr="004B7FA9">
              <w:rPr>
                <w:color w:val="000000" w:themeColor="text1"/>
              </w:rPr>
              <w:t>Do not inhale dust. Do not touch bait, use scoop or measure. When using the product wear disposable gloves. If on skin and after each baiting, wash thoroughly with soap and water.</w:t>
            </w:r>
          </w:p>
        </w:tc>
      </w:tr>
      <w:tr w:rsidR="008E67EA" w:rsidRPr="006B74D1" w14:paraId="101F224F" w14:textId="77777777" w:rsidTr="00B44A74">
        <w:trPr>
          <w:cantSplit/>
        </w:trPr>
        <w:tc>
          <w:tcPr>
            <w:tcW w:w="869" w:type="pct"/>
            <w:vMerge w:val="restart"/>
            <w:tcBorders>
              <w:top w:val="single" w:sz="4" w:space="0" w:color="auto"/>
              <w:left w:val="single" w:sz="4" w:space="0" w:color="auto"/>
              <w:right w:val="single" w:sz="4" w:space="0" w:color="auto"/>
            </w:tcBorders>
          </w:tcPr>
          <w:p w14:paraId="41D6F975" w14:textId="77777777" w:rsidR="008E67EA" w:rsidRPr="00B251FC" w:rsidRDefault="008E67EA" w:rsidP="00B44A74">
            <w:pPr>
              <w:pStyle w:val="APVMATableText"/>
              <w:spacing w:before="0" w:after="0"/>
              <w:rPr>
                <w:color w:val="000000" w:themeColor="text1"/>
              </w:rPr>
            </w:pPr>
            <w:r w:rsidRPr="00B251FC">
              <w:rPr>
                <w:color w:val="000000" w:themeColor="text1"/>
              </w:rPr>
              <w:t>Difethialone</w:t>
            </w:r>
          </w:p>
        </w:tc>
        <w:tc>
          <w:tcPr>
            <w:tcW w:w="1185" w:type="pct"/>
            <w:tcBorders>
              <w:top w:val="single" w:sz="4" w:space="0" w:color="auto"/>
              <w:left w:val="single" w:sz="4" w:space="0" w:color="auto"/>
              <w:bottom w:val="single" w:sz="4" w:space="0" w:color="auto"/>
              <w:right w:val="single" w:sz="4" w:space="0" w:color="auto"/>
            </w:tcBorders>
          </w:tcPr>
          <w:p w14:paraId="6F2CCE33" w14:textId="77777777" w:rsidR="008E67EA" w:rsidRPr="00267F46" w:rsidRDefault="008E67EA" w:rsidP="00B44A74">
            <w:pPr>
              <w:pStyle w:val="APVMATableText"/>
              <w:spacing w:before="0" w:after="0"/>
              <w:rPr>
                <w:color w:val="000000" w:themeColor="text1"/>
              </w:rPr>
            </w:pPr>
            <w:r w:rsidRPr="00267F46">
              <w:rPr>
                <w:color w:val="000000" w:themeColor="text1"/>
              </w:rPr>
              <w:t>RB 0.025 g/kg or less in sachet or place pack</w:t>
            </w:r>
          </w:p>
        </w:tc>
        <w:tc>
          <w:tcPr>
            <w:tcW w:w="2946" w:type="pct"/>
            <w:tcBorders>
              <w:top w:val="single" w:sz="4" w:space="0" w:color="auto"/>
              <w:left w:val="single" w:sz="4" w:space="0" w:color="auto"/>
              <w:bottom w:val="single" w:sz="4" w:space="0" w:color="auto"/>
              <w:right w:val="single" w:sz="4" w:space="0" w:color="auto"/>
            </w:tcBorders>
          </w:tcPr>
          <w:p w14:paraId="24EF6C6C" w14:textId="77777777" w:rsidR="008E67EA" w:rsidRPr="00883E6A" w:rsidRDefault="008E67EA" w:rsidP="00B44A74">
            <w:pPr>
              <w:pStyle w:val="APVMATableText"/>
              <w:spacing w:before="0" w:after="0"/>
              <w:rPr>
                <w:color w:val="000000" w:themeColor="text1"/>
              </w:rPr>
            </w:pPr>
            <w:r w:rsidRPr="00267F46">
              <w:rPr>
                <w:color w:val="000000" w:themeColor="text1"/>
              </w:rPr>
              <w:t>Repeated minor exposure may have a cumulative poisoning effect.</w:t>
            </w:r>
            <w:r>
              <w:rPr>
                <w:color w:val="000000" w:themeColor="text1"/>
              </w:rPr>
              <w:t xml:space="preserve"> </w:t>
            </w:r>
            <w:r w:rsidRPr="00267F46">
              <w:rPr>
                <w:color w:val="000000" w:themeColor="text1"/>
              </w:rPr>
              <w:t>May irritate eyes. Avoid contact with eyes.</w:t>
            </w:r>
            <w:r>
              <w:rPr>
                <w:color w:val="000000" w:themeColor="text1"/>
              </w:rPr>
              <w:t xml:space="preserve"> </w:t>
            </w:r>
            <w:r w:rsidRPr="00267F46">
              <w:rPr>
                <w:color w:val="000000" w:themeColor="text1"/>
              </w:rPr>
              <w:t>When using the product wear disposable gloves.</w:t>
            </w:r>
            <w:r>
              <w:rPr>
                <w:color w:val="000000" w:themeColor="text1"/>
              </w:rPr>
              <w:t xml:space="preserve"> </w:t>
            </w:r>
            <w:r w:rsidRPr="00267F46">
              <w:rPr>
                <w:color w:val="000000" w:themeColor="text1"/>
              </w:rPr>
              <w:t>During cleanup, disposal operations of bait and bait stations and when handling rodent carcasses wear single layer clothing and disposable gloves.</w:t>
            </w:r>
            <w:r>
              <w:rPr>
                <w:color w:val="000000" w:themeColor="text1"/>
              </w:rPr>
              <w:t xml:space="preserve"> </w:t>
            </w:r>
            <w:r w:rsidRPr="00267F46">
              <w:rPr>
                <w:color w:val="000000" w:themeColor="text1"/>
              </w:rPr>
              <w:t>If on skin and after each baiting, wash thoroughly with soap and water.</w:t>
            </w:r>
            <w:r>
              <w:rPr>
                <w:color w:val="000000" w:themeColor="text1"/>
              </w:rPr>
              <w:t xml:space="preserve"> </w:t>
            </w:r>
            <w:r w:rsidRPr="00267F46">
              <w:rPr>
                <w:color w:val="000000" w:themeColor="text1"/>
              </w:rPr>
              <w:t>After each day’s use wash contaminated clothing.</w:t>
            </w:r>
            <w:r w:rsidRPr="004B7FA9">
              <w:rPr>
                <w:color w:val="000000" w:themeColor="text1"/>
              </w:rPr>
              <w:t xml:space="preserve"> </w:t>
            </w:r>
          </w:p>
        </w:tc>
      </w:tr>
      <w:tr w:rsidR="008E67EA" w:rsidRPr="006B74D1" w14:paraId="4EFFFCFF" w14:textId="77777777" w:rsidTr="00B44A74">
        <w:trPr>
          <w:cantSplit/>
        </w:trPr>
        <w:tc>
          <w:tcPr>
            <w:tcW w:w="869" w:type="pct"/>
            <w:vMerge/>
            <w:tcBorders>
              <w:left w:val="single" w:sz="4" w:space="0" w:color="auto"/>
              <w:right w:val="single" w:sz="4" w:space="0" w:color="auto"/>
            </w:tcBorders>
          </w:tcPr>
          <w:p w14:paraId="1573F796" w14:textId="77777777" w:rsidR="008E67EA" w:rsidRPr="00B251FC" w:rsidRDefault="008E67EA" w:rsidP="00B44A74">
            <w:pPr>
              <w:pStyle w:val="APVMATableText"/>
              <w:spacing w:before="0" w:after="0"/>
              <w:rPr>
                <w:color w:val="000000" w:themeColor="text1"/>
              </w:rPr>
            </w:pPr>
          </w:p>
        </w:tc>
        <w:tc>
          <w:tcPr>
            <w:tcW w:w="1185" w:type="pct"/>
            <w:tcBorders>
              <w:top w:val="single" w:sz="4" w:space="0" w:color="auto"/>
              <w:left w:val="single" w:sz="4" w:space="0" w:color="auto"/>
              <w:bottom w:val="single" w:sz="4" w:space="0" w:color="auto"/>
              <w:right w:val="single" w:sz="4" w:space="0" w:color="auto"/>
            </w:tcBorders>
          </w:tcPr>
          <w:p w14:paraId="1CEDE287" w14:textId="77777777" w:rsidR="008E67EA" w:rsidRPr="009D1C4A" w:rsidRDefault="008E67EA" w:rsidP="00B44A74">
            <w:pPr>
              <w:pStyle w:val="APVMATableText"/>
              <w:spacing w:before="0" w:after="0"/>
              <w:rPr>
                <w:color w:val="000000" w:themeColor="text1"/>
              </w:rPr>
            </w:pPr>
            <w:r w:rsidRPr="009D1C4A">
              <w:rPr>
                <w:color w:val="000000" w:themeColor="text1"/>
              </w:rPr>
              <w:t>RB 0.025 g/kg or less in block formulation</w:t>
            </w:r>
          </w:p>
        </w:tc>
        <w:tc>
          <w:tcPr>
            <w:tcW w:w="2946" w:type="pct"/>
            <w:tcBorders>
              <w:top w:val="single" w:sz="4" w:space="0" w:color="auto"/>
              <w:left w:val="single" w:sz="4" w:space="0" w:color="auto"/>
              <w:bottom w:val="single" w:sz="4" w:space="0" w:color="auto"/>
              <w:right w:val="single" w:sz="4" w:space="0" w:color="auto"/>
            </w:tcBorders>
            <w:vAlign w:val="center"/>
          </w:tcPr>
          <w:p w14:paraId="6D180EE3" w14:textId="77777777" w:rsidR="008E67EA" w:rsidRPr="00883E6A" w:rsidRDefault="008E67EA" w:rsidP="00B44A74">
            <w:pPr>
              <w:pStyle w:val="APVMATableText"/>
              <w:spacing w:before="0" w:after="0"/>
              <w:rPr>
                <w:color w:val="000000" w:themeColor="text1"/>
              </w:rPr>
            </w:pPr>
            <w:r w:rsidRPr="004B7FA9">
              <w:rPr>
                <w:color w:val="000000" w:themeColor="text1"/>
              </w:rPr>
              <w:t>Repeated minor exposure may have a cumulative poisoning effect. May irritate eyes.</w:t>
            </w:r>
            <w:r>
              <w:t xml:space="preserve"> </w:t>
            </w:r>
            <w:r w:rsidRPr="004B7FA9">
              <w:rPr>
                <w:color w:val="000000" w:themeColor="text1"/>
              </w:rPr>
              <w:t>Avoid contact with eyes</w:t>
            </w:r>
            <w:r>
              <w:rPr>
                <w:color w:val="000000" w:themeColor="text1"/>
              </w:rPr>
              <w:t xml:space="preserve">. </w:t>
            </w:r>
            <w:r w:rsidRPr="004B7FA9">
              <w:rPr>
                <w:color w:val="000000" w:themeColor="text1"/>
              </w:rPr>
              <w:t>Do not touch bait, use scoop or measure</w:t>
            </w:r>
            <w:r>
              <w:rPr>
                <w:color w:val="000000" w:themeColor="text1"/>
              </w:rPr>
              <w:t xml:space="preserve">. </w:t>
            </w:r>
            <w:r w:rsidRPr="004B7FA9">
              <w:rPr>
                <w:color w:val="000000" w:themeColor="text1"/>
              </w:rPr>
              <w:t>When using the product wear disposable gloves</w:t>
            </w:r>
            <w:r>
              <w:rPr>
                <w:color w:val="000000" w:themeColor="text1"/>
              </w:rPr>
              <w:t xml:space="preserve">. </w:t>
            </w:r>
            <w:r w:rsidRPr="004B7FA9">
              <w:rPr>
                <w:color w:val="000000" w:themeColor="text1"/>
              </w:rPr>
              <w:t>If on skin and after each baiting, wash thoroughly with soap and water</w:t>
            </w:r>
            <w:r>
              <w:rPr>
                <w:color w:val="000000" w:themeColor="text1"/>
              </w:rPr>
              <w:t>.</w:t>
            </w:r>
          </w:p>
        </w:tc>
      </w:tr>
      <w:tr w:rsidR="008E67EA" w:rsidRPr="006B74D1" w14:paraId="27B591BC" w14:textId="77777777" w:rsidTr="00B44A74">
        <w:trPr>
          <w:cantSplit/>
        </w:trPr>
        <w:tc>
          <w:tcPr>
            <w:tcW w:w="869" w:type="pct"/>
            <w:vMerge/>
            <w:tcBorders>
              <w:left w:val="single" w:sz="4" w:space="0" w:color="auto"/>
              <w:bottom w:val="single" w:sz="4" w:space="0" w:color="auto"/>
              <w:right w:val="single" w:sz="4" w:space="0" w:color="auto"/>
            </w:tcBorders>
          </w:tcPr>
          <w:p w14:paraId="4D999715" w14:textId="77777777" w:rsidR="008E67EA" w:rsidRPr="00B251FC" w:rsidRDefault="008E67EA" w:rsidP="00B44A74">
            <w:pPr>
              <w:pStyle w:val="APVMATableText"/>
              <w:spacing w:before="0" w:after="0"/>
              <w:rPr>
                <w:color w:val="000000" w:themeColor="text1"/>
              </w:rPr>
            </w:pPr>
          </w:p>
        </w:tc>
        <w:tc>
          <w:tcPr>
            <w:tcW w:w="1185" w:type="pct"/>
            <w:tcBorders>
              <w:top w:val="single" w:sz="4" w:space="0" w:color="auto"/>
              <w:left w:val="single" w:sz="4" w:space="0" w:color="auto"/>
              <w:bottom w:val="single" w:sz="4" w:space="0" w:color="auto"/>
              <w:right w:val="single" w:sz="4" w:space="0" w:color="auto"/>
            </w:tcBorders>
          </w:tcPr>
          <w:p w14:paraId="1845CF4E" w14:textId="77777777" w:rsidR="008E67EA" w:rsidRPr="009D1C4A" w:rsidRDefault="008E67EA" w:rsidP="00B44A74">
            <w:pPr>
              <w:pStyle w:val="APVMATableText"/>
              <w:spacing w:before="0" w:after="0"/>
              <w:rPr>
                <w:color w:val="000000" w:themeColor="text1"/>
              </w:rPr>
            </w:pPr>
            <w:r w:rsidRPr="009D1C4A">
              <w:rPr>
                <w:color w:val="000000" w:themeColor="text1"/>
              </w:rPr>
              <w:t>RB 0.025 g/kg or less in pellet formulation</w:t>
            </w:r>
          </w:p>
        </w:tc>
        <w:tc>
          <w:tcPr>
            <w:tcW w:w="2946" w:type="pct"/>
            <w:tcBorders>
              <w:top w:val="single" w:sz="4" w:space="0" w:color="auto"/>
              <w:left w:val="single" w:sz="4" w:space="0" w:color="auto"/>
              <w:bottom w:val="single" w:sz="4" w:space="0" w:color="auto"/>
              <w:right w:val="single" w:sz="4" w:space="0" w:color="auto"/>
            </w:tcBorders>
          </w:tcPr>
          <w:p w14:paraId="492EB289" w14:textId="77777777" w:rsidR="008E67EA" w:rsidRPr="004B7FA9" w:rsidRDefault="008E67EA" w:rsidP="00B44A74">
            <w:pPr>
              <w:pStyle w:val="APVMATableText"/>
              <w:spacing w:before="0" w:after="0"/>
              <w:rPr>
                <w:color w:val="000000" w:themeColor="text1"/>
              </w:rPr>
            </w:pPr>
            <w:r w:rsidRPr="004B7FA9">
              <w:rPr>
                <w:color w:val="000000" w:themeColor="text1"/>
              </w:rPr>
              <w:t>Repeated minor exposure may have a cumulative poisoning effect. May irritate the eyes. Avoid contact with eyes and skin.</w:t>
            </w:r>
          </w:p>
          <w:p w14:paraId="1F840B63" w14:textId="77777777" w:rsidR="008E67EA" w:rsidRPr="00883E6A" w:rsidRDefault="008E67EA" w:rsidP="00B44A74">
            <w:pPr>
              <w:pStyle w:val="APVMATableText"/>
              <w:spacing w:before="0" w:after="0"/>
              <w:rPr>
                <w:color w:val="000000" w:themeColor="text1"/>
              </w:rPr>
            </w:pPr>
            <w:r w:rsidRPr="004B7FA9">
              <w:rPr>
                <w:color w:val="000000" w:themeColor="text1"/>
              </w:rPr>
              <w:t>Do not inhale dust. Do not touch bait, use scoop or measure. When using the product wear disposable gloves. If on skin and after each baiting, wash thoroughly with soap and water.</w:t>
            </w:r>
          </w:p>
        </w:tc>
      </w:tr>
      <w:tr w:rsidR="008E67EA" w:rsidRPr="006B74D1" w14:paraId="29F95BA8" w14:textId="77777777" w:rsidTr="00B44A74">
        <w:trPr>
          <w:cantSplit/>
        </w:trPr>
        <w:tc>
          <w:tcPr>
            <w:tcW w:w="869" w:type="pct"/>
            <w:vMerge w:val="restart"/>
            <w:tcBorders>
              <w:top w:val="single" w:sz="4" w:space="0" w:color="auto"/>
              <w:left w:val="single" w:sz="4" w:space="0" w:color="auto"/>
              <w:right w:val="single" w:sz="4" w:space="0" w:color="auto"/>
            </w:tcBorders>
          </w:tcPr>
          <w:p w14:paraId="7BA498AF" w14:textId="77777777" w:rsidR="008E67EA" w:rsidRPr="00B251FC" w:rsidRDefault="008E67EA" w:rsidP="00B44A74">
            <w:pPr>
              <w:pStyle w:val="APVMATableText"/>
              <w:spacing w:before="0" w:after="0"/>
              <w:rPr>
                <w:color w:val="000000" w:themeColor="text1"/>
              </w:rPr>
            </w:pPr>
            <w:r w:rsidRPr="00B251FC">
              <w:rPr>
                <w:color w:val="000000" w:themeColor="text1"/>
              </w:rPr>
              <w:lastRenderedPageBreak/>
              <w:t>Flocoumafen</w:t>
            </w:r>
          </w:p>
        </w:tc>
        <w:tc>
          <w:tcPr>
            <w:tcW w:w="1185" w:type="pct"/>
            <w:tcBorders>
              <w:top w:val="single" w:sz="4" w:space="0" w:color="auto"/>
              <w:left w:val="single" w:sz="4" w:space="0" w:color="auto"/>
              <w:bottom w:val="single" w:sz="4" w:space="0" w:color="auto"/>
              <w:right w:val="single" w:sz="4" w:space="0" w:color="auto"/>
            </w:tcBorders>
          </w:tcPr>
          <w:p w14:paraId="74826509" w14:textId="77777777" w:rsidR="008E67EA" w:rsidRPr="00267F46" w:rsidRDefault="008E67EA" w:rsidP="00B44A74">
            <w:pPr>
              <w:pStyle w:val="APVMATableText"/>
              <w:spacing w:before="0" w:after="0"/>
              <w:rPr>
                <w:color w:val="000000" w:themeColor="text1"/>
              </w:rPr>
            </w:pPr>
            <w:r w:rsidRPr="00267F46">
              <w:rPr>
                <w:color w:val="000000" w:themeColor="text1"/>
              </w:rPr>
              <w:t>RB 0.05 g/kg or less in sachet or place pack</w:t>
            </w:r>
          </w:p>
        </w:tc>
        <w:tc>
          <w:tcPr>
            <w:tcW w:w="2946" w:type="pct"/>
            <w:tcBorders>
              <w:top w:val="single" w:sz="4" w:space="0" w:color="auto"/>
              <w:left w:val="single" w:sz="4" w:space="0" w:color="auto"/>
              <w:bottom w:val="single" w:sz="4" w:space="0" w:color="auto"/>
              <w:right w:val="single" w:sz="4" w:space="0" w:color="auto"/>
            </w:tcBorders>
          </w:tcPr>
          <w:p w14:paraId="496B0706" w14:textId="77777777" w:rsidR="008E67EA" w:rsidRPr="00883E6A" w:rsidRDefault="008E67EA" w:rsidP="00B44A74">
            <w:pPr>
              <w:pStyle w:val="APVMATableText"/>
              <w:spacing w:before="0" w:after="0"/>
              <w:rPr>
                <w:color w:val="000000" w:themeColor="text1"/>
              </w:rPr>
            </w:pPr>
            <w:r w:rsidRPr="004B7FA9">
              <w:rPr>
                <w:color w:val="000000" w:themeColor="text1"/>
              </w:rPr>
              <w:t>Repeated minor exposure may have a cumulative poisoning effect. When using the product wear disposable gloves</w:t>
            </w:r>
            <w:r>
              <w:rPr>
                <w:color w:val="000000" w:themeColor="text1"/>
              </w:rPr>
              <w:t xml:space="preserve">. </w:t>
            </w:r>
            <w:r w:rsidRPr="00267F46">
              <w:rPr>
                <w:color w:val="000000" w:themeColor="text1"/>
              </w:rPr>
              <w:t>During cleanup, disposal operations of bait and bait stations and when handling rodent carcasses wear single layer clothing and disposable gloves.</w:t>
            </w:r>
            <w:r>
              <w:rPr>
                <w:color w:val="000000" w:themeColor="text1"/>
              </w:rPr>
              <w:t xml:space="preserve"> </w:t>
            </w:r>
            <w:r w:rsidRPr="004B7FA9">
              <w:rPr>
                <w:color w:val="000000" w:themeColor="text1"/>
              </w:rPr>
              <w:t xml:space="preserve">If on skin and after each baiting, wash thoroughly with soap and water. </w:t>
            </w:r>
            <w:r w:rsidRPr="00267F46">
              <w:rPr>
                <w:color w:val="000000" w:themeColor="text1"/>
              </w:rPr>
              <w:t>After each day’s use wash contaminated clothing.</w:t>
            </w:r>
          </w:p>
        </w:tc>
      </w:tr>
      <w:tr w:rsidR="008E67EA" w:rsidRPr="006B74D1" w14:paraId="4CA454B2" w14:textId="77777777" w:rsidTr="00B44A74">
        <w:trPr>
          <w:cantSplit/>
        </w:trPr>
        <w:tc>
          <w:tcPr>
            <w:tcW w:w="869" w:type="pct"/>
            <w:vMerge/>
            <w:tcBorders>
              <w:left w:val="single" w:sz="4" w:space="0" w:color="auto"/>
              <w:bottom w:val="single" w:sz="4" w:space="0" w:color="auto"/>
              <w:right w:val="single" w:sz="4" w:space="0" w:color="auto"/>
            </w:tcBorders>
          </w:tcPr>
          <w:p w14:paraId="5E3DF3C7" w14:textId="77777777" w:rsidR="008E67EA" w:rsidRPr="00B251FC" w:rsidRDefault="008E67EA" w:rsidP="00B44A74">
            <w:pPr>
              <w:pStyle w:val="APVMATableText"/>
              <w:spacing w:before="0" w:after="0"/>
              <w:rPr>
                <w:color w:val="000000" w:themeColor="text1"/>
              </w:rPr>
            </w:pPr>
          </w:p>
        </w:tc>
        <w:tc>
          <w:tcPr>
            <w:tcW w:w="1185" w:type="pct"/>
            <w:tcBorders>
              <w:top w:val="single" w:sz="4" w:space="0" w:color="auto"/>
              <w:left w:val="single" w:sz="4" w:space="0" w:color="auto"/>
              <w:bottom w:val="single" w:sz="4" w:space="0" w:color="auto"/>
              <w:right w:val="single" w:sz="4" w:space="0" w:color="auto"/>
            </w:tcBorders>
          </w:tcPr>
          <w:p w14:paraId="09BDF888" w14:textId="77777777" w:rsidR="008E67EA" w:rsidRPr="009D1C4A" w:rsidRDefault="008E67EA" w:rsidP="00B44A74">
            <w:pPr>
              <w:pStyle w:val="APVMATableText"/>
              <w:spacing w:before="0" w:after="0"/>
              <w:rPr>
                <w:color w:val="000000" w:themeColor="text1"/>
              </w:rPr>
            </w:pPr>
            <w:r w:rsidRPr="009D1C4A">
              <w:rPr>
                <w:color w:val="000000" w:themeColor="text1"/>
              </w:rPr>
              <w:t>RB 0.05 g/kg or less in block formulation</w:t>
            </w:r>
          </w:p>
        </w:tc>
        <w:tc>
          <w:tcPr>
            <w:tcW w:w="2946" w:type="pct"/>
            <w:tcBorders>
              <w:top w:val="single" w:sz="4" w:space="0" w:color="auto"/>
              <w:left w:val="single" w:sz="4" w:space="0" w:color="auto"/>
              <w:bottom w:val="single" w:sz="4" w:space="0" w:color="auto"/>
              <w:right w:val="single" w:sz="4" w:space="0" w:color="auto"/>
            </w:tcBorders>
          </w:tcPr>
          <w:p w14:paraId="57F427B6" w14:textId="77777777" w:rsidR="008E67EA" w:rsidRPr="00883E6A" w:rsidRDefault="008E67EA" w:rsidP="00B44A74">
            <w:pPr>
              <w:pStyle w:val="APVMATableText"/>
              <w:spacing w:before="0" w:after="0"/>
              <w:rPr>
                <w:color w:val="000000" w:themeColor="text1"/>
              </w:rPr>
            </w:pPr>
            <w:r w:rsidRPr="004B7FA9">
              <w:rPr>
                <w:color w:val="000000" w:themeColor="text1"/>
              </w:rPr>
              <w:t>Repeated minor exposure may have a cumulative poisoning effect. Do not touch bait, use scoop or measure. When using the product wear disposable gloves. If on skin and after each baiting, wash thoroughly with soap and water.</w:t>
            </w:r>
          </w:p>
        </w:tc>
      </w:tr>
    </w:tbl>
    <w:p w14:paraId="575219DD" w14:textId="77777777" w:rsidR="008E67EA" w:rsidRPr="00D869C6" w:rsidRDefault="008E67EA" w:rsidP="008E67EA">
      <w:pPr>
        <w:pStyle w:val="StatementofReasonsHeading4"/>
        <w:ind w:left="720" w:firstLine="720"/>
        <w:rPr>
          <w:i/>
          <w:iCs/>
        </w:rPr>
      </w:pPr>
      <w:r w:rsidRPr="00D869C6">
        <w:rPr>
          <w:i/>
          <w:iCs/>
        </w:rPr>
        <w:t>Re-handling and clean-up activities</w:t>
      </w:r>
    </w:p>
    <w:p w14:paraId="03B70E07" w14:textId="3BF51714" w:rsidR="008E67EA" w:rsidRPr="000D522C" w:rsidRDefault="008E67EA">
      <w:pPr>
        <w:pStyle w:val="NumberLevel1"/>
        <w:numPr>
          <w:ilvl w:val="0"/>
          <w:numId w:val="17"/>
        </w:numPr>
        <w:tabs>
          <w:tab w:val="clear" w:pos="709"/>
          <w:tab w:val="num" w:pos="2553"/>
        </w:tabs>
        <w:rPr>
          <w:i/>
          <w:iCs/>
          <w:color w:val="000000" w:themeColor="text1"/>
        </w:rPr>
      </w:pPr>
      <w:bookmarkStart w:id="237" w:name="_Ref213489206"/>
      <w:r w:rsidRPr="00D869C6">
        <w:t>I note there is the</w:t>
      </w:r>
      <w:r w:rsidRPr="00483722">
        <w:t xml:space="preserve"> potential for dermal exposure of workers to residues of anticoagulant rodenticides chemical products while they are performing post-application activities, including bait clean-up operations and removal and disposal of rodent carcasses</w:t>
      </w:r>
      <w:r>
        <w:t>, based on my review section</w:t>
      </w:r>
      <w:r w:rsidRPr="00175F2F">
        <w:rPr>
          <w:i/>
          <w:iCs/>
        </w:rPr>
        <w:t xml:space="preserve"> ‘4.8.4 </w:t>
      </w:r>
      <w:r w:rsidRPr="00175F2F">
        <w:rPr>
          <w:i/>
          <w:iCs/>
          <w:color w:val="000000" w:themeColor="text1"/>
        </w:rPr>
        <w:t>Risk associated with re-handling and clean-up activities’</w:t>
      </w:r>
      <w:r w:rsidRPr="000D522C">
        <w:rPr>
          <w:color w:val="000000" w:themeColor="text1"/>
        </w:rPr>
        <w:t xml:space="preserve"> of the </w:t>
      </w:r>
      <w:r w:rsidRPr="000D522C">
        <w:rPr>
          <w:i/>
          <w:iCs/>
          <w:color w:val="000000" w:themeColor="text1"/>
        </w:rPr>
        <w:t>Anticoagulant Rodenticides Review Technical Report</w:t>
      </w:r>
      <w:r w:rsidRPr="000D522C">
        <w:rPr>
          <w:color w:val="000000" w:themeColor="text1"/>
        </w:rPr>
        <w:t>. The level of dermal exposure expected was not quantitatively modelled in the human health risk assessment, though was expected to be lower or similar to the estimated exposure of users during application of block, pellet and paste chemical products.</w:t>
      </w:r>
      <w:bookmarkEnd w:id="237"/>
    </w:p>
    <w:p w14:paraId="20A1D4BF" w14:textId="77777777" w:rsidR="008E67EA" w:rsidRPr="00D869C6" w:rsidRDefault="008E67EA">
      <w:pPr>
        <w:pStyle w:val="NumberLevel1"/>
        <w:numPr>
          <w:ilvl w:val="0"/>
          <w:numId w:val="17"/>
        </w:numPr>
        <w:tabs>
          <w:tab w:val="clear" w:pos="709"/>
          <w:tab w:val="num" w:pos="2553"/>
        </w:tabs>
        <w:rPr>
          <w:i/>
          <w:iCs/>
          <w:color w:val="000000" w:themeColor="text1"/>
        </w:rPr>
      </w:pPr>
      <w:bookmarkStart w:id="238" w:name="_Ref205885585"/>
      <w:bookmarkStart w:id="239" w:name="_Ref213411531"/>
      <w:r>
        <w:rPr>
          <w:color w:val="000000" w:themeColor="text1"/>
        </w:rPr>
        <w:t>B</w:t>
      </w:r>
      <w:r w:rsidRPr="00483722">
        <w:rPr>
          <w:color w:val="000000" w:themeColor="text1"/>
        </w:rPr>
        <w:t xml:space="preserve">ased on </w:t>
      </w:r>
      <w:r>
        <w:rPr>
          <w:color w:val="000000" w:themeColor="text1"/>
        </w:rPr>
        <w:t xml:space="preserve">my review and consideration of </w:t>
      </w:r>
      <w:r w:rsidRPr="00483722">
        <w:rPr>
          <w:color w:val="000000" w:themeColor="text1"/>
        </w:rPr>
        <w:t xml:space="preserve">the recommendations in </w:t>
      </w:r>
      <w:r>
        <w:rPr>
          <w:color w:val="000000" w:themeColor="text1"/>
        </w:rPr>
        <w:t xml:space="preserve">section </w:t>
      </w:r>
      <w:r w:rsidRPr="00175F2F">
        <w:rPr>
          <w:i/>
          <w:iCs/>
          <w:color w:val="000000" w:themeColor="text1"/>
        </w:rPr>
        <w:t>‘4.9.3 Additional labelling requirements’</w:t>
      </w:r>
      <w:r w:rsidRPr="00483722">
        <w:rPr>
          <w:color w:val="000000" w:themeColor="text1"/>
        </w:rPr>
        <w:t xml:space="preserve"> of the </w:t>
      </w:r>
      <w:r w:rsidRPr="00483722">
        <w:rPr>
          <w:i/>
          <w:iCs/>
          <w:color w:val="000000" w:themeColor="text1"/>
        </w:rPr>
        <w:t>Anticoagulant Rodenticides Review Technica</w:t>
      </w:r>
      <w:r w:rsidRPr="00D869C6">
        <w:rPr>
          <w:i/>
          <w:iCs/>
          <w:color w:val="000000" w:themeColor="text1"/>
        </w:rPr>
        <w:t>l Report</w:t>
      </w:r>
      <w:r w:rsidRPr="00D869C6">
        <w:rPr>
          <w:color w:val="000000" w:themeColor="text1"/>
        </w:rPr>
        <w:t>, and due to the intrinsic hazards of anticoagulant rodenticides and the importance of good occupational hygiene, I consider that similar protective measures are required for workers involved in re-handling activities as were deemed necessary for product application. As such, to mitigate risks to workers involved in re-handling activities, I find that the precautionary instructions</w:t>
      </w:r>
      <w:bookmarkStart w:id="240" w:name="_Hlk204107869"/>
      <w:r w:rsidRPr="00D869C6">
        <w:rPr>
          <w:color w:val="000000" w:themeColor="text1"/>
        </w:rPr>
        <w:t xml:space="preserve"> </w:t>
      </w:r>
      <w:r w:rsidRPr="00D869C6">
        <w:rPr>
          <w:b/>
          <w:bCs/>
          <w:i/>
          <w:iCs/>
          <w:color w:val="000000" w:themeColor="text1"/>
        </w:rPr>
        <w:t>‘During cleanup and disposal operations of bait and bait stations, wear a single layer of clothing and disposable gloves. Wear disposable gloves when handling rodent carcasses. Wash clothes after performing re-handling activities.’</w:t>
      </w:r>
      <w:bookmarkEnd w:id="238"/>
      <w:bookmarkEnd w:id="240"/>
      <w:r w:rsidRPr="00D869C6">
        <w:rPr>
          <w:b/>
          <w:bCs/>
          <w:i/>
          <w:iCs/>
          <w:color w:val="000000" w:themeColor="text1"/>
        </w:rPr>
        <w:t xml:space="preserve"> </w:t>
      </w:r>
      <w:r w:rsidRPr="00D869C6">
        <w:rPr>
          <w:color w:val="000000" w:themeColor="text1"/>
        </w:rPr>
        <w:t>are required to be added to the instructions for use for all chemical products listed in Attachment A of this notice.</w:t>
      </w:r>
      <w:bookmarkEnd w:id="239"/>
    </w:p>
    <w:p w14:paraId="7B6B71AF" w14:textId="77777777" w:rsidR="008E67EA" w:rsidRPr="006B5885" w:rsidRDefault="008E67EA" w:rsidP="008E67EA">
      <w:pPr>
        <w:pStyle w:val="StatementofReasonsHeading4"/>
      </w:pPr>
      <w:r w:rsidRPr="00D869C6">
        <w:t>Bystander exposure</w:t>
      </w:r>
    </w:p>
    <w:p w14:paraId="63F53FA8" w14:textId="77777777" w:rsidR="008E67EA" w:rsidRPr="00C20D0C" w:rsidRDefault="008E67EA">
      <w:pPr>
        <w:pStyle w:val="NumberLevel1"/>
        <w:numPr>
          <w:ilvl w:val="0"/>
          <w:numId w:val="17"/>
        </w:numPr>
        <w:tabs>
          <w:tab w:val="clear" w:pos="709"/>
          <w:tab w:val="num" w:pos="2553"/>
        </w:tabs>
        <w:rPr>
          <w:rFonts w:cs="Times New Roman"/>
          <w:color w:val="000000" w:themeColor="text1"/>
          <w:szCs w:val="24"/>
        </w:rPr>
      </w:pPr>
      <w:bookmarkStart w:id="241" w:name="_Ref213489242"/>
      <w:r>
        <w:t>T</w:t>
      </w:r>
      <w:r w:rsidRPr="007227C6">
        <w:t>here is the potential for bystanders to be exposed to anticoagulant rodenticide chemical products once the bait</w:t>
      </w:r>
      <w:r w:rsidRPr="00D869C6">
        <w:t>s have been applied in either indoor or outdoor areas. Based my review and consideration of information on accidental exposures of human beings to anticoagulant chemical products, as</w:t>
      </w:r>
      <w:r>
        <w:t xml:space="preserve"> summarised in section </w:t>
      </w:r>
      <w:r w:rsidRPr="00175F2F">
        <w:rPr>
          <w:i/>
          <w:iCs/>
        </w:rPr>
        <w:t xml:space="preserve">‘4.3 </w:t>
      </w:r>
      <w:r w:rsidRPr="00175F2F">
        <w:rPr>
          <w:i/>
          <w:iCs/>
          <w:color w:val="000000" w:themeColor="text1"/>
        </w:rPr>
        <w:t>Human adverse events involving anticoagulant rodenticide exposure in Australia’</w:t>
      </w:r>
      <w:r w:rsidRPr="00C20D0C">
        <w:rPr>
          <w:color w:val="000000" w:themeColor="text1"/>
        </w:rPr>
        <w:t xml:space="preserve"> of the </w:t>
      </w:r>
      <w:r w:rsidRPr="00C20D0C">
        <w:rPr>
          <w:i/>
          <w:iCs/>
          <w:color w:val="000000" w:themeColor="text1"/>
        </w:rPr>
        <w:t>Anticoagulant Rodenticides Review Technical Report</w:t>
      </w:r>
      <w:r w:rsidRPr="00C20D0C">
        <w:rPr>
          <w:color w:val="000000" w:themeColor="text1"/>
        </w:rPr>
        <w:t>, I note that the majority of incidents reviewed as part of this reconsideration have involved young children inadvertently accessing the baits and that they have generally resulted in either no adverse effects or relatively minor effects. That said, the consumption of anticoagulant rodenticides chemical products by vulnerable human being has the potential to result in the need for medical care</w:t>
      </w:r>
      <w:bookmarkEnd w:id="241"/>
      <w:r w:rsidRPr="00C20D0C">
        <w:rPr>
          <w:color w:val="000000" w:themeColor="text1"/>
        </w:rPr>
        <w:t>.</w:t>
      </w:r>
    </w:p>
    <w:p w14:paraId="5297FE40" w14:textId="77777777" w:rsidR="008E67EA" w:rsidRPr="00D869C6" w:rsidRDefault="008E67EA">
      <w:pPr>
        <w:pStyle w:val="NumberLevel1"/>
        <w:numPr>
          <w:ilvl w:val="0"/>
          <w:numId w:val="17"/>
        </w:numPr>
        <w:tabs>
          <w:tab w:val="clear" w:pos="709"/>
          <w:tab w:val="num" w:pos="2553"/>
        </w:tabs>
        <w:rPr>
          <w:rFonts w:cs="Times New Roman"/>
          <w:color w:val="000000" w:themeColor="text1"/>
          <w:szCs w:val="24"/>
        </w:rPr>
      </w:pPr>
      <w:bookmarkStart w:id="242" w:name="_Ref204074648"/>
      <w:bookmarkStart w:id="243" w:name="_Ref213411498"/>
      <w:r w:rsidRPr="00D869C6">
        <w:rPr>
          <w:rFonts w:cs="Times New Roman"/>
          <w:color w:val="000000" w:themeColor="text1"/>
          <w:szCs w:val="24"/>
        </w:rPr>
        <w:t xml:space="preserve">To further aid in the reduction of potential human poisonings resulting from accidental exposure to anticoagulant rodenticide products, </w:t>
      </w:r>
      <w:r w:rsidRPr="00D869C6">
        <w:rPr>
          <w:color w:val="000000" w:themeColor="text1"/>
        </w:rPr>
        <w:t>based on my review and consideration of the recommendations in the</w:t>
      </w:r>
      <w:r w:rsidRPr="007227C6">
        <w:rPr>
          <w:color w:val="000000" w:themeColor="text1"/>
        </w:rPr>
        <w:t xml:space="preserve"> </w:t>
      </w:r>
      <w:r>
        <w:rPr>
          <w:color w:val="000000" w:themeColor="text1"/>
        </w:rPr>
        <w:t xml:space="preserve">sections </w:t>
      </w:r>
      <w:r w:rsidRPr="006B5FF8">
        <w:rPr>
          <w:i/>
          <w:iCs/>
          <w:color w:val="000000" w:themeColor="text1"/>
        </w:rPr>
        <w:t>‘4.9.3 Additional labelling requirements’</w:t>
      </w:r>
      <w:r w:rsidRPr="00483722">
        <w:rPr>
          <w:color w:val="000000" w:themeColor="text1"/>
        </w:rPr>
        <w:t xml:space="preserve"> </w:t>
      </w:r>
      <w:r>
        <w:rPr>
          <w:color w:val="000000" w:themeColor="text1"/>
        </w:rPr>
        <w:t xml:space="preserve">and </w:t>
      </w:r>
      <w:r w:rsidRPr="006B5FF8">
        <w:rPr>
          <w:i/>
          <w:iCs/>
          <w:color w:val="000000" w:themeColor="text1"/>
        </w:rPr>
        <w:t>‘4.9.</w:t>
      </w:r>
      <w:r>
        <w:rPr>
          <w:i/>
          <w:iCs/>
          <w:color w:val="000000" w:themeColor="text1"/>
        </w:rPr>
        <w:t>4</w:t>
      </w:r>
      <w:r w:rsidRPr="006B5FF8">
        <w:rPr>
          <w:i/>
          <w:iCs/>
          <w:color w:val="000000" w:themeColor="text1"/>
        </w:rPr>
        <w:t xml:space="preserve"> </w:t>
      </w:r>
      <w:r>
        <w:rPr>
          <w:i/>
          <w:iCs/>
          <w:color w:val="000000" w:themeColor="text1"/>
        </w:rPr>
        <w:t>Formulation Recommendations</w:t>
      </w:r>
      <w:r w:rsidRPr="006B5FF8">
        <w:rPr>
          <w:i/>
          <w:iCs/>
          <w:color w:val="000000" w:themeColor="text1"/>
        </w:rPr>
        <w:t>’</w:t>
      </w:r>
      <w:r w:rsidRPr="00483722">
        <w:rPr>
          <w:color w:val="000000" w:themeColor="text1"/>
        </w:rPr>
        <w:t xml:space="preserve"> </w:t>
      </w:r>
      <w:r w:rsidRPr="007227C6">
        <w:rPr>
          <w:color w:val="000000" w:themeColor="text1"/>
        </w:rPr>
        <w:t xml:space="preserve">of the </w:t>
      </w:r>
      <w:r w:rsidRPr="007227C6">
        <w:rPr>
          <w:i/>
          <w:iCs/>
          <w:color w:val="000000" w:themeColor="text1"/>
        </w:rPr>
        <w:t>Anticoagulant Rodenticides Review Technical Repo</w:t>
      </w:r>
      <w:r w:rsidRPr="00D869C6">
        <w:rPr>
          <w:i/>
          <w:iCs/>
          <w:color w:val="000000" w:themeColor="text1"/>
        </w:rPr>
        <w:t>rt</w:t>
      </w:r>
      <w:r w:rsidRPr="00D869C6">
        <w:rPr>
          <w:color w:val="000000" w:themeColor="text1"/>
        </w:rPr>
        <w:t>, I consider that the following risk mitigation measures are necessary</w:t>
      </w:r>
      <w:bookmarkEnd w:id="242"/>
      <w:r w:rsidRPr="00D869C6">
        <w:rPr>
          <w:color w:val="000000" w:themeColor="text1"/>
        </w:rPr>
        <w:t>:</w:t>
      </w:r>
      <w:bookmarkEnd w:id="243"/>
    </w:p>
    <w:p w14:paraId="2C01BE82" w14:textId="7EAE400D" w:rsidR="008E67EA" w:rsidRPr="00D869C6" w:rsidRDefault="008E67EA">
      <w:pPr>
        <w:pStyle w:val="NumberLevel2"/>
        <w:numPr>
          <w:ilvl w:val="1"/>
          <w:numId w:val="17"/>
        </w:numPr>
        <w:ind w:left="1134"/>
        <w:rPr>
          <w:rFonts w:cs="Times New Roman"/>
          <w:color w:val="000000" w:themeColor="text1"/>
          <w:szCs w:val="24"/>
        </w:rPr>
      </w:pPr>
      <w:bookmarkStart w:id="244" w:name="_Ref213444704"/>
      <w:r w:rsidRPr="00D869C6">
        <w:rPr>
          <w:rFonts w:cs="Times New Roman"/>
          <w:color w:val="000000" w:themeColor="text1"/>
          <w:szCs w:val="24"/>
        </w:rPr>
        <w:t xml:space="preserve">For commercial anticoagulant rodenticide chemical products listed in Attachment A of this notice, to prevent accidental exposure through </w:t>
      </w:r>
      <w:r w:rsidRPr="00D869C6">
        <w:rPr>
          <w:color w:val="000000" w:themeColor="text1"/>
        </w:rPr>
        <w:t xml:space="preserve">children’s exploratory behaviour, </w:t>
      </w:r>
      <w:r w:rsidRPr="00D869C6">
        <w:rPr>
          <w:rFonts w:cs="Times New Roman"/>
          <w:color w:val="000000" w:themeColor="text1"/>
          <w:szCs w:val="24"/>
        </w:rPr>
        <w:t xml:space="preserve">the instructions for use </w:t>
      </w:r>
      <w:r w:rsidRPr="00D869C6">
        <w:rPr>
          <w:rFonts w:cs="Times New Roman"/>
          <w:b/>
          <w:bCs/>
          <w:i/>
          <w:iCs/>
          <w:color w:val="000000" w:themeColor="text1"/>
          <w:szCs w:val="24"/>
        </w:rPr>
        <w:t>’DO NOT place bait in areas that are accessible to children. In child-accessible areas baits must be place in tamper-</w:t>
      </w:r>
      <w:r>
        <w:rPr>
          <w:rFonts w:cs="Times New Roman"/>
          <w:b/>
          <w:bCs/>
          <w:i/>
          <w:iCs/>
          <w:color w:val="000000" w:themeColor="text1"/>
          <w:szCs w:val="24"/>
        </w:rPr>
        <w:t>resistant</w:t>
      </w:r>
      <w:r w:rsidRPr="00D869C6">
        <w:rPr>
          <w:rFonts w:cs="Times New Roman"/>
          <w:b/>
          <w:bCs/>
          <w:i/>
          <w:iCs/>
          <w:color w:val="000000" w:themeColor="text1"/>
          <w:szCs w:val="24"/>
        </w:rPr>
        <w:t xml:space="preserve"> bait stations. If bait can be dislodged from bait station, bait station must be </w:t>
      </w:r>
      <w:r w:rsidRPr="00D869C6">
        <w:rPr>
          <w:rFonts w:cs="Times New Roman"/>
          <w:b/>
          <w:bCs/>
          <w:i/>
          <w:iCs/>
          <w:color w:val="000000" w:themeColor="text1"/>
          <w:szCs w:val="24"/>
        </w:rPr>
        <w:lastRenderedPageBreak/>
        <w:t xml:space="preserve">secured in place.’ </w:t>
      </w:r>
      <w:r w:rsidRPr="00D869C6">
        <w:rPr>
          <w:rFonts w:cs="Times New Roman"/>
          <w:color w:val="000000" w:themeColor="text1"/>
          <w:szCs w:val="24"/>
        </w:rPr>
        <w:t>are required to be added</w:t>
      </w:r>
      <w:r w:rsidRPr="00D869C6">
        <w:rPr>
          <w:color w:val="000000" w:themeColor="text1"/>
        </w:rPr>
        <w:t xml:space="preserve">. I note that these children-specific instructions for use are not required for the domestic </w:t>
      </w:r>
      <w:r w:rsidRPr="00D869C6">
        <w:rPr>
          <w:rFonts w:cs="Times New Roman"/>
          <w:color w:val="000000" w:themeColor="text1"/>
          <w:szCs w:val="24"/>
        </w:rPr>
        <w:t>anticoagulant rodenticide chemical products listed in Attachment A of this notice, as it is proposed that tamper-</w:t>
      </w:r>
      <w:r>
        <w:rPr>
          <w:rFonts w:cs="Times New Roman"/>
          <w:color w:val="000000" w:themeColor="text1"/>
          <w:szCs w:val="24"/>
        </w:rPr>
        <w:t>resistant</w:t>
      </w:r>
      <w:r w:rsidRPr="00D869C6">
        <w:rPr>
          <w:rFonts w:cs="Times New Roman"/>
          <w:color w:val="000000" w:themeColor="text1"/>
          <w:szCs w:val="24"/>
        </w:rPr>
        <w:t xml:space="preserve"> baits stations, secured in place if bait dislodgement is possible, must be used in all situations, as detailed </w:t>
      </w:r>
      <w:r w:rsidRPr="006E722E">
        <w:rPr>
          <w:rFonts w:cs="Times New Roman"/>
          <w:color w:val="000000" w:themeColor="text1"/>
          <w:szCs w:val="24"/>
        </w:rPr>
        <w:t xml:space="preserve">above in paragraph </w:t>
      </w:r>
      <w:r w:rsidRPr="006E722E">
        <w:rPr>
          <w:rFonts w:cs="Times New Roman"/>
          <w:color w:val="000000" w:themeColor="text1"/>
          <w:szCs w:val="24"/>
        </w:rPr>
        <w:fldChar w:fldCharType="begin"/>
      </w:r>
      <w:r w:rsidRPr="006E722E">
        <w:rPr>
          <w:rFonts w:cs="Times New Roman"/>
          <w:color w:val="000000" w:themeColor="text1"/>
          <w:szCs w:val="24"/>
        </w:rPr>
        <w:instrText xml:space="preserve"> REF _Ref206083584 \r \h  \* MERGEFORMAT </w:instrText>
      </w:r>
      <w:r w:rsidRPr="006E722E">
        <w:rPr>
          <w:rFonts w:cs="Times New Roman"/>
          <w:color w:val="000000" w:themeColor="text1"/>
          <w:szCs w:val="24"/>
        </w:rPr>
      </w:r>
      <w:r w:rsidRPr="006E722E">
        <w:rPr>
          <w:rFonts w:cs="Times New Roman"/>
          <w:color w:val="000000" w:themeColor="text1"/>
          <w:szCs w:val="24"/>
        </w:rPr>
        <w:fldChar w:fldCharType="separate"/>
      </w:r>
      <w:r w:rsidR="002C0C2A">
        <w:rPr>
          <w:rFonts w:cs="Times New Roman"/>
          <w:color w:val="000000" w:themeColor="text1"/>
          <w:szCs w:val="24"/>
        </w:rPr>
        <w:t>61.1</w:t>
      </w:r>
      <w:r w:rsidRPr="006E722E">
        <w:rPr>
          <w:rFonts w:cs="Times New Roman"/>
          <w:color w:val="000000" w:themeColor="text1"/>
          <w:szCs w:val="24"/>
        </w:rPr>
        <w:fldChar w:fldCharType="end"/>
      </w:r>
      <w:r w:rsidRPr="006E722E">
        <w:rPr>
          <w:rFonts w:cs="Times New Roman"/>
          <w:color w:val="000000" w:themeColor="text1"/>
          <w:szCs w:val="24"/>
        </w:rPr>
        <w:t xml:space="preserve"> of these</w:t>
      </w:r>
      <w:r w:rsidRPr="00D869C6">
        <w:rPr>
          <w:rFonts w:cs="Times New Roman"/>
          <w:color w:val="000000" w:themeColor="text1"/>
          <w:szCs w:val="24"/>
        </w:rPr>
        <w:t xml:space="preserve"> reasons.</w:t>
      </w:r>
      <w:bookmarkEnd w:id="244"/>
    </w:p>
    <w:p w14:paraId="59F65239" w14:textId="596010DB" w:rsidR="008E67EA" w:rsidRPr="00152BD3" w:rsidRDefault="008E67EA">
      <w:pPr>
        <w:pStyle w:val="NumberLevel2"/>
        <w:numPr>
          <w:ilvl w:val="1"/>
          <w:numId w:val="17"/>
        </w:numPr>
        <w:ind w:left="1134"/>
      </w:pPr>
      <w:bookmarkStart w:id="245" w:name="_Ref213357481"/>
      <w:r>
        <w:rPr>
          <w:color w:val="000000" w:themeColor="text1"/>
        </w:rPr>
        <w:t xml:space="preserve">In relation to how the product is formulated, </w:t>
      </w:r>
      <w:r w:rsidRPr="00A25188">
        <w:rPr>
          <w:color w:val="000000" w:themeColor="text1"/>
        </w:rPr>
        <w:t>I consider that a bittering agent and dye are critical formulation components to prevent effects that are harmful to human beings. I note the bittering agent is intended to reduce the likelihood of bait ingestion by a vulnerable human being, as they are likely to stop consuming an unpalatable item if accidentally accessed, and the marker dye is intended to provide a visual reference to indicate if a vulnerable human being has ingested some of the chemical product</w:t>
      </w:r>
      <w:r w:rsidRPr="00152BD3">
        <w:t xml:space="preserve"> My consideration on whether the formulations of the chemical products listed in Attachment A of this notice contain the requisite bittering agent and dye is discussed in the ‘‘</w:t>
      </w:r>
      <w:r w:rsidRPr="00A25188">
        <w:rPr>
          <w:i/>
          <w:iCs/>
        </w:rPr>
        <w:t xml:space="preserve">How the product is formulated – constituents – bittering agent and </w:t>
      </w:r>
      <w:r w:rsidRPr="00A25188">
        <w:rPr>
          <w:i/>
          <w:iCs/>
          <w:color w:val="000000" w:themeColor="text1"/>
        </w:rPr>
        <w:t xml:space="preserve">dye’ </w:t>
      </w:r>
      <w:r w:rsidRPr="00A25188">
        <w:rPr>
          <w:color w:val="000000" w:themeColor="text1"/>
        </w:rPr>
        <w:t xml:space="preserve">(paragraphs </w:t>
      </w:r>
      <w:r w:rsidRPr="00A25188">
        <w:rPr>
          <w:color w:val="000000" w:themeColor="text1"/>
        </w:rPr>
        <w:fldChar w:fldCharType="begin"/>
      </w:r>
      <w:r w:rsidRPr="00A25188">
        <w:rPr>
          <w:color w:val="000000" w:themeColor="text1"/>
        </w:rPr>
        <w:instrText xml:space="preserve"> REF _Ref213358628 \r \h  \* MERGEFORMAT </w:instrText>
      </w:r>
      <w:r w:rsidRPr="00A25188">
        <w:rPr>
          <w:color w:val="000000" w:themeColor="text1"/>
        </w:rPr>
      </w:r>
      <w:r w:rsidRPr="00A25188">
        <w:rPr>
          <w:color w:val="000000" w:themeColor="text1"/>
        </w:rPr>
        <w:fldChar w:fldCharType="separate"/>
      </w:r>
      <w:r w:rsidR="002C0C2A">
        <w:rPr>
          <w:color w:val="000000" w:themeColor="text1"/>
        </w:rPr>
        <w:t>121</w:t>
      </w:r>
      <w:r w:rsidRPr="00A25188">
        <w:rPr>
          <w:color w:val="000000" w:themeColor="text1"/>
        </w:rPr>
        <w:fldChar w:fldCharType="end"/>
      </w:r>
      <w:r w:rsidRPr="00A25188">
        <w:rPr>
          <w:color w:val="000000" w:themeColor="text1"/>
        </w:rPr>
        <w:t xml:space="preserve"> – </w:t>
      </w:r>
      <w:r w:rsidRPr="00A25188">
        <w:rPr>
          <w:color w:val="000000" w:themeColor="text1"/>
        </w:rPr>
        <w:fldChar w:fldCharType="begin"/>
      </w:r>
      <w:r w:rsidRPr="00A25188">
        <w:rPr>
          <w:color w:val="000000" w:themeColor="text1"/>
        </w:rPr>
        <w:instrText xml:space="preserve"> REF _Ref213444454 \w \h  \* MERGEFORMAT </w:instrText>
      </w:r>
      <w:r w:rsidRPr="00A25188">
        <w:rPr>
          <w:color w:val="000000" w:themeColor="text1"/>
        </w:rPr>
      </w:r>
      <w:r w:rsidRPr="00A25188">
        <w:rPr>
          <w:color w:val="000000" w:themeColor="text1"/>
        </w:rPr>
        <w:fldChar w:fldCharType="separate"/>
      </w:r>
      <w:r w:rsidR="002C0C2A">
        <w:rPr>
          <w:color w:val="000000" w:themeColor="text1"/>
        </w:rPr>
        <w:t>123</w:t>
      </w:r>
      <w:r w:rsidRPr="00A25188">
        <w:rPr>
          <w:color w:val="000000" w:themeColor="text1"/>
        </w:rPr>
        <w:fldChar w:fldCharType="end"/>
      </w:r>
      <w:r w:rsidRPr="00A25188">
        <w:rPr>
          <w:color w:val="000000" w:themeColor="text1"/>
        </w:rPr>
        <w:t xml:space="preserve">) section </w:t>
      </w:r>
      <w:r w:rsidRPr="00152BD3">
        <w:t>of these reasons below.</w:t>
      </w:r>
      <w:bookmarkEnd w:id="245"/>
    </w:p>
    <w:p w14:paraId="59BD3C1B" w14:textId="77777777" w:rsidR="008E67EA" w:rsidRDefault="008E67EA" w:rsidP="008E67EA">
      <w:pPr>
        <w:pStyle w:val="StatementofReasonsHeading4"/>
      </w:pPr>
      <w:r>
        <w:t>Potential dietary exposure risks</w:t>
      </w:r>
    </w:p>
    <w:p w14:paraId="4BB7CB1F" w14:textId="44832AF7" w:rsidR="008E67EA" w:rsidRPr="00D869C6" w:rsidRDefault="008E67EA">
      <w:pPr>
        <w:pStyle w:val="NumberLevel1"/>
        <w:numPr>
          <w:ilvl w:val="0"/>
          <w:numId w:val="17"/>
        </w:numPr>
        <w:tabs>
          <w:tab w:val="clear" w:pos="709"/>
          <w:tab w:val="num" w:pos="2553"/>
        </w:tabs>
      </w:pPr>
      <w:r>
        <w:t>A</w:t>
      </w:r>
      <w:r w:rsidRPr="009B497A">
        <w:t>nticoagulant rodenticide</w:t>
      </w:r>
      <w:r>
        <w:t xml:space="preserve"> chemical products are </w:t>
      </w:r>
      <w:r w:rsidRPr="009B497A">
        <w:t xml:space="preserve">not </w:t>
      </w:r>
      <w:r>
        <w:t xml:space="preserve">registered for </w:t>
      </w:r>
      <w:r w:rsidRPr="004A02BF">
        <w:t>direct application to commodities grown for human food or to food producing livestock or poultry</w:t>
      </w:r>
      <w:r w:rsidRPr="009B497A">
        <w:t xml:space="preserve"> are therefore not expected to occur in the food chain. However</w:t>
      </w:r>
      <w:r w:rsidRPr="00D869C6">
        <w:t>, I note that there is some evidence of the potential for anticoagulant rodenticide contamination of food commoditises</w:t>
      </w:r>
      <w:r w:rsidRPr="009B497A">
        <w:t>.</w:t>
      </w:r>
      <w:r>
        <w:t xml:space="preserve"> </w:t>
      </w:r>
      <w:r w:rsidRPr="005C102A">
        <w:rPr>
          <w:color w:val="000000" w:themeColor="text1"/>
        </w:rPr>
        <w:t>As documented in section</w:t>
      </w:r>
      <w:r>
        <w:rPr>
          <w:color w:val="000000" w:themeColor="text1"/>
        </w:rPr>
        <w:t xml:space="preserve"> </w:t>
      </w:r>
      <w:r w:rsidRPr="00175F2F">
        <w:rPr>
          <w:i/>
          <w:iCs/>
          <w:color w:val="000000" w:themeColor="text1"/>
        </w:rPr>
        <w:t>‘5.1.2 In and around buildings’</w:t>
      </w:r>
      <w:r w:rsidRPr="005C102A">
        <w:rPr>
          <w:color w:val="000000" w:themeColor="text1"/>
        </w:rPr>
        <w:t xml:space="preserve"> of the</w:t>
      </w:r>
      <w:r w:rsidRPr="005C102A">
        <w:rPr>
          <w:i/>
          <w:iCs/>
        </w:rPr>
        <w:t xml:space="preserve"> Anticoagulant Rodenticides Review Technical Report, </w:t>
      </w:r>
      <w:r w:rsidRPr="005C102A">
        <w:rPr>
          <w:color w:val="000000" w:themeColor="text1"/>
        </w:rPr>
        <w:t xml:space="preserve">this </w:t>
      </w:r>
      <w:r>
        <w:rPr>
          <w:color w:val="000000" w:themeColor="text1"/>
        </w:rPr>
        <w:t xml:space="preserve">evidence </w:t>
      </w:r>
      <w:r w:rsidRPr="005C102A">
        <w:rPr>
          <w:color w:val="000000" w:themeColor="text1"/>
        </w:rPr>
        <w:t>include</w:t>
      </w:r>
      <w:r>
        <w:rPr>
          <w:color w:val="000000" w:themeColor="text1"/>
        </w:rPr>
        <w:t>s</w:t>
      </w:r>
      <w:r w:rsidRPr="005C102A">
        <w:rPr>
          <w:color w:val="000000" w:themeColor="text1"/>
        </w:rPr>
        <w:t xml:space="preserve"> potential exposure pathways for edible wildlife and game</w:t>
      </w:r>
      <w:r>
        <w:rPr>
          <w:color w:val="000000" w:themeColor="text1"/>
        </w:rPr>
        <w:t>,</w:t>
      </w:r>
      <w:r w:rsidRPr="005C102A">
        <w:rPr>
          <w:color w:val="000000" w:themeColor="text1"/>
        </w:rPr>
        <w:t xml:space="preserve"> and past </w:t>
      </w:r>
      <w:r>
        <w:rPr>
          <w:color w:val="000000" w:themeColor="text1"/>
        </w:rPr>
        <w:t xml:space="preserve">low-level </w:t>
      </w:r>
      <w:r w:rsidRPr="00FF1638">
        <w:rPr>
          <w:color w:val="000000" w:themeColor="text1"/>
        </w:rPr>
        <w:t xml:space="preserve">warfarin and coumatetralyl </w:t>
      </w:r>
      <w:r>
        <w:rPr>
          <w:color w:val="000000" w:themeColor="text1"/>
        </w:rPr>
        <w:t xml:space="preserve">detections in pig livers that stemmed from </w:t>
      </w:r>
      <w:r w:rsidRPr="005C102A">
        <w:rPr>
          <w:color w:val="000000" w:themeColor="text1"/>
        </w:rPr>
        <w:t>use of anticoagulant rodenticide chemical products in piggeries</w:t>
      </w:r>
      <w:r>
        <w:rPr>
          <w:color w:val="000000" w:themeColor="text1"/>
        </w:rPr>
        <w:t>.</w:t>
      </w:r>
      <w:r w:rsidRPr="005C102A">
        <w:rPr>
          <w:color w:val="000000" w:themeColor="text1"/>
        </w:rPr>
        <w:t xml:space="preserve"> </w:t>
      </w:r>
      <w:r>
        <w:t xml:space="preserve">Therefore, </w:t>
      </w:r>
      <w:r>
        <w:rPr>
          <w:color w:val="000000" w:themeColor="text1"/>
        </w:rPr>
        <w:t>i</w:t>
      </w:r>
      <w:r w:rsidRPr="009B497A">
        <w:rPr>
          <w:color w:val="000000" w:themeColor="text1"/>
        </w:rPr>
        <w:t xml:space="preserve">n considering the any potential dietary exposure risks from use of the ready-to-use anticoagulant </w:t>
      </w:r>
      <w:r w:rsidRPr="00D869C6">
        <w:rPr>
          <w:color w:val="000000" w:themeColor="text1"/>
        </w:rPr>
        <w:t xml:space="preserve">rodenticides chemical products listed in Attachment A of this notice in accordance with instructions, </w:t>
      </w:r>
      <w:r w:rsidRPr="00D869C6">
        <w:t>I have considered the health-based guidance values of anticoagulant rodenticides and the potential for accidental exposure of food commodities to anticoagulant rodenticides.</w:t>
      </w:r>
    </w:p>
    <w:p w14:paraId="64F85301" w14:textId="77777777" w:rsidR="008E67EA" w:rsidRPr="00D869C6" w:rsidRDefault="008E67EA" w:rsidP="008E67EA">
      <w:pPr>
        <w:pStyle w:val="StatementofReasonsHeading4"/>
        <w:ind w:firstLine="567"/>
        <w:rPr>
          <w:i/>
          <w:iCs/>
          <w:color w:val="000000" w:themeColor="text1"/>
        </w:rPr>
      </w:pPr>
      <w:r w:rsidRPr="00D869C6">
        <w:rPr>
          <w:i/>
          <w:iCs/>
          <w:color w:val="000000" w:themeColor="text1"/>
        </w:rPr>
        <w:t>Health-based guidance values</w:t>
      </w:r>
    </w:p>
    <w:p w14:paraId="2595390A" w14:textId="44E372C3" w:rsidR="008E67EA" w:rsidRPr="00D869C6" w:rsidRDefault="008E67EA">
      <w:pPr>
        <w:pStyle w:val="NumberLevel1"/>
        <w:numPr>
          <w:ilvl w:val="0"/>
          <w:numId w:val="17"/>
        </w:numPr>
        <w:tabs>
          <w:tab w:val="clear" w:pos="709"/>
          <w:tab w:val="num" w:pos="2553"/>
        </w:tabs>
        <w:rPr>
          <w:color w:val="000000" w:themeColor="text1"/>
        </w:rPr>
      </w:pPr>
      <w:r w:rsidRPr="00D869C6">
        <w:rPr>
          <w:color w:val="000000" w:themeColor="text1"/>
        </w:rPr>
        <w:t>For all chemical products containing the relevant active constituents,</w:t>
      </w:r>
      <w:r w:rsidRPr="00D869C6">
        <w:t xml:space="preserve"> b</w:t>
      </w:r>
      <w:r w:rsidRPr="00D869C6">
        <w:rPr>
          <w:color w:val="000000" w:themeColor="text1"/>
        </w:rPr>
        <w:t>ased on my review and consideration of the</w:t>
      </w:r>
      <w:r w:rsidRPr="000557B9">
        <w:rPr>
          <w:color w:val="000000" w:themeColor="text1"/>
        </w:rPr>
        <w:t xml:space="preserve"> assessment </w:t>
      </w:r>
      <w:r>
        <w:rPr>
          <w:color w:val="000000" w:themeColor="text1"/>
        </w:rPr>
        <w:t xml:space="preserve">summarised in section </w:t>
      </w:r>
      <w:r w:rsidRPr="00175F2F">
        <w:rPr>
          <w:i/>
          <w:iCs/>
          <w:color w:val="000000" w:themeColor="text1"/>
        </w:rPr>
        <w:t>‘4.11 Health Based Guidance Values’</w:t>
      </w:r>
      <w:r>
        <w:rPr>
          <w:color w:val="000000" w:themeColor="text1"/>
        </w:rPr>
        <w:t xml:space="preserve"> </w:t>
      </w:r>
      <w:r w:rsidRPr="000557B9">
        <w:rPr>
          <w:color w:val="000000" w:themeColor="text1"/>
        </w:rPr>
        <w:t xml:space="preserve">of the </w:t>
      </w:r>
      <w:r w:rsidRPr="000557B9">
        <w:rPr>
          <w:i/>
          <w:iCs/>
          <w:color w:val="000000" w:themeColor="text1"/>
        </w:rPr>
        <w:t>Anticoagulant Rodenticides Review Technica</w:t>
      </w:r>
      <w:r w:rsidRPr="00D869C6">
        <w:rPr>
          <w:i/>
          <w:iCs/>
          <w:color w:val="000000" w:themeColor="text1"/>
        </w:rPr>
        <w:t>l Report</w:t>
      </w:r>
      <w:r w:rsidRPr="00D869C6">
        <w:rPr>
          <w:color w:val="000000" w:themeColor="text1"/>
        </w:rPr>
        <w:t xml:space="preserve">, I consider that the health-based guidance values (HBGVs) listed in </w:t>
      </w:r>
      <w:r w:rsidR="00FC0551">
        <w:rPr>
          <w:color w:val="000000" w:themeColor="text1"/>
        </w:rPr>
        <w:fldChar w:fldCharType="begin"/>
      </w:r>
      <w:r w:rsidR="00FC0551">
        <w:rPr>
          <w:color w:val="000000" w:themeColor="text1"/>
        </w:rPr>
        <w:instrText xml:space="preserve"> REF _Ref216292914 \h </w:instrText>
      </w:r>
      <w:r w:rsidR="00FC0551">
        <w:rPr>
          <w:color w:val="000000" w:themeColor="text1"/>
        </w:rPr>
      </w:r>
      <w:r w:rsidR="00FC0551">
        <w:rPr>
          <w:color w:val="000000" w:themeColor="text1"/>
        </w:rPr>
        <w:fldChar w:fldCharType="separate"/>
      </w:r>
      <w:r w:rsidR="002C0C2A" w:rsidRPr="00B33ED7">
        <w:t xml:space="preserve">Table </w:t>
      </w:r>
      <w:r w:rsidR="002C0C2A">
        <w:rPr>
          <w:noProof/>
        </w:rPr>
        <w:t>15</w:t>
      </w:r>
      <w:r w:rsidR="00FC0551">
        <w:rPr>
          <w:color w:val="000000" w:themeColor="text1"/>
        </w:rPr>
        <w:fldChar w:fldCharType="end"/>
      </w:r>
      <w:r w:rsidR="00FC0551">
        <w:rPr>
          <w:color w:val="000000" w:themeColor="text1"/>
        </w:rPr>
        <w:t xml:space="preserve"> </w:t>
      </w:r>
      <w:r w:rsidRPr="00D869C6">
        <w:rPr>
          <w:color w:val="000000" w:themeColor="text1"/>
        </w:rPr>
        <w:t xml:space="preserve">and </w:t>
      </w:r>
      <w:r w:rsidR="00FC0551">
        <w:rPr>
          <w:color w:val="000000" w:themeColor="text1"/>
        </w:rPr>
        <w:fldChar w:fldCharType="begin"/>
      </w:r>
      <w:r w:rsidR="00FC0551">
        <w:rPr>
          <w:color w:val="000000" w:themeColor="text1"/>
        </w:rPr>
        <w:instrText xml:space="preserve"> REF _Ref216070443 \h </w:instrText>
      </w:r>
      <w:r w:rsidR="00FC0551">
        <w:rPr>
          <w:color w:val="000000" w:themeColor="text1"/>
        </w:rPr>
      </w:r>
      <w:r w:rsidR="00FC0551">
        <w:rPr>
          <w:color w:val="000000" w:themeColor="text1"/>
        </w:rPr>
        <w:fldChar w:fldCharType="separate"/>
      </w:r>
      <w:r w:rsidR="002C0C2A" w:rsidRPr="00B33ED7">
        <w:t xml:space="preserve">Table </w:t>
      </w:r>
      <w:r w:rsidR="002C0C2A">
        <w:rPr>
          <w:noProof/>
        </w:rPr>
        <w:t>16</w:t>
      </w:r>
      <w:r w:rsidR="00FC0551">
        <w:rPr>
          <w:color w:val="000000" w:themeColor="text1"/>
        </w:rPr>
        <w:fldChar w:fldCharType="end"/>
      </w:r>
      <w:r w:rsidRPr="00D869C6">
        <w:rPr>
          <w:color w:val="000000" w:themeColor="text1"/>
        </w:rPr>
        <w:t xml:space="preserve"> below are appropriate to assess any potential dietary risks from the use of anticoagulant rodenticide chemical products.</w:t>
      </w:r>
    </w:p>
    <w:p w14:paraId="68B9E8C8" w14:textId="1CE247C8" w:rsidR="008E67EA" w:rsidRPr="000557B9" w:rsidRDefault="008E67EA">
      <w:pPr>
        <w:pStyle w:val="NumberLevel2"/>
        <w:numPr>
          <w:ilvl w:val="1"/>
          <w:numId w:val="17"/>
        </w:numPr>
        <w:ind w:left="1134"/>
        <w:rPr>
          <w:color w:val="000000" w:themeColor="text1"/>
        </w:rPr>
      </w:pPr>
      <w:r w:rsidRPr="00D869C6">
        <w:rPr>
          <w:color w:val="000000" w:themeColor="text1"/>
        </w:rPr>
        <w:t>For both first- and second-generation anticoagulant rodenticides, tolerable daily intakes (TDI</w:t>
      </w:r>
      <w:r w:rsidRPr="00D869C6">
        <w:rPr>
          <w:color w:val="000000" w:themeColor="text1"/>
          <w:vertAlign w:val="superscript"/>
        </w:rPr>
        <w:footnoteReference w:id="9"/>
      </w:r>
      <w:r w:rsidRPr="00D869C6">
        <w:rPr>
          <w:color w:val="000000" w:themeColor="text1"/>
        </w:rPr>
        <w:t xml:space="preserve">) are relevant to my considerations of any potential chronic dietary risks associated with chemicals contaminants that may enter the food chain. I consider that the TDIs for the relevant active constituents listed in </w:t>
      </w:r>
      <w:r w:rsidR="00FC0551">
        <w:rPr>
          <w:color w:val="000000" w:themeColor="text1"/>
        </w:rPr>
        <w:fldChar w:fldCharType="begin"/>
      </w:r>
      <w:r w:rsidR="00FC0551">
        <w:rPr>
          <w:color w:val="000000" w:themeColor="text1"/>
        </w:rPr>
        <w:instrText xml:space="preserve"> REF _Ref216292914 \h </w:instrText>
      </w:r>
      <w:r w:rsidR="00FC0551">
        <w:rPr>
          <w:color w:val="000000" w:themeColor="text1"/>
        </w:rPr>
      </w:r>
      <w:r w:rsidR="00FC0551">
        <w:rPr>
          <w:color w:val="000000" w:themeColor="text1"/>
        </w:rPr>
        <w:fldChar w:fldCharType="separate"/>
      </w:r>
      <w:r w:rsidR="002C0C2A" w:rsidRPr="00B33ED7">
        <w:t xml:space="preserve">Table </w:t>
      </w:r>
      <w:r w:rsidR="002C0C2A">
        <w:rPr>
          <w:noProof/>
        </w:rPr>
        <w:t>15</w:t>
      </w:r>
      <w:r w:rsidR="00FC0551">
        <w:rPr>
          <w:color w:val="000000" w:themeColor="text1"/>
        </w:rPr>
        <w:fldChar w:fldCharType="end"/>
      </w:r>
      <w:r w:rsidRPr="00D869C6">
        <w:rPr>
          <w:color w:val="000000" w:themeColor="text1"/>
        </w:rPr>
        <w:t xml:space="preserve"> are appropriate, noting that the NOAEL (or LOAEL) selected is equivalent to the point of departure selected for repeat exposure assessment of occupational users (detailed in paragraph </w:t>
      </w:r>
      <w:r w:rsidRPr="00D869C6">
        <w:rPr>
          <w:color w:val="000000" w:themeColor="text1"/>
        </w:rPr>
        <w:fldChar w:fldCharType="begin"/>
      </w:r>
      <w:r w:rsidRPr="00D869C6">
        <w:rPr>
          <w:color w:val="000000" w:themeColor="text1"/>
        </w:rPr>
        <w:instrText xml:space="preserve"> REF _Ref202965442 \w \h </w:instrText>
      </w:r>
      <w:r>
        <w:rPr>
          <w:color w:val="000000" w:themeColor="text1"/>
        </w:rPr>
        <w:instrText xml:space="preserve"> \* MERGEFORMAT </w:instrText>
      </w:r>
      <w:r w:rsidRPr="00D869C6">
        <w:rPr>
          <w:color w:val="000000" w:themeColor="text1"/>
        </w:rPr>
      </w:r>
      <w:r w:rsidRPr="00D869C6">
        <w:rPr>
          <w:color w:val="000000" w:themeColor="text1"/>
        </w:rPr>
        <w:fldChar w:fldCharType="separate"/>
      </w:r>
      <w:r w:rsidR="002C0C2A">
        <w:rPr>
          <w:color w:val="000000" w:themeColor="text1"/>
        </w:rPr>
        <w:t>85.1</w:t>
      </w:r>
      <w:r w:rsidRPr="00D869C6">
        <w:rPr>
          <w:color w:val="000000" w:themeColor="text1"/>
        </w:rPr>
        <w:fldChar w:fldCharType="end"/>
      </w:r>
      <w:r w:rsidRPr="00D869C6">
        <w:rPr>
          <w:color w:val="000000" w:themeColor="text1"/>
        </w:rPr>
        <w:t xml:space="preserve"> above), the use of a standard 100-fold UF to account for inter-species extrapolation and intra-species variability in response, and the use of an additional 10-fold UF to account for</w:t>
      </w:r>
      <w:r w:rsidRPr="000557B9">
        <w:rPr>
          <w:color w:val="000000" w:themeColor="text1"/>
        </w:rPr>
        <w:t xml:space="preserve"> all limitations in the chronic toxicology databases. </w:t>
      </w:r>
    </w:p>
    <w:p w14:paraId="3F242AAE" w14:textId="259F5302" w:rsidR="008E67EA" w:rsidRPr="00B33ED7" w:rsidRDefault="008E67EA" w:rsidP="00B33ED7">
      <w:pPr>
        <w:pStyle w:val="Caption"/>
        <w:ind w:left="567"/>
      </w:pPr>
      <w:bookmarkStart w:id="246" w:name="_Ref216292914"/>
      <w:r w:rsidRPr="00B33ED7">
        <w:t xml:space="preserve">Table </w:t>
      </w:r>
      <w:r w:rsidRPr="00B33ED7">
        <w:fldChar w:fldCharType="begin"/>
      </w:r>
      <w:r w:rsidRPr="00B33ED7">
        <w:instrText xml:space="preserve"> SEQ Table \* ARABIC </w:instrText>
      </w:r>
      <w:r w:rsidRPr="00B33ED7">
        <w:fldChar w:fldCharType="separate"/>
      </w:r>
      <w:r w:rsidR="002C0C2A">
        <w:rPr>
          <w:noProof/>
        </w:rPr>
        <w:t>15</w:t>
      </w:r>
      <w:r w:rsidRPr="00B33ED7">
        <w:fldChar w:fldCharType="end"/>
      </w:r>
      <w:bookmarkEnd w:id="246"/>
      <w:r w:rsidRPr="00B33ED7">
        <w:t>: Tolerable daily intake (TDI) for anticoagulant rodenticides</w:t>
      </w: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560"/>
        <w:gridCol w:w="1985"/>
        <w:gridCol w:w="4254"/>
        <w:gridCol w:w="1267"/>
      </w:tblGrid>
      <w:tr w:rsidR="008E67EA" w:rsidRPr="000557B9" w14:paraId="2CD8345F" w14:textId="77777777" w:rsidTr="00B44A74">
        <w:trPr>
          <w:cantSplit/>
          <w:tblHeader/>
        </w:trPr>
        <w:tc>
          <w:tcPr>
            <w:tcW w:w="860" w:type="pct"/>
            <w:tcBorders>
              <w:top w:val="single" w:sz="4" w:space="0" w:color="auto"/>
              <w:left w:val="single" w:sz="4" w:space="0" w:color="auto"/>
              <w:bottom w:val="single" w:sz="4" w:space="0" w:color="auto"/>
              <w:right w:val="single" w:sz="4" w:space="0" w:color="auto"/>
            </w:tcBorders>
            <w:shd w:val="clear" w:color="auto" w:fill="E6E6E6"/>
            <w:hideMark/>
          </w:tcPr>
          <w:p w14:paraId="69862FDF" w14:textId="77777777" w:rsidR="008E67EA" w:rsidRPr="000557B9" w:rsidRDefault="008E67EA" w:rsidP="00B44A74">
            <w:pPr>
              <w:pStyle w:val="TableHead"/>
              <w:spacing w:before="0" w:after="0"/>
              <w:rPr>
                <w:color w:val="000000" w:themeColor="text1"/>
              </w:rPr>
            </w:pPr>
            <w:r w:rsidRPr="000557B9">
              <w:rPr>
                <w:color w:val="000000" w:themeColor="text1"/>
              </w:rPr>
              <w:t>Active</w:t>
            </w:r>
          </w:p>
        </w:tc>
        <w:tc>
          <w:tcPr>
            <w:tcW w:w="1095" w:type="pct"/>
            <w:tcBorders>
              <w:top w:val="single" w:sz="4" w:space="0" w:color="auto"/>
              <w:left w:val="single" w:sz="4" w:space="0" w:color="auto"/>
              <w:bottom w:val="single" w:sz="4" w:space="0" w:color="auto"/>
              <w:right w:val="single" w:sz="4" w:space="0" w:color="auto"/>
            </w:tcBorders>
            <w:shd w:val="clear" w:color="auto" w:fill="E6E6E6"/>
          </w:tcPr>
          <w:p w14:paraId="5BE775F8" w14:textId="77777777" w:rsidR="008E67EA" w:rsidRPr="000557B9" w:rsidRDefault="008E67EA" w:rsidP="00B44A74">
            <w:pPr>
              <w:pStyle w:val="TableHead"/>
              <w:spacing w:before="0" w:after="0"/>
              <w:rPr>
                <w:color w:val="000000" w:themeColor="text1"/>
              </w:rPr>
            </w:pPr>
            <w:r w:rsidRPr="000557B9">
              <w:rPr>
                <w:color w:val="000000" w:themeColor="text1"/>
              </w:rPr>
              <w:t>TDI (mg/kg bw/day)</w:t>
            </w:r>
          </w:p>
        </w:tc>
        <w:tc>
          <w:tcPr>
            <w:tcW w:w="2346" w:type="pct"/>
            <w:tcBorders>
              <w:top w:val="single" w:sz="4" w:space="0" w:color="auto"/>
              <w:left w:val="single" w:sz="4" w:space="0" w:color="auto"/>
              <w:bottom w:val="single" w:sz="4" w:space="0" w:color="auto"/>
              <w:right w:val="single" w:sz="4" w:space="0" w:color="auto"/>
            </w:tcBorders>
            <w:shd w:val="clear" w:color="auto" w:fill="E6E6E6"/>
          </w:tcPr>
          <w:p w14:paraId="59A5A3E0" w14:textId="77777777" w:rsidR="008E67EA" w:rsidRPr="000557B9" w:rsidRDefault="008E67EA" w:rsidP="00B44A74">
            <w:pPr>
              <w:pStyle w:val="TableHead"/>
              <w:spacing w:before="0" w:after="0"/>
              <w:rPr>
                <w:color w:val="000000" w:themeColor="text1"/>
              </w:rPr>
            </w:pPr>
            <w:r w:rsidRPr="000557B9">
              <w:rPr>
                <w:color w:val="000000" w:themeColor="text1"/>
              </w:rPr>
              <w:t>Study</w:t>
            </w:r>
          </w:p>
        </w:tc>
        <w:tc>
          <w:tcPr>
            <w:tcW w:w="700" w:type="pct"/>
            <w:tcBorders>
              <w:top w:val="single" w:sz="4" w:space="0" w:color="auto"/>
              <w:left w:val="single" w:sz="4" w:space="0" w:color="auto"/>
              <w:bottom w:val="single" w:sz="4" w:space="0" w:color="auto"/>
              <w:right w:val="single" w:sz="4" w:space="0" w:color="auto"/>
            </w:tcBorders>
            <w:shd w:val="clear" w:color="auto" w:fill="E6E6E6"/>
          </w:tcPr>
          <w:p w14:paraId="428CC116" w14:textId="77777777" w:rsidR="008E67EA" w:rsidRPr="000557B9" w:rsidRDefault="008E67EA" w:rsidP="00B44A74">
            <w:pPr>
              <w:pStyle w:val="TableHead"/>
              <w:spacing w:before="0" w:after="0"/>
              <w:rPr>
                <w:color w:val="000000" w:themeColor="text1"/>
              </w:rPr>
            </w:pPr>
            <w:r w:rsidRPr="000557B9">
              <w:rPr>
                <w:color w:val="000000" w:themeColor="text1"/>
              </w:rPr>
              <w:t>UF</w:t>
            </w:r>
          </w:p>
        </w:tc>
      </w:tr>
      <w:tr w:rsidR="008E67EA" w:rsidRPr="000557B9" w14:paraId="17CD7238" w14:textId="77777777" w:rsidTr="00B44A74">
        <w:trPr>
          <w:cantSplit/>
        </w:trPr>
        <w:tc>
          <w:tcPr>
            <w:tcW w:w="5000" w:type="pct"/>
            <w:gridSpan w:val="4"/>
            <w:tcBorders>
              <w:top w:val="single" w:sz="4" w:space="0" w:color="auto"/>
              <w:left w:val="single" w:sz="4" w:space="0" w:color="auto"/>
              <w:bottom w:val="single" w:sz="4" w:space="0" w:color="auto"/>
              <w:right w:val="single" w:sz="4" w:space="0" w:color="auto"/>
            </w:tcBorders>
          </w:tcPr>
          <w:p w14:paraId="7D5DF002" w14:textId="77777777" w:rsidR="008E67EA" w:rsidRPr="000557B9" w:rsidRDefault="008E67EA" w:rsidP="00B44A74">
            <w:pPr>
              <w:pStyle w:val="APVMATableText"/>
              <w:spacing w:before="0" w:after="0"/>
              <w:rPr>
                <w:color w:val="000000" w:themeColor="text1"/>
              </w:rPr>
            </w:pPr>
            <w:r w:rsidRPr="000557B9">
              <w:rPr>
                <w:i/>
                <w:iCs/>
                <w:color w:val="000000" w:themeColor="text1"/>
              </w:rPr>
              <w:t>First generation anticoagulant rodenticides</w:t>
            </w:r>
          </w:p>
        </w:tc>
      </w:tr>
      <w:tr w:rsidR="008E67EA" w:rsidRPr="000557B9" w14:paraId="34FEE597" w14:textId="77777777" w:rsidTr="00B44A74">
        <w:trPr>
          <w:cantSplit/>
        </w:trPr>
        <w:tc>
          <w:tcPr>
            <w:tcW w:w="860" w:type="pct"/>
            <w:tcBorders>
              <w:top w:val="single" w:sz="4" w:space="0" w:color="auto"/>
              <w:left w:val="single" w:sz="4" w:space="0" w:color="auto"/>
              <w:right w:val="single" w:sz="4" w:space="0" w:color="auto"/>
            </w:tcBorders>
          </w:tcPr>
          <w:p w14:paraId="3FA37AA0" w14:textId="77777777" w:rsidR="008E67EA" w:rsidRPr="000557B9" w:rsidRDefault="008E67EA" w:rsidP="00B44A74">
            <w:pPr>
              <w:pStyle w:val="APVMATableText"/>
              <w:spacing w:before="0" w:after="0"/>
              <w:rPr>
                <w:color w:val="000000" w:themeColor="text1"/>
              </w:rPr>
            </w:pPr>
            <w:r w:rsidRPr="000557B9">
              <w:rPr>
                <w:color w:val="000000" w:themeColor="text1"/>
              </w:rPr>
              <w:lastRenderedPageBreak/>
              <w:t>Coumatetralyl</w:t>
            </w:r>
          </w:p>
        </w:tc>
        <w:tc>
          <w:tcPr>
            <w:tcW w:w="1095" w:type="pct"/>
            <w:tcBorders>
              <w:top w:val="single" w:sz="4" w:space="0" w:color="auto"/>
              <w:left w:val="single" w:sz="4" w:space="0" w:color="auto"/>
              <w:bottom w:val="single" w:sz="4" w:space="0" w:color="auto"/>
              <w:right w:val="single" w:sz="4" w:space="0" w:color="auto"/>
            </w:tcBorders>
          </w:tcPr>
          <w:p w14:paraId="7DA4335F" w14:textId="77777777" w:rsidR="008E67EA" w:rsidRPr="000557B9" w:rsidRDefault="008E67EA" w:rsidP="00B44A74">
            <w:pPr>
              <w:pStyle w:val="APVMATableText"/>
              <w:spacing w:before="0" w:after="0"/>
              <w:rPr>
                <w:color w:val="000000" w:themeColor="text1"/>
              </w:rPr>
            </w:pPr>
            <w:r w:rsidRPr="000557B9">
              <w:rPr>
                <w:color w:val="000000" w:themeColor="text1"/>
              </w:rPr>
              <w:t>0.0000068</w:t>
            </w:r>
          </w:p>
        </w:tc>
        <w:tc>
          <w:tcPr>
            <w:tcW w:w="2346" w:type="pct"/>
            <w:tcBorders>
              <w:top w:val="single" w:sz="4" w:space="0" w:color="auto"/>
              <w:left w:val="single" w:sz="4" w:space="0" w:color="auto"/>
              <w:bottom w:val="single" w:sz="4" w:space="0" w:color="auto"/>
              <w:right w:val="single" w:sz="4" w:space="0" w:color="auto"/>
            </w:tcBorders>
          </w:tcPr>
          <w:p w14:paraId="1F53CF41" w14:textId="77777777" w:rsidR="008E67EA" w:rsidRPr="000557B9" w:rsidRDefault="008E67EA" w:rsidP="00B44A74">
            <w:pPr>
              <w:pStyle w:val="APVMATableText"/>
              <w:spacing w:before="0" w:after="0"/>
              <w:rPr>
                <w:color w:val="000000" w:themeColor="text1"/>
              </w:rPr>
            </w:pPr>
            <w:r w:rsidRPr="000557B9">
              <w:rPr>
                <w:color w:val="000000" w:themeColor="text1"/>
              </w:rPr>
              <w:t>NOAEL of 0.0068 mg/kg bw/day for significantly increased blood clotting time and haemorrhage from a 16-week dietary toxicity study in rats.</w:t>
            </w:r>
          </w:p>
        </w:tc>
        <w:tc>
          <w:tcPr>
            <w:tcW w:w="700" w:type="pct"/>
            <w:tcBorders>
              <w:top w:val="single" w:sz="4" w:space="0" w:color="auto"/>
              <w:left w:val="single" w:sz="4" w:space="0" w:color="auto"/>
              <w:bottom w:val="single" w:sz="4" w:space="0" w:color="auto"/>
              <w:right w:val="single" w:sz="4" w:space="0" w:color="auto"/>
            </w:tcBorders>
          </w:tcPr>
          <w:p w14:paraId="6D42C14F" w14:textId="77777777" w:rsidR="008E67EA" w:rsidRPr="000557B9" w:rsidRDefault="008E67EA" w:rsidP="00B44A74">
            <w:pPr>
              <w:pStyle w:val="APVMATableText"/>
              <w:spacing w:before="0" w:after="0"/>
              <w:rPr>
                <w:color w:val="000000" w:themeColor="text1"/>
              </w:rPr>
            </w:pPr>
            <w:r w:rsidRPr="000557B9">
              <w:rPr>
                <w:color w:val="000000" w:themeColor="text1"/>
              </w:rPr>
              <w:t>1000-fold</w:t>
            </w:r>
          </w:p>
        </w:tc>
      </w:tr>
      <w:tr w:rsidR="008E67EA" w:rsidRPr="000557B9" w14:paraId="12377ABC" w14:textId="77777777" w:rsidTr="00B44A74">
        <w:trPr>
          <w:cantSplit/>
        </w:trPr>
        <w:tc>
          <w:tcPr>
            <w:tcW w:w="860" w:type="pct"/>
            <w:tcBorders>
              <w:top w:val="single" w:sz="4" w:space="0" w:color="auto"/>
              <w:left w:val="single" w:sz="4" w:space="0" w:color="auto"/>
              <w:bottom w:val="single" w:sz="4" w:space="0" w:color="auto"/>
              <w:right w:val="single" w:sz="4" w:space="0" w:color="auto"/>
            </w:tcBorders>
          </w:tcPr>
          <w:p w14:paraId="31BAAF4B" w14:textId="77777777" w:rsidR="008E67EA" w:rsidRPr="000557B9" w:rsidRDefault="008E67EA" w:rsidP="00B44A74">
            <w:pPr>
              <w:pStyle w:val="APVMATableText"/>
              <w:spacing w:before="0" w:after="0"/>
              <w:rPr>
                <w:color w:val="000000" w:themeColor="text1"/>
              </w:rPr>
            </w:pPr>
            <w:r w:rsidRPr="000557B9">
              <w:rPr>
                <w:color w:val="000000" w:themeColor="text1"/>
              </w:rPr>
              <w:t>Diphacinone</w:t>
            </w:r>
          </w:p>
        </w:tc>
        <w:tc>
          <w:tcPr>
            <w:tcW w:w="1095" w:type="pct"/>
            <w:tcBorders>
              <w:top w:val="single" w:sz="4" w:space="0" w:color="auto"/>
              <w:left w:val="single" w:sz="4" w:space="0" w:color="auto"/>
              <w:bottom w:val="single" w:sz="4" w:space="0" w:color="auto"/>
              <w:right w:val="single" w:sz="4" w:space="0" w:color="auto"/>
            </w:tcBorders>
          </w:tcPr>
          <w:p w14:paraId="61E39720" w14:textId="77777777" w:rsidR="008E67EA" w:rsidRPr="000557B9" w:rsidRDefault="008E67EA" w:rsidP="00B44A74">
            <w:pPr>
              <w:pStyle w:val="APVMATableText"/>
              <w:spacing w:before="0" w:after="0"/>
              <w:rPr>
                <w:color w:val="000000" w:themeColor="text1"/>
              </w:rPr>
            </w:pPr>
            <w:r w:rsidRPr="000557B9">
              <w:rPr>
                <w:color w:val="000000" w:themeColor="text1"/>
              </w:rPr>
              <w:t>0.000025</w:t>
            </w:r>
          </w:p>
        </w:tc>
        <w:tc>
          <w:tcPr>
            <w:tcW w:w="2346" w:type="pct"/>
            <w:tcBorders>
              <w:top w:val="single" w:sz="4" w:space="0" w:color="auto"/>
              <w:left w:val="single" w:sz="4" w:space="0" w:color="auto"/>
              <w:bottom w:val="single" w:sz="4" w:space="0" w:color="auto"/>
              <w:right w:val="single" w:sz="4" w:space="0" w:color="auto"/>
            </w:tcBorders>
          </w:tcPr>
          <w:p w14:paraId="7329A061" w14:textId="77777777" w:rsidR="008E67EA" w:rsidRPr="000557B9" w:rsidRDefault="008E67EA" w:rsidP="00B44A74">
            <w:pPr>
              <w:pStyle w:val="APVMATableText"/>
              <w:spacing w:before="0" w:after="0"/>
              <w:rPr>
                <w:color w:val="000000" w:themeColor="text1"/>
              </w:rPr>
            </w:pPr>
            <w:r w:rsidRPr="000557B9">
              <w:rPr>
                <w:color w:val="000000" w:themeColor="text1"/>
              </w:rPr>
              <w:t>NOAEL of 0.025 mg/kg bw/day for increased incidence of maternal toxicity in a rat developmental toxicity study.</w:t>
            </w:r>
          </w:p>
        </w:tc>
        <w:tc>
          <w:tcPr>
            <w:tcW w:w="700" w:type="pct"/>
            <w:tcBorders>
              <w:top w:val="single" w:sz="4" w:space="0" w:color="auto"/>
              <w:left w:val="single" w:sz="4" w:space="0" w:color="auto"/>
              <w:bottom w:val="single" w:sz="4" w:space="0" w:color="auto"/>
              <w:right w:val="single" w:sz="4" w:space="0" w:color="auto"/>
            </w:tcBorders>
          </w:tcPr>
          <w:p w14:paraId="1EFAAFD0" w14:textId="77777777" w:rsidR="008E67EA" w:rsidRPr="000557B9" w:rsidRDefault="008E67EA" w:rsidP="00B44A74">
            <w:pPr>
              <w:pStyle w:val="APVMATableText"/>
              <w:spacing w:before="0" w:after="0"/>
              <w:rPr>
                <w:color w:val="000000" w:themeColor="text1"/>
              </w:rPr>
            </w:pPr>
            <w:r w:rsidRPr="000557B9">
              <w:rPr>
                <w:color w:val="000000" w:themeColor="text1"/>
              </w:rPr>
              <w:t>1000-fold</w:t>
            </w:r>
          </w:p>
        </w:tc>
      </w:tr>
      <w:tr w:rsidR="008E67EA" w:rsidRPr="000557B9" w14:paraId="51EC740B" w14:textId="77777777" w:rsidTr="00B44A74">
        <w:trPr>
          <w:cantSplit/>
        </w:trPr>
        <w:tc>
          <w:tcPr>
            <w:tcW w:w="5000" w:type="pct"/>
            <w:gridSpan w:val="4"/>
            <w:tcBorders>
              <w:top w:val="single" w:sz="4" w:space="0" w:color="auto"/>
              <w:left w:val="single" w:sz="4" w:space="0" w:color="auto"/>
              <w:bottom w:val="single" w:sz="4" w:space="0" w:color="auto"/>
              <w:right w:val="single" w:sz="4" w:space="0" w:color="auto"/>
            </w:tcBorders>
          </w:tcPr>
          <w:p w14:paraId="756C2C4D" w14:textId="77777777" w:rsidR="008E67EA" w:rsidRPr="000557B9" w:rsidRDefault="008E67EA" w:rsidP="00B44A74">
            <w:pPr>
              <w:pStyle w:val="APVMATableText"/>
              <w:spacing w:before="0" w:after="0"/>
              <w:rPr>
                <w:color w:val="000000" w:themeColor="text1"/>
              </w:rPr>
            </w:pPr>
            <w:r w:rsidRPr="000557B9">
              <w:rPr>
                <w:i/>
                <w:iCs/>
                <w:color w:val="000000" w:themeColor="text1"/>
              </w:rPr>
              <w:t>Second generation anticoagulant rodenticides</w:t>
            </w:r>
          </w:p>
        </w:tc>
      </w:tr>
      <w:tr w:rsidR="008E67EA" w:rsidRPr="000557B9" w14:paraId="1D68D0AD" w14:textId="77777777" w:rsidTr="00B44A74">
        <w:trPr>
          <w:cantSplit/>
        </w:trPr>
        <w:tc>
          <w:tcPr>
            <w:tcW w:w="860" w:type="pct"/>
            <w:tcBorders>
              <w:top w:val="single" w:sz="4" w:space="0" w:color="auto"/>
              <w:left w:val="single" w:sz="4" w:space="0" w:color="auto"/>
              <w:bottom w:val="single" w:sz="4" w:space="0" w:color="auto"/>
              <w:right w:val="single" w:sz="4" w:space="0" w:color="auto"/>
            </w:tcBorders>
          </w:tcPr>
          <w:p w14:paraId="772C9D63" w14:textId="77777777" w:rsidR="008E67EA" w:rsidRPr="000557B9" w:rsidRDefault="008E67EA" w:rsidP="00B44A74">
            <w:pPr>
              <w:pStyle w:val="APVMATableText"/>
              <w:spacing w:before="0" w:after="0"/>
              <w:rPr>
                <w:color w:val="000000" w:themeColor="text1"/>
              </w:rPr>
            </w:pPr>
            <w:r w:rsidRPr="000557B9">
              <w:rPr>
                <w:color w:val="000000" w:themeColor="text1"/>
              </w:rPr>
              <w:t>Brodifacoum</w:t>
            </w:r>
          </w:p>
        </w:tc>
        <w:tc>
          <w:tcPr>
            <w:tcW w:w="1095" w:type="pct"/>
            <w:tcBorders>
              <w:top w:val="single" w:sz="4" w:space="0" w:color="auto"/>
              <w:left w:val="single" w:sz="4" w:space="0" w:color="auto"/>
              <w:bottom w:val="single" w:sz="4" w:space="0" w:color="auto"/>
              <w:right w:val="single" w:sz="4" w:space="0" w:color="auto"/>
            </w:tcBorders>
          </w:tcPr>
          <w:p w14:paraId="059EE58A" w14:textId="77777777" w:rsidR="008E67EA" w:rsidRPr="000557B9" w:rsidRDefault="008E67EA" w:rsidP="00B44A74">
            <w:pPr>
              <w:pStyle w:val="APVMATableText"/>
              <w:spacing w:before="0" w:after="0"/>
              <w:rPr>
                <w:color w:val="000000" w:themeColor="text1"/>
              </w:rPr>
            </w:pPr>
            <w:r w:rsidRPr="000557B9">
              <w:rPr>
                <w:rFonts w:cs="Times New Roman"/>
                <w:color w:val="000000" w:themeColor="text1"/>
              </w:rPr>
              <w:t>0.000001</w:t>
            </w:r>
          </w:p>
        </w:tc>
        <w:tc>
          <w:tcPr>
            <w:tcW w:w="2346" w:type="pct"/>
            <w:tcBorders>
              <w:top w:val="single" w:sz="4" w:space="0" w:color="auto"/>
              <w:left w:val="single" w:sz="4" w:space="0" w:color="auto"/>
              <w:bottom w:val="single" w:sz="4" w:space="0" w:color="auto"/>
              <w:right w:val="single" w:sz="4" w:space="0" w:color="auto"/>
            </w:tcBorders>
          </w:tcPr>
          <w:p w14:paraId="3BD89B4D" w14:textId="77777777" w:rsidR="008E67EA" w:rsidRPr="000557B9" w:rsidRDefault="008E67EA" w:rsidP="00B44A74">
            <w:pPr>
              <w:pStyle w:val="APVMATableText"/>
              <w:spacing w:before="0" w:after="0"/>
              <w:rPr>
                <w:color w:val="000000" w:themeColor="text1"/>
              </w:rPr>
            </w:pPr>
            <w:r w:rsidRPr="000557B9">
              <w:rPr>
                <w:color w:val="000000" w:themeColor="text1"/>
              </w:rPr>
              <w:t>NOAEL of 0.001 mg/kg bw/day for prolonged prothrombin time in a 90-day dietary toxicity study in rats.</w:t>
            </w:r>
          </w:p>
        </w:tc>
        <w:tc>
          <w:tcPr>
            <w:tcW w:w="700" w:type="pct"/>
            <w:tcBorders>
              <w:top w:val="single" w:sz="4" w:space="0" w:color="auto"/>
              <w:left w:val="single" w:sz="4" w:space="0" w:color="auto"/>
              <w:bottom w:val="single" w:sz="4" w:space="0" w:color="auto"/>
              <w:right w:val="single" w:sz="4" w:space="0" w:color="auto"/>
            </w:tcBorders>
          </w:tcPr>
          <w:p w14:paraId="7FCAAD57" w14:textId="77777777" w:rsidR="008E67EA" w:rsidRPr="000557B9" w:rsidRDefault="008E67EA" w:rsidP="00B44A74">
            <w:pPr>
              <w:pStyle w:val="APVMATableText"/>
              <w:spacing w:before="0" w:after="0"/>
              <w:rPr>
                <w:color w:val="000000" w:themeColor="text1"/>
              </w:rPr>
            </w:pPr>
            <w:r w:rsidRPr="000557B9">
              <w:rPr>
                <w:color w:val="000000" w:themeColor="text1"/>
              </w:rPr>
              <w:t>1000-fold</w:t>
            </w:r>
          </w:p>
        </w:tc>
      </w:tr>
      <w:tr w:rsidR="008E67EA" w:rsidRPr="000557B9" w14:paraId="6BAD8AA6" w14:textId="77777777" w:rsidTr="00B44A74">
        <w:trPr>
          <w:cantSplit/>
        </w:trPr>
        <w:tc>
          <w:tcPr>
            <w:tcW w:w="860" w:type="pct"/>
            <w:tcBorders>
              <w:top w:val="single" w:sz="4" w:space="0" w:color="auto"/>
              <w:left w:val="single" w:sz="4" w:space="0" w:color="auto"/>
              <w:bottom w:val="single" w:sz="4" w:space="0" w:color="auto"/>
              <w:right w:val="single" w:sz="4" w:space="0" w:color="auto"/>
            </w:tcBorders>
          </w:tcPr>
          <w:p w14:paraId="591A503E" w14:textId="77777777" w:rsidR="008E67EA" w:rsidRPr="000557B9" w:rsidRDefault="008E67EA" w:rsidP="00B44A74">
            <w:pPr>
              <w:pStyle w:val="APVMATableText"/>
              <w:spacing w:before="0" w:after="0"/>
              <w:rPr>
                <w:color w:val="000000" w:themeColor="text1"/>
              </w:rPr>
            </w:pPr>
            <w:r w:rsidRPr="000557B9">
              <w:rPr>
                <w:color w:val="000000" w:themeColor="text1"/>
              </w:rPr>
              <w:t>Bromadiolone</w:t>
            </w:r>
          </w:p>
        </w:tc>
        <w:tc>
          <w:tcPr>
            <w:tcW w:w="1095" w:type="pct"/>
            <w:tcBorders>
              <w:top w:val="single" w:sz="4" w:space="0" w:color="auto"/>
              <w:left w:val="single" w:sz="4" w:space="0" w:color="auto"/>
              <w:bottom w:val="single" w:sz="4" w:space="0" w:color="auto"/>
              <w:right w:val="single" w:sz="4" w:space="0" w:color="auto"/>
            </w:tcBorders>
          </w:tcPr>
          <w:p w14:paraId="61853ABB" w14:textId="77777777" w:rsidR="008E67EA" w:rsidRPr="000557B9" w:rsidRDefault="008E67EA" w:rsidP="00B44A74">
            <w:pPr>
              <w:pStyle w:val="APVMATableText"/>
              <w:spacing w:before="0" w:after="0"/>
              <w:rPr>
                <w:color w:val="000000" w:themeColor="text1"/>
              </w:rPr>
            </w:pPr>
            <w:r w:rsidRPr="000557B9">
              <w:rPr>
                <w:color w:val="000000" w:themeColor="text1"/>
              </w:rPr>
              <w:t>0.0000005</w:t>
            </w:r>
          </w:p>
        </w:tc>
        <w:tc>
          <w:tcPr>
            <w:tcW w:w="2346" w:type="pct"/>
            <w:tcBorders>
              <w:top w:val="single" w:sz="4" w:space="0" w:color="auto"/>
              <w:left w:val="single" w:sz="4" w:space="0" w:color="auto"/>
              <w:bottom w:val="single" w:sz="4" w:space="0" w:color="auto"/>
              <w:right w:val="single" w:sz="4" w:space="0" w:color="auto"/>
            </w:tcBorders>
          </w:tcPr>
          <w:p w14:paraId="4F2AFA77" w14:textId="77777777" w:rsidR="008E67EA" w:rsidRPr="000557B9" w:rsidRDefault="008E67EA" w:rsidP="00B44A74">
            <w:pPr>
              <w:pStyle w:val="APVMATableText"/>
              <w:spacing w:before="0" w:after="0"/>
              <w:rPr>
                <w:color w:val="000000" w:themeColor="text1"/>
              </w:rPr>
            </w:pPr>
            <w:r w:rsidRPr="000557B9">
              <w:rPr>
                <w:color w:val="000000" w:themeColor="text1"/>
              </w:rPr>
              <w:t>NOAEL of 0.0005 mg/kg bw/day for increased prothrombin time in a subchronic toxicity study in rabbits.</w:t>
            </w:r>
          </w:p>
        </w:tc>
        <w:tc>
          <w:tcPr>
            <w:tcW w:w="700" w:type="pct"/>
            <w:tcBorders>
              <w:top w:val="single" w:sz="4" w:space="0" w:color="auto"/>
              <w:left w:val="single" w:sz="4" w:space="0" w:color="auto"/>
              <w:bottom w:val="single" w:sz="4" w:space="0" w:color="auto"/>
              <w:right w:val="single" w:sz="4" w:space="0" w:color="auto"/>
            </w:tcBorders>
          </w:tcPr>
          <w:p w14:paraId="3ED77B9A" w14:textId="77777777" w:rsidR="008E67EA" w:rsidRPr="000557B9" w:rsidRDefault="008E67EA" w:rsidP="00B44A74">
            <w:pPr>
              <w:pStyle w:val="APVMATableText"/>
              <w:spacing w:before="0" w:after="0"/>
              <w:rPr>
                <w:color w:val="000000" w:themeColor="text1"/>
              </w:rPr>
            </w:pPr>
            <w:r w:rsidRPr="000557B9">
              <w:rPr>
                <w:color w:val="000000" w:themeColor="text1"/>
              </w:rPr>
              <w:t>1000-fold</w:t>
            </w:r>
          </w:p>
        </w:tc>
      </w:tr>
      <w:tr w:rsidR="008E67EA" w:rsidRPr="000557B9" w14:paraId="2372E19F" w14:textId="77777777" w:rsidTr="00B44A74">
        <w:trPr>
          <w:cantSplit/>
        </w:trPr>
        <w:tc>
          <w:tcPr>
            <w:tcW w:w="860" w:type="pct"/>
            <w:tcBorders>
              <w:top w:val="single" w:sz="4" w:space="0" w:color="auto"/>
              <w:left w:val="single" w:sz="4" w:space="0" w:color="auto"/>
              <w:right w:val="single" w:sz="4" w:space="0" w:color="auto"/>
            </w:tcBorders>
          </w:tcPr>
          <w:p w14:paraId="7BACFBFC" w14:textId="77777777" w:rsidR="008E67EA" w:rsidRPr="000557B9" w:rsidRDefault="008E67EA" w:rsidP="00B44A74">
            <w:pPr>
              <w:pStyle w:val="APVMATableText"/>
              <w:spacing w:before="0" w:after="0"/>
              <w:rPr>
                <w:color w:val="000000" w:themeColor="text1"/>
              </w:rPr>
            </w:pPr>
            <w:r w:rsidRPr="000557B9">
              <w:rPr>
                <w:color w:val="000000" w:themeColor="text1"/>
              </w:rPr>
              <w:t>Difenacoum</w:t>
            </w:r>
          </w:p>
        </w:tc>
        <w:tc>
          <w:tcPr>
            <w:tcW w:w="1095" w:type="pct"/>
            <w:tcBorders>
              <w:top w:val="single" w:sz="4" w:space="0" w:color="auto"/>
              <w:left w:val="single" w:sz="4" w:space="0" w:color="auto"/>
              <w:bottom w:val="single" w:sz="4" w:space="0" w:color="auto"/>
              <w:right w:val="single" w:sz="4" w:space="0" w:color="auto"/>
            </w:tcBorders>
          </w:tcPr>
          <w:p w14:paraId="364BF227" w14:textId="77777777" w:rsidR="008E67EA" w:rsidRPr="000557B9" w:rsidRDefault="008E67EA" w:rsidP="00B44A74">
            <w:pPr>
              <w:pStyle w:val="APVMATableText"/>
              <w:spacing w:before="0" w:after="0"/>
              <w:rPr>
                <w:color w:val="000000" w:themeColor="text1"/>
              </w:rPr>
            </w:pPr>
            <w:r w:rsidRPr="000557B9">
              <w:rPr>
                <w:color w:val="000000" w:themeColor="text1"/>
              </w:rPr>
              <w:t>0.000001</w:t>
            </w:r>
          </w:p>
        </w:tc>
        <w:tc>
          <w:tcPr>
            <w:tcW w:w="2346" w:type="pct"/>
            <w:tcBorders>
              <w:top w:val="single" w:sz="4" w:space="0" w:color="auto"/>
              <w:left w:val="single" w:sz="4" w:space="0" w:color="auto"/>
              <w:bottom w:val="single" w:sz="4" w:space="0" w:color="auto"/>
              <w:right w:val="single" w:sz="4" w:space="0" w:color="auto"/>
            </w:tcBorders>
          </w:tcPr>
          <w:p w14:paraId="1A958289" w14:textId="77777777" w:rsidR="008E67EA" w:rsidRPr="000557B9" w:rsidRDefault="008E67EA" w:rsidP="00B44A74">
            <w:pPr>
              <w:pStyle w:val="APVMATableText"/>
              <w:spacing w:before="0" w:after="0"/>
              <w:rPr>
                <w:color w:val="000000" w:themeColor="text1"/>
              </w:rPr>
            </w:pPr>
            <w:r w:rsidRPr="000557B9">
              <w:rPr>
                <w:color w:val="000000" w:themeColor="text1"/>
              </w:rPr>
              <w:t>LOAEL of 0.001 mg/kg bw/day for haemorrhage in multiple tissues/organs in a developmental toxicity study in rabbits.</w:t>
            </w:r>
          </w:p>
        </w:tc>
        <w:tc>
          <w:tcPr>
            <w:tcW w:w="700" w:type="pct"/>
            <w:tcBorders>
              <w:top w:val="single" w:sz="4" w:space="0" w:color="auto"/>
              <w:left w:val="single" w:sz="4" w:space="0" w:color="auto"/>
              <w:bottom w:val="single" w:sz="4" w:space="0" w:color="auto"/>
              <w:right w:val="single" w:sz="4" w:space="0" w:color="auto"/>
            </w:tcBorders>
          </w:tcPr>
          <w:p w14:paraId="74BD765E" w14:textId="77777777" w:rsidR="008E67EA" w:rsidRPr="000557B9" w:rsidRDefault="008E67EA" w:rsidP="00B44A74">
            <w:pPr>
              <w:pStyle w:val="APVMATableText"/>
              <w:spacing w:before="0" w:after="0"/>
              <w:rPr>
                <w:color w:val="000000" w:themeColor="text1"/>
              </w:rPr>
            </w:pPr>
            <w:r w:rsidRPr="000557B9">
              <w:rPr>
                <w:color w:val="000000" w:themeColor="text1"/>
              </w:rPr>
              <w:t>1000-fold</w:t>
            </w:r>
          </w:p>
        </w:tc>
      </w:tr>
      <w:tr w:rsidR="008E67EA" w:rsidRPr="000557B9" w14:paraId="5C29C515" w14:textId="77777777" w:rsidTr="00B44A74">
        <w:trPr>
          <w:cantSplit/>
        </w:trPr>
        <w:tc>
          <w:tcPr>
            <w:tcW w:w="860" w:type="pct"/>
            <w:tcBorders>
              <w:top w:val="single" w:sz="4" w:space="0" w:color="auto"/>
              <w:left w:val="single" w:sz="4" w:space="0" w:color="auto"/>
              <w:bottom w:val="single" w:sz="4" w:space="0" w:color="auto"/>
              <w:right w:val="single" w:sz="4" w:space="0" w:color="auto"/>
            </w:tcBorders>
          </w:tcPr>
          <w:p w14:paraId="094652C7" w14:textId="77777777" w:rsidR="008E67EA" w:rsidRPr="000557B9" w:rsidRDefault="008E67EA" w:rsidP="00B44A74">
            <w:pPr>
              <w:pStyle w:val="APVMATableText"/>
              <w:spacing w:before="0" w:after="0"/>
              <w:rPr>
                <w:color w:val="000000" w:themeColor="text1"/>
              </w:rPr>
            </w:pPr>
            <w:r w:rsidRPr="000557B9">
              <w:rPr>
                <w:color w:val="000000" w:themeColor="text1"/>
              </w:rPr>
              <w:t>Difethialone</w:t>
            </w:r>
          </w:p>
        </w:tc>
        <w:tc>
          <w:tcPr>
            <w:tcW w:w="1095" w:type="pct"/>
            <w:tcBorders>
              <w:top w:val="single" w:sz="4" w:space="0" w:color="auto"/>
              <w:left w:val="single" w:sz="4" w:space="0" w:color="auto"/>
              <w:bottom w:val="single" w:sz="4" w:space="0" w:color="auto"/>
              <w:right w:val="single" w:sz="4" w:space="0" w:color="auto"/>
            </w:tcBorders>
          </w:tcPr>
          <w:p w14:paraId="69E250BE" w14:textId="77777777" w:rsidR="008E67EA" w:rsidRPr="000557B9" w:rsidRDefault="008E67EA" w:rsidP="00B44A74">
            <w:pPr>
              <w:pStyle w:val="APVMATableText"/>
              <w:spacing w:before="0" w:after="0"/>
              <w:rPr>
                <w:color w:val="000000" w:themeColor="text1"/>
              </w:rPr>
            </w:pPr>
            <w:r w:rsidRPr="000557B9">
              <w:rPr>
                <w:color w:val="000000" w:themeColor="text1"/>
              </w:rPr>
              <w:t>0.0000013</w:t>
            </w:r>
          </w:p>
        </w:tc>
        <w:tc>
          <w:tcPr>
            <w:tcW w:w="2346" w:type="pct"/>
            <w:tcBorders>
              <w:top w:val="single" w:sz="4" w:space="0" w:color="auto"/>
              <w:left w:val="single" w:sz="4" w:space="0" w:color="auto"/>
              <w:bottom w:val="single" w:sz="4" w:space="0" w:color="auto"/>
              <w:right w:val="single" w:sz="4" w:space="0" w:color="auto"/>
            </w:tcBorders>
          </w:tcPr>
          <w:p w14:paraId="2A40688F" w14:textId="77777777" w:rsidR="008E67EA" w:rsidRPr="000557B9" w:rsidRDefault="008E67EA" w:rsidP="00B44A74">
            <w:pPr>
              <w:pStyle w:val="APVMATableText"/>
              <w:spacing w:before="0" w:after="0"/>
              <w:rPr>
                <w:color w:val="000000" w:themeColor="text1"/>
              </w:rPr>
            </w:pPr>
            <w:r w:rsidRPr="000557B9">
              <w:rPr>
                <w:color w:val="000000" w:themeColor="text1"/>
              </w:rPr>
              <w:t>NOAEL of 0.00125 mg/kg bw/day for incidence of incompletely ossified sternebrae from a developmental toxicity study in rabbits.</w:t>
            </w:r>
          </w:p>
        </w:tc>
        <w:tc>
          <w:tcPr>
            <w:tcW w:w="700" w:type="pct"/>
            <w:tcBorders>
              <w:top w:val="single" w:sz="4" w:space="0" w:color="auto"/>
              <w:left w:val="single" w:sz="4" w:space="0" w:color="auto"/>
              <w:bottom w:val="single" w:sz="4" w:space="0" w:color="auto"/>
              <w:right w:val="single" w:sz="4" w:space="0" w:color="auto"/>
            </w:tcBorders>
          </w:tcPr>
          <w:p w14:paraId="03F80022" w14:textId="77777777" w:rsidR="008E67EA" w:rsidRPr="000557B9" w:rsidRDefault="008E67EA" w:rsidP="00B44A74">
            <w:pPr>
              <w:pStyle w:val="APVMATableText"/>
              <w:spacing w:before="0" w:after="0"/>
              <w:rPr>
                <w:color w:val="000000" w:themeColor="text1"/>
              </w:rPr>
            </w:pPr>
            <w:r w:rsidRPr="000557B9">
              <w:rPr>
                <w:color w:val="000000" w:themeColor="text1"/>
              </w:rPr>
              <w:t>1000-fold</w:t>
            </w:r>
          </w:p>
        </w:tc>
      </w:tr>
      <w:tr w:rsidR="008E67EA" w:rsidRPr="000557B9" w14:paraId="4BE1DE31" w14:textId="77777777" w:rsidTr="00B44A74">
        <w:trPr>
          <w:cantSplit/>
        </w:trPr>
        <w:tc>
          <w:tcPr>
            <w:tcW w:w="860" w:type="pct"/>
            <w:tcBorders>
              <w:top w:val="single" w:sz="4" w:space="0" w:color="auto"/>
              <w:left w:val="single" w:sz="4" w:space="0" w:color="auto"/>
              <w:bottom w:val="single" w:sz="4" w:space="0" w:color="auto"/>
              <w:right w:val="single" w:sz="4" w:space="0" w:color="auto"/>
            </w:tcBorders>
          </w:tcPr>
          <w:p w14:paraId="497AA154" w14:textId="77777777" w:rsidR="008E67EA" w:rsidRPr="000557B9" w:rsidRDefault="008E67EA" w:rsidP="00B44A74">
            <w:pPr>
              <w:pStyle w:val="APVMATableText"/>
              <w:spacing w:before="0" w:after="0"/>
              <w:rPr>
                <w:color w:val="000000" w:themeColor="text1"/>
              </w:rPr>
            </w:pPr>
            <w:r w:rsidRPr="000557B9">
              <w:rPr>
                <w:color w:val="000000" w:themeColor="text1"/>
              </w:rPr>
              <w:t>Flocoumafen</w:t>
            </w:r>
          </w:p>
        </w:tc>
        <w:tc>
          <w:tcPr>
            <w:tcW w:w="1095" w:type="pct"/>
            <w:tcBorders>
              <w:top w:val="single" w:sz="4" w:space="0" w:color="auto"/>
              <w:left w:val="single" w:sz="4" w:space="0" w:color="auto"/>
              <w:bottom w:val="single" w:sz="4" w:space="0" w:color="auto"/>
              <w:right w:val="single" w:sz="4" w:space="0" w:color="auto"/>
            </w:tcBorders>
          </w:tcPr>
          <w:p w14:paraId="008BE02C" w14:textId="77777777" w:rsidR="008E67EA" w:rsidRPr="000557B9" w:rsidRDefault="008E67EA" w:rsidP="00B44A74">
            <w:pPr>
              <w:pStyle w:val="APVMATableText"/>
              <w:spacing w:before="0" w:after="0"/>
              <w:rPr>
                <w:color w:val="000000" w:themeColor="text1"/>
              </w:rPr>
            </w:pPr>
            <w:r w:rsidRPr="000557B9">
              <w:rPr>
                <w:color w:val="000000" w:themeColor="text1"/>
              </w:rPr>
              <w:t>0.0000014</w:t>
            </w:r>
          </w:p>
        </w:tc>
        <w:tc>
          <w:tcPr>
            <w:tcW w:w="2346" w:type="pct"/>
            <w:tcBorders>
              <w:top w:val="single" w:sz="4" w:space="0" w:color="auto"/>
              <w:left w:val="single" w:sz="4" w:space="0" w:color="auto"/>
              <w:bottom w:val="single" w:sz="4" w:space="0" w:color="auto"/>
              <w:right w:val="single" w:sz="4" w:space="0" w:color="auto"/>
            </w:tcBorders>
          </w:tcPr>
          <w:p w14:paraId="1123A47F" w14:textId="3BA7B554" w:rsidR="008E67EA" w:rsidRPr="000557B9" w:rsidRDefault="008E67EA" w:rsidP="00B44A74">
            <w:pPr>
              <w:pStyle w:val="APVMATableText"/>
              <w:spacing w:before="0" w:after="0"/>
              <w:rPr>
                <w:color w:val="000000" w:themeColor="text1"/>
              </w:rPr>
            </w:pPr>
            <w:r w:rsidRPr="000557B9">
              <w:rPr>
                <w:color w:val="000000" w:themeColor="text1"/>
              </w:rPr>
              <w:t>NOAEL of 0.0014 mg/kg bw/day for incidence of increased levels of serum cholesterol from a subchronic dietary toxicity study in rats.</w:t>
            </w:r>
          </w:p>
        </w:tc>
        <w:tc>
          <w:tcPr>
            <w:tcW w:w="700" w:type="pct"/>
            <w:tcBorders>
              <w:top w:val="single" w:sz="4" w:space="0" w:color="auto"/>
              <w:left w:val="single" w:sz="4" w:space="0" w:color="auto"/>
              <w:bottom w:val="single" w:sz="4" w:space="0" w:color="auto"/>
              <w:right w:val="single" w:sz="4" w:space="0" w:color="auto"/>
            </w:tcBorders>
          </w:tcPr>
          <w:p w14:paraId="1F6A4B92" w14:textId="77777777" w:rsidR="008E67EA" w:rsidRPr="000557B9" w:rsidRDefault="008E67EA" w:rsidP="00B44A74">
            <w:pPr>
              <w:pStyle w:val="APVMATableText"/>
              <w:spacing w:before="0" w:after="0"/>
              <w:rPr>
                <w:color w:val="000000" w:themeColor="text1"/>
              </w:rPr>
            </w:pPr>
            <w:r w:rsidRPr="000557B9">
              <w:rPr>
                <w:color w:val="000000" w:themeColor="text1"/>
              </w:rPr>
              <w:t>1000-fold</w:t>
            </w:r>
          </w:p>
        </w:tc>
      </w:tr>
    </w:tbl>
    <w:p w14:paraId="3315DE32" w14:textId="495EE5AB" w:rsidR="008E67EA" w:rsidRPr="000557B9" w:rsidRDefault="008E67EA">
      <w:pPr>
        <w:pStyle w:val="NumberLevel2"/>
        <w:numPr>
          <w:ilvl w:val="1"/>
          <w:numId w:val="17"/>
        </w:numPr>
        <w:ind w:left="1134"/>
        <w:rPr>
          <w:color w:val="000000" w:themeColor="text1"/>
        </w:rPr>
      </w:pPr>
      <w:r w:rsidRPr="000557B9">
        <w:rPr>
          <w:color w:val="000000" w:themeColor="text1"/>
        </w:rPr>
        <w:t xml:space="preserve">Second-generation anticoagulant rodenticides are designed to effectively control rodents after one feed and therefore pose an acute </w:t>
      </w:r>
      <w:r w:rsidRPr="00D869C6">
        <w:rPr>
          <w:color w:val="000000" w:themeColor="text1"/>
        </w:rPr>
        <w:t>poisoning risk. As such, acute tolerable intakes</w:t>
      </w:r>
      <w:r w:rsidRPr="00D869C6">
        <w:rPr>
          <w:rStyle w:val="FootnoteReference"/>
          <w:color w:val="000000" w:themeColor="text1"/>
        </w:rPr>
        <w:footnoteReference w:id="10"/>
      </w:r>
      <w:r w:rsidRPr="00D869C6">
        <w:rPr>
          <w:color w:val="000000" w:themeColor="text1"/>
        </w:rPr>
        <w:t xml:space="preserve"> for second-generation anticoagulant rodenticides are relevant to my considerations of any potential acute dietary risks associated with chemical contaminants that may enter the food chain. I consider that the acute tolerable intakes for the second-generation anticoagulant rodenticides listed in</w:t>
      </w:r>
      <w:r>
        <w:rPr>
          <w:color w:val="000000" w:themeColor="text1"/>
        </w:rPr>
        <w:t xml:space="preserve"> </w:t>
      </w:r>
      <w:r>
        <w:rPr>
          <w:color w:val="000000" w:themeColor="text1"/>
        </w:rPr>
        <w:fldChar w:fldCharType="begin"/>
      </w:r>
      <w:r>
        <w:rPr>
          <w:color w:val="000000" w:themeColor="text1"/>
        </w:rPr>
        <w:instrText xml:space="preserve"> REF _Ref216070443 \h </w:instrText>
      </w:r>
      <w:r>
        <w:rPr>
          <w:color w:val="000000" w:themeColor="text1"/>
        </w:rPr>
      </w:r>
      <w:r>
        <w:rPr>
          <w:color w:val="000000" w:themeColor="text1"/>
        </w:rPr>
        <w:fldChar w:fldCharType="separate"/>
      </w:r>
      <w:r w:rsidR="002C0C2A" w:rsidRPr="00B33ED7">
        <w:t xml:space="preserve">Table </w:t>
      </w:r>
      <w:r w:rsidR="002C0C2A">
        <w:rPr>
          <w:noProof/>
        </w:rPr>
        <w:t>16</w:t>
      </w:r>
      <w:r>
        <w:rPr>
          <w:color w:val="000000" w:themeColor="text1"/>
        </w:rPr>
        <w:fldChar w:fldCharType="end"/>
      </w:r>
      <w:r w:rsidRPr="00D869C6">
        <w:rPr>
          <w:color w:val="000000" w:themeColor="text1"/>
        </w:rPr>
        <w:t xml:space="preserve"> are appropriate, noting the NOAEL (or LOAEL) from developmental toxicology studies have been selected as the effects observed could feasibly result from acute exposure, use of a standard 100-fold UF to account for inter-species extrapolation and intra-species variability in response, and use of an a</w:t>
      </w:r>
      <w:r w:rsidRPr="000557B9">
        <w:rPr>
          <w:color w:val="000000" w:themeColor="text1"/>
        </w:rPr>
        <w:t>dditional 3-fold UF where the acute tolerable intakes has been derived from a LOAEL.</w:t>
      </w:r>
    </w:p>
    <w:p w14:paraId="68FA04F8" w14:textId="2F88235B" w:rsidR="008E67EA" w:rsidRPr="00B33ED7" w:rsidRDefault="008E67EA" w:rsidP="00B33ED7">
      <w:pPr>
        <w:pStyle w:val="Caption"/>
        <w:ind w:left="567"/>
      </w:pPr>
      <w:bookmarkStart w:id="247" w:name="_Ref216070443"/>
      <w:r w:rsidRPr="00B33ED7">
        <w:t xml:space="preserve">Table </w:t>
      </w:r>
      <w:r w:rsidRPr="00B33ED7">
        <w:fldChar w:fldCharType="begin"/>
      </w:r>
      <w:r w:rsidRPr="00B33ED7">
        <w:instrText xml:space="preserve"> SEQ Table \* ARABIC </w:instrText>
      </w:r>
      <w:r w:rsidRPr="00B33ED7">
        <w:fldChar w:fldCharType="separate"/>
      </w:r>
      <w:r w:rsidR="002C0C2A">
        <w:rPr>
          <w:noProof/>
        </w:rPr>
        <w:t>16</w:t>
      </w:r>
      <w:r w:rsidRPr="00B33ED7">
        <w:fldChar w:fldCharType="end"/>
      </w:r>
      <w:bookmarkEnd w:id="247"/>
      <w:r w:rsidRPr="00B33ED7">
        <w:t>: Acute tolerable intake for second generation anticoagulant rodenticides</w:t>
      </w: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559"/>
        <w:gridCol w:w="1703"/>
        <w:gridCol w:w="4535"/>
        <w:gridCol w:w="1269"/>
      </w:tblGrid>
      <w:tr w:rsidR="008E67EA" w:rsidRPr="000557B9" w14:paraId="5629263A" w14:textId="77777777" w:rsidTr="00B44A74">
        <w:trPr>
          <w:cantSplit/>
          <w:tblHeader/>
        </w:trPr>
        <w:tc>
          <w:tcPr>
            <w:tcW w:w="860" w:type="pct"/>
            <w:tcBorders>
              <w:top w:val="single" w:sz="4" w:space="0" w:color="auto"/>
              <w:left w:val="single" w:sz="4" w:space="0" w:color="auto"/>
              <w:bottom w:val="single" w:sz="4" w:space="0" w:color="auto"/>
              <w:right w:val="single" w:sz="4" w:space="0" w:color="auto"/>
            </w:tcBorders>
            <w:shd w:val="clear" w:color="auto" w:fill="E6E6E6"/>
            <w:hideMark/>
          </w:tcPr>
          <w:p w14:paraId="5A9D9202" w14:textId="77777777" w:rsidR="008E67EA" w:rsidRPr="000557B9" w:rsidRDefault="008E67EA" w:rsidP="00B44A74">
            <w:pPr>
              <w:pStyle w:val="TableHead"/>
              <w:spacing w:before="0" w:after="0"/>
              <w:rPr>
                <w:color w:val="000000" w:themeColor="text1"/>
              </w:rPr>
            </w:pPr>
            <w:r w:rsidRPr="000557B9">
              <w:rPr>
                <w:color w:val="000000" w:themeColor="text1"/>
              </w:rPr>
              <w:t>Active</w:t>
            </w:r>
          </w:p>
        </w:tc>
        <w:tc>
          <w:tcPr>
            <w:tcW w:w="939" w:type="pct"/>
            <w:tcBorders>
              <w:top w:val="single" w:sz="4" w:space="0" w:color="auto"/>
              <w:left w:val="single" w:sz="4" w:space="0" w:color="auto"/>
              <w:bottom w:val="single" w:sz="4" w:space="0" w:color="auto"/>
              <w:right w:val="single" w:sz="4" w:space="0" w:color="auto"/>
            </w:tcBorders>
            <w:shd w:val="clear" w:color="auto" w:fill="E6E6E6"/>
          </w:tcPr>
          <w:p w14:paraId="69F7307D" w14:textId="77777777" w:rsidR="008E67EA" w:rsidRPr="000557B9" w:rsidRDefault="008E67EA" w:rsidP="00B44A74">
            <w:pPr>
              <w:pStyle w:val="TableHead"/>
              <w:spacing w:before="0" w:after="0"/>
              <w:rPr>
                <w:color w:val="000000" w:themeColor="text1"/>
              </w:rPr>
            </w:pPr>
            <w:r w:rsidRPr="000557B9">
              <w:rPr>
                <w:color w:val="000000" w:themeColor="text1"/>
              </w:rPr>
              <w:t>Acute tolerable intake (mg/kg bw)</w:t>
            </w:r>
          </w:p>
        </w:tc>
        <w:tc>
          <w:tcPr>
            <w:tcW w:w="2501" w:type="pct"/>
            <w:tcBorders>
              <w:top w:val="single" w:sz="4" w:space="0" w:color="auto"/>
              <w:left w:val="single" w:sz="4" w:space="0" w:color="auto"/>
              <w:bottom w:val="single" w:sz="4" w:space="0" w:color="auto"/>
              <w:right w:val="single" w:sz="4" w:space="0" w:color="auto"/>
            </w:tcBorders>
            <w:shd w:val="clear" w:color="auto" w:fill="E6E6E6"/>
          </w:tcPr>
          <w:p w14:paraId="4B0C1C7A" w14:textId="77777777" w:rsidR="008E67EA" w:rsidRPr="000557B9" w:rsidRDefault="008E67EA" w:rsidP="00B44A74">
            <w:pPr>
              <w:pStyle w:val="TableHead"/>
              <w:spacing w:before="0" w:after="0"/>
              <w:rPr>
                <w:color w:val="000000" w:themeColor="text1"/>
              </w:rPr>
            </w:pPr>
            <w:r w:rsidRPr="000557B9">
              <w:rPr>
                <w:color w:val="000000" w:themeColor="text1"/>
              </w:rPr>
              <w:t>Study</w:t>
            </w:r>
          </w:p>
        </w:tc>
        <w:tc>
          <w:tcPr>
            <w:tcW w:w="700" w:type="pct"/>
            <w:tcBorders>
              <w:top w:val="single" w:sz="4" w:space="0" w:color="auto"/>
              <w:left w:val="single" w:sz="4" w:space="0" w:color="auto"/>
              <w:bottom w:val="single" w:sz="4" w:space="0" w:color="auto"/>
              <w:right w:val="single" w:sz="4" w:space="0" w:color="auto"/>
            </w:tcBorders>
            <w:shd w:val="clear" w:color="auto" w:fill="E6E6E6"/>
          </w:tcPr>
          <w:p w14:paraId="2AAD51D5" w14:textId="77777777" w:rsidR="008E67EA" w:rsidRPr="000557B9" w:rsidRDefault="008E67EA" w:rsidP="00B44A74">
            <w:pPr>
              <w:pStyle w:val="TableHead"/>
              <w:spacing w:before="0" w:after="0"/>
              <w:rPr>
                <w:color w:val="000000" w:themeColor="text1"/>
              </w:rPr>
            </w:pPr>
            <w:r w:rsidRPr="000557B9">
              <w:rPr>
                <w:color w:val="000000" w:themeColor="text1"/>
              </w:rPr>
              <w:t>UF</w:t>
            </w:r>
          </w:p>
        </w:tc>
      </w:tr>
      <w:tr w:rsidR="008E67EA" w:rsidRPr="000557B9" w14:paraId="7C86C1D1" w14:textId="77777777" w:rsidTr="00B44A74">
        <w:trPr>
          <w:cantSplit/>
        </w:trPr>
        <w:tc>
          <w:tcPr>
            <w:tcW w:w="860" w:type="pct"/>
            <w:tcBorders>
              <w:top w:val="single" w:sz="4" w:space="0" w:color="auto"/>
              <w:left w:val="single" w:sz="4" w:space="0" w:color="auto"/>
              <w:bottom w:val="single" w:sz="4" w:space="0" w:color="auto"/>
              <w:right w:val="single" w:sz="4" w:space="0" w:color="auto"/>
            </w:tcBorders>
          </w:tcPr>
          <w:p w14:paraId="03AC74B6" w14:textId="77777777" w:rsidR="008E67EA" w:rsidRPr="000557B9" w:rsidRDefault="008E67EA" w:rsidP="00B44A74">
            <w:pPr>
              <w:pStyle w:val="APVMATableText"/>
              <w:spacing w:before="0" w:after="0"/>
              <w:rPr>
                <w:color w:val="000000" w:themeColor="text1"/>
              </w:rPr>
            </w:pPr>
            <w:r w:rsidRPr="000557B9">
              <w:rPr>
                <w:color w:val="000000" w:themeColor="text1"/>
              </w:rPr>
              <w:t>Brodifacoum</w:t>
            </w:r>
          </w:p>
        </w:tc>
        <w:tc>
          <w:tcPr>
            <w:tcW w:w="939" w:type="pct"/>
            <w:tcBorders>
              <w:top w:val="single" w:sz="4" w:space="0" w:color="auto"/>
              <w:left w:val="single" w:sz="4" w:space="0" w:color="auto"/>
              <w:bottom w:val="single" w:sz="4" w:space="0" w:color="auto"/>
              <w:right w:val="single" w:sz="4" w:space="0" w:color="auto"/>
            </w:tcBorders>
          </w:tcPr>
          <w:p w14:paraId="0A062457" w14:textId="77777777" w:rsidR="008E67EA" w:rsidRPr="000557B9" w:rsidRDefault="008E67EA" w:rsidP="00B44A74">
            <w:pPr>
              <w:pStyle w:val="APVMATableText"/>
              <w:spacing w:before="0" w:after="0"/>
              <w:rPr>
                <w:color w:val="000000" w:themeColor="text1"/>
              </w:rPr>
            </w:pPr>
            <w:r w:rsidRPr="000557B9">
              <w:rPr>
                <w:color w:val="000000" w:themeColor="text1"/>
              </w:rPr>
              <w:t>0.00001</w:t>
            </w:r>
          </w:p>
        </w:tc>
        <w:tc>
          <w:tcPr>
            <w:tcW w:w="2501" w:type="pct"/>
            <w:tcBorders>
              <w:top w:val="single" w:sz="4" w:space="0" w:color="auto"/>
              <w:left w:val="single" w:sz="4" w:space="0" w:color="auto"/>
              <w:bottom w:val="single" w:sz="4" w:space="0" w:color="auto"/>
              <w:right w:val="single" w:sz="4" w:space="0" w:color="auto"/>
            </w:tcBorders>
          </w:tcPr>
          <w:p w14:paraId="28ACD641" w14:textId="77777777" w:rsidR="008E67EA" w:rsidRPr="000557B9" w:rsidRDefault="008E67EA" w:rsidP="00B44A74">
            <w:pPr>
              <w:pStyle w:val="APVMATableText"/>
              <w:spacing w:before="0" w:after="0"/>
              <w:rPr>
                <w:color w:val="000000" w:themeColor="text1"/>
              </w:rPr>
            </w:pPr>
            <w:r w:rsidRPr="000557B9">
              <w:rPr>
                <w:color w:val="000000" w:themeColor="text1"/>
              </w:rPr>
              <w:t>NOAEL of 0.001 mg/kg bw/day from both developmental toxicity studies in rats and rabbits.</w:t>
            </w:r>
          </w:p>
        </w:tc>
        <w:tc>
          <w:tcPr>
            <w:tcW w:w="700" w:type="pct"/>
            <w:tcBorders>
              <w:top w:val="single" w:sz="4" w:space="0" w:color="auto"/>
              <w:left w:val="single" w:sz="4" w:space="0" w:color="auto"/>
              <w:bottom w:val="single" w:sz="4" w:space="0" w:color="auto"/>
              <w:right w:val="single" w:sz="4" w:space="0" w:color="auto"/>
            </w:tcBorders>
          </w:tcPr>
          <w:p w14:paraId="09A43B62" w14:textId="77777777" w:rsidR="008E67EA" w:rsidRPr="000557B9" w:rsidRDefault="008E67EA" w:rsidP="00B44A74">
            <w:pPr>
              <w:pStyle w:val="APVMATableText"/>
              <w:spacing w:before="0" w:after="0"/>
              <w:rPr>
                <w:color w:val="000000" w:themeColor="text1"/>
              </w:rPr>
            </w:pPr>
            <w:r w:rsidRPr="000557B9">
              <w:rPr>
                <w:color w:val="000000" w:themeColor="text1"/>
              </w:rPr>
              <w:t>100-fold</w:t>
            </w:r>
          </w:p>
        </w:tc>
      </w:tr>
      <w:tr w:rsidR="008E67EA" w:rsidRPr="000557B9" w14:paraId="2AA8BB07" w14:textId="77777777" w:rsidTr="00B44A74">
        <w:trPr>
          <w:cantSplit/>
        </w:trPr>
        <w:tc>
          <w:tcPr>
            <w:tcW w:w="860" w:type="pct"/>
            <w:tcBorders>
              <w:top w:val="single" w:sz="4" w:space="0" w:color="auto"/>
              <w:left w:val="single" w:sz="4" w:space="0" w:color="auto"/>
              <w:bottom w:val="single" w:sz="4" w:space="0" w:color="auto"/>
              <w:right w:val="single" w:sz="4" w:space="0" w:color="auto"/>
            </w:tcBorders>
          </w:tcPr>
          <w:p w14:paraId="58C65700" w14:textId="77777777" w:rsidR="008E67EA" w:rsidRPr="000557B9" w:rsidRDefault="008E67EA" w:rsidP="00B44A74">
            <w:pPr>
              <w:pStyle w:val="APVMATableText"/>
              <w:spacing w:before="0" w:after="0"/>
              <w:rPr>
                <w:color w:val="000000" w:themeColor="text1"/>
              </w:rPr>
            </w:pPr>
            <w:r w:rsidRPr="000557B9">
              <w:rPr>
                <w:color w:val="000000" w:themeColor="text1"/>
              </w:rPr>
              <w:t>Bromadiolone</w:t>
            </w:r>
          </w:p>
        </w:tc>
        <w:tc>
          <w:tcPr>
            <w:tcW w:w="939" w:type="pct"/>
            <w:tcBorders>
              <w:top w:val="single" w:sz="4" w:space="0" w:color="auto"/>
              <w:left w:val="single" w:sz="4" w:space="0" w:color="auto"/>
              <w:bottom w:val="single" w:sz="4" w:space="0" w:color="auto"/>
              <w:right w:val="single" w:sz="4" w:space="0" w:color="auto"/>
            </w:tcBorders>
          </w:tcPr>
          <w:p w14:paraId="4C048061" w14:textId="77777777" w:rsidR="008E67EA" w:rsidRPr="000557B9" w:rsidRDefault="008E67EA" w:rsidP="00B44A74">
            <w:pPr>
              <w:pStyle w:val="APVMATableText"/>
              <w:spacing w:before="0" w:after="0"/>
              <w:rPr>
                <w:color w:val="000000" w:themeColor="text1"/>
              </w:rPr>
            </w:pPr>
            <w:r w:rsidRPr="000557B9">
              <w:rPr>
                <w:color w:val="000000" w:themeColor="text1"/>
              </w:rPr>
              <w:t>0.0000007</w:t>
            </w:r>
          </w:p>
        </w:tc>
        <w:tc>
          <w:tcPr>
            <w:tcW w:w="2501" w:type="pct"/>
            <w:tcBorders>
              <w:top w:val="single" w:sz="4" w:space="0" w:color="auto"/>
              <w:left w:val="single" w:sz="4" w:space="0" w:color="auto"/>
              <w:bottom w:val="single" w:sz="4" w:space="0" w:color="auto"/>
              <w:right w:val="single" w:sz="4" w:space="0" w:color="auto"/>
            </w:tcBorders>
          </w:tcPr>
          <w:p w14:paraId="63BDD9DC" w14:textId="77777777" w:rsidR="008E67EA" w:rsidRPr="000557B9" w:rsidRDefault="008E67EA" w:rsidP="00B44A74">
            <w:pPr>
              <w:pStyle w:val="APVMATableText"/>
              <w:spacing w:before="0" w:after="0"/>
              <w:rPr>
                <w:color w:val="000000" w:themeColor="text1"/>
              </w:rPr>
            </w:pPr>
            <w:r w:rsidRPr="000557B9">
              <w:rPr>
                <w:color w:val="000000" w:themeColor="text1"/>
              </w:rPr>
              <w:t>LOAEL of 0.002 mg/kg bw/day for maternal toxicity in a developmental toxicity study in rabbits.</w:t>
            </w:r>
          </w:p>
        </w:tc>
        <w:tc>
          <w:tcPr>
            <w:tcW w:w="700" w:type="pct"/>
            <w:tcBorders>
              <w:top w:val="single" w:sz="4" w:space="0" w:color="auto"/>
              <w:left w:val="single" w:sz="4" w:space="0" w:color="auto"/>
              <w:bottom w:val="single" w:sz="4" w:space="0" w:color="auto"/>
              <w:right w:val="single" w:sz="4" w:space="0" w:color="auto"/>
            </w:tcBorders>
          </w:tcPr>
          <w:p w14:paraId="055BB7D9" w14:textId="77777777" w:rsidR="008E67EA" w:rsidRPr="000557B9" w:rsidRDefault="008E67EA" w:rsidP="00B44A74">
            <w:pPr>
              <w:pStyle w:val="APVMATableText"/>
              <w:spacing w:before="0" w:after="0"/>
              <w:rPr>
                <w:color w:val="000000" w:themeColor="text1"/>
              </w:rPr>
            </w:pPr>
            <w:r w:rsidRPr="000557B9">
              <w:rPr>
                <w:color w:val="000000" w:themeColor="text1"/>
              </w:rPr>
              <w:t>300-fold</w:t>
            </w:r>
          </w:p>
        </w:tc>
      </w:tr>
      <w:tr w:rsidR="008E67EA" w:rsidRPr="000557B9" w14:paraId="4F0EE481" w14:textId="77777777" w:rsidTr="00B44A74">
        <w:trPr>
          <w:cantSplit/>
        </w:trPr>
        <w:tc>
          <w:tcPr>
            <w:tcW w:w="860" w:type="pct"/>
            <w:tcBorders>
              <w:top w:val="single" w:sz="4" w:space="0" w:color="auto"/>
              <w:left w:val="single" w:sz="4" w:space="0" w:color="auto"/>
              <w:right w:val="single" w:sz="4" w:space="0" w:color="auto"/>
            </w:tcBorders>
          </w:tcPr>
          <w:p w14:paraId="261BC20D" w14:textId="77777777" w:rsidR="008E67EA" w:rsidRPr="000557B9" w:rsidRDefault="008E67EA" w:rsidP="00B44A74">
            <w:pPr>
              <w:pStyle w:val="APVMATableText"/>
              <w:spacing w:before="0" w:after="0"/>
              <w:rPr>
                <w:color w:val="000000" w:themeColor="text1"/>
              </w:rPr>
            </w:pPr>
            <w:r w:rsidRPr="000557B9">
              <w:rPr>
                <w:color w:val="000000" w:themeColor="text1"/>
              </w:rPr>
              <w:t>Difenacoum</w:t>
            </w:r>
          </w:p>
        </w:tc>
        <w:tc>
          <w:tcPr>
            <w:tcW w:w="939" w:type="pct"/>
            <w:tcBorders>
              <w:top w:val="single" w:sz="4" w:space="0" w:color="auto"/>
              <w:left w:val="single" w:sz="4" w:space="0" w:color="auto"/>
              <w:bottom w:val="single" w:sz="4" w:space="0" w:color="auto"/>
              <w:right w:val="single" w:sz="4" w:space="0" w:color="auto"/>
            </w:tcBorders>
          </w:tcPr>
          <w:p w14:paraId="11F043A5" w14:textId="77777777" w:rsidR="008E67EA" w:rsidRPr="000557B9" w:rsidRDefault="008E67EA" w:rsidP="00B44A74">
            <w:pPr>
              <w:pStyle w:val="APVMATableText"/>
              <w:spacing w:before="0" w:after="0"/>
              <w:rPr>
                <w:color w:val="000000" w:themeColor="text1"/>
              </w:rPr>
            </w:pPr>
            <w:r w:rsidRPr="000557B9">
              <w:rPr>
                <w:color w:val="000000" w:themeColor="text1"/>
              </w:rPr>
              <w:t>0.00003</w:t>
            </w:r>
          </w:p>
        </w:tc>
        <w:tc>
          <w:tcPr>
            <w:tcW w:w="2501" w:type="pct"/>
            <w:tcBorders>
              <w:top w:val="single" w:sz="4" w:space="0" w:color="auto"/>
              <w:left w:val="single" w:sz="4" w:space="0" w:color="auto"/>
              <w:bottom w:val="single" w:sz="4" w:space="0" w:color="auto"/>
              <w:right w:val="single" w:sz="4" w:space="0" w:color="auto"/>
            </w:tcBorders>
          </w:tcPr>
          <w:p w14:paraId="495FB907" w14:textId="77777777" w:rsidR="008E67EA" w:rsidRPr="000557B9" w:rsidRDefault="008E67EA" w:rsidP="00B44A74">
            <w:pPr>
              <w:pStyle w:val="APVMATableText"/>
              <w:spacing w:before="0" w:after="0"/>
              <w:rPr>
                <w:color w:val="000000" w:themeColor="text1"/>
              </w:rPr>
            </w:pPr>
            <w:r w:rsidRPr="000557B9">
              <w:rPr>
                <w:color w:val="000000" w:themeColor="text1"/>
              </w:rPr>
              <w:t>LOAEL of 0.001 mg/kg bw in a developmental toxicity study in rabbits.</w:t>
            </w:r>
          </w:p>
        </w:tc>
        <w:tc>
          <w:tcPr>
            <w:tcW w:w="700" w:type="pct"/>
            <w:tcBorders>
              <w:top w:val="single" w:sz="4" w:space="0" w:color="auto"/>
              <w:left w:val="single" w:sz="4" w:space="0" w:color="auto"/>
              <w:bottom w:val="single" w:sz="4" w:space="0" w:color="auto"/>
              <w:right w:val="single" w:sz="4" w:space="0" w:color="auto"/>
            </w:tcBorders>
          </w:tcPr>
          <w:p w14:paraId="784A2233" w14:textId="77777777" w:rsidR="008E67EA" w:rsidRPr="000557B9" w:rsidRDefault="008E67EA" w:rsidP="00B44A74">
            <w:pPr>
              <w:pStyle w:val="APVMATableText"/>
              <w:spacing w:before="0" w:after="0"/>
              <w:rPr>
                <w:color w:val="000000" w:themeColor="text1"/>
              </w:rPr>
            </w:pPr>
            <w:r w:rsidRPr="000557B9">
              <w:rPr>
                <w:color w:val="000000" w:themeColor="text1"/>
              </w:rPr>
              <w:t>300-fold</w:t>
            </w:r>
          </w:p>
        </w:tc>
      </w:tr>
      <w:tr w:rsidR="008E67EA" w:rsidRPr="000557B9" w14:paraId="3A3D5A1D" w14:textId="77777777" w:rsidTr="00B44A74">
        <w:trPr>
          <w:cantSplit/>
        </w:trPr>
        <w:tc>
          <w:tcPr>
            <w:tcW w:w="860" w:type="pct"/>
            <w:tcBorders>
              <w:top w:val="single" w:sz="4" w:space="0" w:color="auto"/>
              <w:left w:val="single" w:sz="4" w:space="0" w:color="auto"/>
              <w:bottom w:val="single" w:sz="4" w:space="0" w:color="auto"/>
              <w:right w:val="single" w:sz="4" w:space="0" w:color="auto"/>
            </w:tcBorders>
          </w:tcPr>
          <w:p w14:paraId="09610AF3" w14:textId="77777777" w:rsidR="008E67EA" w:rsidRPr="000557B9" w:rsidRDefault="008E67EA" w:rsidP="00B44A74">
            <w:pPr>
              <w:pStyle w:val="APVMATableText"/>
              <w:spacing w:before="0" w:after="0"/>
              <w:rPr>
                <w:color w:val="000000" w:themeColor="text1"/>
              </w:rPr>
            </w:pPr>
            <w:r w:rsidRPr="000557B9">
              <w:rPr>
                <w:color w:val="000000" w:themeColor="text1"/>
              </w:rPr>
              <w:t>Difethialone</w:t>
            </w:r>
          </w:p>
        </w:tc>
        <w:tc>
          <w:tcPr>
            <w:tcW w:w="939" w:type="pct"/>
            <w:tcBorders>
              <w:top w:val="single" w:sz="4" w:space="0" w:color="auto"/>
              <w:left w:val="single" w:sz="4" w:space="0" w:color="auto"/>
              <w:bottom w:val="single" w:sz="4" w:space="0" w:color="auto"/>
              <w:right w:val="single" w:sz="4" w:space="0" w:color="auto"/>
            </w:tcBorders>
          </w:tcPr>
          <w:p w14:paraId="6AEDB6D6" w14:textId="77777777" w:rsidR="008E67EA" w:rsidRPr="000557B9" w:rsidRDefault="008E67EA" w:rsidP="00B44A74">
            <w:pPr>
              <w:pStyle w:val="APVMATableText"/>
              <w:spacing w:before="0" w:after="0"/>
              <w:rPr>
                <w:color w:val="000000" w:themeColor="text1"/>
              </w:rPr>
            </w:pPr>
            <w:r w:rsidRPr="000557B9">
              <w:rPr>
                <w:color w:val="000000" w:themeColor="text1"/>
              </w:rPr>
              <w:t>0.000013</w:t>
            </w:r>
          </w:p>
        </w:tc>
        <w:tc>
          <w:tcPr>
            <w:tcW w:w="2501" w:type="pct"/>
            <w:tcBorders>
              <w:top w:val="single" w:sz="4" w:space="0" w:color="auto"/>
              <w:left w:val="single" w:sz="4" w:space="0" w:color="auto"/>
              <w:bottom w:val="single" w:sz="4" w:space="0" w:color="auto"/>
              <w:right w:val="single" w:sz="4" w:space="0" w:color="auto"/>
            </w:tcBorders>
          </w:tcPr>
          <w:p w14:paraId="3C8C102D" w14:textId="77777777" w:rsidR="008E67EA" w:rsidRPr="000557B9" w:rsidRDefault="008E67EA" w:rsidP="00B44A74">
            <w:pPr>
              <w:pStyle w:val="APVMATableText"/>
              <w:spacing w:before="0" w:after="0"/>
              <w:rPr>
                <w:color w:val="000000" w:themeColor="text1"/>
              </w:rPr>
            </w:pPr>
            <w:r w:rsidRPr="000557B9">
              <w:rPr>
                <w:color w:val="000000" w:themeColor="text1"/>
              </w:rPr>
              <w:t>NOAEL of 0.00125 mg/kg bw/day from a developmental toxicity study in rabbits.</w:t>
            </w:r>
          </w:p>
        </w:tc>
        <w:tc>
          <w:tcPr>
            <w:tcW w:w="700" w:type="pct"/>
            <w:tcBorders>
              <w:top w:val="single" w:sz="4" w:space="0" w:color="auto"/>
              <w:left w:val="single" w:sz="4" w:space="0" w:color="auto"/>
              <w:bottom w:val="single" w:sz="4" w:space="0" w:color="auto"/>
              <w:right w:val="single" w:sz="4" w:space="0" w:color="auto"/>
            </w:tcBorders>
          </w:tcPr>
          <w:p w14:paraId="64555F7E" w14:textId="77777777" w:rsidR="008E67EA" w:rsidRPr="000557B9" w:rsidRDefault="008E67EA" w:rsidP="00B44A74">
            <w:pPr>
              <w:pStyle w:val="APVMATableText"/>
              <w:spacing w:before="0" w:after="0"/>
              <w:rPr>
                <w:color w:val="000000" w:themeColor="text1"/>
              </w:rPr>
            </w:pPr>
            <w:r w:rsidRPr="000557B9">
              <w:rPr>
                <w:color w:val="000000" w:themeColor="text1"/>
              </w:rPr>
              <w:t>100-fold</w:t>
            </w:r>
          </w:p>
        </w:tc>
      </w:tr>
      <w:tr w:rsidR="008E67EA" w:rsidRPr="000557B9" w14:paraId="785A2303" w14:textId="77777777" w:rsidTr="00B44A74">
        <w:trPr>
          <w:cantSplit/>
        </w:trPr>
        <w:tc>
          <w:tcPr>
            <w:tcW w:w="860" w:type="pct"/>
            <w:tcBorders>
              <w:top w:val="single" w:sz="4" w:space="0" w:color="auto"/>
              <w:left w:val="single" w:sz="4" w:space="0" w:color="auto"/>
              <w:bottom w:val="single" w:sz="4" w:space="0" w:color="auto"/>
              <w:right w:val="single" w:sz="4" w:space="0" w:color="auto"/>
            </w:tcBorders>
          </w:tcPr>
          <w:p w14:paraId="5EB6CF3E" w14:textId="77777777" w:rsidR="008E67EA" w:rsidRPr="000557B9" w:rsidRDefault="008E67EA" w:rsidP="00B44A74">
            <w:pPr>
              <w:pStyle w:val="APVMATableText"/>
              <w:spacing w:before="0" w:after="0"/>
              <w:rPr>
                <w:color w:val="000000" w:themeColor="text1"/>
              </w:rPr>
            </w:pPr>
            <w:r w:rsidRPr="000557B9">
              <w:rPr>
                <w:color w:val="000000" w:themeColor="text1"/>
              </w:rPr>
              <w:t>Flocoumafen</w:t>
            </w:r>
          </w:p>
        </w:tc>
        <w:tc>
          <w:tcPr>
            <w:tcW w:w="939" w:type="pct"/>
            <w:tcBorders>
              <w:top w:val="single" w:sz="4" w:space="0" w:color="auto"/>
              <w:left w:val="single" w:sz="4" w:space="0" w:color="auto"/>
              <w:bottom w:val="single" w:sz="4" w:space="0" w:color="auto"/>
              <w:right w:val="single" w:sz="4" w:space="0" w:color="auto"/>
            </w:tcBorders>
          </w:tcPr>
          <w:p w14:paraId="26396D05" w14:textId="77777777" w:rsidR="008E67EA" w:rsidRPr="000557B9" w:rsidRDefault="008E67EA" w:rsidP="00B44A74">
            <w:pPr>
              <w:pStyle w:val="APVMATableText"/>
              <w:spacing w:before="0" w:after="0"/>
              <w:rPr>
                <w:color w:val="000000" w:themeColor="text1"/>
              </w:rPr>
            </w:pPr>
            <w:r w:rsidRPr="000557B9">
              <w:rPr>
                <w:color w:val="000000" w:themeColor="text1"/>
              </w:rPr>
              <w:t>0.00002</w:t>
            </w:r>
          </w:p>
        </w:tc>
        <w:tc>
          <w:tcPr>
            <w:tcW w:w="2501" w:type="pct"/>
            <w:tcBorders>
              <w:top w:val="single" w:sz="4" w:space="0" w:color="auto"/>
              <w:left w:val="single" w:sz="4" w:space="0" w:color="auto"/>
              <w:bottom w:val="single" w:sz="4" w:space="0" w:color="auto"/>
              <w:right w:val="single" w:sz="4" w:space="0" w:color="auto"/>
            </w:tcBorders>
          </w:tcPr>
          <w:p w14:paraId="04181716" w14:textId="77777777" w:rsidR="008E67EA" w:rsidRPr="000557B9" w:rsidRDefault="008E67EA" w:rsidP="00B44A74">
            <w:pPr>
              <w:pStyle w:val="APVMATableText"/>
              <w:spacing w:before="0" w:after="0"/>
              <w:rPr>
                <w:color w:val="000000" w:themeColor="text1"/>
              </w:rPr>
            </w:pPr>
            <w:r w:rsidRPr="000557B9">
              <w:rPr>
                <w:color w:val="000000" w:themeColor="text1"/>
              </w:rPr>
              <w:t>NOAEL of 0.002 from a developmental toxicity study in rabbits.</w:t>
            </w:r>
          </w:p>
        </w:tc>
        <w:tc>
          <w:tcPr>
            <w:tcW w:w="700" w:type="pct"/>
            <w:tcBorders>
              <w:top w:val="single" w:sz="4" w:space="0" w:color="auto"/>
              <w:left w:val="single" w:sz="4" w:space="0" w:color="auto"/>
              <w:bottom w:val="single" w:sz="4" w:space="0" w:color="auto"/>
              <w:right w:val="single" w:sz="4" w:space="0" w:color="auto"/>
            </w:tcBorders>
          </w:tcPr>
          <w:p w14:paraId="2B3A584C" w14:textId="77777777" w:rsidR="008E67EA" w:rsidRPr="000557B9" w:rsidRDefault="008E67EA" w:rsidP="00B44A74">
            <w:pPr>
              <w:pStyle w:val="APVMATableText"/>
              <w:spacing w:before="0" w:after="0"/>
              <w:rPr>
                <w:color w:val="000000" w:themeColor="text1"/>
              </w:rPr>
            </w:pPr>
            <w:r w:rsidRPr="000557B9">
              <w:rPr>
                <w:color w:val="000000" w:themeColor="text1"/>
              </w:rPr>
              <w:t>100-fold</w:t>
            </w:r>
          </w:p>
        </w:tc>
      </w:tr>
    </w:tbl>
    <w:p w14:paraId="34FE2E44" w14:textId="77777777" w:rsidR="008E67EA" w:rsidRPr="007917E1" w:rsidRDefault="008E67EA" w:rsidP="008E67EA">
      <w:pPr>
        <w:pStyle w:val="StatementofReasonsHeading4"/>
        <w:ind w:firstLine="567"/>
        <w:rPr>
          <w:i/>
          <w:iCs/>
          <w:color w:val="000000" w:themeColor="text1"/>
        </w:rPr>
      </w:pPr>
      <w:r w:rsidRPr="007917E1">
        <w:rPr>
          <w:i/>
          <w:iCs/>
          <w:color w:val="000000" w:themeColor="text1"/>
        </w:rPr>
        <w:lastRenderedPageBreak/>
        <w:t>Potential for exposure of food commodities</w:t>
      </w:r>
    </w:p>
    <w:p w14:paraId="1641AA11" w14:textId="22DD50C9" w:rsidR="008E67EA" w:rsidRPr="00D035F8" w:rsidRDefault="008E67EA">
      <w:pPr>
        <w:pStyle w:val="NumberLevel1"/>
        <w:numPr>
          <w:ilvl w:val="0"/>
          <w:numId w:val="17"/>
        </w:numPr>
        <w:tabs>
          <w:tab w:val="clear" w:pos="709"/>
          <w:tab w:val="num" w:pos="2553"/>
        </w:tabs>
      </w:pPr>
      <w:r w:rsidRPr="00D869C6">
        <w:t xml:space="preserve">I note that the health-based guidance values for anticoagulant rodenticides listed in </w:t>
      </w:r>
      <w:r w:rsidR="00FC0551">
        <w:fldChar w:fldCharType="begin"/>
      </w:r>
      <w:r w:rsidR="00FC0551">
        <w:instrText xml:space="preserve"> REF _Ref216292914 \h </w:instrText>
      </w:r>
      <w:r w:rsidR="00FC0551">
        <w:fldChar w:fldCharType="separate"/>
      </w:r>
      <w:r w:rsidR="002C0C2A" w:rsidRPr="00B33ED7">
        <w:t xml:space="preserve">Table </w:t>
      </w:r>
      <w:r w:rsidR="002C0C2A">
        <w:rPr>
          <w:noProof/>
        </w:rPr>
        <w:t>15</w:t>
      </w:r>
      <w:r w:rsidR="00FC0551">
        <w:fldChar w:fldCharType="end"/>
      </w:r>
      <w:r w:rsidR="00FC0551">
        <w:t xml:space="preserve"> </w:t>
      </w:r>
      <w:r w:rsidRPr="00D869C6">
        <w:t xml:space="preserve">and </w:t>
      </w:r>
      <w:r w:rsidR="00FC0551">
        <w:fldChar w:fldCharType="begin"/>
      </w:r>
      <w:r w:rsidR="00FC0551">
        <w:instrText xml:space="preserve"> REF _Ref216070443 \h </w:instrText>
      </w:r>
      <w:r w:rsidR="00FC0551">
        <w:fldChar w:fldCharType="separate"/>
      </w:r>
      <w:r w:rsidR="002C0C2A" w:rsidRPr="00B33ED7">
        <w:t xml:space="preserve">Table </w:t>
      </w:r>
      <w:r w:rsidR="002C0C2A">
        <w:rPr>
          <w:noProof/>
        </w:rPr>
        <w:t>16</w:t>
      </w:r>
      <w:r w:rsidR="00FC0551">
        <w:fldChar w:fldCharType="end"/>
      </w:r>
      <w:r w:rsidRPr="00D869C6">
        <w:t xml:space="preserve"> above are relatively low due to the toxic nature of this class of chemicals. As such, I find that the </w:t>
      </w:r>
      <w:bookmarkStart w:id="248" w:name="_Hlk205848786"/>
      <w:r w:rsidRPr="00D869C6">
        <w:t>potential for accidental anticoagulant rodenticide exposure of commodities grown for human food or for food producing livestock or poultry</w:t>
      </w:r>
      <w:bookmarkEnd w:id="248"/>
      <w:r w:rsidRPr="00D869C6">
        <w:t xml:space="preserve"> needs be minimised so that the use of these chemical products in accordance with instructions would not be likely to have an effect that is harmful to human beings who consume associated food commodities. I note that this determination is consistent with the</w:t>
      </w:r>
      <w:r w:rsidRPr="008869F1">
        <w:t xml:space="preserve"> recommendations in</w:t>
      </w:r>
      <w:r>
        <w:t xml:space="preserve"> section </w:t>
      </w:r>
      <w:r w:rsidRPr="00175F2F">
        <w:rPr>
          <w:i/>
          <w:iCs/>
        </w:rPr>
        <w:t xml:space="preserve">‘5.4 </w:t>
      </w:r>
      <w:r w:rsidRPr="00175F2F">
        <w:rPr>
          <w:i/>
          <w:iCs/>
          <w:color w:val="000000" w:themeColor="text1"/>
        </w:rPr>
        <w:t>Agricultural and Veterinary Chemicals (MRL Standard for Residues of Chemical Products) Instrument 2023’</w:t>
      </w:r>
      <w:r w:rsidRPr="00EE17DF">
        <w:rPr>
          <w:color w:val="000000" w:themeColor="text1"/>
        </w:rPr>
        <w:t xml:space="preserve"> of the </w:t>
      </w:r>
      <w:r w:rsidRPr="00EE17DF">
        <w:rPr>
          <w:i/>
          <w:iCs/>
          <w:color w:val="000000" w:themeColor="text1"/>
        </w:rPr>
        <w:t>Anticoagulant Rodenticides Review Technical Report</w:t>
      </w:r>
      <w:r w:rsidRPr="00EE17DF">
        <w:rPr>
          <w:color w:val="000000" w:themeColor="text1"/>
        </w:rPr>
        <w:t xml:space="preserve"> regarding the MRL Standard. That is, the recommendations to remove any temporary maximum residues limits currently approved for anticoagulant rodenticides and to establish a Table 5 entry for all anticoagulant rodenticide chemicals in scope of the reconsideration on the basis that their residues do not or should not occur in food or animal feeds.</w:t>
      </w:r>
    </w:p>
    <w:p w14:paraId="70260CF7" w14:textId="77777777" w:rsidR="008E67EA" w:rsidRPr="00D869C6" w:rsidRDefault="008E67EA" w:rsidP="008E67EA">
      <w:pPr>
        <w:pStyle w:val="StatementofReasonsHeading5"/>
      </w:pPr>
      <w:r w:rsidRPr="00D869C6">
        <w:t>Edible wildlife (non-target) exposure</w:t>
      </w:r>
    </w:p>
    <w:p w14:paraId="7ECC41CF" w14:textId="77777777" w:rsidR="008E67EA" w:rsidRPr="00006D8C" w:rsidRDefault="008E67EA">
      <w:pPr>
        <w:pStyle w:val="NumberLevel1"/>
        <w:numPr>
          <w:ilvl w:val="0"/>
          <w:numId w:val="17"/>
        </w:numPr>
        <w:tabs>
          <w:tab w:val="clear" w:pos="709"/>
          <w:tab w:val="num" w:pos="2553"/>
        </w:tabs>
        <w:rPr>
          <w:color w:val="000000" w:themeColor="text1"/>
        </w:rPr>
      </w:pPr>
      <w:bookmarkStart w:id="249" w:name="_Hlk213238429"/>
      <w:bookmarkStart w:id="250" w:name="_Ref213489265"/>
      <w:r w:rsidRPr="00D869C6">
        <w:t xml:space="preserve">I note </w:t>
      </w:r>
      <w:bookmarkEnd w:id="249"/>
      <w:r w:rsidRPr="00D869C6">
        <w:t>that limited monitoring data on anticoagulant rodenticides in Australia show evidence of secondary poisoning</w:t>
      </w:r>
      <w:r w:rsidRPr="00E2426F">
        <w:t xml:space="preserve"> across fish, terrestrial invertebrates, native rodents and rodent-eating species such as snakes, lizards, quolls and raptors, and that some of these wildlife species are part of the traditional diets of indigenous peoples. Based on </w:t>
      </w:r>
      <w:r>
        <w:t xml:space="preserve">my review and consideration of </w:t>
      </w:r>
      <w:r w:rsidRPr="00E2426F">
        <w:t>the assessment summarised in section</w:t>
      </w:r>
      <w:r>
        <w:t xml:space="preserve"> </w:t>
      </w:r>
      <w:r w:rsidRPr="00D035F8">
        <w:rPr>
          <w:i/>
          <w:iCs/>
        </w:rPr>
        <w:t xml:space="preserve">‘5.1.4 </w:t>
      </w:r>
      <w:r w:rsidRPr="00D035F8">
        <w:rPr>
          <w:i/>
          <w:iCs/>
          <w:color w:val="000000" w:themeColor="text1"/>
        </w:rPr>
        <w:t>Edible wildlife (non-target) exposure’</w:t>
      </w:r>
      <w:r w:rsidRPr="00006D8C">
        <w:rPr>
          <w:color w:val="000000" w:themeColor="text1"/>
        </w:rPr>
        <w:t xml:space="preserve"> of the </w:t>
      </w:r>
      <w:r w:rsidRPr="00006D8C">
        <w:rPr>
          <w:i/>
          <w:iCs/>
          <w:color w:val="000000" w:themeColor="text1"/>
        </w:rPr>
        <w:t>Anticoagulant Rodenticides Review Technical Report</w:t>
      </w:r>
      <w:r w:rsidRPr="00006D8C">
        <w:rPr>
          <w:color w:val="000000" w:themeColor="text1"/>
        </w:rPr>
        <w:t>, I also note there is insufficient information on the residues profile and consumption of these edible wildlife species to conduct a quantitative contemporary dietary risk assessment.</w:t>
      </w:r>
      <w:bookmarkEnd w:id="250"/>
    </w:p>
    <w:p w14:paraId="7D05998E" w14:textId="455136A9" w:rsidR="008E67EA" w:rsidRPr="00D869C6" w:rsidRDefault="008E67EA">
      <w:pPr>
        <w:pStyle w:val="NumberLevel1"/>
        <w:numPr>
          <w:ilvl w:val="0"/>
          <w:numId w:val="17"/>
        </w:numPr>
        <w:tabs>
          <w:tab w:val="clear" w:pos="709"/>
          <w:tab w:val="num" w:pos="2553"/>
        </w:tabs>
        <w:rPr>
          <w:color w:val="000000" w:themeColor="text1"/>
        </w:rPr>
      </w:pPr>
      <w:bookmarkStart w:id="251" w:name="_Ref205885671"/>
      <w:r w:rsidRPr="00D869C6">
        <w:rPr>
          <w:color w:val="000000" w:themeColor="text1"/>
        </w:rPr>
        <w:t xml:space="preserve">The risk mitigation measures necessary to prevent non-target wildlife species access to anticoagulant rodenticides chemical products are discussed in detail in the </w:t>
      </w:r>
      <w:r w:rsidRPr="00D869C6">
        <w:rPr>
          <w:i/>
          <w:iCs/>
          <w:color w:val="000000" w:themeColor="text1"/>
        </w:rPr>
        <w:t>‘Risks to non-target terrestrial vertebrates’</w:t>
      </w:r>
      <w:r w:rsidRPr="00D869C6">
        <w:rPr>
          <w:color w:val="000000" w:themeColor="text1"/>
        </w:rPr>
        <w:t xml:space="preserve"> section of these </w:t>
      </w:r>
      <w:r w:rsidRPr="006E722E">
        <w:rPr>
          <w:color w:val="000000" w:themeColor="text1"/>
        </w:rPr>
        <w:t xml:space="preserve">reasons (paragraphs </w:t>
      </w:r>
      <w:r w:rsidRPr="006E722E">
        <w:rPr>
          <w:color w:val="000000" w:themeColor="text1"/>
        </w:rPr>
        <w:fldChar w:fldCharType="begin"/>
      </w:r>
      <w:r w:rsidRPr="006E722E">
        <w:rPr>
          <w:color w:val="000000" w:themeColor="text1"/>
        </w:rPr>
        <w:instrText xml:space="preserve"> REF _Ref207113740 \r \h  \* MERGEFORMAT </w:instrText>
      </w:r>
      <w:r w:rsidRPr="006E722E">
        <w:rPr>
          <w:color w:val="000000" w:themeColor="text1"/>
        </w:rPr>
      </w:r>
      <w:r w:rsidRPr="006E722E">
        <w:rPr>
          <w:color w:val="000000" w:themeColor="text1"/>
        </w:rPr>
        <w:fldChar w:fldCharType="separate"/>
      </w:r>
      <w:r w:rsidR="002C0C2A">
        <w:rPr>
          <w:color w:val="000000" w:themeColor="text1"/>
        </w:rPr>
        <w:t>41</w:t>
      </w:r>
      <w:r w:rsidRPr="006E722E">
        <w:rPr>
          <w:color w:val="000000" w:themeColor="text1"/>
        </w:rPr>
        <w:fldChar w:fldCharType="end"/>
      </w:r>
      <w:r w:rsidRPr="006E722E">
        <w:rPr>
          <w:color w:val="000000" w:themeColor="text1"/>
        </w:rPr>
        <w:t xml:space="preserve"> – </w:t>
      </w:r>
      <w:r w:rsidRPr="006E722E">
        <w:rPr>
          <w:color w:val="000000" w:themeColor="text1"/>
        </w:rPr>
        <w:fldChar w:fldCharType="begin"/>
      </w:r>
      <w:r w:rsidRPr="006E722E">
        <w:rPr>
          <w:color w:val="000000" w:themeColor="text1"/>
        </w:rPr>
        <w:instrText xml:space="preserve"> REF _Ref213444267 \w \h </w:instrText>
      </w:r>
      <w:r>
        <w:rPr>
          <w:color w:val="000000" w:themeColor="text1"/>
        </w:rPr>
        <w:instrText xml:space="preserve"> \* MERGEFORMAT </w:instrText>
      </w:r>
      <w:r w:rsidRPr="006E722E">
        <w:rPr>
          <w:color w:val="000000" w:themeColor="text1"/>
        </w:rPr>
      </w:r>
      <w:r w:rsidRPr="006E722E">
        <w:rPr>
          <w:color w:val="000000" w:themeColor="text1"/>
        </w:rPr>
        <w:fldChar w:fldCharType="separate"/>
      </w:r>
      <w:r w:rsidR="002C0C2A">
        <w:rPr>
          <w:color w:val="000000" w:themeColor="text1"/>
        </w:rPr>
        <w:t>62</w:t>
      </w:r>
      <w:r w:rsidRPr="006E722E">
        <w:rPr>
          <w:color w:val="000000" w:themeColor="text1"/>
        </w:rPr>
        <w:fldChar w:fldCharType="end"/>
      </w:r>
      <w:r w:rsidRPr="006E722E">
        <w:rPr>
          <w:color w:val="000000" w:themeColor="text1"/>
        </w:rPr>
        <w:t>). I</w:t>
      </w:r>
      <w:r w:rsidRPr="00D869C6">
        <w:rPr>
          <w:color w:val="000000" w:themeColor="text1"/>
        </w:rPr>
        <w:t xml:space="preserve"> consider that the mitigation measure details in this section, including formulation requirements, access restrictions and instructions for use, are also required to reduce the likelihood of exposure of edible wildlife to anticoagulant rodenticides and therefore the likelihood that the use of the chemical products listed in Attachment A of this notice in accordance with instructions would have an effect that is harmful to human beings.</w:t>
      </w:r>
      <w:bookmarkEnd w:id="251"/>
      <w:r w:rsidRPr="00D869C6">
        <w:rPr>
          <w:color w:val="000000" w:themeColor="text1"/>
        </w:rPr>
        <w:t xml:space="preserve"> </w:t>
      </w:r>
    </w:p>
    <w:p w14:paraId="5AE0EA6D" w14:textId="77777777" w:rsidR="008E67EA" w:rsidRDefault="008E67EA">
      <w:pPr>
        <w:pStyle w:val="NumberLevel1"/>
        <w:numPr>
          <w:ilvl w:val="0"/>
          <w:numId w:val="17"/>
        </w:numPr>
        <w:tabs>
          <w:tab w:val="clear" w:pos="709"/>
          <w:tab w:val="num" w:pos="2553"/>
        </w:tabs>
        <w:rPr>
          <w:color w:val="000000" w:themeColor="text1"/>
        </w:rPr>
      </w:pPr>
      <w:bookmarkStart w:id="252" w:name="_Ref205885673"/>
      <w:r w:rsidRPr="00D869C6">
        <w:rPr>
          <w:color w:val="000000" w:themeColor="text1"/>
        </w:rPr>
        <w:t>Further, based on my review and consideration of the</w:t>
      </w:r>
      <w:r w:rsidRPr="00E2426F">
        <w:rPr>
          <w:color w:val="000000" w:themeColor="text1"/>
        </w:rPr>
        <w:t xml:space="preserve"> </w:t>
      </w:r>
      <w:r>
        <w:rPr>
          <w:color w:val="000000" w:themeColor="text1"/>
        </w:rPr>
        <w:t>recommendations</w:t>
      </w:r>
      <w:r w:rsidRPr="00E2426F">
        <w:rPr>
          <w:color w:val="000000" w:themeColor="text1"/>
        </w:rPr>
        <w:t xml:space="preserve"> in section</w:t>
      </w:r>
      <w:r>
        <w:rPr>
          <w:color w:val="000000" w:themeColor="text1"/>
        </w:rPr>
        <w:t xml:space="preserve"> </w:t>
      </w:r>
      <w:r w:rsidRPr="006B5FF8">
        <w:rPr>
          <w:i/>
          <w:iCs/>
        </w:rPr>
        <w:t xml:space="preserve">‘5.1.4 </w:t>
      </w:r>
      <w:r w:rsidRPr="006B5FF8">
        <w:rPr>
          <w:i/>
          <w:iCs/>
          <w:color w:val="000000" w:themeColor="text1"/>
        </w:rPr>
        <w:t>Edible wildlife (non-target) exposure’</w:t>
      </w:r>
      <w:r w:rsidRPr="00E2426F">
        <w:rPr>
          <w:color w:val="000000" w:themeColor="text1"/>
        </w:rPr>
        <w:t xml:space="preserve"> of the </w:t>
      </w:r>
      <w:r w:rsidRPr="00E2426F">
        <w:rPr>
          <w:i/>
          <w:iCs/>
          <w:color w:val="000000" w:themeColor="text1"/>
        </w:rPr>
        <w:t xml:space="preserve">Anticoagulant Rodenticides Review Technical </w:t>
      </w:r>
      <w:r w:rsidRPr="009922F8">
        <w:rPr>
          <w:i/>
          <w:iCs/>
          <w:color w:val="000000" w:themeColor="text1"/>
        </w:rPr>
        <w:t>Report</w:t>
      </w:r>
      <w:r w:rsidRPr="00D869C6">
        <w:rPr>
          <w:color w:val="000000" w:themeColor="text1"/>
        </w:rPr>
        <w:t xml:space="preserve">, I consider that the following instructions for use, specifically related to edible wildlife and game, are required for all chemical products listed in Attachment A of this notice in order to reduce the likelihood of accidental exposure of edible wildlife and game to anticoagulant rodenticide chemical products: </w:t>
      </w:r>
    </w:p>
    <w:p w14:paraId="018E2B99" w14:textId="77777777" w:rsidR="008E67EA" w:rsidRPr="009E43FD" w:rsidRDefault="008E67EA">
      <w:pPr>
        <w:pStyle w:val="NumberLevel2"/>
        <w:numPr>
          <w:ilvl w:val="1"/>
          <w:numId w:val="17"/>
        </w:numPr>
        <w:ind w:left="1134"/>
        <w:rPr>
          <w:b/>
          <w:bCs/>
          <w:i/>
          <w:iCs/>
        </w:rPr>
      </w:pPr>
      <w:bookmarkStart w:id="253" w:name="_Ref213530511"/>
      <w:r>
        <w:t xml:space="preserve">the restraint </w:t>
      </w:r>
      <w:r w:rsidRPr="009E43FD">
        <w:rPr>
          <w:b/>
          <w:bCs/>
          <w:i/>
          <w:iCs/>
        </w:rPr>
        <w:t>‘DO NOT bait in areas where wildlife may be collected for human consumption’</w:t>
      </w:r>
      <w:r>
        <w:t>,</w:t>
      </w:r>
      <w:bookmarkEnd w:id="253"/>
      <w:r>
        <w:t xml:space="preserve"> and</w:t>
      </w:r>
    </w:p>
    <w:p w14:paraId="462B3172" w14:textId="77777777" w:rsidR="008E67EA" w:rsidRPr="009E43FD" w:rsidRDefault="008E67EA">
      <w:pPr>
        <w:pStyle w:val="NumberLevel2"/>
        <w:numPr>
          <w:ilvl w:val="1"/>
          <w:numId w:val="17"/>
        </w:numPr>
        <w:ind w:left="1134"/>
        <w:rPr>
          <w:b/>
          <w:bCs/>
          <w:i/>
          <w:iCs/>
        </w:rPr>
      </w:pPr>
      <w:bookmarkStart w:id="254" w:name="_Ref213530547"/>
      <w:r>
        <w:t>t</w:t>
      </w:r>
      <w:r w:rsidRPr="001A4B83">
        <w:t xml:space="preserve">he precautionary directions </w:t>
      </w:r>
      <w:r w:rsidRPr="009E43FD">
        <w:rPr>
          <w:b/>
          <w:bCs/>
          <w:i/>
          <w:iCs/>
        </w:rPr>
        <w:t>‘Caution should be used when baiting near areas where hunting of wildlife may occur</w:t>
      </w:r>
      <w:r>
        <w:rPr>
          <w:b/>
          <w:bCs/>
          <w:i/>
          <w:iCs/>
        </w:rPr>
        <w:t xml:space="preserve">. </w:t>
      </w:r>
      <w:r w:rsidRPr="009E43FD">
        <w:rPr>
          <w:b/>
          <w:bCs/>
          <w:i/>
          <w:iCs/>
        </w:rPr>
        <w:t>Careful consideration of bait placement is necessary to avoid secondary exposure from contaminated wildlife that may be consumed.’</w:t>
      </w:r>
      <w:r w:rsidRPr="009E43FD">
        <w:t>.</w:t>
      </w:r>
      <w:bookmarkEnd w:id="252"/>
      <w:bookmarkEnd w:id="254"/>
    </w:p>
    <w:p w14:paraId="0214CA58" w14:textId="49A4F298" w:rsidR="008E67EA" w:rsidRPr="00D869C6" w:rsidRDefault="008E67EA">
      <w:pPr>
        <w:pStyle w:val="NumberLevel1"/>
        <w:numPr>
          <w:ilvl w:val="0"/>
          <w:numId w:val="17"/>
        </w:numPr>
        <w:tabs>
          <w:tab w:val="clear" w:pos="709"/>
          <w:tab w:val="num" w:pos="2553"/>
        </w:tabs>
        <w:rPr>
          <w:color w:val="000000" w:themeColor="text1"/>
        </w:rPr>
      </w:pPr>
      <w:bookmarkStart w:id="255" w:name="_Ref213489268"/>
      <w:r w:rsidRPr="00D869C6">
        <w:rPr>
          <w:color w:val="000000" w:themeColor="text1"/>
        </w:rPr>
        <w:t xml:space="preserve">Based on my review of the risk assessment </w:t>
      </w:r>
      <w:r>
        <w:rPr>
          <w:color w:val="000000" w:themeColor="text1"/>
        </w:rPr>
        <w:t xml:space="preserve">summarised </w:t>
      </w:r>
      <w:r w:rsidRPr="00D869C6">
        <w:rPr>
          <w:color w:val="000000" w:themeColor="text1"/>
        </w:rPr>
        <w:t xml:space="preserve">in </w:t>
      </w:r>
      <w:r w:rsidRPr="00DA3475">
        <w:rPr>
          <w:color w:val="000000" w:themeColor="text1"/>
        </w:rPr>
        <w:t xml:space="preserve">section </w:t>
      </w:r>
      <w:r w:rsidRPr="006B5FF8">
        <w:rPr>
          <w:i/>
          <w:iCs/>
        </w:rPr>
        <w:t xml:space="preserve">‘5.1.4 </w:t>
      </w:r>
      <w:r w:rsidRPr="006B5FF8">
        <w:rPr>
          <w:i/>
          <w:iCs/>
          <w:color w:val="000000" w:themeColor="text1"/>
        </w:rPr>
        <w:t>Edible wildlife (non-target) exposure’</w:t>
      </w:r>
      <w:r w:rsidRPr="00006D8C">
        <w:rPr>
          <w:color w:val="000000" w:themeColor="text1"/>
        </w:rPr>
        <w:t xml:space="preserve"> </w:t>
      </w:r>
      <w:r w:rsidRPr="00DA3475">
        <w:rPr>
          <w:color w:val="000000" w:themeColor="text1"/>
        </w:rPr>
        <w:t xml:space="preserve">of the </w:t>
      </w:r>
      <w:r w:rsidRPr="00DA3475">
        <w:rPr>
          <w:i/>
          <w:iCs/>
          <w:color w:val="000000" w:themeColor="text1"/>
        </w:rPr>
        <w:t>Anticoagulant Rodenticides Review Technical R</w:t>
      </w:r>
      <w:r w:rsidRPr="00D869C6">
        <w:rPr>
          <w:i/>
          <w:iCs/>
          <w:color w:val="000000" w:themeColor="text1"/>
        </w:rPr>
        <w:t xml:space="preserve">eport, </w:t>
      </w:r>
      <w:r w:rsidRPr="00D869C6">
        <w:rPr>
          <w:color w:val="000000" w:themeColor="text1"/>
        </w:rPr>
        <w:t xml:space="preserve">I note that it is not always possible for regulation to ensure that zero contamination of edible wildlife may occur through use of chemical products, and that any consumers should inspect any wild catch for signs of disease or contamination prior to consumption and should not consume the catch if any signs of disease or contamination are present. However, I consider that the likelihood is extremely low that use of the anticoagulant rodenticides chemical products listed in Attachment A of </w:t>
      </w:r>
      <w:r w:rsidRPr="00D869C6">
        <w:rPr>
          <w:color w:val="000000" w:themeColor="text1"/>
        </w:rPr>
        <w:lastRenderedPageBreak/>
        <w:t>this notice in accordance with the proposed varied particulars (including instructions for use) and conditions would result in the contamination of edible wildlife and game. Therefore, I am satisfied that that use of the anticoagulant rodenticides chemical products listed in Attachment A of this notice in accordance with the proposed varied particulars and conditions would not be likely to have an effect that is harmful to human beings that consume edible wildlife.</w:t>
      </w:r>
      <w:bookmarkEnd w:id="255"/>
    </w:p>
    <w:p w14:paraId="72A34E6F" w14:textId="77777777" w:rsidR="008E67EA" w:rsidRPr="00D869C6" w:rsidRDefault="008E67EA" w:rsidP="008E67EA">
      <w:pPr>
        <w:pStyle w:val="StatementofReasonsHeading5"/>
        <w:rPr>
          <w:color w:val="000000" w:themeColor="text1"/>
        </w:rPr>
      </w:pPr>
      <w:r w:rsidRPr="00D869C6">
        <w:rPr>
          <w:color w:val="000000" w:themeColor="text1"/>
        </w:rPr>
        <w:t>In and around buildings uses</w:t>
      </w:r>
    </w:p>
    <w:p w14:paraId="7E04E891" w14:textId="77777777" w:rsidR="008E67EA" w:rsidRPr="00006D8C" w:rsidRDefault="008E67EA">
      <w:pPr>
        <w:pStyle w:val="NumberLevel1"/>
        <w:numPr>
          <w:ilvl w:val="0"/>
          <w:numId w:val="17"/>
        </w:numPr>
        <w:tabs>
          <w:tab w:val="clear" w:pos="709"/>
          <w:tab w:val="num" w:pos="2553"/>
        </w:tabs>
        <w:rPr>
          <w:b/>
          <w:bCs/>
          <w:i/>
          <w:iCs/>
          <w:color w:val="000000" w:themeColor="text1"/>
        </w:rPr>
      </w:pPr>
      <w:bookmarkStart w:id="256" w:name="_Ref213489276"/>
      <w:r w:rsidRPr="00D869C6">
        <w:t>Based on my review</w:t>
      </w:r>
      <w:r w:rsidRPr="00DA3475">
        <w:t xml:space="preserve"> of the risk assessment </w:t>
      </w:r>
      <w:r>
        <w:t xml:space="preserve">summarised </w:t>
      </w:r>
      <w:r w:rsidRPr="00DA3475">
        <w:t xml:space="preserve">in section </w:t>
      </w:r>
      <w:r w:rsidRPr="00D035F8">
        <w:rPr>
          <w:i/>
          <w:iCs/>
        </w:rPr>
        <w:t xml:space="preserve">‘5.1.2 </w:t>
      </w:r>
      <w:r w:rsidRPr="00D035F8">
        <w:rPr>
          <w:i/>
          <w:iCs/>
          <w:color w:val="000000" w:themeColor="text1"/>
        </w:rPr>
        <w:t xml:space="preserve">In and around buildings’ </w:t>
      </w:r>
      <w:r w:rsidRPr="00006D8C">
        <w:rPr>
          <w:color w:val="000000" w:themeColor="text1"/>
        </w:rPr>
        <w:t xml:space="preserve">of the </w:t>
      </w:r>
      <w:r w:rsidRPr="00006D8C">
        <w:rPr>
          <w:i/>
          <w:iCs/>
          <w:color w:val="000000" w:themeColor="text1"/>
        </w:rPr>
        <w:t xml:space="preserve">Anticoagulant Rodenticides Review Technical Report, </w:t>
      </w:r>
      <w:r w:rsidRPr="00006D8C">
        <w:rPr>
          <w:color w:val="000000" w:themeColor="text1"/>
        </w:rPr>
        <w:t>I note that all anticoagulant rodenticide chemical products listed in Attachment A of this notice are approved for use in and around buildings. Further, the specific ‘in and around buildings’ use situations with the greatest risk of anticoagulant rodenticides contaminating food commodities and entering the human food chain include in and around animal husbandry facilities such as stables, milking parlours, cow sheds, poultry sheds, pig arks, and any building concerned in the storage, preparation, distribution, sale or consumption of food.</w:t>
      </w:r>
      <w:bookmarkEnd w:id="256"/>
    </w:p>
    <w:p w14:paraId="1D5AF757" w14:textId="57FB8D4E" w:rsidR="008E67EA" w:rsidRPr="00E86C3E" w:rsidRDefault="008E67EA">
      <w:pPr>
        <w:pStyle w:val="NumberLevel1"/>
        <w:numPr>
          <w:ilvl w:val="0"/>
          <w:numId w:val="17"/>
        </w:numPr>
        <w:tabs>
          <w:tab w:val="clear" w:pos="709"/>
          <w:tab w:val="num" w:pos="2553"/>
        </w:tabs>
        <w:rPr>
          <w:b/>
          <w:bCs/>
          <w:i/>
          <w:iCs/>
          <w:color w:val="000000" w:themeColor="text1"/>
        </w:rPr>
      </w:pPr>
      <w:r w:rsidRPr="00D869C6">
        <w:rPr>
          <w:color w:val="000000" w:themeColor="text1"/>
        </w:rPr>
        <w:t>Based on my review</w:t>
      </w:r>
      <w:r w:rsidRPr="00E86C3E">
        <w:rPr>
          <w:color w:val="000000" w:themeColor="text1"/>
        </w:rPr>
        <w:t xml:space="preserve"> and consideration of the risk assessment </w:t>
      </w:r>
      <w:r>
        <w:rPr>
          <w:color w:val="000000" w:themeColor="text1"/>
        </w:rPr>
        <w:t xml:space="preserve">summarised </w:t>
      </w:r>
      <w:r w:rsidRPr="00E86C3E">
        <w:rPr>
          <w:color w:val="000000" w:themeColor="text1"/>
        </w:rPr>
        <w:t xml:space="preserve">in </w:t>
      </w:r>
      <w:r w:rsidRPr="006B5FF8">
        <w:rPr>
          <w:i/>
          <w:iCs/>
        </w:rPr>
        <w:t xml:space="preserve">‘5.1.2 </w:t>
      </w:r>
      <w:r w:rsidRPr="006B5FF8">
        <w:rPr>
          <w:i/>
          <w:iCs/>
          <w:color w:val="000000" w:themeColor="text1"/>
        </w:rPr>
        <w:t xml:space="preserve">In and around buildings’ </w:t>
      </w:r>
      <w:r w:rsidRPr="00E86C3E">
        <w:rPr>
          <w:color w:val="000000" w:themeColor="text1"/>
        </w:rPr>
        <w:t xml:space="preserve">of the </w:t>
      </w:r>
      <w:r w:rsidRPr="00E86C3E">
        <w:rPr>
          <w:i/>
          <w:iCs/>
          <w:color w:val="000000" w:themeColor="text1"/>
        </w:rPr>
        <w:t xml:space="preserve">Anticoagulant Rodenticides Review Technical Report, </w:t>
      </w:r>
      <w:r w:rsidRPr="00E86C3E">
        <w:rPr>
          <w:color w:val="000000" w:themeColor="text1"/>
        </w:rPr>
        <w:t xml:space="preserve">I note that that APVMA is aware of past low-level warfarin and coumatetralyl detections in pig livers stemming from the use of anticoagulant rodenticide chemical products in piggeries, but that the APVMA has not been made aware of any further detections or incidents of exposure related to warfarin or coumatetralyl in pigs since remediation measures were taken at the time. Nevertheless, based on the potential for exposure of commodities grown for human food or for food producing livestock or poultry, I consider that the current instructions for use of the chemical products listed in Attachment A of this notice are </w:t>
      </w:r>
      <w:r w:rsidRPr="00E86C3E">
        <w:rPr>
          <w:b/>
          <w:bCs/>
          <w:color w:val="000000" w:themeColor="text1"/>
          <w:u w:val="single"/>
        </w:rPr>
        <w:t>insufficient</w:t>
      </w:r>
      <w:r w:rsidRPr="00E86C3E">
        <w:rPr>
          <w:color w:val="000000" w:themeColor="text1"/>
        </w:rPr>
        <w:t xml:space="preserve"> to mitigate potential contamination risks associated with use of anticoagulant rodenticides in and around buildings, in accordance with the approved instructions.</w:t>
      </w:r>
    </w:p>
    <w:p w14:paraId="45CF9767" w14:textId="77777777" w:rsidR="008E67EA" w:rsidRPr="00C17B32" w:rsidRDefault="008E67EA">
      <w:pPr>
        <w:pStyle w:val="NumberLevel1"/>
        <w:numPr>
          <w:ilvl w:val="0"/>
          <w:numId w:val="17"/>
        </w:numPr>
        <w:tabs>
          <w:tab w:val="clear" w:pos="709"/>
          <w:tab w:val="num" w:pos="2553"/>
        </w:tabs>
        <w:rPr>
          <w:b/>
          <w:bCs/>
          <w:i/>
          <w:iCs/>
          <w:color w:val="000000" w:themeColor="text1"/>
        </w:rPr>
      </w:pPr>
      <w:bookmarkStart w:id="257" w:name="_Ref213490546"/>
      <w:bookmarkStart w:id="258" w:name="_Ref205885700"/>
      <w:r w:rsidRPr="00C17B32">
        <w:rPr>
          <w:color w:val="000000" w:themeColor="text1"/>
        </w:rPr>
        <w:t>In relation to the use of anticoagulant rodenticides chemical products in and around buildings, based on my review and consideration of the risk assessment</w:t>
      </w:r>
      <w:r>
        <w:rPr>
          <w:color w:val="000000" w:themeColor="text1"/>
        </w:rPr>
        <w:t xml:space="preserve">s summarised in sections </w:t>
      </w:r>
      <w:r w:rsidRPr="006B5FF8">
        <w:rPr>
          <w:i/>
          <w:iCs/>
        </w:rPr>
        <w:t xml:space="preserve">‘5.1.2 </w:t>
      </w:r>
      <w:r w:rsidRPr="006B5FF8">
        <w:rPr>
          <w:i/>
          <w:iCs/>
          <w:color w:val="000000" w:themeColor="text1"/>
        </w:rPr>
        <w:t>In and around buildings’</w:t>
      </w:r>
      <w:r>
        <w:rPr>
          <w:i/>
          <w:iCs/>
          <w:color w:val="000000" w:themeColor="text1"/>
        </w:rPr>
        <w:t>,</w:t>
      </w:r>
      <w:r>
        <w:rPr>
          <w:color w:val="000000" w:themeColor="text1"/>
        </w:rPr>
        <w:t xml:space="preserve"> </w:t>
      </w:r>
      <w:r w:rsidRPr="00D035F8">
        <w:rPr>
          <w:i/>
          <w:iCs/>
          <w:color w:val="000000" w:themeColor="text1"/>
        </w:rPr>
        <w:t>‘5.1.3 Bait formulation’</w:t>
      </w:r>
      <w:r>
        <w:rPr>
          <w:i/>
          <w:iCs/>
          <w:color w:val="000000" w:themeColor="text1"/>
        </w:rPr>
        <w:t xml:space="preserve"> </w:t>
      </w:r>
      <w:r w:rsidRPr="00D035F8">
        <w:rPr>
          <w:color w:val="000000" w:themeColor="text1"/>
        </w:rPr>
        <w:t>and</w:t>
      </w:r>
      <w:r w:rsidRPr="00C17B32">
        <w:rPr>
          <w:color w:val="000000" w:themeColor="text1"/>
        </w:rPr>
        <w:t xml:space="preserve"> </w:t>
      </w:r>
      <w:r w:rsidRPr="00D035F8">
        <w:rPr>
          <w:i/>
          <w:iCs/>
          <w:color w:val="000000" w:themeColor="text1"/>
        </w:rPr>
        <w:t>‘5.1.5 Carcass management’</w:t>
      </w:r>
      <w:r>
        <w:rPr>
          <w:color w:val="000000" w:themeColor="text1"/>
        </w:rPr>
        <w:t xml:space="preserve"> </w:t>
      </w:r>
      <w:r w:rsidRPr="00C17B32">
        <w:rPr>
          <w:color w:val="000000" w:themeColor="text1"/>
        </w:rPr>
        <w:t xml:space="preserve">of the </w:t>
      </w:r>
      <w:r w:rsidRPr="00C17B32">
        <w:rPr>
          <w:i/>
          <w:iCs/>
          <w:color w:val="000000" w:themeColor="text1"/>
        </w:rPr>
        <w:t>Anticoagulant Rodenticides Review Technical Report:</w:t>
      </w:r>
      <w:bookmarkEnd w:id="257"/>
    </w:p>
    <w:p w14:paraId="47F0193E" w14:textId="77777777" w:rsidR="008E67EA" w:rsidRPr="001A4B83" w:rsidRDefault="008E67EA">
      <w:pPr>
        <w:pStyle w:val="NumberLevel2"/>
        <w:numPr>
          <w:ilvl w:val="1"/>
          <w:numId w:val="17"/>
        </w:numPr>
        <w:ind w:left="1134"/>
        <w:rPr>
          <w:b/>
          <w:bCs/>
        </w:rPr>
      </w:pPr>
      <w:r w:rsidRPr="00C17B32">
        <w:t xml:space="preserve">For all chemical products listed in Attachment A of this notice, I consider that the following </w:t>
      </w:r>
      <w:r>
        <w:t xml:space="preserve">instructions for </w:t>
      </w:r>
      <w:r w:rsidRPr="00C17B32">
        <w:t>use are required:</w:t>
      </w:r>
    </w:p>
    <w:p w14:paraId="61053CA8" w14:textId="6868CC3D" w:rsidR="008E67EA" w:rsidRDefault="008E67EA">
      <w:pPr>
        <w:pStyle w:val="NumberLevel3"/>
        <w:numPr>
          <w:ilvl w:val="2"/>
          <w:numId w:val="17"/>
        </w:numPr>
      </w:pPr>
      <w:bookmarkStart w:id="259" w:name="_Ref213530980"/>
      <w:r>
        <w:t xml:space="preserve">the </w:t>
      </w:r>
      <w:r w:rsidRPr="00C17B32">
        <w:t xml:space="preserve">hazard warning statement </w:t>
      </w:r>
      <w:r w:rsidRPr="001A4B83">
        <w:rPr>
          <w:b/>
          <w:bCs/>
          <w:i/>
          <w:iCs/>
        </w:rPr>
        <w:t>‘Hazardous to livestock and poultry.’</w:t>
      </w:r>
      <w:r w:rsidRPr="00C17B32">
        <w:t>,</w:t>
      </w:r>
      <w:bookmarkEnd w:id="259"/>
    </w:p>
    <w:p w14:paraId="20F4F0C5" w14:textId="77777777" w:rsidR="008E67EA" w:rsidRDefault="008E67EA">
      <w:pPr>
        <w:pStyle w:val="NumberLevel3"/>
        <w:numPr>
          <w:ilvl w:val="2"/>
          <w:numId w:val="17"/>
        </w:numPr>
      </w:pPr>
      <w:bookmarkStart w:id="260" w:name="_Ref213530997"/>
      <w:r>
        <w:t xml:space="preserve">the </w:t>
      </w:r>
      <w:r w:rsidRPr="00C17B32">
        <w:t>precautionary instructions ‘</w:t>
      </w:r>
      <w:r w:rsidRPr="001A4B83">
        <w:rPr>
          <w:b/>
          <w:bCs/>
          <w:i/>
          <w:iCs/>
        </w:rPr>
        <w:t>DO NOT place bait in areas where there is a possibility of contaminating food, livestock feed or surfaces that come in direct contact with food or livestock feed.</w:t>
      </w:r>
      <w:r w:rsidRPr="00812077">
        <w:t>’</w:t>
      </w:r>
      <w:r w:rsidRPr="001A4B83">
        <w:t xml:space="preserve"> </w:t>
      </w:r>
      <w:r>
        <w:t>that relate to contamination risks</w:t>
      </w:r>
      <w:r w:rsidRPr="00812077">
        <w:t xml:space="preserve">, </w:t>
      </w:r>
      <w:r>
        <w:t>and</w:t>
      </w:r>
      <w:bookmarkEnd w:id="260"/>
      <w:r>
        <w:t xml:space="preserve"> </w:t>
      </w:r>
    </w:p>
    <w:p w14:paraId="6FC57314" w14:textId="77777777" w:rsidR="008E67EA" w:rsidRPr="00812077" w:rsidRDefault="008E67EA">
      <w:pPr>
        <w:pStyle w:val="NumberLevel3"/>
        <w:numPr>
          <w:ilvl w:val="2"/>
          <w:numId w:val="17"/>
        </w:numPr>
      </w:pPr>
      <w:bookmarkStart w:id="261" w:name="_Ref213530987"/>
      <w:r>
        <w:t xml:space="preserve">the instructions </w:t>
      </w:r>
      <w:r w:rsidRPr="001A4B83">
        <w:rPr>
          <w:b/>
          <w:bCs/>
          <w:i/>
          <w:iCs/>
        </w:rPr>
        <w:t>‘DO NOT place baits in locations that are accessible to domestic animals, livestock, non-target native animals or birds.’</w:t>
      </w:r>
      <w:r w:rsidRPr="00812077">
        <w:t xml:space="preserve"> and </w:t>
      </w:r>
      <w:r w:rsidRPr="001A4B83">
        <w:rPr>
          <w:b/>
          <w:bCs/>
          <w:i/>
          <w:iCs/>
        </w:rPr>
        <w:t>‘DO NOT allow livestock or poultry to consume dead or moribund mice and rats. All dead or moribund animals and rodent faeces from baited rodents MUST be removed from areas accessible to livestock or poultry.</w:t>
      </w:r>
      <w:r w:rsidRPr="00812077">
        <w:t>’</w:t>
      </w:r>
      <w:r w:rsidRPr="001A4B83">
        <w:t xml:space="preserve"> </w:t>
      </w:r>
      <w:r>
        <w:t>regarding the protection of animals and livestock.</w:t>
      </w:r>
      <w:bookmarkEnd w:id="261"/>
    </w:p>
    <w:p w14:paraId="04DCCB58" w14:textId="2B922B0A" w:rsidR="008E67EA" w:rsidRPr="00812077" w:rsidRDefault="008E67EA">
      <w:pPr>
        <w:pStyle w:val="NumberLevel2"/>
        <w:numPr>
          <w:ilvl w:val="1"/>
          <w:numId w:val="17"/>
        </w:numPr>
        <w:ind w:left="1134"/>
        <w:rPr>
          <w:b/>
          <w:bCs/>
        </w:rPr>
      </w:pPr>
      <w:bookmarkStart w:id="262" w:name="_Ref213519632"/>
      <w:r w:rsidRPr="00812077">
        <w:t xml:space="preserve">I consider that the specific use of anticoagulant rodenticides chemical products in and around animal, livestock and poultry houses, associated equipment, and food and feed processing areas poses the greatest risk of contamination of food commodities that may be consumed by human being. I note that chemical products formulated as loose pellets and grain baits were not supported in the residues assessment for use in these situations, as these bait types have the highest potential to contaminate food commodities due to spillage from a bait station by the target animal or during a routine check. I also </w:t>
      </w:r>
      <w:r w:rsidRPr="00812077">
        <w:lastRenderedPageBreak/>
        <w:t xml:space="preserve">consider that domestic anticoagulant rodenticide chemical products should not be used in these situations, due to the risks to human beings posed by inadvertent contamination of food commodities and that these products are proposed to be available to the general public who have not been trained in their safe use. Therefore, for commercial products formulated as loose pellets or grain and all domestic products listed in Attachment A of this notice (see </w:t>
      </w:r>
      <w:r w:rsidRPr="00812077">
        <w:fldChar w:fldCharType="begin"/>
      </w:r>
      <w:r w:rsidRPr="00812077">
        <w:instrText xml:space="preserve"> REF _Ref213257833 \h </w:instrText>
      </w:r>
      <w:r>
        <w:instrText xml:space="preserve"> \* MERGEFORMAT </w:instrText>
      </w:r>
      <w:r w:rsidRPr="00812077">
        <w:fldChar w:fldCharType="separate"/>
      </w:r>
      <w:r w:rsidR="002C0C2A">
        <w:t xml:space="preserve">Table </w:t>
      </w:r>
      <w:r w:rsidR="002C0C2A">
        <w:rPr>
          <w:noProof/>
        </w:rPr>
        <w:t>17</w:t>
      </w:r>
      <w:r w:rsidRPr="00812077">
        <w:fldChar w:fldCharType="end"/>
      </w:r>
      <w:r w:rsidRPr="00812077">
        <w:t xml:space="preserve"> in Attachment D), I consider that the instruction </w:t>
      </w:r>
      <w:r w:rsidRPr="00812077">
        <w:rPr>
          <w:b/>
          <w:bCs/>
          <w:i/>
          <w:iCs/>
        </w:rPr>
        <w:t>‘DO NOT place baits in and around animal, livestock and poultry houses, associated equipment, and food and feed processing areas.’</w:t>
      </w:r>
      <w:r w:rsidRPr="00812077">
        <w:t>. is required to be added to the instructions for use and that any instructions related to the use of these products in and around animal, livestock and poultry houses, associated equipment, or food and feed processing areas should be removed from the instructions for use.</w:t>
      </w:r>
      <w:bookmarkEnd w:id="258"/>
      <w:bookmarkEnd w:id="262"/>
    </w:p>
    <w:p w14:paraId="257192DD" w14:textId="5AAAB2FB" w:rsidR="008E67EA" w:rsidRPr="006A4730" w:rsidRDefault="008E67EA">
      <w:pPr>
        <w:pStyle w:val="NumberLevel2"/>
        <w:numPr>
          <w:ilvl w:val="1"/>
          <w:numId w:val="17"/>
        </w:numPr>
        <w:ind w:left="1134"/>
      </w:pPr>
      <w:bookmarkStart w:id="263" w:name="_Ref213491774"/>
      <w:r w:rsidRPr="00812077">
        <w:t>Finally, for commercial products listed in Attachment A of this notice that are formulated and packaged as</w:t>
      </w:r>
      <w:r w:rsidRPr="00812077">
        <w:rPr>
          <w:color w:val="000000" w:themeColor="text1"/>
        </w:rPr>
        <w:t xml:space="preserve"> blocks, paste in a caulking gun or paste/pellets in a sachet or place pack </w:t>
      </w:r>
      <w:r w:rsidRPr="00812077">
        <w:t xml:space="preserve">(see </w:t>
      </w:r>
      <w:r w:rsidRPr="00812077">
        <w:fldChar w:fldCharType="begin"/>
      </w:r>
      <w:r w:rsidRPr="00812077">
        <w:instrText xml:space="preserve"> REF _Ref213257833 \h  \* MERGEFORMAT </w:instrText>
      </w:r>
      <w:r w:rsidRPr="00812077">
        <w:fldChar w:fldCharType="separate"/>
      </w:r>
      <w:r w:rsidR="002C0C2A">
        <w:t xml:space="preserve">Table </w:t>
      </w:r>
      <w:r w:rsidR="002C0C2A">
        <w:rPr>
          <w:noProof/>
        </w:rPr>
        <w:t>17</w:t>
      </w:r>
      <w:r w:rsidRPr="00812077">
        <w:fldChar w:fldCharType="end"/>
      </w:r>
      <w:r w:rsidRPr="00812077">
        <w:t xml:space="preserve"> in Attachment D)</w:t>
      </w:r>
      <w:r w:rsidRPr="00812077">
        <w:rPr>
          <w:color w:val="000000" w:themeColor="text1"/>
        </w:rPr>
        <w:t xml:space="preserve">, I consider that the </w:t>
      </w:r>
      <w:r>
        <w:rPr>
          <w:color w:val="000000" w:themeColor="text1"/>
        </w:rPr>
        <w:t>following instructions for use</w:t>
      </w:r>
      <w:r w:rsidRPr="00812077">
        <w:rPr>
          <w:color w:val="000000" w:themeColor="text1"/>
        </w:rPr>
        <w:t xml:space="preserve"> are required to be added </w:t>
      </w:r>
      <w:r>
        <w:rPr>
          <w:color w:val="000000" w:themeColor="text1"/>
        </w:rPr>
        <w:t>in order</w:t>
      </w:r>
      <w:r w:rsidRPr="00917F48">
        <w:rPr>
          <w:color w:val="000000" w:themeColor="text1"/>
        </w:rPr>
        <w:t xml:space="preserve"> to mitigate any potential risks associated with contamination of food commodities from use of the products in and around buildings</w:t>
      </w:r>
      <w:bookmarkEnd w:id="263"/>
      <w:r>
        <w:rPr>
          <w:color w:val="000000" w:themeColor="text1"/>
        </w:rPr>
        <w:t>:</w:t>
      </w:r>
    </w:p>
    <w:p w14:paraId="111BDBFD" w14:textId="77777777" w:rsidR="008E67EA" w:rsidRPr="006A4730" w:rsidRDefault="008E67EA">
      <w:pPr>
        <w:pStyle w:val="NumberLevel3"/>
        <w:numPr>
          <w:ilvl w:val="2"/>
          <w:numId w:val="17"/>
        </w:numPr>
      </w:pPr>
      <w:bookmarkStart w:id="264" w:name="_Ref213531263"/>
      <w:r>
        <w:t>t</w:t>
      </w:r>
      <w:r w:rsidRPr="006A4730">
        <w:t>he restraints</w:t>
      </w:r>
      <w:r>
        <w:rPr>
          <w:b/>
          <w:bCs/>
          <w:i/>
          <w:iCs/>
        </w:rPr>
        <w:t xml:space="preserve"> </w:t>
      </w:r>
      <w:r w:rsidRPr="00812077">
        <w:rPr>
          <w:b/>
          <w:bCs/>
          <w:i/>
          <w:iCs/>
        </w:rPr>
        <w:t>‘DO NOT place in animal or livestock housing unless used in tamper</w:t>
      </w:r>
      <w:r>
        <w:rPr>
          <w:b/>
          <w:bCs/>
          <w:i/>
          <w:iCs/>
        </w:rPr>
        <w:t>-resistant</w:t>
      </w:r>
      <w:r w:rsidRPr="00812077">
        <w:rPr>
          <w:b/>
          <w:bCs/>
          <w:i/>
          <w:iCs/>
        </w:rPr>
        <w:t xml:space="preserve"> and weather</w:t>
      </w:r>
      <w:r>
        <w:rPr>
          <w:b/>
          <w:bCs/>
          <w:i/>
          <w:iCs/>
        </w:rPr>
        <w:t>-</w:t>
      </w:r>
      <w:r w:rsidRPr="00812077">
        <w:rPr>
          <w:b/>
          <w:bCs/>
          <w:i/>
          <w:iCs/>
        </w:rPr>
        <w:t>resistant bait stations fixed to the ground or other structures.’</w:t>
      </w:r>
      <w:r w:rsidRPr="00812077">
        <w:t>, ‘</w:t>
      </w:r>
      <w:r w:rsidRPr="00812077">
        <w:rPr>
          <w:b/>
          <w:bCs/>
          <w:i/>
          <w:iCs/>
        </w:rPr>
        <w:t>DO NOT place bait or bait stations above areas which would allow them to contaminate pig and poultry food or drinking water.’</w:t>
      </w:r>
      <w:r>
        <w:t>, and</w:t>
      </w:r>
      <w:bookmarkEnd w:id="264"/>
    </w:p>
    <w:p w14:paraId="74D3391F" w14:textId="77777777" w:rsidR="008E67EA" w:rsidRPr="00917F48" w:rsidRDefault="008E67EA">
      <w:pPr>
        <w:pStyle w:val="NumberLevel3"/>
        <w:numPr>
          <w:ilvl w:val="2"/>
          <w:numId w:val="17"/>
        </w:numPr>
      </w:pPr>
      <w:bookmarkStart w:id="265" w:name="_Ref213533593"/>
      <w:r>
        <w:t>t</w:t>
      </w:r>
      <w:r w:rsidRPr="006A4730">
        <w:t xml:space="preserve">he </w:t>
      </w:r>
      <w:r>
        <w:t>precautionary directions</w:t>
      </w:r>
      <w:r w:rsidRPr="00812077">
        <w:rPr>
          <w:color w:val="000000" w:themeColor="text1"/>
        </w:rPr>
        <w:t xml:space="preserve"> </w:t>
      </w:r>
      <w:r w:rsidRPr="00812077">
        <w:rPr>
          <w:b/>
          <w:bCs/>
          <w:i/>
          <w:iCs/>
          <w:color w:val="000000" w:themeColor="text1"/>
        </w:rPr>
        <w:t>‘</w:t>
      </w:r>
      <w:r w:rsidRPr="00812077">
        <w:rPr>
          <w:b/>
          <w:bCs/>
          <w:i/>
          <w:iCs/>
        </w:rPr>
        <w:t>When used in food producing animal housing situations careful consideration is necessary regarding the placement of bait stations to ensure any rodenticide contamination of water, feed or livestock is prevented.’</w:t>
      </w:r>
      <w:bookmarkEnd w:id="265"/>
    </w:p>
    <w:p w14:paraId="66434DA6" w14:textId="77777777" w:rsidR="008E67EA" w:rsidRPr="00143C09" w:rsidRDefault="008E67EA">
      <w:pPr>
        <w:pStyle w:val="NumberLevel1"/>
        <w:numPr>
          <w:ilvl w:val="0"/>
          <w:numId w:val="17"/>
        </w:numPr>
        <w:tabs>
          <w:tab w:val="clear" w:pos="709"/>
          <w:tab w:val="num" w:pos="2553"/>
        </w:tabs>
        <w:rPr>
          <w:color w:val="000000" w:themeColor="text1"/>
        </w:rPr>
      </w:pPr>
      <w:r w:rsidRPr="00143C09">
        <w:rPr>
          <w:color w:val="000000" w:themeColor="text1"/>
        </w:rPr>
        <w:t xml:space="preserve">Based on my review and consideration of the risk assessment </w:t>
      </w:r>
      <w:r>
        <w:rPr>
          <w:color w:val="000000" w:themeColor="text1"/>
        </w:rPr>
        <w:t xml:space="preserve">summarised in sections </w:t>
      </w:r>
      <w:r w:rsidRPr="006B5FF8">
        <w:rPr>
          <w:i/>
          <w:iCs/>
        </w:rPr>
        <w:t xml:space="preserve">‘5.1.2 </w:t>
      </w:r>
      <w:r w:rsidRPr="006B5FF8">
        <w:rPr>
          <w:i/>
          <w:iCs/>
          <w:color w:val="000000" w:themeColor="text1"/>
        </w:rPr>
        <w:t>In and around buildings’</w:t>
      </w:r>
      <w:r>
        <w:rPr>
          <w:i/>
          <w:iCs/>
          <w:color w:val="000000" w:themeColor="text1"/>
        </w:rPr>
        <w:t>,</w:t>
      </w:r>
      <w:r>
        <w:rPr>
          <w:color w:val="000000" w:themeColor="text1"/>
        </w:rPr>
        <w:t xml:space="preserve"> </w:t>
      </w:r>
      <w:r w:rsidRPr="006B5FF8">
        <w:rPr>
          <w:i/>
          <w:iCs/>
          <w:color w:val="000000" w:themeColor="text1"/>
        </w:rPr>
        <w:t>‘5.1.3 Bait formulation’</w:t>
      </w:r>
      <w:r>
        <w:rPr>
          <w:i/>
          <w:iCs/>
          <w:color w:val="000000" w:themeColor="text1"/>
        </w:rPr>
        <w:t xml:space="preserve"> </w:t>
      </w:r>
      <w:r w:rsidRPr="006B5FF8">
        <w:rPr>
          <w:color w:val="000000" w:themeColor="text1"/>
        </w:rPr>
        <w:t>and</w:t>
      </w:r>
      <w:r w:rsidRPr="00C17B32">
        <w:rPr>
          <w:color w:val="000000" w:themeColor="text1"/>
        </w:rPr>
        <w:t xml:space="preserve"> </w:t>
      </w:r>
      <w:r w:rsidRPr="006B5FF8">
        <w:rPr>
          <w:i/>
          <w:iCs/>
          <w:color w:val="000000" w:themeColor="text1"/>
        </w:rPr>
        <w:t>‘5.1.5 Carcass management’</w:t>
      </w:r>
      <w:r>
        <w:rPr>
          <w:color w:val="000000" w:themeColor="text1"/>
        </w:rPr>
        <w:t xml:space="preserve"> of the </w:t>
      </w:r>
      <w:r w:rsidRPr="00143C09">
        <w:rPr>
          <w:i/>
          <w:iCs/>
          <w:color w:val="000000" w:themeColor="text1"/>
        </w:rPr>
        <w:t xml:space="preserve">Anticoagulant Rodenticides Review Technical Report, </w:t>
      </w:r>
      <w:r w:rsidRPr="00143C09">
        <w:rPr>
          <w:color w:val="000000" w:themeColor="text1"/>
        </w:rPr>
        <w:t xml:space="preserve">I consider that use of the chemical products listed in Attachment A of this notice in and around buildings in accordance with the proposed varied instructions for use noted above, in conjunction with relevant industry best practices, is not expected to result in the contamination of livestock or poultry feeds or animal commodities including meat offal milk and eggs. As such, I </w:t>
      </w:r>
      <w:r>
        <w:rPr>
          <w:color w:val="000000" w:themeColor="text1"/>
        </w:rPr>
        <w:t>am satisfied</w:t>
      </w:r>
      <w:r w:rsidRPr="00143C09">
        <w:rPr>
          <w:color w:val="000000" w:themeColor="text1"/>
        </w:rPr>
        <w:t xml:space="preserve"> that the use of the chemical products listed in Attachment A of this notice in and around buildings with the proposed varied instructions for use would not be likely have an effect that is harmful to human beings who consume these animal commodities.</w:t>
      </w:r>
    </w:p>
    <w:p w14:paraId="3F06CF04" w14:textId="77777777" w:rsidR="008E67EA" w:rsidRPr="00BE3D2E" w:rsidRDefault="008E67EA" w:rsidP="008E67EA">
      <w:pPr>
        <w:pStyle w:val="StatementofReasonsHeading5"/>
      </w:pPr>
      <w:r w:rsidRPr="00BE3D2E">
        <w:t>Field crop</w:t>
      </w:r>
      <w:r>
        <w:t xml:space="preserve"> use</w:t>
      </w:r>
      <w:r w:rsidRPr="00BE3D2E">
        <w:t>s</w:t>
      </w:r>
    </w:p>
    <w:p w14:paraId="0340B402" w14:textId="77777777" w:rsidR="008E67EA" w:rsidRPr="00D869C6" w:rsidRDefault="008E67EA">
      <w:pPr>
        <w:pStyle w:val="NumberLevel1"/>
        <w:numPr>
          <w:ilvl w:val="0"/>
          <w:numId w:val="17"/>
        </w:numPr>
        <w:tabs>
          <w:tab w:val="clear" w:pos="709"/>
          <w:tab w:val="num" w:pos="2553"/>
        </w:tabs>
        <w:rPr>
          <w:color w:val="000000" w:themeColor="text1"/>
        </w:rPr>
      </w:pPr>
      <w:bookmarkStart w:id="266" w:name="_Ref205885713"/>
      <w:r w:rsidRPr="005E25BA">
        <w:rPr>
          <w:color w:val="000000" w:themeColor="text1"/>
        </w:rPr>
        <w:t xml:space="preserve">Based on </w:t>
      </w:r>
      <w:r>
        <w:rPr>
          <w:color w:val="000000" w:themeColor="text1"/>
        </w:rPr>
        <w:t xml:space="preserve">my review </w:t>
      </w:r>
      <w:r w:rsidRPr="00D869C6">
        <w:rPr>
          <w:color w:val="000000" w:themeColor="text1"/>
        </w:rPr>
        <w:t xml:space="preserve">and considerations of the assessment summarised in </w:t>
      </w:r>
      <w:r>
        <w:rPr>
          <w:color w:val="000000" w:themeColor="text1"/>
        </w:rPr>
        <w:t xml:space="preserve">section </w:t>
      </w:r>
      <w:r w:rsidRPr="00D035F8">
        <w:rPr>
          <w:i/>
          <w:iCs/>
          <w:color w:val="000000" w:themeColor="text1"/>
        </w:rPr>
        <w:t>‘5.1.1. Field crops’</w:t>
      </w:r>
      <w:r>
        <w:rPr>
          <w:color w:val="000000" w:themeColor="text1"/>
        </w:rPr>
        <w:t xml:space="preserve"> </w:t>
      </w:r>
      <w:r w:rsidRPr="00D869C6">
        <w:rPr>
          <w:color w:val="000000" w:themeColor="text1"/>
        </w:rPr>
        <w:t xml:space="preserve">of the </w:t>
      </w:r>
      <w:r w:rsidRPr="00D869C6">
        <w:rPr>
          <w:i/>
          <w:iCs/>
          <w:color w:val="000000" w:themeColor="text1"/>
        </w:rPr>
        <w:t>Anticoagulant Rodenticides Review Technical Report</w:t>
      </w:r>
      <w:r w:rsidRPr="00D869C6">
        <w:rPr>
          <w:color w:val="000000" w:themeColor="text1"/>
        </w:rPr>
        <w:t>, I note that the use of coumatetralyl chemical products in currently registered agricultural cropping situations would not be likely to result in contamination of food commodities so long</w:t>
      </w:r>
      <w:r>
        <w:rPr>
          <w:color w:val="000000" w:themeColor="text1"/>
        </w:rPr>
        <w:t xml:space="preserve"> as</w:t>
      </w:r>
      <w:r w:rsidRPr="00D869C6">
        <w:rPr>
          <w:color w:val="000000" w:themeColor="text1"/>
        </w:rPr>
        <w:t xml:space="preserve"> livestock is not permitted to graze in the baiting area and the baiting material does not come into direct contact with the food commodity (i.e. a macadamia nut), crop (i.e. parts of the tree) or the soil in which crops are grown. Therefore, I consider:</w:t>
      </w:r>
      <w:bookmarkEnd w:id="266"/>
    </w:p>
    <w:p w14:paraId="64466540" w14:textId="77777777" w:rsidR="008E67EA" w:rsidRPr="0064694A" w:rsidRDefault="008E67EA">
      <w:pPr>
        <w:pStyle w:val="NumberLevel2"/>
        <w:numPr>
          <w:ilvl w:val="1"/>
          <w:numId w:val="17"/>
        </w:numPr>
        <w:ind w:left="1134"/>
        <w:rPr>
          <w:color w:val="000000" w:themeColor="text1"/>
        </w:rPr>
      </w:pPr>
      <w:r w:rsidRPr="00D869C6">
        <w:t xml:space="preserve">The following instructions for use are required for relevant coumatetralyl chemical products </w:t>
      </w:r>
      <w:r w:rsidRPr="00D035F8">
        <w:rPr>
          <w:color w:val="000000" w:themeColor="text1"/>
        </w:rPr>
        <w:t xml:space="preserve">(52098, 82217), </w:t>
      </w:r>
      <w:r w:rsidRPr="00D035F8">
        <w:t>to reduce</w:t>
      </w:r>
      <w:r w:rsidRPr="00D869C6">
        <w:t xml:space="preserve"> the risk of exposure of livestock and horticultural commodities: </w:t>
      </w:r>
    </w:p>
    <w:p w14:paraId="7BA72EC0" w14:textId="77777777" w:rsidR="008E67EA" w:rsidRPr="0064694A" w:rsidRDefault="008E67EA">
      <w:pPr>
        <w:pStyle w:val="NumberLevel3"/>
        <w:numPr>
          <w:ilvl w:val="2"/>
          <w:numId w:val="17"/>
        </w:numPr>
        <w:rPr>
          <w:color w:val="000000" w:themeColor="text1"/>
        </w:rPr>
      </w:pPr>
      <w:bookmarkStart w:id="267" w:name="_Ref213532407"/>
      <w:r>
        <w:t xml:space="preserve">the restraints </w:t>
      </w:r>
      <w:r w:rsidRPr="00D035F8">
        <w:rPr>
          <w:b/>
          <w:bCs/>
          <w:i/>
          <w:iCs/>
        </w:rPr>
        <w:t>‘DO NOT place bait in food crop situations unless in tamper-resistant and weather-resistant bait stations. DO NOT graze or feed livestock near treated areas whilst bait is present.</w:t>
      </w:r>
      <w:r w:rsidRPr="0064694A">
        <w:rPr>
          <w:b/>
          <w:bCs/>
        </w:rPr>
        <w:t>’</w:t>
      </w:r>
      <w:r>
        <w:t>, and</w:t>
      </w:r>
      <w:bookmarkEnd w:id="267"/>
      <w:r>
        <w:t xml:space="preserve"> </w:t>
      </w:r>
    </w:p>
    <w:p w14:paraId="57B97F2C" w14:textId="77777777" w:rsidR="008E67EA" w:rsidRPr="001029BC" w:rsidRDefault="008E67EA">
      <w:pPr>
        <w:pStyle w:val="NumberLevel3"/>
        <w:numPr>
          <w:ilvl w:val="2"/>
          <w:numId w:val="17"/>
        </w:numPr>
        <w:rPr>
          <w:color w:val="000000" w:themeColor="text1"/>
        </w:rPr>
      </w:pPr>
      <w:bookmarkStart w:id="268" w:name="_Ref213532648"/>
      <w:r>
        <w:t xml:space="preserve">the directions </w:t>
      </w:r>
      <w:r w:rsidRPr="0064694A">
        <w:rPr>
          <w:b/>
          <w:bCs/>
          <w:i/>
          <w:iCs/>
        </w:rPr>
        <w:t>‘</w:t>
      </w:r>
      <w:r w:rsidRPr="0064694A">
        <w:rPr>
          <w:b/>
          <w:bCs/>
          <w:i/>
          <w:iCs/>
          <w:color w:val="000000" w:themeColor="text1"/>
        </w:rPr>
        <w:t>Use in tamper</w:t>
      </w:r>
      <w:r>
        <w:rPr>
          <w:b/>
          <w:bCs/>
          <w:i/>
          <w:iCs/>
          <w:color w:val="000000" w:themeColor="text1"/>
        </w:rPr>
        <w:t>-resistant</w:t>
      </w:r>
      <w:r w:rsidRPr="0064694A">
        <w:rPr>
          <w:b/>
          <w:bCs/>
          <w:i/>
          <w:iCs/>
          <w:color w:val="000000" w:themeColor="text1"/>
        </w:rPr>
        <w:t xml:space="preserve"> and weather</w:t>
      </w:r>
      <w:r>
        <w:rPr>
          <w:b/>
          <w:bCs/>
          <w:i/>
          <w:iCs/>
          <w:color w:val="000000" w:themeColor="text1"/>
        </w:rPr>
        <w:t>-</w:t>
      </w:r>
      <w:r w:rsidRPr="0064694A">
        <w:rPr>
          <w:b/>
          <w:bCs/>
          <w:i/>
          <w:iCs/>
          <w:color w:val="000000" w:themeColor="text1"/>
        </w:rPr>
        <w:t>resistant bait stations only. Bait stations must be fixed to the ground or other structures to prevent movement.’</w:t>
      </w:r>
      <w:r w:rsidRPr="00CD5B32">
        <w:rPr>
          <w:color w:val="000000" w:themeColor="text1"/>
        </w:rPr>
        <w:t xml:space="preserve"> and </w:t>
      </w:r>
      <w:r w:rsidRPr="0064694A">
        <w:rPr>
          <w:b/>
          <w:bCs/>
          <w:i/>
          <w:iCs/>
          <w:color w:val="000000" w:themeColor="text1"/>
        </w:rPr>
        <w:t xml:space="preserve">‘The bait material </w:t>
      </w:r>
      <w:r w:rsidRPr="0064694A">
        <w:rPr>
          <w:b/>
          <w:bCs/>
          <w:i/>
          <w:iCs/>
          <w:color w:val="000000" w:themeColor="text1"/>
        </w:rPr>
        <w:lastRenderedPageBreak/>
        <w:t>must be placed in a bait station</w:t>
      </w:r>
      <w:r>
        <w:rPr>
          <w:b/>
          <w:bCs/>
          <w:i/>
          <w:iCs/>
          <w:color w:val="000000" w:themeColor="text1"/>
        </w:rPr>
        <w:t>. B</w:t>
      </w:r>
      <w:r w:rsidRPr="0064694A">
        <w:rPr>
          <w:b/>
          <w:bCs/>
          <w:i/>
          <w:iCs/>
          <w:color w:val="000000" w:themeColor="text1"/>
        </w:rPr>
        <w:t xml:space="preserve">ait </w:t>
      </w:r>
      <w:r>
        <w:rPr>
          <w:b/>
          <w:bCs/>
          <w:i/>
          <w:iCs/>
          <w:color w:val="000000" w:themeColor="text1"/>
        </w:rPr>
        <w:t>must not come</w:t>
      </w:r>
      <w:r w:rsidRPr="0064694A">
        <w:rPr>
          <w:b/>
          <w:bCs/>
          <w:i/>
          <w:iCs/>
          <w:color w:val="000000" w:themeColor="text1"/>
        </w:rPr>
        <w:t xml:space="preserve"> in direct contact with crops, food products or soil in which crops are grown.’</w:t>
      </w:r>
      <w:r w:rsidRPr="0064694A">
        <w:rPr>
          <w:color w:val="000000" w:themeColor="text1"/>
        </w:rPr>
        <w:t>.</w:t>
      </w:r>
      <w:bookmarkEnd w:id="268"/>
    </w:p>
    <w:p w14:paraId="0250ABE8" w14:textId="77777777" w:rsidR="008E67EA" w:rsidRPr="00D035F8" w:rsidRDefault="008E67EA">
      <w:pPr>
        <w:pStyle w:val="NumberLevel2"/>
        <w:numPr>
          <w:ilvl w:val="1"/>
          <w:numId w:val="17"/>
        </w:numPr>
        <w:ind w:left="1134"/>
        <w:rPr>
          <w:color w:val="000000" w:themeColor="text1"/>
        </w:rPr>
      </w:pPr>
      <w:bookmarkStart w:id="269" w:name="_Ref213532649"/>
      <w:r>
        <w:rPr>
          <w:color w:val="000000" w:themeColor="text1"/>
        </w:rPr>
        <w:t xml:space="preserve">In relation to the </w:t>
      </w:r>
      <w:r w:rsidRPr="005E25BA">
        <w:rPr>
          <w:color w:val="000000" w:themeColor="text1"/>
        </w:rPr>
        <w:t>current</w:t>
      </w:r>
      <w:r>
        <w:rPr>
          <w:color w:val="000000" w:themeColor="text1"/>
        </w:rPr>
        <w:t xml:space="preserve">ly approved use of certain </w:t>
      </w:r>
      <w:r w:rsidRPr="001029BC">
        <w:t>coumatetralyl chemical product</w:t>
      </w:r>
      <w:r>
        <w:t xml:space="preserve">s </w:t>
      </w:r>
      <w:r w:rsidRPr="00CD5B32">
        <w:rPr>
          <w:color w:val="000000" w:themeColor="text1"/>
        </w:rPr>
        <w:t>(52098, 82217)</w:t>
      </w:r>
      <w:r w:rsidRPr="001029BC">
        <w:t xml:space="preserve"> </w:t>
      </w:r>
      <w:r>
        <w:t>in macadamia field crops, t</w:t>
      </w:r>
      <w:r w:rsidRPr="001029BC">
        <w:rPr>
          <w:color w:val="000000" w:themeColor="text1"/>
        </w:rPr>
        <w:t xml:space="preserve">he following instructions for use </w:t>
      </w:r>
      <w:r>
        <w:rPr>
          <w:color w:val="000000" w:themeColor="text1"/>
        </w:rPr>
        <w:t>are</w:t>
      </w:r>
      <w:r w:rsidRPr="001029BC">
        <w:rPr>
          <w:color w:val="000000" w:themeColor="text1"/>
        </w:rPr>
        <w:t xml:space="preserve"> </w:t>
      </w:r>
      <w:r>
        <w:rPr>
          <w:color w:val="000000" w:themeColor="text1"/>
        </w:rPr>
        <w:t xml:space="preserve">also </w:t>
      </w:r>
      <w:r w:rsidRPr="001029BC">
        <w:rPr>
          <w:color w:val="000000" w:themeColor="text1"/>
        </w:rPr>
        <w:t>required</w:t>
      </w:r>
      <w:r>
        <w:rPr>
          <w:color w:val="000000" w:themeColor="text1"/>
        </w:rPr>
        <w:t xml:space="preserve">: </w:t>
      </w:r>
      <w:bookmarkStart w:id="270" w:name="_Hlk212542294"/>
      <w:r w:rsidRPr="00666AEE">
        <w:rPr>
          <w:b/>
          <w:bCs/>
          <w:i/>
          <w:iCs/>
          <w:color w:val="000000" w:themeColor="text1"/>
        </w:rPr>
        <w:t xml:space="preserve">‘Locate bait stations around crop perimeters or in the outer 3 rows for macadamia cropping (particularly between the crop and grassy or bush habitats), near obvious rat runs, and/or close to known rat hiding spots such as </w:t>
      </w:r>
      <w:r w:rsidRPr="00D035F8">
        <w:rPr>
          <w:b/>
          <w:bCs/>
          <w:i/>
          <w:iCs/>
          <w:color w:val="000000" w:themeColor="text1"/>
        </w:rPr>
        <w:t>stumps, rocks, logs or burrows.</w:t>
      </w:r>
      <w:bookmarkEnd w:id="270"/>
      <w:r w:rsidRPr="00D035F8">
        <w:rPr>
          <w:b/>
          <w:bCs/>
          <w:i/>
          <w:iCs/>
          <w:color w:val="000000" w:themeColor="text1"/>
        </w:rPr>
        <w:t>’</w:t>
      </w:r>
      <w:bookmarkEnd w:id="269"/>
    </w:p>
    <w:p w14:paraId="6BDF8C7D" w14:textId="77777777" w:rsidR="008E67EA" w:rsidRPr="00D869C6" w:rsidRDefault="008E67EA">
      <w:pPr>
        <w:pStyle w:val="NumberLevel1"/>
        <w:numPr>
          <w:ilvl w:val="0"/>
          <w:numId w:val="17"/>
        </w:numPr>
        <w:tabs>
          <w:tab w:val="clear" w:pos="709"/>
          <w:tab w:val="num" w:pos="2553"/>
        </w:tabs>
        <w:rPr>
          <w:color w:val="000000" w:themeColor="text1"/>
        </w:rPr>
      </w:pPr>
      <w:bookmarkStart w:id="271" w:name="_Ref213489285"/>
      <w:r w:rsidRPr="00D035F8">
        <w:rPr>
          <w:color w:val="000000" w:themeColor="text1"/>
        </w:rPr>
        <w:t>In relation to certain ready-to-use coumatetralyl chemical products (52098, 82217), I find that use in agricultural crops, in accordance with the proposed varied instructions for use noted above</w:t>
      </w:r>
      <w:r w:rsidRPr="00CF3967">
        <w:rPr>
          <w:color w:val="000000" w:themeColor="text1"/>
        </w:rPr>
        <w:t>, would not be likely to contaminat</w:t>
      </w:r>
      <w:r>
        <w:rPr>
          <w:color w:val="000000" w:themeColor="text1"/>
        </w:rPr>
        <w:t>e</w:t>
      </w:r>
      <w:r w:rsidRPr="00CF3967">
        <w:rPr>
          <w:color w:val="000000" w:themeColor="text1"/>
        </w:rPr>
        <w:t xml:space="preserve"> food commodities a</w:t>
      </w:r>
      <w:r>
        <w:rPr>
          <w:color w:val="000000" w:themeColor="text1"/>
        </w:rPr>
        <w:t>nd t</w:t>
      </w:r>
      <w:r w:rsidRPr="00CF3967">
        <w:rPr>
          <w:color w:val="000000" w:themeColor="text1"/>
        </w:rPr>
        <w:t>herefore</w:t>
      </w:r>
      <w:r>
        <w:rPr>
          <w:color w:val="000000" w:themeColor="text1"/>
        </w:rPr>
        <w:t xml:space="preserve"> </w:t>
      </w:r>
      <w:r w:rsidRPr="00CF3967">
        <w:rPr>
          <w:color w:val="000000" w:themeColor="text1"/>
        </w:rPr>
        <w:t xml:space="preserve">would not be likely have an effect that is </w:t>
      </w:r>
      <w:r w:rsidRPr="00D869C6">
        <w:rPr>
          <w:color w:val="000000" w:themeColor="text1"/>
        </w:rPr>
        <w:t>harmful to human beings who consume the associated food commodities.</w:t>
      </w:r>
      <w:bookmarkEnd w:id="271"/>
    </w:p>
    <w:p w14:paraId="7A1D93DD" w14:textId="77777777" w:rsidR="008E67EA" w:rsidRPr="00D869C6" w:rsidRDefault="008E67EA" w:rsidP="008E67EA">
      <w:pPr>
        <w:pStyle w:val="StatementofReasonsHeading4"/>
      </w:pPr>
      <w:r>
        <w:t xml:space="preserve">Overall considerations </w:t>
      </w:r>
      <w:r w:rsidRPr="00D869C6">
        <w:t>on whether there is an undue hazard to the safety of humans or harmful effects on human beings</w:t>
      </w:r>
    </w:p>
    <w:p w14:paraId="5BBE912D" w14:textId="470910FA" w:rsidR="008E67EA" w:rsidRDefault="008E67EA">
      <w:pPr>
        <w:pStyle w:val="NumberLevel1"/>
        <w:numPr>
          <w:ilvl w:val="0"/>
          <w:numId w:val="17"/>
        </w:numPr>
        <w:tabs>
          <w:tab w:val="clear" w:pos="709"/>
          <w:tab w:val="num" w:pos="2553"/>
        </w:tabs>
        <w:rPr>
          <w:color w:val="000000" w:themeColor="text1"/>
        </w:rPr>
      </w:pPr>
      <w:r w:rsidRPr="00D869C6">
        <w:t>I consider that there are no other relevant matters with respect to whether the use of anticoagulant rodenticide chemical products in accordance with instructions would be an</w:t>
      </w:r>
      <w:r w:rsidRPr="00D869C6">
        <w:rPr>
          <w:color w:val="000000" w:themeColor="text1"/>
        </w:rPr>
        <w:t xml:space="preserve"> undue hazard to the safety of people exposed to products during their handling or people using anything containing their residues or would have an effect that is harmful to human beings.</w:t>
      </w:r>
    </w:p>
    <w:p w14:paraId="38D449FC" w14:textId="2A60090D" w:rsidR="008E67EA" w:rsidRPr="00E47497" w:rsidRDefault="008E67EA">
      <w:pPr>
        <w:pStyle w:val="NumberLevel1"/>
        <w:numPr>
          <w:ilvl w:val="0"/>
          <w:numId w:val="17"/>
        </w:numPr>
        <w:tabs>
          <w:tab w:val="clear" w:pos="709"/>
          <w:tab w:val="num" w:pos="2553"/>
        </w:tabs>
        <w:rPr>
          <w:color w:val="000000" w:themeColor="text1"/>
        </w:rPr>
      </w:pPr>
      <w:r>
        <w:t xml:space="preserve">I am not satisfied that the use of the ready-to-use </w:t>
      </w:r>
      <w:r w:rsidRPr="00F24CD0">
        <w:t>anticoagulant rodenticides</w:t>
      </w:r>
      <w:r>
        <w:t xml:space="preserve"> chemical products listed in </w:t>
      </w:r>
      <w:r w:rsidRPr="00D869C6">
        <w:t>Attachment A of this notice</w:t>
      </w:r>
      <w:r>
        <w:t xml:space="preserve"> in accordance with current instructions</w:t>
      </w:r>
      <w:r w:rsidRPr="00D869C6">
        <w:t xml:space="preserve"> would not be an undue hazard to the safety of people</w:t>
      </w:r>
      <w:r w:rsidRPr="00206B9F">
        <w:t xml:space="preserve"> exposed to it during its handling or people using anything containing its residues</w:t>
      </w:r>
      <w:r>
        <w:t xml:space="preserve"> and </w:t>
      </w:r>
      <w:r w:rsidRPr="00206B9F">
        <w:t>would not be likely to have an effect that is harmful to human beings</w:t>
      </w:r>
      <w:r>
        <w:t xml:space="preserve">. However, </w:t>
      </w:r>
      <w:bookmarkStart w:id="272" w:name="_Ref207101434"/>
      <w:r w:rsidRPr="00D869C6">
        <w:t>I am satisfied that the</w:t>
      </w:r>
      <w:r>
        <w:t xml:space="preserve"> use of these products w</w:t>
      </w:r>
      <w:r w:rsidRPr="00D869C6">
        <w:t>ould not be an undue hazard to the safety of people</w:t>
      </w:r>
      <w:r w:rsidRPr="00206B9F">
        <w:t xml:space="preserve"> exposed to it during its handling or people using anything containing its residues</w:t>
      </w:r>
      <w:r>
        <w:t xml:space="preserve"> and </w:t>
      </w:r>
      <w:r w:rsidRPr="00206B9F">
        <w:t>would not be likely to have an effect that is harmful to human beings</w:t>
      </w:r>
      <w:r>
        <w:t xml:space="preserve"> after variation of the instructions for use detailed above </w:t>
      </w:r>
      <w:r w:rsidRPr="00E47497">
        <w:rPr>
          <w:color w:val="000000" w:themeColor="text1"/>
        </w:rPr>
        <w:t xml:space="preserve">in paragraphs </w:t>
      </w:r>
      <w:r w:rsidRPr="00E47497">
        <w:rPr>
          <w:color w:val="000000" w:themeColor="text1"/>
        </w:rPr>
        <w:fldChar w:fldCharType="begin"/>
      </w:r>
      <w:r w:rsidRPr="00E47497">
        <w:rPr>
          <w:color w:val="000000" w:themeColor="text1"/>
        </w:rPr>
        <w:instrText xml:space="preserve"> REF _Ref205884961 \r \h  \* MERGEFORMAT </w:instrText>
      </w:r>
      <w:r w:rsidRPr="00E47497">
        <w:rPr>
          <w:color w:val="000000" w:themeColor="text1"/>
        </w:rPr>
      </w:r>
      <w:r w:rsidRPr="00E47497">
        <w:rPr>
          <w:color w:val="000000" w:themeColor="text1"/>
        </w:rPr>
        <w:fldChar w:fldCharType="separate"/>
      </w:r>
      <w:r w:rsidR="002C0C2A">
        <w:rPr>
          <w:color w:val="000000" w:themeColor="text1"/>
        </w:rPr>
        <w:t>82</w:t>
      </w:r>
      <w:r w:rsidRPr="00E47497">
        <w:rPr>
          <w:color w:val="000000" w:themeColor="text1"/>
        </w:rPr>
        <w:fldChar w:fldCharType="end"/>
      </w:r>
      <w:r w:rsidRPr="00E47497">
        <w:rPr>
          <w:color w:val="000000" w:themeColor="text1"/>
        </w:rPr>
        <w:t xml:space="preserve">, </w:t>
      </w:r>
      <w:r w:rsidRPr="00E47497">
        <w:rPr>
          <w:color w:val="000000" w:themeColor="text1"/>
        </w:rPr>
        <w:fldChar w:fldCharType="begin"/>
      </w:r>
      <w:r w:rsidRPr="00E47497">
        <w:rPr>
          <w:color w:val="000000" w:themeColor="text1"/>
        </w:rPr>
        <w:instrText xml:space="preserve"> REF _Ref213444614 \w \h  \* MERGEFORMAT </w:instrText>
      </w:r>
      <w:r w:rsidRPr="00E47497">
        <w:rPr>
          <w:color w:val="000000" w:themeColor="text1"/>
        </w:rPr>
      </w:r>
      <w:r w:rsidRPr="00E47497">
        <w:rPr>
          <w:color w:val="000000" w:themeColor="text1"/>
        </w:rPr>
        <w:fldChar w:fldCharType="separate"/>
      </w:r>
      <w:r w:rsidR="002C0C2A">
        <w:rPr>
          <w:color w:val="000000" w:themeColor="text1"/>
        </w:rPr>
        <w:t>87.3</w:t>
      </w:r>
      <w:r w:rsidRPr="00E47497">
        <w:rPr>
          <w:color w:val="000000" w:themeColor="text1"/>
        </w:rPr>
        <w:fldChar w:fldCharType="end"/>
      </w:r>
      <w:r w:rsidRPr="00E47497">
        <w:rPr>
          <w:color w:val="000000" w:themeColor="text1"/>
        </w:rPr>
        <w:t xml:space="preserve">, </w:t>
      </w:r>
      <w:r w:rsidRPr="00E47497">
        <w:rPr>
          <w:color w:val="000000" w:themeColor="text1"/>
        </w:rPr>
        <w:fldChar w:fldCharType="begin"/>
      </w:r>
      <w:r w:rsidRPr="00E47497">
        <w:rPr>
          <w:color w:val="000000" w:themeColor="text1"/>
        </w:rPr>
        <w:instrText xml:space="preserve"> REF _Ref205885561 \r \h  \* MERGEFORMAT </w:instrText>
      </w:r>
      <w:r w:rsidRPr="00E47497">
        <w:rPr>
          <w:color w:val="000000" w:themeColor="text1"/>
        </w:rPr>
      </w:r>
      <w:r w:rsidRPr="00E47497">
        <w:rPr>
          <w:color w:val="000000" w:themeColor="text1"/>
        </w:rPr>
        <w:fldChar w:fldCharType="separate"/>
      </w:r>
      <w:r w:rsidR="002C0C2A">
        <w:rPr>
          <w:color w:val="000000" w:themeColor="text1"/>
        </w:rPr>
        <w:t>93</w:t>
      </w:r>
      <w:r w:rsidRPr="00E47497">
        <w:rPr>
          <w:color w:val="000000" w:themeColor="text1"/>
        </w:rPr>
        <w:fldChar w:fldCharType="end"/>
      </w:r>
      <w:r w:rsidRPr="00E47497">
        <w:rPr>
          <w:color w:val="000000" w:themeColor="text1"/>
        </w:rPr>
        <w:t xml:space="preserve">, </w:t>
      </w:r>
      <w:r w:rsidRPr="00E47497">
        <w:rPr>
          <w:color w:val="000000" w:themeColor="text1"/>
        </w:rPr>
        <w:fldChar w:fldCharType="begin"/>
      </w:r>
      <w:r w:rsidRPr="00E47497">
        <w:rPr>
          <w:color w:val="000000" w:themeColor="text1"/>
        </w:rPr>
        <w:instrText xml:space="preserve"> REF _Ref205885585 \r \h  \* MERGEFORMAT </w:instrText>
      </w:r>
      <w:r w:rsidRPr="00E47497">
        <w:rPr>
          <w:color w:val="000000" w:themeColor="text1"/>
        </w:rPr>
      </w:r>
      <w:r w:rsidRPr="00E47497">
        <w:rPr>
          <w:color w:val="000000" w:themeColor="text1"/>
        </w:rPr>
        <w:fldChar w:fldCharType="separate"/>
      </w:r>
      <w:r w:rsidR="002C0C2A">
        <w:rPr>
          <w:color w:val="000000" w:themeColor="text1"/>
        </w:rPr>
        <w:t>95</w:t>
      </w:r>
      <w:r w:rsidRPr="00E47497">
        <w:rPr>
          <w:color w:val="000000" w:themeColor="text1"/>
        </w:rPr>
        <w:fldChar w:fldCharType="end"/>
      </w:r>
      <w:r w:rsidRPr="00E47497">
        <w:rPr>
          <w:color w:val="000000" w:themeColor="text1"/>
        </w:rPr>
        <w:t xml:space="preserve">, </w:t>
      </w:r>
      <w:r w:rsidRPr="00E47497">
        <w:rPr>
          <w:color w:val="FF0000"/>
        </w:rPr>
        <w:fldChar w:fldCharType="begin"/>
      </w:r>
      <w:r w:rsidRPr="00E47497">
        <w:rPr>
          <w:color w:val="000000" w:themeColor="text1"/>
        </w:rPr>
        <w:instrText xml:space="preserve"> REF _Ref213444704 \w \h </w:instrText>
      </w:r>
      <w:r w:rsidRPr="00E47497">
        <w:rPr>
          <w:color w:val="FF0000"/>
        </w:rPr>
        <w:instrText xml:space="preserve"> \* MERGEFORMAT </w:instrText>
      </w:r>
      <w:r w:rsidRPr="00E47497">
        <w:rPr>
          <w:color w:val="FF0000"/>
        </w:rPr>
      </w:r>
      <w:r w:rsidRPr="00E47497">
        <w:rPr>
          <w:color w:val="FF0000"/>
        </w:rPr>
        <w:fldChar w:fldCharType="separate"/>
      </w:r>
      <w:r w:rsidR="002C0C2A">
        <w:rPr>
          <w:color w:val="000000" w:themeColor="text1"/>
        </w:rPr>
        <w:t>97.1</w:t>
      </w:r>
      <w:r w:rsidRPr="00E47497">
        <w:rPr>
          <w:color w:val="FF0000"/>
        </w:rPr>
        <w:fldChar w:fldCharType="end"/>
      </w:r>
      <w:r w:rsidRPr="00D035F8">
        <w:t>,</w:t>
      </w:r>
      <w:r w:rsidRPr="00E47497">
        <w:rPr>
          <w:color w:val="FF0000"/>
        </w:rPr>
        <w:t xml:space="preserve"> </w:t>
      </w:r>
      <w:r w:rsidRPr="00E47497">
        <w:rPr>
          <w:color w:val="000000" w:themeColor="text1"/>
        </w:rPr>
        <w:fldChar w:fldCharType="begin"/>
      </w:r>
      <w:r w:rsidRPr="00E47497">
        <w:rPr>
          <w:color w:val="000000" w:themeColor="text1"/>
        </w:rPr>
        <w:instrText xml:space="preserve"> REF _Ref205885671 \r \h  \* MERGEFORMAT </w:instrText>
      </w:r>
      <w:r w:rsidRPr="00E47497">
        <w:rPr>
          <w:color w:val="000000" w:themeColor="text1"/>
        </w:rPr>
      </w:r>
      <w:r w:rsidRPr="00E47497">
        <w:rPr>
          <w:color w:val="000000" w:themeColor="text1"/>
        </w:rPr>
        <w:fldChar w:fldCharType="separate"/>
      </w:r>
      <w:r w:rsidR="002C0C2A">
        <w:rPr>
          <w:color w:val="000000" w:themeColor="text1"/>
        </w:rPr>
        <w:t>102</w:t>
      </w:r>
      <w:r w:rsidRPr="00E47497">
        <w:rPr>
          <w:color w:val="000000" w:themeColor="text1"/>
        </w:rPr>
        <w:fldChar w:fldCharType="end"/>
      </w:r>
      <w:r w:rsidRPr="00E47497">
        <w:rPr>
          <w:color w:val="000000" w:themeColor="text1"/>
        </w:rPr>
        <w:t xml:space="preserve">, </w:t>
      </w:r>
      <w:r w:rsidRPr="00E47497">
        <w:rPr>
          <w:color w:val="000000" w:themeColor="text1"/>
        </w:rPr>
        <w:fldChar w:fldCharType="begin"/>
      </w:r>
      <w:r w:rsidRPr="00E47497">
        <w:rPr>
          <w:color w:val="000000" w:themeColor="text1"/>
        </w:rPr>
        <w:instrText xml:space="preserve"> REF _Ref205885673 \r \h  \* MERGEFORMAT </w:instrText>
      </w:r>
      <w:r w:rsidRPr="00E47497">
        <w:rPr>
          <w:color w:val="000000" w:themeColor="text1"/>
        </w:rPr>
      </w:r>
      <w:r w:rsidRPr="00E47497">
        <w:rPr>
          <w:color w:val="000000" w:themeColor="text1"/>
        </w:rPr>
        <w:fldChar w:fldCharType="separate"/>
      </w:r>
      <w:r w:rsidR="002C0C2A">
        <w:rPr>
          <w:color w:val="000000" w:themeColor="text1"/>
        </w:rPr>
        <w:t>103</w:t>
      </w:r>
      <w:r w:rsidRPr="00E47497">
        <w:rPr>
          <w:color w:val="000000" w:themeColor="text1"/>
        </w:rPr>
        <w:fldChar w:fldCharType="end"/>
      </w:r>
      <w:r w:rsidRPr="00E47497">
        <w:rPr>
          <w:color w:val="000000" w:themeColor="text1"/>
        </w:rPr>
        <w:t xml:space="preserve">, </w:t>
      </w:r>
      <w:r w:rsidRPr="00E47497">
        <w:rPr>
          <w:color w:val="000000" w:themeColor="text1"/>
        </w:rPr>
        <w:fldChar w:fldCharType="begin"/>
      </w:r>
      <w:r w:rsidRPr="00E47497">
        <w:rPr>
          <w:color w:val="000000" w:themeColor="text1"/>
        </w:rPr>
        <w:instrText xml:space="preserve"> REF _Ref205885700 \r \h  \* MERGEFORMAT </w:instrText>
      </w:r>
      <w:r w:rsidRPr="00E47497">
        <w:rPr>
          <w:color w:val="000000" w:themeColor="text1"/>
        </w:rPr>
      </w:r>
      <w:r w:rsidRPr="00E47497">
        <w:rPr>
          <w:color w:val="000000" w:themeColor="text1"/>
        </w:rPr>
        <w:fldChar w:fldCharType="separate"/>
      </w:r>
      <w:r w:rsidR="002C0C2A">
        <w:rPr>
          <w:color w:val="000000" w:themeColor="text1"/>
        </w:rPr>
        <w:t>107</w:t>
      </w:r>
      <w:r w:rsidRPr="00E47497">
        <w:rPr>
          <w:color w:val="000000" w:themeColor="text1"/>
        </w:rPr>
        <w:fldChar w:fldCharType="end"/>
      </w:r>
      <w:r w:rsidRPr="00E47497">
        <w:rPr>
          <w:color w:val="000000" w:themeColor="text1"/>
        </w:rPr>
        <w:t xml:space="preserve"> and </w:t>
      </w:r>
      <w:r w:rsidRPr="00E47497">
        <w:rPr>
          <w:color w:val="000000" w:themeColor="text1"/>
        </w:rPr>
        <w:fldChar w:fldCharType="begin"/>
      </w:r>
      <w:r w:rsidRPr="00E47497">
        <w:rPr>
          <w:color w:val="000000" w:themeColor="text1"/>
        </w:rPr>
        <w:instrText xml:space="preserve"> REF _Ref205885713 \r \h  \* MERGEFORMAT </w:instrText>
      </w:r>
      <w:r w:rsidRPr="00E47497">
        <w:rPr>
          <w:color w:val="000000" w:themeColor="text1"/>
        </w:rPr>
      </w:r>
      <w:r w:rsidRPr="00E47497">
        <w:rPr>
          <w:color w:val="000000" w:themeColor="text1"/>
        </w:rPr>
        <w:fldChar w:fldCharType="separate"/>
      </w:r>
      <w:r w:rsidR="002C0C2A">
        <w:rPr>
          <w:color w:val="000000" w:themeColor="text1"/>
        </w:rPr>
        <w:t>109</w:t>
      </w:r>
      <w:r w:rsidRPr="00E47497">
        <w:rPr>
          <w:color w:val="000000" w:themeColor="text1"/>
        </w:rPr>
        <w:fldChar w:fldCharType="end"/>
      </w:r>
      <w:r w:rsidRPr="00E47497">
        <w:rPr>
          <w:color w:val="000000" w:themeColor="text1"/>
        </w:rPr>
        <w:t xml:space="preserve"> of these reasons, in addition to variations with respect to chemistry and manufacture matters related to the safety criteria that are detailed below in paragraphs</w:t>
      </w:r>
      <w:r w:rsidR="001F33E9">
        <w:rPr>
          <w:color w:val="000000" w:themeColor="text1"/>
        </w:rPr>
        <w:t xml:space="preserve"> </w:t>
      </w:r>
      <w:r w:rsidR="001F33E9">
        <w:rPr>
          <w:color w:val="000000" w:themeColor="text1"/>
        </w:rPr>
        <w:fldChar w:fldCharType="begin"/>
      </w:r>
      <w:r w:rsidR="001F33E9">
        <w:rPr>
          <w:color w:val="000000" w:themeColor="text1"/>
        </w:rPr>
        <w:instrText xml:space="preserve"> REF _Ref213490072 \r \h </w:instrText>
      </w:r>
      <w:r w:rsidR="001F33E9">
        <w:rPr>
          <w:color w:val="000000" w:themeColor="text1"/>
        </w:rPr>
      </w:r>
      <w:r w:rsidR="001F33E9">
        <w:rPr>
          <w:color w:val="000000" w:themeColor="text1"/>
        </w:rPr>
        <w:fldChar w:fldCharType="separate"/>
      </w:r>
      <w:r w:rsidR="002C0C2A">
        <w:rPr>
          <w:color w:val="000000" w:themeColor="text1"/>
        </w:rPr>
        <w:t>117</w:t>
      </w:r>
      <w:r w:rsidR="001F33E9">
        <w:rPr>
          <w:color w:val="000000" w:themeColor="text1"/>
        </w:rPr>
        <w:fldChar w:fldCharType="end"/>
      </w:r>
      <w:r w:rsidRPr="00E47497">
        <w:rPr>
          <w:color w:val="000000" w:themeColor="text1"/>
        </w:rPr>
        <w:t xml:space="preserve">, </w:t>
      </w:r>
      <w:r w:rsidRPr="00E47497">
        <w:rPr>
          <w:color w:val="000000" w:themeColor="text1"/>
        </w:rPr>
        <w:fldChar w:fldCharType="begin"/>
      </w:r>
      <w:r w:rsidRPr="00E47497">
        <w:rPr>
          <w:color w:val="000000" w:themeColor="text1"/>
        </w:rPr>
        <w:instrText xml:space="preserve"> REF _Ref213444454 \w \h  \* MERGEFORMAT </w:instrText>
      </w:r>
      <w:r w:rsidRPr="00E47497">
        <w:rPr>
          <w:color w:val="000000" w:themeColor="text1"/>
        </w:rPr>
      </w:r>
      <w:r w:rsidRPr="00E47497">
        <w:rPr>
          <w:color w:val="000000" w:themeColor="text1"/>
        </w:rPr>
        <w:fldChar w:fldCharType="separate"/>
      </w:r>
      <w:r w:rsidR="002C0C2A">
        <w:rPr>
          <w:color w:val="000000" w:themeColor="text1"/>
        </w:rPr>
        <w:t>123</w:t>
      </w:r>
      <w:r w:rsidRPr="00E47497">
        <w:rPr>
          <w:color w:val="000000" w:themeColor="text1"/>
        </w:rPr>
        <w:fldChar w:fldCharType="end"/>
      </w:r>
      <w:r w:rsidRPr="00E47497">
        <w:rPr>
          <w:color w:val="000000" w:themeColor="text1"/>
        </w:rPr>
        <w:t>,</w:t>
      </w:r>
      <w:r w:rsidRPr="00E47497">
        <w:rPr>
          <w:color w:val="FF0000"/>
        </w:rPr>
        <w:t xml:space="preserve"> </w:t>
      </w:r>
      <w:r w:rsidRPr="00E47497">
        <w:rPr>
          <w:color w:val="000000" w:themeColor="text1"/>
        </w:rPr>
        <w:fldChar w:fldCharType="begin"/>
      </w:r>
      <w:r w:rsidRPr="00E47497">
        <w:rPr>
          <w:color w:val="000000" w:themeColor="text1"/>
        </w:rPr>
        <w:instrText xml:space="preserve"> REF _Ref213091629 \w \h  \* MERGEFORMAT </w:instrText>
      </w:r>
      <w:r w:rsidRPr="00E47497">
        <w:rPr>
          <w:color w:val="000000" w:themeColor="text1"/>
        </w:rPr>
      </w:r>
      <w:r w:rsidRPr="00E47497">
        <w:rPr>
          <w:color w:val="000000" w:themeColor="text1"/>
        </w:rPr>
        <w:fldChar w:fldCharType="separate"/>
      </w:r>
      <w:r w:rsidR="002C0C2A">
        <w:rPr>
          <w:color w:val="000000" w:themeColor="text1"/>
        </w:rPr>
        <w:t>125</w:t>
      </w:r>
      <w:r w:rsidRPr="00E47497">
        <w:rPr>
          <w:color w:val="000000" w:themeColor="text1"/>
        </w:rPr>
        <w:fldChar w:fldCharType="end"/>
      </w:r>
      <w:r w:rsidRPr="00E47497">
        <w:rPr>
          <w:color w:val="000000" w:themeColor="text1"/>
        </w:rPr>
        <w:t xml:space="preserve"> and </w:t>
      </w:r>
      <w:r w:rsidRPr="00E47497">
        <w:rPr>
          <w:color w:val="000000" w:themeColor="text1"/>
        </w:rPr>
        <w:fldChar w:fldCharType="begin"/>
      </w:r>
      <w:r w:rsidRPr="00E47497">
        <w:rPr>
          <w:color w:val="000000" w:themeColor="text1"/>
        </w:rPr>
        <w:instrText xml:space="preserve"> REF _Ref213444483 \w \h  \* MERGEFORMAT </w:instrText>
      </w:r>
      <w:r w:rsidRPr="00E47497">
        <w:rPr>
          <w:color w:val="000000" w:themeColor="text1"/>
        </w:rPr>
      </w:r>
      <w:r w:rsidRPr="00E47497">
        <w:rPr>
          <w:color w:val="000000" w:themeColor="text1"/>
        </w:rPr>
        <w:fldChar w:fldCharType="separate"/>
      </w:r>
      <w:r w:rsidR="002C0C2A">
        <w:rPr>
          <w:color w:val="000000" w:themeColor="text1"/>
        </w:rPr>
        <w:t>126.2</w:t>
      </w:r>
      <w:r w:rsidRPr="00E47497">
        <w:rPr>
          <w:color w:val="000000" w:themeColor="text1"/>
        </w:rPr>
        <w:fldChar w:fldCharType="end"/>
      </w:r>
      <w:r w:rsidRPr="00E47497">
        <w:rPr>
          <w:color w:val="000000" w:themeColor="text1"/>
        </w:rPr>
        <w:t xml:space="preserve"> and of these reasons.</w:t>
      </w:r>
      <w:bookmarkEnd w:id="272"/>
    </w:p>
    <w:p w14:paraId="43270BD5" w14:textId="77777777" w:rsidR="008E67EA" w:rsidRDefault="008E67EA" w:rsidP="008E67EA">
      <w:pPr>
        <w:pStyle w:val="StatementofReasonsHeading3"/>
      </w:pPr>
      <w:bookmarkStart w:id="273" w:name="_Toc216090757"/>
      <w:r w:rsidRPr="00EE4240">
        <w:t xml:space="preserve">Chemistry and manufacture </w:t>
      </w:r>
      <w:r w:rsidRPr="0041399E">
        <w:t xml:space="preserve">matters related to the safety </w:t>
      </w:r>
      <w:r w:rsidRPr="001525F0">
        <w:rPr>
          <w:color w:val="000000" w:themeColor="text1"/>
        </w:rPr>
        <w:t xml:space="preserve">criteria </w:t>
      </w:r>
      <w:r w:rsidRPr="003329E6">
        <w:rPr>
          <w:color w:val="000000" w:themeColor="text1"/>
        </w:rPr>
        <w:t>– s 5A(1)(a)–(c)</w:t>
      </w:r>
      <w:bookmarkEnd w:id="273"/>
    </w:p>
    <w:p w14:paraId="4BFDC890" w14:textId="77777777" w:rsidR="008E67EA" w:rsidRPr="00F90441" w:rsidRDefault="008E67EA" w:rsidP="008E67EA">
      <w:pPr>
        <w:pStyle w:val="StatementofReasonsHeading4"/>
      </w:pPr>
      <w:r w:rsidRPr="00F90441">
        <w:t>Quality assurance requirements</w:t>
      </w:r>
    </w:p>
    <w:p w14:paraId="62042283" w14:textId="77777777" w:rsidR="008E67EA" w:rsidRPr="005F5D2B" w:rsidRDefault="008E67EA">
      <w:pPr>
        <w:pStyle w:val="NumberLevel1"/>
        <w:numPr>
          <w:ilvl w:val="0"/>
          <w:numId w:val="17"/>
        </w:numPr>
        <w:tabs>
          <w:tab w:val="clear" w:pos="709"/>
          <w:tab w:val="num" w:pos="2553"/>
        </w:tabs>
      </w:pPr>
      <w:bookmarkStart w:id="274" w:name="_Ref213348509"/>
      <w:r w:rsidRPr="005F5D2B">
        <w:t xml:space="preserve">The APVMA’s scientific risk assessments and other considerations on the safety risks associated with the use of an agricultural or veterinary chemicals are predicated on the fact that supplied product will be manufactured and formulated in accordance with the particulars that are, or would be, entered into the Register. The quality assurance process to ensure that the particulars of supplied agricultural chemical products are consistent with the particulars entered into the Register is, in part, managed by conditions to which agricultural chemical product registrations are subject and a Standard for chemical products made under section 6E of the Agvet Code, named the </w:t>
      </w:r>
      <w:r w:rsidRPr="005F5D2B">
        <w:rPr>
          <w:i/>
          <w:iCs/>
        </w:rPr>
        <w:t>Agricultural and Veterinary Chemicals Code (Allowable Variation in Concentrations of Constituents in Agricultural Chemical Products) Standard 2022 (Allowable Variation in Concentrations of Constituents in Agricultural Chemical Products Standard).</w:t>
      </w:r>
      <w:bookmarkEnd w:id="274"/>
      <w:r w:rsidRPr="005F5D2B">
        <w:t xml:space="preserve"> Therefore, for the purposes of being satisfied that a product listed in Attachment A of this notice meets the safety criteria with respect to quality assurance processes, I have considered the following matters set out in section 5A(3)(a) of the Agvet Code:</w:t>
      </w:r>
    </w:p>
    <w:p w14:paraId="53ACF280" w14:textId="77777777" w:rsidR="008E67EA" w:rsidRPr="005F5D2B" w:rsidRDefault="008E67EA">
      <w:pPr>
        <w:pStyle w:val="NumberLevel2"/>
        <w:numPr>
          <w:ilvl w:val="1"/>
          <w:numId w:val="17"/>
        </w:numPr>
        <w:ind w:left="1134"/>
      </w:pPr>
      <w:r w:rsidRPr="005F5D2B">
        <w:t>any conditions to which its registration is, or would be, subject (s 5A(3)(a)(v) of the Agvet Code); and</w:t>
      </w:r>
    </w:p>
    <w:p w14:paraId="2CDFFC75" w14:textId="77777777" w:rsidR="008E67EA" w:rsidRPr="005F5D2B" w:rsidRDefault="008E67EA">
      <w:pPr>
        <w:pStyle w:val="NumberLevel2"/>
        <w:numPr>
          <w:ilvl w:val="1"/>
          <w:numId w:val="17"/>
        </w:numPr>
        <w:ind w:left="1134"/>
      </w:pPr>
      <w:r w:rsidRPr="005F5D2B">
        <w:lastRenderedPageBreak/>
        <w:t>whether the product conforms, or would conform, to any standard made for the product under section 6E to the extent that the standard relates to matters covered by subsection 5A(1) of the Agvet Code (s 5A(3)(a)(via) of the Agvet Code).</w:t>
      </w:r>
    </w:p>
    <w:p w14:paraId="27E4D3D2" w14:textId="77777777" w:rsidR="008E67EA" w:rsidRPr="00D869C6" w:rsidRDefault="008E67EA">
      <w:pPr>
        <w:pStyle w:val="NumberLevel1"/>
        <w:numPr>
          <w:ilvl w:val="0"/>
          <w:numId w:val="17"/>
        </w:numPr>
        <w:tabs>
          <w:tab w:val="clear" w:pos="709"/>
          <w:tab w:val="num" w:pos="2553"/>
        </w:tabs>
      </w:pPr>
      <w:r w:rsidRPr="00D869C6">
        <w:t>As part of this consideration, I note that the agricultural chemical product registrations listed in Attachment A of this notice are subject to conditions in accordance with section 23(1)(a) of the Agvet Code, as follows:</w:t>
      </w:r>
    </w:p>
    <w:p w14:paraId="109EE56D" w14:textId="77777777" w:rsidR="008E67EA" w:rsidRPr="00D869C6" w:rsidRDefault="008E67EA">
      <w:pPr>
        <w:pStyle w:val="NumberLevel2"/>
        <w:numPr>
          <w:ilvl w:val="1"/>
          <w:numId w:val="17"/>
        </w:numPr>
        <w:ind w:left="1134"/>
        <w:rPr>
          <w:color w:val="000000" w:themeColor="text1"/>
        </w:rPr>
      </w:pPr>
      <w:r w:rsidRPr="00D869C6">
        <w:t xml:space="preserve">Regulation 17C(2) of the Agvet Regulations prescribes conditions to which the registration of a chemical product is subject. </w:t>
      </w:r>
      <w:bookmarkStart w:id="275" w:name="_Hlk193376029"/>
      <w:r w:rsidRPr="00D869C6">
        <w:t xml:space="preserve">Anticoagulant rodenticides registrations </w:t>
      </w:r>
      <w:bookmarkEnd w:id="275"/>
      <w:r w:rsidRPr="00D869C6">
        <w:t xml:space="preserve">are subject to the conditions prescribed in items 1, 2, 5, 6 and 7 of the table in regulation 17C(2) of the Agvet Regulations. In accordance with subsection 17C(3)(a) of </w:t>
      </w:r>
      <w:r w:rsidRPr="00D869C6">
        <w:rPr>
          <w:color w:val="000000" w:themeColor="text1"/>
        </w:rPr>
        <w:t>the Agvet Code Regulations, table-items 3 and 4 do not apply to the registrations, as any agricultural chemical product is prescribed under regulation 59(1) for the purposes of section 120A of the Agvet Code.</w:t>
      </w:r>
    </w:p>
    <w:p w14:paraId="3AD43AAC" w14:textId="77777777" w:rsidR="008E67EA" w:rsidRPr="00B2699E" w:rsidRDefault="008E67EA">
      <w:pPr>
        <w:pStyle w:val="NumberLevel2"/>
        <w:numPr>
          <w:ilvl w:val="1"/>
          <w:numId w:val="17"/>
        </w:numPr>
        <w:ind w:left="1134"/>
      </w:pPr>
      <w:r w:rsidRPr="00D869C6">
        <w:t>Registrations of agricultural chemical products are also subject to the conditions of registration prescribed in section 6 of the</w:t>
      </w:r>
      <w:r w:rsidRPr="00B2699E">
        <w:t xml:space="preserve"> </w:t>
      </w:r>
      <w:r w:rsidRPr="00B2699E">
        <w:rPr>
          <w:i/>
          <w:iCs/>
        </w:rPr>
        <w:t>Agricultural and Veterinary Chemicals Code (Conditions of Approval or Registration) Order 2021 (Conditions of Approval or Registration Order)</w:t>
      </w:r>
      <w:r w:rsidRPr="00B2699E">
        <w:t>.</w:t>
      </w:r>
    </w:p>
    <w:p w14:paraId="7ADBBB89" w14:textId="4E291956" w:rsidR="008E67EA" w:rsidRPr="00D869C6" w:rsidRDefault="008E67EA">
      <w:pPr>
        <w:pStyle w:val="NumberLevel1"/>
        <w:numPr>
          <w:ilvl w:val="0"/>
          <w:numId w:val="17"/>
        </w:numPr>
        <w:tabs>
          <w:tab w:val="clear" w:pos="709"/>
          <w:tab w:val="num" w:pos="2553"/>
        </w:tabs>
      </w:pPr>
      <w:r>
        <w:t>I have considered the</w:t>
      </w:r>
      <w:r w:rsidRPr="00B2699E">
        <w:t xml:space="preserve"> </w:t>
      </w:r>
      <w:r w:rsidRPr="00507BAE">
        <w:rPr>
          <w:i/>
          <w:iCs/>
        </w:rPr>
        <w:t>Allowable Variation in Concentrations of Constituents in Agricultural Chemical Products Standard</w:t>
      </w:r>
      <w:r>
        <w:rPr>
          <w:i/>
          <w:iCs/>
        </w:rPr>
        <w:t>,</w:t>
      </w:r>
      <w:r w:rsidRPr="00671DB2">
        <w:t xml:space="preserve"> which</w:t>
      </w:r>
      <w:r>
        <w:t xml:space="preserve"> </w:t>
      </w:r>
      <w:r w:rsidRPr="00B2699E">
        <w:t>prescribes the maximum allowable variation of the concentration of constituents in registered agricultural chemical products from the nominal quantities recorded in the Register for active constituents and non-active constituents</w:t>
      </w:r>
      <w:r w:rsidRPr="00D869C6">
        <w:t xml:space="preserve">. I consider that the products listed in Attachment A of this notice conform to the </w:t>
      </w:r>
      <w:r w:rsidRPr="00D869C6">
        <w:rPr>
          <w:i/>
          <w:iCs/>
        </w:rPr>
        <w:t xml:space="preserve">Allowable Variation in Concentrations of Constituents in Agricultural Chemical Products Standard, </w:t>
      </w:r>
      <w:r w:rsidRPr="00D869C6">
        <w:t>to the extent that the Standard relates to matters covered by subsection 5A(1) of the Agvet Code.</w:t>
      </w:r>
    </w:p>
    <w:p w14:paraId="5AB67BEA" w14:textId="77777777" w:rsidR="008E67EA" w:rsidRPr="00D869C6" w:rsidRDefault="008E67EA">
      <w:pPr>
        <w:pStyle w:val="NumberLevel1"/>
        <w:numPr>
          <w:ilvl w:val="0"/>
          <w:numId w:val="17"/>
        </w:numPr>
        <w:tabs>
          <w:tab w:val="clear" w:pos="709"/>
          <w:tab w:val="num" w:pos="2553"/>
        </w:tabs>
      </w:pPr>
      <w:bookmarkStart w:id="276" w:name="_Ref216293325"/>
      <w:r w:rsidRPr="00D869C6">
        <w:t xml:space="preserve">The chemical products listed in Attachment A of this notice are also subject to additional conditions referred to as the </w:t>
      </w:r>
      <w:r w:rsidRPr="00D869C6">
        <w:rPr>
          <w:i/>
          <w:iCs/>
        </w:rPr>
        <w:t xml:space="preserve">‘Agricultural Products Active Constituent Quality Assurance Requirements’, </w:t>
      </w:r>
      <w:r w:rsidRPr="00D869C6">
        <w:t xml:space="preserve">which have been imposed by the APVMA under section 23(1)(b) of the Agvet Code. I </w:t>
      </w:r>
      <w:r w:rsidRPr="00D869C6">
        <w:rPr>
          <w:b/>
          <w:bCs/>
        </w:rPr>
        <w:t>do not</w:t>
      </w:r>
      <w:r w:rsidRPr="00D869C6">
        <w:t xml:space="preserve"> consider that this condition as currently imposed remains appropriate for the following reasons:</w:t>
      </w:r>
      <w:bookmarkEnd w:id="276"/>
    </w:p>
    <w:p w14:paraId="25BCB7AC" w14:textId="19BDDF0C" w:rsidR="008E67EA" w:rsidRPr="00D869C6" w:rsidRDefault="008E67EA">
      <w:pPr>
        <w:pStyle w:val="NumberLevel2"/>
        <w:numPr>
          <w:ilvl w:val="1"/>
          <w:numId w:val="17"/>
        </w:numPr>
        <w:ind w:left="1134"/>
      </w:pPr>
      <w:r>
        <w:t>The condition, as imposed on most product registrations, contains obsolete definitions that may be misleading as they introduce contradictions with legislative requirements into the condition. Specifically, the condition refers to the ‘</w:t>
      </w:r>
      <w:r w:rsidRPr="006F471D">
        <w:t>APVMA Standard</w:t>
      </w:r>
      <w:r>
        <w:t>’ a</w:t>
      </w:r>
      <w:r w:rsidRPr="004B28E8">
        <w:t>vailable on the APVMA Website, which has been replaced by the legislative instrumen</w:t>
      </w:r>
      <w:r w:rsidRPr="00D869C6">
        <w:t xml:space="preserve">t </w:t>
      </w:r>
      <w:r w:rsidRPr="00D869C6">
        <w:rPr>
          <w:i/>
          <w:iCs/>
        </w:rPr>
        <w:t>Agricultural Active Constituents Standards 2022</w:t>
      </w:r>
      <w:r w:rsidRPr="00D869C6">
        <w:t>. The condition also refers to the ‘registrant’ rather than the ‘holder’, a term defined in section 3 of the Agvet Code.</w:t>
      </w:r>
    </w:p>
    <w:p w14:paraId="53DEF808" w14:textId="77777777" w:rsidR="008E67EA" w:rsidRPr="00D869C6" w:rsidRDefault="008E67EA">
      <w:pPr>
        <w:pStyle w:val="NumberLevel2"/>
        <w:numPr>
          <w:ilvl w:val="1"/>
          <w:numId w:val="17"/>
        </w:numPr>
        <w:ind w:left="1134"/>
      </w:pPr>
      <w:r w:rsidRPr="00D869C6">
        <w:t>The condition is substantially redundant given the requirements already imposed by the Agvet Code or the Agvet Regulations.</w:t>
      </w:r>
    </w:p>
    <w:p w14:paraId="2BDE2DBD" w14:textId="7D8DD04B" w:rsidR="008E67EA" w:rsidRPr="00D869C6" w:rsidRDefault="008E67EA">
      <w:pPr>
        <w:pStyle w:val="NumberLevel1"/>
        <w:numPr>
          <w:ilvl w:val="0"/>
          <w:numId w:val="17"/>
        </w:numPr>
        <w:tabs>
          <w:tab w:val="clear" w:pos="709"/>
          <w:tab w:val="num" w:pos="2553"/>
        </w:tabs>
      </w:pPr>
      <w:bookmarkStart w:id="277" w:name="_Ref213490072"/>
      <w:r w:rsidRPr="00D869C6">
        <w:t xml:space="preserve">To remove the legislative contradictions and unnecessary duplication discussed in above paragraph </w:t>
      </w:r>
      <w:r w:rsidR="001F33E9">
        <w:fldChar w:fldCharType="begin"/>
      </w:r>
      <w:r w:rsidR="001F33E9">
        <w:instrText xml:space="preserve"> REF _Ref216293325 \r \h </w:instrText>
      </w:r>
      <w:r w:rsidR="001F33E9">
        <w:fldChar w:fldCharType="separate"/>
      </w:r>
      <w:r w:rsidR="002C0C2A">
        <w:t>116</w:t>
      </w:r>
      <w:r w:rsidR="001F33E9">
        <w:fldChar w:fldCharType="end"/>
      </w:r>
      <w:r w:rsidRPr="00D869C6">
        <w:t xml:space="preserve"> of these reasons, I find that the condition referred to as the </w:t>
      </w:r>
      <w:r w:rsidRPr="00D869C6">
        <w:rPr>
          <w:i/>
          <w:iCs/>
        </w:rPr>
        <w:t xml:space="preserve">‘Agricultural Products Active Constituent Quality Assurance Requirements’ </w:t>
      </w:r>
      <w:r w:rsidRPr="00D869C6">
        <w:t>can be varied to the following:</w:t>
      </w:r>
      <w:bookmarkEnd w:id="277"/>
    </w:p>
    <w:p w14:paraId="058D758B" w14:textId="77777777" w:rsidR="008E67EA" w:rsidRPr="00D869C6" w:rsidRDefault="008E67EA">
      <w:pPr>
        <w:pStyle w:val="NumberLevel2"/>
        <w:numPr>
          <w:ilvl w:val="1"/>
          <w:numId w:val="17"/>
        </w:numPr>
        <w:spacing w:after="100" w:afterAutospacing="1"/>
        <w:ind w:left="1134"/>
        <w:rPr>
          <w:i/>
          <w:iCs/>
        </w:rPr>
      </w:pPr>
      <w:bookmarkStart w:id="278" w:name="_Ref193552341"/>
      <w:r w:rsidRPr="00D869C6">
        <w:rPr>
          <w:i/>
          <w:iCs/>
        </w:rPr>
        <w:t>Condition of Registration - Agricultural Chemical Products Active Constituent Quality Assurance Requirements</w:t>
      </w:r>
      <w:bookmarkEnd w:id="278"/>
    </w:p>
    <w:p w14:paraId="1EE30CB8" w14:textId="5C388F72" w:rsidR="008E67EA" w:rsidRPr="00A73DFF" w:rsidRDefault="008E67EA" w:rsidP="008E67EA">
      <w:pPr>
        <w:pStyle w:val="GazetteBulletList2"/>
        <w:numPr>
          <w:ilvl w:val="0"/>
          <w:numId w:val="0"/>
        </w:numPr>
        <w:ind w:left="1134"/>
        <w:rPr>
          <w:i/>
          <w:iCs/>
        </w:rPr>
      </w:pPr>
      <w:r w:rsidRPr="00D869C6">
        <w:rPr>
          <w:i/>
          <w:iCs/>
          <w:sz w:val="20"/>
          <w:szCs w:val="20"/>
        </w:rPr>
        <w:t xml:space="preserve">1. </w:t>
      </w:r>
      <w:r w:rsidRPr="00A73DFF">
        <w:rPr>
          <w:i/>
          <w:iCs/>
        </w:rPr>
        <w:t>The holder of the registration for a chemical product must not supply or cause the supply of the chemical product unless the active constituent contained in the chemical product was manufactured at a site of manufacture listed in the Record.</w:t>
      </w:r>
    </w:p>
    <w:p w14:paraId="076BC3AB" w14:textId="77777777" w:rsidR="008E67EA" w:rsidRPr="00A73DFF" w:rsidRDefault="008E67EA" w:rsidP="008E67EA">
      <w:pPr>
        <w:pStyle w:val="GazetteBulletList2"/>
        <w:numPr>
          <w:ilvl w:val="0"/>
          <w:numId w:val="0"/>
        </w:numPr>
        <w:ind w:left="1134"/>
        <w:rPr>
          <w:i/>
          <w:iCs/>
        </w:rPr>
      </w:pPr>
      <w:r w:rsidRPr="00A73DFF">
        <w:rPr>
          <w:i/>
          <w:iCs/>
        </w:rPr>
        <w:lastRenderedPageBreak/>
        <w:t>2. The holder of the registration for a chemical product must not supply or cause the supply of the chemical product unless the holder possesses a record that demonstrates:</w:t>
      </w:r>
    </w:p>
    <w:p w14:paraId="4C3E1BE9" w14:textId="77777777" w:rsidR="008E67EA" w:rsidRPr="00A73DFF" w:rsidRDefault="008E67EA" w:rsidP="008E67EA">
      <w:pPr>
        <w:pStyle w:val="GazetteBulletList2"/>
        <w:numPr>
          <w:ilvl w:val="0"/>
          <w:numId w:val="0"/>
        </w:numPr>
        <w:ind w:left="1134"/>
        <w:rPr>
          <w:i/>
          <w:iCs/>
        </w:rPr>
      </w:pPr>
      <w:r w:rsidRPr="00A73DFF">
        <w:rPr>
          <w:i/>
          <w:iCs/>
        </w:rPr>
        <w:t>- the active constituent(s) in the chemical product comply with Agricultural and Veterinary Chemicals Code (Agricultural Active Constituents) Standards 2022; and</w:t>
      </w:r>
    </w:p>
    <w:p w14:paraId="05C19A9B" w14:textId="77777777" w:rsidR="008E67EA" w:rsidRPr="00A73DFF" w:rsidRDefault="008E67EA" w:rsidP="008E67EA">
      <w:pPr>
        <w:pStyle w:val="GazetteBulletList2"/>
        <w:numPr>
          <w:ilvl w:val="0"/>
          <w:numId w:val="0"/>
        </w:numPr>
        <w:ind w:left="1134"/>
        <w:rPr>
          <w:i/>
          <w:iCs/>
        </w:rPr>
      </w:pPr>
      <w:r w:rsidRPr="00A73DFF">
        <w:rPr>
          <w:i/>
          <w:iCs/>
        </w:rPr>
        <w:t>- if there is a standard made under section 6E of the Agricultural and Veterinary Chemicals Code scheduled to the Agricultural and Veterinary Chemicals Code Act 1994 (Agvet Code) for any constituent in the chemical product that is not an active constituent, that the constituent complies with that Standard; and</w:t>
      </w:r>
    </w:p>
    <w:p w14:paraId="6F54E16E" w14:textId="77777777" w:rsidR="008E67EA" w:rsidRPr="00A73DFF" w:rsidRDefault="008E67EA" w:rsidP="008E67EA">
      <w:pPr>
        <w:pStyle w:val="GazetteBulletList2"/>
        <w:numPr>
          <w:ilvl w:val="0"/>
          <w:numId w:val="0"/>
        </w:numPr>
        <w:ind w:left="1134"/>
        <w:rPr>
          <w:i/>
          <w:iCs/>
        </w:rPr>
      </w:pPr>
      <w:r w:rsidRPr="00A73DFF">
        <w:rPr>
          <w:i/>
          <w:iCs/>
        </w:rPr>
        <w:t>3. The records referred to in condition 2 above must include batch analysis results for the constituent(s) with the following information:</w:t>
      </w:r>
    </w:p>
    <w:p w14:paraId="265930D9" w14:textId="77777777" w:rsidR="008E67EA" w:rsidRPr="00A73DFF" w:rsidRDefault="008E67EA" w:rsidP="008E67EA">
      <w:pPr>
        <w:pStyle w:val="GazetteBulletList2"/>
        <w:numPr>
          <w:ilvl w:val="0"/>
          <w:numId w:val="0"/>
        </w:numPr>
        <w:ind w:left="1134"/>
        <w:rPr>
          <w:i/>
          <w:iCs/>
        </w:rPr>
      </w:pPr>
      <w:r w:rsidRPr="00A73DFF">
        <w:rPr>
          <w:i/>
          <w:iCs/>
        </w:rPr>
        <w:t>- the name and address of the manufacturer of the constituent</w:t>
      </w:r>
    </w:p>
    <w:p w14:paraId="46B3C049" w14:textId="77777777" w:rsidR="008E67EA" w:rsidRPr="00A73DFF" w:rsidRDefault="008E67EA" w:rsidP="008E67EA">
      <w:pPr>
        <w:pStyle w:val="GazetteBulletList2"/>
        <w:numPr>
          <w:ilvl w:val="0"/>
          <w:numId w:val="0"/>
        </w:numPr>
        <w:ind w:left="1134"/>
        <w:rPr>
          <w:i/>
          <w:iCs/>
        </w:rPr>
      </w:pPr>
      <w:r w:rsidRPr="00A73DFF">
        <w:rPr>
          <w:i/>
          <w:iCs/>
        </w:rPr>
        <w:t>- the Batch Number of the Batch of the constituent</w:t>
      </w:r>
    </w:p>
    <w:p w14:paraId="78E486FC" w14:textId="77777777" w:rsidR="008E67EA" w:rsidRPr="00A73DFF" w:rsidRDefault="008E67EA" w:rsidP="008E67EA">
      <w:pPr>
        <w:pStyle w:val="GazetteBulletList2"/>
        <w:numPr>
          <w:ilvl w:val="0"/>
          <w:numId w:val="0"/>
        </w:numPr>
        <w:ind w:left="1134"/>
        <w:rPr>
          <w:i/>
          <w:iCs/>
        </w:rPr>
      </w:pPr>
      <w:r w:rsidRPr="00A73DFF">
        <w:rPr>
          <w:i/>
          <w:iCs/>
        </w:rPr>
        <w:t>- the date of manufacture of the Batch of the constituent</w:t>
      </w:r>
    </w:p>
    <w:p w14:paraId="721B62E9" w14:textId="77777777" w:rsidR="008E67EA" w:rsidRPr="00A73DFF" w:rsidRDefault="008E67EA" w:rsidP="008E67EA">
      <w:pPr>
        <w:pStyle w:val="GazetteBulletList2"/>
        <w:numPr>
          <w:ilvl w:val="0"/>
          <w:numId w:val="0"/>
        </w:numPr>
        <w:ind w:left="1134"/>
        <w:rPr>
          <w:i/>
          <w:iCs/>
        </w:rPr>
      </w:pPr>
      <w:r w:rsidRPr="00A73DFF">
        <w:rPr>
          <w:i/>
          <w:iCs/>
        </w:rPr>
        <w:t>- the date of the analysis of the Batch of the constituent</w:t>
      </w:r>
    </w:p>
    <w:p w14:paraId="1FAE7E1B" w14:textId="77777777" w:rsidR="008E67EA" w:rsidRPr="00A73DFF" w:rsidRDefault="008E67EA" w:rsidP="008E67EA">
      <w:pPr>
        <w:pStyle w:val="GazetteBulletList2"/>
        <w:numPr>
          <w:ilvl w:val="0"/>
          <w:numId w:val="0"/>
        </w:numPr>
        <w:ind w:left="1134"/>
        <w:rPr>
          <w:i/>
          <w:iCs/>
        </w:rPr>
      </w:pPr>
      <w:r w:rsidRPr="00A73DFF">
        <w:rPr>
          <w:i/>
          <w:iCs/>
        </w:rPr>
        <w:t>- the analysis result(s) for the constituent purity and/or content and/or isomer ratio and/or the specified impurities as per the relevant Standard for the constituent</w:t>
      </w:r>
    </w:p>
    <w:p w14:paraId="04289639" w14:textId="77777777" w:rsidR="008E67EA" w:rsidRPr="00A73DFF" w:rsidRDefault="008E67EA" w:rsidP="008E67EA">
      <w:pPr>
        <w:pStyle w:val="GazetteBulletList2"/>
        <w:numPr>
          <w:ilvl w:val="0"/>
          <w:numId w:val="0"/>
        </w:numPr>
        <w:ind w:left="1134"/>
        <w:rPr>
          <w:i/>
          <w:iCs/>
        </w:rPr>
      </w:pPr>
      <w:r w:rsidRPr="00A73DFF">
        <w:rPr>
          <w:i/>
          <w:iCs/>
        </w:rPr>
        <w:t>- reference to the validated analytical method(s) used to determine the constituent purity and/or the content and/or the isomer ratio and/or the specified impurities</w:t>
      </w:r>
    </w:p>
    <w:p w14:paraId="2417B5F7" w14:textId="77777777" w:rsidR="008E67EA" w:rsidRPr="00A73DFF" w:rsidRDefault="008E67EA" w:rsidP="008E67EA">
      <w:pPr>
        <w:pStyle w:val="GazetteBulletList2"/>
        <w:numPr>
          <w:ilvl w:val="0"/>
          <w:numId w:val="0"/>
        </w:numPr>
        <w:ind w:left="1134"/>
        <w:rPr>
          <w:i/>
          <w:iCs/>
        </w:rPr>
      </w:pPr>
      <w:r w:rsidRPr="00A73DFF">
        <w:rPr>
          <w:i/>
          <w:iCs/>
        </w:rPr>
        <w:t>4. The holder of the registration for a chemical product must not supply or cause the supply of any quantity of a Batch of the chemical product unless the holder possesses a record that contains the following information for that Batch of the chemical product:</w:t>
      </w:r>
    </w:p>
    <w:p w14:paraId="3CAC937B" w14:textId="77777777" w:rsidR="008E67EA" w:rsidRPr="00A73DFF" w:rsidRDefault="008E67EA" w:rsidP="008E67EA">
      <w:pPr>
        <w:pStyle w:val="GazetteBulletList2"/>
        <w:numPr>
          <w:ilvl w:val="0"/>
          <w:numId w:val="0"/>
        </w:numPr>
        <w:ind w:left="1134"/>
        <w:rPr>
          <w:i/>
          <w:iCs/>
        </w:rPr>
      </w:pPr>
      <w:r w:rsidRPr="00A73DFF">
        <w:rPr>
          <w:i/>
          <w:iCs/>
        </w:rPr>
        <w:t>- the name of the chemical product</w:t>
      </w:r>
    </w:p>
    <w:p w14:paraId="43A2ABDA" w14:textId="77777777" w:rsidR="008E67EA" w:rsidRPr="00A73DFF" w:rsidRDefault="008E67EA" w:rsidP="008E67EA">
      <w:pPr>
        <w:pStyle w:val="GazetteBulletList2"/>
        <w:numPr>
          <w:ilvl w:val="0"/>
          <w:numId w:val="0"/>
        </w:numPr>
        <w:ind w:left="1134"/>
        <w:rPr>
          <w:i/>
          <w:iCs/>
        </w:rPr>
      </w:pPr>
      <w:r w:rsidRPr="00A73DFF">
        <w:rPr>
          <w:i/>
          <w:iCs/>
        </w:rPr>
        <w:t xml:space="preserve">- the distinguishing number of the registration of the chemical product </w:t>
      </w:r>
    </w:p>
    <w:p w14:paraId="52A79FB0" w14:textId="77777777" w:rsidR="008E67EA" w:rsidRPr="00A73DFF" w:rsidRDefault="008E67EA" w:rsidP="008E67EA">
      <w:pPr>
        <w:pStyle w:val="GazetteBulletList2"/>
        <w:numPr>
          <w:ilvl w:val="0"/>
          <w:numId w:val="0"/>
        </w:numPr>
        <w:ind w:left="1134"/>
        <w:rPr>
          <w:i/>
          <w:iCs/>
        </w:rPr>
      </w:pPr>
      <w:r w:rsidRPr="00A73DFF">
        <w:rPr>
          <w:i/>
          <w:iCs/>
        </w:rPr>
        <w:t>- if the chemical product was imported into Australia by another person on behalf of, or pursuant to an arrangement with the holder, the name and address of the importer, and the date of importation</w:t>
      </w:r>
    </w:p>
    <w:p w14:paraId="03A60672" w14:textId="77777777" w:rsidR="008E67EA" w:rsidRPr="00A73DFF" w:rsidRDefault="008E67EA" w:rsidP="008E67EA">
      <w:pPr>
        <w:pStyle w:val="GazetteBulletList2"/>
        <w:numPr>
          <w:ilvl w:val="0"/>
          <w:numId w:val="0"/>
        </w:numPr>
        <w:ind w:left="1134"/>
        <w:rPr>
          <w:i/>
          <w:iCs/>
        </w:rPr>
      </w:pPr>
      <w:r w:rsidRPr="00A73DFF">
        <w:rPr>
          <w:i/>
          <w:iCs/>
        </w:rPr>
        <w:t>- if the chemical product was manufactured in Australia by another person on behalf of, or pursuant to an arrangement with the holder, the name and address of the manufacturer, and the date of manufacture</w:t>
      </w:r>
    </w:p>
    <w:p w14:paraId="1351FF49" w14:textId="77777777" w:rsidR="008E67EA" w:rsidRPr="00A73DFF" w:rsidRDefault="008E67EA" w:rsidP="008E67EA">
      <w:pPr>
        <w:pStyle w:val="GazetteBulletList2"/>
        <w:numPr>
          <w:ilvl w:val="0"/>
          <w:numId w:val="0"/>
        </w:numPr>
        <w:ind w:left="1134"/>
        <w:rPr>
          <w:i/>
          <w:iCs/>
        </w:rPr>
      </w:pPr>
      <w:r w:rsidRPr="00A73DFF">
        <w:rPr>
          <w:i/>
          <w:iCs/>
        </w:rPr>
        <w:t>- the batch number of the chemical product from which the quantity was supplied and the quantity of the chemical product in that batch.</w:t>
      </w:r>
    </w:p>
    <w:p w14:paraId="4BBB4C04" w14:textId="215A0B9C" w:rsidR="008E67EA" w:rsidRPr="00A73DFF" w:rsidRDefault="008E67EA" w:rsidP="008E67EA">
      <w:pPr>
        <w:pStyle w:val="GazetteBulletList2"/>
        <w:numPr>
          <w:ilvl w:val="0"/>
          <w:numId w:val="0"/>
        </w:numPr>
        <w:ind w:left="1134"/>
        <w:rPr>
          <w:i/>
          <w:iCs/>
        </w:rPr>
      </w:pPr>
      <w:r w:rsidRPr="00A73DFF">
        <w:rPr>
          <w:i/>
          <w:iCs/>
        </w:rPr>
        <w:t>5. The records referred to in conditions 2 and 4 above must be kept by the holder for at least 2 years.</w:t>
      </w:r>
    </w:p>
    <w:p w14:paraId="6B600DA4" w14:textId="77777777" w:rsidR="008E67EA" w:rsidRPr="00A73DFF" w:rsidRDefault="008E67EA" w:rsidP="008E67EA">
      <w:pPr>
        <w:pStyle w:val="GazetteBulletList2"/>
        <w:numPr>
          <w:ilvl w:val="0"/>
          <w:numId w:val="0"/>
        </w:numPr>
        <w:ind w:left="1134"/>
        <w:rPr>
          <w:i/>
          <w:iCs/>
        </w:rPr>
      </w:pPr>
      <w:r w:rsidRPr="00A73DFF">
        <w:rPr>
          <w:i/>
          <w:iCs/>
        </w:rPr>
        <w:t>6. The APVMA may request a holder to provide any records created and maintained under these conditions and, where the APVMA requests records be produced to it, a holder must provide the records to the APVMA.</w:t>
      </w:r>
    </w:p>
    <w:p w14:paraId="5EF844C3" w14:textId="77777777" w:rsidR="008E67EA" w:rsidRPr="00A73DFF" w:rsidRDefault="008E67EA" w:rsidP="008E67EA">
      <w:pPr>
        <w:pStyle w:val="GazetteBulletList2"/>
        <w:numPr>
          <w:ilvl w:val="0"/>
          <w:numId w:val="0"/>
        </w:numPr>
        <w:ind w:left="1134"/>
        <w:rPr>
          <w:i/>
          <w:iCs/>
        </w:rPr>
      </w:pPr>
      <w:r w:rsidRPr="00A73DFF">
        <w:rPr>
          <w:i/>
          <w:iCs/>
        </w:rPr>
        <w:t>7. For the purposes of this condition:</w:t>
      </w:r>
    </w:p>
    <w:p w14:paraId="7572D42A" w14:textId="77777777" w:rsidR="008E67EA" w:rsidRPr="00A73DFF" w:rsidRDefault="008E67EA" w:rsidP="008E67EA">
      <w:pPr>
        <w:pStyle w:val="GazetteBulletList2"/>
        <w:numPr>
          <w:ilvl w:val="0"/>
          <w:numId w:val="0"/>
        </w:numPr>
        <w:ind w:left="1134"/>
        <w:rPr>
          <w:i/>
          <w:iCs/>
        </w:rPr>
      </w:pPr>
      <w:r w:rsidRPr="00A73DFF">
        <w:rPr>
          <w:i/>
          <w:iCs/>
        </w:rPr>
        <w:t>- Batch means a defined quantity of material produced in a single series of operations.</w:t>
      </w:r>
    </w:p>
    <w:p w14:paraId="51423B9A" w14:textId="77777777" w:rsidR="008E67EA" w:rsidRPr="00A73DFF" w:rsidRDefault="008E67EA" w:rsidP="008E67EA">
      <w:pPr>
        <w:pStyle w:val="GazetteBulletList2"/>
        <w:numPr>
          <w:ilvl w:val="0"/>
          <w:numId w:val="0"/>
        </w:numPr>
        <w:ind w:left="1134"/>
        <w:rPr>
          <w:i/>
          <w:iCs/>
        </w:rPr>
      </w:pPr>
      <w:r w:rsidRPr="00A73DFF">
        <w:rPr>
          <w:i/>
          <w:iCs/>
        </w:rPr>
        <w:t>- Batch Number means a distinctive combination of numbers and/or letters that specifically identifies a batch from which the production history can be determined.</w:t>
      </w:r>
    </w:p>
    <w:p w14:paraId="74F575F5" w14:textId="77777777" w:rsidR="008E67EA" w:rsidRPr="00A73DFF" w:rsidRDefault="008E67EA" w:rsidP="008E67EA">
      <w:pPr>
        <w:pStyle w:val="GazetteBulletList2"/>
        <w:numPr>
          <w:ilvl w:val="0"/>
          <w:numId w:val="0"/>
        </w:numPr>
        <w:ind w:left="1134"/>
        <w:rPr>
          <w:i/>
          <w:iCs/>
        </w:rPr>
      </w:pPr>
      <w:r w:rsidRPr="00A73DFF">
        <w:rPr>
          <w:i/>
          <w:iCs/>
        </w:rPr>
        <w:t>- Possess means in the possession of the holder or in the possession of another person pursuant to an arrangement with the holder.</w:t>
      </w:r>
    </w:p>
    <w:p w14:paraId="07BB313E" w14:textId="77777777" w:rsidR="008E67EA" w:rsidRPr="00A73DFF" w:rsidRDefault="008E67EA" w:rsidP="008E67EA">
      <w:pPr>
        <w:pStyle w:val="GazetteBulletList2"/>
        <w:numPr>
          <w:ilvl w:val="0"/>
          <w:numId w:val="0"/>
        </w:numPr>
        <w:ind w:left="1134"/>
        <w:rPr>
          <w:i/>
          <w:iCs/>
        </w:rPr>
      </w:pPr>
      <w:r w:rsidRPr="00A73DFF">
        <w:rPr>
          <w:i/>
          <w:iCs/>
        </w:rPr>
        <w:t>- Record includes information stored or recorded by means of a computer.</w:t>
      </w:r>
    </w:p>
    <w:p w14:paraId="335CC71B" w14:textId="77777777" w:rsidR="008E67EA" w:rsidRPr="00A73DFF" w:rsidRDefault="008E67EA" w:rsidP="008E67EA">
      <w:pPr>
        <w:pStyle w:val="GazetteBulletList2"/>
        <w:numPr>
          <w:ilvl w:val="0"/>
          <w:numId w:val="0"/>
        </w:numPr>
        <w:ind w:left="1134"/>
        <w:rPr>
          <w:i/>
          <w:iCs/>
        </w:rPr>
      </w:pPr>
      <w:r w:rsidRPr="00A73DFF">
        <w:rPr>
          <w:i/>
          <w:iCs/>
        </w:rPr>
        <w:lastRenderedPageBreak/>
        <w:t>- Supply has the same meaning as in Section 3 of the Agricultural and Veterinary Chemicals Code Act 1994 (Agvet Code).</w:t>
      </w:r>
    </w:p>
    <w:p w14:paraId="094F1767" w14:textId="7D20B8FD" w:rsidR="008E67EA" w:rsidRDefault="008E67EA">
      <w:pPr>
        <w:pStyle w:val="NumberLevel1"/>
        <w:numPr>
          <w:ilvl w:val="0"/>
          <w:numId w:val="17"/>
        </w:numPr>
        <w:tabs>
          <w:tab w:val="clear" w:pos="709"/>
          <w:tab w:val="num" w:pos="2553"/>
        </w:tabs>
      </w:pPr>
      <w:bookmarkStart w:id="279" w:name="_Ref205884791"/>
      <w:r>
        <w:t xml:space="preserve">I have no further concerns related to the quality assurance processes of the chemical products listed in Attachment A of this notice, with respect to whether these chemical products meet the safety criteria, after variation of the condition detailed above in paragraph </w:t>
      </w:r>
      <w:r w:rsidR="001F33E9">
        <w:fldChar w:fldCharType="begin"/>
      </w:r>
      <w:r w:rsidR="001F33E9">
        <w:instrText xml:space="preserve"> REF _Ref213490072 \r \h </w:instrText>
      </w:r>
      <w:r w:rsidR="001F33E9">
        <w:fldChar w:fldCharType="separate"/>
      </w:r>
      <w:r w:rsidR="002C0C2A">
        <w:t>117</w:t>
      </w:r>
      <w:r w:rsidR="001F33E9">
        <w:fldChar w:fldCharType="end"/>
      </w:r>
      <w:r>
        <w:t xml:space="preserve"> of these reasons</w:t>
      </w:r>
      <w:bookmarkEnd w:id="279"/>
      <w:r>
        <w:t>.</w:t>
      </w:r>
    </w:p>
    <w:p w14:paraId="3A416D8F" w14:textId="77777777" w:rsidR="008E67EA" w:rsidRPr="004D56EA" w:rsidRDefault="008E67EA" w:rsidP="008E67EA">
      <w:pPr>
        <w:pStyle w:val="StatementofReasonsHeading4"/>
      </w:pPr>
      <w:r>
        <w:t>Formulation of a chemical product</w:t>
      </w:r>
    </w:p>
    <w:p w14:paraId="7B14E80E" w14:textId="77777777" w:rsidR="008E67EA" w:rsidRPr="001F5F88" w:rsidRDefault="008E67EA">
      <w:pPr>
        <w:pStyle w:val="NumberLevel1"/>
        <w:numPr>
          <w:ilvl w:val="0"/>
          <w:numId w:val="17"/>
        </w:numPr>
        <w:tabs>
          <w:tab w:val="clear" w:pos="709"/>
          <w:tab w:val="num" w:pos="2553"/>
        </w:tabs>
        <w:rPr>
          <w:color w:val="000000" w:themeColor="text1"/>
        </w:rPr>
      </w:pPr>
      <w:r w:rsidRPr="001F5F88">
        <w:rPr>
          <w:color w:val="000000" w:themeColor="text1"/>
        </w:rPr>
        <w:t>In relation to the formulation details of the chemical products listed in Attachment A of this notice, I note that I must have regard to the following matters in order to determine whether a chemical product meets the safety criteria:</w:t>
      </w:r>
    </w:p>
    <w:p w14:paraId="6C174A82" w14:textId="77777777" w:rsidR="008E67EA" w:rsidRPr="001F5F88" w:rsidRDefault="008E67EA">
      <w:pPr>
        <w:pStyle w:val="NumberLevel2"/>
        <w:numPr>
          <w:ilvl w:val="1"/>
          <w:numId w:val="17"/>
        </w:numPr>
        <w:ind w:left="1134"/>
      </w:pPr>
      <w:r w:rsidRPr="001F5F88">
        <w:t>how the product is formulated (s 5A(3)(a)(iii) of the Agvet Code); and</w:t>
      </w:r>
    </w:p>
    <w:p w14:paraId="54924CF2" w14:textId="77777777" w:rsidR="008E67EA" w:rsidRPr="001F5F88" w:rsidRDefault="008E67EA">
      <w:pPr>
        <w:pStyle w:val="NumberLevel2"/>
        <w:numPr>
          <w:ilvl w:val="1"/>
          <w:numId w:val="17"/>
        </w:numPr>
        <w:ind w:left="1134"/>
      </w:pPr>
      <w:r w:rsidRPr="001F5F88">
        <w:t>the composition and form of the constituents of the product (s 5A(3)(a)(iv) of the Agvet Code); and</w:t>
      </w:r>
    </w:p>
    <w:p w14:paraId="0B9EB32A" w14:textId="77777777" w:rsidR="008E67EA" w:rsidRPr="001F5F88" w:rsidRDefault="008E67EA">
      <w:pPr>
        <w:pStyle w:val="NumberLevel2"/>
        <w:numPr>
          <w:ilvl w:val="1"/>
          <w:numId w:val="17"/>
        </w:numPr>
        <w:ind w:left="1134"/>
      </w:pPr>
      <w:r w:rsidRPr="001F5F88">
        <w:t>the following relevant particulars</w:t>
      </w:r>
      <w:r w:rsidRPr="001F5F88">
        <w:rPr>
          <w:color w:val="000000" w:themeColor="text1"/>
        </w:rPr>
        <w:t xml:space="preserve"> </w:t>
      </w:r>
      <w:r w:rsidRPr="001F5F88">
        <w:t xml:space="preserve">that are, or would be, entered in the Register for the product (s 5A(3)(a)(vi) of the Agvet Code): </w:t>
      </w:r>
      <w:r w:rsidRPr="001F5F88">
        <w:rPr>
          <w:color w:val="000000" w:themeColor="text1"/>
        </w:rPr>
        <w:t>the constituents (</w:t>
      </w:r>
      <w:r w:rsidRPr="001F5F88">
        <w:t>regulation</w:t>
      </w:r>
      <w:r w:rsidRPr="001F5F88">
        <w:rPr>
          <w:color w:val="000000" w:themeColor="text1"/>
        </w:rPr>
        <w:t xml:space="preserve"> 16(b) of the Agvet Regulations), the </w:t>
      </w:r>
      <w:r w:rsidRPr="001F5F88">
        <w:t xml:space="preserve">concentration of each constituent (regulation 16(c) </w:t>
      </w:r>
      <w:r w:rsidRPr="001F5F88">
        <w:rPr>
          <w:color w:val="000000" w:themeColor="text1"/>
        </w:rPr>
        <w:t>of the Agvet Regulations</w:t>
      </w:r>
      <w:r w:rsidRPr="001F5F88">
        <w:t>), the composition and purity of each active constituent (if possible) (regulation 16(d)</w:t>
      </w:r>
      <w:r w:rsidRPr="001F5F88">
        <w:rPr>
          <w:color w:val="000000" w:themeColor="text1"/>
        </w:rPr>
        <w:t xml:space="preserve"> of the Agvet Regulations</w:t>
      </w:r>
      <w:r w:rsidRPr="001F5F88">
        <w:t>), and the formulation type (regulation 16(da)</w:t>
      </w:r>
      <w:r w:rsidRPr="001F5F88">
        <w:rPr>
          <w:color w:val="000000" w:themeColor="text1"/>
        </w:rPr>
        <w:t xml:space="preserve"> of the Agvet Regulations</w:t>
      </w:r>
      <w:r w:rsidRPr="001F5F88">
        <w:t>).</w:t>
      </w:r>
    </w:p>
    <w:p w14:paraId="624BFE2A" w14:textId="27AEEB28" w:rsidR="008E67EA" w:rsidRPr="001F5F88" w:rsidRDefault="008E67EA">
      <w:pPr>
        <w:pStyle w:val="NumberLevel1"/>
        <w:numPr>
          <w:ilvl w:val="0"/>
          <w:numId w:val="17"/>
        </w:numPr>
        <w:tabs>
          <w:tab w:val="clear" w:pos="709"/>
          <w:tab w:val="num" w:pos="2553"/>
        </w:tabs>
        <w:rPr>
          <w:color w:val="000000" w:themeColor="text1"/>
        </w:rPr>
      </w:pPr>
      <w:r>
        <w:t xml:space="preserve">My detailed consideration of these matters are set out </w:t>
      </w:r>
      <w:r w:rsidRPr="00BC6A87">
        <w:t>in the ‘</w:t>
      </w:r>
      <w:r w:rsidRPr="001F5F88">
        <w:rPr>
          <w:i/>
          <w:iCs/>
        </w:rPr>
        <w:t xml:space="preserve">How the product is formulated – constituents – bittering agent and </w:t>
      </w:r>
      <w:r w:rsidRPr="001F5F88">
        <w:rPr>
          <w:i/>
          <w:iCs/>
          <w:color w:val="000000" w:themeColor="text1"/>
        </w:rPr>
        <w:t xml:space="preserve">dye’ </w:t>
      </w:r>
      <w:r w:rsidRPr="001F5F88">
        <w:rPr>
          <w:color w:val="000000" w:themeColor="text1"/>
        </w:rPr>
        <w:t xml:space="preserve">(paragraphs </w:t>
      </w:r>
      <w:r w:rsidRPr="001F5F88">
        <w:rPr>
          <w:color w:val="000000" w:themeColor="text1"/>
        </w:rPr>
        <w:fldChar w:fldCharType="begin"/>
      </w:r>
      <w:r w:rsidRPr="001F5F88">
        <w:rPr>
          <w:color w:val="000000" w:themeColor="text1"/>
        </w:rPr>
        <w:instrText xml:space="preserve"> REF _Ref213358628 \r \h  \* MERGEFORMAT </w:instrText>
      </w:r>
      <w:r w:rsidRPr="001F5F88">
        <w:rPr>
          <w:color w:val="000000" w:themeColor="text1"/>
        </w:rPr>
      </w:r>
      <w:r w:rsidRPr="001F5F88">
        <w:rPr>
          <w:color w:val="000000" w:themeColor="text1"/>
        </w:rPr>
        <w:fldChar w:fldCharType="separate"/>
      </w:r>
      <w:r w:rsidR="002C0C2A">
        <w:rPr>
          <w:color w:val="000000" w:themeColor="text1"/>
        </w:rPr>
        <w:t>121</w:t>
      </w:r>
      <w:r w:rsidRPr="001F5F88">
        <w:rPr>
          <w:color w:val="000000" w:themeColor="text1"/>
        </w:rPr>
        <w:fldChar w:fldCharType="end"/>
      </w:r>
      <w:r w:rsidRPr="001F5F88">
        <w:rPr>
          <w:color w:val="000000" w:themeColor="text1"/>
        </w:rPr>
        <w:t xml:space="preserve"> – </w:t>
      </w:r>
      <w:r w:rsidRPr="001F5F88">
        <w:rPr>
          <w:color w:val="000000" w:themeColor="text1"/>
        </w:rPr>
        <w:fldChar w:fldCharType="begin"/>
      </w:r>
      <w:r w:rsidRPr="001F5F88">
        <w:rPr>
          <w:color w:val="000000" w:themeColor="text1"/>
        </w:rPr>
        <w:instrText xml:space="preserve"> REF _Ref213444454 \w \h  \* MERGEFORMAT </w:instrText>
      </w:r>
      <w:r w:rsidRPr="001F5F88">
        <w:rPr>
          <w:color w:val="000000" w:themeColor="text1"/>
        </w:rPr>
      </w:r>
      <w:r w:rsidRPr="001F5F88">
        <w:rPr>
          <w:color w:val="000000" w:themeColor="text1"/>
        </w:rPr>
        <w:fldChar w:fldCharType="separate"/>
      </w:r>
      <w:r w:rsidR="002C0C2A">
        <w:rPr>
          <w:color w:val="000000" w:themeColor="text1"/>
        </w:rPr>
        <w:t>123</w:t>
      </w:r>
      <w:r w:rsidRPr="001F5F88">
        <w:rPr>
          <w:color w:val="000000" w:themeColor="text1"/>
        </w:rPr>
        <w:fldChar w:fldCharType="end"/>
      </w:r>
      <w:r w:rsidRPr="001F5F88">
        <w:rPr>
          <w:color w:val="000000" w:themeColor="text1"/>
        </w:rPr>
        <w:t xml:space="preserve">) and </w:t>
      </w:r>
      <w:r w:rsidRPr="001F5F88">
        <w:rPr>
          <w:i/>
          <w:iCs/>
        </w:rPr>
        <w:t>‘How the product is formulated – formulation type’</w:t>
      </w:r>
      <w:r w:rsidRPr="006E722E">
        <w:t xml:space="preserve"> (paragraphs </w:t>
      </w:r>
      <w:r w:rsidRPr="001F5F88">
        <w:rPr>
          <w:color w:val="000000" w:themeColor="text1"/>
        </w:rPr>
        <w:fldChar w:fldCharType="begin"/>
      </w:r>
      <w:r w:rsidRPr="001F5F88">
        <w:rPr>
          <w:color w:val="000000" w:themeColor="text1"/>
        </w:rPr>
        <w:instrText xml:space="preserve"> REF _Ref213091627 \r \h  \* MERGEFORMAT </w:instrText>
      </w:r>
      <w:r w:rsidRPr="001F5F88">
        <w:rPr>
          <w:color w:val="000000" w:themeColor="text1"/>
        </w:rPr>
      </w:r>
      <w:r w:rsidRPr="001F5F88">
        <w:rPr>
          <w:color w:val="000000" w:themeColor="text1"/>
        </w:rPr>
        <w:fldChar w:fldCharType="separate"/>
      </w:r>
      <w:r w:rsidR="002C0C2A">
        <w:rPr>
          <w:color w:val="000000" w:themeColor="text1"/>
        </w:rPr>
        <w:t>124</w:t>
      </w:r>
      <w:r w:rsidRPr="001F5F88">
        <w:rPr>
          <w:color w:val="000000" w:themeColor="text1"/>
        </w:rPr>
        <w:fldChar w:fldCharType="end"/>
      </w:r>
      <w:r w:rsidRPr="001F5F88">
        <w:rPr>
          <w:color w:val="000000" w:themeColor="text1"/>
        </w:rPr>
        <w:t xml:space="preserve"> – </w:t>
      </w:r>
      <w:r w:rsidRPr="001F5F88">
        <w:rPr>
          <w:color w:val="000000" w:themeColor="text1"/>
        </w:rPr>
        <w:fldChar w:fldCharType="begin"/>
      </w:r>
      <w:r w:rsidRPr="001F5F88">
        <w:rPr>
          <w:color w:val="000000" w:themeColor="text1"/>
        </w:rPr>
        <w:instrText xml:space="preserve"> REF _Ref213091629 \r \h  \* MERGEFORMAT </w:instrText>
      </w:r>
      <w:r w:rsidRPr="001F5F88">
        <w:rPr>
          <w:color w:val="000000" w:themeColor="text1"/>
        </w:rPr>
      </w:r>
      <w:r w:rsidRPr="001F5F88">
        <w:rPr>
          <w:color w:val="000000" w:themeColor="text1"/>
        </w:rPr>
        <w:fldChar w:fldCharType="separate"/>
      </w:r>
      <w:r w:rsidR="002C0C2A">
        <w:rPr>
          <w:color w:val="000000" w:themeColor="text1"/>
        </w:rPr>
        <w:t>125</w:t>
      </w:r>
      <w:r w:rsidRPr="001F5F88">
        <w:rPr>
          <w:color w:val="000000" w:themeColor="text1"/>
        </w:rPr>
        <w:fldChar w:fldCharType="end"/>
      </w:r>
      <w:r w:rsidRPr="006E722E">
        <w:t>), and</w:t>
      </w:r>
      <w:r w:rsidRPr="001F5F88">
        <w:rPr>
          <w:color w:val="000000" w:themeColor="text1"/>
        </w:rPr>
        <w:t xml:space="preserve"> ‘</w:t>
      </w:r>
      <w:r w:rsidRPr="001F5F88">
        <w:rPr>
          <w:i/>
          <w:iCs/>
          <w:color w:val="000000" w:themeColor="text1"/>
        </w:rPr>
        <w:t xml:space="preserve">Composition and form of the constituents – concentration and purity of the active constituent’ </w:t>
      </w:r>
      <w:r w:rsidRPr="001F5F88">
        <w:rPr>
          <w:color w:val="000000" w:themeColor="text1"/>
        </w:rPr>
        <w:t>(parag</w:t>
      </w:r>
      <w:r w:rsidRPr="006E722E">
        <w:t xml:space="preserve">raph </w:t>
      </w:r>
      <w:r w:rsidRPr="006E722E">
        <w:fldChar w:fldCharType="begin"/>
      </w:r>
      <w:r w:rsidRPr="006E722E">
        <w:instrText xml:space="preserve"> REF _Ref213350517 \r \h </w:instrText>
      </w:r>
      <w:r>
        <w:instrText xml:space="preserve"> \* MERGEFORMAT </w:instrText>
      </w:r>
      <w:r w:rsidRPr="006E722E">
        <w:fldChar w:fldCharType="separate"/>
      </w:r>
      <w:r w:rsidR="002C0C2A">
        <w:t>126</w:t>
      </w:r>
      <w:r w:rsidRPr="006E722E">
        <w:fldChar w:fldCharType="end"/>
      </w:r>
      <w:r w:rsidRPr="006E722E">
        <w:t>) sections</w:t>
      </w:r>
      <w:r w:rsidRPr="00BC6A87">
        <w:t xml:space="preserve"> of these reasons</w:t>
      </w:r>
      <w:r>
        <w:t>.</w:t>
      </w:r>
    </w:p>
    <w:p w14:paraId="18627C09" w14:textId="77777777" w:rsidR="008E67EA" w:rsidRDefault="008E67EA" w:rsidP="008E67EA">
      <w:pPr>
        <w:pStyle w:val="StatementofReasonsHeading5"/>
      </w:pPr>
      <w:r>
        <w:t>How the product is formulated – constituents – bittering agent and dye</w:t>
      </w:r>
    </w:p>
    <w:p w14:paraId="153D1287" w14:textId="35EDB62B" w:rsidR="008E67EA" w:rsidRPr="006C2553" w:rsidRDefault="008E67EA">
      <w:pPr>
        <w:pStyle w:val="NumberLevel1"/>
        <w:numPr>
          <w:ilvl w:val="0"/>
          <w:numId w:val="17"/>
        </w:numPr>
        <w:rPr>
          <w:color w:val="000000" w:themeColor="text1"/>
        </w:rPr>
      </w:pPr>
      <w:bookmarkStart w:id="280" w:name="_Ref213358628"/>
      <w:bookmarkStart w:id="281" w:name="_Ref204074598"/>
      <w:bookmarkStart w:id="282" w:name="_Ref203662264"/>
      <w:r w:rsidRPr="006C2553">
        <w:rPr>
          <w:color w:val="000000" w:themeColor="text1"/>
        </w:rPr>
        <w:t xml:space="preserve">I consider that a bittering agent and dye are critical formulation components of anticoagulant rodenticide chemical products to reduce the likelihood of an effect that is harmful to human beings or an unintended effect that is harmful to non-target terrestrial vertebrates, as detailed above in paragraphs </w:t>
      </w:r>
      <w:r w:rsidRPr="006C2553">
        <w:rPr>
          <w:color w:val="000000" w:themeColor="text1"/>
        </w:rPr>
        <w:fldChar w:fldCharType="begin"/>
      </w:r>
      <w:r w:rsidRPr="006C2553">
        <w:rPr>
          <w:color w:val="000000" w:themeColor="text1"/>
        </w:rPr>
        <w:instrText xml:space="preserve"> REF _Ref213357407 \r \h </w:instrText>
      </w:r>
      <w:r>
        <w:rPr>
          <w:color w:val="000000" w:themeColor="text1"/>
        </w:rPr>
        <w:instrText xml:space="preserve"> \* MERGEFORMAT </w:instrText>
      </w:r>
      <w:r w:rsidRPr="006C2553">
        <w:rPr>
          <w:color w:val="000000" w:themeColor="text1"/>
        </w:rPr>
      </w:r>
      <w:r w:rsidRPr="006C2553">
        <w:rPr>
          <w:color w:val="000000" w:themeColor="text1"/>
        </w:rPr>
        <w:fldChar w:fldCharType="separate"/>
      </w:r>
      <w:r w:rsidR="002C0C2A">
        <w:rPr>
          <w:color w:val="000000" w:themeColor="text1"/>
        </w:rPr>
        <w:t>53</w:t>
      </w:r>
      <w:r w:rsidRPr="006C2553">
        <w:rPr>
          <w:color w:val="000000" w:themeColor="text1"/>
        </w:rPr>
        <w:fldChar w:fldCharType="end"/>
      </w:r>
      <w:r w:rsidRPr="006C2553">
        <w:rPr>
          <w:color w:val="000000" w:themeColor="text1"/>
        </w:rPr>
        <w:t xml:space="preserve"> and </w:t>
      </w:r>
      <w:r w:rsidRPr="006C2553">
        <w:rPr>
          <w:color w:val="000000" w:themeColor="text1"/>
        </w:rPr>
        <w:fldChar w:fldCharType="begin"/>
      </w:r>
      <w:r w:rsidRPr="006C2553">
        <w:rPr>
          <w:color w:val="000000" w:themeColor="text1"/>
        </w:rPr>
        <w:instrText xml:space="preserve"> REF _Ref213357481 \r \h </w:instrText>
      </w:r>
      <w:r>
        <w:rPr>
          <w:color w:val="000000" w:themeColor="text1"/>
        </w:rPr>
        <w:instrText xml:space="preserve"> \* MERGEFORMAT </w:instrText>
      </w:r>
      <w:r w:rsidRPr="006C2553">
        <w:rPr>
          <w:color w:val="000000" w:themeColor="text1"/>
        </w:rPr>
      </w:r>
      <w:r w:rsidRPr="006C2553">
        <w:rPr>
          <w:color w:val="000000" w:themeColor="text1"/>
        </w:rPr>
        <w:fldChar w:fldCharType="separate"/>
      </w:r>
      <w:r w:rsidR="002C0C2A">
        <w:rPr>
          <w:color w:val="000000" w:themeColor="text1"/>
        </w:rPr>
        <w:t>97.2</w:t>
      </w:r>
      <w:r w:rsidRPr="006C2553">
        <w:rPr>
          <w:color w:val="000000" w:themeColor="text1"/>
        </w:rPr>
        <w:fldChar w:fldCharType="end"/>
      </w:r>
      <w:r w:rsidRPr="006C2553">
        <w:rPr>
          <w:color w:val="000000" w:themeColor="text1"/>
        </w:rPr>
        <w:t xml:space="preserve"> of this statement of reasons.</w:t>
      </w:r>
      <w:bookmarkEnd w:id="280"/>
    </w:p>
    <w:p w14:paraId="62FC93CA" w14:textId="77777777" w:rsidR="008E67EA" w:rsidRPr="00DB395E" w:rsidRDefault="008E67EA">
      <w:pPr>
        <w:pStyle w:val="NumberLevel1"/>
        <w:numPr>
          <w:ilvl w:val="0"/>
          <w:numId w:val="17"/>
        </w:numPr>
        <w:tabs>
          <w:tab w:val="clear" w:pos="709"/>
          <w:tab w:val="num" w:pos="2553"/>
        </w:tabs>
        <w:rPr>
          <w:color w:val="000000" w:themeColor="text1"/>
        </w:rPr>
      </w:pPr>
      <w:bookmarkStart w:id="283" w:name="_Ref216018864"/>
      <w:r w:rsidRPr="006C2553">
        <w:t>Based on a review of the details of the constituents of the chemical products that are entered into the Register for the chemical products listed in Attachment A</w:t>
      </w:r>
      <w:r>
        <w:t xml:space="preserve"> of this notice</w:t>
      </w:r>
      <w:r w:rsidRPr="006C2553">
        <w:t xml:space="preserve">, as summarised in </w:t>
      </w:r>
      <w:r>
        <w:t xml:space="preserve">section </w:t>
      </w:r>
      <w:r w:rsidRPr="00D035F8">
        <w:rPr>
          <w:i/>
          <w:iCs/>
        </w:rPr>
        <w:t xml:space="preserve">‘2.2 </w:t>
      </w:r>
      <w:r w:rsidRPr="00D035F8">
        <w:rPr>
          <w:i/>
          <w:iCs/>
          <w:color w:val="000000" w:themeColor="text1"/>
        </w:rPr>
        <w:t>Chemistry and Manufacture – Chemical Products’</w:t>
      </w:r>
      <w:r w:rsidRPr="00DB395E">
        <w:rPr>
          <w:color w:val="000000" w:themeColor="text1"/>
        </w:rPr>
        <w:t xml:space="preserve"> of the </w:t>
      </w:r>
      <w:r w:rsidRPr="00DB395E">
        <w:rPr>
          <w:i/>
          <w:iCs/>
          <w:color w:val="000000" w:themeColor="text1"/>
        </w:rPr>
        <w:t>Anticoagulant Rodenticides Review Technical Report</w:t>
      </w:r>
      <w:r w:rsidRPr="00DB395E">
        <w:rPr>
          <w:color w:val="000000" w:themeColor="text1"/>
        </w:rPr>
        <w:t>, I note:</w:t>
      </w:r>
      <w:bookmarkEnd w:id="283"/>
    </w:p>
    <w:p w14:paraId="0EBEA8EB" w14:textId="77777777" w:rsidR="008E67EA" w:rsidRDefault="008E67EA">
      <w:pPr>
        <w:pStyle w:val="NumberLevel2"/>
        <w:numPr>
          <w:ilvl w:val="1"/>
          <w:numId w:val="17"/>
        </w:numPr>
        <w:ind w:left="1134"/>
      </w:pPr>
      <w:r>
        <w:t>all chemical products listed in Attachment A have a formulation entered into the Register that contain both the requisite bittering agent and dye as constituents; and</w:t>
      </w:r>
    </w:p>
    <w:p w14:paraId="4362EE80" w14:textId="77777777" w:rsidR="008E67EA" w:rsidRPr="006C2553" w:rsidRDefault="008E67EA">
      <w:pPr>
        <w:pStyle w:val="NumberLevel2"/>
        <w:numPr>
          <w:ilvl w:val="1"/>
          <w:numId w:val="17"/>
        </w:numPr>
        <w:ind w:left="1134"/>
      </w:pPr>
      <w:r>
        <w:t>there are two chemical products listed in Attachment A that have multiple formulations entered into the Register, where one (or more) of the formulations registered does not contain the requisite bittering agent and/or dye as constituents.</w:t>
      </w:r>
    </w:p>
    <w:p w14:paraId="45648801" w14:textId="077FD5C8" w:rsidR="008E67EA" w:rsidRPr="002F7556" w:rsidRDefault="008E67EA">
      <w:pPr>
        <w:pStyle w:val="NumberLevel1"/>
        <w:numPr>
          <w:ilvl w:val="0"/>
          <w:numId w:val="17"/>
        </w:numPr>
        <w:tabs>
          <w:tab w:val="clear" w:pos="709"/>
          <w:tab w:val="num" w:pos="2553"/>
        </w:tabs>
        <w:rPr>
          <w:color w:val="000000" w:themeColor="text1"/>
        </w:rPr>
      </w:pPr>
      <w:bookmarkStart w:id="284" w:name="_Ref213444454"/>
      <w:r w:rsidRPr="002F7556">
        <w:rPr>
          <w:color w:val="000000" w:themeColor="text1"/>
        </w:rPr>
        <w:t>For t</w:t>
      </w:r>
      <w:r>
        <w:rPr>
          <w:color w:val="000000" w:themeColor="text1"/>
        </w:rPr>
        <w:t>hose</w:t>
      </w:r>
      <w:r w:rsidRPr="002F7556">
        <w:rPr>
          <w:color w:val="000000" w:themeColor="text1"/>
        </w:rPr>
        <w:t xml:space="preserve"> chemical </w:t>
      </w:r>
      <w:r w:rsidRPr="00D035F8">
        <w:rPr>
          <w:color w:val="000000" w:themeColor="text1"/>
        </w:rPr>
        <w:t>products (52098, 63624),</w:t>
      </w:r>
      <w:r>
        <w:rPr>
          <w:color w:val="000000" w:themeColor="text1"/>
        </w:rPr>
        <w:t xml:space="preserve"> </w:t>
      </w:r>
      <w:r w:rsidRPr="002F7556">
        <w:rPr>
          <w:color w:val="000000" w:themeColor="text1"/>
        </w:rPr>
        <w:t xml:space="preserve">I consider that </w:t>
      </w:r>
      <w:r>
        <w:rPr>
          <w:color w:val="000000" w:themeColor="text1"/>
        </w:rPr>
        <w:t>that, unless they can be varied so that the</w:t>
      </w:r>
      <w:r w:rsidR="00A34D88">
        <w:rPr>
          <w:color w:val="000000" w:themeColor="text1"/>
        </w:rPr>
        <w:t xml:space="preserve"> </w:t>
      </w:r>
      <w:r w:rsidRPr="002F7556">
        <w:rPr>
          <w:color w:val="000000" w:themeColor="text1"/>
        </w:rPr>
        <w:t xml:space="preserve">formulation details (encompassing the relevant particulars constituents and the concentration of each constituent) </w:t>
      </w:r>
      <w:r>
        <w:rPr>
          <w:color w:val="000000" w:themeColor="text1"/>
        </w:rPr>
        <w:t xml:space="preserve">entered into the Register </w:t>
      </w:r>
      <w:r w:rsidRPr="002F7556">
        <w:rPr>
          <w:color w:val="000000" w:themeColor="text1"/>
        </w:rPr>
        <w:t xml:space="preserve">contain the requisite </w:t>
      </w:r>
      <w:r>
        <w:rPr>
          <w:color w:val="000000" w:themeColor="text1"/>
        </w:rPr>
        <w:t xml:space="preserve">bittering agent and dye as </w:t>
      </w:r>
      <w:r w:rsidRPr="002F7556">
        <w:rPr>
          <w:color w:val="000000" w:themeColor="text1"/>
        </w:rPr>
        <w:t>constituents</w:t>
      </w:r>
      <w:r>
        <w:rPr>
          <w:color w:val="000000" w:themeColor="text1"/>
        </w:rPr>
        <w:t>, they will not meet the safety criteria</w:t>
      </w:r>
      <w:r w:rsidRPr="002F7556">
        <w:rPr>
          <w:color w:val="000000" w:themeColor="text1"/>
        </w:rPr>
        <w:t>.</w:t>
      </w:r>
      <w:bookmarkEnd w:id="284"/>
    </w:p>
    <w:bookmarkEnd w:id="281"/>
    <w:bookmarkEnd w:id="282"/>
    <w:p w14:paraId="3CC27098" w14:textId="77777777" w:rsidR="008E67EA" w:rsidRDefault="008E67EA" w:rsidP="008E67EA">
      <w:pPr>
        <w:pStyle w:val="StatementofReasonsHeading5"/>
      </w:pPr>
      <w:r>
        <w:lastRenderedPageBreak/>
        <w:t>How the product is formulated – formulation type</w:t>
      </w:r>
    </w:p>
    <w:p w14:paraId="0A665615" w14:textId="0F75FBF5" w:rsidR="008E67EA" w:rsidRPr="00D869C6" w:rsidRDefault="008E67EA">
      <w:pPr>
        <w:pStyle w:val="NumberLevel1"/>
        <w:numPr>
          <w:ilvl w:val="0"/>
          <w:numId w:val="17"/>
        </w:numPr>
        <w:tabs>
          <w:tab w:val="clear" w:pos="709"/>
          <w:tab w:val="num" w:pos="2553"/>
        </w:tabs>
        <w:rPr>
          <w:color w:val="000000" w:themeColor="text1"/>
        </w:rPr>
      </w:pPr>
      <w:bookmarkStart w:id="285" w:name="_Ref213091627"/>
      <w:bookmarkStart w:id="286" w:name="_Ref203662262"/>
      <w:r w:rsidRPr="003A31A5">
        <w:rPr>
          <w:color w:val="000000" w:themeColor="text1"/>
        </w:rPr>
        <w:t>In relation to the formulation type of the chemical products</w:t>
      </w:r>
      <w:r w:rsidRPr="00D869C6">
        <w:rPr>
          <w:color w:val="000000" w:themeColor="text1"/>
        </w:rPr>
        <w:t xml:space="preserve">, I note that the majority of chemical products listed in Attachment A of the notice have the formulation type ‘BA – Bait’ entered into the Register, while a small number of products have the formulation type ‘BK – Block’, ‘PE – Pellet’, ‘RB – Ready to use bait’ or ‘SA – Sachet’ entered into the Register. I </w:t>
      </w:r>
      <w:r w:rsidRPr="00D869C6">
        <w:rPr>
          <w:b/>
          <w:bCs/>
          <w:color w:val="000000" w:themeColor="text1"/>
        </w:rPr>
        <w:t xml:space="preserve">do not </w:t>
      </w:r>
      <w:r w:rsidRPr="00D869C6">
        <w:rPr>
          <w:color w:val="000000" w:themeColor="text1"/>
        </w:rPr>
        <w:t>consider that the formulation types of ‘BA – Bait’, ‘BK – Block’, ‘PE – Pellet’ or ‘SA – Sachet’</w:t>
      </w:r>
      <w:r>
        <w:rPr>
          <w:color w:val="000000" w:themeColor="text1"/>
        </w:rPr>
        <w:t xml:space="preserve"> entered into Register </w:t>
      </w:r>
      <w:r w:rsidRPr="00D869C6">
        <w:rPr>
          <w:color w:val="000000" w:themeColor="text1"/>
        </w:rPr>
        <w:t>remain appropriate, as they are outdated terminolog</w:t>
      </w:r>
      <w:r>
        <w:rPr>
          <w:color w:val="000000" w:themeColor="text1"/>
        </w:rPr>
        <w:t>ies</w:t>
      </w:r>
      <w:r w:rsidRPr="00D869C6">
        <w:rPr>
          <w:color w:val="000000" w:themeColor="text1"/>
        </w:rPr>
        <w:t xml:space="preserve"> that do not </w:t>
      </w:r>
      <w:r>
        <w:rPr>
          <w:color w:val="000000" w:themeColor="text1"/>
        </w:rPr>
        <w:t xml:space="preserve">accurately </w:t>
      </w:r>
      <w:r w:rsidRPr="00D869C6">
        <w:rPr>
          <w:color w:val="000000" w:themeColor="text1"/>
        </w:rPr>
        <w:t>reflect that these chemical products are in a ready-to-use form.</w:t>
      </w:r>
      <w:bookmarkEnd w:id="285"/>
    </w:p>
    <w:p w14:paraId="13011576" w14:textId="77777777" w:rsidR="008E67EA" w:rsidRPr="003A31A5" w:rsidRDefault="008E67EA">
      <w:pPr>
        <w:pStyle w:val="NumberLevel1"/>
        <w:numPr>
          <w:ilvl w:val="0"/>
          <w:numId w:val="17"/>
        </w:numPr>
        <w:tabs>
          <w:tab w:val="clear" w:pos="709"/>
          <w:tab w:val="num" w:pos="2553"/>
        </w:tabs>
        <w:rPr>
          <w:color w:val="000000" w:themeColor="text1"/>
        </w:rPr>
      </w:pPr>
      <w:bookmarkStart w:id="287" w:name="_Ref213091629"/>
      <w:r w:rsidRPr="00D869C6">
        <w:rPr>
          <w:color w:val="000000" w:themeColor="text1"/>
        </w:rPr>
        <w:t>Therefore, based on my review and consideration of the r</w:t>
      </w:r>
      <w:r>
        <w:rPr>
          <w:color w:val="000000" w:themeColor="text1"/>
        </w:rPr>
        <w:t xml:space="preserve">ecommendations in section </w:t>
      </w:r>
      <w:r w:rsidRPr="006B5FF8">
        <w:rPr>
          <w:i/>
          <w:iCs/>
        </w:rPr>
        <w:t xml:space="preserve">‘2.2 </w:t>
      </w:r>
      <w:r w:rsidRPr="006B5FF8">
        <w:rPr>
          <w:i/>
          <w:iCs/>
          <w:color w:val="000000" w:themeColor="text1"/>
        </w:rPr>
        <w:t>Chemistry and Manufacture – Chemical Products’</w:t>
      </w:r>
      <w:r>
        <w:rPr>
          <w:i/>
          <w:iCs/>
          <w:color w:val="000000" w:themeColor="text1"/>
        </w:rPr>
        <w:t xml:space="preserve"> </w:t>
      </w:r>
      <w:r w:rsidRPr="003A31A5">
        <w:rPr>
          <w:color w:val="000000" w:themeColor="text1"/>
        </w:rPr>
        <w:t xml:space="preserve">of the </w:t>
      </w:r>
      <w:r w:rsidRPr="003A31A5">
        <w:rPr>
          <w:i/>
          <w:iCs/>
          <w:color w:val="000000" w:themeColor="text1"/>
        </w:rPr>
        <w:t xml:space="preserve">Anticoagulant Rodenticides </w:t>
      </w:r>
      <w:r w:rsidRPr="00D869C6">
        <w:rPr>
          <w:i/>
          <w:iCs/>
          <w:color w:val="000000" w:themeColor="text1"/>
        </w:rPr>
        <w:t>Review Technical Report</w:t>
      </w:r>
      <w:r w:rsidRPr="00D869C6">
        <w:rPr>
          <w:color w:val="000000" w:themeColor="text1"/>
        </w:rPr>
        <w:t xml:space="preserve">, I find that the formulation type entered into the Register for the chemical products listed in Attachment A of this notice can be varied to </w:t>
      </w:r>
      <w:r w:rsidRPr="00D869C6">
        <w:rPr>
          <w:b/>
          <w:bCs/>
          <w:i/>
          <w:iCs/>
          <w:color w:val="000000" w:themeColor="text1"/>
        </w:rPr>
        <w:t>‘RB – Ready to use bait’</w:t>
      </w:r>
      <w:r w:rsidRPr="00D869C6">
        <w:rPr>
          <w:color w:val="000000" w:themeColor="text1"/>
        </w:rPr>
        <w:t>, with the ex</w:t>
      </w:r>
      <w:r>
        <w:rPr>
          <w:color w:val="000000" w:themeColor="text1"/>
        </w:rPr>
        <w:t xml:space="preserve">ception of the limited number of chemical products that already contain this formulation type </w:t>
      </w:r>
      <w:r w:rsidRPr="00D035F8">
        <w:rPr>
          <w:color w:val="000000" w:themeColor="text1"/>
        </w:rPr>
        <w:t xml:space="preserve">(89039, </w:t>
      </w:r>
      <w:r>
        <w:rPr>
          <w:color w:val="000000" w:themeColor="text1"/>
        </w:rPr>
        <w:t xml:space="preserve">89510, 89203, 89204, 89206, </w:t>
      </w:r>
      <w:r w:rsidRPr="00D035F8">
        <w:rPr>
          <w:color w:val="000000" w:themeColor="text1"/>
        </w:rPr>
        <w:t>90982, 91401)</w:t>
      </w:r>
      <w:r w:rsidRPr="00D035F8">
        <w:rPr>
          <w:b/>
          <w:bCs/>
          <w:i/>
          <w:iCs/>
          <w:color w:val="000000" w:themeColor="text1"/>
        </w:rPr>
        <w:t>.</w:t>
      </w:r>
      <w:bookmarkEnd w:id="287"/>
    </w:p>
    <w:bookmarkEnd w:id="286"/>
    <w:p w14:paraId="2BA0FB54" w14:textId="77777777" w:rsidR="008E67EA" w:rsidRDefault="008E67EA" w:rsidP="008E67EA">
      <w:pPr>
        <w:pStyle w:val="StatementofReasonsHeading5"/>
      </w:pPr>
      <w:r>
        <w:t>Composition and form of the constituents – concentration and purity of the active constituent</w:t>
      </w:r>
    </w:p>
    <w:p w14:paraId="59D6867A" w14:textId="77777777" w:rsidR="008E67EA" w:rsidRPr="001E5AB3" w:rsidRDefault="008E67EA">
      <w:pPr>
        <w:pStyle w:val="NumberLevel1"/>
        <w:numPr>
          <w:ilvl w:val="0"/>
          <w:numId w:val="17"/>
        </w:numPr>
        <w:tabs>
          <w:tab w:val="clear" w:pos="709"/>
          <w:tab w:val="num" w:pos="2553"/>
        </w:tabs>
      </w:pPr>
      <w:bookmarkStart w:id="288" w:name="_Ref213350517"/>
      <w:bookmarkStart w:id="289" w:name="_Ref203662271"/>
      <w:r w:rsidRPr="001E5AB3">
        <w:t xml:space="preserve">In relation to the composition and purity of active constituents contained in the chemical products, based on my review and considerations of the chemistry and manufacture assessment as summarised </w:t>
      </w:r>
      <w:r w:rsidRPr="001E5AB3">
        <w:rPr>
          <w:color w:val="000000" w:themeColor="text1"/>
        </w:rPr>
        <w:t xml:space="preserve">in </w:t>
      </w:r>
      <w:r>
        <w:rPr>
          <w:color w:val="000000" w:themeColor="text1"/>
        </w:rPr>
        <w:t xml:space="preserve">section </w:t>
      </w:r>
      <w:r w:rsidRPr="006B5FF8">
        <w:rPr>
          <w:i/>
          <w:iCs/>
        </w:rPr>
        <w:t xml:space="preserve">‘2.2 </w:t>
      </w:r>
      <w:r w:rsidRPr="006B5FF8">
        <w:rPr>
          <w:i/>
          <w:iCs/>
          <w:color w:val="000000" w:themeColor="text1"/>
        </w:rPr>
        <w:t>Chemistry and Manufacture – Chemical Products’</w:t>
      </w:r>
      <w:r>
        <w:rPr>
          <w:color w:val="000000" w:themeColor="text1"/>
        </w:rPr>
        <w:t xml:space="preserve"> of the</w:t>
      </w:r>
      <w:r w:rsidRPr="001E5AB3">
        <w:rPr>
          <w:color w:val="000000" w:themeColor="text1"/>
        </w:rPr>
        <w:t xml:space="preserve"> </w:t>
      </w:r>
      <w:r w:rsidRPr="001E5AB3">
        <w:rPr>
          <w:i/>
          <w:iCs/>
          <w:color w:val="000000" w:themeColor="text1"/>
        </w:rPr>
        <w:t>Anticoagulant Rodenticides Review Technical Report</w:t>
      </w:r>
      <w:r w:rsidRPr="001E5AB3">
        <w:t>:</w:t>
      </w:r>
      <w:bookmarkEnd w:id="288"/>
    </w:p>
    <w:p w14:paraId="15F1E2AB" w14:textId="77777777" w:rsidR="008E67EA" w:rsidRPr="001E5AB3" w:rsidRDefault="008E67EA">
      <w:pPr>
        <w:pStyle w:val="NumberLevel2"/>
        <w:numPr>
          <w:ilvl w:val="1"/>
          <w:numId w:val="17"/>
        </w:numPr>
        <w:ind w:left="1134"/>
      </w:pPr>
      <w:r w:rsidRPr="001E5AB3">
        <w:t xml:space="preserve">I note there are potential inconsistencies in the formulation details entered into the Register for certain chemical products listed in Attachment A of this notice, specifically related to the concentration and/or purity of the anticoagulant rodenticide active constituent. These potential inconsistencies could stem from whether the product is formulated using a source of active constituent manufactured as technical material or a manufacturing concentrate (i.e. diluted technical material intended for use in preparing product formulations), use of an alternate active constituents approved by the APVMA with a differing minimum purity, or </w:t>
      </w:r>
      <w:r>
        <w:t>changes to the approval of</w:t>
      </w:r>
      <w:r w:rsidRPr="001E5AB3">
        <w:t xml:space="preserve"> an active constituent over time.</w:t>
      </w:r>
    </w:p>
    <w:p w14:paraId="7B91869F" w14:textId="673E70BC" w:rsidR="008E67EA" w:rsidRPr="001E5AB3" w:rsidRDefault="008E67EA">
      <w:pPr>
        <w:pStyle w:val="NumberLevel2"/>
        <w:numPr>
          <w:ilvl w:val="1"/>
          <w:numId w:val="17"/>
        </w:numPr>
        <w:ind w:left="1134"/>
        <w:rPr>
          <w:color w:val="000000" w:themeColor="text1"/>
        </w:rPr>
      </w:pPr>
      <w:bookmarkStart w:id="290" w:name="_Ref213444483"/>
      <w:r w:rsidRPr="001E5AB3">
        <w:rPr>
          <w:color w:val="000000" w:themeColor="text1"/>
        </w:rPr>
        <w:t xml:space="preserve">While </w:t>
      </w:r>
      <w:r w:rsidRPr="001E5AB3">
        <w:rPr>
          <w:color w:val="000000" w:themeColor="text1"/>
          <w:szCs w:val="20"/>
        </w:rPr>
        <w:t>I consider</w:t>
      </w:r>
      <w:r w:rsidRPr="001E5AB3">
        <w:rPr>
          <w:color w:val="000000" w:themeColor="text1"/>
        </w:rPr>
        <w:t xml:space="preserve"> that any resulting minor discrepancies in the formulation details would not have a significant impact on the overall safety of these chemical products, the APVMA requires accurate and current information on how a chemical product is formulated. As such, for</w:t>
      </w:r>
      <w:r>
        <w:rPr>
          <w:color w:val="000000" w:themeColor="text1"/>
        </w:rPr>
        <w:t xml:space="preserve"> </w:t>
      </w:r>
      <w:r w:rsidRPr="001E5AB3">
        <w:rPr>
          <w:color w:val="000000" w:themeColor="text1"/>
        </w:rPr>
        <w:t>products in Attachment A</w:t>
      </w:r>
      <w:r>
        <w:rPr>
          <w:color w:val="000000" w:themeColor="text1"/>
        </w:rPr>
        <w:t xml:space="preserve"> of this notice</w:t>
      </w:r>
      <w:r w:rsidRPr="001E5AB3">
        <w:rPr>
          <w:color w:val="000000" w:themeColor="text1"/>
        </w:rPr>
        <w:t xml:space="preserve"> where </w:t>
      </w:r>
      <w:r w:rsidRPr="00D035F8">
        <w:rPr>
          <w:color w:val="000000" w:themeColor="text1"/>
        </w:rPr>
        <w:t>potential inconsistencies in the concentration and purity of the active constituent entered into the Register have been identified (51181, 52675, 54836, 56632, 59875, 59876, 63624, 63867, 66235, 66331, 67610, 67611, 67652, 69017, 69119, 69158, 69994, 80059, 82450, 83673, 84831, 84832, 85512, 87706, 87869, 87870, 89039, 89203, 89204, 89206, 89510, 90982, 92319, 92320),</w:t>
      </w:r>
      <w:r w:rsidRPr="001E5AB3">
        <w:rPr>
          <w:color w:val="000000" w:themeColor="text1"/>
        </w:rPr>
        <w:t xml:space="preserve"> I find that the following condition can be added</w:t>
      </w:r>
      <w:r>
        <w:rPr>
          <w:color w:val="000000" w:themeColor="text1"/>
        </w:rPr>
        <w:t xml:space="preserve"> to satisfy sections</w:t>
      </w:r>
      <w:r w:rsidRPr="001E5AB3">
        <w:t xml:space="preserve"> </w:t>
      </w:r>
      <w:r w:rsidRPr="00D869C6">
        <w:t>5A(3)(a)(i</w:t>
      </w:r>
      <w:r>
        <w:t>ii</w:t>
      </w:r>
      <w:r w:rsidRPr="00D869C6">
        <w:t>)</w:t>
      </w:r>
      <w:r>
        <w:t xml:space="preserve"> and </w:t>
      </w:r>
      <w:r w:rsidRPr="00D869C6">
        <w:t>5A(3)(a)(iv) of the Agvet Code</w:t>
      </w:r>
      <w:r w:rsidRPr="001E5AB3">
        <w:rPr>
          <w:color w:val="000000" w:themeColor="text1"/>
        </w:rPr>
        <w:t>:</w:t>
      </w:r>
      <w:bookmarkEnd w:id="290"/>
    </w:p>
    <w:p w14:paraId="18E66D10" w14:textId="77777777" w:rsidR="008E67EA" w:rsidRPr="001E5AB3" w:rsidRDefault="008E67EA">
      <w:pPr>
        <w:pStyle w:val="NumberLevel3"/>
        <w:numPr>
          <w:ilvl w:val="2"/>
          <w:numId w:val="17"/>
        </w:numPr>
        <w:spacing w:before="240" w:after="120"/>
        <w:rPr>
          <w:i/>
          <w:iCs/>
        </w:rPr>
      </w:pPr>
      <w:r w:rsidRPr="001E5AB3">
        <w:rPr>
          <w:i/>
          <w:iCs/>
        </w:rPr>
        <w:t>Condition of registration: Within one year of publication of the section 34AC notice of the anticoagulant rodenticide final regulatory decision, you are required to:</w:t>
      </w:r>
    </w:p>
    <w:p w14:paraId="5AF2B67C" w14:textId="77777777" w:rsidR="008E67EA" w:rsidRPr="001E5AB3" w:rsidRDefault="008E67EA" w:rsidP="008E67EA">
      <w:pPr>
        <w:pStyle w:val="NumberLevel3"/>
        <w:numPr>
          <w:ilvl w:val="0"/>
          <w:numId w:val="0"/>
        </w:numPr>
        <w:spacing w:before="120" w:after="120"/>
        <w:ind w:left="1701"/>
        <w:rPr>
          <w:i/>
          <w:iCs/>
        </w:rPr>
      </w:pPr>
      <w:r w:rsidRPr="001E5AB3">
        <w:rPr>
          <w:i/>
          <w:iCs/>
          <w:szCs w:val="20"/>
        </w:rPr>
        <w:t xml:space="preserve">- </w:t>
      </w:r>
      <w:r w:rsidRPr="001E5AB3">
        <w:rPr>
          <w:i/>
          <w:iCs/>
        </w:rPr>
        <w:t>confirm the current manufacturing source(s) of active constituent used in this chemical product; and</w:t>
      </w:r>
    </w:p>
    <w:p w14:paraId="2C4F8B50" w14:textId="77777777" w:rsidR="008E67EA" w:rsidRPr="001E5AB3" w:rsidRDefault="008E67EA" w:rsidP="008E67EA">
      <w:pPr>
        <w:pStyle w:val="NumberLevel3"/>
        <w:numPr>
          <w:ilvl w:val="0"/>
          <w:numId w:val="0"/>
        </w:numPr>
        <w:spacing w:before="120" w:after="120"/>
        <w:ind w:left="1701"/>
        <w:rPr>
          <w:i/>
          <w:iCs/>
        </w:rPr>
      </w:pPr>
      <w:r w:rsidRPr="001E5AB3">
        <w:rPr>
          <w:i/>
          <w:iCs/>
        </w:rPr>
        <w:t>- provide evidence, such as a certificate of analysis, as to whether this active constituent is supplied to you as technical material or a manufacturing concentrate; and</w:t>
      </w:r>
    </w:p>
    <w:p w14:paraId="02A054DB" w14:textId="77777777" w:rsidR="008E67EA" w:rsidRPr="001E5AB3" w:rsidRDefault="008E67EA" w:rsidP="008E67EA">
      <w:pPr>
        <w:pStyle w:val="NumberLevel3"/>
        <w:numPr>
          <w:ilvl w:val="0"/>
          <w:numId w:val="0"/>
        </w:numPr>
        <w:spacing w:before="120" w:after="120"/>
        <w:ind w:left="1701"/>
        <w:rPr>
          <w:i/>
          <w:iCs/>
        </w:rPr>
      </w:pPr>
      <w:r w:rsidRPr="001E5AB3">
        <w:rPr>
          <w:i/>
          <w:iCs/>
        </w:rPr>
        <w:t xml:space="preserve">- confirm the full formulation details of the chemical product based on the purity of the current manufacturing source(s) of active constituent used. </w:t>
      </w:r>
    </w:p>
    <w:bookmarkEnd w:id="289"/>
    <w:p w14:paraId="5BE41266" w14:textId="55582E80" w:rsidR="008E67EA" w:rsidRDefault="008E67EA" w:rsidP="008E67EA">
      <w:pPr>
        <w:pStyle w:val="NumberLevel3"/>
        <w:numPr>
          <w:ilvl w:val="0"/>
          <w:numId w:val="0"/>
        </w:numPr>
        <w:spacing w:before="120" w:after="240"/>
        <w:ind w:left="1701"/>
        <w:rPr>
          <w:i/>
          <w:iCs/>
        </w:rPr>
      </w:pPr>
      <w:r w:rsidRPr="001E5AB3">
        <w:rPr>
          <w:i/>
          <w:iCs/>
        </w:rPr>
        <w:t>Please note, if necessary, this information may be provided directly to the APVMA by the manufacture(s).</w:t>
      </w:r>
    </w:p>
    <w:p w14:paraId="57A2BFC7" w14:textId="77777777" w:rsidR="008E67EA" w:rsidRDefault="008E67EA" w:rsidP="008E67EA">
      <w:pPr>
        <w:pStyle w:val="StatementofReasonsHeading5"/>
      </w:pPr>
      <w:r>
        <w:lastRenderedPageBreak/>
        <w:t>Other considerations on the formulation of a chemical product</w:t>
      </w:r>
    </w:p>
    <w:p w14:paraId="19A41547" w14:textId="250DC1A4" w:rsidR="008E67EA" w:rsidRPr="00171504" w:rsidRDefault="008E67EA">
      <w:pPr>
        <w:pStyle w:val="NumberLevel1"/>
        <w:numPr>
          <w:ilvl w:val="0"/>
          <w:numId w:val="17"/>
        </w:numPr>
        <w:tabs>
          <w:tab w:val="clear" w:pos="709"/>
          <w:tab w:val="num" w:pos="2553"/>
        </w:tabs>
        <w:rPr>
          <w:i/>
          <w:iCs/>
        </w:rPr>
      </w:pPr>
      <w:r>
        <w:t xml:space="preserve">After </w:t>
      </w:r>
      <w:r w:rsidRPr="00BC6A87">
        <w:t>variation of the relevant particulars and conditions as proposed</w:t>
      </w:r>
      <w:r>
        <w:t xml:space="preserve"> above in paragraphs </w:t>
      </w:r>
      <w:r>
        <w:rPr>
          <w:color w:val="000000" w:themeColor="text1"/>
        </w:rPr>
        <w:fldChar w:fldCharType="begin"/>
      </w:r>
      <w:r>
        <w:rPr>
          <w:color w:val="000000" w:themeColor="text1"/>
        </w:rPr>
        <w:instrText xml:space="preserve"> REF _Ref216018864 \r \h </w:instrText>
      </w:r>
      <w:r>
        <w:rPr>
          <w:color w:val="000000" w:themeColor="text1"/>
        </w:rPr>
      </w:r>
      <w:r>
        <w:rPr>
          <w:color w:val="000000" w:themeColor="text1"/>
        </w:rPr>
        <w:fldChar w:fldCharType="separate"/>
      </w:r>
      <w:r w:rsidR="002C0C2A">
        <w:rPr>
          <w:color w:val="000000" w:themeColor="text1"/>
        </w:rPr>
        <w:t>122</w:t>
      </w:r>
      <w:r>
        <w:rPr>
          <w:color w:val="000000" w:themeColor="text1"/>
        </w:rPr>
        <w:fldChar w:fldCharType="end"/>
      </w:r>
      <w:r>
        <w:rPr>
          <w:color w:val="000000" w:themeColor="text1"/>
        </w:rPr>
        <w:t xml:space="preserve"> - </w:t>
      </w:r>
      <w:r w:rsidRPr="00195898">
        <w:rPr>
          <w:color w:val="000000" w:themeColor="text1"/>
        </w:rPr>
        <w:fldChar w:fldCharType="begin"/>
      </w:r>
      <w:r w:rsidRPr="00195898">
        <w:rPr>
          <w:color w:val="000000" w:themeColor="text1"/>
        </w:rPr>
        <w:instrText xml:space="preserve"> REF _Ref213444454 \w \h </w:instrText>
      </w:r>
      <w:r>
        <w:rPr>
          <w:color w:val="000000" w:themeColor="text1"/>
        </w:rPr>
        <w:instrText xml:space="preserve"> \* MERGEFORMAT </w:instrText>
      </w:r>
      <w:r w:rsidRPr="00195898">
        <w:rPr>
          <w:color w:val="000000" w:themeColor="text1"/>
        </w:rPr>
      </w:r>
      <w:r w:rsidRPr="00195898">
        <w:rPr>
          <w:color w:val="000000" w:themeColor="text1"/>
        </w:rPr>
        <w:fldChar w:fldCharType="separate"/>
      </w:r>
      <w:r w:rsidR="002C0C2A">
        <w:rPr>
          <w:color w:val="000000" w:themeColor="text1"/>
        </w:rPr>
        <w:t>123</w:t>
      </w:r>
      <w:r w:rsidRPr="00195898">
        <w:rPr>
          <w:color w:val="000000" w:themeColor="text1"/>
        </w:rPr>
        <w:fldChar w:fldCharType="end"/>
      </w:r>
      <w:r w:rsidRPr="00A73DFF">
        <w:t xml:space="preserve">, </w:t>
      </w:r>
      <w:r w:rsidRPr="002A4E8F">
        <w:rPr>
          <w:color w:val="000000" w:themeColor="text1"/>
        </w:rPr>
        <w:fldChar w:fldCharType="begin"/>
      </w:r>
      <w:r w:rsidRPr="002A4E8F">
        <w:rPr>
          <w:color w:val="000000" w:themeColor="text1"/>
        </w:rPr>
        <w:instrText xml:space="preserve"> REF _Ref213091629 \w \h  \* MERGEFORMAT </w:instrText>
      </w:r>
      <w:r w:rsidRPr="002A4E8F">
        <w:rPr>
          <w:color w:val="000000" w:themeColor="text1"/>
        </w:rPr>
      </w:r>
      <w:r w:rsidRPr="002A4E8F">
        <w:rPr>
          <w:color w:val="000000" w:themeColor="text1"/>
        </w:rPr>
        <w:fldChar w:fldCharType="separate"/>
      </w:r>
      <w:r w:rsidR="002C0C2A">
        <w:rPr>
          <w:color w:val="000000" w:themeColor="text1"/>
        </w:rPr>
        <w:t>125</w:t>
      </w:r>
      <w:r w:rsidRPr="002A4E8F">
        <w:rPr>
          <w:color w:val="000000" w:themeColor="text1"/>
        </w:rPr>
        <w:fldChar w:fldCharType="end"/>
      </w:r>
      <w:r w:rsidRPr="002A4E8F">
        <w:rPr>
          <w:color w:val="000000" w:themeColor="text1"/>
        </w:rPr>
        <w:t xml:space="preserve"> </w:t>
      </w:r>
      <w:r>
        <w:rPr>
          <w:color w:val="000000" w:themeColor="text1"/>
        </w:rPr>
        <w:t xml:space="preserve">and </w:t>
      </w:r>
      <w:r w:rsidRPr="0086633C">
        <w:rPr>
          <w:color w:val="000000" w:themeColor="text1"/>
        </w:rPr>
        <w:fldChar w:fldCharType="begin"/>
      </w:r>
      <w:r w:rsidRPr="0086633C">
        <w:rPr>
          <w:color w:val="000000" w:themeColor="text1"/>
        </w:rPr>
        <w:instrText xml:space="preserve"> REF _Ref213444483 \w \h  \* MERGEFORMAT </w:instrText>
      </w:r>
      <w:r w:rsidRPr="0086633C">
        <w:rPr>
          <w:color w:val="000000" w:themeColor="text1"/>
        </w:rPr>
      </w:r>
      <w:r w:rsidRPr="0086633C">
        <w:rPr>
          <w:color w:val="000000" w:themeColor="text1"/>
        </w:rPr>
        <w:fldChar w:fldCharType="separate"/>
      </w:r>
      <w:r w:rsidR="002C0C2A">
        <w:rPr>
          <w:color w:val="000000" w:themeColor="text1"/>
        </w:rPr>
        <w:t>126.2</w:t>
      </w:r>
      <w:r w:rsidRPr="0086633C">
        <w:rPr>
          <w:color w:val="000000" w:themeColor="text1"/>
        </w:rPr>
        <w:fldChar w:fldCharType="end"/>
      </w:r>
      <w:r w:rsidRPr="0086633C">
        <w:rPr>
          <w:color w:val="000000" w:themeColor="text1"/>
        </w:rPr>
        <w:t xml:space="preserve"> </w:t>
      </w:r>
      <w:r>
        <w:t xml:space="preserve">of these reasons, </w:t>
      </w:r>
      <w:r w:rsidRPr="00BC6A87">
        <w:t>I have no further concerns related to the formulation details of the chemical products listed in Attachment A of this notice</w:t>
      </w:r>
      <w:r>
        <w:t>,</w:t>
      </w:r>
      <w:r w:rsidRPr="00BC6A87">
        <w:t xml:space="preserve"> with respect to whether </w:t>
      </w:r>
      <w:r>
        <w:t>these</w:t>
      </w:r>
      <w:r w:rsidRPr="00BC6A87">
        <w:t xml:space="preserve"> chemical product</w:t>
      </w:r>
      <w:r>
        <w:t>s mee</w:t>
      </w:r>
      <w:r w:rsidRPr="00BC6A87">
        <w:t>t the safety criteria</w:t>
      </w:r>
      <w:r>
        <w:t>.</w:t>
      </w:r>
    </w:p>
    <w:p w14:paraId="46D1126B" w14:textId="77777777" w:rsidR="008E67EA" w:rsidRPr="004E0267" w:rsidRDefault="008E67EA" w:rsidP="008E67EA">
      <w:pPr>
        <w:pStyle w:val="StatementofReasonsHeading3"/>
        <w:rPr>
          <w:color w:val="000000" w:themeColor="text1"/>
        </w:rPr>
      </w:pPr>
      <w:bookmarkStart w:id="291" w:name="_Toc216090758"/>
      <w:r w:rsidRPr="004E0267">
        <w:rPr>
          <w:color w:val="000000" w:themeColor="text1"/>
        </w:rPr>
        <w:t>Safety criteria conclusions</w:t>
      </w:r>
      <w:bookmarkEnd w:id="291"/>
    </w:p>
    <w:p w14:paraId="5DBC739A" w14:textId="77777777" w:rsidR="008E67EA" w:rsidRPr="00FB0BFD" w:rsidRDefault="008E67EA">
      <w:pPr>
        <w:pStyle w:val="NumberLevel1"/>
        <w:numPr>
          <w:ilvl w:val="0"/>
          <w:numId w:val="17"/>
        </w:numPr>
        <w:tabs>
          <w:tab w:val="clear" w:pos="709"/>
          <w:tab w:val="num" w:pos="2553"/>
        </w:tabs>
        <w:rPr>
          <w:color w:val="000000" w:themeColor="text1"/>
        </w:rPr>
      </w:pPr>
      <w:r w:rsidRPr="00FB0BFD">
        <w:rPr>
          <w:color w:val="000000" w:themeColor="text1"/>
        </w:rPr>
        <w:t xml:space="preserve">I am </w:t>
      </w:r>
      <w:r w:rsidRPr="00FB0BFD">
        <w:rPr>
          <w:b/>
          <w:bCs/>
          <w:color w:val="000000" w:themeColor="text1"/>
        </w:rPr>
        <w:t>not satisfied</w:t>
      </w:r>
      <w:r w:rsidRPr="00FB0BFD">
        <w:rPr>
          <w:color w:val="000000" w:themeColor="text1"/>
        </w:rPr>
        <w:t xml:space="preserve"> that the anticoagulant rodenticide chemical products listed in Attachment A of this notice meet the safety criteria chemical</w:t>
      </w:r>
      <w:r>
        <w:rPr>
          <w:color w:val="000000" w:themeColor="text1"/>
        </w:rPr>
        <w:t>,</w:t>
      </w:r>
      <w:r w:rsidRPr="00FB0BFD">
        <w:rPr>
          <w:color w:val="000000" w:themeColor="text1"/>
        </w:rPr>
        <w:t xml:space="preserve"> </w:t>
      </w:r>
      <w:r>
        <w:rPr>
          <w:color w:val="000000" w:themeColor="text1"/>
        </w:rPr>
        <w:t>as I am not satisfied that the use of chemical products in accordance with current instructions</w:t>
      </w:r>
      <w:r w:rsidRPr="00FB0BFD">
        <w:rPr>
          <w:color w:val="000000" w:themeColor="text1"/>
        </w:rPr>
        <w:t>:</w:t>
      </w:r>
    </w:p>
    <w:p w14:paraId="21ABC7E5" w14:textId="5E61AA76" w:rsidR="008E67EA" w:rsidRPr="00A406B4" w:rsidRDefault="008E67EA">
      <w:pPr>
        <w:pStyle w:val="NumberLevel2"/>
        <w:numPr>
          <w:ilvl w:val="1"/>
          <w:numId w:val="17"/>
        </w:numPr>
        <w:ind w:left="1134"/>
        <w:rPr>
          <w:color w:val="000000" w:themeColor="text1"/>
        </w:rPr>
      </w:pPr>
      <w:r w:rsidRPr="00D035F8">
        <w:rPr>
          <w:b/>
          <w:bCs/>
          <w:color w:val="000000" w:themeColor="text1"/>
        </w:rPr>
        <w:t xml:space="preserve">would not be likely </w:t>
      </w:r>
      <w:r>
        <w:rPr>
          <w:color w:val="000000" w:themeColor="text1"/>
        </w:rPr>
        <w:t>to</w:t>
      </w:r>
      <w:r w:rsidRPr="00A406B4">
        <w:rPr>
          <w:color w:val="000000" w:themeColor="text1"/>
        </w:rPr>
        <w:t xml:space="preserve"> have an unintended effect that is harmful to animals</w:t>
      </w:r>
      <w:r w:rsidRPr="00E263A7">
        <w:rPr>
          <w:rStyle w:val="FootnoteReference"/>
          <w:color w:val="000000" w:themeColor="text1"/>
        </w:rPr>
        <w:footnoteReference w:id="11"/>
      </w:r>
      <w:r w:rsidRPr="00A406B4">
        <w:rPr>
          <w:color w:val="000000" w:themeColor="text1"/>
        </w:rPr>
        <w:t xml:space="preserve">. This includes potential safety concerns related to non-target terrestrial vertebrates (paragraphs </w:t>
      </w:r>
      <w:r w:rsidRPr="00A406B4">
        <w:rPr>
          <w:color w:val="000000" w:themeColor="text1"/>
        </w:rPr>
        <w:fldChar w:fldCharType="begin"/>
      </w:r>
      <w:r w:rsidRPr="00A406B4">
        <w:rPr>
          <w:color w:val="000000" w:themeColor="text1"/>
        </w:rPr>
        <w:instrText xml:space="preserve"> REF _Ref207113740 \w \h  \* MERGEFORMAT </w:instrText>
      </w:r>
      <w:r w:rsidRPr="00A406B4">
        <w:rPr>
          <w:color w:val="000000" w:themeColor="text1"/>
        </w:rPr>
      </w:r>
      <w:r w:rsidRPr="00A406B4">
        <w:rPr>
          <w:color w:val="000000" w:themeColor="text1"/>
        </w:rPr>
        <w:fldChar w:fldCharType="separate"/>
      </w:r>
      <w:r w:rsidR="002C0C2A">
        <w:rPr>
          <w:color w:val="000000" w:themeColor="text1"/>
        </w:rPr>
        <w:t>41</w:t>
      </w:r>
      <w:r w:rsidRPr="00A406B4">
        <w:rPr>
          <w:color w:val="000000" w:themeColor="text1"/>
        </w:rPr>
        <w:fldChar w:fldCharType="end"/>
      </w:r>
      <w:r w:rsidRPr="00A406B4">
        <w:rPr>
          <w:color w:val="000000" w:themeColor="text1"/>
        </w:rPr>
        <w:t xml:space="preserve"> – </w:t>
      </w:r>
      <w:r w:rsidRPr="00A406B4">
        <w:rPr>
          <w:color w:val="000000" w:themeColor="text1"/>
        </w:rPr>
        <w:fldChar w:fldCharType="begin"/>
      </w:r>
      <w:r w:rsidRPr="00A406B4">
        <w:rPr>
          <w:color w:val="000000" w:themeColor="text1"/>
        </w:rPr>
        <w:instrText xml:space="preserve"> REF _Ref213444267 \w \h  \* MERGEFORMAT </w:instrText>
      </w:r>
      <w:r w:rsidRPr="00A406B4">
        <w:rPr>
          <w:color w:val="000000" w:themeColor="text1"/>
        </w:rPr>
      </w:r>
      <w:r w:rsidRPr="00A406B4">
        <w:rPr>
          <w:color w:val="000000" w:themeColor="text1"/>
        </w:rPr>
        <w:fldChar w:fldCharType="separate"/>
      </w:r>
      <w:r w:rsidR="002C0C2A">
        <w:rPr>
          <w:color w:val="000000" w:themeColor="text1"/>
        </w:rPr>
        <w:t>62</w:t>
      </w:r>
      <w:r w:rsidRPr="00A406B4">
        <w:rPr>
          <w:color w:val="000000" w:themeColor="text1"/>
        </w:rPr>
        <w:fldChar w:fldCharType="end"/>
      </w:r>
      <w:r w:rsidRPr="00A406B4">
        <w:rPr>
          <w:color w:val="000000" w:themeColor="text1"/>
        </w:rPr>
        <w:t xml:space="preserve">) and aquatic species (paragraphs </w:t>
      </w:r>
      <w:r w:rsidRPr="00A406B4">
        <w:rPr>
          <w:color w:val="000000" w:themeColor="text1"/>
        </w:rPr>
        <w:fldChar w:fldCharType="begin"/>
      </w:r>
      <w:r w:rsidRPr="00A406B4">
        <w:rPr>
          <w:color w:val="000000" w:themeColor="text1"/>
        </w:rPr>
        <w:instrText xml:space="preserve"> REF _Ref207139626 \w \h  \* MERGEFORMAT </w:instrText>
      </w:r>
      <w:r w:rsidRPr="00A406B4">
        <w:rPr>
          <w:color w:val="000000" w:themeColor="text1"/>
        </w:rPr>
      </w:r>
      <w:r w:rsidRPr="00A406B4">
        <w:rPr>
          <w:color w:val="000000" w:themeColor="text1"/>
        </w:rPr>
        <w:fldChar w:fldCharType="separate"/>
      </w:r>
      <w:r w:rsidR="002C0C2A">
        <w:rPr>
          <w:color w:val="000000" w:themeColor="text1"/>
        </w:rPr>
        <w:t>64</w:t>
      </w:r>
      <w:r w:rsidRPr="00A406B4">
        <w:rPr>
          <w:color w:val="000000" w:themeColor="text1"/>
        </w:rPr>
        <w:fldChar w:fldCharType="end"/>
      </w:r>
      <w:r w:rsidRPr="00A406B4">
        <w:rPr>
          <w:color w:val="000000" w:themeColor="text1"/>
        </w:rPr>
        <w:t xml:space="preserve"> – </w:t>
      </w:r>
      <w:r w:rsidRPr="00A406B4">
        <w:rPr>
          <w:color w:val="000000" w:themeColor="text1"/>
        </w:rPr>
        <w:fldChar w:fldCharType="begin"/>
      </w:r>
      <w:r w:rsidRPr="00A406B4">
        <w:rPr>
          <w:color w:val="000000" w:themeColor="text1"/>
        </w:rPr>
        <w:instrText xml:space="preserve"> REF _Ref207139639 \w \h  \* MERGEFORMAT </w:instrText>
      </w:r>
      <w:r w:rsidRPr="00A406B4">
        <w:rPr>
          <w:color w:val="000000" w:themeColor="text1"/>
        </w:rPr>
      </w:r>
      <w:r w:rsidRPr="00A406B4">
        <w:rPr>
          <w:color w:val="000000" w:themeColor="text1"/>
        </w:rPr>
        <w:fldChar w:fldCharType="separate"/>
      </w:r>
      <w:r w:rsidR="002C0C2A">
        <w:rPr>
          <w:color w:val="000000" w:themeColor="text1"/>
        </w:rPr>
        <w:t>65</w:t>
      </w:r>
      <w:r w:rsidRPr="00A406B4">
        <w:rPr>
          <w:color w:val="000000" w:themeColor="text1"/>
        </w:rPr>
        <w:fldChar w:fldCharType="end"/>
      </w:r>
      <w:r w:rsidRPr="00A406B4">
        <w:rPr>
          <w:color w:val="000000" w:themeColor="text1"/>
        </w:rPr>
        <w:t xml:space="preserve">). </w:t>
      </w:r>
    </w:p>
    <w:p w14:paraId="562053B6" w14:textId="14F9C14A" w:rsidR="008E67EA" w:rsidRPr="00A406B4" w:rsidRDefault="008E67EA">
      <w:pPr>
        <w:pStyle w:val="NumberLevel2"/>
        <w:numPr>
          <w:ilvl w:val="1"/>
          <w:numId w:val="17"/>
        </w:numPr>
        <w:ind w:left="1134"/>
        <w:rPr>
          <w:color w:val="000000" w:themeColor="text1"/>
        </w:rPr>
      </w:pPr>
      <w:r w:rsidRPr="006B5FF8">
        <w:rPr>
          <w:b/>
          <w:bCs/>
          <w:color w:val="000000" w:themeColor="text1"/>
        </w:rPr>
        <w:t xml:space="preserve">would not be likely </w:t>
      </w:r>
      <w:r>
        <w:rPr>
          <w:color w:val="000000" w:themeColor="text1"/>
        </w:rPr>
        <w:t>to</w:t>
      </w:r>
      <w:r w:rsidRPr="00A406B4">
        <w:rPr>
          <w:color w:val="000000" w:themeColor="text1"/>
        </w:rPr>
        <w:t xml:space="preserve"> pose an undue hazard to the safety of people exposed to it during its handling or people using anything containing its residues</w:t>
      </w:r>
      <w:r w:rsidRPr="00E263A7">
        <w:rPr>
          <w:rStyle w:val="FootnoteReference"/>
        </w:rPr>
        <w:footnoteReference w:id="12"/>
      </w:r>
      <w:r w:rsidRPr="00A406B4">
        <w:rPr>
          <w:color w:val="000000" w:themeColor="text1"/>
        </w:rPr>
        <w:t xml:space="preserve">. This includes potential safety concerns related to professional workers who handle the </w:t>
      </w:r>
      <w:r>
        <w:rPr>
          <w:color w:val="000000" w:themeColor="text1"/>
        </w:rPr>
        <w:t xml:space="preserve">chemical </w:t>
      </w:r>
      <w:r w:rsidRPr="00A406B4">
        <w:rPr>
          <w:color w:val="000000" w:themeColor="text1"/>
        </w:rPr>
        <w:t xml:space="preserve">products during application (paragraphs </w:t>
      </w:r>
      <w:r w:rsidRPr="00A406B4">
        <w:rPr>
          <w:color w:val="000000" w:themeColor="text1"/>
        </w:rPr>
        <w:fldChar w:fldCharType="begin"/>
      </w:r>
      <w:r w:rsidRPr="00A406B4">
        <w:rPr>
          <w:color w:val="000000" w:themeColor="text1"/>
        </w:rPr>
        <w:instrText xml:space="preserve"> REF _Ref213489189 \w \h  \* MERGEFORMAT </w:instrText>
      </w:r>
      <w:r w:rsidRPr="00A406B4">
        <w:rPr>
          <w:color w:val="000000" w:themeColor="text1"/>
        </w:rPr>
      </w:r>
      <w:r w:rsidRPr="00A406B4">
        <w:rPr>
          <w:color w:val="000000" w:themeColor="text1"/>
        </w:rPr>
        <w:fldChar w:fldCharType="separate"/>
      </w:r>
      <w:r w:rsidR="002C0C2A">
        <w:rPr>
          <w:color w:val="000000" w:themeColor="text1"/>
        </w:rPr>
        <w:t>84</w:t>
      </w:r>
      <w:r w:rsidRPr="00A406B4">
        <w:rPr>
          <w:color w:val="000000" w:themeColor="text1"/>
        </w:rPr>
        <w:fldChar w:fldCharType="end"/>
      </w:r>
      <w:r w:rsidRPr="00A406B4">
        <w:rPr>
          <w:color w:val="000000" w:themeColor="text1"/>
        </w:rPr>
        <w:t xml:space="preserve"> – </w:t>
      </w:r>
      <w:r w:rsidRPr="00A406B4">
        <w:rPr>
          <w:color w:val="000000" w:themeColor="text1"/>
        </w:rPr>
        <w:fldChar w:fldCharType="begin"/>
      </w:r>
      <w:r w:rsidRPr="00A406B4">
        <w:rPr>
          <w:color w:val="000000" w:themeColor="text1"/>
        </w:rPr>
        <w:instrText xml:space="preserve"> REF _Ref213489191 \w \h  \* MERGEFORMAT </w:instrText>
      </w:r>
      <w:r w:rsidRPr="00A406B4">
        <w:rPr>
          <w:color w:val="000000" w:themeColor="text1"/>
        </w:rPr>
      </w:r>
      <w:r w:rsidRPr="00A406B4">
        <w:rPr>
          <w:color w:val="000000" w:themeColor="text1"/>
        </w:rPr>
        <w:fldChar w:fldCharType="separate"/>
      </w:r>
      <w:r w:rsidR="002C0C2A">
        <w:rPr>
          <w:color w:val="000000" w:themeColor="text1"/>
        </w:rPr>
        <w:t>87</w:t>
      </w:r>
      <w:r w:rsidRPr="00A406B4">
        <w:rPr>
          <w:color w:val="000000" w:themeColor="text1"/>
        </w:rPr>
        <w:fldChar w:fldCharType="end"/>
      </w:r>
      <w:r w:rsidRPr="00A406B4">
        <w:rPr>
          <w:color w:val="000000" w:themeColor="text1"/>
        </w:rPr>
        <w:t xml:space="preserve">) and/or people involved in clean-up activities (paragraphs </w:t>
      </w:r>
      <w:r w:rsidRPr="00A406B4">
        <w:rPr>
          <w:color w:val="000000" w:themeColor="text1"/>
        </w:rPr>
        <w:fldChar w:fldCharType="begin"/>
      </w:r>
      <w:r w:rsidRPr="00A406B4">
        <w:rPr>
          <w:color w:val="000000" w:themeColor="text1"/>
        </w:rPr>
        <w:instrText xml:space="preserve"> REF _Ref213489206 \w \h  \* MERGEFORMAT </w:instrText>
      </w:r>
      <w:r w:rsidRPr="00A406B4">
        <w:rPr>
          <w:color w:val="000000" w:themeColor="text1"/>
        </w:rPr>
      </w:r>
      <w:r w:rsidRPr="00A406B4">
        <w:rPr>
          <w:color w:val="000000" w:themeColor="text1"/>
        </w:rPr>
        <w:fldChar w:fldCharType="separate"/>
      </w:r>
      <w:r w:rsidR="002C0C2A">
        <w:rPr>
          <w:color w:val="000000" w:themeColor="text1"/>
        </w:rPr>
        <w:t>94</w:t>
      </w:r>
      <w:r w:rsidRPr="00A406B4">
        <w:rPr>
          <w:color w:val="000000" w:themeColor="text1"/>
        </w:rPr>
        <w:fldChar w:fldCharType="end"/>
      </w:r>
      <w:r w:rsidRPr="00A406B4">
        <w:rPr>
          <w:color w:val="000000" w:themeColor="text1"/>
        </w:rPr>
        <w:t xml:space="preserve"> – </w:t>
      </w:r>
      <w:r w:rsidRPr="00A406B4">
        <w:rPr>
          <w:color w:val="000000" w:themeColor="text1"/>
        </w:rPr>
        <w:fldChar w:fldCharType="begin"/>
      </w:r>
      <w:r w:rsidRPr="00A406B4">
        <w:rPr>
          <w:color w:val="000000" w:themeColor="text1"/>
        </w:rPr>
        <w:instrText xml:space="preserve"> REF _Ref213411531 \w \h  \* MERGEFORMAT </w:instrText>
      </w:r>
      <w:r w:rsidRPr="00A406B4">
        <w:rPr>
          <w:color w:val="000000" w:themeColor="text1"/>
        </w:rPr>
      </w:r>
      <w:r w:rsidRPr="00A406B4">
        <w:rPr>
          <w:color w:val="000000" w:themeColor="text1"/>
        </w:rPr>
        <w:fldChar w:fldCharType="separate"/>
      </w:r>
      <w:r w:rsidR="002C0C2A">
        <w:rPr>
          <w:color w:val="000000" w:themeColor="text1"/>
        </w:rPr>
        <w:t>95</w:t>
      </w:r>
      <w:r w:rsidRPr="00A406B4">
        <w:rPr>
          <w:color w:val="000000" w:themeColor="text1"/>
        </w:rPr>
        <w:fldChar w:fldCharType="end"/>
      </w:r>
      <w:r w:rsidRPr="00A406B4">
        <w:rPr>
          <w:color w:val="000000" w:themeColor="text1"/>
        </w:rPr>
        <w:t>).</w:t>
      </w:r>
    </w:p>
    <w:p w14:paraId="31385DD0" w14:textId="1EC85BF0" w:rsidR="008E67EA" w:rsidRPr="00A406B4" w:rsidRDefault="008E67EA">
      <w:pPr>
        <w:pStyle w:val="NumberLevel2"/>
        <w:numPr>
          <w:ilvl w:val="1"/>
          <w:numId w:val="17"/>
        </w:numPr>
        <w:ind w:left="1134"/>
        <w:rPr>
          <w:color w:val="000000" w:themeColor="text1"/>
        </w:rPr>
      </w:pPr>
      <w:r w:rsidRPr="006B5FF8">
        <w:rPr>
          <w:b/>
          <w:bCs/>
          <w:color w:val="000000" w:themeColor="text1"/>
        </w:rPr>
        <w:t xml:space="preserve">would not be likely </w:t>
      </w:r>
      <w:r>
        <w:rPr>
          <w:b/>
          <w:bCs/>
          <w:color w:val="000000" w:themeColor="text1"/>
        </w:rPr>
        <w:t xml:space="preserve">to </w:t>
      </w:r>
      <w:r w:rsidRPr="00A406B4">
        <w:rPr>
          <w:color w:val="000000" w:themeColor="text1"/>
        </w:rPr>
        <w:t>have an effect that is harmful to human beings</w:t>
      </w:r>
      <w:r w:rsidRPr="00E263A7">
        <w:rPr>
          <w:rStyle w:val="FootnoteReference"/>
          <w:color w:val="000000" w:themeColor="text1"/>
        </w:rPr>
        <w:footnoteReference w:id="13"/>
      </w:r>
      <w:r w:rsidRPr="00A406B4">
        <w:rPr>
          <w:color w:val="000000" w:themeColor="text1"/>
        </w:rPr>
        <w:t xml:space="preserve">. This includes potential safety concerns </w:t>
      </w:r>
      <w:r>
        <w:rPr>
          <w:color w:val="000000" w:themeColor="text1"/>
        </w:rPr>
        <w:t>for</w:t>
      </w:r>
      <w:r w:rsidRPr="00A406B4">
        <w:rPr>
          <w:color w:val="000000" w:themeColor="text1"/>
        </w:rPr>
        <w:t xml:space="preserve"> vulnerable human beings who may invertedly access baits (paragraphs </w:t>
      </w:r>
      <w:r w:rsidRPr="00A406B4">
        <w:rPr>
          <w:color w:val="000000" w:themeColor="text1"/>
        </w:rPr>
        <w:fldChar w:fldCharType="begin"/>
      </w:r>
      <w:r w:rsidRPr="00A406B4">
        <w:rPr>
          <w:color w:val="000000" w:themeColor="text1"/>
        </w:rPr>
        <w:instrText xml:space="preserve"> REF _Ref213489242 \w \h  \* MERGEFORMAT </w:instrText>
      </w:r>
      <w:r w:rsidRPr="00A406B4">
        <w:rPr>
          <w:color w:val="000000" w:themeColor="text1"/>
        </w:rPr>
      </w:r>
      <w:r w:rsidRPr="00A406B4">
        <w:rPr>
          <w:color w:val="000000" w:themeColor="text1"/>
        </w:rPr>
        <w:fldChar w:fldCharType="separate"/>
      </w:r>
      <w:r w:rsidR="002C0C2A">
        <w:rPr>
          <w:color w:val="000000" w:themeColor="text1"/>
        </w:rPr>
        <w:t>96</w:t>
      </w:r>
      <w:r w:rsidRPr="00A406B4">
        <w:rPr>
          <w:color w:val="000000" w:themeColor="text1"/>
        </w:rPr>
        <w:fldChar w:fldCharType="end"/>
      </w:r>
      <w:r w:rsidRPr="00A406B4">
        <w:rPr>
          <w:color w:val="000000" w:themeColor="text1"/>
        </w:rPr>
        <w:t xml:space="preserve"> – </w:t>
      </w:r>
      <w:r w:rsidRPr="00A406B4">
        <w:rPr>
          <w:color w:val="000000" w:themeColor="text1"/>
        </w:rPr>
        <w:fldChar w:fldCharType="begin"/>
      </w:r>
      <w:r w:rsidRPr="00A406B4">
        <w:rPr>
          <w:color w:val="000000" w:themeColor="text1"/>
        </w:rPr>
        <w:instrText xml:space="preserve"> REF _Ref213411498 \w \h  \* MERGEFORMAT </w:instrText>
      </w:r>
      <w:r w:rsidRPr="00A406B4">
        <w:rPr>
          <w:color w:val="000000" w:themeColor="text1"/>
        </w:rPr>
      </w:r>
      <w:r w:rsidRPr="00A406B4">
        <w:rPr>
          <w:color w:val="000000" w:themeColor="text1"/>
        </w:rPr>
        <w:fldChar w:fldCharType="separate"/>
      </w:r>
      <w:r w:rsidR="002C0C2A">
        <w:rPr>
          <w:color w:val="000000" w:themeColor="text1"/>
        </w:rPr>
        <w:t>97</w:t>
      </w:r>
      <w:r w:rsidRPr="00A406B4">
        <w:rPr>
          <w:color w:val="000000" w:themeColor="text1"/>
        </w:rPr>
        <w:fldChar w:fldCharType="end"/>
      </w:r>
      <w:r w:rsidRPr="00A406B4">
        <w:rPr>
          <w:color w:val="000000" w:themeColor="text1"/>
        </w:rPr>
        <w:t xml:space="preserve">), human beings who may hunt for wild game in areas treated with anticoagulant rodenticide chemical products (paragraphs </w:t>
      </w:r>
      <w:r w:rsidRPr="00A406B4">
        <w:rPr>
          <w:color w:val="000000" w:themeColor="text1"/>
        </w:rPr>
        <w:fldChar w:fldCharType="begin"/>
      </w:r>
      <w:r w:rsidRPr="00A406B4">
        <w:rPr>
          <w:color w:val="000000" w:themeColor="text1"/>
        </w:rPr>
        <w:instrText xml:space="preserve"> REF _Ref213489265 \w \h  \* MERGEFORMAT </w:instrText>
      </w:r>
      <w:r w:rsidRPr="00A406B4">
        <w:rPr>
          <w:color w:val="000000" w:themeColor="text1"/>
        </w:rPr>
      </w:r>
      <w:r w:rsidRPr="00A406B4">
        <w:rPr>
          <w:color w:val="000000" w:themeColor="text1"/>
        </w:rPr>
        <w:fldChar w:fldCharType="separate"/>
      </w:r>
      <w:r w:rsidR="002C0C2A">
        <w:rPr>
          <w:color w:val="000000" w:themeColor="text1"/>
        </w:rPr>
        <w:t>101</w:t>
      </w:r>
      <w:r w:rsidRPr="00A406B4">
        <w:rPr>
          <w:color w:val="000000" w:themeColor="text1"/>
        </w:rPr>
        <w:fldChar w:fldCharType="end"/>
      </w:r>
      <w:r w:rsidRPr="00A406B4">
        <w:rPr>
          <w:color w:val="000000" w:themeColor="text1"/>
        </w:rPr>
        <w:t xml:space="preserve"> – </w:t>
      </w:r>
      <w:r w:rsidRPr="00A406B4">
        <w:rPr>
          <w:color w:val="000000" w:themeColor="text1"/>
        </w:rPr>
        <w:fldChar w:fldCharType="begin"/>
      </w:r>
      <w:r w:rsidRPr="00A406B4">
        <w:rPr>
          <w:color w:val="000000" w:themeColor="text1"/>
        </w:rPr>
        <w:instrText xml:space="preserve"> REF _Ref213489268 \w \h  \* MERGEFORMAT </w:instrText>
      </w:r>
      <w:r w:rsidRPr="00A406B4">
        <w:rPr>
          <w:color w:val="000000" w:themeColor="text1"/>
        </w:rPr>
      </w:r>
      <w:r w:rsidRPr="00A406B4">
        <w:rPr>
          <w:color w:val="000000" w:themeColor="text1"/>
        </w:rPr>
        <w:fldChar w:fldCharType="separate"/>
      </w:r>
      <w:r w:rsidR="002C0C2A">
        <w:rPr>
          <w:color w:val="000000" w:themeColor="text1"/>
        </w:rPr>
        <w:t>104</w:t>
      </w:r>
      <w:r w:rsidRPr="00A406B4">
        <w:rPr>
          <w:color w:val="000000" w:themeColor="text1"/>
        </w:rPr>
        <w:fldChar w:fldCharType="end"/>
      </w:r>
      <w:r w:rsidRPr="00A406B4">
        <w:rPr>
          <w:color w:val="000000" w:themeColor="text1"/>
        </w:rPr>
        <w:t xml:space="preserve">) and/or </w:t>
      </w:r>
      <w:r>
        <w:rPr>
          <w:color w:val="000000" w:themeColor="text1"/>
        </w:rPr>
        <w:t xml:space="preserve">the </w:t>
      </w:r>
      <w:r w:rsidRPr="00A406B4">
        <w:rPr>
          <w:color w:val="000000" w:themeColor="text1"/>
        </w:rPr>
        <w:t xml:space="preserve">potential </w:t>
      </w:r>
      <w:r>
        <w:rPr>
          <w:color w:val="000000" w:themeColor="text1"/>
        </w:rPr>
        <w:t xml:space="preserve">for </w:t>
      </w:r>
      <w:r w:rsidRPr="00A406B4">
        <w:rPr>
          <w:color w:val="000000" w:themeColor="text1"/>
        </w:rPr>
        <w:t xml:space="preserve">contamination </w:t>
      </w:r>
      <w:r>
        <w:rPr>
          <w:color w:val="000000" w:themeColor="text1"/>
        </w:rPr>
        <w:t xml:space="preserve">of </w:t>
      </w:r>
      <w:r w:rsidRPr="00A406B4">
        <w:rPr>
          <w:color w:val="000000" w:themeColor="text1"/>
        </w:rPr>
        <w:t xml:space="preserve">food commodities that may be consumed by human beings (paragraphs </w:t>
      </w:r>
      <w:r w:rsidRPr="00A406B4">
        <w:rPr>
          <w:color w:val="000000" w:themeColor="text1"/>
        </w:rPr>
        <w:fldChar w:fldCharType="begin"/>
      </w:r>
      <w:r w:rsidRPr="00A406B4">
        <w:rPr>
          <w:color w:val="000000" w:themeColor="text1"/>
        </w:rPr>
        <w:instrText xml:space="preserve"> REF _Ref213489276 \w \h  \* MERGEFORMAT </w:instrText>
      </w:r>
      <w:r w:rsidRPr="00A406B4">
        <w:rPr>
          <w:color w:val="000000" w:themeColor="text1"/>
        </w:rPr>
      </w:r>
      <w:r w:rsidRPr="00A406B4">
        <w:rPr>
          <w:color w:val="000000" w:themeColor="text1"/>
        </w:rPr>
        <w:fldChar w:fldCharType="separate"/>
      </w:r>
      <w:r w:rsidR="002C0C2A">
        <w:rPr>
          <w:color w:val="000000" w:themeColor="text1"/>
        </w:rPr>
        <w:t>105</w:t>
      </w:r>
      <w:r w:rsidRPr="00A406B4">
        <w:rPr>
          <w:color w:val="000000" w:themeColor="text1"/>
        </w:rPr>
        <w:fldChar w:fldCharType="end"/>
      </w:r>
      <w:r w:rsidRPr="00A406B4">
        <w:rPr>
          <w:color w:val="000000" w:themeColor="text1"/>
        </w:rPr>
        <w:t xml:space="preserve"> – </w:t>
      </w:r>
      <w:r w:rsidRPr="00A406B4">
        <w:rPr>
          <w:color w:val="000000" w:themeColor="text1"/>
        </w:rPr>
        <w:fldChar w:fldCharType="begin"/>
      </w:r>
      <w:r w:rsidRPr="00A406B4">
        <w:rPr>
          <w:color w:val="000000" w:themeColor="text1"/>
        </w:rPr>
        <w:instrText xml:space="preserve"> REF _Ref213489285 \w \h  \* MERGEFORMAT </w:instrText>
      </w:r>
      <w:r w:rsidRPr="00A406B4">
        <w:rPr>
          <w:color w:val="000000" w:themeColor="text1"/>
        </w:rPr>
      </w:r>
      <w:r w:rsidRPr="00A406B4">
        <w:rPr>
          <w:color w:val="000000" w:themeColor="text1"/>
        </w:rPr>
        <w:fldChar w:fldCharType="separate"/>
      </w:r>
      <w:r w:rsidR="002C0C2A">
        <w:rPr>
          <w:color w:val="000000" w:themeColor="text1"/>
        </w:rPr>
        <w:t>110</w:t>
      </w:r>
      <w:r w:rsidRPr="00A406B4">
        <w:rPr>
          <w:color w:val="000000" w:themeColor="text1"/>
        </w:rPr>
        <w:fldChar w:fldCharType="end"/>
      </w:r>
      <w:r w:rsidRPr="00A406B4">
        <w:rPr>
          <w:color w:val="000000" w:themeColor="text1"/>
        </w:rPr>
        <w:t>).</w:t>
      </w:r>
    </w:p>
    <w:p w14:paraId="5A73AF3B" w14:textId="77777777" w:rsidR="008E67EA" w:rsidRPr="00FB0BFD" w:rsidRDefault="008E67EA">
      <w:pPr>
        <w:pStyle w:val="NumberLevel1"/>
        <w:numPr>
          <w:ilvl w:val="0"/>
          <w:numId w:val="17"/>
        </w:numPr>
        <w:tabs>
          <w:tab w:val="clear" w:pos="709"/>
          <w:tab w:val="num" w:pos="2553"/>
        </w:tabs>
        <w:rPr>
          <w:color w:val="000000" w:themeColor="text1"/>
        </w:rPr>
      </w:pPr>
      <w:bookmarkStart w:id="292" w:name="_Ref213593648"/>
      <w:r w:rsidRPr="00FB0BFD">
        <w:rPr>
          <w:color w:val="000000" w:themeColor="text1"/>
        </w:rPr>
        <w:t>I am satisfied that the that the relevant particulars and conditions of the registrations can be varied in the following ways so that the anticoagulant rodenticide chemical products listed in Attachment A of this notice will meet the safety criteria. This includes:</w:t>
      </w:r>
      <w:bookmarkEnd w:id="292"/>
    </w:p>
    <w:p w14:paraId="23164CE4" w14:textId="39022058" w:rsidR="008E67EA" w:rsidRPr="0086633C" w:rsidRDefault="008E67EA">
      <w:pPr>
        <w:pStyle w:val="NumberLevel2"/>
        <w:numPr>
          <w:ilvl w:val="1"/>
          <w:numId w:val="17"/>
        </w:numPr>
        <w:ind w:left="1134"/>
        <w:rPr>
          <w:color w:val="000000" w:themeColor="text1"/>
        </w:rPr>
      </w:pPr>
      <w:r w:rsidRPr="0086633C">
        <w:rPr>
          <w:color w:val="000000" w:themeColor="text1"/>
        </w:rPr>
        <w:t xml:space="preserve">Variation of the relevant particular ‘instructions for use’ </w:t>
      </w:r>
      <w:r>
        <w:rPr>
          <w:color w:val="000000" w:themeColor="text1"/>
        </w:rPr>
        <w:t>of</w:t>
      </w:r>
      <w:r w:rsidRPr="0086633C">
        <w:rPr>
          <w:color w:val="000000" w:themeColor="text1"/>
        </w:rPr>
        <w:t xml:space="preserve"> all anticoagulant rodenticide chemical products, as detailed above in paragraphs </w:t>
      </w:r>
      <w:r w:rsidRPr="0086633C">
        <w:rPr>
          <w:color w:val="000000" w:themeColor="text1"/>
        </w:rPr>
        <w:fldChar w:fldCharType="begin"/>
      </w:r>
      <w:r w:rsidRPr="0086633C">
        <w:rPr>
          <w:color w:val="000000" w:themeColor="text1"/>
        </w:rPr>
        <w:instrText xml:space="preserve"> REF _Ref207047575 \w \h  \* MERGEFORMAT </w:instrText>
      </w:r>
      <w:r w:rsidRPr="0086633C">
        <w:rPr>
          <w:color w:val="000000" w:themeColor="text1"/>
        </w:rPr>
      </w:r>
      <w:r w:rsidRPr="0086633C">
        <w:rPr>
          <w:color w:val="000000" w:themeColor="text1"/>
        </w:rPr>
        <w:fldChar w:fldCharType="separate"/>
      </w:r>
      <w:r w:rsidR="002C0C2A">
        <w:rPr>
          <w:color w:val="000000" w:themeColor="text1"/>
        </w:rPr>
        <w:t>50</w:t>
      </w:r>
      <w:r w:rsidRPr="0086633C">
        <w:rPr>
          <w:color w:val="000000" w:themeColor="text1"/>
        </w:rPr>
        <w:fldChar w:fldCharType="end"/>
      </w:r>
      <w:r w:rsidRPr="0086633C">
        <w:rPr>
          <w:color w:val="000000" w:themeColor="text1"/>
        </w:rPr>
        <w:t xml:space="preserve">, </w:t>
      </w:r>
      <w:r w:rsidRPr="0086633C">
        <w:rPr>
          <w:color w:val="000000" w:themeColor="text1"/>
        </w:rPr>
        <w:fldChar w:fldCharType="begin"/>
      </w:r>
      <w:r w:rsidRPr="0086633C">
        <w:rPr>
          <w:color w:val="000000" w:themeColor="text1"/>
        </w:rPr>
        <w:instrText xml:space="preserve"> REF _Ref207139478 \w \h  \* MERGEFORMAT </w:instrText>
      </w:r>
      <w:r w:rsidRPr="0086633C">
        <w:rPr>
          <w:color w:val="000000" w:themeColor="text1"/>
        </w:rPr>
      </w:r>
      <w:r w:rsidRPr="0086633C">
        <w:rPr>
          <w:color w:val="000000" w:themeColor="text1"/>
        </w:rPr>
        <w:fldChar w:fldCharType="separate"/>
      </w:r>
      <w:r w:rsidR="002C0C2A">
        <w:rPr>
          <w:color w:val="000000" w:themeColor="text1"/>
        </w:rPr>
        <w:t>51</w:t>
      </w:r>
      <w:r w:rsidRPr="0086633C">
        <w:rPr>
          <w:color w:val="000000" w:themeColor="text1"/>
        </w:rPr>
        <w:fldChar w:fldCharType="end"/>
      </w:r>
      <w:r w:rsidRPr="0086633C">
        <w:rPr>
          <w:color w:val="000000" w:themeColor="text1"/>
        </w:rPr>
        <w:t xml:space="preserve">, </w:t>
      </w:r>
      <w:r w:rsidRPr="0086633C">
        <w:rPr>
          <w:color w:val="000000" w:themeColor="text1"/>
        </w:rPr>
        <w:fldChar w:fldCharType="begin"/>
      </w:r>
      <w:r w:rsidRPr="0086633C">
        <w:rPr>
          <w:color w:val="000000" w:themeColor="text1"/>
        </w:rPr>
        <w:instrText xml:space="preserve"> REF _Ref213184776 \w \h  \* MERGEFORMAT </w:instrText>
      </w:r>
      <w:r w:rsidRPr="0086633C">
        <w:rPr>
          <w:color w:val="000000" w:themeColor="text1"/>
        </w:rPr>
      </w:r>
      <w:r w:rsidRPr="0086633C">
        <w:rPr>
          <w:color w:val="000000" w:themeColor="text1"/>
        </w:rPr>
        <w:fldChar w:fldCharType="separate"/>
      </w:r>
      <w:r w:rsidR="002C0C2A">
        <w:rPr>
          <w:color w:val="000000" w:themeColor="text1"/>
        </w:rPr>
        <w:t>52.2</w:t>
      </w:r>
      <w:r w:rsidRPr="0086633C">
        <w:rPr>
          <w:color w:val="000000" w:themeColor="text1"/>
        </w:rPr>
        <w:fldChar w:fldCharType="end"/>
      </w:r>
      <w:r w:rsidRPr="0086633C">
        <w:rPr>
          <w:color w:val="000000" w:themeColor="text1"/>
        </w:rPr>
        <w:t xml:space="preserve">, </w:t>
      </w:r>
      <w:r w:rsidRPr="0086633C">
        <w:rPr>
          <w:color w:val="000000" w:themeColor="text1"/>
        </w:rPr>
        <w:fldChar w:fldCharType="begin"/>
      </w:r>
      <w:r w:rsidRPr="0086633C">
        <w:rPr>
          <w:color w:val="000000" w:themeColor="text1"/>
        </w:rPr>
        <w:instrText xml:space="preserve"> REF _Ref207139504 \w \h  \* MERGEFORMAT </w:instrText>
      </w:r>
      <w:r w:rsidRPr="0086633C">
        <w:rPr>
          <w:color w:val="000000" w:themeColor="text1"/>
        </w:rPr>
      </w:r>
      <w:r w:rsidRPr="0086633C">
        <w:rPr>
          <w:color w:val="000000" w:themeColor="text1"/>
        </w:rPr>
        <w:fldChar w:fldCharType="separate"/>
      </w:r>
      <w:r w:rsidR="002C0C2A">
        <w:rPr>
          <w:color w:val="000000" w:themeColor="text1"/>
        </w:rPr>
        <w:t>55.3</w:t>
      </w:r>
      <w:r w:rsidRPr="0086633C">
        <w:rPr>
          <w:color w:val="000000" w:themeColor="text1"/>
        </w:rPr>
        <w:fldChar w:fldCharType="end"/>
      </w:r>
      <w:r w:rsidRPr="0086633C">
        <w:rPr>
          <w:color w:val="000000" w:themeColor="text1"/>
        </w:rPr>
        <w:t xml:space="preserve">, </w:t>
      </w:r>
      <w:r w:rsidRPr="0086633C">
        <w:rPr>
          <w:color w:val="000000" w:themeColor="text1"/>
        </w:rPr>
        <w:fldChar w:fldCharType="begin"/>
      </w:r>
      <w:r w:rsidRPr="0086633C">
        <w:rPr>
          <w:color w:val="000000" w:themeColor="text1"/>
        </w:rPr>
        <w:instrText xml:space="preserve"> REF _Ref207139532 \w \h  \* MERGEFORMAT </w:instrText>
      </w:r>
      <w:r w:rsidRPr="0086633C">
        <w:rPr>
          <w:color w:val="000000" w:themeColor="text1"/>
        </w:rPr>
      </w:r>
      <w:r w:rsidRPr="0086633C">
        <w:rPr>
          <w:color w:val="000000" w:themeColor="text1"/>
        </w:rPr>
        <w:fldChar w:fldCharType="separate"/>
      </w:r>
      <w:r w:rsidR="002C0C2A">
        <w:rPr>
          <w:color w:val="000000" w:themeColor="text1"/>
        </w:rPr>
        <w:t>56</w:t>
      </w:r>
      <w:r w:rsidRPr="0086633C">
        <w:rPr>
          <w:color w:val="000000" w:themeColor="text1"/>
        </w:rPr>
        <w:fldChar w:fldCharType="end"/>
      </w:r>
      <w:r w:rsidRPr="0086633C">
        <w:rPr>
          <w:color w:val="000000" w:themeColor="text1"/>
        </w:rPr>
        <w:t xml:space="preserve">, </w:t>
      </w:r>
      <w:r w:rsidRPr="0086633C">
        <w:rPr>
          <w:color w:val="000000" w:themeColor="text1"/>
        </w:rPr>
        <w:fldChar w:fldCharType="begin"/>
      </w:r>
      <w:r w:rsidRPr="0086633C">
        <w:rPr>
          <w:color w:val="000000" w:themeColor="text1"/>
        </w:rPr>
        <w:instrText xml:space="preserve"> REF _Ref213490407 \w \h  \* MERGEFORMAT </w:instrText>
      </w:r>
      <w:r w:rsidRPr="0086633C">
        <w:rPr>
          <w:color w:val="000000" w:themeColor="text1"/>
        </w:rPr>
      </w:r>
      <w:r w:rsidRPr="0086633C">
        <w:rPr>
          <w:color w:val="000000" w:themeColor="text1"/>
        </w:rPr>
        <w:fldChar w:fldCharType="separate"/>
      </w:r>
      <w:r w:rsidR="002C0C2A">
        <w:rPr>
          <w:color w:val="000000" w:themeColor="text1"/>
        </w:rPr>
        <w:t>57</w:t>
      </w:r>
      <w:r w:rsidRPr="0086633C">
        <w:rPr>
          <w:color w:val="000000" w:themeColor="text1"/>
        </w:rPr>
        <w:fldChar w:fldCharType="end"/>
      </w:r>
      <w:r w:rsidRPr="0086633C">
        <w:rPr>
          <w:color w:val="000000" w:themeColor="text1"/>
        </w:rPr>
        <w:t xml:space="preserve">, </w:t>
      </w:r>
      <w:r w:rsidRPr="0086633C">
        <w:rPr>
          <w:color w:val="000000" w:themeColor="text1"/>
        </w:rPr>
        <w:fldChar w:fldCharType="begin"/>
      </w:r>
      <w:r w:rsidRPr="0086633C">
        <w:rPr>
          <w:color w:val="000000" w:themeColor="text1"/>
        </w:rPr>
        <w:instrText xml:space="preserve"> REF _Ref213490411 \w \h  \* MERGEFORMAT </w:instrText>
      </w:r>
      <w:r w:rsidRPr="0086633C">
        <w:rPr>
          <w:color w:val="000000" w:themeColor="text1"/>
        </w:rPr>
      </w:r>
      <w:r w:rsidRPr="0086633C">
        <w:rPr>
          <w:color w:val="000000" w:themeColor="text1"/>
        </w:rPr>
        <w:fldChar w:fldCharType="separate"/>
      </w:r>
      <w:r w:rsidR="002C0C2A">
        <w:rPr>
          <w:color w:val="000000" w:themeColor="text1"/>
        </w:rPr>
        <w:t>58</w:t>
      </w:r>
      <w:r w:rsidRPr="0086633C">
        <w:rPr>
          <w:color w:val="000000" w:themeColor="text1"/>
        </w:rPr>
        <w:fldChar w:fldCharType="end"/>
      </w:r>
      <w:r w:rsidRPr="0086633C">
        <w:rPr>
          <w:color w:val="000000" w:themeColor="text1"/>
        </w:rPr>
        <w:t xml:space="preserve">, </w:t>
      </w:r>
      <w:r w:rsidRPr="0086633C">
        <w:rPr>
          <w:color w:val="000000" w:themeColor="text1"/>
        </w:rPr>
        <w:fldChar w:fldCharType="begin"/>
      </w:r>
      <w:r w:rsidRPr="0086633C">
        <w:rPr>
          <w:color w:val="000000" w:themeColor="text1"/>
        </w:rPr>
        <w:instrText xml:space="preserve"> REF _Ref207047666 \w \h  \* MERGEFORMAT </w:instrText>
      </w:r>
      <w:r w:rsidRPr="0086633C">
        <w:rPr>
          <w:color w:val="000000" w:themeColor="text1"/>
        </w:rPr>
      </w:r>
      <w:r w:rsidRPr="0086633C">
        <w:rPr>
          <w:color w:val="000000" w:themeColor="text1"/>
        </w:rPr>
        <w:fldChar w:fldCharType="separate"/>
      </w:r>
      <w:r w:rsidR="002C0C2A">
        <w:rPr>
          <w:color w:val="000000" w:themeColor="text1"/>
        </w:rPr>
        <w:t>61</w:t>
      </w:r>
      <w:r w:rsidRPr="0086633C">
        <w:rPr>
          <w:color w:val="000000" w:themeColor="text1"/>
        </w:rPr>
        <w:fldChar w:fldCharType="end"/>
      </w:r>
      <w:r w:rsidRPr="0086633C">
        <w:rPr>
          <w:color w:val="000000" w:themeColor="text1"/>
        </w:rPr>
        <w:t xml:space="preserve">, </w:t>
      </w:r>
      <w:r w:rsidRPr="0086633C">
        <w:rPr>
          <w:color w:val="000000" w:themeColor="text1"/>
        </w:rPr>
        <w:fldChar w:fldCharType="begin"/>
      </w:r>
      <w:r w:rsidRPr="0086633C">
        <w:rPr>
          <w:color w:val="000000" w:themeColor="text1"/>
        </w:rPr>
        <w:instrText xml:space="preserve"> REF _Ref213444267 \w \h  \* MERGEFORMAT </w:instrText>
      </w:r>
      <w:r w:rsidRPr="0086633C">
        <w:rPr>
          <w:color w:val="000000" w:themeColor="text1"/>
        </w:rPr>
      </w:r>
      <w:r w:rsidRPr="0086633C">
        <w:rPr>
          <w:color w:val="000000" w:themeColor="text1"/>
        </w:rPr>
        <w:fldChar w:fldCharType="separate"/>
      </w:r>
      <w:r w:rsidR="002C0C2A">
        <w:rPr>
          <w:color w:val="000000" w:themeColor="text1"/>
        </w:rPr>
        <w:t>62</w:t>
      </w:r>
      <w:r w:rsidRPr="0086633C">
        <w:rPr>
          <w:color w:val="000000" w:themeColor="text1"/>
        </w:rPr>
        <w:fldChar w:fldCharType="end"/>
      </w:r>
      <w:r w:rsidRPr="0086633C">
        <w:rPr>
          <w:color w:val="000000" w:themeColor="text1"/>
        </w:rPr>
        <w:t xml:space="preserve">, </w:t>
      </w:r>
      <w:r w:rsidRPr="0086633C">
        <w:rPr>
          <w:color w:val="000000" w:themeColor="text1"/>
        </w:rPr>
        <w:fldChar w:fldCharType="begin"/>
      </w:r>
      <w:r w:rsidRPr="0086633C">
        <w:rPr>
          <w:color w:val="000000" w:themeColor="text1"/>
        </w:rPr>
        <w:instrText xml:space="preserve"> REF _Ref207139626 \w \h  \* MERGEFORMAT </w:instrText>
      </w:r>
      <w:r w:rsidRPr="0086633C">
        <w:rPr>
          <w:color w:val="000000" w:themeColor="text1"/>
        </w:rPr>
      </w:r>
      <w:r w:rsidRPr="0086633C">
        <w:rPr>
          <w:color w:val="000000" w:themeColor="text1"/>
        </w:rPr>
        <w:fldChar w:fldCharType="separate"/>
      </w:r>
      <w:r w:rsidR="002C0C2A">
        <w:rPr>
          <w:color w:val="000000" w:themeColor="text1"/>
        </w:rPr>
        <w:t>64</w:t>
      </w:r>
      <w:r w:rsidRPr="0086633C">
        <w:rPr>
          <w:color w:val="000000" w:themeColor="text1"/>
        </w:rPr>
        <w:fldChar w:fldCharType="end"/>
      </w:r>
      <w:r w:rsidRPr="0086633C">
        <w:rPr>
          <w:color w:val="000000" w:themeColor="text1"/>
        </w:rPr>
        <w:t xml:space="preserve">, </w:t>
      </w:r>
      <w:r w:rsidRPr="0086633C">
        <w:rPr>
          <w:color w:val="000000" w:themeColor="text1"/>
        </w:rPr>
        <w:fldChar w:fldCharType="begin"/>
      </w:r>
      <w:r w:rsidRPr="0086633C">
        <w:rPr>
          <w:color w:val="000000" w:themeColor="text1"/>
        </w:rPr>
        <w:instrText xml:space="preserve"> REF _Ref213490447 \w \h  \* MERGEFORMAT </w:instrText>
      </w:r>
      <w:r w:rsidRPr="0086633C">
        <w:rPr>
          <w:color w:val="000000" w:themeColor="text1"/>
        </w:rPr>
      </w:r>
      <w:r w:rsidRPr="0086633C">
        <w:rPr>
          <w:color w:val="000000" w:themeColor="text1"/>
        </w:rPr>
        <w:fldChar w:fldCharType="separate"/>
      </w:r>
      <w:r w:rsidR="002C0C2A">
        <w:rPr>
          <w:color w:val="000000" w:themeColor="text1"/>
        </w:rPr>
        <w:t>65.2</w:t>
      </w:r>
      <w:r w:rsidRPr="0086633C">
        <w:rPr>
          <w:color w:val="000000" w:themeColor="text1"/>
        </w:rPr>
        <w:fldChar w:fldCharType="end"/>
      </w:r>
      <w:r w:rsidRPr="0086633C">
        <w:rPr>
          <w:color w:val="000000" w:themeColor="text1"/>
        </w:rPr>
        <w:t xml:space="preserve">, </w:t>
      </w:r>
      <w:r w:rsidRPr="0086633C">
        <w:rPr>
          <w:color w:val="000000" w:themeColor="text1"/>
        </w:rPr>
        <w:fldChar w:fldCharType="begin"/>
      </w:r>
      <w:r w:rsidRPr="0086633C">
        <w:rPr>
          <w:color w:val="000000" w:themeColor="text1"/>
        </w:rPr>
        <w:instrText xml:space="preserve"> REF _Ref205884961 \w \h  \* MERGEFORMAT </w:instrText>
      </w:r>
      <w:r w:rsidRPr="0086633C">
        <w:rPr>
          <w:color w:val="000000" w:themeColor="text1"/>
        </w:rPr>
      </w:r>
      <w:r w:rsidRPr="0086633C">
        <w:rPr>
          <w:color w:val="000000" w:themeColor="text1"/>
        </w:rPr>
        <w:fldChar w:fldCharType="separate"/>
      </w:r>
      <w:r w:rsidR="002C0C2A">
        <w:rPr>
          <w:color w:val="000000" w:themeColor="text1"/>
        </w:rPr>
        <w:t>82</w:t>
      </w:r>
      <w:r w:rsidRPr="0086633C">
        <w:rPr>
          <w:color w:val="000000" w:themeColor="text1"/>
        </w:rPr>
        <w:fldChar w:fldCharType="end"/>
      </w:r>
      <w:r w:rsidRPr="0086633C">
        <w:rPr>
          <w:color w:val="000000" w:themeColor="text1"/>
        </w:rPr>
        <w:t xml:space="preserve">, </w:t>
      </w:r>
      <w:r w:rsidRPr="0086633C">
        <w:rPr>
          <w:color w:val="000000" w:themeColor="text1"/>
        </w:rPr>
        <w:fldChar w:fldCharType="begin"/>
      </w:r>
      <w:r w:rsidRPr="0086633C">
        <w:rPr>
          <w:color w:val="000000" w:themeColor="text1"/>
        </w:rPr>
        <w:instrText xml:space="preserve"> REF _Ref213444614 \w \h  \* MERGEFORMAT </w:instrText>
      </w:r>
      <w:r w:rsidRPr="0086633C">
        <w:rPr>
          <w:color w:val="000000" w:themeColor="text1"/>
        </w:rPr>
      </w:r>
      <w:r w:rsidRPr="0086633C">
        <w:rPr>
          <w:color w:val="000000" w:themeColor="text1"/>
        </w:rPr>
        <w:fldChar w:fldCharType="separate"/>
      </w:r>
      <w:r w:rsidR="002C0C2A">
        <w:rPr>
          <w:color w:val="000000" w:themeColor="text1"/>
        </w:rPr>
        <w:t>87.3</w:t>
      </w:r>
      <w:r w:rsidRPr="0086633C">
        <w:rPr>
          <w:color w:val="000000" w:themeColor="text1"/>
        </w:rPr>
        <w:fldChar w:fldCharType="end"/>
      </w:r>
      <w:r w:rsidRPr="0086633C">
        <w:rPr>
          <w:color w:val="000000" w:themeColor="text1"/>
        </w:rPr>
        <w:t xml:space="preserve">, </w:t>
      </w:r>
      <w:r w:rsidRPr="0086633C">
        <w:rPr>
          <w:color w:val="000000" w:themeColor="text1"/>
        </w:rPr>
        <w:fldChar w:fldCharType="begin"/>
      </w:r>
      <w:r w:rsidRPr="0086633C">
        <w:rPr>
          <w:color w:val="000000" w:themeColor="text1"/>
        </w:rPr>
        <w:instrText xml:space="preserve"> REF _Ref205885561 \w \h  \* MERGEFORMAT </w:instrText>
      </w:r>
      <w:r w:rsidRPr="0086633C">
        <w:rPr>
          <w:color w:val="000000" w:themeColor="text1"/>
        </w:rPr>
      </w:r>
      <w:r w:rsidRPr="0086633C">
        <w:rPr>
          <w:color w:val="000000" w:themeColor="text1"/>
        </w:rPr>
        <w:fldChar w:fldCharType="separate"/>
      </w:r>
      <w:r w:rsidR="002C0C2A">
        <w:rPr>
          <w:color w:val="000000" w:themeColor="text1"/>
        </w:rPr>
        <w:t>93</w:t>
      </w:r>
      <w:r w:rsidRPr="0086633C">
        <w:rPr>
          <w:color w:val="000000" w:themeColor="text1"/>
        </w:rPr>
        <w:fldChar w:fldCharType="end"/>
      </w:r>
      <w:r w:rsidRPr="0086633C">
        <w:rPr>
          <w:color w:val="000000" w:themeColor="text1"/>
        </w:rPr>
        <w:t xml:space="preserve">, </w:t>
      </w:r>
      <w:r w:rsidRPr="0086633C">
        <w:rPr>
          <w:color w:val="000000" w:themeColor="text1"/>
        </w:rPr>
        <w:fldChar w:fldCharType="begin"/>
      </w:r>
      <w:r w:rsidRPr="0086633C">
        <w:rPr>
          <w:color w:val="000000" w:themeColor="text1"/>
        </w:rPr>
        <w:instrText xml:space="preserve"> REF _Ref213411531 \w \h  \* MERGEFORMAT </w:instrText>
      </w:r>
      <w:r w:rsidRPr="0086633C">
        <w:rPr>
          <w:color w:val="000000" w:themeColor="text1"/>
        </w:rPr>
      </w:r>
      <w:r w:rsidRPr="0086633C">
        <w:rPr>
          <w:color w:val="000000" w:themeColor="text1"/>
        </w:rPr>
        <w:fldChar w:fldCharType="separate"/>
      </w:r>
      <w:r w:rsidR="002C0C2A">
        <w:rPr>
          <w:color w:val="000000" w:themeColor="text1"/>
        </w:rPr>
        <w:t>95</w:t>
      </w:r>
      <w:r w:rsidRPr="0086633C">
        <w:rPr>
          <w:color w:val="000000" w:themeColor="text1"/>
        </w:rPr>
        <w:fldChar w:fldCharType="end"/>
      </w:r>
      <w:r w:rsidRPr="0086633C">
        <w:rPr>
          <w:color w:val="000000" w:themeColor="text1"/>
        </w:rPr>
        <w:t xml:space="preserve">, </w:t>
      </w:r>
      <w:r w:rsidRPr="0086633C">
        <w:rPr>
          <w:color w:val="000000" w:themeColor="text1"/>
        </w:rPr>
        <w:fldChar w:fldCharType="begin"/>
      </w:r>
      <w:r w:rsidRPr="0086633C">
        <w:rPr>
          <w:color w:val="000000" w:themeColor="text1"/>
        </w:rPr>
        <w:instrText xml:space="preserve"> REF _Ref213444704 \w \h  \* MERGEFORMAT </w:instrText>
      </w:r>
      <w:r w:rsidRPr="0086633C">
        <w:rPr>
          <w:color w:val="000000" w:themeColor="text1"/>
        </w:rPr>
      </w:r>
      <w:r w:rsidRPr="0086633C">
        <w:rPr>
          <w:color w:val="000000" w:themeColor="text1"/>
        </w:rPr>
        <w:fldChar w:fldCharType="separate"/>
      </w:r>
      <w:r w:rsidR="002C0C2A">
        <w:rPr>
          <w:color w:val="000000" w:themeColor="text1"/>
        </w:rPr>
        <w:t>97.1</w:t>
      </w:r>
      <w:r w:rsidRPr="0086633C">
        <w:rPr>
          <w:color w:val="000000" w:themeColor="text1"/>
        </w:rPr>
        <w:fldChar w:fldCharType="end"/>
      </w:r>
      <w:r w:rsidRPr="0086633C">
        <w:rPr>
          <w:color w:val="000000" w:themeColor="text1"/>
        </w:rPr>
        <w:t xml:space="preserve">, </w:t>
      </w:r>
      <w:r w:rsidRPr="0086633C">
        <w:rPr>
          <w:color w:val="000000" w:themeColor="text1"/>
        </w:rPr>
        <w:fldChar w:fldCharType="begin"/>
      </w:r>
      <w:r w:rsidRPr="0086633C">
        <w:rPr>
          <w:color w:val="000000" w:themeColor="text1"/>
        </w:rPr>
        <w:instrText xml:space="preserve"> REF _Ref205885671 \w \h  \* MERGEFORMAT </w:instrText>
      </w:r>
      <w:r w:rsidRPr="0086633C">
        <w:rPr>
          <w:color w:val="000000" w:themeColor="text1"/>
        </w:rPr>
      </w:r>
      <w:r w:rsidRPr="0086633C">
        <w:rPr>
          <w:color w:val="000000" w:themeColor="text1"/>
        </w:rPr>
        <w:fldChar w:fldCharType="separate"/>
      </w:r>
      <w:r w:rsidR="002C0C2A">
        <w:rPr>
          <w:color w:val="000000" w:themeColor="text1"/>
        </w:rPr>
        <w:t>102</w:t>
      </w:r>
      <w:r w:rsidRPr="0086633C">
        <w:rPr>
          <w:color w:val="000000" w:themeColor="text1"/>
        </w:rPr>
        <w:fldChar w:fldCharType="end"/>
      </w:r>
      <w:r w:rsidRPr="0086633C">
        <w:rPr>
          <w:color w:val="000000" w:themeColor="text1"/>
        </w:rPr>
        <w:t xml:space="preserve">, </w:t>
      </w:r>
      <w:r w:rsidRPr="0086633C">
        <w:rPr>
          <w:color w:val="000000" w:themeColor="text1"/>
        </w:rPr>
        <w:fldChar w:fldCharType="begin"/>
      </w:r>
      <w:r w:rsidRPr="0086633C">
        <w:rPr>
          <w:color w:val="000000" w:themeColor="text1"/>
        </w:rPr>
        <w:instrText xml:space="preserve"> REF _Ref205885673 \w \h  \* MERGEFORMAT </w:instrText>
      </w:r>
      <w:r w:rsidRPr="0086633C">
        <w:rPr>
          <w:color w:val="000000" w:themeColor="text1"/>
        </w:rPr>
      </w:r>
      <w:r w:rsidRPr="0086633C">
        <w:rPr>
          <w:color w:val="000000" w:themeColor="text1"/>
        </w:rPr>
        <w:fldChar w:fldCharType="separate"/>
      </w:r>
      <w:r w:rsidR="002C0C2A">
        <w:rPr>
          <w:color w:val="000000" w:themeColor="text1"/>
        </w:rPr>
        <w:t>103</w:t>
      </w:r>
      <w:r w:rsidRPr="0086633C">
        <w:rPr>
          <w:color w:val="000000" w:themeColor="text1"/>
        </w:rPr>
        <w:fldChar w:fldCharType="end"/>
      </w:r>
      <w:r w:rsidRPr="0086633C">
        <w:rPr>
          <w:color w:val="000000" w:themeColor="text1"/>
        </w:rPr>
        <w:t xml:space="preserve">, </w:t>
      </w:r>
      <w:r w:rsidRPr="0086633C">
        <w:rPr>
          <w:color w:val="000000" w:themeColor="text1"/>
        </w:rPr>
        <w:fldChar w:fldCharType="begin"/>
      </w:r>
      <w:r w:rsidRPr="0086633C">
        <w:rPr>
          <w:color w:val="000000" w:themeColor="text1"/>
        </w:rPr>
        <w:instrText xml:space="preserve"> REF _Ref213490546 \w \h  \* MERGEFORMAT </w:instrText>
      </w:r>
      <w:r w:rsidRPr="0086633C">
        <w:rPr>
          <w:color w:val="000000" w:themeColor="text1"/>
        </w:rPr>
      </w:r>
      <w:r w:rsidRPr="0086633C">
        <w:rPr>
          <w:color w:val="000000" w:themeColor="text1"/>
        </w:rPr>
        <w:fldChar w:fldCharType="separate"/>
      </w:r>
      <w:r w:rsidR="002C0C2A">
        <w:rPr>
          <w:color w:val="000000" w:themeColor="text1"/>
        </w:rPr>
        <w:t>107</w:t>
      </w:r>
      <w:r w:rsidRPr="0086633C">
        <w:rPr>
          <w:color w:val="000000" w:themeColor="text1"/>
        </w:rPr>
        <w:fldChar w:fldCharType="end"/>
      </w:r>
      <w:r w:rsidRPr="0086633C">
        <w:rPr>
          <w:color w:val="000000" w:themeColor="text1"/>
        </w:rPr>
        <w:t xml:space="preserve"> and </w:t>
      </w:r>
      <w:r w:rsidRPr="0086633C">
        <w:rPr>
          <w:color w:val="000000" w:themeColor="text1"/>
        </w:rPr>
        <w:fldChar w:fldCharType="begin"/>
      </w:r>
      <w:r w:rsidRPr="0086633C">
        <w:rPr>
          <w:color w:val="000000" w:themeColor="text1"/>
        </w:rPr>
        <w:instrText xml:space="preserve"> REF _Ref205885713 \w \h  \* MERGEFORMAT </w:instrText>
      </w:r>
      <w:r w:rsidRPr="0086633C">
        <w:rPr>
          <w:color w:val="000000" w:themeColor="text1"/>
        </w:rPr>
      </w:r>
      <w:r w:rsidRPr="0086633C">
        <w:rPr>
          <w:color w:val="000000" w:themeColor="text1"/>
        </w:rPr>
        <w:fldChar w:fldCharType="separate"/>
      </w:r>
      <w:r w:rsidR="002C0C2A">
        <w:rPr>
          <w:color w:val="000000" w:themeColor="text1"/>
        </w:rPr>
        <w:t>109</w:t>
      </w:r>
      <w:r w:rsidRPr="0086633C">
        <w:rPr>
          <w:color w:val="000000" w:themeColor="text1"/>
        </w:rPr>
        <w:fldChar w:fldCharType="end"/>
      </w:r>
      <w:r w:rsidRPr="0086633C">
        <w:rPr>
          <w:color w:val="000000" w:themeColor="text1"/>
        </w:rPr>
        <w:t xml:space="preserve"> of these reasons.</w:t>
      </w:r>
    </w:p>
    <w:p w14:paraId="2990943B" w14:textId="05CC35AB" w:rsidR="008E67EA" w:rsidRPr="002A4E8F" w:rsidRDefault="008E67EA">
      <w:pPr>
        <w:pStyle w:val="NumberLevel2"/>
        <w:numPr>
          <w:ilvl w:val="1"/>
          <w:numId w:val="17"/>
        </w:numPr>
        <w:ind w:left="1134"/>
        <w:rPr>
          <w:color w:val="000000" w:themeColor="text1"/>
        </w:rPr>
      </w:pPr>
      <w:r w:rsidRPr="002A4E8F">
        <w:rPr>
          <w:color w:val="000000" w:themeColor="text1"/>
        </w:rPr>
        <w:t xml:space="preserve">Variation </w:t>
      </w:r>
      <w:r>
        <w:rPr>
          <w:color w:val="000000" w:themeColor="text1"/>
        </w:rPr>
        <w:t>of</w:t>
      </w:r>
      <w:r w:rsidRPr="002A4E8F">
        <w:rPr>
          <w:color w:val="000000" w:themeColor="text1"/>
        </w:rPr>
        <w:t xml:space="preserve"> the relevant particular ‘net contents’ </w:t>
      </w:r>
      <w:r>
        <w:rPr>
          <w:color w:val="000000" w:themeColor="text1"/>
        </w:rPr>
        <w:t>of</w:t>
      </w:r>
      <w:r w:rsidRPr="002A4E8F">
        <w:rPr>
          <w:color w:val="000000" w:themeColor="text1"/>
        </w:rPr>
        <w:t xml:space="preserve"> domestic anticoagulant rodenticide chemical products, as detailed above in paragraph </w:t>
      </w:r>
      <w:r w:rsidRPr="002A4E8F">
        <w:rPr>
          <w:color w:val="000000" w:themeColor="text1"/>
        </w:rPr>
        <w:fldChar w:fldCharType="begin"/>
      </w:r>
      <w:r w:rsidRPr="002A4E8F">
        <w:rPr>
          <w:color w:val="000000" w:themeColor="text1"/>
        </w:rPr>
        <w:instrText xml:space="preserve"> REF _Ref213439759 \w \h  \* MERGEFORMAT </w:instrText>
      </w:r>
      <w:r w:rsidRPr="002A4E8F">
        <w:rPr>
          <w:color w:val="000000" w:themeColor="text1"/>
        </w:rPr>
      </w:r>
      <w:r w:rsidRPr="002A4E8F">
        <w:rPr>
          <w:color w:val="000000" w:themeColor="text1"/>
        </w:rPr>
        <w:fldChar w:fldCharType="separate"/>
      </w:r>
      <w:r w:rsidR="002C0C2A">
        <w:rPr>
          <w:color w:val="000000" w:themeColor="text1"/>
        </w:rPr>
        <w:t>60</w:t>
      </w:r>
      <w:r w:rsidRPr="002A4E8F">
        <w:rPr>
          <w:color w:val="000000" w:themeColor="text1"/>
        </w:rPr>
        <w:fldChar w:fldCharType="end"/>
      </w:r>
      <w:r w:rsidRPr="002A4E8F">
        <w:rPr>
          <w:color w:val="000000" w:themeColor="text1"/>
        </w:rPr>
        <w:t xml:space="preserve"> of this statement of reasons.</w:t>
      </w:r>
    </w:p>
    <w:p w14:paraId="2A936743" w14:textId="4BBEB927" w:rsidR="008E67EA" w:rsidRPr="00D035F8" w:rsidRDefault="008E67EA">
      <w:pPr>
        <w:pStyle w:val="NumberLevel2"/>
        <w:numPr>
          <w:ilvl w:val="1"/>
          <w:numId w:val="17"/>
        </w:numPr>
        <w:ind w:left="1134"/>
        <w:rPr>
          <w:color w:val="000000" w:themeColor="text1"/>
        </w:rPr>
      </w:pPr>
      <w:r w:rsidRPr="002A4E8F">
        <w:rPr>
          <w:color w:val="000000" w:themeColor="text1"/>
        </w:rPr>
        <w:t xml:space="preserve">Variation </w:t>
      </w:r>
      <w:r>
        <w:rPr>
          <w:color w:val="000000" w:themeColor="text1"/>
        </w:rPr>
        <w:t>of the</w:t>
      </w:r>
      <w:r w:rsidRPr="002A4E8F">
        <w:rPr>
          <w:color w:val="000000" w:themeColor="text1"/>
        </w:rPr>
        <w:t xml:space="preserve"> formulation details (encompassing the relevant particulars</w:t>
      </w:r>
      <w:r>
        <w:rPr>
          <w:color w:val="000000" w:themeColor="text1"/>
        </w:rPr>
        <w:t xml:space="preserve"> </w:t>
      </w:r>
      <w:r w:rsidRPr="002F7556">
        <w:rPr>
          <w:color w:val="000000" w:themeColor="text1"/>
        </w:rPr>
        <w:t xml:space="preserve">constituents and the </w:t>
      </w:r>
      <w:r w:rsidRPr="00D035F8">
        <w:rPr>
          <w:color w:val="000000" w:themeColor="text1"/>
        </w:rPr>
        <w:t xml:space="preserve">concentration of each constituent) of certain anticoagulant rodenticide chemical products (52098, 63624), as detailed above in paragraphs </w:t>
      </w:r>
      <w:r w:rsidRPr="00D035F8">
        <w:rPr>
          <w:color w:val="000000" w:themeColor="text1"/>
        </w:rPr>
        <w:fldChar w:fldCharType="begin"/>
      </w:r>
      <w:r w:rsidRPr="00D035F8">
        <w:rPr>
          <w:color w:val="000000" w:themeColor="text1"/>
        </w:rPr>
        <w:instrText xml:space="preserve"> REF _Ref216018864 \r \h </w:instrText>
      </w:r>
      <w:r>
        <w:rPr>
          <w:color w:val="000000" w:themeColor="text1"/>
        </w:rPr>
        <w:instrText xml:space="preserve"> \* MERGEFORMAT </w:instrText>
      </w:r>
      <w:r w:rsidRPr="00D035F8">
        <w:rPr>
          <w:color w:val="000000" w:themeColor="text1"/>
        </w:rPr>
      </w:r>
      <w:r w:rsidRPr="00D035F8">
        <w:rPr>
          <w:color w:val="000000" w:themeColor="text1"/>
        </w:rPr>
        <w:fldChar w:fldCharType="separate"/>
      </w:r>
      <w:r w:rsidR="002C0C2A">
        <w:rPr>
          <w:color w:val="000000" w:themeColor="text1"/>
        </w:rPr>
        <w:t>122</w:t>
      </w:r>
      <w:r w:rsidRPr="00D035F8">
        <w:rPr>
          <w:color w:val="000000" w:themeColor="text1"/>
        </w:rPr>
        <w:fldChar w:fldCharType="end"/>
      </w:r>
      <w:r w:rsidRPr="00D035F8">
        <w:rPr>
          <w:color w:val="000000" w:themeColor="text1"/>
        </w:rPr>
        <w:t xml:space="preserve"> - </w:t>
      </w:r>
      <w:r w:rsidRPr="00D035F8">
        <w:rPr>
          <w:color w:val="000000" w:themeColor="text1"/>
        </w:rPr>
        <w:fldChar w:fldCharType="begin"/>
      </w:r>
      <w:r w:rsidRPr="00D035F8">
        <w:rPr>
          <w:color w:val="000000" w:themeColor="text1"/>
        </w:rPr>
        <w:instrText xml:space="preserve"> REF _Ref213444454 \w \h  \* MERGEFORMAT </w:instrText>
      </w:r>
      <w:r w:rsidRPr="00D035F8">
        <w:rPr>
          <w:color w:val="000000" w:themeColor="text1"/>
        </w:rPr>
      </w:r>
      <w:r w:rsidRPr="00D035F8">
        <w:rPr>
          <w:color w:val="000000" w:themeColor="text1"/>
        </w:rPr>
        <w:fldChar w:fldCharType="separate"/>
      </w:r>
      <w:r w:rsidR="002C0C2A">
        <w:rPr>
          <w:color w:val="000000" w:themeColor="text1"/>
        </w:rPr>
        <w:t>123</w:t>
      </w:r>
      <w:r w:rsidRPr="00D035F8">
        <w:rPr>
          <w:color w:val="000000" w:themeColor="text1"/>
        </w:rPr>
        <w:fldChar w:fldCharType="end"/>
      </w:r>
      <w:r w:rsidRPr="00D035F8">
        <w:rPr>
          <w:color w:val="FF0000"/>
        </w:rPr>
        <w:t xml:space="preserve"> </w:t>
      </w:r>
      <w:r w:rsidRPr="00D035F8">
        <w:rPr>
          <w:color w:val="000000" w:themeColor="text1"/>
        </w:rPr>
        <w:t>of these reasons.</w:t>
      </w:r>
    </w:p>
    <w:p w14:paraId="73ED4848" w14:textId="0652E0FF" w:rsidR="008E67EA" w:rsidRPr="002A4E8F" w:rsidRDefault="008E67EA">
      <w:pPr>
        <w:pStyle w:val="NumberLevel2"/>
        <w:numPr>
          <w:ilvl w:val="1"/>
          <w:numId w:val="17"/>
        </w:numPr>
        <w:ind w:left="1134"/>
        <w:rPr>
          <w:color w:val="000000" w:themeColor="text1"/>
        </w:rPr>
      </w:pPr>
      <w:r w:rsidRPr="00D035F8">
        <w:rPr>
          <w:color w:val="000000" w:themeColor="text1"/>
        </w:rPr>
        <w:t xml:space="preserve">Variation of the relevant particular ‘formulation type’ for all anticoagulant rodenticide chemical products, excluding 89039, </w:t>
      </w:r>
      <w:r>
        <w:rPr>
          <w:color w:val="000000" w:themeColor="text1"/>
        </w:rPr>
        <w:t xml:space="preserve">89510, 89203, 89204, 89206, </w:t>
      </w:r>
      <w:r w:rsidRPr="00D035F8">
        <w:rPr>
          <w:color w:val="000000" w:themeColor="text1"/>
        </w:rPr>
        <w:t>90982, 91401, as</w:t>
      </w:r>
      <w:r w:rsidRPr="002A4E8F">
        <w:rPr>
          <w:color w:val="000000" w:themeColor="text1"/>
        </w:rPr>
        <w:t xml:space="preserve"> detailed in paragraph </w:t>
      </w:r>
      <w:r w:rsidRPr="002A4E8F">
        <w:rPr>
          <w:color w:val="000000" w:themeColor="text1"/>
        </w:rPr>
        <w:fldChar w:fldCharType="begin"/>
      </w:r>
      <w:r w:rsidRPr="002A4E8F">
        <w:rPr>
          <w:color w:val="000000" w:themeColor="text1"/>
        </w:rPr>
        <w:instrText xml:space="preserve"> REF _Ref213091629 \w \h  \* MERGEFORMAT </w:instrText>
      </w:r>
      <w:r w:rsidRPr="002A4E8F">
        <w:rPr>
          <w:color w:val="000000" w:themeColor="text1"/>
        </w:rPr>
      </w:r>
      <w:r w:rsidRPr="002A4E8F">
        <w:rPr>
          <w:color w:val="000000" w:themeColor="text1"/>
        </w:rPr>
        <w:fldChar w:fldCharType="separate"/>
      </w:r>
      <w:r w:rsidR="002C0C2A">
        <w:rPr>
          <w:color w:val="000000" w:themeColor="text1"/>
        </w:rPr>
        <w:t>125</w:t>
      </w:r>
      <w:r w:rsidRPr="002A4E8F">
        <w:rPr>
          <w:color w:val="000000" w:themeColor="text1"/>
        </w:rPr>
        <w:fldChar w:fldCharType="end"/>
      </w:r>
      <w:r w:rsidRPr="002A4E8F">
        <w:rPr>
          <w:color w:val="000000" w:themeColor="text1"/>
        </w:rPr>
        <w:t xml:space="preserve"> of these reasons. </w:t>
      </w:r>
    </w:p>
    <w:p w14:paraId="70FAF547" w14:textId="61D2E97A" w:rsidR="008E67EA" w:rsidRPr="002A4E8F" w:rsidRDefault="008E67EA">
      <w:pPr>
        <w:pStyle w:val="NumberLevel2"/>
        <w:numPr>
          <w:ilvl w:val="1"/>
          <w:numId w:val="17"/>
        </w:numPr>
        <w:ind w:left="1134"/>
        <w:rPr>
          <w:color w:val="000000" w:themeColor="text1"/>
        </w:rPr>
      </w:pPr>
      <w:r w:rsidRPr="002A4E8F">
        <w:rPr>
          <w:color w:val="000000" w:themeColor="text1"/>
        </w:rPr>
        <w:lastRenderedPageBreak/>
        <w:t xml:space="preserve">Variation </w:t>
      </w:r>
      <w:r>
        <w:rPr>
          <w:color w:val="000000" w:themeColor="text1"/>
        </w:rPr>
        <w:t>of</w:t>
      </w:r>
      <w:r w:rsidRPr="002A4E8F">
        <w:rPr>
          <w:color w:val="000000" w:themeColor="text1"/>
        </w:rPr>
        <w:t xml:space="preserve"> the conditions of registration for all anticoagulant rodenticide chemical products, as detailed above in </w:t>
      </w:r>
      <w:r w:rsidRPr="0086633C">
        <w:rPr>
          <w:color w:val="000000" w:themeColor="text1"/>
        </w:rPr>
        <w:t xml:space="preserve">paragraphs </w:t>
      </w:r>
      <w:r w:rsidRPr="0086633C">
        <w:rPr>
          <w:color w:val="000000" w:themeColor="text1"/>
        </w:rPr>
        <w:fldChar w:fldCharType="begin"/>
      </w:r>
      <w:r w:rsidRPr="0086633C">
        <w:rPr>
          <w:color w:val="000000" w:themeColor="text1"/>
        </w:rPr>
        <w:instrText xml:space="preserve"> REF _Ref207139504 \w \h  \* MERGEFORMAT </w:instrText>
      </w:r>
      <w:r w:rsidRPr="0086633C">
        <w:rPr>
          <w:color w:val="000000" w:themeColor="text1"/>
        </w:rPr>
      </w:r>
      <w:r w:rsidRPr="0086633C">
        <w:rPr>
          <w:color w:val="000000" w:themeColor="text1"/>
        </w:rPr>
        <w:fldChar w:fldCharType="separate"/>
      </w:r>
      <w:r w:rsidR="002C0C2A">
        <w:rPr>
          <w:color w:val="000000" w:themeColor="text1"/>
        </w:rPr>
        <w:t>55.3</w:t>
      </w:r>
      <w:r w:rsidRPr="0086633C">
        <w:rPr>
          <w:color w:val="000000" w:themeColor="text1"/>
        </w:rPr>
        <w:fldChar w:fldCharType="end"/>
      </w:r>
      <w:r w:rsidRPr="0086633C">
        <w:rPr>
          <w:color w:val="000000" w:themeColor="text1"/>
        </w:rPr>
        <w:t xml:space="preserve">, </w:t>
      </w:r>
      <w:r w:rsidRPr="0086633C">
        <w:rPr>
          <w:color w:val="000000" w:themeColor="text1"/>
        </w:rPr>
        <w:fldChar w:fldCharType="begin"/>
      </w:r>
      <w:r w:rsidRPr="0086633C">
        <w:rPr>
          <w:color w:val="000000" w:themeColor="text1"/>
        </w:rPr>
        <w:instrText xml:space="preserve"> REF _Ref213490072 \w \h  \* MERGEFORMAT </w:instrText>
      </w:r>
      <w:r w:rsidRPr="0086633C">
        <w:rPr>
          <w:color w:val="000000" w:themeColor="text1"/>
        </w:rPr>
      </w:r>
      <w:r w:rsidRPr="0086633C">
        <w:rPr>
          <w:color w:val="000000" w:themeColor="text1"/>
        </w:rPr>
        <w:fldChar w:fldCharType="separate"/>
      </w:r>
      <w:r w:rsidR="002C0C2A">
        <w:rPr>
          <w:color w:val="000000" w:themeColor="text1"/>
        </w:rPr>
        <w:t>117</w:t>
      </w:r>
      <w:r w:rsidRPr="0086633C">
        <w:rPr>
          <w:color w:val="000000" w:themeColor="text1"/>
        </w:rPr>
        <w:fldChar w:fldCharType="end"/>
      </w:r>
      <w:r w:rsidRPr="0086633C">
        <w:rPr>
          <w:color w:val="000000" w:themeColor="text1"/>
        </w:rPr>
        <w:t xml:space="preserve"> and </w:t>
      </w:r>
      <w:r w:rsidRPr="0086633C">
        <w:rPr>
          <w:color w:val="000000" w:themeColor="text1"/>
        </w:rPr>
        <w:fldChar w:fldCharType="begin"/>
      </w:r>
      <w:r w:rsidRPr="0086633C">
        <w:rPr>
          <w:color w:val="000000" w:themeColor="text1"/>
        </w:rPr>
        <w:instrText xml:space="preserve"> REF _Ref213444483 \w \h  \* MERGEFORMAT </w:instrText>
      </w:r>
      <w:r w:rsidRPr="0086633C">
        <w:rPr>
          <w:color w:val="000000" w:themeColor="text1"/>
        </w:rPr>
      </w:r>
      <w:r w:rsidRPr="0086633C">
        <w:rPr>
          <w:color w:val="000000" w:themeColor="text1"/>
        </w:rPr>
        <w:fldChar w:fldCharType="separate"/>
      </w:r>
      <w:r w:rsidR="002C0C2A">
        <w:rPr>
          <w:color w:val="000000" w:themeColor="text1"/>
        </w:rPr>
        <w:t>126.2</w:t>
      </w:r>
      <w:r w:rsidRPr="0086633C">
        <w:rPr>
          <w:color w:val="000000" w:themeColor="text1"/>
        </w:rPr>
        <w:fldChar w:fldCharType="end"/>
      </w:r>
      <w:r w:rsidRPr="0086633C">
        <w:rPr>
          <w:color w:val="000000" w:themeColor="text1"/>
        </w:rPr>
        <w:t xml:space="preserve"> of these reasons</w:t>
      </w:r>
      <w:r w:rsidRPr="002A4E8F">
        <w:rPr>
          <w:color w:val="000000" w:themeColor="text1"/>
        </w:rPr>
        <w:t>.</w:t>
      </w:r>
    </w:p>
    <w:p w14:paraId="66A0A033" w14:textId="77777777" w:rsidR="008E67EA" w:rsidRDefault="008E67EA" w:rsidP="008E67EA">
      <w:pPr>
        <w:pStyle w:val="StatementofReasonsHeading2"/>
      </w:pPr>
      <w:bookmarkStart w:id="293" w:name="_Toc216090759"/>
      <w:r>
        <w:t>Consideration of the labelling criteria</w:t>
      </w:r>
      <w:bookmarkEnd w:id="293"/>
    </w:p>
    <w:p w14:paraId="3B2EA4A9" w14:textId="77777777" w:rsidR="008E67EA" w:rsidRDefault="008E67EA">
      <w:pPr>
        <w:pStyle w:val="NumberLevel1"/>
        <w:numPr>
          <w:ilvl w:val="0"/>
          <w:numId w:val="17"/>
        </w:numPr>
        <w:tabs>
          <w:tab w:val="clear" w:pos="709"/>
          <w:tab w:val="num" w:pos="2553"/>
        </w:tabs>
      </w:pPr>
      <w:r>
        <w:t xml:space="preserve">To affirm the labels for the chemical products </w:t>
      </w:r>
      <w:r w:rsidRPr="00FC52EC">
        <w:t xml:space="preserve">set out in Attachment A </w:t>
      </w:r>
      <w:r>
        <w:t xml:space="preserve">of this notice, </w:t>
      </w:r>
      <w:r w:rsidRPr="00FC52EC">
        <w:t>I must be satisfied that the labels meet the labelling criteria and, if not, I must be satisfied that the relevant particulars or conditions of these approvals could be varied in such a way</w:t>
      </w:r>
      <w:r>
        <w:t xml:space="preserve"> so</w:t>
      </w:r>
      <w:r w:rsidRPr="00FC52EC">
        <w:t xml:space="preserve"> that the labels meet the labelling criteria. That is, I must be satisfied that the labels contain adequate instructions relating to the matters set out in section 5D(1) of the Agvet Code, as are appropriate</w:t>
      </w:r>
      <w:r>
        <w:t>,</w:t>
      </w:r>
      <w:r w:rsidRPr="00FC52EC">
        <w:t xml:space="preserve"> or that the relevant particulars or conditions could be varied so that the labels do contain adequate instructions.</w:t>
      </w:r>
    </w:p>
    <w:p w14:paraId="076FC2F6" w14:textId="77777777" w:rsidR="008E67EA" w:rsidRDefault="008E67EA">
      <w:pPr>
        <w:pStyle w:val="NumberLevel2"/>
        <w:numPr>
          <w:ilvl w:val="1"/>
          <w:numId w:val="17"/>
        </w:numPr>
        <w:ind w:left="1134"/>
      </w:pPr>
      <w:r>
        <w:t>I note this means</w:t>
      </w:r>
      <w:r w:rsidRPr="00E94141">
        <w:t xml:space="preserve"> the label must contain instructions in relation the matters set out in section 5D(1) that are adequate to ensure, as far as reasonably practicable, that the product meets the safety criteria and the trade criteria</w:t>
      </w:r>
      <w:r>
        <w:t xml:space="preserve">, in accordance with </w:t>
      </w:r>
      <w:r w:rsidRPr="00E94141">
        <w:t>the definition of ‘adequate’</w:t>
      </w:r>
      <w:r>
        <w:t xml:space="preserve"> in section 3 of the Agvet Code in relation to instructions on a label for containers for a chemical product.</w:t>
      </w:r>
    </w:p>
    <w:p w14:paraId="6597097E" w14:textId="77777777" w:rsidR="008E67EA" w:rsidRPr="00E94141" w:rsidRDefault="008E67EA">
      <w:pPr>
        <w:pStyle w:val="NumberLevel2"/>
        <w:numPr>
          <w:ilvl w:val="1"/>
          <w:numId w:val="17"/>
        </w:numPr>
        <w:ind w:left="1134"/>
      </w:pPr>
      <w:r>
        <w:t>I also note that a label instruction may include a</w:t>
      </w:r>
      <w:r w:rsidRPr="004D5FC2">
        <w:t> direction, caution, warning or recommendation</w:t>
      </w:r>
      <w:r>
        <w:t xml:space="preserve">, in accordance with the definition of ‘instruction’ </w:t>
      </w:r>
      <w:r w:rsidRPr="00E94141">
        <w:t>in section 3 on the Agvet Code</w:t>
      </w:r>
      <w:r>
        <w:t>.</w:t>
      </w:r>
    </w:p>
    <w:p w14:paraId="6E541477" w14:textId="77777777" w:rsidR="008E67EA" w:rsidRPr="00D869C6" w:rsidRDefault="008E67EA">
      <w:pPr>
        <w:pStyle w:val="NumberLevel1"/>
        <w:numPr>
          <w:ilvl w:val="0"/>
          <w:numId w:val="17"/>
        </w:numPr>
        <w:tabs>
          <w:tab w:val="clear" w:pos="709"/>
          <w:tab w:val="num" w:pos="2553"/>
        </w:tabs>
      </w:pPr>
      <w:r w:rsidRPr="00E94141">
        <w:t>For the purposes of being sat</w:t>
      </w:r>
      <w:r w:rsidRPr="00D869C6">
        <w:t>isfied as to whether the labels listed in Attachment A of this notice meet the labelling criteria, or</w:t>
      </w:r>
      <w:r>
        <w:t>, if not,</w:t>
      </w:r>
      <w:r w:rsidRPr="00D869C6">
        <w:t xml:space="preserve"> whether the relevant particulars or conditions of these approvals could be varied in such a way so that the labels meet the labelling criteria, I have had regard to all criteria set out section 5D(2)(a) of the Agvet Code.</w:t>
      </w:r>
    </w:p>
    <w:p w14:paraId="2AA21670" w14:textId="77777777" w:rsidR="008E67EA" w:rsidRPr="00D869C6" w:rsidRDefault="008E67EA">
      <w:pPr>
        <w:pStyle w:val="NumberLevel2"/>
        <w:numPr>
          <w:ilvl w:val="1"/>
          <w:numId w:val="17"/>
        </w:numPr>
        <w:ind w:left="1134"/>
      </w:pPr>
      <w:r w:rsidRPr="00D869C6">
        <w:t>There ha</w:t>
      </w:r>
      <w:r>
        <w:t>s</w:t>
      </w:r>
      <w:r w:rsidRPr="00D869C6">
        <w:t xml:space="preserve"> been no new information provided to the APVMA or identified by the APVMA regarding any conditions to which label approvals are subject (s 5D(2)(a)</w:t>
      </w:r>
      <w:r>
        <w:t xml:space="preserve"> of the Agvet Code</w:t>
      </w:r>
      <w:r w:rsidRPr="00D869C6">
        <w:t>) and any relevant particulars and instructions that are entered in the relevant APVMA file for the labels (s 5D(1)(b)</w:t>
      </w:r>
      <w:r>
        <w:t xml:space="preserve"> of the Agvet Code</w:t>
      </w:r>
      <w:r w:rsidRPr="00D869C6">
        <w:t xml:space="preserve">) since the approval of the labels listed in Attachment A of this notice, </w:t>
      </w:r>
      <w:r w:rsidRPr="00D035F8">
        <w:rPr>
          <w:b/>
          <w:bCs/>
        </w:rPr>
        <w:t>with the exception of</w:t>
      </w:r>
      <w:r w:rsidRPr="00D869C6">
        <w:t xml:space="preserve"> the instructions that are to be contained on the label (s 21(c)(iv)</w:t>
      </w:r>
      <w:r>
        <w:t xml:space="preserve"> of the Agvet Code</w:t>
      </w:r>
      <w:r w:rsidRPr="00D869C6">
        <w:t>), the name of the chemical product that is to appear on a label for containers of the chemical product (r</w:t>
      </w:r>
      <w:r>
        <w:t>egulation</w:t>
      </w:r>
      <w:r w:rsidRPr="00D869C6">
        <w:t xml:space="preserve"> 17(1)(b) of the Agvet Regulations) and the net contents of the </w:t>
      </w:r>
      <w:r w:rsidRPr="00D869C6">
        <w:rPr>
          <w:color w:val="000000" w:themeColor="text1"/>
        </w:rPr>
        <w:t>product (r</w:t>
      </w:r>
      <w:r>
        <w:rPr>
          <w:color w:val="000000" w:themeColor="text1"/>
        </w:rPr>
        <w:t>egulation</w:t>
      </w:r>
      <w:r w:rsidRPr="00D869C6">
        <w:rPr>
          <w:color w:val="000000" w:themeColor="text1"/>
        </w:rPr>
        <w:t xml:space="preserve"> 17(1)(h) </w:t>
      </w:r>
      <w:r w:rsidRPr="00D869C6">
        <w:t>of the Agvet Regulations</w:t>
      </w:r>
      <w:r w:rsidRPr="00D869C6">
        <w:rPr>
          <w:color w:val="000000" w:themeColor="text1"/>
        </w:rPr>
        <w:t xml:space="preserve">). </w:t>
      </w:r>
      <w:r w:rsidRPr="00D869C6">
        <w:t xml:space="preserve">Therefore, I consider that there is nothing that would prevent me from being satisfied that a label listed in Attachment A of this notice meets the labelling criteria in relation to </w:t>
      </w:r>
      <w:r>
        <w:t>the following</w:t>
      </w:r>
      <w:r w:rsidRPr="00D869C6">
        <w:t xml:space="preserve"> matters</w:t>
      </w:r>
      <w:r>
        <w:t>:</w:t>
      </w:r>
      <w:r w:rsidRPr="00D869C6">
        <w:t xml:space="preserve"> </w:t>
      </w:r>
    </w:p>
    <w:p w14:paraId="27438E3F" w14:textId="77777777" w:rsidR="008E67EA" w:rsidRPr="00D869C6" w:rsidRDefault="008E67EA">
      <w:pPr>
        <w:pStyle w:val="NumberLevel3"/>
        <w:numPr>
          <w:ilvl w:val="2"/>
          <w:numId w:val="17"/>
        </w:numPr>
      </w:pPr>
      <w:r>
        <w:t>T</w:t>
      </w:r>
      <w:r w:rsidRPr="00D869C6">
        <w:t xml:space="preserve">he name of the person who applied for the approval as the holder of the approval (s 21(c)(i)); the name of any nominated agent for the approval (s 21(c)(ii)); the distinguishing number (s 21(c)(iii)); any other particulars prescribed by the regulations (s 21(c)(iva)); and any conditions of the approval imposed by the APVMA (s 21(c)(v)). </w:t>
      </w:r>
    </w:p>
    <w:p w14:paraId="65B4CC45" w14:textId="77777777" w:rsidR="008E67EA" w:rsidRPr="00D869C6" w:rsidRDefault="008E67EA">
      <w:pPr>
        <w:pStyle w:val="NumberLevel3"/>
        <w:numPr>
          <w:ilvl w:val="2"/>
          <w:numId w:val="17"/>
        </w:numPr>
      </w:pPr>
      <w:r w:rsidRPr="00D869C6">
        <w:t>In relation to particulars to be contained on the label ((s 21(c)(iv)), the appropriate signal words required by the current Poisons Standard (r</w:t>
      </w:r>
      <w:r>
        <w:t>egulation</w:t>
      </w:r>
      <w:r w:rsidRPr="00D869C6">
        <w:t xml:space="preserve"> 17(1)(a) of the Agvet Regulations); the name of each active constituent of the product (r</w:t>
      </w:r>
      <w:r>
        <w:t>egulation</w:t>
      </w:r>
      <w:r w:rsidRPr="00D869C6">
        <w:t xml:space="preserve"> 17(1)(c) of the Agvet Regulations); the proportion of each active constituent of the product (r</w:t>
      </w:r>
      <w:r>
        <w:t>egulation</w:t>
      </w:r>
      <w:r w:rsidRPr="00D869C6">
        <w:t xml:space="preserve"> 17(1)(d) of the Agvet Regulations); the name and proportion of each constituent for the product that is not an active constituent and classified as a poison in the current Poisons Standard (r</w:t>
      </w:r>
      <w:r>
        <w:t>egulations</w:t>
      </w:r>
      <w:r w:rsidRPr="00D869C6">
        <w:t xml:space="preserve"> 17(1)(e) and (f) of the Agvet Regulations); and any particulars determined by the APVMA CEO under subregulation 17(2) of the Agvet Regulations (r</w:t>
      </w:r>
      <w:r>
        <w:t>egulation</w:t>
      </w:r>
      <w:r w:rsidRPr="00D869C6">
        <w:t xml:space="preserve"> 17(1)(j) of the Agvet Regulations).</w:t>
      </w:r>
    </w:p>
    <w:p w14:paraId="640D548C" w14:textId="3F758F3B" w:rsidR="008E67EA" w:rsidRPr="00D869C6" w:rsidRDefault="008E67EA">
      <w:pPr>
        <w:pStyle w:val="NumberLevel2"/>
        <w:numPr>
          <w:ilvl w:val="1"/>
          <w:numId w:val="17"/>
        </w:numPr>
        <w:ind w:left="1134"/>
      </w:pPr>
      <w:r w:rsidRPr="00D869C6">
        <w:lastRenderedPageBreak/>
        <w:t xml:space="preserve">My considerations of the instructions that are to be contained on the label (s 21(c)(iv)), </w:t>
      </w:r>
      <w:r w:rsidRPr="00D869C6">
        <w:rPr>
          <w:color w:val="000000" w:themeColor="text1"/>
        </w:rPr>
        <w:t xml:space="preserve">the </w:t>
      </w:r>
      <w:r w:rsidRPr="00D869C6">
        <w:t>name of the chemical product that is to appear on a label for containers of the chemical product (r</w:t>
      </w:r>
      <w:r>
        <w:t>egulation</w:t>
      </w:r>
      <w:r w:rsidRPr="00D869C6">
        <w:t xml:space="preserve"> 17(1)(b) of the Agvet Regulations) and the net contents of the </w:t>
      </w:r>
      <w:r w:rsidRPr="00D869C6">
        <w:rPr>
          <w:color w:val="000000" w:themeColor="text1"/>
        </w:rPr>
        <w:t>product (r</w:t>
      </w:r>
      <w:r>
        <w:rPr>
          <w:color w:val="000000" w:themeColor="text1"/>
        </w:rPr>
        <w:t>egulation</w:t>
      </w:r>
      <w:r w:rsidRPr="00D869C6">
        <w:rPr>
          <w:color w:val="000000" w:themeColor="text1"/>
        </w:rPr>
        <w:t xml:space="preserve"> 17(1)(h) </w:t>
      </w:r>
      <w:r w:rsidRPr="00D869C6">
        <w:t>of the Agvet Regulations</w:t>
      </w:r>
      <w:r w:rsidRPr="00D869C6">
        <w:rPr>
          <w:color w:val="000000" w:themeColor="text1"/>
        </w:rPr>
        <w:t xml:space="preserve">) and </w:t>
      </w:r>
      <w:r w:rsidRPr="00D869C6">
        <w:t xml:space="preserve">are set out below, respectively, in the </w:t>
      </w:r>
      <w:r w:rsidRPr="00D869C6">
        <w:rPr>
          <w:i/>
          <w:iCs/>
        </w:rPr>
        <w:t>‘</w:t>
      </w:r>
      <w:r w:rsidRPr="00C67EE5">
        <w:rPr>
          <w:i/>
          <w:iCs/>
        </w:rPr>
        <w:t>Instructions that are to be contained on the label (section 21(c)(iv) of the Agvet Code)</w:t>
      </w:r>
      <w:r>
        <w:rPr>
          <w:i/>
          <w:iCs/>
        </w:rPr>
        <w:t xml:space="preserve">’ </w:t>
      </w:r>
      <w:r w:rsidRPr="002D28DB">
        <w:t xml:space="preserve">(paragraphs </w:t>
      </w:r>
      <w:r w:rsidRPr="002D28DB">
        <w:fldChar w:fldCharType="begin"/>
      </w:r>
      <w:r w:rsidRPr="002D28DB">
        <w:instrText xml:space="preserve"> REF _Ref213440751 \w \h </w:instrText>
      </w:r>
      <w:r>
        <w:instrText xml:space="preserve"> \* MERGEFORMAT </w:instrText>
      </w:r>
      <w:r w:rsidRPr="002D28DB">
        <w:fldChar w:fldCharType="separate"/>
      </w:r>
      <w:r w:rsidR="002C0C2A">
        <w:t>132</w:t>
      </w:r>
      <w:r w:rsidRPr="002D28DB">
        <w:fldChar w:fldCharType="end"/>
      </w:r>
      <w:r w:rsidRPr="002D28DB">
        <w:t xml:space="preserve"> – </w:t>
      </w:r>
      <w:r w:rsidRPr="002D28DB">
        <w:fldChar w:fldCharType="begin"/>
      </w:r>
      <w:r w:rsidRPr="002D28DB">
        <w:instrText xml:space="preserve"> REF _Ref213440734 \w \h </w:instrText>
      </w:r>
      <w:r>
        <w:instrText xml:space="preserve"> \* MERGEFORMAT </w:instrText>
      </w:r>
      <w:r w:rsidRPr="002D28DB">
        <w:fldChar w:fldCharType="separate"/>
      </w:r>
      <w:r w:rsidR="002C0C2A">
        <w:t>151</w:t>
      </w:r>
      <w:r w:rsidRPr="002D28DB">
        <w:fldChar w:fldCharType="end"/>
      </w:r>
      <w:r w:rsidRPr="002D28DB">
        <w:t xml:space="preserve">), </w:t>
      </w:r>
      <w:r w:rsidRPr="002D28DB">
        <w:rPr>
          <w:i/>
          <w:iCs/>
        </w:rPr>
        <w:t>‘</w:t>
      </w:r>
      <w:r w:rsidRPr="00C67EE5">
        <w:rPr>
          <w:i/>
          <w:iCs/>
        </w:rPr>
        <w:t>Name of the chemical product that is to appear on a label for containers of the chemical product (regulation 17(1)(b) of the Agvet Regulations)</w:t>
      </w:r>
      <w:r w:rsidRPr="002D28DB">
        <w:rPr>
          <w:i/>
          <w:iCs/>
        </w:rPr>
        <w:t>’</w:t>
      </w:r>
      <w:r w:rsidRPr="002D28DB">
        <w:t xml:space="preserve"> (paragraphs </w:t>
      </w:r>
      <w:r w:rsidRPr="002D28DB">
        <w:fldChar w:fldCharType="begin"/>
      </w:r>
      <w:r w:rsidRPr="002D28DB">
        <w:instrText xml:space="preserve"> REF _Ref213440792 \w \h </w:instrText>
      </w:r>
      <w:r>
        <w:instrText xml:space="preserve"> \* MERGEFORMAT </w:instrText>
      </w:r>
      <w:r w:rsidRPr="002D28DB">
        <w:fldChar w:fldCharType="separate"/>
      </w:r>
      <w:r w:rsidR="002C0C2A">
        <w:t>152</w:t>
      </w:r>
      <w:r w:rsidRPr="002D28DB">
        <w:fldChar w:fldCharType="end"/>
      </w:r>
      <w:r w:rsidRPr="002D28DB">
        <w:t xml:space="preserve"> – </w:t>
      </w:r>
      <w:r w:rsidRPr="002D28DB">
        <w:fldChar w:fldCharType="begin"/>
      </w:r>
      <w:r w:rsidRPr="002D28DB">
        <w:instrText xml:space="preserve"> REF _Ref213440805 \w \h </w:instrText>
      </w:r>
      <w:r>
        <w:instrText xml:space="preserve"> \* MERGEFORMAT </w:instrText>
      </w:r>
      <w:r w:rsidRPr="002D28DB">
        <w:fldChar w:fldCharType="separate"/>
      </w:r>
      <w:r w:rsidR="002C0C2A">
        <w:t>154</w:t>
      </w:r>
      <w:r w:rsidRPr="002D28DB">
        <w:fldChar w:fldCharType="end"/>
      </w:r>
      <w:r w:rsidRPr="002D28DB">
        <w:t xml:space="preserve">) and </w:t>
      </w:r>
      <w:r w:rsidRPr="002D28DB">
        <w:rPr>
          <w:i/>
          <w:iCs/>
        </w:rPr>
        <w:t>‘</w:t>
      </w:r>
      <w:r w:rsidRPr="00C67EE5">
        <w:rPr>
          <w:i/>
          <w:iCs/>
        </w:rPr>
        <w:t>net contents of the product (regulation 17(1)(h) of the Agvet Regulations)</w:t>
      </w:r>
      <w:r w:rsidRPr="002D28DB">
        <w:rPr>
          <w:i/>
          <w:iCs/>
        </w:rPr>
        <w:t>’</w:t>
      </w:r>
      <w:r w:rsidRPr="002D28DB">
        <w:t xml:space="preserve"> (paragraphs </w:t>
      </w:r>
      <w:r w:rsidRPr="002D28DB">
        <w:fldChar w:fldCharType="begin"/>
      </w:r>
      <w:r w:rsidRPr="002D28DB">
        <w:instrText xml:space="preserve"> REF _Ref213440825 \w \h </w:instrText>
      </w:r>
      <w:r>
        <w:instrText xml:space="preserve"> \* MERGEFORMAT </w:instrText>
      </w:r>
      <w:r w:rsidRPr="002D28DB">
        <w:fldChar w:fldCharType="separate"/>
      </w:r>
      <w:r w:rsidR="002C0C2A">
        <w:t>155</w:t>
      </w:r>
      <w:r w:rsidRPr="002D28DB">
        <w:fldChar w:fldCharType="end"/>
      </w:r>
      <w:r w:rsidRPr="002D28DB">
        <w:t xml:space="preserve"> – </w:t>
      </w:r>
      <w:r w:rsidRPr="002D28DB">
        <w:fldChar w:fldCharType="begin"/>
      </w:r>
      <w:r w:rsidRPr="002D28DB">
        <w:instrText xml:space="preserve"> REF _Ref213440831 \w \h </w:instrText>
      </w:r>
      <w:r>
        <w:instrText xml:space="preserve"> \* MERGEFORMAT </w:instrText>
      </w:r>
      <w:r w:rsidRPr="002D28DB">
        <w:fldChar w:fldCharType="separate"/>
      </w:r>
      <w:r w:rsidR="002C0C2A">
        <w:t>156</w:t>
      </w:r>
      <w:r w:rsidRPr="002D28DB">
        <w:fldChar w:fldCharType="end"/>
      </w:r>
      <w:r w:rsidRPr="002D28DB">
        <w:t>) sections of these reasons.</w:t>
      </w:r>
    </w:p>
    <w:p w14:paraId="6E7164C2" w14:textId="682A82CD" w:rsidR="008E67EA" w:rsidRPr="009B7463" w:rsidRDefault="008E67EA">
      <w:pPr>
        <w:pStyle w:val="NumberLevel2"/>
        <w:numPr>
          <w:ilvl w:val="1"/>
          <w:numId w:val="17"/>
        </w:numPr>
        <w:ind w:left="1134"/>
      </w:pPr>
      <w:r w:rsidRPr="00D869C6">
        <w:t>There is no standard for the labels of anticoagulant rodenticides chemical products made under section 6E of the Agvet Code (s 5D(1)(c)). Further, there are no matters prescribed by the regulations for the purp</w:t>
      </w:r>
      <w:r w:rsidRPr="009B7463">
        <w:t xml:space="preserve">oses of </w:t>
      </w:r>
      <w:r>
        <w:t xml:space="preserve">section </w:t>
      </w:r>
      <w:r w:rsidRPr="009B7463">
        <w:t>5D(2)(d) of the Agvet Code.</w:t>
      </w:r>
    </w:p>
    <w:p w14:paraId="0F3367E2" w14:textId="77777777" w:rsidR="008E67EA" w:rsidRPr="005418B2" w:rsidRDefault="008E67EA" w:rsidP="008E67EA">
      <w:pPr>
        <w:pStyle w:val="StatementofReasonsHeading3"/>
      </w:pPr>
      <w:bookmarkStart w:id="294" w:name="_Toc216090760"/>
      <w:r>
        <w:t>I</w:t>
      </w:r>
      <w:r w:rsidRPr="00C67EE5">
        <w:t xml:space="preserve">nstructions that are to be contained on the label </w:t>
      </w:r>
      <w:r>
        <w:t>(</w:t>
      </w:r>
      <w:r w:rsidRPr="00D869C6">
        <w:t>s</w:t>
      </w:r>
      <w:r>
        <w:t>ection</w:t>
      </w:r>
      <w:r w:rsidRPr="00D869C6">
        <w:t xml:space="preserve"> 21(c)(iv)</w:t>
      </w:r>
      <w:r>
        <w:t xml:space="preserve"> of the Agvet Code)</w:t>
      </w:r>
      <w:bookmarkEnd w:id="294"/>
    </w:p>
    <w:p w14:paraId="4224F0E4" w14:textId="77777777" w:rsidR="008E67EA" w:rsidRPr="005A536A" w:rsidRDefault="008E67EA">
      <w:pPr>
        <w:pStyle w:val="NumberLevel1"/>
        <w:numPr>
          <w:ilvl w:val="0"/>
          <w:numId w:val="17"/>
        </w:numPr>
        <w:tabs>
          <w:tab w:val="clear" w:pos="709"/>
          <w:tab w:val="num" w:pos="2553"/>
        </w:tabs>
        <w:rPr>
          <w:color w:val="000000" w:themeColor="text1"/>
        </w:rPr>
      </w:pPr>
      <w:bookmarkStart w:id="295" w:name="_Ref213440751"/>
      <w:r w:rsidRPr="005A536A">
        <w:rPr>
          <w:color w:val="000000" w:themeColor="text1"/>
        </w:rPr>
        <w:t>I consider that instructions relating to the withholding period after the use of the product (section 5D(1)(e) of the Agvet Code) are not appropriate for a label listed in Attachment A of this notice based on the use patterns of these anticoagulant rodenticide chemical products, noting that they are not registered for use in food producing animals or crops, or crops that would be fed to an animal. I consider that instructions relating to all other matters set out in section 5D(1) of the Agvet Code are relevant to the labels of anticoagulant rodenticide products listed in Attachment A of this notice.</w:t>
      </w:r>
      <w:bookmarkEnd w:id="295"/>
    </w:p>
    <w:p w14:paraId="1E3A1F9D" w14:textId="6ADF5432" w:rsidR="008E67EA" w:rsidRPr="008B3492" w:rsidRDefault="008E67EA">
      <w:pPr>
        <w:pStyle w:val="NumberLevel1"/>
        <w:numPr>
          <w:ilvl w:val="0"/>
          <w:numId w:val="17"/>
        </w:numPr>
        <w:tabs>
          <w:tab w:val="clear" w:pos="709"/>
          <w:tab w:val="num" w:pos="2553"/>
        </w:tabs>
      </w:pPr>
      <w:r>
        <w:t xml:space="preserve">As set out above in the </w:t>
      </w:r>
      <w:r w:rsidRPr="005153FD">
        <w:rPr>
          <w:i/>
          <w:iCs/>
        </w:rPr>
        <w:t>‘</w:t>
      </w:r>
      <w:r w:rsidRPr="00C35029">
        <w:rPr>
          <w:i/>
          <w:iCs/>
        </w:rPr>
        <w:t>Consideration of the safety criteria’</w:t>
      </w:r>
      <w:r w:rsidRPr="00C35029">
        <w:t xml:space="preserve"> (paragraphs </w:t>
      </w:r>
      <w:r w:rsidRPr="00C35029">
        <w:fldChar w:fldCharType="begin"/>
      </w:r>
      <w:r w:rsidRPr="00C35029">
        <w:instrText xml:space="preserve"> REF _Ref213359886 \r \h  \* MERGEFORMAT </w:instrText>
      </w:r>
      <w:r w:rsidRPr="00C35029">
        <w:fldChar w:fldCharType="separate"/>
      </w:r>
      <w:r w:rsidR="002C0C2A">
        <w:t>37</w:t>
      </w:r>
      <w:r w:rsidRPr="00C35029">
        <w:fldChar w:fldCharType="end"/>
      </w:r>
      <w:r w:rsidRPr="00C35029">
        <w:t xml:space="preserve"> – </w:t>
      </w:r>
      <w:r w:rsidRPr="00C35029">
        <w:fldChar w:fldCharType="begin"/>
      </w:r>
      <w:r w:rsidRPr="00C35029">
        <w:instrText xml:space="preserve"> REF _Ref213593648 \w \h </w:instrText>
      </w:r>
      <w:r>
        <w:instrText xml:space="preserve"> \* MERGEFORMAT </w:instrText>
      </w:r>
      <w:r w:rsidRPr="00C35029">
        <w:fldChar w:fldCharType="separate"/>
      </w:r>
      <w:r w:rsidR="002C0C2A">
        <w:t>129</w:t>
      </w:r>
      <w:r w:rsidRPr="00C35029">
        <w:fldChar w:fldCharType="end"/>
      </w:r>
      <w:r w:rsidRPr="00C35029">
        <w:t xml:space="preserve">) section of these reasons, </w:t>
      </w:r>
      <w:r w:rsidRPr="009872B9">
        <w:t>I am not satisfied</w:t>
      </w:r>
      <w:r w:rsidRPr="004661E9">
        <w:t xml:space="preserve"> </w:t>
      </w:r>
      <w:r w:rsidRPr="00C35029">
        <w:t>that the chemical products listed in Attachment A meet the safety criteria, and have proposed a number of variations to the instructions for use of the chemical products</w:t>
      </w:r>
      <w:r>
        <w:t xml:space="preserve"> (in addition to other relevant particulars and conditions) so that I am satisfied that the chemical products as varied will meet the safety criteria. Similarly, based on these considerations, </w:t>
      </w:r>
      <w:r w:rsidRPr="009872B9">
        <w:t>I am not satisfied</w:t>
      </w:r>
      <w:r>
        <w:t xml:space="preserve"> that the associated labels contain adequate instructions</w:t>
      </w:r>
      <w:r w:rsidRPr="003F203C">
        <w:t xml:space="preserve"> </w:t>
      </w:r>
      <w:r>
        <w:t>related to the following</w:t>
      </w:r>
      <w:r w:rsidRPr="00E94141">
        <w:t xml:space="preserve"> matters to ensure, as far as reasonably practicable, that the product meets the safety criteria</w:t>
      </w:r>
      <w:r>
        <w:t xml:space="preserve">. The proposed variations to these </w:t>
      </w:r>
      <w:r w:rsidRPr="008B3492">
        <w:t>instructions are set out in the following respective sections of these reasons</w:t>
      </w:r>
      <w:r>
        <w:t>:</w:t>
      </w:r>
    </w:p>
    <w:p w14:paraId="36DB9A22" w14:textId="6B108E6E" w:rsidR="008E67EA" w:rsidRPr="008B3492" w:rsidRDefault="008E67EA">
      <w:pPr>
        <w:pStyle w:val="NumberLevel2"/>
        <w:numPr>
          <w:ilvl w:val="1"/>
          <w:numId w:val="17"/>
        </w:numPr>
        <w:ind w:left="1134"/>
        <w:rPr>
          <w:color w:val="000000" w:themeColor="text1"/>
        </w:rPr>
      </w:pPr>
      <w:r w:rsidRPr="008B3492">
        <w:rPr>
          <w:color w:val="000000" w:themeColor="text1"/>
        </w:rPr>
        <w:t xml:space="preserve">The circumstances in which the product should be used (section 5D(1)(a) of the Agvet Code) (paragraphs </w:t>
      </w:r>
      <w:r w:rsidRPr="008B3492">
        <w:rPr>
          <w:color w:val="000000" w:themeColor="text1"/>
        </w:rPr>
        <w:fldChar w:fldCharType="begin"/>
      </w:r>
      <w:r w:rsidRPr="008B3492">
        <w:rPr>
          <w:color w:val="000000" w:themeColor="text1"/>
        </w:rPr>
        <w:instrText xml:space="preserve"> REF _Ref213520730 \w \h </w:instrText>
      </w:r>
      <w:r>
        <w:rPr>
          <w:color w:val="000000" w:themeColor="text1"/>
        </w:rPr>
        <w:instrText xml:space="preserve"> \* MERGEFORMAT </w:instrText>
      </w:r>
      <w:r w:rsidRPr="008B3492">
        <w:rPr>
          <w:color w:val="000000" w:themeColor="text1"/>
        </w:rPr>
      </w:r>
      <w:r w:rsidRPr="008B3492">
        <w:rPr>
          <w:color w:val="000000" w:themeColor="text1"/>
        </w:rPr>
        <w:fldChar w:fldCharType="separate"/>
      </w:r>
      <w:r w:rsidR="002C0C2A">
        <w:rPr>
          <w:color w:val="000000" w:themeColor="text1"/>
        </w:rPr>
        <w:t>136</w:t>
      </w:r>
      <w:r w:rsidRPr="008B3492">
        <w:rPr>
          <w:color w:val="000000" w:themeColor="text1"/>
        </w:rPr>
        <w:fldChar w:fldCharType="end"/>
      </w:r>
      <w:r w:rsidRPr="008B3492">
        <w:rPr>
          <w:color w:val="000000" w:themeColor="text1"/>
        </w:rPr>
        <w:t xml:space="preserve"> – </w:t>
      </w:r>
      <w:r w:rsidRPr="008B3492">
        <w:rPr>
          <w:color w:val="000000" w:themeColor="text1"/>
        </w:rPr>
        <w:fldChar w:fldCharType="begin"/>
      </w:r>
      <w:r w:rsidRPr="008B3492">
        <w:rPr>
          <w:color w:val="000000" w:themeColor="text1"/>
        </w:rPr>
        <w:instrText xml:space="preserve"> REF _Ref213580089 \w \h </w:instrText>
      </w:r>
      <w:r>
        <w:rPr>
          <w:color w:val="000000" w:themeColor="text1"/>
        </w:rPr>
        <w:instrText xml:space="preserve"> \* MERGEFORMAT </w:instrText>
      </w:r>
      <w:r w:rsidRPr="008B3492">
        <w:rPr>
          <w:color w:val="000000" w:themeColor="text1"/>
        </w:rPr>
      </w:r>
      <w:r w:rsidRPr="008B3492">
        <w:rPr>
          <w:color w:val="000000" w:themeColor="text1"/>
        </w:rPr>
        <w:fldChar w:fldCharType="separate"/>
      </w:r>
      <w:r w:rsidR="002C0C2A">
        <w:rPr>
          <w:color w:val="000000" w:themeColor="text1"/>
        </w:rPr>
        <w:t>138</w:t>
      </w:r>
      <w:r w:rsidRPr="008B3492">
        <w:rPr>
          <w:color w:val="000000" w:themeColor="text1"/>
        </w:rPr>
        <w:fldChar w:fldCharType="end"/>
      </w:r>
      <w:r w:rsidRPr="008B3492">
        <w:rPr>
          <w:color w:val="000000" w:themeColor="text1"/>
        </w:rPr>
        <w:t xml:space="preserve"> of these reasons).</w:t>
      </w:r>
    </w:p>
    <w:p w14:paraId="21B4EADD" w14:textId="3B1C2799" w:rsidR="008E67EA" w:rsidRPr="008B3492" w:rsidRDefault="008E67EA">
      <w:pPr>
        <w:pStyle w:val="NumberLevel2"/>
        <w:numPr>
          <w:ilvl w:val="1"/>
          <w:numId w:val="17"/>
        </w:numPr>
        <w:ind w:left="1134"/>
        <w:rPr>
          <w:color w:val="000000" w:themeColor="text1"/>
        </w:rPr>
      </w:pPr>
      <w:r w:rsidRPr="008B3492">
        <w:rPr>
          <w:color w:val="000000" w:themeColor="text1"/>
        </w:rPr>
        <w:t xml:space="preserve">How the product should be used (section 5D(1)(b) of the Agvet Code) (paragraphs </w:t>
      </w:r>
      <w:r w:rsidRPr="008B3492">
        <w:rPr>
          <w:color w:val="000000" w:themeColor="text1"/>
        </w:rPr>
        <w:fldChar w:fldCharType="begin"/>
      </w:r>
      <w:r w:rsidRPr="008B3492">
        <w:rPr>
          <w:color w:val="000000" w:themeColor="text1"/>
        </w:rPr>
        <w:instrText xml:space="preserve"> REF _Ref213588111 \w \h </w:instrText>
      </w:r>
      <w:r>
        <w:rPr>
          <w:color w:val="000000" w:themeColor="text1"/>
        </w:rPr>
        <w:instrText xml:space="preserve"> \* MERGEFORMAT </w:instrText>
      </w:r>
      <w:r w:rsidRPr="008B3492">
        <w:rPr>
          <w:color w:val="000000" w:themeColor="text1"/>
        </w:rPr>
      </w:r>
      <w:r w:rsidRPr="008B3492">
        <w:rPr>
          <w:color w:val="000000" w:themeColor="text1"/>
        </w:rPr>
        <w:fldChar w:fldCharType="separate"/>
      </w:r>
      <w:r w:rsidR="002C0C2A">
        <w:rPr>
          <w:color w:val="000000" w:themeColor="text1"/>
        </w:rPr>
        <w:t>139</w:t>
      </w:r>
      <w:r w:rsidRPr="008B3492">
        <w:rPr>
          <w:color w:val="000000" w:themeColor="text1"/>
        </w:rPr>
        <w:fldChar w:fldCharType="end"/>
      </w:r>
      <w:r w:rsidRPr="008B3492">
        <w:rPr>
          <w:color w:val="000000" w:themeColor="text1"/>
        </w:rPr>
        <w:t xml:space="preserve"> – </w:t>
      </w:r>
      <w:r w:rsidRPr="008B3492">
        <w:rPr>
          <w:color w:val="000000" w:themeColor="text1"/>
        </w:rPr>
        <w:fldChar w:fldCharType="begin"/>
      </w:r>
      <w:r w:rsidRPr="008B3492">
        <w:rPr>
          <w:color w:val="000000" w:themeColor="text1"/>
        </w:rPr>
        <w:instrText xml:space="preserve"> REF _Ref213593708 \w \h </w:instrText>
      </w:r>
      <w:r>
        <w:rPr>
          <w:color w:val="000000" w:themeColor="text1"/>
        </w:rPr>
        <w:instrText xml:space="preserve"> \* MERGEFORMAT </w:instrText>
      </w:r>
      <w:r w:rsidRPr="008B3492">
        <w:rPr>
          <w:color w:val="000000" w:themeColor="text1"/>
        </w:rPr>
      </w:r>
      <w:r w:rsidRPr="008B3492">
        <w:rPr>
          <w:color w:val="000000" w:themeColor="text1"/>
        </w:rPr>
        <w:fldChar w:fldCharType="separate"/>
      </w:r>
      <w:r w:rsidR="002C0C2A">
        <w:rPr>
          <w:color w:val="000000" w:themeColor="text1"/>
        </w:rPr>
        <w:t>143</w:t>
      </w:r>
      <w:r w:rsidRPr="008B3492">
        <w:rPr>
          <w:color w:val="000000" w:themeColor="text1"/>
        </w:rPr>
        <w:fldChar w:fldCharType="end"/>
      </w:r>
      <w:r w:rsidRPr="008B3492">
        <w:rPr>
          <w:color w:val="000000" w:themeColor="text1"/>
        </w:rPr>
        <w:t xml:space="preserve"> of these reasons).</w:t>
      </w:r>
    </w:p>
    <w:p w14:paraId="34A2D1F7" w14:textId="5BD4906B" w:rsidR="008E67EA" w:rsidRPr="008B3492" w:rsidRDefault="008E67EA">
      <w:pPr>
        <w:pStyle w:val="NumberLevel2"/>
        <w:numPr>
          <w:ilvl w:val="1"/>
          <w:numId w:val="17"/>
        </w:numPr>
        <w:ind w:left="1134"/>
      </w:pPr>
      <w:r w:rsidRPr="008B3492">
        <w:t xml:space="preserve">The frequency of the use of the product (section 5D(1)(c) of the Agvet Code) </w:t>
      </w:r>
      <w:r w:rsidRPr="008B3492">
        <w:rPr>
          <w:color w:val="000000" w:themeColor="text1"/>
        </w:rPr>
        <w:t xml:space="preserve">(paragraphs </w:t>
      </w:r>
      <w:r w:rsidRPr="008B3492">
        <w:rPr>
          <w:color w:val="000000" w:themeColor="text1"/>
        </w:rPr>
        <w:fldChar w:fldCharType="begin"/>
      </w:r>
      <w:r w:rsidRPr="008B3492">
        <w:rPr>
          <w:color w:val="000000" w:themeColor="text1"/>
        </w:rPr>
        <w:instrText xml:space="preserve"> REF _Ref213420088 \w \h </w:instrText>
      </w:r>
      <w:r>
        <w:rPr>
          <w:color w:val="000000" w:themeColor="text1"/>
        </w:rPr>
        <w:instrText xml:space="preserve"> \* MERGEFORMAT </w:instrText>
      </w:r>
      <w:r w:rsidRPr="008B3492">
        <w:rPr>
          <w:color w:val="000000" w:themeColor="text1"/>
        </w:rPr>
      </w:r>
      <w:r w:rsidRPr="008B3492">
        <w:rPr>
          <w:color w:val="000000" w:themeColor="text1"/>
        </w:rPr>
        <w:fldChar w:fldCharType="separate"/>
      </w:r>
      <w:r w:rsidR="002C0C2A">
        <w:rPr>
          <w:color w:val="000000" w:themeColor="text1"/>
        </w:rPr>
        <w:t>144</w:t>
      </w:r>
      <w:r w:rsidRPr="008B3492">
        <w:rPr>
          <w:color w:val="000000" w:themeColor="text1"/>
        </w:rPr>
        <w:fldChar w:fldCharType="end"/>
      </w:r>
      <w:r w:rsidRPr="008B3492">
        <w:rPr>
          <w:color w:val="000000" w:themeColor="text1"/>
        </w:rPr>
        <w:t xml:space="preserve"> – </w:t>
      </w:r>
      <w:r w:rsidRPr="008B3492">
        <w:rPr>
          <w:color w:val="000000" w:themeColor="text1"/>
        </w:rPr>
        <w:fldChar w:fldCharType="begin"/>
      </w:r>
      <w:r w:rsidRPr="008B3492">
        <w:rPr>
          <w:color w:val="000000" w:themeColor="text1"/>
        </w:rPr>
        <w:instrText xml:space="preserve"> REF _Ref213441015 \w \h </w:instrText>
      </w:r>
      <w:r>
        <w:rPr>
          <w:color w:val="000000" w:themeColor="text1"/>
        </w:rPr>
        <w:instrText xml:space="preserve"> \* MERGEFORMAT </w:instrText>
      </w:r>
      <w:r w:rsidRPr="008B3492">
        <w:rPr>
          <w:color w:val="000000" w:themeColor="text1"/>
        </w:rPr>
      </w:r>
      <w:r w:rsidRPr="008B3492">
        <w:rPr>
          <w:color w:val="000000" w:themeColor="text1"/>
        </w:rPr>
        <w:fldChar w:fldCharType="separate"/>
      </w:r>
      <w:r w:rsidR="002C0C2A">
        <w:rPr>
          <w:color w:val="000000" w:themeColor="text1"/>
        </w:rPr>
        <w:t>145</w:t>
      </w:r>
      <w:r w:rsidRPr="008B3492">
        <w:rPr>
          <w:color w:val="000000" w:themeColor="text1"/>
        </w:rPr>
        <w:fldChar w:fldCharType="end"/>
      </w:r>
      <w:r w:rsidRPr="008B3492">
        <w:rPr>
          <w:color w:val="000000" w:themeColor="text1"/>
        </w:rPr>
        <w:t xml:space="preserve"> of these reasons)</w:t>
      </w:r>
      <w:r w:rsidRPr="008B3492">
        <w:t>.</w:t>
      </w:r>
    </w:p>
    <w:p w14:paraId="655DB49D" w14:textId="1555995F" w:rsidR="008E67EA" w:rsidRPr="004B77E0" w:rsidRDefault="008E67EA">
      <w:pPr>
        <w:pStyle w:val="NumberLevel2"/>
        <w:numPr>
          <w:ilvl w:val="1"/>
          <w:numId w:val="17"/>
        </w:numPr>
        <w:ind w:left="1134"/>
      </w:pPr>
      <w:r>
        <w:t>T</w:t>
      </w:r>
      <w:r w:rsidRPr="004B77E0">
        <w:t>he disposal of the product when it is no longer required</w:t>
      </w:r>
      <w:r>
        <w:t xml:space="preserve"> and</w:t>
      </w:r>
      <w:r w:rsidRPr="004B77E0">
        <w:t xml:space="preserve"> containers of the product</w:t>
      </w:r>
      <w:r>
        <w:t xml:space="preserve"> (sections 5D(1)(g) and (h) of the Agvet Code</w:t>
      </w:r>
      <w:r w:rsidRPr="008B3492">
        <w:t xml:space="preserve">) </w:t>
      </w:r>
      <w:r w:rsidRPr="008B3492">
        <w:rPr>
          <w:color w:val="000000" w:themeColor="text1"/>
        </w:rPr>
        <w:t xml:space="preserve">(paragraphs </w:t>
      </w:r>
      <w:r w:rsidRPr="008B3492">
        <w:rPr>
          <w:color w:val="000000" w:themeColor="text1"/>
        </w:rPr>
        <w:fldChar w:fldCharType="begin"/>
      </w:r>
      <w:r w:rsidRPr="008B3492">
        <w:rPr>
          <w:color w:val="000000" w:themeColor="text1"/>
        </w:rPr>
        <w:instrText xml:space="preserve"> REF _Ref213434407 \w \h </w:instrText>
      </w:r>
      <w:r>
        <w:rPr>
          <w:color w:val="000000" w:themeColor="text1"/>
        </w:rPr>
        <w:instrText xml:space="preserve"> \* MERGEFORMAT </w:instrText>
      </w:r>
      <w:r w:rsidRPr="008B3492">
        <w:rPr>
          <w:color w:val="000000" w:themeColor="text1"/>
        </w:rPr>
      </w:r>
      <w:r w:rsidRPr="008B3492">
        <w:rPr>
          <w:color w:val="000000" w:themeColor="text1"/>
        </w:rPr>
        <w:fldChar w:fldCharType="separate"/>
      </w:r>
      <w:r w:rsidR="002C0C2A">
        <w:rPr>
          <w:color w:val="000000" w:themeColor="text1"/>
        </w:rPr>
        <w:t>146</w:t>
      </w:r>
      <w:r w:rsidRPr="008B3492">
        <w:rPr>
          <w:color w:val="000000" w:themeColor="text1"/>
        </w:rPr>
        <w:fldChar w:fldCharType="end"/>
      </w:r>
      <w:r w:rsidRPr="008B3492">
        <w:rPr>
          <w:color w:val="000000" w:themeColor="text1"/>
        </w:rPr>
        <w:t xml:space="preserve"> – </w:t>
      </w:r>
      <w:r w:rsidRPr="008B3492">
        <w:rPr>
          <w:color w:val="000000" w:themeColor="text1"/>
        </w:rPr>
        <w:fldChar w:fldCharType="begin"/>
      </w:r>
      <w:r w:rsidRPr="008B3492">
        <w:rPr>
          <w:color w:val="000000" w:themeColor="text1"/>
        </w:rPr>
        <w:instrText xml:space="preserve"> REF _Ref213441098 \w \h </w:instrText>
      </w:r>
      <w:r>
        <w:rPr>
          <w:color w:val="000000" w:themeColor="text1"/>
        </w:rPr>
        <w:instrText xml:space="preserve"> \* MERGEFORMAT </w:instrText>
      </w:r>
      <w:r w:rsidRPr="008B3492">
        <w:rPr>
          <w:color w:val="000000" w:themeColor="text1"/>
        </w:rPr>
      </w:r>
      <w:r w:rsidRPr="008B3492">
        <w:rPr>
          <w:color w:val="000000" w:themeColor="text1"/>
        </w:rPr>
        <w:fldChar w:fldCharType="separate"/>
      </w:r>
      <w:r w:rsidR="002C0C2A">
        <w:rPr>
          <w:color w:val="000000" w:themeColor="text1"/>
        </w:rPr>
        <w:t>148</w:t>
      </w:r>
      <w:r w:rsidRPr="008B3492">
        <w:rPr>
          <w:color w:val="000000" w:themeColor="text1"/>
        </w:rPr>
        <w:fldChar w:fldCharType="end"/>
      </w:r>
      <w:r w:rsidRPr="008B3492">
        <w:rPr>
          <w:color w:val="000000" w:themeColor="text1"/>
        </w:rPr>
        <w:t xml:space="preserve"> of these reasons)</w:t>
      </w:r>
      <w:r w:rsidRPr="008B3492">
        <w:t>.</w:t>
      </w:r>
    </w:p>
    <w:p w14:paraId="56E6DA9A" w14:textId="704F720D" w:rsidR="008E67EA" w:rsidRDefault="008E67EA">
      <w:pPr>
        <w:pStyle w:val="NumberLevel2"/>
        <w:numPr>
          <w:ilvl w:val="1"/>
          <w:numId w:val="17"/>
        </w:numPr>
        <w:ind w:left="1134"/>
      </w:pPr>
      <w:r>
        <w:t>T</w:t>
      </w:r>
      <w:r w:rsidRPr="004B77E0">
        <w:t xml:space="preserve">he safe handling of the product and first aid in </w:t>
      </w:r>
      <w:r w:rsidRPr="008B3492">
        <w:t xml:space="preserve">the event of an accident caused by the handling of the product (section 5D(1)(i) of the Agvet Code) </w:t>
      </w:r>
      <w:r w:rsidRPr="008B3492">
        <w:rPr>
          <w:color w:val="000000" w:themeColor="text1"/>
        </w:rPr>
        <w:t xml:space="preserve">(paragraphs </w:t>
      </w:r>
      <w:r w:rsidRPr="008B3492">
        <w:rPr>
          <w:color w:val="000000" w:themeColor="text1"/>
        </w:rPr>
        <w:fldChar w:fldCharType="begin"/>
      </w:r>
      <w:r w:rsidRPr="008B3492">
        <w:rPr>
          <w:color w:val="000000" w:themeColor="text1"/>
        </w:rPr>
        <w:instrText xml:space="preserve"> REF _Ref213420025 \w \h </w:instrText>
      </w:r>
      <w:r>
        <w:rPr>
          <w:color w:val="000000" w:themeColor="text1"/>
        </w:rPr>
        <w:instrText xml:space="preserve"> \* MERGEFORMAT </w:instrText>
      </w:r>
      <w:r w:rsidRPr="008B3492">
        <w:rPr>
          <w:color w:val="000000" w:themeColor="text1"/>
        </w:rPr>
      </w:r>
      <w:r w:rsidRPr="008B3492">
        <w:rPr>
          <w:color w:val="000000" w:themeColor="text1"/>
        </w:rPr>
        <w:fldChar w:fldCharType="separate"/>
      </w:r>
      <w:r w:rsidR="002C0C2A">
        <w:rPr>
          <w:color w:val="000000" w:themeColor="text1"/>
        </w:rPr>
        <w:t>149</w:t>
      </w:r>
      <w:r w:rsidRPr="008B3492">
        <w:rPr>
          <w:color w:val="000000" w:themeColor="text1"/>
        </w:rPr>
        <w:fldChar w:fldCharType="end"/>
      </w:r>
      <w:r w:rsidRPr="008B3492">
        <w:rPr>
          <w:color w:val="000000" w:themeColor="text1"/>
        </w:rPr>
        <w:t xml:space="preserve"> – </w:t>
      </w:r>
      <w:r w:rsidRPr="008B3492">
        <w:rPr>
          <w:color w:val="000000" w:themeColor="text1"/>
        </w:rPr>
        <w:fldChar w:fldCharType="begin"/>
      </w:r>
      <w:r w:rsidRPr="008B3492">
        <w:rPr>
          <w:color w:val="000000" w:themeColor="text1"/>
        </w:rPr>
        <w:instrText xml:space="preserve"> REF _Ref213440734 \w \h </w:instrText>
      </w:r>
      <w:r>
        <w:rPr>
          <w:color w:val="000000" w:themeColor="text1"/>
        </w:rPr>
        <w:instrText xml:space="preserve"> \* MERGEFORMAT </w:instrText>
      </w:r>
      <w:r w:rsidRPr="008B3492">
        <w:rPr>
          <w:color w:val="000000" w:themeColor="text1"/>
        </w:rPr>
      </w:r>
      <w:r w:rsidRPr="008B3492">
        <w:rPr>
          <w:color w:val="000000" w:themeColor="text1"/>
        </w:rPr>
        <w:fldChar w:fldCharType="separate"/>
      </w:r>
      <w:r w:rsidR="002C0C2A">
        <w:rPr>
          <w:color w:val="000000" w:themeColor="text1"/>
        </w:rPr>
        <w:t>151</w:t>
      </w:r>
      <w:r w:rsidRPr="008B3492">
        <w:rPr>
          <w:color w:val="000000" w:themeColor="text1"/>
        </w:rPr>
        <w:fldChar w:fldCharType="end"/>
      </w:r>
      <w:r w:rsidRPr="008B3492">
        <w:rPr>
          <w:color w:val="000000" w:themeColor="text1"/>
        </w:rPr>
        <w:t xml:space="preserve"> of these reasons)</w:t>
      </w:r>
      <w:r w:rsidRPr="008B3492">
        <w:t>.</w:t>
      </w:r>
    </w:p>
    <w:p w14:paraId="715D318A" w14:textId="77777777" w:rsidR="008E67EA" w:rsidRPr="00B06B30" w:rsidRDefault="008E67EA">
      <w:pPr>
        <w:pStyle w:val="NumberLevel1"/>
        <w:numPr>
          <w:ilvl w:val="0"/>
          <w:numId w:val="17"/>
        </w:numPr>
        <w:tabs>
          <w:tab w:val="clear" w:pos="709"/>
          <w:tab w:val="num" w:pos="2553"/>
        </w:tabs>
        <w:rPr>
          <w:color w:val="000000" w:themeColor="text1"/>
        </w:rPr>
      </w:pPr>
      <w:r w:rsidRPr="00B06B30">
        <w:rPr>
          <w:color w:val="000000" w:themeColor="text1"/>
        </w:rPr>
        <w:t xml:space="preserve">I </w:t>
      </w:r>
      <w:r>
        <w:rPr>
          <w:color w:val="000000" w:themeColor="text1"/>
        </w:rPr>
        <w:t>am satisfied</w:t>
      </w:r>
      <w:r w:rsidRPr="00B06B30">
        <w:rPr>
          <w:color w:val="000000" w:themeColor="text1"/>
        </w:rPr>
        <w:t xml:space="preserve"> that the current instructions on the labels listed in Attachment A of this notice relating to the times when the products should be used (section 5D(1)(</w:t>
      </w:r>
      <w:r>
        <w:rPr>
          <w:color w:val="000000" w:themeColor="text1"/>
        </w:rPr>
        <w:t>c</w:t>
      </w:r>
      <w:r w:rsidRPr="00B06B30">
        <w:rPr>
          <w:color w:val="000000" w:themeColor="text1"/>
        </w:rPr>
        <w:t>) of the Agvet Code) and the re-entry period after use of the products (section 5D(1)(</w:t>
      </w:r>
      <w:r>
        <w:rPr>
          <w:color w:val="000000" w:themeColor="text1"/>
        </w:rPr>
        <w:t>f</w:t>
      </w:r>
      <w:r w:rsidRPr="00B06B30">
        <w:rPr>
          <w:color w:val="000000" w:themeColor="text1"/>
        </w:rPr>
        <w:t>) of the Agvet Code) are adequate to ensure, as far as reasonably practicable, that the product meets the safety criteria.</w:t>
      </w:r>
    </w:p>
    <w:p w14:paraId="1F42750B" w14:textId="098C48D2" w:rsidR="008E67EA" w:rsidRPr="00BA04C6" w:rsidRDefault="008E67EA">
      <w:pPr>
        <w:pStyle w:val="NumberLevel2"/>
        <w:numPr>
          <w:ilvl w:val="1"/>
          <w:numId w:val="17"/>
        </w:numPr>
        <w:ind w:left="1134"/>
        <w:rPr>
          <w:color w:val="000000" w:themeColor="text1"/>
        </w:rPr>
      </w:pPr>
      <w:r w:rsidRPr="00BA04C6">
        <w:rPr>
          <w:color w:val="000000" w:themeColor="text1"/>
        </w:rPr>
        <w:lastRenderedPageBreak/>
        <w:t xml:space="preserve">In relation to the times when the product should be used, I note that current label instructions indicate that the product should be used when there is an active rodent infestation </w:t>
      </w:r>
      <w:r>
        <w:rPr>
          <w:color w:val="000000" w:themeColor="text1"/>
        </w:rPr>
        <w:t>that should</w:t>
      </w:r>
      <w:r w:rsidRPr="00BA04C6">
        <w:rPr>
          <w:color w:val="000000" w:themeColor="text1"/>
        </w:rPr>
        <w:t xml:space="preserve"> be controlled. Further, I note that labels of certain chemical </w:t>
      </w:r>
      <w:r w:rsidRPr="00D035F8">
        <w:rPr>
          <w:color w:val="000000" w:themeColor="text1"/>
        </w:rPr>
        <w:t>products (</w:t>
      </w:r>
      <w:r w:rsidRPr="00D035F8">
        <w:t xml:space="preserve">33896, 48372, </w:t>
      </w:r>
      <w:r w:rsidRPr="00D035F8">
        <w:rPr>
          <w:color w:val="000000" w:themeColor="text1"/>
        </w:rPr>
        <w:t xml:space="preserve">52675, 59323, 66235, </w:t>
      </w:r>
      <w:r w:rsidRPr="00D035F8">
        <w:t xml:space="preserve">66331, </w:t>
      </w:r>
      <w:r w:rsidRPr="00D035F8">
        <w:rPr>
          <w:color w:val="000000" w:themeColor="text1"/>
        </w:rPr>
        <w:t>69867,</w:t>
      </w:r>
      <w:r w:rsidRPr="00D035F8">
        <w:t xml:space="preserve"> 69994, 82450, 86179, 87706,</w:t>
      </w:r>
      <w:r w:rsidRPr="00D035F8">
        <w:rPr>
          <w:color w:val="000000" w:themeColor="text1"/>
        </w:rPr>
        <w:t xml:space="preserve"> 89557, </w:t>
      </w:r>
      <w:r w:rsidRPr="00D035F8">
        <w:t>90982</w:t>
      </w:r>
      <w:r w:rsidRPr="00D035F8">
        <w:rPr>
          <w:color w:val="000000" w:themeColor="text1"/>
        </w:rPr>
        <w:t>) currently state that monitoring and/or maintenance treatments can be used at sensitive sites</w:t>
      </w:r>
      <w:r w:rsidRPr="00BA04C6">
        <w:rPr>
          <w:color w:val="000000" w:themeColor="text1"/>
        </w:rPr>
        <w:t xml:space="preserve"> when there is no current rodent infestation. The information that I have considered as part of this reconsideration does not indicate that additional instructions related to the times when the product should be used are required, and I therefore consider that the current instructions remain adequate.</w:t>
      </w:r>
    </w:p>
    <w:p w14:paraId="5390EEDA" w14:textId="79F61FEE" w:rsidR="008E67EA" w:rsidRPr="0090511D" w:rsidRDefault="008E67EA">
      <w:pPr>
        <w:pStyle w:val="NumberLevel2"/>
        <w:numPr>
          <w:ilvl w:val="1"/>
          <w:numId w:val="17"/>
        </w:numPr>
        <w:ind w:left="1134"/>
        <w:rPr>
          <w:color w:val="000000" w:themeColor="text1"/>
        </w:rPr>
      </w:pPr>
      <w:r>
        <w:rPr>
          <w:color w:val="000000" w:themeColor="text1"/>
        </w:rPr>
        <w:t xml:space="preserve">I note that there are no current label instructions for a </w:t>
      </w:r>
      <w:r w:rsidRPr="0090511D">
        <w:rPr>
          <w:color w:val="000000" w:themeColor="text1"/>
        </w:rPr>
        <w:t>re</w:t>
      </w:r>
      <w:r w:rsidRPr="0090511D">
        <w:rPr>
          <w:rFonts w:ascii="Cambria Math" w:hAnsi="Cambria Math" w:cs="Cambria Math"/>
          <w:color w:val="000000" w:themeColor="text1"/>
        </w:rPr>
        <w:t>‑</w:t>
      </w:r>
      <w:r w:rsidRPr="0090511D">
        <w:rPr>
          <w:color w:val="000000" w:themeColor="text1"/>
        </w:rPr>
        <w:t>entry period after the use of the product</w:t>
      </w:r>
      <w:r>
        <w:rPr>
          <w:color w:val="000000" w:themeColor="text1"/>
        </w:rPr>
        <w:t xml:space="preserve">. Based on the information considered as part of this reconsideration, </w:t>
      </w:r>
      <w:r w:rsidRPr="0090511D">
        <w:rPr>
          <w:color w:val="000000" w:themeColor="text1"/>
        </w:rPr>
        <w:t xml:space="preserve">I </w:t>
      </w:r>
      <w:r>
        <w:rPr>
          <w:color w:val="000000" w:themeColor="text1"/>
        </w:rPr>
        <w:t>do not consider that there is a period of time after treatment during which it is unsafe for a person to enter the place without wearing</w:t>
      </w:r>
      <w:r w:rsidRPr="0090511D">
        <w:rPr>
          <w:color w:val="000000" w:themeColor="text1"/>
        </w:rPr>
        <w:t xml:space="preserve"> </w:t>
      </w:r>
      <w:r>
        <w:rPr>
          <w:color w:val="000000" w:themeColor="text1"/>
        </w:rPr>
        <w:t xml:space="preserve">appropriate protective clothing and/or equipment and therefore I consider that the current nil re-entry period instructions remain adequate. In making this determination, I have </w:t>
      </w:r>
      <w:r w:rsidRPr="002D2300">
        <w:rPr>
          <w:color w:val="000000" w:themeColor="text1"/>
        </w:rPr>
        <w:t xml:space="preserve">considered that these chemical products are ready-to-use baits placed in bait stations and the risk mitigation measures proposed to reduce the risk to bystanders who may enter the treatment area and to workers involved in clean-up activities, as discussed above respectively in paragraphs </w:t>
      </w:r>
      <w:r w:rsidRPr="002D2300">
        <w:rPr>
          <w:color w:val="000000" w:themeColor="text1"/>
        </w:rPr>
        <w:fldChar w:fldCharType="begin"/>
      </w:r>
      <w:r w:rsidRPr="002D2300">
        <w:rPr>
          <w:color w:val="000000" w:themeColor="text1"/>
        </w:rPr>
        <w:instrText xml:space="preserve"> REF _Ref213411498 \r \h  \* MERGEFORMAT </w:instrText>
      </w:r>
      <w:r w:rsidRPr="002D2300">
        <w:rPr>
          <w:color w:val="000000" w:themeColor="text1"/>
        </w:rPr>
      </w:r>
      <w:r w:rsidRPr="002D2300">
        <w:rPr>
          <w:color w:val="000000" w:themeColor="text1"/>
        </w:rPr>
        <w:fldChar w:fldCharType="separate"/>
      </w:r>
      <w:r w:rsidR="002C0C2A">
        <w:rPr>
          <w:color w:val="000000" w:themeColor="text1"/>
        </w:rPr>
        <w:t>97</w:t>
      </w:r>
      <w:r w:rsidRPr="002D2300">
        <w:rPr>
          <w:color w:val="000000" w:themeColor="text1"/>
        </w:rPr>
        <w:fldChar w:fldCharType="end"/>
      </w:r>
      <w:r w:rsidRPr="002D2300">
        <w:rPr>
          <w:color w:val="000000" w:themeColor="text1"/>
        </w:rPr>
        <w:t xml:space="preserve"> and </w:t>
      </w:r>
      <w:r w:rsidRPr="002D2300">
        <w:rPr>
          <w:color w:val="000000" w:themeColor="text1"/>
        </w:rPr>
        <w:fldChar w:fldCharType="begin"/>
      </w:r>
      <w:r w:rsidRPr="002D2300">
        <w:rPr>
          <w:color w:val="000000" w:themeColor="text1"/>
        </w:rPr>
        <w:instrText xml:space="preserve"> REF _Ref213411531 \r \h  \* MERGEFORMAT </w:instrText>
      </w:r>
      <w:r w:rsidRPr="002D2300">
        <w:rPr>
          <w:color w:val="000000" w:themeColor="text1"/>
        </w:rPr>
      </w:r>
      <w:r w:rsidRPr="002D2300">
        <w:rPr>
          <w:color w:val="000000" w:themeColor="text1"/>
        </w:rPr>
        <w:fldChar w:fldCharType="separate"/>
      </w:r>
      <w:r w:rsidR="002C0C2A">
        <w:rPr>
          <w:color w:val="000000" w:themeColor="text1"/>
        </w:rPr>
        <w:t>95</w:t>
      </w:r>
      <w:r w:rsidRPr="002D2300">
        <w:rPr>
          <w:color w:val="000000" w:themeColor="text1"/>
        </w:rPr>
        <w:fldChar w:fldCharType="end"/>
      </w:r>
      <w:r w:rsidRPr="002D2300">
        <w:rPr>
          <w:color w:val="000000" w:themeColor="text1"/>
        </w:rPr>
        <w:t xml:space="preserve"> of these reasons.</w:t>
      </w:r>
    </w:p>
    <w:p w14:paraId="7A280273" w14:textId="77777777" w:rsidR="008E67EA" w:rsidRPr="0054134F" w:rsidRDefault="008E67EA">
      <w:pPr>
        <w:pStyle w:val="NumberLevel1"/>
        <w:numPr>
          <w:ilvl w:val="0"/>
          <w:numId w:val="17"/>
        </w:numPr>
        <w:tabs>
          <w:tab w:val="clear" w:pos="709"/>
          <w:tab w:val="num" w:pos="2553"/>
        </w:tabs>
        <w:rPr>
          <w:color w:val="000000" w:themeColor="text1"/>
        </w:rPr>
      </w:pPr>
      <w:r w:rsidRPr="0054134F">
        <w:rPr>
          <w:color w:val="000000" w:themeColor="text1"/>
        </w:rPr>
        <w:t>In regard to the prescribed matters for the labelling criteria that are set out in regulation 8AE(1) of the Agvet Regulations for the purpose of paragraph 5D(1)(j) of the Agvet Code:</w:t>
      </w:r>
    </w:p>
    <w:p w14:paraId="6BF2ED23" w14:textId="5109B631" w:rsidR="008E67EA" w:rsidRPr="0054134F" w:rsidRDefault="008E67EA">
      <w:pPr>
        <w:pStyle w:val="NumberLevel2"/>
        <w:numPr>
          <w:ilvl w:val="1"/>
          <w:numId w:val="17"/>
        </w:numPr>
        <w:ind w:left="1134"/>
        <w:rPr>
          <w:color w:val="000000" w:themeColor="text1"/>
        </w:rPr>
      </w:pPr>
      <w:r w:rsidRPr="0054134F">
        <w:rPr>
          <w:color w:val="000000" w:themeColor="text1"/>
        </w:rPr>
        <w:t>Label instructions relating to the duration of any treatment using the product (regulation 8AE(1)(a) of the Agvet Regulations) are not required on a label of a products listed in Attachment A of this notice, as they are not veterinary chemical products.</w:t>
      </w:r>
    </w:p>
    <w:p w14:paraId="61803F30" w14:textId="77777777" w:rsidR="008E67EA" w:rsidRPr="009C44E1" w:rsidRDefault="008E67EA">
      <w:pPr>
        <w:pStyle w:val="NumberLevel2"/>
        <w:numPr>
          <w:ilvl w:val="1"/>
          <w:numId w:val="17"/>
        </w:numPr>
        <w:ind w:left="1134"/>
        <w:rPr>
          <w:color w:val="000000" w:themeColor="text1"/>
        </w:rPr>
      </w:pPr>
      <w:r w:rsidRPr="009C44E1">
        <w:rPr>
          <w:color w:val="000000" w:themeColor="text1"/>
        </w:rPr>
        <w:t xml:space="preserve">I do not consider that any specific instructions related to the prevention of undue prejudice to trade or commerce between Australia and places outside of Australia (regulation 8AE(1)(b) of the Agvet Regulations) are required on the label of a product listed in Attachment A of this notice. This is </w:t>
      </w:r>
      <w:r>
        <w:rPr>
          <w:color w:val="000000" w:themeColor="text1"/>
        </w:rPr>
        <w:t>because</w:t>
      </w:r>
      <w:r w:rsidRPr="009C44E1">
        <w:rPr>
          <w:color w:val="000000" w:themeColor="text1"/>
        </w:rPr>
        <w:t xml:space="preserve"> I consider that</w:t>
      </w:r>
      <w:r>
        <w:rPr>
          <w:color w:val="000000" w:themeColor="text1"/>
        </w:rPr>
        <w:t xml:space="preserve"> adequate </w:t>
      </w:r>
      <w:r w:rsidRPr="009C44E1">
        <w:rPr>
          <w:color w:val="000000" w:themeColor="text1"/>
        </w:rPr>
        <w:t xml:space="preserve">label instructions </w:t>
      </w:r>
      <w:r>
        <w:rPr>
          <w:color w:val="000000" w:themeColor="text1"/>
        </w:rPr>
        <w:t>ensuring</w:t>
      </w:r>
      <w:r w:rsidRPr="009C44E1">
        <w:rPr>
          <w:color w:val="000000" w:themeColor="text1"/>
        </w:rPr>
        <w:t xml:space="preserve">, as far as reasonably practicable, that </w:t>
      </w:r>
      <w:r>
        <w:rPr>
          <w:color w:val="000000" w:themeColor="text1"/>
        </w:rPr>
        <w:t>an anticoagulant rodenticide</w:t>
      </w:r>
      <w:r w:rsidRPr="009C44E1">
        <w:rPr>
          <w:color w:val="000000" w:themeColor="text1"/>
        </w:rPr>
        <w:t xml:space="preserve"> product meets the safety criteria are also adequate to ensure that any product that is the subject of trade between Australia and places outside of Australia should not contain any anticoagulant rodenticide residues.</w:t>
      </w:r>
    </w:p>
    <w:p w14:paraId="10050ECC" w14:textId="7C9F6657" w:rsidR="008E67EA" w:rsidRPr="009A511E" w:rsidRDefault="008E67EA">
      <w:pPr>
        <w:pStyle w:val="NumberLevel2"/>
        <w:numPr>
          <w:ilvl w:val="1"/>
          <w:numId w:val="17"/>
        </w:numPr>
        <w:ind w:left="1134"/>
        <w:rPr>
          <w:color w:val="000000" w:themeColor="text1"/>
        </w:rPr>
      </w:pPr>
      <w:r w:rsidRPr="009A511E">
        <w:rPr>
          <w:color w:val="000000" w:themeColor="text1"/>
        </w:rPr>
        <w:t>I note that the current instructions on</w:t>
      </w:r>
      <w:r>
        <w:rPr>
          <w:color w:val="000000" w:themeColor="text1"/>
        </w:rPr>
        <w:t xml:space="preserve"> the</w:t>
      </w:r>
      <w:r w:rsidRPr="009A511E">
        <w:rPr>
          <w:color w:val="000000" w:themeColor="text1"/>
        </w:rPr>
        <w:t xml:space="preserve"> label</w:t>
      </w:r>
      <w:r>
        <w:rPr>
          <w:color w:val="000000" w:themeColor="text1"/>
        </w:rPr>
        <w:t xml:space="preserve"> of a product </w:t>
      </w:r>
      <w:r w:rsidRPr="009A511E">
        <w:rPr>
          <w:color w:val="000000" w:themeColor="text1"/>
        </w:rPr>
        <w:t>listed in Attachment A of this notice include the appropriate signal words required by the current Poisons Standard (regulation 8AE(1)(c) of the Agvet Regulations).</w:t>
      </w:r>
    </w:p>
    <w:p w14:paraId="2D157357" w14:textId="0A261111" w:rsidR="008E67EA" w:rsidRPr="009A511E" w:rsidRDefault="008E67EA">
      <w:pPr>
        <w:pStyle w:val="NumberLevel2"/>
        <w:numPr>
          <w:ilvl w:val="1"/>
          <w:numId w:val="17"/>
        </w:numPr>
        <w:ind w:left="1134"/>
        <w:rPr>
          <w:color w:val="000000" w:themeColor="text1"/>
        </w:rPr>
      </w:pPr>
      <w:r w:rsidRPr="009A511E">
        <w:rPr>
          <w:color w:val="000000" w:themeColor="text1"/>
        </w:rPr>
        <w:t>Label instructions relating to the storage of containers for the product (regulation 8AE(1)(d) of the Agvet Regulations) are not required on a label of a products listed in Attachment A of this notice, as they are not date-controlled chemical products.</w:t>
      </w:r>
    </w:p>
    <w:p w14:paraId="2AF6922B" w14:textId="71697D95" w:rsidR="008E67EA" w:rsidRPr="00B13F0C" w:rsidRDefault="008E67EA">
      <w:pPr>
        <w:pStyle w:val="NumberLevel2"/>
        <w:numPr>
          <w:ilvl w:val="1"/>
          <w:numId w:val="17"/>
        </w:numPr>
        <w:ind w:left="1134"/>
      </w:pPr>
      <w:r>
        <w:t>T</w:t>
      </w:r>
      <w:r w:rsidRPr="00D24CDF">
        <w:t xml:space="preserve">here </w:t>
      </w:r>
      <w:r>
        <w:t>is</w:t>
      </w:r>
      <w:r w:rsidRPr="00D24CDF">
        <w:t xml:space="preserve"> no other matter </w:t>
      </w:r>
      <w:r w:rsidRPr="00D869C6">
        <w:t>determined by the APVMA CEO under subregulation 8AE(2) of the Agvet Regulations in relation to adequate instructions that a label must contain (</w:t>
      </w:r>
      <w:bookmarkStart w:id="296" w:name="_Hlk193327355"/>
      <w:r w:rsidRPr="00D869C6">
        <w:t>r</w:t>
      </w:r>
      <w:r>
        <w:t>egulation</w:t>
      </w:r>
      <w:r w:rsidRPr="00D869C6">
        <w:t xml:space="preserve"> 8AE(1)(e)</w:t>
      </w:r>
      <w:bookmarkEnd w:id="296"/>
      <w:r>
        <w:t xml:space="preserve"> of the Agvet Regulations</w:t>
      </w:r>
      <w:r w:rsidRPr="00D869C6">
        <w:t>).</w:t>
      </w:r>
    </w:p>
    <w:p w14:paraId="505252FD" w14:textId="6494A248" w:rsidR="008E67EA" w:rsidRPr="008052E3" w:rsidRDefault="008E67EA" w:rsidP="008E67EA">
      <w:pPr>
        <w:pStyle w:val="StatementofReasonsHeading4"/>
      </w:pPr>
      <w:r w:rsidRPr="008052E3">
        <w:t>The circumstances in which the product should be used - s 5D(1)(a)</w:t>
      </w:r>
    </w:p>
    <w:p w14:paraId="014685D0" w14:textId="77777777" w:rsidR="008E67EA" w:rsidRDefault="008E67EA">
      <w:pPr>
        <w:pStyle w:val="NumberLevel1"/>
        <w:numPr>
          <w:ilvl w:val="0"/>
          <w:numId w:val="17"/>
        </w:numPr>
        <w:tabs>
          <w:tab w:val="clear" w:pos="709"/>
          <w:tab w:val="num" w:pos="2553"/>
        </w:tabs>
        <w:rPr>
          <w:color w:val="000000" w:themeColor="text1"/>
        </w:rPr>
      </w:pPr>
      <w:bookmarkStart w:id="297" w:name="_Ref213520730"/>
      <w:bookmarkStart w:id="298" w:name="_Ref207897831"/>
      <w:bookmarkStart w:id="299" w:name="_Ref207962841"/>
      <w:bookmarkStart w:id="300" w:name="_Hlk193445750"/>
      <w:r>
        <w:rPr>
          <w:color w:val="000000" w:themeColor="text1"/>
        </w:rPr>
        <w:t xml:space="preserve">I note that I was </w:t>
      </w:r>
      <w:r w:rsidRPr="00CF7D42">
        <w:rPr>
          <w:b/>
          <w:bCs/>
          <w:color w:val="000000" w:themeColor="text1"/>
        </w:rPr>
        <w:t>not satisfied</w:t>
      </w:r>
      <w:r>
        <w:rPr>
          <w:color w:val="000000" w:themeColor="text1"/>
        </w:rPr>
        <w:t xml:space="preserve"> that anticoagulant rodenticides chemical products meet the safety criteria when used in certain circumstances due to potential safety concerns associated with non-target terrestrial vertebrates and potential contamination of food commodities, and that current labels of anticoagulant rodenticide chemical products permit use in these circumstances. Therefore, so that the labels listed in Attachment A of this notice </w:t>
      </w:r>
      <w:r>
        <w:rPr>
          <w:color w:val="000000" w:themeColor="text1"/>
        </w:rPr>
        <w:lastRenderedPageBreak/>
        <w:t xml:space="preserve">contain adequate instructions </w:t>
      </w:r>
      <w:r w:rsidRPr="0050353B">
        <w:t>to ensure, as far as reasonably practicable, that products meet the safety criteria</w:t>
      </w:r>
      <w:r>
        <w:t>,</w:t>
      </w:r>
      <w:r>
        <w:rPr>
          <w:color w:val="000000" w:themeColor="text1"/>
        </w:rPr>
        <w:t xml:space="preserve"> I consider the following:</w:t>
      </w:r>
      <w:bookmarkEnd w:id="297"/>
    </w:p>
    <w:p w14:paraId="09881E22" w14:textId="4D904029" w:rsidR="008E67EA" w:rsidRDefault="008E67EA">
      <w:pPr>
        <w:pStyle w:val="NumberLevel2"/>
        <w:numPr>
          <w:ilvl w:val="1"/>
          <w:numId w:val="17"/>
        </w:numPr>
        <w:ind w:left="1134"/>
      </w:pPr>
      <w:r>
        <w:t xml:space="preserve">The instructions listed in paragraph </w:t>
      </w:r>
      <w:r>
        <w:fldChar w:fldCharType="begin"/>
      </w:r>
      <w:r>
        <w:instrText xml:space="preserve"> REF _Ref213518757 \w \h </w:instrText>
      </w:r>
      <w:r>
        <w:fldChar w:fldCharType="separate"/>
      </w:r>
      <w:r w:rsidR="002C0C2A">
        <w:t>55.3.b</w:t>
      </w:r>
      <w:r>
        <w:fldChar w:fldCharType="end"/>
      </w:r>
      <w:r>
        <w:t xml:space="preserve"> of these reasons are required in the restraints section of the labels of all commercial anticoagulant rodenticide chemical products, based on the determination that the use of these commercial anticoagulant rodenticide chemical products should be </w:t>
      </w:r>
      <w:r w:rsidRPr="00855EC1">
        <w:t>restricted to trained professionals</w:t>
      </w:r>
      <w:r>
        <w:t>.</w:t>
      </w:r>
    </w:p>
    <w:p w14:paraId="45F8C037" w14:textId="6AD4E67B" w:rsidR="008E67EA" w:rsidRDefault="008E67EA">
      <w:pPr>
        <w:pStyle w:val="NumberLevel2"/>
        <w:numPr>
          <w:ilvl w:val="1"/>
          <w:numId w:val="17"/>
        </w:numPr>
        <w:ind w:left="1134"/>
      </w:pPr>
      <w:r>
        <w:t xml:space="preserve">The directions listed in paragraph </w:t>
      </w:r>
      <w:r>
        <w:fldChar w:fldCharType="begin"/>
      </w:r>
      <w:r>
        <w:instrText xml:space="preserve"> REF _Ref213518642 \w \h </w:instrText>
      </w:r>
      <w:r>
        <w:fldChar w:fldCharType="separate"/>
      </w:r>
      <w:r w:rsidR="002C0C2A">
        <w:t>51.1</w:t>
      </w:r>
      <w:r>
        <w:fldChar w:fldCharType="end"/>
      </w:r>
      <w:r>
        <w:t xml:space="preserve"> of these reasons are required in the restraints section of the label of all anticoagulant rodenticide chemical products approved for the control of mice, as use of these chemical products outdoors for the control of mice was not supported. Further, all current instructions </w:t>
      </w:r>
      <w:r w:rsidRPr="00E23899">
        <w:rPr>
          <w:color w:val="000000" w:themeColor="text1"/>
        </w:rPr>
        <w:t>related to the control of mice in outdoor situations should be removed from the</w:t>
      </w:r>
      <w:r>
        <w:rPr>
          <w:color w:val="000000" w:themeColor="text1"/>
        </w:rPr>
        <w:t xml:space="preserve"> labels of </w:t>
      </w:r>
      <w:r>
        <w:t>all anticoagulant rodenticide chemical products (see templates for proposed varied labels in Attachment D)</w:t>
      </w:r>
      <w:r>
        <w:rPr>
          <w:color w:val="000000" w:themeColor="text1"/>
        </w:rPr>
        <w:t>.</w:t>
      </w:r>
    </w:p>
    <w:p w14:paraId="72F2D65B" w14:textId="45FEC394" w:rsidR="008E67EA" w:rsidRDefault="008E67EA">
      <w:pPr>
        <w:pStyle w:val="NumberLevel2"/>
        <w:numPr>
          <w:ilvl w:val="1"/>
          <w:numId w:val="17"/>
        </w:numPr>
        <w:ind w:left="1134"/>
      </w:pPr>
      <w:r>
        <w:t xml:space="preserve">The directions listed in paragraph </w:t>
      </w:r>
      <w:r>
        <w:fldChar w:fldCharType="begin"/>
      </w:r>
      <w:r>
        <w:instrText xml:space="preserve"> REF _Ref213518627 \w \h </w:instrText>
      </w:r>
      <w:r>
        <w:fldChar w:fldCharType="separate"/>
      </w:r>
      <w:r w:rsidR="002C0C2A">
        <w:t>51.2</w:t>
      </w:r>
      <w:r>
        <w:fldChar w:fldCharType="end"/>
      </w:r>
      <w:r>
        <w:t xml:space="preserve"> of these reasons are required in the restraints section of the label of chemical products approved for use for the control of rats, excluding certain chemical products containing coumatetralyl that are approved for use in agricultural crops </w:t>
      </w:r>
      <w:r w:rsidRPr="009872B9">
        <w:t>(</w:t>
      </w:r>
      <w:r w:rsidRPr="009872B9">
        <w:rPr>
          <w:color w:val="000000" w:themeColor="text1"/>
        </w:rPr>
        <w:t>52098, 82217)</w:t>
      </w:r>
      <w:r w:rsidRPr="009872B9">
        <w:t>, based</w:t>
      </w:r>
      <w:r>
        <w:t xml:space="preserve"> on the determination that the use of chemical products outside of buildings should be limited to within 2 meters of a building. Further, all current </w:t>
      </w:r>
      <w:r>
        <w:rPr>
          <w:color w:val="000000" w:themeColor="text1"/>
        </w:rPr>
        <w:t xml:space="preserve">instructions that indicate bait may be placed at a further distance from buildings should be removed from the </w:t>
      </w:r>
      <w:r w:rsidRPr="000B357F">
        <w:rPr>
          <w:color w:val="000000" w:themeColor="text1"/>
        </w:rPr>
        <w:t>labels of these chemical products</w:t>
      </w:r>
      <w:r>
        <w:rPr>
          <w:color w:val="000000" w:themeColor="text1"/>
        </w:rPr>
        <w:t xml:space="preserve"> </w:t>
      </w:r>
      <w:r>
        <w:t>(see templates for proposed varied labels in Attachment D)</w:t>
      </w:r>
      <w:r>
        <w:rPr>
          <w:color w:val="000000" w:themeColor="text1"/>
        </w:rPr>
        <w:t>.</w:t>
      </w:r>
    </w:p>
    <w:p w14:paraId="69165771" w14:textId="313C199D" w:rsidR="008E67EA" w:rsidRDefault="008E67EA">
      <w:pPr>
        <w:pStyle w:val="NumberLevel2"/>
        <w:numPr>
          <w:ilvl w:val="1"/>
          <w:numId w:val="17"/>
        </w:numPr>
        <w:ind w:left="1134"/>
      </w:pPr>
      <w:r>
        <w:t xml:space="preserve">The directions listed in paragraph </w:t>
      </w:r>
      <w:r>
        <w:fldChar w:fldCharType="begin"/>
      </w:r>
      <w:r>
        <w:instrText xml:space="preserve"> REF _Ref213518607 \w \h </w:instrText>
      </w:r>
      <w:r>
        <w:fldChar w:fldCharType="separate"/>
      </w:r>
      <w:r w:rsidR="002C0C2A">
        <w:t>51.3</w:t>
      </w:r>
      <w:r>
        <w:fldChar w:fldCharType="end"/>
      </w:r>
      <w:r>
        <w:t xml:space="preserve"> of these reasons are required in the restraints section of the label of all anticoagulant rodenticide chemical products approved for use for the control of rats, as the use of burrow baiting techniques with these chemical products was not supported. Further, </w:t>
      </w:r>
      <w:r w:rsidRPr="000B357F">
        <w:t xml:space="preserve">all </w:t>
      </w:r>
      <w:r>
        <w:t xml:space="preserve">current </w:t>
      </w:r>
      <w:r w:rsidRPr="000B357F">
        <w:t xml:space="preserve">instructions </w:t>
      </w:r>
      <w:r>
        <w:t xml:space="preserve">that indicate that use </w:t>
      </w:r>
      <w:r w:rsidRPr="000B357F">
        <w:t xml:space="preserve">burrow baiting </w:t>
      </w:r>
      <w:r>
        <w:t>techniques is permitted should be removed from the labels of these chemical products (see templates for proposed varied labels in Attachment D).</w:t>
      </w:r>
    </w:p>
    <w:p w14:paraId="192589F5" w14:textId="5294EE4F" w:rsidR="008E67EA" w:rsidRDefault="008E67EA">
      <w:pPr>
        <w:pStyle w:val="NumberLevel2"/>
        <w:numPr>
          <w:ilvl w:val="1"/>
          <w:numId w:val="17"/>
        </w:numPr>
        <w:ind w:left="1134"/>
      </w:pPr>
      <w:r>
        <w:t xml:space="preserve">The directions listed in paragraph </w:t>
      </w:r>
      <w:r>
        <w:fldChar w:fldCharType="begin"/>
      </w:r>
      <w:r>
        <w:instrText xml:space="preserve"> REF _Ref213519632 \w \h </w:instrText>
      </w:r>
      <w:r>
        <w:fldChar w:fldCharType="separate"/>
      </w:r>
      <w:r w:rsidR="002C0C2A">
        <w:t>107.2</w:t>
      </w:r>
      <w:r>
        <w:fldChar w:fldCharType="end"/>
      </w:r>
      <w:r>
        <w:t xml:space="preserve"> of these reasons are required in the restraints section of the labels of commercial anticoagulant rodenticide chemical products that are formulated as </w:t>
      </w:r>
      <w:r w:rsidRPr="00812077">
        <w:t xml:space="preserve">loose pellets or grain </w:t>
      </w:r>
      <w:r>
        <w:t xml:space="preserve">and all domestic anticoagulant rodenticide chemical products </w:t>
      </w:r>
      <w:r w:rsidRPr="00812077">
        <w:t xml:space="preserve">(see </w:t>
      </w:r>
      <w:r w:rsidRPr="00812077">
        <w:fldChar w:fldCharType="begin"/>
      </w:r>
      <w:r w:rsidRPr="00812077">
        <w:instrText xml:space="preserve"> REF _Ref213257833 \h  \* MERGEFORMAT </w:instrText>
      </w:r>
      <w:r w:rsidRPr="00812077">
        <w:fldChar w:fldCharType="separate"/>
      </w:r>
      <w:r w:rsidR="002C0C2A">
        <w:t xml:space="preserve">Table </w:t>
      </w:r>
      <w:r w:rsidR="002C0C2A">
        <w:rPr>
          <w:noProof/>
        </w:rPr>
        <w:t>17</w:t>
      </w:r>
      <w:r w:rsidRPr="00812077">
        <w:fldChar w:fldCharType="end"/>
      </w:r>
      <w:r w:rsidRPr="00812077">
        <w:t xml:space="preserve"> in Attachment D)</w:t>
      </w:r>
      <w:r>
        <w:t xml:space="preserve">, as the use these chemical products in and around </w:t>
      </w:r>
      <w:r w:rsidRPr="00006707">
        <w:t xml:space="preserve">animal, livestock and poultry houses, associated equipment, and food and feed processing areas </w:t>
      </w:r>
      <w:r>
        <w:t xml:space="preserve">was not supported. Further, </w:t>
      </w:r>
      <w:r w:rsidRPr="00006707">
        <w:t xml:space="preserve">any </w:t>
      </w:r>
      <w:r>
        <w:t xml:space="preserve">current </w:t>
      </w:r>
      <w:r w:rsidRPr="00006707">
        <w:t xml:space="preserve">instructions related to the use </w:t>
      </w:r>
      <w:r>
        <w:t xml:space="preserve">of these chemical products </w:t>
      </w:r>
      <w:r w:rsidRPr="00006707">
        <w:t xml:space="preserve">in and around animal, livestock and poultry houses, associated equipment, or food and feed processing areas should be removed </w:t>
      </w:r>
      <w:r>
        <w:t>from the labels (see templates for proposed varied labels in Attachment D)</w:t>
      </w:r>
      <w:r w:rsidRPr="00006707">
        <w:t>.</w:t>
      </w:r>
    </w:p>
    <w:p w14:paraId="502A31CD" w14:textId="77777777" w:rsidR="008E67EA" w:rsidRPr="00B474A8" w:rsidRDefault="008E67EA">
      <w:pPr>
        <w:pStyle w:val="NumberLevel1"/>
        <w:numPr>
          <w:ilvl w:val="0"/>
          <w:numId w:val="17"/>
        </w:numPr>
        <w:tabs>
          <w:tab w:val="clear" w:pos="709"/>
          <w:tab w:val="num" w:pos="2553"/>
        </w:tabs>
      </w:pPr>
      <w:bookmarkStart w:id="301" w:name="_Ref213520733"/>
      <w:r>
        <w:t xml:space="preserve">Further, I note that for </w:t>
      </w:r>
      <w:r w:rsidRPr="00D035F8">
        <w:t>certain domestic anticoagulant rodenticide chemical products listed in Attachment A of this notice (</w:t>
      </w:r>
      <w:r w:rsidRPr="00D035F8">
        <w:rPr>
          <w:color w:val="000000" w:themeColor="text1"/>
        </w:rPr>
        <w:t>54836, 56632, 58661, 59284, 62635, 63885, 69017, 69119, 69158, 82233, 82234, 83673, 94339, 94350</w:t>
      </w:r>
      <w:r w:rsidRPr="00D035F8">
        <w:t>), the circumstance in which the product should be used is not explicitly stated on the label of these chemical</w:t>
      </w:r>
      <w:r>
        <w:t xml:space="preserve"> products. Given that, in general, </w:t>
      </w:r>
      <w:r w:rsidRPr="00F400FA">
        <w:t>domestic pest-control products are designed to be supplied to and used by the general public for the control of common pests in private dwellings</w:t>
      </w:r>
      <w:r>
        <w:t xml:space="preserve">, I consider that the situation </w:t>
      </w:r>
      <w:r w:rsidRPr="00202CEB">
        <w:rPr>
          <w:b/>
          <w:bCs/>
          <w:i/>
          <w:iCs/>
        </w:rPr>
        <w:t>‘in domestic buildings’</w:t>
      </w:r>
      <w:r>
        <w:t xml:space="preserve"> should be added to the label instructions with respect to the control of mice, and the situation </w:t>
      </w:r>
      <w:r w:rsidRPr="00202CEB">
        <w:rPr>
          <w:b/>
          <w:bCs/>
          <w:i/>
          <w:iCs/>
        </w:rPr>
        <w:t>‘in and around domestic buildings’</w:t>
      </w:r>
      <w:r w:rsidRPr="00F400FA">
        <w:t xml:space="preserve"> </w:t>
      </w:r>
      <w:r>
        <w:t>should be added to the label instructions with respect to the control of rats (see templates for proposed varied labels in Attachment D).</w:t>
      </w:r>
      <w:bookmarkEnd w:id="301"/>
    </w:p>
    <w:p w14:paraId="7DC56F58" w14:textId="12EF62F0" w:rsidR="008E67EA" w:rsidRPr="00585C9F" w:rsidRDefault="008E67EA">
      <w:pPr>
        <w:pStyle w:val="NumberLevel1"/>
        <w:numPr>
          <w:ilvl w:val="0"/>
          <w:numId w:val="17"/>
        </w:numPr>
        <w:tabs>
          <w:tab w:val="clear" w:pos="709"/>
          <w:tab w:val="num" w:pos="2553"/>
        </w:tabs>
        <w:rPr>
          <w:color w:val="000000" w:themeColor="text1"/>
        </w:rPr>
      </w:pPr>
      <w:bookmarkStart w:id="302" w:name="_Ref213580089"/>
      <w:bookmarkEnd w:id="298"/>
      <w:bookmarkEnd w:id="299"/>
      <w:r w:rsidRPr="00585C9F">
        <w:rPr>
          <w:color w:val="000000" w:themeColor="text1"/>
        </w:rPr>
        <w:t xml:space="preserve">I am satisfied that, after variation of the label instructions in the ways detailed in paragraphs </w:t>
      </w:r>
      <w:r w:rsidRPr="00585C9F">
        <w:rPr>
          <w:color w:val="000000" w:themeColor="text1"/>
        </w:rPr>
        <w:fldChar w:fldCharType="begin"/>
      </w:r>
      <w:r w:rsidRPr="00585C9F">
        <w:rPr>
          <w:color w:val="000000" w:themeColor="text1"/>
        </w:rPr>
        <w:instrText xml:space="preserve"> REF _Ref213520730 \w \h </w:instrText>
      </w:r>
      <w:r>
        <w:rPr>
          <w:color w:val="000000" w:themeColor="text1"/>
        </w:rPr>
        <w:instrText xml:space="preserve"> \* MERGEFORMAT </w:instrText>
      </w:r>
      <w:r w:rsidRPr="00585C9F">
        <w:rPr>
          <w:color w:val="000000" w:themeColor="text1"/>
        </w:rPr>
      </w:r>
      <w:r w:rsidRPr="00585C9F">
        <w:rPr>
          <w:color w:val="000000" w:themeColor="text1"/>
        </w:rPr>
        <w:fldChar w:fldCharType="separate"/>
      </w:r>
      <w:r w:rsidR="002C0C2A">
        <w:rPr>
          <w:color w:val="000000" w:themeColor="text1"/>
        </w:rPr>
        <w:t>136</w:t>
      </w:r>
      <w:r w:rsidRPr="00585C9F">
        <w:rPr>
          <w:color w:val="000000" w:themeColor="text1"/>
        </w:rPr>
        <w:fldChar w:fldCharType="end"/>
      </w:r>
      <w:r w:rsidRPr="00585C9F">
        <w:rPr>
          <w:color w:val="000000" w:themeColor="text1"/>
        </w:rPr>
        <w:t xml:space="preserve"> –</w:t>
      </w:r>
      <w:r>
        <w:rPr>
          <w:color w:val="000000" w:themeColor="text1"/>
        </w:rPr>
        <w:t xml:space="preserve"> </w:t>
      </w:r>
      <w:r w:rsidRPr="00585C9F">
        <w:rPr>
          <w:color w:val="000000" w:themeColor="text1"/>
        </w:rPr>
        <w:fldChar w:fldCharType="begin"/>
      </w:r>
      <w:r w:rsidRPr="00585C9F">
        <w:rPr>
          <w:color w:val="000000" w:themeColor="text1"/>
        </w:rPr>
        <w:instrText xml:space="preserve"> REF _Ref213520733 \w \h </w:instrText>
      </w:r>
      <w:r>
        <w:rPr>
          <w:color w:val="000000" w:themeColor="text1"/>
        </w:rPr>
        <w:instrText xml:space="preserve"> \* MERGEFORMAT </w:instrText>
      </w:r>
      <w:r w:rsidRPr="00585C9F">
        <w:rPr>
          <w:color w:val="000000" w:themeColor="text1"/>
        </w:rPr>
      </w:r>
      <w:r w:rsidRPr="00585C9F">
        <w:rPr>
          <w:color w:val="000000" w:themeColor="text1"/>
        </w:rPr>
        <w:fldChar w:fldCharType="separate"/>
      </w:r>
      <w:r w:rsidR="002C0C2A">
        <w:rPr>
          <w:color w:val="000000" w:themeColor="text1"/>
        </w:rPr>
        <w:t>137</w:t>
      </w:r>
      <w:r w:rsidRPr="00585C9F">
        <w:rPr>
          <w:color w:val="000000" w:themeColor="text1"/>
        </w:rPr>
        <w:fldChar w:fldCharType="end"/>
      </w:r>
      <w:r w:rsidRPr="00585C9F">
        <w:rPr>
          <w:color w:val="000000" w:themeColor="text1"/>
        </w:rPr>
        <w:t xml:space="preserve"> above, the instructions related to the circumstances in which the product should be used are adequate for the purpose of labels listed in Attachment A of this notice meeting the labelling criteria.</w:t>
      </w:r>
      <w:bookmarkEnd w:id="302"/>
    </w:p>
    <w:bookmarkEnd w:id="300"/>
    <w:p w14:paraId="1A4D7610" w14:textId="77777777" w:rsidR="008E67EA" w:rsidRPr="00B474A8" w:rsidRDefault="008E67EA" w:rsidP="008E67EA">
      <w:pPr>
        <w:pStyle w:val="StatementofReasonsHeading4"/>
      </w:pPr>
      <w:r>
        <w:lastRenderedPageBreak/>
        <w:t>How the produ</w:t>
      </w:r>
      <w:r w:rsidRPr="00B474A8">
        <w:t>ct should be used – s 5D(1)(b)</w:t>
      </w:r>
    </w:p>
    <w:p w14:paraId="28B6F74A" w14:textId="77777777" w:rsidR="008E67EA" w:rsidRDefault="008E67EA">
      <w:pPr>
        <w:pStyle w:val="NumberLevel1"/>
        <w:numPr>
          <w:ilvl w:val="0"/>
          <w:numId w:val="17"/>
        </w:numPr>
        <w:tabs>
          <w:tab w:val="clear" w:pos="709"/>
          <w:tab w:val="num" w:pos="2553"/>
        </w:tabs>
        <w:rPr>
          <w:color w:val="000000" w:themeColor="text1"/>
        </w:rPr>
      </w:pPr>
      <w:bookmarkStart w:id="303" w:name="_Ref213588111"/>
      <w:r w:rsidRPr="00FB1A85">
        <w:rPr>
          <w:color w:val="000000" w:themeColor="text1"/>
        </w:rPr>
        <w:t xml:space="preserve">In relation </w:t>
      </w:r>
      <w:r>
        <w:rPr>
          <w:color w:val="000000" w:themeColor="text1"/>
        </w:rPr>
        <w:t xml:space="preserve">instructions on how the product should be used on </w:t>
      </w:r>
      <w:r w:rsidRPr="00FB1A85">
        <w:rPr>
          <w:color w:val="000000" w:themeColor="text1"/>
        </w:rPr>
        <w:t>the labels of commercial anticoagulant rodenticide chemical</w:t>
      </w:r>
      <w:r>
        <w:rPr>
          <w:color w:val="000000" w:themeColor="text1"/>
        </w:rPr>
        <w:t xml:space="preserve"> listed in Attachment A of the notice</w:t>
      </w:r>
      <w:r w:rsidRPr="008E61A9">
        <w:rPr>
          <w:color w:val="000000" w:themeColor="text1"/>
        </w:rPr>
        <w:t xml:space="preserve">, </w:t>
      </w:r>
      <w:r>
        <w:rPr>
          <w:color w:val="000000" w:themeColor="text1"/>
        </w:rPr>
        <w:t xml:space="preserve">in order for the labels to </w:t>
      </w:r>
      <w:r w:rsidRPr="008E61A9">
        <w:rPr>
          <w:color w:val="000000" w:themeColor="text1"/>
        </w:rPr>
        <w:t>contain adequate instructions to ensure, as far as reasonably practicable, that products meet the safety criteria, I consider the following:</w:t>
      </w:r>
      <w:bookmarkEnd w:id="303"/>
    </w:p>
    <w:p w14:paraId="0E39A38F" w14:textId="15F3A111" w:rsidR="008E67EA" w:rsidRDefault="008E67EA">
      <w:pPr>
        <w:pStyle w:val="NumberLevel2"/>
        <w:numPr>
          <w:ilvl w:val="1"/>
          <w:numId w:val="17"/>
        </w:numPr>
        <w:ind w:left="1134"/>
      </w:pPr>
      <w:r>
        <w:t xml:space="preserve">The directions listed in paragraph </w:t>
      </w:r>
      <w:r>
        <w:fldChar w:fldCharType="begin"/>
      </w:r>
      <w:r>
        <w:instrText xml:space="preserve"> REF _Ref213529441 \w \h </w:instrText>
      </w:r>
      <w:r>
        <w:fldChar w:fldCharType="separate"/>
      </w:r>
      <w:r w:rsidR="002C0C2A">
        <w:t>56.1.d</w:t>
      </w:r>
      <w:r>
        <w:fldChar w:fldCharType="end"/>
      </w:r>
      <w:r>
        <w:t xml:space="preserve">, </w:t>
      </w:r>
      <w:r>
        <w:fldChar w:fldCharType="begin"/>
      </w:r>
      <w:r>
        <w:instrText xml:space="preserve"> REF _Ref213444704 \w \h </w:instrText>
      </w:r>
      <w:r>
        <w:fldChar w:fldCharType="separate"/>
      </w:r>
      <w:r w:rsidR="002C0C2A">
        <w:t>97.1</w:t>
      </w:r>
      <w:r>
        <w:fldChar w:fldCharType="end"/>
      </w:r>
      <w:r>
        <w:t xml:space="preserve"> and </w:t>
      </w:r>
      <w:r>
        <w:fldChar w:fldCharType="begin"/>
      </w:r>
      <w:r>
        <w:instrText xml:space="preserve"> REF _Ref213530511 \w \h </w:instrText>
      </w:r>
      <w:r>
        <w:fldChar w:fldCharType="separate"/>
      </w:r>
      <w:r w:rsidR="002C0C2A">
        <w:t>103.1</w:t>
      </w:r>
      <w:r>
        <w:fldChar w:fldCharType="end"/>
      </w:r>
      <w:r>
        <w:t xml:space="preserve"> of these reasons are required in the restraints section of all commercial anticoagulant rodenticide chemical products, to reduce the likelihood of an unintended effect that is harmful to non-target terrestrial vertebrates and an effect that is harmful to human beings, including children that may be in the vicinity of the treatment area and people that may hunt for wild game.</w:t>
      </w:r>
    </w:p>
    <w:p w14:paraId="544457F9" w14:textId="6D94944D" w:rsidR="008E67EA" w:rsidRPr="003647E1" w:rsidRDefault="008E67EA">
      <w:pPr>
        <w:pStyle w:val="NumberLevel2"/>
        <w:numPr>
          <w:ilvl w:val="1"/>
          <w:numId w:val="17"/>
        </w:numPr>
        <w:ind w:left="1134"/>
      </w:pPr>
      <w:r>
        <w:t xml:space="preserve">The directions listed in paragraph </w:t>
      </w:r>
      <w:r>
        <w:fldChar w:fldCharType="begin"/>
      </w:r>
      <w:r>
        <w:instrText xml:space="preserve"> REF _Ref213529460 \w \h </w:instrText>
      </w:r>
      <w:r>
        <w:fldChar w:fldCharType="separate"/>
      </w:r>
      <w:r w:rsidR="002C0C2A">
        <w:t>56.3</w:t>
      </w:r>
      <w:r>
        <w:fldChar w:fldCharType="end"/>
      </w:r>
      <w:r>
        <w:t xml:space="preserve"> of these reasons are required in the restraints section of labels of commercial coumatetralyl and d</w:t>
      </w:r>
      <w:r w:rsidRPr="000557B9">
        <w:rPr>
          <w:color w:val="000000" w:themeColor="text1"/>
        </w:rPr>
        <w:t>iphacinone</w:t>
      </w:r>
      <w:r>
        <w:t xml:space="preserve"> chemical </w:t>
      </w:r>
      <w:r w:rsidRPr="002C111B">
        <w:t xml:space="preserve">products </w:t>
      </w:r>
      <w:r w:rsidRPr="00011C46">
        <w:rPr>
          <w:color w:val="000000" w:themeColor="text1"/>
        </w:rPr>
        <w:t>(</w:t>
      </w:r>
      <w:r w:rsidRPr="00011C46">
        <w:t>51508, 52098, 82217 and 89433</w:t>
      </w:r>
      <w:r w:rsidRPr="00011C46">
        <w:rPr>
          <w:color w:val="000000" w:themeColor="text1"/>
        </w:rPr>
        <w:t>)</w:t>
      </w:r>
      <w:r w:rsidRPr="002C111B">
        <w:rPr>
          <w:color w:val="000000" w:themeColor="text1"/>
        </w:rPr>
        <w:t>,</w:t>
      </w:r>
      <w:r>
        <w:rPr>
          <w:color w:val="000000" w:themeColor="text1"/>
        </w:rPr>
        <w:t xml:space="preserve"> noting that this baiting technique is not appropriate for chemical products that contain these first-generation anticoagulant rodenticides</w:t>
      </w:r>
      <w:r w:rsidRPr="004F545E">
        <w:t xml:space="preserve"> </w:t>
      </w:r>
      <w:r w:rsidRPr="004F545E">
        <w:rPr>
          <w:color w:val="000000" w:themeColor="text1"/>
        </w:rPr>
        <w:t xml:space="preserve">due to the increased risk of </w:t>
      </w:r>
      <w:r>
        <w:rPr>
          <w:color w:val="000000" w:themeColor="text1"/>
        </w:rPr>
        <w:t xml:space="preserve">target </w:t>
      </w:r>
      <w:r w:rsidRPr="004F545E">
        <w:rPr>
          <w:color w:val="000000" w:themeColor="text1"/>
        </w:rPr>
        <w:t>mice or rats consuming a non-lethal dose of the bait</w:t>
      </w:r>
      <w:r>
        <w:rPr>
          <w:color w:val="000000" w:themeColor="text1"/>
        </w:rPr>
        <w:t>.</w:t>
      </w:r>
    </w:p>
    <w:p w14:paraId="5CEFE00B" w14:textId="7FB7028C" w:rsidR="008E67EA" w:rsidRPr="003647E1" w:rsidRDefault="008E67EA">
      <w:pPr>
        <w:pStyle w:val="NumberLevel2"/>
        <w:numPr>
          <w:ilvl w:val="1"/>
          <w:numId w:val="17"/>
        </w:numPr>
        <w:ind w:left="1134"/>
      </w:pPr>
      <w:r>
        <w:t>For the labels of commercial anticoagulant rodenticide chemical products that are formulated as</w:t>
      </w:r>
      <w:r w:rsidRPr="004850D5">
        <w:rPr>
          <w:color w:val="000000" w:themeColor="text1"/>
        </w:rPr>
        <w:t xml:space="preserve"> </w:t>
      </w:r>
      <w:r w:rsidRPr="00812077">
        <w:rPr>
          <w:color w:val="000000" w:themeColor="text1"/>
        </w:rPr>
        <w:t>blocks, paste in a caulking gun or paste/pellets in a sachet or place pack</w:t>
      </w:r>
      <w:r>
        <w:rPr>
          <w:color w:val="000000" w:themeColor="text1"/>
        </w:rPr>
        <w:t xml:space="preserve"> </w:t>
      </w:r>
      <w:r w:rsidRPr="00812077">
        <w:t xml:space="preserve">(see </w:t>
      </w:r>
      <w:r w:rsidRPr="00812077">
        <w:fldChar w:fldCharType="begin"/>
      </w:r>
      <w:r w:rsidRPr="00812077">
        <w:instrText xml:space="preserve"> REF _Ref213257833 \h  \* MERGEFORMAT </w:instrText>
      </w:r>
      <w:r w:rsidRPr="00812077">
        <w:fldChar w:fldCharType="separate"/>
      </w:r>
      <w:r w:rsidR="002C0C2A">
        <w:t xml:space="preserve">Table </w:t>
      </w:r>
      <w:r w:rsidR="002C0C2A">
        <w:rPr>
          <w:noProof/>
        </w:rPr>
        <w:t>17</w:t>
      </w:r>
      <w:r w:rsidRPr="00812077">
        <w:fldChar w:fldCharType="end"/>
      </w:r>
      <w:r w:rsidRPr="00812077">
        <w:t xml:space="preserve"> in Attachment D)</w:t>
      </w:r>
      <w:r>
        <w:t xml:space="preserve">, the directions listed in paragraph </w:t>
      </w:r>
      <w:r>
        <w:fldChar w:fldCharType="begin"/>
      </w:r>
      <w:r>
        <w:instrText xml:space="preserve"> REF _Ref213531263 \w \h </w:instrText>
      </w:r>
      <w:r>
        <w:fldChar w:fldCharType="separate"/>
      </w:r>
      <w:r w:rsidR="002C0C2A">
        <w:t>107.3.a</w:t>
      </w:r>
      <w:r>
        <w:fldChar w:fldCharType="end"/>
      </w:r>
      <w:r>
        <w:t xml:space="preserve"> of these reasons are required in the restraints section and the cautionary directions listed in paragraph </w:t>
      </w:r>
      <w:r>
        <w:fldChar w:fldCharType="begin"/>
      </w:r>
      <w:r>
        <w:instrText xml:space="preserve"> REF _Ref213533593 \w \h </w:instrText>
      </w:r>
      <w:r>
        <w:fldChar w:fldCharType="separate"/>
      </w:r>
      <w:r w:rsidR="002C0C2A">
        <w:t>107.3.b</w:t>
      </w:r>
      <w:r>
        <w:fldChar w:fldCharType="end"/>
      </w:r>
      <w:r>
        <w:t xml:space="preserve"> of these reasons are required in the directions for use section in order to reduce potential contamination risks associated with food commodities that may be consumed by human beings.</w:t>
      </w:r>
    </w:p>
    <w:p w14:paraId="7972F81C" w14:textId="52ACEC98" w:rsidR="008E67EA" w:rsidRPr="00010BDF" w:rsidRDefault="008E67EA">
      <w:pPr>
        <w:pStyle w:val="NumberLevel2"/>
        <w:numPr>
          <w:ilvl w:val="1"/>
          <w:numId w:val="17"/>
        </w:numPr>
        <w:ind w:left="1134"/>
      </w:pPr>
      <w:r>
        <w:rPr>
          <w:color w:val="000000" w:themeColor="text1"/>
        </w:rPr>
        <w:t xml:space="preserve">For the labels of certain coumatetralyl products approved for use in agricultural </w:t>
      </w:r>
      <w:r w:rsidRPr="002C111B">
        <w:rPr>
          <w:color w:val="000000" w:themeColor="text1"/>
        </w:rPr>
        <w:t xml:space="preserve">crops </w:t>
      </w:r>
      <w:r w:rsidRPr="00011C46">
        <w:rPr>
          <w:color w:val="000000" w:themeColor="text1"/>
        </w:rPr>
        <w:t>(52098, 82217)</w:t>
      </w:r>
      <w:r w:rsidRPr="002C111B">
        <w:rPr>
          <w:color w:val="000000" w:themeColor="text1"/>
        </w:rPr>
        <w:t>, the</w:t>
      </w:r>
      <w:r>
        <w:rPr>
          <w:color w:val="000000" w:themeColor="text1"/>
        </w:rPr>
        <w:t xml:space="preserve"> directions listed in paragraph </w:t>
      </w:r>
      <w:r>
        <w:rPr>
          <w:color w:val="000000" w:themeColor="text1"/>
        </w:rPr>
        <w:fldChar w:fldCharType="begin"/>
      </w:r>
      <w:r>
        <w:rPr>
          <w:color w:val="000000" w:themeColor="text1"/>
        </w:rPr>
        <w:instrText xml:space="preserve"> REF _Ref213532407 \w \h </w:instrText>
      </w:r>
      <w:r>
        <w:rPr>
          <w:color w:val="000000" w:themeColor="text1"/>
        </w:rPr>
      </w:r>
      <w:r>
        <w:rPr>
          <w:color w:val="000000" w:themeColor="text1"/>
        </w:rPr>
        <w:fldChar w:fldCharType="separate"/>
      </w:r>
      <w:r w:rsidR="002C0C2A">
        <w:rPr>
          <w:color w:val="000000" w:themeColor="text1"/>
        </w:rPr>
        <w:t>109.1.a</w:t>
      </w:r>
      <w:r>
        <w:rPr>
          <w:color w:val="000000" w:themeColor="text1"/>
        </w:rPr>
        <w:fldChar w:fldCharType="end"/>
      </w:r>
      <w:r>
        <w:rPr>
          <w:color w:val="000000" w:themeColor="text1"/>
        </w:rPr>
        <w:t xml:space="preserve"> of these reasons are required in the restraints section and the directions listed in paragraphs </w:t>
      </w:r>
      <w:r>
        <w:rPr>
          <w:color w:val="000000" w:themeColor="text1"/>
        </w:rPr>
        <w:fldChar w:fldCharType="begin"/>
      </w:r>
      <w:r>
        <w:rPr>
          <w:color w:val="000000" w:themeColor="text1"/>
        </w:rPr>
        <w:instrText xml:space="preserve"> REF _Ref213532648 \w \h </w:instrText>
      </w:r>
      <w:r>
        <w:rPr>
          <w:color w:val="000000" w:themeColor="text1"/>
        </w:rPr>
      </w:r>
      <w:r>
        <w:rPr>
          <w:color w:val="000000" w:themeColor="text1"/>
        </w:rPr>
        <w:fldChar w:fldCharType="separate"/>
      </w:r>
      <w:r w:rsidR="002C0C2A">
        <w:rPr>
          <w:color w:val="000000" w:themeColor="text1"/>
        </w:rPr>
        <w:t>109.1.b</w:t>
      </w:r>
      <w:r>
        <w:rPr>
          <w:color w:val="000000" w:themeColor="text1"/>
        </w:rPr>
        <w:fldChar w:fldCharType="end"/>
      </w:r>
      <w:r>
        <w:rPr>
          <w:color w:val="000000" w:themeColor="text1"/>
        </w:rPr>
        <w:t xml:space="preserve"> and </w:t>
      </w:r>
      <w:r>
        <w:rPr>
          <w:color w:val="000000" w:themeColor="text1"/>
        </w:rPr>
        <w:fldChar w:fldCharType="begin"/>
      </w:r>
      <w:r>
        <w:rPr>
          <w:color w:val="000000" w:themeColor="text1"/>
        </w:rPr>
        <w:instrText xml:space="preserve"> REF _Ref213532649 \w \h </w:instrText>
      </w:r>
      <w:r>
        <w:rPr>
          <w:color w:val="000000" w:themeColor="text1"/>
        </w:rPr>
      </w:r>
      <w:r>
        <w:rPr>
          <w:color w:val="000000" w:themeColor="text1"/>
        </w:rPr>
        <w:fldChar w:fldCharType="separate"/>
      </w:r>
      <w:r w:rsidR="002C0C2A">
        <w:rPr>
          <w:color w:val="000000" w:themeColor="text1"/>
        </w:rPr>
        <w:t>109.2</w:t>
      </w:r>
      <w:r>
        <w:rPr>
          <w:color w:val="000000" w:themeColor="text1"/>
        </w:rPr>
        <w:fldChar w:fldCharType="end"/>
      </w:r>
      <w:r>
        <w:rPr>
          <w:color w:val="000000" w:themeColor="text1"/>
        </w:rPr>
        <w:t xml:space="preserve"> of these reasons are required in the directions for use section in order to mitigate potential contamination risks associated with food commodities grown from these agricultural crops.</w:t>
      </w:r>
    </w:p>
    <w:p w14:paraId="4AA53C83" w14:textId="0F912214" w:rsidR="008E67EA" w:rsidRDefault="008E67EA">
      <w:pPr>
        <w:pStyle w:val="NumberLevel2"/>
        <w:numPr>
          <w:ilvl w:val="1"/>
          <w:numId w:val="17"/>
        </w:numPr>
        <w:ind w:left="1134"/>
      </w:pPr>
      <w:r>
        <w:t xml:space="preserve">The directions and cautionary statements listed in paragraphs </w:t>
      </w:r>
      <w:r>
        <w:fldChar w:fldCharType="begin"/>
      </w:r>
      <w:r>
        <w:instrText xml:space="preserve"> REF _Ref213530547 \w \h </w:instrText>
      </w:r>
      <w:r>
        <w:fldChar w:fldCharType="separate"/>
      </w:r>
      <w:r w:rsidR="002C0C2A">
        <w:t>103.2</w:t>
      </w:r>
      <w:r>
        <w:fldChar w:fldCharType="end"/>
      </w:r>
      <w:r>
        <w:t xml:space="preserve"> and </w:t>
      </w:r>
      <w:r>
        <w:fldChar w:fldCharType="begin"/>
      </w:r>
      <w:r>
        <w:instrText xml:space="preserve"> REF _Ref213530997 \w \h </w:instrText>
      </w:r>
      <w:r>
        <w:fldChar w:fldCharType="separate"/>
      </w:r>
      <w:r w:rsidR="002C0C2A">
        <w:t>107.1.b</w:t>
      </w:r>
      <w:r>
        <w:fldChar w:fldCharType="end"/>
      </w:r>
      <w:r>
        <w:t xml:space="preserve"> of these reasons are required in the precautions section of labels of all commercial anticoagulant rodenticide chemical products, to reduce potential contamination risks associated with use of products in areas where wildlife and game may be hunted and in and around buildings.</w:t>
      </w:r>
    </w:p>
    <w:p w14:paraId="400F4E9F" w14:textId="0E3C76B7" w:rsidR="008E67EA" w:rsidRDefault="008E67EA">
      <w:pPr>
        <w:pStyle w:val="NumberLevel2"/>
        <w:numPr>
          <w:ilvl w:val="1"/>
          <w:numId w:val="17"/>
        </w:numPr>
        <w:ind w:left="1134"/>
      </w:pPr>
      <w:r>
        <w:t xml:space="preserve">The warning statements and directions listed in paragraph </w:t>
      </w:r>
      <w:r>
        <w:fldChar w:fldCharType="begin"/>
      </w:r>
      <w:r>
        <w:instrText xml:space="preserve"> REF _Ref207047575 \w \h </w:instrText>
      </w:r>
      <w:r>
        <w:fldChar w:fldCharType="separate"/>
      </w:r>
      <w:r w:rsidR="002C0C2A">
        <w:t>50</w:t>
      </w:r>
      <w:r>
        <w:fldChar w:fldCharType="end"/>
      </w:r>
      <w:r>
        <w:t xml:space="preserve">, </w:t>
      </w:r>
      <w:r>
        <w:fldChar w:fldCharType="begin"/>
      </w:r>
      <w:r>
        <w:instrText xml:space="preserve"> REF _Ref213184776 \w \h </w:instrText>
      </w:r>
      <w:r>
        <w:fldChar w:fldCharType="separate"/>
      </w:r>
      <w:r w:rsidR="002C0C2A">
        <w:t>52.2</w:t>
      </w:r>
      <w:r>
        <w:fldChar w:fldCharType="end"/>
      </w:r>
      <w:r>
        <w:t xml:space="preserve">, </w:t>
      </w:r>
      <w:r>
        <w:fldChar w:fldCharType="begin"/>
      </w:r>
      <w:r>
        <w:instrText xml:space="preserve"> REF _Ref213529721 \w \h </w:instrText>
      </w:r>
      <w:r>
        <w:fldChar w:fldCharType="separate"/>
      </w:r>
      <w:r w:rsidR="002C0C2A">
        <w:t>58.1</w:t>
      </w:r>
      <w:r>
        <w:fldChar w:fldCharType="end"/>
      </w:r>
      <w:r>
        <w:t xml:space="preserve">, </w:t>
      </w:r>
      <w:r>
        <w:fldChar w:fldCharType="begin"/>
      </w:r>
      <w:r>
        <w:instrText xml:space="preserve"> REF _Ref213530980 \w \h </w:instrText>
      </w:r>
      <w:r>
        <w:fldChar w:fldCharType="separate"/>
      </w:r>
      <w:r w:rsidR="002C0C2A">
        <w:t>107.1.a</w:t>
      </w:r>
      <w:r>
        <w:fldChar w:fldCharType="end"/>
      </w:r>
      <w:r>
        <w:t xml:space="preserve"> and </w:t>
      </w:r>
      <w:r>
        <w:fldChar w:fldCharType="begin"/>
      </w:r>
      <w:r>
        <w:instrText xml:space="preserve"> REF _Ref213530987 \w \h </w:instrText>
      </w:r>
      <w:r>
        <w:fldChar w:fldCharType="separate"/>
      </w:r>
      <w:r w:rsidR="002C0C2A">
        <w:t>107.1.c</w:t>
      </w:r>
      <w:r>
        <w:fldChar w:fldCharType="end"/>
      </w:r>
      <w:r>
        <w:t xml:space="preserve"> of these reasons are required in the protections section of all commercial anticoagulant rodenticide chemical products, under the sub-heading </w:t>
      </w:r>
      <w:r w:rsidRPr="00E306FF">
        <w:rPr>
          <w:b/>
          <w:bCs/>
          <w:i/>
          <w:iCs/>
        </w:rPr>
        <w:t>‘</w:t>
      </w:r>
      <w:r w:rsidRPr="00C53032">
        <w:rPr>
          <w:b/>
          <w:bCs/>
          <w:i/>
          <w:iCs/>
        </w:rPr>
        <w:t>PROTECTION OF LIVESTOCK AND WILDLIFE</w:t>
      </w:r>
      <w:r>
        <w:t>, in order to</w:t>
      </w:r>
      <w:r w:rsidRPr="00010BDF">
        <w:t xml:space="preserve"> </w:t>
      </w:r>
      <w:r>
        <w:t>reduce the likelihood of an unintended effect that is harmful to non-target terrestrial vertebrates and reduce the potential contamination risks associated with wild game and livestock.</w:t>
      </w:r>
    </w:p>
    <w:p w14:paraId="26480C38" w14:textId="73F87C42" w:rsidR="008E67EA" w:rsidRDefault="008E67EA">
      <w:pPr>
        <w:pStyle w:val="NumberLevel2"/>
        <w:numPr>
          <w:ilvl w:val="1"/>
          <w:numId w:val="17"/>
        </w:numPr>
        <w:ind w:left="1134"/>
      </w:pPr>
      <w:r>
        <w:t xml:space="preserve">The relevant warning statement, based on the active constituent of the product, and directions listed respectively in paragraphs </w:t>
      </w:r>
      <w:r>
        <w:fldChar w:fldCharType="begin"/>
      </w:r>
      <w:r>
        <w:instrText xml:space="preserve"> REF _Ref207139626 \w \h </w:instrText>
      </w:r>
      <w:r>
        <w:fldChar w:fldCharType="separate"/>
      </w:r>
      <w:r w:rsidR="002C0C2A">
        <w:t>64</w:t>
      </w:r>
      <w:r>
        <w:fldChar w:fldCharType="end"/>
      </w:r>
      <w:r>
        <w:t xml:space="preserve"> and </w:t>
      </w:r>
      <w:r>
        <w:fldChar w:fldCharType="begin"/>
      </w:r>
      <w:r>
        <w:instrText xml:space="preserve"> REF _Ref213490447 \w \h </w:instrText>
      </w:r>
      <w:r>
        <w:fldChar w:fldCharType="separate"/>
      </w:r>
      <w:r w:rsidR="002C0C2A">
        <w:t>65.2</w:t>
      </w:r>
      <w:r>
        <w:fldChar w:fldCharType="end"/>
      </w:r>
      <w:r>
        <w:t xml:space="preserve"> of these reasons are required in the protections section of the labels of all commercial anticoagulant rodenticide chemical products, under the sub-heading </w:t>
      </w:r>
      <w:r w:rsidRPr="00E306FF">
        <w:rPr>
          <w:b/>
          <w:bCs/>
          <w:i/>
          <w:iCs/>
        </w:rPr>
        <w:t>‘PROTECTION OF FISH, CRUSTACEANS AND ENVIRONMENT’</w:t>
      </w:r>
      <w:r>
        <w:t>, in order to mitigate the risks that the use of the chemical products in accordance with instructions may have an unintended effect that is harmful to aquatic species.</w:t>
      </w:r>
    </w:p>
    <w:p w14:paraId="35098DBF" w14:textId="5CFBF0CD" w:rsidR="008E67EA" w:rsidRPr="00306D1B" w:rsidRDefault="008E67EA">
      <w:pPr>
        <w:pStyle w:val="NumberLevel2"/>
        <w:numPr>
          <w:ilvl w:val="1"/>
          <w:numId w:val="17"/>
        </w:numPr>
        <w:ind w:left="1134"/>
        <w:rPr>
          <w:color w:val="000000" w:themeColor="text1"/>
        </w:rPr>
      </w:pPr>
      <w:r w:rsidRPr="00306D1B">
        <w:rPr>
          <w:color w:val="000000" w:themeColor="text1"/>
        </w:rPr>
        <w:t xml:space="preserve">The directions listed in paragraph </w:t>
      </w:r>
      <w:r w:rsidRPr="00306D1B">
        <w:rPr>
          <w:color w:val="000000" w:themeColor="text1"/>
        </w:rPr>
        <w:fldChar w:fldCharType="begin"/>
      </w:r>
      <w:r w:rsidRPr="00306D1B">
        <w:rPr>
          <w:color w:val="000000" w:themeColor="text1"/>
        </w:rPr>
        <w:instrText xml:space="preserve"> REF _Ref213490407 \w \h </w:instrText>
      </w:r>
      <w:r>
        <w:rPr>
          <w:color w:val="000000" w:themeColor="text1"/>
        </w:rPr>
        <w:instrText xml:space="preserve"> \* MERGEFORMAT </w:instrText>
      </w:r>
      <w:r w:rsidRPr="00306D1B">
        <w:rPr>
          <w:color w:val="000000" w:themeColor="text1"/>
        </w:rPr>
      </w:r>
      <w:r w:rsidRPr="00306D1B">
        <w:rPr>
          <w:color w:val="000000" w:themeColor="text1"/>
        </w:rPr>
        <w:fldChar w:fldCharType="separate"/>
      </w:r>
      <w:r w:rsidR="002C0C2A">
        <w:rPr>
          <w:color w:val="000000" w:themeColor="text1"/>
        </w:rPr>
        <w:t>57</w:t>
      </w:r>
      <w:r w:rsidRPr="00306D1B">
        <w:rPr>
          <w:color w:val="000000" w:themeColor="text1"/>
        </w:rPr>
        <w:fldChar w:fldCharType="end"/>
      </w:r>
      <w:r w:rsidRPr="00306D1B">
        <w:rPr>
          <w:color w:val="000000" w:themeColor="text1"/>
        </w:rPr>
        <w:t xml:space="preserve"> of these reasons are required in the directions for use section of all commercial anticoagulant rodenticide chemical products in order to reduce the likelihood that use of the </w:t>
      </w:r>
      <w:r w:rsidRPr="00306D1B">
        <w:rPr>
          <w:color w:val="000000" w:themeColor="text1"/>
        </w:rPr>
        <w:lastRenderedPageBreak/>
        <w:t xml:space="preserve">chemical products in accordance with instructions may have an unintended effect that is harmful to non-target terrestrial vertebrates. For this reason, I also consider that the direction </w:t>
      </w:r>
      <w:r w:rsidRPr="00306D1B">
        <w:rPr>
          <w:b/>
          <w:bCs/>
          <w:i/>
          <w:iCs/>
          <w:color w:val="000000" w:themeColor="text1"/>
        </w:rPr>
        <w:t>‘Use placebo or unpoisoned bait blocks if the placement of the bait presents a hazard to non-target animals’</w:t>
      </w:r>
      <w:r w:rsidRPr="00306D1B">
        <w:rPr>
          <w:color w:val="000000" w:themeColor="text1"/>
        </w:rPr>
        <w:t xml:space="preserve"> is required on the labels of all commercial chemical products with instructions for monitoring and/or maintenance treatments (</w:t>
      </w:r>
      <w:r w:rsidRPr="00306D1B">
        <w:t xml:space="preserve">33896, 48372, </w:t>
      </w:r>
      <w:r w:rsidRPr="00306D1B">
        <w:rPr>
          <w:color w:val="000000" w:themeColor="text1"/>
        </w:rPr>
        <w:t xml:space="preserve">52675, 59323, 66235, </w:t>
      </w:r>
      <w:r w:rsidRPr="00306D1B">
        <w:t xml:space="preserve">66331, </w:t>
      </w:r>
      <w:r w:rsidRPr="00306D1B">
        <w:rPr>
          <w:color w:val="000000" w:themeColor="text1"/>
        </w:rPr>
        <w:t>69867,</w:t>
      </w:r>
      <w:r w:rsidRPr="00306D1B">
        <w:t xml:space="preserve"> 69994, 82450, 86179, 87706,</w:t>
      </w:r>
      <w:r w:rsidRPr="00306D1B">
        <w:rPr>
          <w:color w:val="000000" w:themeColor="text1"/>
        </w:rPr>
        <w:t xml:space="preserve"> 89557, </w:t>
      </w:r>
      <w:r w:rsidRPr="00306D1B">
        <w:t>90982</w:t>
      </w:r>
      <w:r w:rsidRPr="00306D1B">
        <w:rPr>
          <w:color w:val="000000" w:themeColor="text1"/>
        </w:rPr>
        <w:t>).</w:t>
      </w:r>
    </w:p>
    <w:p w14:paraId="4A8FA437" w14:textId="07FC362C" w:rsidR="008E67EA" w:rsidRPr="00A474F3" w:rsidRDefault="008E67EA">
      <w:pPr>
        <w:pStyle w:val="NumberLevel2"/>
        <w:numPr>
          <w:ilvl w:val="1"/>
          <w:numId w:val="17"/>
        </w:numPr>
        <w:ind w:left="1134"/>
        <w:rPr>
          <w:color w:val="000000" w:themeColor="text1"/>
        </w:rPr>
      </w:pPr>
      <w:r w:rsidRPr="00A474F3">
        <w:rPr>
          <w:color w:val="000000" w:themeColor="text1"/>
        </w:rPr>
        <w:t xml:space="preserve">Finally, as details in paragraph </w:t>
      </w:r>
      <w:r w:rsidRPr="00A474F3">
        <w:rPr>
          <w:color w:val="000000" w:themeColor="text1"/>
        </w:rPr>
        <w:fldChar w:fldCharType="begin"/>
      </w:r>
      <w:r w:rsidRPr="00A474F3">
        <w:rPr>
          <w:color w:val="000000" w:themeColor="text1"/>
        </w:rPr>
        <w:instrText xml:space="preserve"> REF _Ref213444614 \w \h </w:instrText>
      </w:r>
      <w:r w:rsidRPr="00A474F3">
        <w:rPr>
          <w:color w:val="000000" w:themeColor="text1"/>
        </w:rPr>
      </w:r>
      <w:r w:rsidRPr="00A474F3">
        <w:rPr>
          <w:color w:val="000000" w:themeColor="text1"/>
        </w:rPr>
        <w:fldChar w:fldCharType="separate"/>
      </w:r>
      <w:r w:rsidR="002C0C2A">
        <w:rPr>
          <w:color w:val="000000" w:themeColor="text1"/>
        </w:rPr>
        <w:t>87.3</w:t>
      </w:r>
      <w:r w:rsidRPr="00A474F3">
        <w:rPr>
          <w:color w:val="000000" w:themeColor="text1"/>
        </w:rPr>
        <w:fldChar w:fldCharType="end"/>
      </w:r>
      <w:r w:rsidRPr="00A474F3">
        <w:rPr>
          <w:color w:val="000000" w:themeColor="text1"/>
        </w:rPr>
        <w:t xml:space="preserve"> of these reasons, any current instructions of the labels of anticoagulant rodenticide chemical products that indicate people should avoid touching the bait for various reasons should be varied to </w:t>
      </w:r>
      <w:r w:rsidRPr="00A474F3">
        <w:rPr>
          <w:b/>
          <w:bCs/>
          <w:i/>
          <w:iCs/>
          <w:color w:val="000000" w:themeColor="text1"/>
        </w:rPr>
        <w:t>‘DO NOT touch bait’</w:t>
      </w:r>
      <w:r w:rsidRPr="00A474F3">
        <w:rPr>
          <w:color w:val="000000" w:themeColor="text1"/>
        </w:rPr>
        <w:t xml:space="preserve"> in order to mitigate safety concerns for people who handle these chemical products.</w:t>
      </w:r>
    </w:p>
    <w:p w14:paraId="039BA4EE" w14:textId="77777777" w:rsidR="008E67EA" w:rsidRDefault="008E67EA">
      <w:pPr>
        <w:pStyle w:val="NumberLevel1"/>
        <w:numPr>
          <w:ilvl w:val="0"/>
          <w:numId w:val="17"/>
        </w:numPr>
        <w:tabs>
          <w:tab w:val="clear" w:pos="709"/>
          <w:tab w:val="num" w:pos="2553"/>
        </w:tabs>
        <w:rPr>
          <w:color w:val="000000" w:themeColor="text1"/>
        </w:rPr>
      </w:pPr>
      <w:bookmarkStart w:id="304" w:name="_Ref213588115"/>
      <w:r w:rsidRPr="00FB1A85">
        <w:rPr>
          <w:color w:val="000000" w:themeColor="text1"/>
        </w:rPr>
        <w:t xml:space="preserve">In relation </w:t>
      </w:r>
      <w:r>
        <w:rPr>
          <w:color w:val="000000" w:themeColor="text1"/>
        </w:rPr>
        <w:t xml:space="preserve">instructions on how the product should be used on </w:t>
      </w:r>
      <w:r w:rsidRPr="00FB1A85">
        <w:rPr>
          <w:color w:val="000000" w:themeColor="text1"/>
        </w:rPr>
        <w:t xml:space="preserve">the labels of </w:t>
      </w:r>
      <w:r>
        <w:rPr>
          <w:color w:val="000000" w:themeColor="text1"/>
        </w:rPr>
        <w:t>domestic</w:t>
      </w:r>
      <w:r w:rsidRPr="00FB1A85">
        <w:rPr>
          <w:color w:val="000000" w:themeColor="text1"/>
        </w:rPr>
        <w:t xml:space="preserve"> anticoagulant rodenticide chemical</w:t>
      </w:r>
      <w:r>
        <w:rPr>
          <w:color w:val="000000" w:themeColor="text1"/>
        </w:rPr>
        <w:t xml:space="preserve"> listed in Attachment A of the notice</w:t>
      </w:r>
      <w:r w:rsidRPr="008E61A9">
        <w:rPr>
          <w:color w:val="000000" w:themeColor="text1"/>
        </w:rPr>
        <w:t xml:space="preserve">, </w:t>
      </w:r>
      <w:r>
        <w:rPr>
          <w:color w:val="000000" w:themeColor="text1"/>
        </w:rPr>
        <w:t xml:space="preserve">in order for the labels to </w:t>
      </w:r>
      <w:r w:rsidRPr="008E61A9">
        <w:rPr>
          <w:color w:val="000000" w:themeColor="text1"/>
        </w:rPr>
        <w:t>contain adequate instructions to ensure, as far as reasonably practicable, that products meet the safety criteria, I consider the following:</w:t>
      </w:r>
      <w:bookmarkEnd w:id="304"/>
    </w:p>
    <w:p w14:paraId="0512F4DD" w14:textId="23D93B1B" w:rsidR="008E67EA" w:rsidRDefault="008E67EA">
      <w:pPr>
        <w:pStyle w:val="NumberLevel2"/>
        <w:numPr>
          <w:ilvl w:val="1"/>
          <w:numId w:val="17"/>
        </w:numPr>
        <w:ind w:left="1134"/>
        <w:rPr>
          <w:color w:val="000000" w:themeColor="text1"/>
        </w:rPr>
      </w:pPr>
      <w:r w:rsidRPr="00794EE5">
        <w:rPr>
          <w:color w:val="000000" w:themeColor="text1"/>
        </w:rPr>
        <w:t xml:space="preserve">The directions listed in paragraph </w:t>
      </w:r>
      <w:r w:rsidRPr="00794EE5">
        <w:rPr>
          <w:color w:val="000000" w:themeColor="text1"/>
        </w:rPr>
        <w:fldChar w:fldCharType="begin"/>
      </w:r>
      <w:r w:rsidRPr="00794EE5">
        <w:rPr>
          <w:color w:val="000000" w:themeColor="text1"/>
        </w:rPr>
        <w:instrText xml:space="preserve"> REF _Ref206083584 \w \h </w:instrText>
      </w:r>
      <w:r w:rsidRPr="00794EE5">
        <w:rPr>
          <w:color w:val="000000" w:themeColor="text1"/>
        </w:rPr>
      </w:r>
      <w:r w:rsidRPr="00794EE5">
        <w:rPr>
          <w:color w:val="000000" w:themeColor="text1"/>
        </w:rPr>
        <w:fldChar w:fldCharType="separate"/>
      </w:r>
      <w:r w:rsidR="002C0C2A">
        <w:rPr>
          <w:color w:val="000000" w:themeColor="text1"/>
        </w:rPr>
        <w:t>61.1</w:t>
      </w:r>
      <w:r w:rsidRPr="00794EE5">
        <w:rPr>
          <w:color w:val="000000" w:themeColor="text1"/>
        </w:rPr>
        <w:fldChar w:fldCharType="end"/>
      </w:r>
      <w:r w:rsidRPr="00794EE5">
        <w:rPr>
          <w:color w:val="000000" w:themeColor="text1"/>
        </w:rPr>
        <w:t xml:space="preserve"> of these reasons are required respective</w:t>
      </w:r>
      <w:r>
        <w:rPr>
          <w:color w:val="000000" w:themeColor="text1"/>
        </w:rPr>
        <w:t>ly</w:t>
      </w:r>
      <w:r w:rsidRPr="00794EE5">
        <w:rPr>
          <w:color w:val="000000" w:themeColor="text1"/>
        </w:rPr>
        <w:t xml:space="preserve"> in the restraints and how to use sections of the labels of all domestic anticoagulant rodenticide chemical products to reduce the risk</w:t>
      </w:r>
      <w:r>
        <w:rPr>
          <w:color w:val="000000" w:themeColor="text1"/>
        </w:rPr>
        <w:t xml:space="preserve">s associated with </w:t>
      </w:r>
      <w:r w:rsidRPr="00794EE5">
        <w:rPr>
          <w:color w:val="000000" w:themeColor="text1"/>
        </w:rPr>
        <w:t xml:space="preserve">non-target terrestrial vertebrates and children inadvertently accessing baits, as detailed in paragraphs </w:t>
      </w:r>
      <w:r w:rsidRPr="00794EE5">
        <w:rPr>
          <w:color w:val="000000" w:themeColor="text1"/>
        </w:rPr>
        <w:fldChar w:fldCharType="begin"/>
      </w:r>
      <w:r w:rsidRPr="00794EE5">
        <w:rPr>
          <w:color w:val="000000" w:themeColor="text1"/>
        </w:rPr>
        <w:instrText xml:space="preserve"> REF _Ref206083584 \w \h </w:instrText>
      </w:r>
      <w:r w:rsidRPr="00794EE5">
        <w:rPr>
          <w:color w:val="000000" w:themeColor="text1"/>
        </w:rPr>
      </w:r>
      <w:r w:rsidRPr="00794EE5">
        <w:rPr>
          <w:color w:val="000000" w:themeColor="text1"/>
        </w:rPr>
        <w:fldChar w:fldCharType="separate"/>
      </w:r>
      <w:r w:rsidR="002C0C2A">
        <w:rPr>
          <w:color w:val="000000" w:themeColor="text1"/>
        </w:rPr>
        <w:t>61.1</w:t>
      </w:r>
      <w:r w:rsidRPr="00794EE5">
        <w:rPr>
          <w:color w:val="000000" w:themeColor="text1"/>
        </w:rPr>
        <w:fldChar w:fldCharType="end"/>
      </w:r>
      <w:r w:rsidRPr="00794EE5">
        <w:rPr>
          <w:color w:val="000000" w:themeColor="text1"/>
        </w:rPr>
        <w:t xml:space="preserve"> and </w:t>
      </w:r>
      <w:r w:rsidRPr="00794EE5">
        <w:rPr>
          <w:color w:val="000000" w:themeColor="text1"/>
        </w:rPr>
        <w:fldChar w:fldCharType="begin"/>
      </w:r>
      <w:r w:rsidRPr="00794EE5">
        <w:rPr>
          <w:color w:val="000000" w:themeColor="text1"/>
        </w:rPr>
        <w:instrText xml:space="preserve"> REF _Ref213444704 \w \h </w:instrText>
      </w:r>
      <w:r w:rsidRPr="00794EE5">
        <w:rPr>
          <w:color w:val="000000" w:themeColor="text1"/>
        </w:rPr>
      </w:r>
      <w:r w:rsidRPr="00794EE5">
        <w:rPr>
          <w:color w:val="000000" w:themeColor="text1"/>
        </w:rPr>
        <w:fldChar w:fldCharType="separate"/>
      </w:r>
      <w:r w:rsidR="002C0C2A">
        <w:rPr>
          <w:color w:val="000000" w:themeColor="text1"/>
        </w:rPr>
        <w:t>97.1</w:t>
      </w:r>
      <w:r w:rsidRPr="00794EE5">
        <w:rPr>
          <w:color w:val="000000" w:themeColor="text1"/>
        </w:rPr>
        <w:fldChar w:fldCharType="end"/>
      </w:r>
      <w:r w:rsidRPr="00794EE5">
        <w:rPr>
          <w:color w:val="000000" w:themeColor="text1"/>
        </w:rPr>
        <w:t xml:space="preserve"> of these reasons</w:t>
      </w:r>
      <w:r w:rsidR="00731415">
        <w:rPr>
          <w:color w:val="000000" w:themeColor="text1"/>
        </w:rPr>
        <w:t>.</w:t>
      </w:r>
    </w:p>
    <w:p w14:paraId="434870D1" w14:textId="7BF54687" w:rsidR="008E67EA" w:rsidRDefault="008E67EA">
      <w:pPr>
        <w:pStyle w:val="NumberLevel2"/>
        <w:numPr>
          <w:ilvl w:val="1"/>
          <w:numId w:val="17"/>
        </w:numPr>
        <w:ind w:left="1134"/>
      </w:pPr>
      <w:r>
        <w:t xml:space="preserve">The directions listed in paragraph </w:t>
      </w:r>
      <w:r>
        <w:fldChar w:fldCharType="begin"/>
      </w:r>
      <w:r>
        <w:instrText xml:space="preserve"> REF _Ref213530511 \w \h </w:instrText>
      </w:r>
      <w:r>
        <w:fldChar w:fldCharType="separate"/>
      </w:r>
      <w:r w:rsidR="002C0C2A">
        <w:t>103.1</w:t>
      </w:r>
      <w:r>
        <w:fldChar w:fldCharType="end"/>
      </w:r>
      <w:r>
        <w:t xml:space="preserve"> of these reasons are required in the restraints section of all domestic anticoagulant rodenticide chemical products to reduce potential contamination risks associated wild game that people may hunt.</w:t>
      </w:r>
    </w:p>
    <w:p w14:paraId="4D1CD40C" w14:textId="05AB78F8" w:rsidR="008E67EA" w:rsidRPr="00DC3488" w:rsidRDefault="008E67EA">
      <w:pPr>
        <w:pStyle w:val="NumberLevel2"/>
        <w:numPr>
          <w:ilvl w:val="1"/>
          <w:numId w:val="17"/>
        </w:numPr>
        <w:ind w:left="1134"/>
        <w:rPr>
          <w:color w:val="000000" w:themeColor="text1"/>
        </w:rPr>
      </w:pPr>
      <w:r w:rsidRPr="00DC3488">
        <w:rPr>
          <w:color w:val="000000" w:themeColor="text1"/>
        </w:rPr>
        <w:t xml:space="preserve">The directions listed in paragraph </w:t>
      </w:r>
      <w:r w:rsidRPr="00DC3488">
        <w:rPr>
          <w:color w:val="000000" w:themeColor="text1"/>
        </w:rPr>
        <w:fldChar w:fldCharType="begin"/>
      </w:r>
      <w:r w:rsidRPr="00DC3488">
        <w:rPr>
          <w:color w:val="000000" w:themeColor="text1"/>
        </w:rPr>
        <w:instrText xml:space="preserve"> REF _Ref213592852 \w \h  \* MERGEFORMAT </w:instrText>
      </w:r>
      <w:r w:rsidRPr="00DC3488">
        <w:rPr>
          <w:color w:val="000000" w:themeColor="text1"/>
        </w:rPr>
      </w:r>
      <w:r w:rsidRPr="00DC3488">
        <w:rPr>
          <w:color w:val="000000" w:themeColor="text1"/>
        </w:rPr>
        <w:fldChar w:fldCharType="separate"/>
      </w:r>
      <w:r w:rsidR="002C0C2A">
        <w:rPr>
          <w:color w:val="000000" w:themeColor="text1"/>
        </w:rPr>
        <w:t>61.3</w:t>
      </w:r>
      <w:r w:rsidRPr="00DC3488">
        <w:rPr>
          <w:color w:val="000000" w:themeColor="text1"/>
        </w:rPr>
        <w:fldChar w:fldCharType="end"/>
      </w:r>
      <w:r w:rsidRPr="00DC3488">
        <w:rPr>
          <w:color w:val="000000" w:themeColor="text1"/>
        </w:rPr>
        <w:t xml:space="preserve"> of these reasons are required in the restraints section of all domestic anticoagulant rodenticide chemical products, noting that the pulsed baiting technique requires specialised knowledge to implement safely and effectively, which non-professional users of domestic products are not expected to have.</w:t>
      </w:r>
    </w:p>
    <w:p w14:paraId="65FFAD32" w14:textId="0961BA63" w:rsidR="008E67EA" w:rsidRDefault="008E67EA">
      <w:pPr>
        <w:pStyle w:val="NumberLevel2"/>
        <w:numPr>
          <w:ilvl w:val="1"/>
          <w:numId w:val="17"/>
        </w:numPr>
        <w:ind w:left="1134"/>
      </w:pPr>
      <w:r>
        <w:t xml:space="preserve">The directions and cautionary statements listed in paragraphs </w:t>
      </w:r>
      <w:r>
        <w:fldChar w:fldCharType="begin"/>
      </w:r>
      <w:r>
        <w:instrText xml:space="preserve"> REF _Ref213530547 \w \h </w:instrText>
      </w:r>
      <w:r>
        <w:fldChar w:fldCharType="separate"/>
      </w:r>
      <w:r w:rsidR="002C0C2A">
        <w:t>103.2</w:t>
      </w:r>
      <w:r>
        <w:fldChar w:fldCharType="end"/>
      </w:r>
      <w:r>
        <w:t xml:space="preserve"> and </w:t>
      </w:r>
      <w:r>
        <w:fldChar w:fldCharType="begin"/>
      </w:r>
      <w:r>
        <w:instrText xml:space="preserve"> REF _Ref213530997 \w \h </w:instrText>
      </w:r>
      <w:r>
        <w:fldChar w:fldCharType="separate"/>
      </w:r>
      <w:r w:rsidR="002C0C2A">
        <w:t>107.1.b</w:t>
      </w:r>
      <w:r>
        <w:fldChar w:fldCharType="end"/>
      </w:r>
      <w:r>
        <w:t xml:space="preserve"> of these reasons are required in the precautions section of labels of all domestic anticoagulant rodenticide chemical products, under a sub-heading of </w:t>
      </w:r>
      <w:r w:rsidRPr="00E306FF">
        <w:rPr>
          <w:b/>
          <w:bCs/>
          <w:i/>
          <w:iCs/>
        </w:rPr>
        <w:t>‘</w:t>
      </w:r>
      <w:r>
        <w:rPr>
          <w:b/>
          <w:bCs/>
          <w:i/>
          <w:iCs/>
        </w:rPr>
        <w:t>CAUTION’</w:t>
      </w:r>
      <w:r>
        <w:t>, to reduce potential contamination risks associated with use of products in areas where wildlife and game may be hunted and in and around buildings.</w:t>
      </w:r>
    </w:p>
    <w:p w14:paraId="1CA43307" w14:textId="3903FB62" w:rsidR="008E67EA" w:rsidRDefault="008E67EA">
      <w:pPr>
        <w:pStyle w:val="NumberLevel2"/>
        <w:numPr>
          <w:ilvl w:val="1"/>
          <w:numId w:val="17"/>
        </w:numPr>
        <w:ind w:left="1134"/>
      </w:pPr>
      <w:r>
        <w:t xml:space="preserve">The warning statements and directions listed in paragraphs </w:t>
      </w:r>
      <w:r w:rsidRPr="00DC3488">
        <w:rPr>
          <w:color w:val="000000" w:themeColor="text1"/>
        </w:rPr>
        <w:fldChar w:fldCharType="begin"/>
      </w:r>
      <w:r w:rsidRPr="00DC3488">
        <w:rPr>
          <w:color w:val="000000" w:themeColor="text1"/>
        </w:rPr>
        <w:instrText xml:space="preserve"> REF _Ref207047575 \w \h </w:instrText>
      </w:r>
      <w:r w:rsidRPr="00DC3488">
        <w:rPr>
          <w:color w:val="000000" w:themeColor="text1"/>
        </w:rPr>
      </w:r>
      <w:r w:rsidRPr="00DC3488">
        <w:rPr>
          <w:color w:val="000000" w:themeColor="text1"/>
        </w:rPr>
        <w:fldChar w:fldCharType="separate"/>
      </w:r>
      <w:r w:rsidR="002C0C2A">
        <w:rPr>
          <w:color w:val="000000" w:themeColor="text1"/>
        </w:rPr>
        <w:t>50</w:t>
      </w:r>
      <w:r w:rsidRPr="00DC3488">
        <w:rPr>
          <w:color w:val="000000" w:themeColor="text1"/>
        </w:rPr>
        <w:fldChar w:fldCharType="end"/>
      </w:r>
      <w:r w:rsidRPr="00DC3488">
        <w:rPr>
          <w:color w:val="000000" w:themeColor="text1"/>
        </w:rPr>
        <w:t xml:space="preserve">, </w:t>
      </w:r>
      <w:r w:rsidRPr="00DC3488">
        <w:rPr>
          <w:color w:val="000000" w:themeColor="text1"/>
        </w:rPr>
        <w:fldChar w:fldCharType="begin"/>
      </w:r>
      <w:r w:rsidRPr="00DC3488">
        <w:rPr>
          <w:color w:val="000000" w:themeColor="text1"/>
        </w:rPr>
        <w:instrText xml:space="preserve"> REF _Ref213184776 \w \h </w:instrText>
      </w:r>
      <w:r w:rsidRPr="00DC3488">
        <w:rPr>
          <w:color w:val="000000" w:themeColor="text1"/>
        </w:rPr>
      </w:r>
      <w:r w:rsidRPr="00DC3488">
        <w:rPr>
          <w:color w:val="000000" w:themeColor="text1"/>
        </w:rPr>
        <w:fldChar w:fldCharType="separate"/>
      </w:r>
      <w:r w:rsidR="002C0C2A">
        <w:rPr>
          <w:color w:val="000000" w:themeColor="text1"/>
        </w:rPr>
        <w:t>52.2</w:t>
      </w:r>
      <w:r w:rsidRPr="00DC3488">
        <w:rPr>
          <w:color w:val="000000" w:themeColor="text1"/>
        </w:rPr>
        <w:fldChar w:fldCharType="end"/>
      </w:r>
      <w:r w:rsidRPr="00DC3488">
        <w:rPr>
          <w:color w:val="000000" w:themeColor="text1"/>
        </w:rPr>
        <w:t xml:space="preserve">, </w:t>
      </w:r>
      <w:r w:rsidRPr="00DC3488">
        <w:rPr>
          <w:color w:val="000000" w:themeColor="text1"/>
        </w:rPr>
        <w:fldChar w:fldCharType="begin"/>
      </w:r>
      <w:r w:rsidRPr="00DC3488">
        <w:rPr>
          <w:color w:val="000000" w:themeColor="text1"/>
        </w:rPr>
        <w:instrText xml:space="preserve"> REF _Ref213592656 \w \h </w:instrText>
      </w:r>
      <w:r w:rsidRPr="00DC3488">
        <w:rPr>
          <w:color w:val="000000" w:themeColor="text1"/>
        </w:rPr>
      </w:r>
      <w:r w:rsidRPr="00DC3488">
        <w:rPr>
          <w:color w:val="000000" w:themeColor="text1"/>
        </w:rPr>
        <w:fldChar w:fldCharType="separate"/>
      </w:r>
      <w:r w:rsidR="002C0C2A">
        <w:rPr>
          <w:color w:val="000000" w:themeColor="text1"/>
        </w:rPr>
        <w:t>62.1</w:t>
      </w:r>
      <w:r w:rsidRPr="00DC3488">
        <w:rPr>
          <w:color w:val="000000" w:themeColor="text1"/>
        </w:rPr>
        <w:fldChar w:fldCharType="end"/>
      </w:r>
      <w:r w:rsidRPr="00DC3488">
        <w:rPr>
          <w:color w:val="000000" w:themeColor="text1"/>
        </w:rPr>
        <w:t xml:space="preserve">, </w:t>
      </w:r>
      <w:r w:rsidRPr="00DC3488">
        <w:rPr>
          <w:color w:val="000000" w:themeColor="text1"/>
        </w:rPr>
        <w:fldChar w:fldCharType="begin"/>
      </w:r>
      <w:r w:rsidRPr="00DC3488">
        <w:rPr>
          <w:color w:val="000000" w:themeColor="text1"/>
        </w:rPr>
        <w:instrText xml:space="preserve"> REF _Ref213530980 \w \h </w:instrText>
      </w:r>
      <w:r w:rsidRPr="00DC3488">
        <w:rPr>
          <w:color w:val="000000" w:themeColor="text1"/>
        </w:rPr>
      </w:r>
      <w:r w:rsidRPr="00DC3488">
        <w:rPr>
          <w:color w:val="000000" w:themeColor="text1"/>
        </w:rPr>
        <w:fldChar w:fldCharType="separate"/>
      </w:r>
      <w:r w:rsidR="002C0C2A">
        <w:rPr>
          <w:color w:val="000000" w:themeColor="text1"/>
        </w:rPr>
        <w:t>107.1.a</w:t>
      </w:r>
      <w:r w:rsidRPr="00DC3488">
        <w:rPr>
          <w:color w:val="000000" w:themeColor="text1"/>
        </w:rPr>
        <w:fldChar w:fldCharType="end"/>
      </w:r>
      <w:r w:rsidRPr="00DC3488">
        <w:rPr>
          <w:color w:val="000000" w:themeColor="text1"/>
        </w:rPr>
        <w:t xml:space="preserve"> and </w:t>
      </w:r>
      <w:r w:rsidRPr="00DC3488">
        <w:rPr>
          <w:color w:val="000000" w:themeColor="text1"/>
        </w:rPr>
        <w:fldChar w:fldCharType="begin"/>
      </w:r>
      <w:r w:rsidRPr="00DC3488">
        <w:rPr>
          <w:color w:val="000000" w:themeColor="text1"/>
        </w:rPr>
        <w:instrText xml:space="preserve"> REF _Ref213530987 \w \h </w:instrText>
      </w:r>
      <w:r w:rsidRPr="00DC3488">
        <w:rPr>
          <w:color w:val="000000" w:themeColor="text1"/>
        </w:rPr>
      </w:r>
      <w:r w:rsidRPr="00DC3488">
        <w:rPr>
          <w:color w:val="000000" w:themeColor="text1"/>
        </w:rPr>
        <w:fldChar w:fldCharType="separate"/>
      </w:r>
      <w:r w:rsidR="002C0C2A">
        <w:rPr>
          <w:color w:val="000000" w:themeColor="text1"/>
        </w:rPr>
        <w:t>107.1.c</w:t>
      </w:r>
      <w:r w:rsidRPr="00DC3488">
        <w:rPr>
          <w:color w:val="000000" w:themeColor="text1"/>
        </w:rPr>
        <w:fldChar w:fldCharType="end"/>
      </w:r>
      <w:r w:rsidRPr="00DC3488">
        <w:rPr>
          <w:color w:val="000000" w:themeColor="text1"/>
        </w:rPr>
        <w:t xml:space="preserve"> </w:t>
      </w:r>
      <w:r>
        <w:t xml:space="preserve">of these reasons are required in the precautions section of all domestic anticoagulant rodenticide chemical products, under a sub-heading of </w:t>
      </w:r>
      <w:r w:rsidRPr="00E306FF">
        <w:rPr>
          <w:b/>
          <w:bCs/>
          <w:i/>
          <w:iCs/>
        </w:rPr>
        <w:t>‘</w:t>
      </w:r>
      <w:r w:rsidRPr="00C53032">
        <w:rPr>
          <w:b/>
          <w:bCs/>
          <w:i/>
          <w:iCs/>
        </w:rPr>
        <w:t>PROTECTION OF LIVESTOCK AND WILDLIFE</w:t>
      </w:r>
      <w:r>
        <w:rPr>
          <w:b/>
          <w:bCs/>
          <w:i/>
          <w:iCs/>
        </w:rPr>
        <w:t>’</w:t>
      </w:r>
      <w:r>
        <w:t>, in order to</w:t>
      </w:r>
      <w:r w:rsidRPr="00010BDF">
        <w:t xml:space="preserve"> </w:t>
      </w:r>
      <w:r>
        <w:t>reduce the likelihood of an unintended effect that is harmful to non-target terrestrial vertebrates and reduce the potential contamination risks associated with wild game and livestock.</w:t>
      </w:r>
    </w:p>
    <w:p w14:paraId="6246618B" w14:textId="10AEDCDE" w:rsidR="008E67EA" w:rsidRPr="000304CB" w:rsidRDefault="008E67EA">
      <w:pPr>
        <w:pStyle w:val="NumberLevel2"/>
        <w:numPr>
          <w:ilvl w:val="1"/>
          <w:numId w:val="17"/>
        </w:numPr>
        <w:ind w:left="1134"/>
      </w:pPr>
      <w:r>
        <w:t xml:space="preserve">The relevant warning statement, based on the active constituent of the product, and directions listed respectively in paragraphs </w:t>
      </w:r>
      <w:r>
        <w:fldChar w:fldCharType="begin"/>
      </w:r>
      <w:r>
        <w:instrText xml:space="preserve"> REF _Ref207139626 \w \h </w:instrText>
      </w:r>
      <w:r>
        <w:fldChar w:fldCharType="separate"/>
      </w:r>
      <w:r w:rsidR="002C0C2A">
        <w:t>64</w:t>
      </w:r>
      <w:r>
        <w:fldChar w:fldCharType="end"/>
      </w:r>
      <w:r>
        <w:t xml:space="preserve"> and </w:t>
      </w:r>
      <w:r>
        <w:fldChar w:fldCharType="begin"/>
      </w:r>
      <w:r>
        <w:instrText xml:space="preserve"> REF _Ref213490447 \w \h </w:instrText>
      </w:r>
      <w:r>
        <w:fldChar w:fldCharType="separate"/>
      </w:r>
      <w:r w:rsidR="002C0C2A">
        <w:t>65.2</w:t>
      </w:r>
      <w:r>
        <w:fldChar w:fldCharType="end"/>
      </w:r>
      <w:r>
        <w:t xml:space="preserve"> of these reasons are required in the precautions section of the labels of all domestic anticoagulant rodenticide chemical products, under a sub-heading of </w:t>
      </w:r>
      <w:r w:rsidRPr="00E306FF">
        <w:rPr>
          <w:b/>
          <w:bCs/>
          <w:i/>
          <w:iCs/>
        </w:rPr>
        <w:t>‘PROTECTION OF FISH, CRUSTACEANS AND ENVIRONMENT’</w:t>
      </w:r>
      <w:r>
        <w:t>, in order to mitigate the risks that the use of the chemical products in accordance with instructions may have an unintended effect that is harmful to aquatic species.</w:t>
      </w:r>
    </w:p>
    <w:p w14:paraId="4118EEB5" w14:textId="2650AE83" w:rsidR="008E67EA" w:rsidRPr="00A474F3" w:rsidRDefault="008E67EA">
      <w:pPr>
        <w:pStyle w:val="NumberLevel2"/>
        <w:numPr>
          <w:ilvl w:val="1"/>
          <w:numId w:val="17"/>
        </w:numPr>
        <w:ind w:left="1134"/>
        <w:rPr>
          <w:color w:val="000000" w:themeColor="text1"/>
        </w:rPr>
      </w:pPr>
      <w:r w:rsidRPr="00A474F3">
        <w:rPr>
          <w:color w:val="000000" w:themeColor="text1"/>
        </w:rPr>
        <w:t xml:space="preserve">Finally, as details in paragraph </w:t>
      </w:r>
      <w:r w:rsidRPr="00A474F3">
        <w:rPr>
          <w:color w:val="000000" w:themeColor="text1"/>
        </w:rPr>
        <w:fldChar w:fldCharType="begin"/>
      </w:r>
      <w:r w:rsidRPr="00A474F3">
        <w:rPr>
          <w:color w:val="000000" w:themeColor="text1"/>
        </w:rPr>
        <w:instrText xml:space="preserve"> REF _Ref213444614 \w \h </w:instrText>
      </w:r>
      <w:r w:rsidRPr="00A474F3">
        <w:rPr>
          <w:color w:val="000000" w:themeColor="text1"/>
        </w:rPr>
      </w:r>
      <w:r w:rsidRPr="00A474F3">
        <w:rPr>
          <w:color w:val="000000" w:themeColor="text1"/>
        </w:rPr>
        <w:fldChar w:fldCharType="separate"/>
      </w:r>
      <w:r w:rsidR="002C0C2A">
        <w:rPr>
          <w:color w:val="000000" w:themeColor="text1"/>
        </w:rPr>
        <w:t>87.3</w:t>
      </w:r>
      <w:r w:rsidRPr="00A474F3">
        <w:rPr>
          <w:color w:val="000000" w:themeColor="text1"/>
        </w:rPr>
        <w:fldChar w:fldCharType="end"/>
      </w:r>
      <w:r w:rsidRPr="00A474F3">
        <w:rPr>
          <w:color w:val="000000" w:themeColor="text1"/>
        </w:rPr>
        <w:t xml:space="preserve"> of these reasons, any current instructions of the labels of anticoagulant rodenticide chemical products that indicate people should avoid touching the bait for various </w:t>
      </w:r>
      <w:r w:rsidRPr="00A474F3">
        <w:rPr>
          <w:color w:val="000000" w:themeColor="text1"/>
        </w:rPr>
        <w:lastRenderedPageBreak/>
        <w:t xml:space="preserve">reasons should be varied to </w:t>
      </w:r>
      <w:r w:rsidRPr="00A474F3">
        <w:rPr>
          <w:b/>
          <w:bCs/>
          <w:i/>
          <w:iCs/>
          <w:color w:val="000000" w:themeColor="text1"/>
        </w:rPr>
        <w:t>‘DO NOT touch bait’</w:t>
      </w:r>
      <w:r w:rsidRPr="00A474F3">
        <w:rPr>
          <w:color w:val="000000" w:themeColor="text1"/>
        </w:rPr>
        <w:t xml:space="preserve"> in order to mitigate safety concerns for people who handle these chemical products.</w:t>
      </w:r>
    </w:p>
    <w:p w14:paraId="748A6E17" w14:textId="222A02DA" w:rsidR="008E67EA" w:rsidRPr="00C43B43" w:rsidRDefault="008E67EA">
      <w:pPr>
        <w:pStyle w:val="NumberLevel1"/>
        <w:numPr>
          <w:ilvl w:val="0"/>
          <w:numId w:val="17"/>
        </w:numPr>
        <w:tabs>
          <w:tab w:val="clear" w:pos="709"/>
          <w:tab w:val="num" w:pos="2553"/>
        </w:tabs>
        <w:rPr>
          <w:color w:val="000000" w:themeColor="text1"/>
        </w:rPr>
      </w:pPr>
      <w:r w:rsidRPr="00C43B43">
        <w:rPr>
          <w:color w:val="000000" w:themeColor="text1"/>
        </w:rPr>
        <w:t xml:space="preserve">I </w:t>
      </w:r>
      <w:r>
        <w:rPr>
          <w:color w:val="000000" w:themeColor="text1"/>
        </w:rPr>
        <w:t xml:space="preserve">also </w:t>
      </w:r>
      <w:r w:rsidRPr="00C43B43">
        <w:rPr>
          <w:color w:val="000000" w:themeColor="text1"/>
        </w:rPr>
        <w:t xml:space="preserve">consider that any current instructions on how the product should be used in labels of anticoagulant rodenticide chemical products that are contradictory or comparable to the instructions </w:t>
      </w:r>
      <w:r>
        <w:rPr>
          <w:color w:val="000000" w:themeColor="text1"/>
        </w:rPr>
        <w:t>on</w:t>
      </w:r>
      <w:r w:rsidRPr="00C43B43">
        <w:rPr>
          <w:color w:val="000000" w:themeColor="text1"/>
        </w:rPr>
        <w:t xml:space="preserve"> how the product should be used </w:t>
      </w:r>
      <w:r>
        <w:rPr>
          <w:color w:val="000000" w:themeColor="text1"/>
        </w:rPr>
        <w:t xml:space="preserve">that I consider necessary, as detailed </w:t>
      </w:r>
      <w:r w:rsidRPr="00C43B43">
        <w:rPr>
          <w:color w:val="000000" w:themeColor="text1"/>
        </w:rPr>
        <w:t>in paragraph</w:t>
      </w:r>
      <w:r>
        <w:rPr>
          <w:color w:val="000000" w:themeColor="text1"/>
        </w:rPr>
        <w:t>s</w:t>
      </w:r>
      <w:r w:rsidRPr="00C43B43">
        <w:rPr>
          <w:color w:val="000000" w:themeColor="text1"/>
        </w:rPr>
        <w:t xml:space="preserve"> </w:t>
      </w:r>
      <w:r>
        <w:rPr>
          <w:color w:val="000000" w:themeColor="text1"/>
        </w:rPr>
        <w:fldChar w:fldCharType="begin"/>
      </w:r>
      <w:r>
        <w:rPr>
          <w:color w:val="000000" w:themeColor="text1"/>
        </w:rPr>
        <w:instrText xml:space="preserve"> REF _Ref213588111 \w \h </w:instrText>
      </w:r>
      <w:r>
        <w:rPr>
          <w:color w:val="000000" w:themeColor="text1"/>
        </w:rPr>
      </w:r>
      <w:r>
        <w:rPr>
          <w:color w:val="000000" w:themeColor="text1"/>
        </w:rPr>
        <w:fldChar w:fldCharType="separate"/>
      </w:r>
      <w:r w:rsidR="002C0C2A">
        <w:rPr>
          <w:color w:val="000000" w:themeColor="text1"/>
        </w:rPr>
        <w:t>139</w:t>
      </w:r>
      <w:r>
        <w:rPr>
          <w:color w:val="000000" w:themeColor="text1"/>
        </w:rPr>
        <w:fldChar w:fldCharType="end"/>
      </w:r>
      <w:r>
        <w:rPr>
          <w:color w:val="000000" w:themeColor="text1"/>
        </w:rPr>
        <w:t xml:space="preserve"> or </w:t>
      </w:r>
      <w:r>
        <w:rPr>
          <w:color w:val="000000" w:themeColor="text1"/>
        </w:rPr>
        <w:fldChar w:fldCharType="begin"/>
      </w:r>
      <w:r>
        <w:rPr>
          <w:color w:val="000000" w:themeColor="text1"/>
        </w:rPr>
        <w:instrText xml:space="preserve"> REF _Ref213588115 \w \h </w:instrText>
      </w:r>
      <w:r>
        <w:rPr>
          <w:color w:val="000000" w:themeColor="text1"/>
        </w:rPr>
      </w:r>
      <w:r>
        <w:rPr>
          <w:color w:val="000000" w:themeColor="text1"/>
        </w:rPr>
        <w:fldChar w:fldCharType="separate"/>
      </w:r>
      <w:r w:rsidR="002C0C2A">
        <w:rPr>
          <w:color w:val="000000" w:themeColor="text1"/>
        </w:rPr>
        <w:t>140</w:t>
      </w:r>
      <w:r>
        <w:rPr>
          <w:color w:val="000000" w:themeColor="text1"/>
        </w:rPr>
        <w:fldChar w:fldCharType="end"/>
      </w:r>
      <w:r w:rsidRPr="00C43B43">
        <w:rPr>
          <w:color w:val="000000" w:themeColor="text1"/>
        </w:rPr>
        <w:t xml:space="preserve"> </w:t>
      </w:r>
      <w:r>
        <w:rPr>
          <w:color w:val="000000" w:themeColor="text1"/>
        </w:rPr>
        <w:t xml:space="preserve">of these </w:t>
      </w:r>
      <w:r w:rsidRPr="00C43B43">
        <w:rPr>
          <w:color w:val="000000" w:themeColor="text1"/>
        </w:rPr>
        <w:t>reasons, should be removed from the relevant labels of anticoagulant rodenticide chemical products</w:t>
      </w:r>
      <w:r>
        <w:rPr>
          <w:color w:val="000000" w:themeColor="text1"/>
        </w:rPr>
        <w:t xml:space="preserve"> </w:t>
      </w:r>
      <w:r>
        <w:t>(see templates for proposed varied labels in Attachment D)</w:t>
      </w:r>
      <w:r w:rsidRPr="00C43B43">
        <w:rPr>
          <w:color w:val="000000" w:themeColor="text1"/>
        </w:rPr>
        <w:t>.</w:t>
      </w:r>
    </w:p>
    <w:p w14:paraId="7DAE6E79" w14:textId="1547C099" w:rsidR="008E67EA" w:rsidRDefault="008E67EA">
      <w:pPr>
        <w:pStyle w:val="NumberLevel1"/>
        <w:numPr>
          <w:ilvl w:val="0"/>
          <w:numId w:val="17"/>
        </w:numPr>
        <w:tabs>
          <w:tab w:val="clear" w:pos="709"/>
          <w:tab w:val="num" w:pos="2553"/>
        </w:tabs>
        <w:rPr>
          <w:color w:val="000000" w:themeColor="text1"/>
        </w:rPr>
      </w:pPr>
      <w:bookmarkStart w:id="305" w:name="_Ref213588810"/>
      <w:r>
        <w:rPr>
          <w:color w:val="000000" w:themeColor="text1"/>
        </w:rPr>
        <w:t xml:space="preserve">Further, I note that certain labels of </w:t>
      </w:r>
      <w:r w:rsidRPr="00342268">
        <w:rPr>
          <w:color w:val="000000" w:themeColor="text1"/>
        </w:rPr>
        <w:t>anticoagulant rodenticide chemical products</w:t>
      </w:r>
      <w:r>
        <w:rPr>
          <w:color w:val="000000" w:themeColor="text1"/>
        </w:rPr>
        <w:t xml:space="preserve"> listed in Attachment A of this notice </w:t>
      </w:r>
      <w:r>
        <w:t>contain only outdated textual instructions on how the products should be used. In order to be satisfied of the adequacy of instructions on these labels, I consider that the outdated textual instructions should be converted to contemporary tabular instructions, which include details on the situations where product should be used, the pests to be controlled by the product, the application rate of the products, and any other critical comments that relate to how the product should be used (see templates for proposed varied labels in Attachment D).</w:t>
      </w:r>
      <w:bookmarkEnd w:id="305"/>
    </w:p>
    <w:p w14:paraId="27D11D8E" w14:textId="24A811D8" w:rsidR="008E67EA" w:rsidRPr="00585C9F" w:rsidRDefault="008E67EA">
      <w:pPr>
        <w:pStyle w:val="NumberLevel1"/>
        <w:numPr>
          <w:ilvl w:val="0"/>
          <w:numId w:val="17"/>
        </w:numPr>
        <w:tabs>
          <w:tab w:val="clear" w:pos="709"/>
          <w:tab w:val="num" w:pos="2553"/>
        </w:tabs>
        <w:rPr>
          <w:color w:val="000000" w:themeColor="text1"/>
        </w:rPr>
      </w:pPr>
      <w:bookmarkStart w:id="306" w:name="_Ref213593708"/>
      <w:r w:rsidRPr="00585C9F">
        <w:rPr>
          <w:color w:val="000000" w:themeColor="text1"/>
        </w:rPr>
        <w:t xml:space="preserve">I am satisfied that, after variation of the label instructions in the ways detailed in paragraphs </w:t>
      </w:r>
      <w:r>
        <w:rPr>
          <w:color w:val="000000" w:themeColor="text1"/>
        </w:rPr>
        <w:fldChar w:fldCharType="begin"/>
      </w:r>
      <w:r>
        <w:rPr>
          <w:color w:val="000000" w:themeColor="text1"/>
        </w:rPr>
        <w:instrText xml:space="preserve"> REF _Ref213588111 \w \h </w:instrText>
      </w:r>
      <w:r>
        <w:rPr>
          <w:color w:val="000000" w:themeColor="text1"/>
        </w:rPr>
      </w:r>
      <w:r>
        <w:rPr>
          <w:color w:val="000000" w:themeColor="text1"/>
        </w:rPr>
        <w:fldChar w:fldCharType="separate"/>
      </w:r>
      <w:r w:rsidR="002C0C2A">
        <w:rPr>
          <w:color w:val="000000" w:themeColor="text1"/>
        </w:rPr>
        <w:t>139</w:t>
      </w:r>
      <w:r>
        <w:rPr>
          <w:color w:val="000000" w:themeColor="text1"/>
        </w:rPr>
        <w:fldChar w:fldCharType="end"/>
      </w:r>
      <w:r>
        <w:rPr>
          <w:color w:val="000000" w:themeColor="text1"/>
        </w:rPr>
        <w:t xml:space="preserve"> </w:t>
      </w:r>
      <w:r w:rsidRPr="00585C9F">
        <w:rPr>
          <w:color w:val="000000" w:themeColor="text1"/>
        </w:rPr>
        <w:t>–</w:t>
      </w:r>
      <w:r>
        <w:rPr>
          <w:color w:val="000000" w:themeColor="text1"/>
        </w:rPr>
        <w:t xml:space="preserve"> </w:t>
      </w:r>
      <w:r>
        <w:rPr>
          <w:color w:val="000000" w:themeColor="text1"/>
        </w:rPr>
        <w:fldChar w:fldCharType="begin"/>
      </w:r>
      <w:r>
        <w:rPr>
          <w:color w:val="000000" w:themeColor="text1"/>
        </w:rPr>
        <w:instrText xml:space="preserve"> REF _Ref213588810 \w \h </w:instrText>
      </w:r>
      <w:r>
        <w:rPr>
          <w:color w:val="000000" w:themeColor="text1"/>
        </w:rPr>
      </w:r>
      <w:r>
        <w:rPr>
          <w:color w:val="000000" w:themeColor="text1"/>
        </w:rPr>
        <w:fldChar w:fldCharType="separate"/>
      </w:r>
      <w:r w:rsidR="002C0C2A">
        <w:rPr>
          <w:color w:val="000000" w:themeColor="text1"/>
        </w:rPr>
        <w:t>142</w:t>
      </w:r>
      <w:r>
        <w:rPr>
          <w:color w:val="000000" w:themeColor="text1"/>
        </w:rPr>
        <w:fldChar w:fldCharType="end"/>
      </w:r>
      <w:r>
        <w:rPr>
          <w:color w:val="000000" w:themeColor="text1"/>
        </w:rPr>
        <w:t xml:space="preserve"> </w:t>
      </w:r>
      <w:r w:rsidRPr="00585C9F">
        <w:rPr>
          <w:color w:val="000000" w:themeColor="text1"/>
        </w:rPr>
        <w:t xml:space="preserve">above, the instructions related to </w:t>
      </w:r>
      <w:r>
        <w:rPr>
          <w:color w:val="000000" w:themeColor="text1"/>
        </w:rPr>
        <w:t>how the product should be used</w:t>
      </w:r>
      <w:r w:rsidRPr="00585C9F">
        <w:rPr>
          <w:color w:val="000000" w:themeColor="text1"/>
        </w:rPr>
        <w:t xml:space="preserve"> are adequate for the purpose of labels listed in Attachment A of this notice meeting the labelling criteria.</w:t>
      </w:r>
      <w:bookmarkEnd w:id="306"/>
    </w:p>
    <w:p w14:paraId="1C67A555" w14:textId="77777777" w:rsidR="008E67EA" w:rsidRDefault="008E67EA" w:rsidP="008E67EA">
      <w:pPr>
        <w:pStyle w:val="StatementofReasonsHeading4"/>
      </w:pPr>
      <w:r>
        <w:t>The frequency of the use of the product – s 5D(1)(d)</w:t>
      </w:r>
    </w:p>
    <w:p w14:paraId="4F3E7210" w14:textId="77777777" w:rsidR="008E67EA" w:rsidRPr="00EF6E7F" w:rsidRDefault="008E67EA">
      <w:pPr>
        <w:pStyle w:val="NumberLevel1"/>
        <w:numPr>
          <w:ilvl w:val="0"/>
          <w:numId w:val="17"/>
        </w:numPr>
        <w:tabs>
          <w:tab w:val="clear" w:pos="709"/>
          <w:tab w:val="num" w:pos="2553"/>
        </w:tabs>
        <w:rPr>
          <w:color w:val="000000" w:themeColor="text1"/>
        </w:rPr>
      </w:pPr>
      <w:bookmarkStart w:id="307" w:name="_Ref213420088"/>
      <w:r w:rsidRPr="00EF6E7F">
        <w:rPr>
          <w:color w:val="000000" w:themeColor="text1"/>
        </w:rPr>
        <w:t>I note that the current label instructions for the labels of products listed in Attachment A of the notice indicate that users should replace baits as they are consumed by target rodents and to maintain the supply of baits until rodent activity ceases. In addition to these instructions, I consider the following based on the fact that continued rodent activity after 35 days of treatment may indicate that the baiting strategy in use is ineffective due to resistance build up or the movement of rodents:</w:t>
      </w:r>
      <w:bookmarkEnd w:id="307"/>
    </w:p>
    <w:p w14:paraId="29AAB4E4" w14:textId="0C27E35B" w:rsidR="008E67EA" w:rsidRPr="00E30F22" w:rsidRDefault="008E67EA">
      <w:pPr>
        <w:pStyle w:val="NumberLevel2"/>
        <w:numPr>
          <w:ilvl w:val="1"/>
          <w:numId w:val="17"/>
        </w:numPr>
        <w:ind w:left="1134"/>
      </w:pPr>
      <w:r w:rsidRPr="00E30F22">
        <w:t xml:space="preserve">In relation to the labels </w:t>
      </w:r>
      <w:r>
        <w:t>of</w:t>
      </w:r>
      <w:r w:rsidRPr="00E30F22">
        <w:t xml:space="preserve"> commercial </w:t>
      </w:r>
      <w:r w:rsidRPr="00EF6E7F">
        <w:rPr>
          <w:color w:val="000000" w:themeColor="text1"/>
        </w:rPr>
        <w:t xml:space="preserve">anticoagulant rodenticide chemical products listed in Attachment A of this notice, continued use of this treatment regime without an evaluation may </w:t>
      </w:r>
      <w:r w:rsidRPr="00BB0187">
        <w:rPr>
          <w:color w:val="000000" w:themeColor="text1"/>
        </w:rPr>
        <w:t xml:space="preserve">needlessly increase the risk of unintended exposure of non-target wildlife and therefore </w:t>
      </w:r>
      <w:r w:rsidRPr="00BB0187">
        <w:t xml:space="preserve">the directions for use set out in paragraph </w:t>
      </w:r>
      <w:r w:rsidRPr="00BB0187">
        <w:fldChar w:fldCharType="begin"/>
      </w:r>
      <w:r w:rsidRPr="00BB0187">
        <w:instrText xml:space="preserve"> REF _Ref213434582 \r \h </w:instrText>
      </w:r>
      <w:r>
        <w:instrText xml:space="preserve"> \* MERGEFORMAT </w:instrText>
      </w:r>
      <w:r w:rsidRPr="00BB0187">
        <w:fldChar w:fldCharType="separate"/>
      </w:r>
      <w:r w:rsidR="002C0C2A">
        <w:t>56.2</w:t>
      </w:r>
      <w:r w:rsidRPr="00BB0187">
        <w:fldChar w:fldCharType="end"/>
      </w:r>
      <w:r w:rsidRPr="00BB0187">
        <w:t xml:space="preserve"> of these</w:t>
      </w:r>
      <w:r w:rsidRPr="00E30F22">
        <w:t xml:space="preserve"> reasons </w:t>
      </w:r>
      <w:r w:rsidRPr="00EF6E7F">
        <w:rPr>
          <w:color w:val="000000" w:themeColor="text1"/>
        </w:rPr>
        <w:t>are required</w:t>
      </w:r>
      <w:r>
        <w:rPr>
          <w:color w:val="000000" w:themeColor="text1"/>
        </w:rPr>
        <w:t xml:space="preserve"> so that the labels contain adequate instructions</w:t>
      </w:r>
      <w:r w:rsidRPr="00EF6E7F">
        <w:rPr>
          <w:color w:val="000000" w:themeColor="text1"/>
        </w:rPr>
        <w:t xml:space="preserve"> to ensure, as far as reasonably practicable, that the products meet the safety criteria.</w:t>
      </w:r>
    </w:p>
    <w:p w14:paraId="14EA69F2" w14:textId="39671B09" w:rsidR="008E67EA" w:rsidRPr="00E30F22" w:rsidRDefault="008E67EA">
      <w:pPr>
        <w:pStyle w:val="NumberLevel2"/>
        <w:numPr>
          <w:ilvl w:val="1"/>
          <w:numId w:val="17"/>
        </w:numPr>
        <w:ind w:left="1134"/>
      </w:pPr>
      <w:r w:rsidRPr="00E30F22">
        <w:rPr>
          <w:color w:val="000000" w:themeColor="text1"/>
        </w:rPr>
        <w:t>In relation to the labels of domestic anticoagulant rodenticide chemical products listed in Attachment A of this notice,</w:t>
      </w:r>
      <w:r w:rsidRPr="00E30F22">
        <w:t xml:space="preserve"> </w:t>
      </w:r>
      <w:r w:rsidRPr="00841BCE">
        <w:rPr>
          <w:color w:val="000000" w:themeColor="text1"/>
        </w:rPr>
        <w:t xml:space="preserve">continued application of baits by untrained domestic users may needlessly increase </w:t>
      </w:r>
      <w:r w:rsidRPr="00BB0187">
        <w:rPr>
          <w:color w:val="000000" w:themeColor="text1"/>
        </w:rPr>
        <w:t>the risk of unintended exposure of non-target wildlife</w:t>
      </w:r>
      <w:r w:rsidRPr="00BB0187">
        <w:t xml:space="preserve"> and therefore the directions for use set out in paragraph </w:t>
      </w:r>
      <w:r w:rsidRPr="00BB0187">
        <w:fldChar w:fldCharType="begin"/>
      </w:r>
      <w:r w:rsidRPr="00BB0187">
        <w:instrText xml:space="preserve"> REF _Ref213434550 \r \h </w:instrText>
      </w:r>
      <w:r>
        <w:instrText xml:space="preserve"> \* MERGEFORMAT </w:instrText>
      </w:r>
      <w:r w:rsidRPr="00BB0187">
        <w:fldChar w:fldCharType="separate"/>
      </w:r>
      <w:r w:rsidR="002C0C2A">
        <w:t>61.2</w:t>
      </w:r>
      <w:r w:rsidRPr="00BB0187">
        <w:fldChar w:fldCharType="end"/>
      </w:r>
      <w:r w:rsidRPr="00BB0187">
        <w:t xml:space="preserve"> of these reasons</w:t>
      </w:r>
      <w:r w:rsidRPr="00E30F22">
        <w:t xml:space="preserve"> </w:t>
      </w:r>
      <w:r w:rsidRPr="00E30F22">
        <w:rPr>
          <w:color w:val="000000" w:themeColor="text1"/>
        </w:rPr>
        <w:t xml:space="preserve">are required </w:t>
      </w:r>
      <w:r>
        <w:rPr>
          <w:color w:val="000000" w:themeColor="text1"/>
        </w:rPr>
        <w:t>so that the labels contain adequate instructions</w:t>
      </w:r>
      <w:r w:rsidRPr="00E30F22">
        <w:rPr>
          <w:color w:val="000000" w:themeColor="text1"/>
        </w:rPr>
        <w:t xml:space="preserve"> to ensure, as far as reasonably practicable, that the products meet the safety criteria.</w:t>
      </w:r>
    </w:p>
    <w:p w14:paraId="7FEF1797" w14:textId="6B8E036E" w:rsidR="008E67EA" w:rsidRPr="008D7C54" w:rsidRDefault="008E67EA">
      <w:pPr>
        <w:pStyle w:val="NumberLevel1"/>
        <w:numPr>
          <w:ilvl w:val="0"/>
          <w:numId w:val="17"/>
        </w:numPr>
        <w:tabs>
          <w:tab w:val="clear" w:pos="709"/>
          <w:tab w:val="num" w:pos="2553"/>
        </w:tabs>
        <w:rPr>
          <w:color w:val="000000" w:themeColor="text1"/>
        </w:rPr>
      </w:pPr>
      <w:bookmarkStart w:id="308" w:name="_Ref213441015"/>
      <w:r>
        <w:rPr>
          <w:color w:val="000000" w:themeColor="text1"/>
        </w:rPr>
        <w:t xml:space="preserve">I am satisfied that, after variation of the label instructions in </w:t>
      </w:r>
      <w:r w:rsidRPr="00BB0187">
        <w:rPr>
          <w:color w:val="000000" w:themeColor="text1"/>
        </w:rPr>
        <w:t xml:space="preserve">the ways detailed in paragraph </w:t>
      </w:r>
      <w:r w:rsidRPr="00BB0187">
        <w:rPr>
          <w:color w:val="000000" w:themeColor="text1"/>
        </w:rPr>
        <w:fldChar w:fldCharType="begin"/>
      </w:r>
      <w:r w:rsidRPr="00BB0187">
        <w:rPr>
          <w:color w:val="000000" w:themeColor="text1"/>
        </w:rPr>
        <w:instrText xml:space="preserve"> REF _Ref213420088 \r \h </w:instrText>
      </w:r>
      <w:r>
        <w:rPr>
          <w:color w:val="000000" w:themeColor="text1"/>
        </w:rPr>
        <w:instrText xml:space="preserve"> \* MERGEFORMAT </w:instrText>
      </w:r>
      <w:r w:rsidRPr="00BB0187">
        <w:rPr>
          <w:color w:val="000000" w:themeColor="text1"/>
        </w:rPr>
      </w:r>
      <w:r w:rsidRPr="00BB0187">
        <w:rPr>
          <w:color w:val="000000" w:themeColor="text1"/>
        </w:rPr>
        <w:fldChar w:fldCharType="separate"/>
      </w:r>
      <w:r w:rsidR="002C0C2A">
        <w:rPr>
          <w:color w:val="000000" w:themeColor="text1"/>
        </w:rPr>
        <w:t>144</w:t>
      </w:r>
      <w:r w:rsidRPr="00BB0187">
        <w:rPr>
          <w:color w:val="000000" w:themeColor="text1"/>
        </w:rPr>
        <w:fldChar w:fldCharType="end"/>
      </w:r>
      <w:r w:rsidRPr="00BB0187">
        <w:rPr>
          <w:color w:val="000000" w:themeColor="text1"/>
        </w:rPr>
        <w:t xml:space="preserve"> above</w:t>
      </w:r>
      <w:r>
        <w:rPr>
          <w:color w:val="000000" w:themeColor="text1"/>
        </w:rPr>
        <w:t>, the instructions related to the frequency of use of the product are adequate for the purpose of labels listed in Attachment A of this notice meeting the labelling criteria.</w:t>
      </w:r>
      <w:bookmarkEnd w:id="308"/>
    </w:p>
    <w:p w14:paraId="12690248" w14:textId="77777777" w:rsidR="008E67EA" w:rsidRDefault="008E67EA" w:rsidP="008E67EA">
      <w:pPr>
        <w:pStyle w:val="StatementofReasonsHeading4"/>
      </w:pPr>
      <w:r>
        <w:t>The disposal of the product when it is no longer required and containers of the product – s 5D(1)(g) and (h)</w:t>
      </w:r>
    </w:p>
    <w:p w14:paraId="61893289" w14:textId="392D41D9" w:rsidR="008E67EA" w:rsidRPr="00FB1A85" w:rsidRDefault="008E67EA">
      <w:pPr>
        <w:pStyle w:val="NumberLevel1"/>
        <w:numPr>
          <w:ilvl w:val="0"/>
          <w:numId w:val="17"/>
        </w:numPr>
        <w:tabs>
          <w:tab w:val="clear" w:pos="709"/>
          <w:tab w:val="num" w:pos="2553"/>
        </w:tabs>
        <w:rPr>
          <w:color w:val="000000" w:themeColor="text1"/>
        </w:rPr>
      </w:pPr>
      <w:bookmarkStart w:id="309" w:name="_Ref213434407"/>
      <w:bookmarkStart w:id="310" w:name="_Ref213420127"/>
      <w:r w:rsidRPr="00FB1A85">
        <w:rPr>
          <w:color w:val="000000" w:themeColor="text1"/>
        </w:rPr>
        <w:t xml:space="preserve">In relation to the labels of commercial anticoagulant rodenticide chemical products, I note that the current instructions for the disposal of the product when is it no longer required and for the disposal of containers for the product may be misleading, with respect to environmental safety, as they contain outdated instructions which refer to </w:t>
      </w:r>
      <w:r>
        <w:rPr>
          <w:color w:val="000000" w:themeColor="text1"/>
        </w:rPr>
        <w:t>‘</w:t>
      </w:r>
      <w:r w:rsidRPr="00FB1A85">
        <w:rPr>
          <w:color w:val="000000" w:themeColor="text1"/>
        </w:rPr>
        <w:t>landfill</w:t>
      </w:r>
      <w:r>
        <w:rPr>
          <w:color w:val="000000" w:themeColor="text1"/>
        </w:rPr>
        <w:t>’</w:t>
      </w:r>
      <w:r w:rsidRPr="00FB1A85">
        <w:rPr>
          <w:color w:val="000000" w:themeColor="text1"/>
        </w:rPr>
        <w:t xml:space="preserve"> and/or incorrectly infer that product containers can be disposed of via burial in a disposal pit in all jurisdictions. Therefore, for the labels of commercial products listed in Attachment A of this notice, I consider that </w:t>
      </w:r>
      <w:r w:rsidRPr="00FB1A85">
        <w:rPr>
          <w:color w:val="000000" w:themeColor="text1"/>
        </w:rPr>
        <w:lastRenderedPageBreak/>
        <w:t xml:space="preserve">the directions related to the disposal of product when it is no longer required and product </w:t>
      </w:r>
      <w:r w:rsidRPr="00BB0187">
        <w:rPr>
          <w:color w:val="000000" w:themeColor="text1"/>
        </w:rPr>
        <w:t xml:space="preserve">containers set out in paragraph </w:t>
      </w:r>
      <w:r w:rsidRPr="00BB0187">
        <w:rPr>
          <w:color w:val="000000" w:themeColor="text1"/>
        </w:rPr>
        <w:fldChar w:fldCharType="begin"/>
      </w:r>
      <w:r w:rsidRPr="00BB0187">
        <w:rPr>
          <w:color w:val="000000" w:themeColor="text1"/>
        </w:rPr>
        <w:instrText xml:space="preserve"> REF _Ref213434471 \r \h </w:instrText>
      </w:r>
      <w:r>
        <w:rPr>
          <w:color w:val="000000" w:themeColor="text1"/>
        </w:rPr>
        <w:instrText xml:space="preserve"> \* MERGEFORMAT </w:instrText>
      </w:r>
      <w:r w:rsidRPr="00BB0187">
        <w:rPr>
          <w:color w:val="000000" w:themeColor="text1"/>
        </w:rPr>
      </w:r>
      <w:r w:rsidRPr="00BB0187">
        <w:rPr>
          <w:color w:val="000000" w:themeColor="text1"/>
        </w:rPr>
        <w:fldChar w:fldCharType="separate"/>
      </w:r>
      <w:r w:rsidR="002C0C2A">
        <w:rPr>
          <w:color w:val="000000" w:themeColor="text1"/>
        </w:rPr>
        <w:t>58.2</w:t>
      </w:r>
      <w:r w:rsidRPr="00BB0187">
        <w:rPr>
          <w:color w:val="000000" w:themeColor="text1"/>
        </w:rPr>
        <w:fldChar w:fldCharType="end"/>
      </w:r>
      <w:r w:rsidRPr="00BB0187">
        <w:rPr>
          <w:color w:val="000000" w:themeColor="text1"/>
        </w:rPr>
        <w:t xml:space="preserve"> should replace the current disposal directions so that the labels to contain adequate instructions to ensure</w:t>
      </w:r>
      <w:r w:rsidRPr="00FB1A85">
        <w:rPr>
          <w:color w:val="000000" w:themeColor="text1"/>
        </w:rPr>
        <w:t>, as far as reasonably practicable, that the products meet the safety criteria</w:t>
      </w:r>
      <w:r>
        <w:rPr>
          <w:color w:val="000000" w:themeColor="text1"/>
        </w:rPr>
        <w:t>.</w:t>
      </w:r>
      <w:bookmarkEnd w:id="309"/>
      <w:bookmarkEnd w:id="310"/>
    </w:p>
    <w:p w14:paraId="67649C51" w14:textId="71202C1F" w:rsidR="008E67EA" w:rsidRDefault="008E67EA">
      <w:pPr>
        <w:pStyle w:val="NumberLevel1"/>
        <w:numPr>
          <w:ilvl w:val="0"/>
          <w:numId w:val="17"/>
        </w:numPr>
        <w:tabs>
          <w:tab w:val="clear" w:pos="709"/>
          <w:tab w:val="num" w:pos="2553"/>
        </w:tabs>
        <w:rPr>
          <w:color w:val="000000" w:themeColor="text1"/>
        </w:rPr>
      </w:pPr>
      <w:bookmarkStart w:id="311" w:name="_Ref213420131"/>
      <w:r w:rsidRPr="008E07DA">
        <w:rPr>
          <w:color w:val="000000" w:themeColor="text1"/>
        </w:rPr>
        <w:t>In relation to the labels of domestic anticoagulant rodenticide chemical products</w:t>
      </w:r>
      <w:r>
        <w:rPr>
          <w:color w:val="000000" w:themeColor="text1"/>
        </w:rPr>
        <w:t xml:space="preserve"> listed in Attachment A of this notice</w:t>
      </w:r>
      <w:r w:rsidRPr="008E07DA">
        <w:rPr>
          <w:color w:val="000000" w:themeColor="text1"/>
        </w:rPr>
        <w:t xml:space="preserve">, </w:t>
      </w:r>
      <w:r>
        <w:rPr>
          <w:color w:val="000000" w:themeColor="text1"/>
        </w:rPr>
        <w:t xml:space="preserve">I consider that the directions related to the disposal of product when no longer required and product containers </w:t>
      </w:r>
      <w:r w:rsidRPr="00BB0187">
        <w:rPr>
          <w:color w:val="000000" w:themeColor="text1"/>
        </w:rPr>
        <w:t xml:space="preserve">set out in paragraph </w:t>
      </w:r>
      <w:r w:rsidRPr="00BB0187">
        <w:rPr>
          <w:color w:val="000000" w:themeColor="text1"/>
        </w:rPr>
        <w:fldChar w:fldCharType="begin"/>
      </w:r>
      <w:r w:rsidRPr="00BB0187">
        <w:rPr>
          <w:color w:val="000000" w:themeColor="text1"/>
        </w:rPr>
        <w:instrText xml:space="preserve"> REF _Ref213413996 \r \h  \* MERGEFORMAT </w:instrText>
      </w:r>
      <w:r w:rsidRPr="00BB0187">
        <w:rPr>
          <w:color w:val="000000" w:themeColor="text1"/>
        </w:rPr>
      </w:r>
      <w:r w:rsidRPr="00BB0187">
        <w:rPr>
          <w:color w:val="000000" w:themeColor="text1"/>
        </w:rPr>
        <w:fldChar w:fldCharType="separate"/>
      </w:r>
      <w:r w:rsidR="002C0C2A">
        <w:rPr>
          <w:color w:val="000000" w:themeColor="text1"/>
        </w:rPr>
        <w:t>62.2</w:t>
      </w:r>
      <w:r w:rsidRPr="00BB0187">
        <w:rPr>
          <w:color w:val="000000" w:themeColor="text1"/>
        </w:rPr>
        <w:fldChar w:fldCharType="end"/>
      </w:r>
      <w:r w:rsidRPr="00BB0187">
        <w:rPr>
          <w:color w:val="000000" w:themeColor="text1"/>
        </w:rPr>
        <w:t xml:space="preserve"> of these reasons should replace current disposal directions so that the labels contain adequate instructions to ensure, as far as reasonably practicable, that the products meet the safety criteria.</w:t>
      </w:r>
      <w:bookmarkEnd w:id="311"/>
    </w:p>
    <w:p w14:paraId="19CDB482" w14:textId="735CFFA6" w:rsidR="008E67EA" w:rsidRPr="00BB0187" w:rsidRDefault="008E67EA">
      <w:pPr>
        <w:pStyle w:val="NumberLevel1"/>
        <w:numPr>
          <w:ilvl w:val="0"/>
          <w:numId w:val="17"/>
        </w:numPr>
        <w:tabs>
          <w:tab w:val="clear" w:pos="709"/>
          <w:tab w:val="num" w:pos="2553"/>
        </w:tabs>
        <w:rPr>
          <w:color w:val="000000" w:themeColor="text1"/>
        </w:rPr>
      </w:pPr>
      <w:bookmarkStart w:id="312" w:name="_Ref213441098"/>
      <w:r>
        <w:rPr>
          <w:color w:val="000000" w:themeColor="text1"/>
        </w:rPr>
        <w:t xml:space="preserve">I am satisfied that, after variation of the label instructions in the ways </w:t>
      </w:r>
      <w:r w:rsidRPr="00BB0187">
        <w:rPr>
          <w:color w:val="000000" w:themeColor="text1"/>
        </w:rPr>
        <w:t xml:space="preserve">detailed in paragraphs </w:t>
      </w:r>
      <w:r w:rsidRPr="00BB0187">
        <w:rPr>
          <w:color w:val="000000" w:themeColor="text1"/>
        </w:rPr>
        <w:fldChar w:fldCharType="begin"/>
      </w:r>
      <w:r w:rsidRPr="00BB0187">
        <w:rPr>
          <w:color w:val="000000" w:themeColor="text1"/>
        </w:rPr>
        <w:instrText xml:space="preserve"> REF _Ref213420127 \r \h </w:instrText>
      </w:r>
      <w:r>
        <w:rPr>
          <w:color w:val="000000" w:themeColor="text1"/>
        </w:rPr>
        <w:instrText xml:space="preserve"> \* MERGEFORMAT </w:instrText>
      </w:r>
      <w:r w:rsidRPr="00BB0187">
        <w:rPr>
          <w:color w:val="000000" w:themeColor="text1"/>
        </w:rPr>
      </w:r>
      <w:r w:rsidRPr="00BB0187">
        <w:rPr>
          <w:color w:val="000000" w:themeColor="text1"/>
        </w:rPr>
        <w:fldChar w:fldCharType="separate"/>
      </w:r>
      <w:r w:rsidR="002C0C2A">
        <w:rPr>
          <w:color w:val="000000" w:themeColor="text1"/>
        </w:rPr>
        <w:t>146</w:t>
      </w:r>
      <w:r w:rsidRPr="00BB0187">
        <w:rPr>
          <w:color w:val="000000" w:themeColor="text1"/>
        </w:rPr>
        <w:fldChar w:fldCharType="end"/>
      </w:r>
      <w:r w:rsidRPr="00BB0187">
        <w:rPr>
          <w:color w:val="000000" w:themeColor="text1"/>
        </w:rPr>
        <w:t xml:space="preserve"> – </w:t>
      </w:r>
      <w:r w:rsidRPr="00BB0187">
        <w:rPr>
          <w:color w:val="000000" w:themeColor="text1"/>
        </w:rPr>
        <w:fldChar w:fldCharType="begin"/>
      </w:r>
      <w:r w:rsidRPr="00BB0187">
        <w:rPr>
          <w:color w:val="000000" w:themeColor="text1"/>
        </w:rPr>
        <w:instrText xml:space="preserve"> REF _Ref213420131 \r \h </w:instrText>
      </w:r>
      <w:r>
        <w:rPr>
          <w:color w:val="000000" w:themeColor="text1"/>
        </w:rPr>
        <w:instrText xml:space="preserve"> \* MERGEFORMAT </w:instrText>
      </w:r>
      <w:r w:rsidRPr="00BB0187">
        <w:rPr>
          <w:color w:val="000000" w:themeColor="text1"/>
        </w:rPr>
      </w:r>
      <w:r w:rsidRPr="00BB0187">
        <w:rPr>
          <w:color w:val="000000" w:themeColor="text1"/>
        </w:rPr>
        <w:fldChar w:fldCharType="separate"/>
      </w:r>
      <w:r w:rsidR="002C0C2A">
        <w:rPr>
          <w:color w:val="000000" w:themeColor="text1"/>
        </w:rPr>
        <w:t>147</w:t>
      </w:r>
      <w:r w:rsidRPr="00BB0187">
        <w:rPr>
          <w:color w:val="000000" w:themeColor="text1"/>
        </w:rPr>
        <w:fldChar w:fldCharType="end"/>
      </w:r>
      <w:r w:rsidRPr="00BB0187">
        <w:rPr>
          <w:color w:val="000000" w:themeColor="text1"/>
        </w:rPr>
        <w:t xml:space="preserve"> above, the instructions related to the disposal of product when no longer required and product containers are adequate for the purpose of labels listed in Attachment A of this notice meeting the labelling criteria.</w:t>
      </w:r>
      <w:bookmarkEnd w:id="312"/>
    </w:p>
    <w:p w14:paraId="039293FB" w14:textId="77777777" w:rsidR="008E67EA" w:rsidRPr="00BD4E84" w:rsidRDefault="008E67EA" w:rsidP="008E67EA">
      <w:pPr>
        <w:pStyle w:val="StatementofReasonsHeading4"/>
        <w:rPr>
          <w:highlight w:val="yellow"/>
        </w:rPr>
      </w:pPr>
      <w:r>
        <w:t>The safe handling of the product and first aid in the event of an accident caused by the handling of the product – s 5D(1)(i)</w:t>
      </w:r>
    </w:p>
    <w:p w14:paraId="2943B2DE" w14:textId="77777777" w:rsidR="008E67EA" w:rsidRPr="0050353B" w:rsidRDefault="008E67EA">
      <w:pPr>
        <w:pStyle w:val="NumberLevel1"/>
        <w:numPr>
          <w:ilvl w:val="0"/>
          <w:numId w:val="17"/>
        </w:numPr>
        <w:tabs>
          <w:tab w:val="clear" w:pos="709"/>
          <w:tab w:val="num" w:pos="2553"/>
        </w:tabs>
      </w:pPr>
      <w:bookmarkStart w:id="313" w:name="_Ref213420025"/>
      <w:r w:rsidRPr="0050353B">
        <w:t>In relation to the label instructions on the safe handling of the product in Attachment A of this notice:</w:t>
      </w:r>
      <w:bookmarkEnd w:id="313"/>
    </w:p>
    <w:p w14:paraId="2531A858" w14:textId="4E079B4F" w:rsidR="008E67EA" w:rsidRPr="0050353B" w:rsidRDefault="008E67EA">
      <w:pPr>
        <w:pStyle w:val="NumberLevel2"/>
        <w:numPr>
          <w:ilvl w:val="1"/>
          <w:numId w:val="17"/>
        </w:numPr>
        <w:ind w:left="1134"/>
      </w:pPr>
      <w:r w:rsidRPr="0050353B">
        <w:t>I consider that the warnings and directions related to the safe handling of the product during</w:t>
      </w:r>
      <w:r>
        <w:t xml:space="preserve"> product </w:t>
      </w:r>
      <w:r w:rsidRPr="0050353B">
        <w:t xml:space="preserve">application in </w:t>
      </w:r>
      <w:r>
        <w:rPr>
          <w:highlight w:val="yellow"/>
        </w:rPr>
        <w:fldChar w:fldCharType="begin"/>
      </w:r>
      <w:r>
        <w:instrText xml:space="preserve"> REF _Ref204016099 \h </w:instrText>
      </w:r>
      <w:r>
        <w:rPr>
          <w:highlight w:val="yellow"/>
        </w:rPr>
      </w:r>
      <w:r>
        <w:rPr>
          <w:highlight w:val="yellow"/>
        </w:rPr>
        <w:fldChar w:fldCharType="separate"/>
      </w:r>
      <w:r w:rsidR="002C0C2A" w:rsidRPr="00C90669">
        <w:t xml:space="preserve">Table </w:t>
      </w:r>
      <w:r w:rsidR="002C0C2A">
        <w:rPr>
          <w:noProof/>
        </w:rPr>
        <w:t>14</w:t>
      </w:r>
      <w:r>
        <w:rPr>
          <w:highlight w:val="yellow"/>
        </w:rPr>
        <w:fldChar w:fldCharType="end"/>
      </w:r>
      <w:r w:rsidRPr="0050353B">
        <w:t xml:space="preserve"> are required in the safety directions of the respective labels of anticoagulant rodenticides chemical products</w:t>
      </w:r>
      <w:r>
        <w:t>,</w:t>
      </w:r>
      <w:r w:rsidRPr="0050353B">
        <w:t xml:space="preserve"> so that the labels contain adequate instructions to ensure, as far as reasonably practicable, that the products meet the safety criteria. Therefore, I consider that instructions in </w:t>
      </w:r>
      <w:r>
        <w:rPr>
          <w:highlight w:val="yellow"/>
        </w:rPr>
        <w:fldChar w:fldCharType="begin"/>
      </w:r>
      <w:r>
        <w:instrText xml:space="preserve"> REF _Ref204016099 \h </w:instrText>
      </w:r>
      <w:r>
        <w:rPr>
          <w:highlight w:val="yellow"/>
        </w:rPr>
      </w:r>
      <w:r>
        <w:rPr>
          <w:highlight w:val="yellow"/>
        </w:rPr>
        <w:fldChar w:fldCharType="separate"/>
      </w:r>
      <w:r w:rsidR="002C0C2A" w:rsidRPr="00C90669">
        <w:t xml:space="preserve">Table </w:t>
      </w:r>
      <w:r w:rsidR="002C0C2A">
        <w:rPr>
          <w:noProof/>
        </w:rPr>
        <w:t>14</w:t>
      </w:r>
      <w:r>
        <w:rPr>
          <w:highlight w:val="yellow"/>
        </w:rPr>
        <w:fldChar w:fldCharType="end"/>
      </w:r>
      <w:r w:rsidRPr="0050353B">
        <w:t xml:space="preserve"> should replace the current safety directions on the respective labels of products listed in Attachment A of this notice.</w:t>
      </w:r>
    </w:p>
    <w:p w14:paraId="7D140C8F" w14:textId="25E8A88E" w:rsidR="008E67EA" w:rsidRPr="00971FB5" w:rsidRDefault="008E67EA">
      <w:pPr>
        <w:pStyle w:val="NumberLevel2"/>
        <w:numPr>
          <w:ilvl w:val="1"/>
          <w:numId w:val="17"/>
        </w:numPr>
        <w:ind w:left="1134"/>
      </w:pPr>
      <w:r w:rsidRPr="00971FB5">
        <w:t xml:space="preserve">Further, I consider that the directions for the safe re-handling of product remains and other clean-up </w:t>
      </w:r>
      <w:r w:rsidRPr="00BB0187">
        <w:t xml:space="preserve">activities set out in paragraph </w:t>
      </w:r>
      <w:r w:rsidRPr="00BB0187">
        <w:fldChar w:fldCharType="begin"/>
      </w:r>
      <w:r w:rsidRPr="00BB0187">
        <w:instrText xml:space="preserve"> REF _Ref213411531 \w \h  \* MERGEFORMAT </w:instrText>
      </w:r>
      <w:r w:rsidRPr="00BB0187">
        <w:fldChar w:fldCharType="separate"/>
      </w:r>
      <w:r w:rsidR="002C0C2A">
        <w:t>95</w:t>
      </w:r>
      <w:r w:rsidRPr="00BB0187">
        <w:fldChar w:fldCharType="end"/>
      </w:r>
      <w:r w:rsidRPr="00BB0187">
        <w:t xml:space="preserve"> of these reasons are required, so that the labels contain adequate instructions to ensure, as far</w:t>
      </w:r>
      <w:r w:rsidRPr="00971FB5">
        <w:t xml:space="preserve"> as reasonably practicable, that the products meet the safety criteria. Therefore, I consider that these instructions should be added to the safety directions of all labels of products listed in Attachment A of this notice.</w:t>
      </w:r>
    </w:p>
    <w:p w14:paraId="0532CCEE" w14:textId="77777777" w:rsidR="008E67EA" w:rsidRPr="005A54BC" w:rsidRDefault="008E67EA">
      <w:pPr>
        <w:pStyle w:val="NumberLevel1"/>
        <w:numPr>
          <w:ilvl w:val="0"/>
          <w:numId w:val="17"/>
        </w:numPr>
        <w:tabs>
          <w:tab w:val="clear" w:pos="709"/>
          <w:tab w:val="num" w:pos="2553"/>
        </w:tabs>
      </w:pPr>
      <w:bookmarkStart w:id="314" w:name="_Ref213420028"/>
      <w:r w:rsidRPr="005A54BC">
        <w:t>In relation to label instructions on the first aid in the event of an accident caused by the handling of the product listed in Attachment A of this notice:</w:t>
      </w:r>
      <w:bookmarkEnd w:id="314"/>
    </w:p>
    <w:p w14:paraId="08EC670F" w14:textId="6268A275" w:rsidR="008E67EA" w:rsidRPr="005A54BC" w:rsidRDefault="008E67EA">
      <w:pPr>
        <w:pStyle w:val="NumberLevel2"/>
        <w:numPr>
          <w:ilvl w:val="1"/>
          <w:numId w:val="17"/>
        </w:numPr>
        <w:ind w:left="1134"/>
      </w:pPr>
      <w:r w:rsidRPr="005A54BC">
        <w:t xml:space="preserve">I consider that the </w:t>
      </w:r>
      <w:r w:rsidRPr="00BB0187">
        <w:t xml:space="preserve">directions set out in paragraph </w:t>
      </w:r>
      <w:r w:rsidRPr="00BB0187">
        <w:fldChar w:fldCharType="begin"/>
      </w:r>
      <w:r w:rsidRPr="00BB0187">
        <w:instrText xml:space="preserve"> REF _Ref205884961 \w \h </w:instrText>
      </w:r>
      <w:r>
        <w:instrText xml:space="preserve"> \* MERGEFORMAT </w:instrText>
      </w:r>
      <w:r w:rsidRPr="00BB0187">
        <w:fldChar w:fldCharType="separate"/>
      </w:r>
      <w:r w:rsidR="002C0C2A">
        <w:t>82</w:t>
      </w:r>
      <w:r w:rsidRPr="00BB0187">
        <w:fldChar w:fldCharType="end"/>
      </w:r>
      <w:r w:rsidRPr="00BB0187">
        <w:t xml:space="preserve"> of these reasons are required as the first aid instructions on the labels of all anticoagulant rodenticide chemical</w:t>
      </w:r>
      <w:r w:rsidRPr="005A54BC">
        <w:t xml:space="preserve"> products</w:t>
      </w:r>
      <w:r>
        <w:t>,</w:t>
      </w:r>
      <w:r w:rsidRPr="003074A8">
        <w:t xml:space="preserve"> </w:t>
      </w:r>
      <w:r w:rsidRPr="0050353B">
        <w:t>so that the</w:t>
      </w:r>
      <w:r>
        <w:t>y</w:t>
      </w:r>
      <w:r w:rsidRPr="0050353B">
        <w:t xml:space="preserve"> contain adequate instructions to ensure, as far as reasonably practicable, that products meet the safety criteria</w:t>
      </w:r>
      <w:r>
        <w:t>. Therefore, where nec</w:t>
      </w:r>
      <w:r w:rsidRPr="005A54BC">
        <w:t xml:space="preserve">essary, </w:t>
      </w:r>
      <w:r>
        <w:t xml:space="preserve">I consider that these directions </w:t>
      </w:r>
      <w:r w:rsidRPr="005A54BC">
        <w:rPr>
          <w:color w:val="000000" w:themeColor="text1"/>
        </w:rPr>
        <w:t xml:space="preserve">should replace </w:t>
      </w:r>
      <w:r>
        <w:rPr>
          <w:color w:val="000000" w:themeColor="text1"/>
        </w:rPr>
        <w:t>the</w:t>
      </w:r>
      <w:r w:rsidRPr="005A54BC">
        <w:rPr>
          <w:color w:val="000000" w:themeColor="text1"/>
        </w:rPr>
        <w:t xml:space="preserve"> current first aid instructions</w:t>
      </w:r>
      <w:r>
        <w:rPr>
          <w:color w:val="000000" w:themeColor="text1"/>
        </w:rPr>
        <w:t xml:space="preserve"> on the labels of products listed in Attachment A of this notice.</w:t>
      </w:r>
    </w:p>
    <w:p w14:paraId="703A5E72" w14:textId="77777777" w:rsidR="008E67EA" w:rsidRPr="005A54BC" w:rsidRDefault="008E67EA">
      <w:pPr>
        <w:pStyle w:val="NumberLevel2"/>
        <w:numPr>
          <w:ilvl w:val="1"/>
          <w:numId w:val="17"/>
        </w:numPr>
        <w:ind w:left="1134"/>
      </w:pPr>
      <w:r w:rsidRPr="005A54BC">
        <w:t>Further, based on my review and consideration</w:t>
      </w:r>
      <w:r>
        <w:t>s</w:t>
      </w:r>
      <w:r w:rsidRPr="005A54BC">
        <w:t xml:space="preserve"> </w:t>
      </w:r>
      <w:r>
        <w:t xml:space="preserve">of the recommendation in section </w:t>
      </w:r>
      <w:r w:rsidRPr="00D035F8">
        <w:rPr>
          <w:i/>
          <w:iCs/>
        </w:rPr>
        <w:t>‘4.9.1 First Aid Instructions’</w:t>
      </w:r>
      <w:r w:rsidRPr="005A54BC">
        <w:t xml:space="preserve"> of the </w:t>
      </w:r>
      <w:r w:rsidRPr="005A54BC">
        <w:rPr>
          <w:i/>
          <w:iCs/>
          <w:color w:val="000000" w:themeColor="text1"/>
        </w:rPr>
        <w:t>Anticoagulant Rodenticides Review Technical Report</w:t>
      </w:r>
      <w:r w:rsidRPr="005A54BC">
        <w:t xml:space="preserve">, I do not consider that any warnings </w:t>
      </w:r>
      <w:r>
        <w:t xml:space="preserve">related to first aid </w:t>
      </w:r>
      <w:r w:rsidRPr="005A54BC">
        <w:t xml:space="preserve">are required on the label of an anticoagulant rodenticide chemical product. Therefore, where necessary, I consider that </w:t>
      </w:r>
      <w:r>
        <w:t>any</w:t>
      </w:r>
      <w:r w:rsidRPr="005A54BC">
        <w:t xml:space="preserve"> current first aid warnings should be removed from the labels of the products listed in Attachment A of this notice</w:t>
      </w:r>
      <w:r>
        <w:t xml:space="preserve"> (see templates for proposed varied labels in Attachment D)</w:t>
      </w:r>
      <w:r w:rsidRPr="005A54BC">
        <w:t>.</w:t>
      </w:r>
    </w:p>
    <w:p w14:paraId="0A463DDE" w14:textId="5235B5EB" w:rsidR="008E67EA" w:rsidRPr="00BB0187" w:rsidRDefault="008E67EA">
      <w:pPr>
        <w:pStyle w:val="NumberLevel1"/>
        <w:numPr>
          <w:ilvl w:val="0"/>
          <w:numId w:val="17"/>
        </w:numPr>
        <w:tabs>
          <w:tab w:val="clear" w:pos="709"/>
          <w:tab w:val="num" w:pos="2553"/>
        </w:tabs>
        <w:rPr>
          <w:color w:val="000000" w:themeColor="text1"/>
        </w:rPr>
      </w:pPr>
      <w:bookmarkStart w:id="315" w:name="_Ref213440734"/>
      <w:r w:rsidRPr="00BB0187">
        <w:rPr>
          <w:color w:val="000000" w:themeColor="text1"/>
        </w:rPr>
        <w:t xml:space="preserve">I am satisfied that, after variation of the label instructions in the ways detailed in paragraphs </w:t>
      </w:r>
      <w:r w:rsidRPr="00BB0187">
        <w:rPr>
          <w:color w:val="000000" w:themeColor="text1"/>
        </w:rPr>
        <w:fldChar w:fldCharType="begin"/>
      </w:r>
      <w:r w:rsidRPr="00BB0187">
        <w:rPr>
          <w:color w:val="000000" w:themeColor="text1"/>
        </w:rPr>
        <w:instrText xml:space="preserve"> REF _Ref213420025 \r \h </w:instrText>
      </w:r>
      <w:r>
        <w:rPr>
          <w:color w:val="000000" w:themeColor="text1"/>
        </w:rPr>
        <w:instrText xml:space="preserve"> \* MERGEFORMAT </w:instrText>
      </w:r>
      <w:r w:rsidRPr="00BB0187">
        <w:rPr>
          <w:color w:val="000000" w:themeColor="text1"/>
        </w:rPr>
      </w:r>
      <w:r w:rsidRPr="00BB0187">
        <w:rPr>
          <w:color w:val="000000" w:themeColor="text1"/>
        </w:rPr>
        <w:fldChar w:fldCharType="separate"/>
      </w:r>
      <w:r w:rsidR="002C0C2A">
        <w:rPr>
          <w:color w:val="000000" w:themeColor="text1"/>
        </w:rPr>
        <w:t>149</w:t>
      </w:r>
      <w:r w:rsidRPr="00BB0187">
        <w:rPr>
          <w:color w:val="000000" w:themeColor="text1"/>
        </w:rPr>
        <w:fldChar w:fldCharType="end"/>
      </w:r>
      <w:r w:rsidRPr="00BB0187">
        <w:rPr>
          <w:color w:val="000000" w:themeColor="text1"/>
        </w:rPr>
        <w:t xml:space="preserve"> – </w:t>
      </w:r>
      <w:r w:rsidRPr="00BB0187">
        <w:rPr>
          <w:color w:val="000000" w:themeColor="text1"/>
        </w:rPr>
        <w:fldChar w:fldCharType="begin"/>
      </w:r>
      <w:r w:rsidRPr="00BB0187">
        <w:rPr>
          <w:color w:val="000000" w:themeColor="text1"/>
        </w:rPr>
        <w:instrText xml:space="preserve"> REF _Ref213420028 \r \h </w:instrText>
      </w:r>
      <w:r>
        <w:rPr>
          <w:color w:val="000000" w:themeColor="text1"/>
        </w:rPr>
        <w:instrText xml:space="preserve"> \* MERGEFORMAT </w:instrText>
      </w:r>
      <w:r w:rsidRPr="00BB0187">
        <w:rPr>
          <w:color w:val="000000" w:themeColor="text1"/>
        </w:rPr>
      </w:r>
      <w:r w:rsidRPr="00BB0187">
        <w:rPr>
          <w:color w:val="000000" w:themeColor="text1"/>
        </w:rPr>
        <w:fldChar w:fldCharType="separate"/>
      </w:r>
      <w:r w:rsidR="002C0C2A">
        <w:rPr>
          <w:color w:val="000000" w:themeColor="text1"/>
        </w:rPr>
        <w:t>150</w:t>
      </w:r>
      <w:r w:rsidRPr="00BB0187">
        <w:rPr>
          <w:color w:val="000000" w:themeColor="text1"/>
        </w:rPr>
        <w:fldChar w:fldCharType="end"/>
      </w:r>
      <w:r w:rsidRPr="00BB0187">
        <w:rPr>
          <w:color w:val="000000" w:themeColor="text1"/>
        </w:rPr>
        <w:t xml:space="preserve"> above, the instructions related to the safe handling of the product and first aid in the event of an accident caused by the handling of the product are adequate for the purpose of labels listed in Attachment A of this notice meeting the labelling criteria.</w:t>
      </w:r>
      <w:bookmarkEnd w:id="315"/>
    </w:p>
    <w:p w14:paraId="43C02A44" w14:textId="77777777" w:rsidR="008E67EA" w:rsidRPr="00CB1C43" w:rsidRDefault="008E67EA" w:rsidP="008E67EA">
      <w:pPr>
        <w:pStyle w:val="StatementofReasonsHeading3"/>
      </w:pPr>
      <w:bookmarkStart w:id="316" w:name="_Toc216090761"/>
      <w:r>
        <w:lastRenderedPageBreak/>
        <w:t>N</w:t>
      </w:r>
      <w:r w:rsidRPr="00C67EE5">
        <w:t>ame of the chemical product that is to appear on a label for containers of the chemical product</w:t>
      </w:r>
      <w:r>
        <w:t xml:space="preserve"> </w:t>
      </w:r>
      <w:r w:rsidRPr="00D869C6">
        <w:t>(r</w:t>
      </w:r>
      <w:r>
        <w:t>egulation</w:t>
      </w:r>
      <w:r w:rsidRPr="00D869C6">
        <w:t xml:space="preserve"> 17(1)(b) of the Agvet Regulations)</w:t>
      </w:r>
      <w:bookmarkEnd w:id="316"/>
    </w:p>
    <w:p w14:paraId="3E224A85" w14:textId="28D03900" w:rsidR="008E67EA" w:rsidRPr="00D035F8" w:rsidRDefault="008E67EA">
      <w:pPr>
        <w:pStyle w:val="NumberLevel1"/>
        <w:numPr>
          <w:ilvl w:val="0"/>
          <w:numId w:val="17"/>
        </w:numPr>
        <w:tabs>
          <w:tab w:val="clear" w:pos="709"/>
          <w:tab w:val="num" w:pos="2553"/>
        </w:tabs>
        <w:rPr>
          <w:color w:val="000000" w:themeColor="text1"/>
        </w:rPr>
      </w:pPr>
      <w:bookmarkStart w:id="317" w:name="_Ref213440792"/>
      <w:r w:rsidRPr="00FB1A85">
        <w:rPr>
          <w:color w:val="000000" w:themeColor="text1"/>
        </w:rPr>
        <w:t xml:space="preserve">In relation to </w:t>
      </w:r>
      <w:r w:rsidRPr="006B5D7B">
        <w:rPr>
          <w:color w:val="000000" w:themeColor="text1"/>
        </w:rPr>
        <w:t xml:space="preserve">labels for certain chemical </w:t>
      </w:r>
      <w:r w:rsidRPr="00D035F8">
        <w:rPr>
          <w:color w:val="000000" w:themeColor="text1"/>
        </w:rPr>
        <w:t xml:space="preserve">products (56632, 58301, 63885, 85522, 88847, 87870), I am </w:t>
      </w:r>
      <w:r w:rsidRPr="00D035F8">
        <w:rPr>
          <w:b/>
          <w:bCs/>
          <w:color w:val="000000" w:themeColor="text1"/>
        </w:rPr>
        <w:t>not satisfied</w:t>
      </w:r>
      <w:r w:rsidRPr="00D035F8">
        <w:rPr>
          <w:color w:val="000000" w:themeColor="text1"/>
        </w:rPr>
        <w:t xml:space="preserve"> that the name of the chemical product that is to appear on the label remains appropriate after variation of the instructions on how to use the product detailed above in paragraphs </w:t>
      </w:r>
      <w:r w:rsidRPr="00D035F8">
        <w:rPr>
          <w:color w:val="000000" w:themeColor="text1"/>
        </w:rPr>
        <w:fldChar w:fldCharType="begin"/>
      </w:r>
      <w:r w:rsidRPr="00D035F8">
        <w:rPr>
          <w:color w:val="000000" w:themeColor="text1"/>
        </w:rPr>
        <w:instrText xml:space="preserve"> REF _Ref213491636 \w \h  \* MERGEFORMAT </w:instrText>
      </w:r>
      <w:r w:rsidRPr="00D035F8">
        <w:rPr>
          <w:color w:val="000000" w:themeColor="text1"/>
        </w:rPr>
      </w:r>
      <w:r w:rsidRPr="00D035F8">
        <w:rPr>
          <w:color w:val="000000" w:themeColor="text1"/>
        </w:rPr>
        <w:fldChar w:fldCharType="separate"/>
      </w:r>
      <w:r w:rsidR="002C0C2A">
        <w:rPr>
          <w:color w:val="000000" w:themeColor="text1"/>
        </w:rPr>
        <w:t>56.1</w:t>
      </w:r>
      <w:r w:rsidRPr="00D035F8">
        <w:rPr>
          <w:color w:val="000000" w:themeColor="text1"/>
        </w:rPr>
        <w:fldChar w:fldCharType="end"/>
      </w:r>
      <w:r w:rsidRPr="00D035F8">
        <w:rPr>
          <w:color w:val="000000" w:themeColor="text1"/>
        </w:rPr>
        <w:t xml:space="preserve">, </w:t>
      </w:r>
      <w:r w:rsidRPr="00D035F8">
        <w:rPr>
          <w:color w:val="000000" w:themeColor="text1"/>
        </w:rPr>
        <w:fldChar w:fldCharType="begin"/>
      </w:r>
      <w:r w:rsidRPr="00D035F8">
        <w:rPr>
          <w:color w:val="000000" w:themeColor="text1"/>
        </w:rPr>
        <w:instrText xml:space="preserve"> REF _Ref206083584 \w \h  \* MERGEFORMAT </w:instrText>
      </w:r>
      <w:r w:rsidRPr="00D035F8">
        <w:rPr>
          <w:color w:val="000000" w:themeColor="text1"/>
        </w:rPr>
      </w:r>
      <w:r w:rsidRPr="00D035F8">
        <w:rPr>
          <w:color w:val="000000" w:themeColor="text1"/>
        </w:rPr>
        <w:fldChar w:fldCharType="separate"/>
      </w:r>
      <w:r w:rsidR="002C0C2A">
        <w:rPr>
          <w:color w:val="000000" w:themeColor="text1"/>
        </w:rPr>
        <w:t>61.1</w:t>
      </w:r>
      <w:r w:rsidRPr="00D035F8">
        <w:rPr>
          <w:color w:val="000000" w:themeColor="text1"/>
        </w:rPr>
        <w:fldChar w:fldCharType="end"/>
      </w:r>
      <w:r w:rsidRPr="00D035F8">
        <w:rPr>
          <w:color w:val="000000" w:themeColor="text1"/>
        </w:rPr>
        <w:t xml:space="preserve">, </w:t>
      </w:r>
      <w:r w:rsidRPr="00D035F8">
        <w:rPr>
          <w:color w:val="000000" w:themeColor="text1"/>
        </w:rPr>
        <w:fldChar w:fldCharType="begin"/>
      </w:r>
      <w:r w:rsidRPr="00D035F8">
        <w:rPr>
          <w:color w:val="000000" w:themeColor="text1"/>
        </w:rPr>
        <w:instrText xml:space="preserve"> REF _Ref213444704 \w \h  \* MERGEFORMAT </w:instrText>
      </w:r>
      <w:r w:rsidRPr="00D035F8">
        <w:rPr>
          <w:color w:val="000000" w:themeColor="text1"/>
        </w:rPr>
      </w:r>
      <w:r w:rsidRPr="00D035F8">
        <w:rPr>
          <w:color w:val="000000" w:themeColor="text1"/>
        </w:rPr>
        <w:fldChar w:fldCharType="separate"/>
      </w:r>
      <w:r w:rsidR="002C0C2A">
        <w:rPr>
          <w:color w:val="000000" w:themeColor="text1"/>
        </w:rPr>
        <w:t>97.1</w:t>
      </w:r>
      <w:r w:rsidRPr="00D035F8">
        <w:rPr>
          <w:color w:val="000000" w:themeColor="text1"/>
        </w:rPr>
        <w:fldChar w:fldCharType="end"/>
      </w:r>
      <w:r w:rsidRPr="00D035F8">
        <w:rPr>
          <w:color w:val="000000" w:themeColor="text1"/>
        </w:rPr>
        <w:t xml:space="preserve"> and </w:t>
      </w:r>
      <w:r w:rsidRPr="00D035F8">
        <w:rPr>
          <w:color w:val="000000" w:themeColor="text1"/>
        </w:rPr>
        <w:fldChar w:fldCharType="begin"/>
      </w:r>
      <w:r w:rsidRPr="00D035F8">
        <w:rPr>
          <w:color w:val="000000" w:themeColor="text1"/>
        </w:rPr>
        <w:instrText xml:space="preserve"> REF _Ref213491774 \w \h  \* MERGEFORMAT </w:instrText>
      </w:r>
      <w:r w:rsidRPr="00D035F8">
        <w:rPr>
          <w:color w:val="000000" w:themeColor="text1"/>
        </w:rPr>
      </w:r>
      <w:r w:rsidRPr="00D035F8">
        <w:rPr>
          <w:color w:val="000000" w:themeColor="text1"/>
        </w:rPr>
        <w:fldChar w:fldCharType="separate"/>
      </w:r>
      <w:r w:rsidR="002C0C2A">
        <w:rPr>
          <w:color w:val="000000" w:themeColor="text1"/>
        </w:rPr>
        <w:t>107.3</w:t>
      </w:r>
      <w:r w:rsidRPr="00D035F8">
        <w:rPr>
          <w:color w:val="000000" w:themeColor="text1"/>
        </w:rPr>
        <w:fldChar w:fldCharType="end"/>
      </w:r>
      <w:r w:rsidRPr="00D035F8">
        <w:rPr>
          <w:color w:val="FF0000"/>
        </w:rPr>
        <w:t xml:space="preserve"> </w:t>
      </w:r>
      <w:r w:rsidRPr="00D035F8">
        <w:rPr>
          <w:color w:val="000000" w:themeColor="text1"/>
        </w:rPr>
        <w:t>of these reasons. That is because the current label names contain the phrase ‘throw packs’ or ‘throw pellets’, which will become misleading as it is proposed that these anticoagulant rodenticide chemical products should be contained within a tamper-resistant bait station in either most or all situations. I note that, under regulation 18F(1)(b) of the Agvet Regulations, a label must not contain misleading information about the use of the chemical product to which the label relates.</w:t>
      </w:r>
      <w:bookmarkEnd w:id="317"/>
    </w:p>
    <w:p w14:paraId="4491A5A9" w14:textId="2FC3E7BC" w:rsidR="008E67EA" w:rsidRDefault="008E67EA">
      <w:pPr>
        <w:pStyle w:val="NumberLevel1"/>
        <w:numPr>
          <w:ilvl w:val="0"/>
          <w:numId w:val="17"/>
        </w:numPr>
        <w:tabs>
          <w:tab w:val="clear" w:pos="709"/>
          <w:tab w:val="num" w:pos="2553"/>
        </w:tabs>
        <w:rPr>
          <w:color w:val="000000" w:themeColor="text1"/>
        </w:rPr>
      </w:pPr>
      <w:r w:rsidRPr="00D035F8">
        <w:rPr>
          <w:color w:val="000000" w:themeColor="text1"/>
        </w:rPr>
        <w:t>For the labels of these chemical products (56632, 58301, 63885, 85522, 88847, 87870), I consider that the current labels names that will become misleading</w:t>
      </w:r>
      <w:r>
        <w:rPr>
          <w:color w:val="000000" w:themeColor="text1"/>
        </w:rPr>
        <w:t xml:space="preserve"> after variation of the instructions of how to use the chemical product can be varied so that the phrases ‘</w:t>
      </w:r>
      <w:r w:rsidRPr="006B5D7B">
        <w:rPr>
          <w:color w:val="000000" w:themeColor="text1"/>
        </w:rPr>
        <w:t>throw</w:t>
      </w:r>
      <w:r>
        <w:rPr>
          <w:color w:val="000000" w:themeColor="text1"/>
        </w:rPr>
        <w:t xml:space="preserve"> </w:t>
      </w:r>
      <w:r w:rsidRPr="006B5D7B">
        <w:rPr>
          <w:color w:val="000000" w:themeColor="text1"/>
        </w:rPr>
        <w:t>pack</w:t>
      </w:r>
      <w:r>
        <w:rPr>
          <w:color w:val="000000" w:themeColor="text1"/>
        </w:rPr>
        <w:t>(</w:t>
      </w:r>
      <w:r w:rsidRPr="006B5D7B">
        <w:rPr>
          <w:color w:val="000000" w:themeColor="text1"/>
        </w:rPr>
        <w:t>s</w:t>
      </w:r>
      <w:r>
        <w:rPr>
          <w:color w:val="000000" w:themeColor="text1"/>
        </w:rPr>
        <w:t>)’ or ‘throw pellets’ are replaced with ‘pellet pack(s)’. I am satisfied that the label names as varied are adequate for the purpose of labels listed in Attachment A of this notice meeting the labelling criteria.</w:t>
      </w:r>
    </w:p>
    <w:p w14:paraId="228D19F7" w14:textId="099DE3CD" w:rsidR="008E67EA" w:rsidRPr="00FB1A85" w:rsidRDefault="008E67EA">
      <w:pPr>
        <w:pStyle w:val="NumberLevel1"/>
        <w:numPr>
          <w:ilvl w:val="0"/>
          <w:numId w:val="17"/>
        </w:numPr>
        <w:tabs>
          <w:tab w:val="clear" w:pos="709"/>
          <w:tab w:val="num" w:pos="2553"/>
        </w:tabs>
        <w:rPr>
          <w:color w:val="000000" w:themeColor="text1"/>
        </w:rPr>
      </w:pPr>
      <w:bookmarkStart w:id="318" w:name="_Ref213440805"/>
      <w:r>
        <w:rPr>
          <w:color w:val="000000" w:themeColor="text1"/>
        </w:rPr>
        <w:t>For remaining labels of chemical products listed in Attachment A of this notice, I am satisfied that the name of the chemical product that is to appear on the label remain adequate for the purpose of these labels meeting the labelling criteria.</w:t>
      </w:r>
      <w:bookmarkEnd w:id="318"/>
    </w:p>
    <w:p w14:paraId="1A29DCD8" w14:textId="77777777" w:rsidR="008E67EA" w:rsidRDefault="008E67EA" w:rsidP="008E67EA">
      <w:pPr>
        <w:pStyle w:val="StatementofReasonsHeading3"/>
      </w:pPr>
      <w:bookmarkStart w:id="319" w:name="_Toc216090762"/>
      <w:r w:rsidRPr="00CB1C43">
        <w:t>Net contents of</w:t>
      </w:r>
      <w:r>
        <w:t xml:space="preserve"> the product</w:t>
      </w:r>
      <w:r w:rsidRPr="00C67EE5">
        <w:t xml:space="preserve"> (regulation 17(1)(h) of the Agvet Regulations)</w:t>
      </w:r>
      <w:bookmarkEnd w:id="319"/>
    </w:p>
    <w:p w14:paraId="530A0237" w14:textId="0EE4A895" w:rsidR="008E67EA" w:rsidRDefault="008E67EA">
      <w:pPr>
        <w:pStyle w:val="NumberLevel1"/>
        <w:numPr>
          <w:ilvl w:val="0"/>
          <w:numId w:val="17"/>
        </w:numPr>
        <w:tabs>
          <w:tab w:val="clear" w:pos="709"/>
          <w:tab w:val="num" w:pos="2553"/>
        </w:tabs>
      </w:pPr>
      <w:bookmarkStart w:id="320" w:name="_Ref213440825"/>
      <w:r w:rsidRPr="00CD171B">
        <w:rPr>
          <w:color w:val="000000" w:themeColor="text1"/>
        </w:rPr>
        <w:t>In relation to the labels of domestic anticoagulant rodenticide chemical products listed in Attachment A of this notice</w:t>
      </w:r>
      <w:r>
        <w:rPr>
          <w:color w:val="000000" w:themeColor="text1"/>
        </w:rPr>
        <w:t xml:space="preserve"> that have a net contents greater than those listed in </w:t>
      </w:r>
      <w:r w:rsidRPr="00390689">
        <w:fldChar w:fldCharType="begin"/>
      </w:r>
      <w:r w:rsidRPr="00390689">
        <w:instrText xml:space="preserve"> REF _Ref206093622 \h  \* MERGEFORMAT </w:instrText>
      </w:r>
      <w:r w:rsidRPr="00390689">
        <w:fldChar w:fldCharType="separate"/>
      </w:r>
      <w:r w:rsidR="002C0C2A" w:rsidRPr="002C0C2A">
        <w:t>Table 6</w:t>
      </w:r>
      <w:r w:rsidRPr="00390689">
        <w:fldChar w:fldCharType="end"/>
      </w:r>
      <w:r w:rsidRPr="00CD171B">
        <w:rPr>
          <w:color w:val="000000" w:themeColor="text1"/>
        </w:rPr>
        <w:t xml:space="preserve">, </w:t>
      </w:r>
      <w:r>
        <w:t xml:space="preserve">I am </w:t>
      </w:r>
      <w:r w:rsidRPr="00CD171B">
        <w:rPr>
          <w:b/>
          <w:bCs/>
        </w:rPr>
        <w:t>not satisfied</w:t>
      </w:r>
      <w:r>
        <w:t xml:space="preserve"> that the net contents of the products remain appropriate for the purpose of the products meeting the safety criteria, for the reasons detailed in paragraph </w:t>
      </w:r>
      <w:r>
        <w:fldChar w:fldCharType="begin"/>
      </w:r>
      <w:r>
        <w:instrText xml:space="preserve"> REF _Ref213439759 \w \h </w:instrText>
      </w:r>
      <w:r>
        <w:fldChar w:fldCharType="separate"/>
      </w:r>
      <w:r w:rsidR="002C0C2A">
        <w:t>60</w:t>
      </w:r>
      <w:r>
        <w:fldChar w:fldCharType="end"/>
      </w:r>
      <w:r>
        <w:t xml:space="preserve"> of these reasons. For these labels, I consider the net contents of the product can be varied to have a</w:t>
      </w:r>
      <w:r w:rsidRPr="00390689">
        <w:t xml:space="preserve"> maximum net content </w:t>
      </w:r>
      <w:r>
        <w:t>in line with</w:t>
      </w:r>
      <w:r w:rsidRPr="00390689">
        <w:t xml:space="preserve"> </w:t>
      </w:r>
      <w:r w:rsidRPr="00390689">
        <w:fldChar w:fldCharType="begin"/>
      </w:r>
      <w:r w:rsidRPr="00390689">
        <w:instrText xml:space="preserve"> REF _Ref206093622 \h  \* MERGEFORMAT </w:instrText>
      </w:r>
      <w:r w:rsidRPr="00390689">
        <w:fldChar w:fldCharType="separate"/>
      </w:r>
      <w:r w:rsidR="002C0C2A" w:rsidRPr="002C0C2A">
        <w:t>Table 6</w:t>
      </w:r>
      <w:r w:rsidRPr="00390689">
        <w:fldChar w:fldCharType="end"/>
      </w:r>
      <w:r w:rsidRPr="00390689">
        <w:t>, based on the active constituent and bait type of the product.</w:t>
      </w:r>
      <w:r>
        <w:t xml:space="preserve"> </w:t>
      </w:r>
      <w:r>
        <w:rPr>
          <w:color w:val="000000" w:themeColor="text1"/>
        </w:rPr>
        <w:t>I am satisfied that, after variation as proposed, the net contents will be adequate for the purpose of labels of domestic anticoagulant rodenticide chemical products listed in Attachment A of this notice meeting the labelling criteria.</w:t>
      </w:r>
      <w:bookmarkEnd w:id="320"/>
    </w:p>
    <w:p w14:paraId="4203D737" w14:textId="0938F469" w:rsidR="008E67EA" w:rsidRPr="00CD171B" w:rsidRDefault="008E67EA">
      <w:pPr>
        <w:pStyle w:val="NumberLevel1"/>
        <w:numPr>
          <w:ilvl w:val="0"/>
          <w:numId w:val="17"/>
        </w:numPr>
        <w:tabs>
          <w:tab w:val="clear" w:pos="709"/>
          <w:tab w:val="num" w:pos="2553"/>
        </w:tabs>
        <w:rPr>
          <w:color w:val="000000" w:themeColor="text1"/>
        </w:rPr>
      </w:pPr>
      <w:bookmarkStart w:id="321" w:name="_Ref213440831"/>
      <w:r w:rsidRPr="00CD171B">
        <w:rPr>
          <w:color w:val="000000" w:themeColor="text1"/>
        </w:rPr>
        <w:t xml:space="preserve">In relation to the labels of commercial anticoagulant rodenticide chemical products listed in Attachment A of this notice, I am satisfied that the current net contents of the product remain </w:t>
      </w:r>
      <w:r>
        <w:rPr>
          <w:color w:val="000000" w:themeColor="text1"/>
        </w:rPr>
        <w:t>adequate for the purpose of the labels meeting the labelling criteria.</w:t>
      </w:r>
      <w:bookmarkEnd w:id="321"/>
    </w:p>
    <w:p w14:paraId="28642DA7" w14:textId="77777777" w:rsidR="008E67EA" w:rsidRPr="00CB1C43" w:rsidRDefault="008E67EA" w:rsidP="008E67EA">
      <w:pPr>
        <w:pStyle w:val="StatementofReasonsHeading3"/>
      </w:pPr>
      <w:bookmarkStart w:id="322" w:name="_Toc216090763"/>
      <w:r w:rsidRPr="00CB1C43">
        <w:t>Labelling criteria conclusions</w:t>
      </w:r>
      <w:bookmarkEnd w:id="322"/>
    </w:p>
    <w:p w14:paraId="26381CE3" w14:textId="77777777" w:rsidR="008E67EA" w:rsidRPr="003D43FD" w:rsidRDefault="008E67EA">
      <w:pPr>
        <w:pStyle w:val="NumberLevel1"/>
        <w:numPr>
          <w:ilvl w:val="0"/>
          <w:numId w:val="17"/>
        </w:numPr>
        <w:tabs>
          <w:tab w:val="clear" w:pos="709"/>
          <w:tab w:val="num" w:pos="2553"/>
        </w:tabs>
        <w:rPr>
          <w:color w:val="000000" w:themeColor="text1"/>
        </w:rPr>
      </w:pPr>
      <w:r w:rsidRPr="003D43FD">
        <w:rPr>
          <w:color w:val="000000" w:themeColor="text1"/>
        </w:rPr>
        <w:t xml:space="preserve">I am </w:t>
      </w:r>
      <w:r w:rsidRPr="003D43FD">
        <w:rPr>
          <w:b/>
          <w:bCs/>
          <w:color w:val="000000" w:themeColor="text1"/>
        </w:rPr>
        <w:t>not satisfied</w:t>
      </w:r>
      <w:r w:rsidRPr="003D43FD">
        <w:rPr>
          <w:color w:val="000000" w:themeColor="text1"/>
        </w:rPr>
        <w:t xml:space="preserve"> that the labels of anticoagulant rodenticide chemical products listed in Attachment A of this notice meet the labelling criteria as they contain inadequate instructions to ensure, as far as reasonably practicable, that the associated chemical product meets the safety criteria.</w:t>
      </w:r>
    </w:p>
    <w:p w14:paraId="51B8F34D" w14:textId="77777777" w:rsidR="008E67EA" w:rsidRPr="00FB0BFD" w:rsidRDefault="008E67EA">
      <w:pPr>
        <w:pStyle w:val="NumberLevel1"/>
        <w:numPr>
          <w:ilvl w:val="0"/>
          <w:numId w:val="17"/>
        </w:numPr>
        <w:tabs>
          <w:tab w:val="clear" w:pos="709"/>
          <w:tab w:val="num" w:pos="2553"/>
        </w:tabs>
        <w:rPr>
          <w:color w:val="000000" w:themeColor="text1"/>
        </w:rPr>
      </w:pPr>
      <w:bookmarkStart w:id="323" w:name="_Ref213597119"/>
      <w:r>
        <w:rPr>
          <w:color w:val="000000" w:themeColor="text1"/>
        </w:rPr>
        <w:t xml:space="preserve">I </w:t>
      </w:r>
      <w:r w:rsidRPr="00FB0BFD">
        <w:rPr>
          <w:color w:val="000000" w:themeColor="text1"/>
        </w:rPr>
        <w:t xml:space="preserve">am satisfied that the that the relevant particulars of the </w:t>
      </w:r>
      <w:r>
        <w:rPr>
          <w:color w:val="000000" w:themeColor="text1"/>
        </w:rPr>
        <w:t>approvals</w:t>
      </w:r>
      <w:r w:rsidRPr="00FB0BFD">
        <w:rPr>
          <w:color w:val="000000" w:themeColor="text1"/>
        </w:rPr>
        <w:t xml:space="preserve"> can be varied in the following ways so that the</w:t>
      </w:r>
      <w:r>
        <w:rPr>
          <w:color w:val="000000" w:themeColor="text1"/>
        </w:rPr>
        <w:t xml:space="preserve"> labels of</w:t>
      </w:r>
      <w:r w:rsidRPr="00FB0BFD">
        <w:rPr>
          <w:color w:val="000000" w:themeColor="text1"/>
        </w:rPr>
        <w:t xml:space="preserve"> anticoagulant rodenticide chemical products listed in Attachment A of this notice will meet the </w:t>
      </w:r>
      <w:r>
        <w:rPr>
          <w:color w:val="000000" w:themeColor="text1"/>
        </w:rPr>
        <w:t>labelling</w:t>
      </w:r>
      <w:r w:rsidRPr="00FB0BFD">
        <w:rPr>
          <w:color w:val="000000" w:themeColor="text1"/>
        </w:rPr>
        <w:t xml:space="preserve"> criteria. This includes:</w:t>
      </w:r>
      <w:bookmarkEnd w:id="323"/>
    </w:p>
    <w:p w14:paraId="3F5AABB6" w14:textId="766FD91D" w:rsidR="008E67EA" w:rsidRDefault="008E67EA">
      <w:pPr>
        <w:pStyle w:val="NumberLevel2"/>
        <w:numPr>
          <w:ilvl w:val="1"/>
          <w:numId w:val="17"/>
        </w:numPr>
        <w:ind w:left="1134"/>
      </w:pPr>
      <w:r w:rsidRPr="0086633C">
        <w:rPr>
          <w:color w:val="000000" w:themeColor="text1"/>
        </w:rPr>
        <w:t xml:space="preserve">Variation of the </w:t>
      </w:r>
      <w:r>
        <w:rPr>
          <w:color w:val="000000" w:themeColor="text1"/>
        </w:rPr>
        <w:t>relevant particular ‘</w:t>
      </w:r>
      <w:r w:rsidRPr="00E440D7">
        <w:rPr>
          <w:color w:val="000000" w:themeColor="text1"/>
        </w:rPr>
        <w:t>the instructions and any particulars that are to be contained on the label</w:t>
      </w:r>
      <w:r>
        <w:rPr>
          <w:color w:val="000000" w:themeColor="text1"/>
        </w:rPr>
        <w:t xml:space="preserve">’ for all labels of anticoagulant rodenticide chemical products, as detailed in </w:t>
      </w:r>
      <w:r w:rsidRPr="002D28DB">
        <w:t xml:space="preserve">paragraphs </w:t>
      </w:r>
      <w:r w:rsidRPr="002D28DB">
        <w:fldChar w:fldCharType="begin"/>
      </w:r>
      <w:r w:rsidRPr="002D28DB">
        <w:instrText xml:space="preserve"> REF _Ref213440751 \w \h </w:instrText>
      </w:r>
      <w:r>
        <w:instrText xml:space="preserve"> \* MERGEFORMAT </w:instrText>
      </w:r>
      <w:r w:rsidRPr="002D28DB">
        <w:fldChar w:fldCharType="separate"/>
      </w:r>
      <w:r w:rsidR="002C0C2A">
        <w:t>132</w:t>
      </w:r>
      <w:r w:rsidRPr="002D28DB">
        <w:fldChar w:fldCharType="end"/>
      </w:r>
      <w:r w:rsidRPr="002D28DB">
        <w:t xml:space="preserve"> – </w:t>
      </w:r>
      <w:r w:rsidRPr="002D28DB">
        <w:fldChar w:fldCharType="begin"/>
      </w:r>
      <w:r w:rsidRPr="002D28DB">
        <w:instrText xml:space="preserve"> REF _Ref213440734 \w \h </w:instrText>
      </w:r>
      <w:r>
        <w:instrText xml:space="preserve"> \* MERGEFORMAT </w:instrText>
      </w:r>
      <w:r w:rsidRPr="002D28DB">
        <w:fldChar w:fldCharType="separate"/>
      </w:r>
      <w:r w:rsidR="002C0C2A">
        <w:t>151</w:t>
      </w:r>
      <w:r w:rsidRPr="002D28DB">
        <w:fldChar w:fldCharType="end"/>
      </w:r>
      <w:r>
        <w:rPr>
          <w:color w:val="000000" w:themeColor="text1"/>
        </w:rPr>
        <w:t xml:space="preserve"> of these reasons. This includes variation of the instructions on t</w:t>
      </w:r>
      <w:r w:rsidRPr="008B3492">
        <w:rPr>
          <w:color w:val="000000" w:themeColor="text1"/>
        </w:rPr>
        <w:t>he circumstances in which the product</w:t>
      </w:r>
      <w:r>
        <w:rPr>
          <w:color w:val="000000" w:themeColor="text1"/>
        </w:rPr>
        <w:t>s</w:t>
      </w:r>
      <w:r w:rsidRPr="008B3492">
        <w:rPr>
          <w:color w:val="000000" w:themeColor="text1"/>
        </w:rPr>
        <w:t xml:space="preserve"> should be used</w:t>
      </w:r>
      <w:r>
        <w:rPr>
          <w:color w:val="000000" w:themeColor="text1"/>
        </w:rPr>
        <w:t>, h</w:t>
      </w:r>
      <w:r w:rsidRPr="008B3492">
        <w:rPr>
          <w:color w:val="000000" w:themeColor="text1"/>
        </w:rPr>
        <w:t>ow the product</w:t>
      </w:r>
      <w:r>
        <w:rPr>
          <w:color w:val="000000" w:themeColor="text1"/>
        </w:rPr>
        <w:t>s</w:t>
      </w:r>
      <w:r w:rsidRPr="008B3492">
        <w:rPr>
          <w:color w:val="000000" w:themeColor="text1"/>
        </w:rPr>
        <w:t xml:space="preserve"> should be used</w:t>
      </w:r>
      <w:r>
        <w:rPr>
          <w:color w:val="000000" w:themeColor="text1"/>
        </w:rPr>
        <w:t>, t</w:t>
      </w:r>
      <w:r w:rsidRPr="008B3492">
        <w:t>he frequency of the use of the product</w:t>
      </w:r>
      <w:r>
        <w:t>s, t</w:t>
      </w:r>
      <w:r w:rsidRPr="004B77E0">
        <w:t xml:space="preserve">he disposal of </w:t>
      </w:r>
      <w:r w:rsidRPr="004B77E0">
        <w:lastRenderedPageBreak/>
        <w:t>the product</w:t>
      </w:r>
      <w:r>
        <w:t>s</w:t>
      </w:r>
      <w:r w:rsidRPr="004B77E0">
        <w:t xml:space="preserve"> when it is no longer required</w:t>
      </w:r>
      <w:r>
        <w:t xml:space="preserve"> and</w:t>
      </w:r>
      <w:r w:rsidRPr="004B77E0">
        <w:t xml:space="preserve"> containers of the product</w:t>
      </w:r>
      <w:r>
        <w:t>s, and t</w:t>
      </w:r>
      <w:r w:rsidRPr="00E440D7">
        <w:t>he safe handling of the product</w:t>
      </w:r>
      <w:r>
        <w:t>s</w:t>
      </w:r>
      <w:r w:rsidRPr="00E440D7">
        <w:t xml:space="preserve"> and first aid in the event of an accident caused by the handling of the product</w:t>
      </w:r>
      <w:r>
        <w:t>s.</w:t>
      </w:r>
    </w:p>
    <w:p w14:paraId="147A3DAF" w14:textId="47C26FA2" w:rsidR="008E67EA" w:rsidRPr="00E440D7" w:rsidRDefault="008E67EA">
      <w:pPr>
        <w:pStyle w:val="NumberLevel2"/>
        <w:numPr>
          <w:ilvl w:val="1"/>
          <w:numId w:val="17"/>
        </w:numPr>
        <w:ind w:left="1134"/>
      </w:pPr>
      <w:r>
        <w:rPr>
          <w:color w:val="000000" w:themeColor="text1"/>
        </w:rPr>
        <w:t>Variation of the relevant particular ‘t</w:t>
      </w:r>
      <w:r w:rsidRPr="00E440D7">
        <w:rPr>
          <w:color w:val="000000" w:themeColor="text1"/>
        </w:rPr>
        <w:t>he name of the chemical product that is to appear on a label for containers of the chemical product</w:t>
      </w:r>
      <w:r>
        <w:rPr>
          <w:color w:val="000000" w:themeColor="text1"/>
        </w:rPr>
        <w:t xml:space="preserve">’ for certain labels of anticoagulant rodenticide chemical </w:t>
      </w:r>
      <w:r w:rsidRPr="00D035F8">
        <w:rPr>
          <w:color w:val="000000" w:themeColor="text1"/>
        </w:rPr>
        <w:t>products (56632, 58301, 63885, 85522, 88847, 87870),</w:t>
      </w:r>
      <w:r>
        <w:rPr>
          <w:color w:val="000000" w:themeColor="text1"/>
        </w:rPr>
        <w:t xml:space="preserve"> as detailed in</w:t>
      </w:r>
      <w:r w:rsidRPr="00E440D7">
        <w:t xml:space="preserve"> </w:t>
      </w:r>
      <w:r w:rsidRPr="002D28DB">
        <w:t xml:space="preserve">paragraphs </w:t>
      </w:r>
      <w:r w:rsidRPr="002D28DB">
        <w:fldChar w:fldCharType="begin"/>
      </w:r>
      <w:r w:rsidRPr="002D28DB">
        <w:instrText xml:space="preserve"> REF _Ref213440792 \w \h </w:instrText>
      </w:r>
      <w:r>
        <w:instrText xml:space="preserve"> \* MERGEFORMAT </w:instrText>
      </w:r>
      <w:r w:rsidRPr="002D28DB">
        <w:fldChar w:fldCharType="separate"/>
      </w:r>
      <w:r w:rsidR="002C0C2A">
        <w:t>152</w:t>
      </w:r>
      <w:r w:rsidRPr="002D28DB">
        <w:fldChar w:fldCharType="end"/>
      </w:r>
      <w:r w:rsidRPr="002D28DB">
        <w:t xml:space="preserve"> – </w:t>
      </w:r>
      <w:r w:rsidRPr="002D28DB">
        <w:fldChar w:fldCharType="begin"/>
      </w:r>
      <w:r w:rsidRPr="002D28DB">
        <w:instrText xml:space="preserve"> REF _Ref213440805 \w \h </w:instrText>
      </w:r>
      <w:r>
        <w:instrText xml:space="preserve"> \* MERGEFORMAT </w:instrText>
      </w:r>
      <w:r w:rsidRPr="002D28DB">
        <w:fldChar w:fldCharType="separate"/>
      </w:r>
      <w:r w:rsidR="002C0C2A">
        <w:t>154</w:t>
      </w:r>
      <w:r w:rsidRPr="002D28DB">
        <w:fldChar w:fldCharType="end"/>
      </w:r>
      <w:r>
        <w:t xml:space="preserve"> of these reasons.</w:t>
      </w:r>
    </w:p>
    <w:p w14:paraId="309D30E0" w14:textId="087731CE" w:rsidR="008E67EA" w:rsidRPr="008E0934" w:rsidRDefault="008E67EA">
      <w:pPr>
        <w:pStyle w:val="NumberLevel2"/>
        <w:numPr>
          <w:ilvl w:val="1"/>
          <w:numId w:val="17"/>
        </w:numPr>
        <w:ind w:left="1134"/>
      </w:pPr>
      <w:r>
        <w:rPr>
          <w:color w:val="000000" w:themeColor="text1"/>
        </w:rPr>
        <w:t>Variation of the relevant particular ‘t</w:t>
      </w:r>
      <w:r w:rsidRPr="00E440D7">
        <w:rPr>
          <w:color w:val="000000" w:themeColor="text1"/>
        </w:rPr>
        <w:t>he net contents of the product</w:t>
      </w:r>
      <w:r>
        <w:rPr>
          <w:color w:val="000000" w:themeColor="text1"/>
        </w:rPr>
        <w:t>’</w:t>
      </w:r>
      <w:r w:rsidRPr="00E440D7">
        <w:rPr>
          <w:color w:val="000000" w:themeColor="text1"/>
        </w:rPr>
        <w:t xml:space="preserve"> </w:t>
      </w:r>
      <w:r>
        <w:rPr>
          <w:color w:val="000000" w:themeColor="text1"/>
        </w:rPr>
        <w:t xml:space="preserve">for the labels of domestic anticoagulant rodenticide chemical products, as detailed in paragraphs </w:t>
      </w:r>
      <w:r w:rsidRPr="002D28DB">
        <w:fldChar w:fldCharType="begin"/>
      </w:r>
      <w:r w:rsidRPr="002D28DB">
        <w:instrText xml:space="preserve"> REF _Ref213440825 \w \h </w:instrText>
      </w:r>
      <w:r>
        <w:instrText xml:space="preserve"> \* MERGEFORMAT </w:instrText>
      </w:r>
      <w:r w:rsidRPr="002D28DB">
        <w:fldChar w:fldCharType="separate"/>
      </w:r>
      <w:r w:rsidR="002C0C2A">
        <w:t>155</w:t>
      </w:r>
      <w:r w:rsidRPr="002D28DB">
        <w:fldChar w:fldCharType="end"/>
      </w:r>
      <w:r w:rsidRPr="002D28DB">
        <w:t xml:space="preserve"> – </w:t>
      </w:r>
      <w:r w:rsidRPr="002D28DB">
        <w:fldChar w:fldCharType="begin"/>
      </w:r>
      <w:r w:rsidRPr="002D28DB">
        <w:instrText xml:space="preserve"> REF _Ref213440831 \w \h </w:instrText>
      </w:r>
      <w:r>
        <w:instrText xml:space="preserve"> \* MERGEFORMAT </w:instrText>
      </w:r>
      <w:r w:rsidRPr="002D28DB">
        <w:fldChar w:fldCharType="separate"/>
      </w:r>
      <w:r w:rsidR="002C0C2A">
        <w:t>156</w:t>
      </w:r>
      <w:r w:rsidRPr="002D28DB">
        <w:fldChar w:fldCharType="end"/>
      </w:r>
      <w:r>
        <w:t xml:space="preserve"> of these reasons.</w:t>
      </w:r>
    </w:p>
    <w:p w14:paraId="1968D419" w14:textId="0B77501A" w:rsidR="008E67EA" w:rsidRPr="00B418E9" w:rsidRDefault="008E67EA" w:rsidP="008E67EA">
      <w:pPr>
        <w:pStyle w:val="StatementofReasonsHeading1"/>
      </w:pPr>
      <w:bookmarkStart w:id="324" w:name="_Toc216090764"/>
      <w:r w:rsidRPr="00B418E9">
        <w:t>C</w:t>
      </w:r>
      <w:r w:rsidR="00731415" w:rsidRPr="00B418E9">
        <w:t>onclusion</w:t>
      </w:r>
      <w:bookmarkStart w:id="325" w:name="_Ref35500796"/>
      <w:r w:rsidR="00731415">
        <w:t>s</w:t>
      </w:r>
      <w:bookmarkEnd w:id="324"/>
    </w:p>
    <w:p w14:paraId="659D8AF0" w14:textId="77777777" w:rsidR="008E67EA" w:rsidRPr="00E55D45" w:rsidRDefault="008E67EA">
      <w:pPr>
        <w:pStyle w:val="NumberLevel1"/>
        <w:numPr>
          <w:ilvl w:val="0"/>
          <w:numId w:val="17"/>
        </w:numPr>
        <w:tabs>
          <w:tab w:val="clear" w:pos="709"/>
          <w:tab w:val="num" w:pos="2553"/>
        </w:tabs>
        <w:rPr>
          <w:color w:val="000000" w:themeColor="text1"/>
        </w:rPr>
      </w:pPr>
      <w:r w:rsidRPr="00E55D45">
        <w:rPr>
          <w:color w:val="000000" w:themeColor="text1"/>
        </w:rPr>
        <w:t>Having regard to the matters set out above regarding the anticoagulant rodenticides chemical products listed in Attachment A of this notice.</w:t>
      </w:r>
    </w:p>
    <w:p w14:paraId="67E7FA71" w14:textId="77777777" w:rsidR="008E67EA" w:rsidRPr="00E55D45" w:rsidRDefault="008E67EA">
      <w:pPr>
        <w:pStyle w:val="NumberLevel2"/>
        <w:numPr>
          <w:ilvl w:val="1"/>
          <w:numId w:val="17"/>
        </w:numPr>
        <w:ind w:left="1134"/>
      </w:pPr>
      <w:r w:rsidRPr="00E55D45">
        <w:t xml:space="preserve">I am </w:t>
      </w:r>
      <w:r w:rsidRPr="00E55D45">
        <w:rPr>
          <w:b/>
          <w:bCs/>
        </w:rPr>
        <w:t>not satisfied</w:t>
      </w:r>
      <w:r w:rsidRPr="00E55D45">
        <w:t xml:space="preserve"> that the products meet the safety criteria chemical due </w:t>
      </w:r>
      <w:r>
        <w:t xml:space="preserve">as </w:t>
      </w:r>
      <w:r w:rsidRPr="00E36EAB">
        <w:t>I am</w:t>
      </w:r>
      <w:r w:rsidRPr="00D035F8">
        <w:rPr>
          <w:b/>
          <w:bCs/>
        </w:rPr>
        <w:t xml:space="preserve"> not satisfied</w:t>
      </w:r>
      <w:r>
        <w:t xml:space="preserve"> </w:t>
      </w:r>
      <w:r w:rsidRPr="00E55D45">
        <w:t>that the use of chemical products in accordance with current instructions:</w:t>
      </w:r>
    </w:p>
    <w:p w14:paraId="497FB869" w14:textId="77777777" w:rsidR="008E67EA" w:rsidRPr="00E55D45" w:rsidRDefault="008E67EA">
      <w:pPr>
        <w:pStyle w:val="NumberLevel3"/>
        <w:numPr>
          <w:ilvl w:val="2"/>
          <w:numId w:val="17"/>
        </w:numPr>
      </w:pPr>
      <w:r w:rsidRPr="006B5FF8">
        <w:rPr>
          <w:b/>
          <w:bCs/>
          <w:color w:val="000000" w:themeColor="text1"/>
        </w:rPr>
        <w:t xml:space="preserve">would not be likely </w:t>
      </w:r>
      <w:r>
        <w:rPr>
          <w:color w:val="000000" w:themeColor="text1"/>
        </w:rPr>
        <w:t>to</w:t>
      </w:r>
      <w:r w:rsidRPr="00A406B4">
        <w:rPr>
          <w:color w:val="000000" w:themeColor="text1"/>
        </w:rPr>
        <w:t xml:space="preserve"> </w:t>
      </w:r>
      <w:r w:rsidRPr="00E55D45">
        <w:t>have an unintended effect that is harmful to animals, including non-target terrestrial vertebrates and aquatic species.</w:t>
      </w:r>
    </w:p>
    <w:p w14:paraId="43D27B8C" w14:textId="7B48AE03" w:rsidR="008E67EA" w:rsidRPr="00E55D45" w:rsidRDefault="008E67EA">
      <w:pPr>
        <w:pStyle w:val="NumberLevel3"/>
        <w:numPr>
          <w:ilvl w:val="2"/>
          <w:numId w:val="17"/>
        </w:numPr>
      </w:pPr>
      <w:r w:rsidRPr="006B5FF8">
        <w:rPr>
          <w:b/>
          <w:bCs/>
          <w:color w:val="000000" w:themeColor="text1"/>
        </w:rPr>
        <w:t xml:space="preserve">would not be likely </w:t>
      </w:r>
      <w:r>
        <w:rPr>
          <w:color w:val="000000" w:themeColor="text1"/>
        </w:rPr>
        <w:t>to</w:t>
      </w:r>
      <w:r w:rsidRPr="00A406B4">
        <w:rPr>
          <w:color w:val="000000" w:themeColor="text1"/>
        </w:rPr>
        <w:t xml:space="preserve"> </w:t>
      </w:r>
      <w:r w:rsidRPr="00E55D45">
        <w:t>pose an undue hazard to the safety of people exposed to it during its handling or people using anything containing its residues, including potential safety concerns for professional workers who handle the chemical products during application and/or people who are involved in clean-up activities.</w:t>
      </w:r>
    </w:p>
    <w:p w14:paraId="7CDA76CF" w14:textId="77777777" w:rsidR="008E67EA" w:rsidRDefault="008E67EA">
      <w:pPr>
        <w:pStyle w:val="NumberLevel3"/>
        <w:numPr>
          <w:ilvl w:val="2"/>
          <w:numId w:val="17"/>
        </w:numPr>
      </w:pPr>
      <w:r w:rsidRPr="006B5FF8">
        <w:rPr>
          <w:b/>
          <w:bCs/>
          <w:color w:val="000000" w:themeColor="text1"/>
        </w:rPr>
        <w:t xml:space="preserve">would not be likely </w:t>
      </w:r>
      <w:r>
        <w:rPr>
          <w:color w:val="000000" w:themeColor="text1"/>
        </w:rPr>
        <w:t>to</w:t>
      </w:r>
      <w:r w:rsidRPr="00A406B4">
        <w:rPr>
          <w:color w:val="000000" w:themeColor="text1"/>
        </w:rPr>
        <w:t xml:space="preserve"> </w:t>
      </w:r>
      <w:r w:rsidRPr="00E55D45">
        <w:t>have an effect that is harmful to human beings, including potential safety concerns related to vulnerable human beings who may invertedly access baits, human beings who may hunt for wild game in treated areas and/or the potential for contamination of food commodities that may be consumed by human beings.</w:t>
      </w:r>
    </w:p>
    <w:p w14:paraId="640CD1F1" w14:textId="22D48ED6" w:rsidR="008E67EA" w:rsidRPr="00E55D45" w:rsidRDefault="008E67EA">
      <w:pPr>
        <w:pStyle w:val="NumberLevel2"/>
        <w:numPr>
          <w:ilvl w:val="1"/>
          <w:numId w:val="17"/>
        </w:numPr>
        <w:ind w:left="1134"/>
        <w:rPr>
          <w:color w:val="000000" w:themeColor="text1"/>
        </w:rPr>
      </w:pPr>
      <w:r w:rsidRPr="00E55D45">
        <w:rPr>
          <w:color w:val="000000" w:themeColor="text1"/>
        </w:rPr>
        <w:t>I am satisfied that the relevant particulars and conditions of the registrations can be varied in such a way as to allow me to be satisfied that products will meet the safety criteria</w:t>
      </w:r>
      <w:r>
        <w:rPr>
          <w:color w:val="000000" w:themeColor="text1"/>
        </w:rPr>
        <w:t>,</w:t>
      </w:r>
      <w:r w:rsidRPr="00BD34E0">
        <w:rPr>
          <w:color w:val="000000" w:themeColor="text1"/>
        </w:rPr>
        <w:t xml:space="preserve"> </w:t>
      </w:r>
      <w:r>
        <w:rPr>
          <w:color w:val="000000" w:themeColor="text1"/>
        </w:rPr>
        <w:t xml:space="preserve">as detailed in paragraph </w:t>
      </w:r>
      <w:r>
        <w:fldChar w:fldCharType="begin"/>
      </w:r>
      <w:r>
        <w:instrText xml:space="preserve"> REF _Ref213593648 \w \h </w:instrText>
      </w:r>
      <w:r>
        <w:fldChar w:fldCharType="separate"/>
      </w:r>
      <w:r w:rsidR="002C0C2A">
        <w:t>129</w:t>
      </w:r>
      <w:r>
        <w:fldChar w:fldCharType="end"/>
      </w:r>
      <w:r>
        <w:t xml:space="preserve"> of this statement of reasons</w:t>
      </w:r>
      <w:r w:rsidRPr="00E55D45">
        <w:rPr>
          <w:color w:val="000000" w:themeColor="text1"/>
        </w:rPr>
        <w:t xml:space="preserve">. I am </w:t>
      </w:r>
      <w:r>
        <w:rPr>
          <w:color w:val="000000" w:themeColor="text1"/>
        </w:rPr>
        <w:t xml:space="preserve">also </w:t>
      </w:r>
      <w:r w:rsidRPr="00E55D45">
        <w:rPr>
          <w:color w:val="000000" w:themeColor="text1"/>
        </w:rPr>
        <w:t xml:space="preserve">satisfied that there are no additional requirements prescribed by the regulations for chemical product registrations beyond </w:t>
      </w:r>
      <w:r w:rsidRPr="007A6CDD">
        <w:t>those that I considered with respect to whether the chemical products meet the safety criteria.</w:t>
      </w:r>
    </w:p>
    <w:p w14:paraId="5ADEF65F" w14:textId="355F8AE3" w:rsidR="008E67EA" w:rsidRPr="00E55D45" w:rsidRDefault="008E67EA">
      <w:pPr>
        <w:pStyle w:val="NumberLevel2"/>
        <w:numPr>
          <w:ilvl w:val="1"/>
          <w:numId w:val="17"/>
        </w:numPr>
        <w:ind w:left="1134"/>
        <w:rPr>
          <w:color w:val="000000" w:themeColor="text1"/>
        </w:rPr>
      </w:pPr>
      <w:r w:rsidRPr="007A6CDD">
        <w:rPr>
          <w:color w:val="000000" w:themeColor="text1"/>
        </w:rPr>
        <w:t>Therefore, I am satisfied that the relevant particulars and conditions of the registrations can be varied in such a way as to allow the registrations to be affirmed.</w:t>
      </w:r>
    </w:p>
    <w:p w14:paraId="369E82F6" w14:textId="77777777" w:rsidR="008E67EA" w:rsidRPr="00E55D45" w:rsidRDefault="008E67EA">
      <w:pPr>
        <w:pStyle w:val="NumberLevel1"/>
        <w:numPr>
          <w:ilvl w:val="0"/>
          <w:numId w:val="17"/>
        </w:numPr>
        <w:tabs>
          <w:tab w:val="clear" w:pos="709"/>
          <w:tab w:val="num" w:pos="2553"/>
        </w:tabs>
        <w:rPr>
          <w:color w:val="000000" w:themeColor="text1"/>
        </w:rPr>
      </w:pPr>
      <w:r w:rsidRPr="00E55D45">
        <w:rPr>
          <w:color w:val="000000" w:themeColor="text1"/>
        </w:rPr>
        <w:t>Having regard to the matters set out above regarding the labels of anticoagulant rodenticides chemical products listed in Attachment A of this notice.</w:t>
      </w:r>
    </w:p>
    <w:p w14:paraId="7A12F925" w14:textId="77777777" w:rsidR="008E67EA" w:rsidRPr="00E55D45" w:rsidRDefault="008E67EA">
      <w:pPr>
        <w:pStyle w:val="NumberLevel2"/>
        <w:numPr>
          <w:ilvl w:val="1"/>
          <w:numId w:val="17"/>
        </w:numPr>
        <w:ind w:left="1134"/>
        <w:rPr>
          <w:color w:val="000000" w:themeColor="text1"/>
        </w:rPr>
      </w:pPr>
      <w:r w:rsidRPr="00E55D45">
        <w:rPr>
          <w:color w:val="000000" w:themeColor="text1"/>
        </w:rPr>
        <w:t xml:space="preserve">I am </w:t>
      </w:r>
      <w:r w:rsidRPr="00E55D45">
        <w:rPr>
          <w:b/>
          <w:bCs/>
          <w:color w:val="000000" w:themeColor="text1"/>
        </w:rPr>
        <w:t>not satisfied</w:t>
      </w:r>
      <w:r w:rsidRPr="00E55D45">
        <w:rPr>
          <w:color w:val="000000" w:themeColor="text1"/>
        </w:rPr>
        <w:t xml:space="preserve"> that these labels meet the labelling criteria as they contain inadequate instructions to ensure, as far as reasonably practicable, that the associated chemical product meets the safety criteria.</w:t>
      </w:r>
    </w:p>
    <w:p w14:paraId="44ED0238" w14:textId="58391A8A" w:rsidR="008E67EA" w:rsidRPr="00E55D45" w:rsidRDefault="008E67EA">
      <w:pPr>
        <w:pStyle w:val="NumberLevel2"/>
        <w:numPr>
          <w:ilvl w:val="1"/>
          <w:numId w:val="17"/>
        </w:numPr>
        <w:ind w:left="1134"/>
        <w:rPr>
          <w:color w:val="000000" w:themeColor="text1"/>
        </w:rPr>
      </w:pPr>
      <w:r w:rsidRPr="00E55D45">
        <w:rPr>
          <w:color w:val="000000" w:themeColor="text1"/>
        </w:rPr>
        <w:t>I am satisfied that the relevant particulars of the label approval can be varied in such a way so that the labels meet the labelling criteria</w:t>
      </w:r>
      <w:r>
        <w:rPr>
          <w:color w:val="000000" w:themeColor="text1"/>
        </w:rPr>
        <w:t xml:space="preserve">, as detailed in paragraph </w:t>
      </w:r>
      <w:r>
        <w:fldChar w:fldCharType="begin"/>
      </w:r>
      <w:r>
        <w:instrText xml:space="preserve"> REF _Ref213597119 \w \h </w:instrText>
      </w:r>
      <w:r>
        <w:fldChar w:fldCharType="separate"/>
      </w:r>
      <w:r w:rsidR="002C0C2A">
        <w:t>158</w:t>
      </w:r>
      <w:r>
        <w:fldChar w:fldCharType="end"/>
      </w:r>
      <w:r>
        <w:t xml:space="preserve"> of this statement of reasons</w:t>
      </w:r>
      <w:r w:rsidRPr="00E55D45">
        <w:rPr>
          <w:color w:val="000000" w:themeColor="text1"/>
        </w:rPr>
        <w:t>. I am also satisfied that there are no additional requirements prescribed by the regulations for labels of chemical products beyond those that I considered with respect to whether the label approvals meet the labelling criteria.</w:t>
      </w:r>
    </w:p>
    <w:p w14:paraId="537AE8E6" w14:textId="77777777" w:rsidR="008E67EA" w:rsidRPr="00E55D45" w:rsidRDefault="008E67EA">
      <w:pPr>
        <w:pStyle w:val="NumberLevel2"/>
        <w:numPr>
          <w:ilvl w:val="1"/>
          <w:numId w:val="17"/>
        </w:numPr>
        <w:ind w:left="1134"/>
        <w:rPr>
          <w:color w:val="000000" w:themeColor="text1"/>
        </w:rPr>
      </w:pPr>
      <w:r w:rsidRPr="00E55D45">
        <w:rPr>
          <w:color w:val="000000" w:themeColor="text1"/>
        </w:rPr>
        <w:lastRenderedPageBreak/>
        <w:t>Therefore, I am satisfied that the relevant particulars of the label approvals can be varied in such a way as to allow the approvals to be affirmed</w:t>
      </w:r>
    </w:p>
    <w:p w14:paraId="2D458F21" w14:textId="77777777" w:rsidR="008E67EA" w:rsidRDefault="008E67EA">
      <w:pPr>
        <w:pStyle w:val="NumberLevel1"/>
        <w:numPr>
          <w:ilvl w:val="0"/>
          <w:numId w:val="17"/>
        </w:numPr>
        <w:tabs>
          <w:tab w:val="clear" w:pos="709"/>
          <w:tab w:val="num" w:pos="2553"/>
        </w:tabs>
        <w:rPr>
          <w:color w:val="000000" w:themeColor="text1"/>
        </w:rPr>
      </w:pPr>
      <w:r w:rsidRPr="00E55D45">
        <w:rPr>
          <w:color w:val="000000" w:themeColor="text1"/>
        </w:rPr>
        <w:t>Consequently,</w:t>
      </w:r>
      <w:r>
        <w:rPr>
          <w:color w:val="000000" w:themeColor="text1"/>
        </w:rPr>
        <w:t xml:space="preserve"> I propose to:</w:t>
      </w:r>
    </w:p>
    <w:p w14:paraId="6090BB14" w14:textId="77777777" w:rsidR="008E67EA" w:rsidRPr="00E55D45" w:rsidRDefault="008E67EA">
      <w:pPr>
        <w:pStyle w:val="NumberLevel2"/>
        <w:numPr>
          <w:ilvl w:val="1"/>
          <w:numId w:val="17"/>
        </w:numPr>
        <w:ind w:left="1134"/>
      </w:pPr>
      <w:r>
        <w:t>P</w:t>
      </w:r>
      <w:r w:rsidRPr="00E55D45">
        <w:t>ursuant to section 34A(1) of the Agvet Code:</w:t>
      </w:r>
    </w:p>
    <w:p w14:paraId="2B65E328" w14:textId="4518241E" w:rsidR="008E67EA" w:rsidRDefault="008E67EA">
      <w:pPr>
        <w:pStyle w:val="NumberLevel3"/>
        <w:numPr>
          <w:ilvl w:val="2"/>
          <w:numId w:val="17"/>
        </w:numPr>
      </w:pPr>
      <w:r>
        <w:t xml:space="preserve">Vary the relevant particulars and conditions of the </w:t>
      </w:r>
      <w:r w:rsidRPr="00E55D45">
        <w:rPr>
          <w:color w:val="000000" w:themeColor="text1"/>
        </w:rPr>
        <w:t>chemical product registrations listed in Attachment A</w:t>
      </w:r>
      <w:r>
        <w:t xml:space="preserve">, in the manner set out in paragraph </w:t>
      </w:r>
      <w:r>
        <w:fldChar w:fldCharType="begin"/>
      </w:r>
      <w:r>
        <w:instrText xml:space="preserve"> REF _Ref213593648 \w \h </w:instrText>
      </w:r>
      <w:r>
        <w:fldChar w:fldCharType="separate"/>
      </w:r>
      <w:r w:rsidR="002C0C2A">
        <w:t>129</w:t>
      </w:r>
      <w:r>
        <w:fldChar w:fldCharType="end"/>
      </w:r>
      <w:r>
        <w:t xml:space="preserve"> of this statement of reasons, to allow affirmation under section 34(1) of the Agvet Code; and</w:t>
      </w:r>
    </w:p>
    <w:p w14:paraId="7EC836CA" w14:textId="7330B344" w:rsidR="008E67EA" w:rsidRDefault="008E67EA">
      <w:pPr>
        <w:pStyle w:val="NumberLevel3"/>
        <w:numPr>
          <w:ilvl w:val="2"/>
          <w:numId w:val="17"/>
        </w:numPr>
      </w:pPr>
      <w:r>
        <w:t xml:space="preserve">Vary the relevant particulars of the </w:t>
      </w:r>
      <w:r>
        <w:rPr>
          <w:color w:val="000000" w:themeColor="text1"/>
        </w:rPr>
        <w:t>label approvals</w:t>
      </w:r>
      <w:r w:rsidRPr="00E55D45">
        <w:rPr>
          <w:color w:val="000000" w:themeColor="text1"/>
        </w:rPr>
        <w:t xml:space="preserve"> listed in Attachment A</w:t>
      </w:r>
      <w:r>
        <w:t xml:space="preserve">, in the manner set out in paragraph </w:t>
      </w:r>
      <w:r>
        <w:fldChar w:fldCharType="begin"/>
      </w:r>
      <w:r>
        <w:instrText xml:space="preserve"> REF _Ref213597119 \w \h </w:instrText>
      </w:r>
      <w:r>
        <w:fldChar w:fldCharType="separate"/>
      </w:r>
      <w:r w:rsidR="002C0C2A">
        <w:t>158</w:t>
      </w:r>
      <w:r>
        <w:fldChar w:fldCharType="end"/>
      </w:r>
      <w:r>
        <w:t xml:space="preserve"> of this statement of reasons, to allow affirmation under section 34(1) of the Agvet Code.</w:t>
      </w:r>
    </w:p>
    <w:p w14:paraId="61EAEB9A" w14:textId="77777777" w:rsidR="008E67EA" w:rsidRPr="00763CD2" w:rsidRDefault="008E67EA">
      <w:pPr>
        <w:pStyle w:val="NumberLevel2"/>
        <w:numPr>
          <w:ilvl w:val="1"/>
          <w:numId w:val="17"/>
        </w:numPr>
        <w:ind w:left="1134"/>
      </w:pPr>
      <w:r>
        <w:t>P</w:t>
      </w:r>
      <w:r w:rsidRPr="00763CD2">
        <w:t>ursuant to section 34(1) of the Agvet Code:</w:t>
      </w:r>
    </w:p>
    <w:p w14:paraId="0C5D557B" w14:textId="77777777" w:rsidR="008E67EA" w:rsidRDefault="008E67EA">
      <w:pPr>
        <w:pStyle w:val="NumberLevel3"/>
        <w:numPr>
          <w:ilvl w:val="2"/>
          <w:numId w:val="17"/>
        </w:numPr>
      </w:pPr>
      <w:r>
        <w:t>affirm the registrations, as varied, of the anticoagulant rodenticide chemical products listed in Attachment A of this notice; and</w:t>
      </w:r>
    </w:p>
    <w:p w14:paraId="3A3CFB45" w14:textId="77777777" w:rsidR="00731415" w:rsidRDefault="008E67EA">
      <w:pPr>
        <w:pStyle w:val="NumberLevel3"/>
        <w:numPr>
          <w:ilvl w:val="2"/>
          <w:numId w:val="17"/>
        </w:numPr>
        <w:sectPr w:rsidR="00731415" w:rsidSect="00B347E8">
          <w:headerReference w:type="even" r:id="rId43"/>
          <w:pgSz w:w="11906" w:h="16838"/>
          <w:pgMar w:top="1440" w:right="1134" w:bottom="1440" w:left="1134" w:header="680" w:footer="737" w:gutter="0"/>
          <w:cols w:space="708"/>
          <w:docGrid w:linePitch="360"/>
        </w:sectPr>
      </w:pPr>
      <w:r>
        <w:t>affirm the approvals, as varied, of the labels of anticoagulant rodenticide chemical products listed in Attachment A of this notice.</w:t>
      </w:r>
      <w:bookmarkEnd w:id="325"/>
    </w:p>
    <w:p w14:paraId="2C3C1B20" w14:textId="77777777" w:rsidR="008E67EA" w:rsidRPr="00D4624B" w:rsidRDefault="008E67EA" w:rsidP="00D4624B">
      <w:pPr>
        <w:pStyle w:val="GazetteHeading1"/>
      </w:pPr>
      <w:bookmarkStart w:id="326" w:name="_Toc216282366"/>
      <w:r w:rsidRPr="00D4624B">
        <w:lastRenderedPageBreak/>
        <w:t>Attachment C: Information on which the reasons are based</w:t>
      </w:r>
      <w:bookmarkEnd w:id="326"/>
    </w:p>
    <w:p w14:paraId="18E95479" w14:textId="77777777" w:rsidR="008E67EA" w:rsidRPr="00011C46" w:rsidRDefault="008E67EA" w:rsidP="008E67EA">
      <w:pPr>
        <w:pStyle w:val="GazetteNormalText"/>
      </w:pPr>
      <w:r w:rsidRPr="00011C46">
        <w:t>The</w:t>
      </w:r>
      <w:r w:rsidRPr="00011C46">
        <w:rPr>
          <w:sz w:val="22"/>
        </w:rPr>
        <w:t xml:space="preserve"> </w:t>
      </w:r>
      <w:r w:rsidRPr="00011C46">
        <w:rPr>
          <w:rFonts w:hAnsi="Arial"/>
        </w:rPr>
        <w:t>information on which the reasons</w:t>
      </w:r>
      <w:r w:rsidRPr="00011C46">
        <w:t xml:space="preserve"> in the draft statement of reasons for proposed course of action</w:t>
      </w:r>
      <w:r w:rsidRPr="00011C46">
        <w:rPr>
          <w:rFonts w:hAnsi="Arial"/>
        </w:rPr>
        <w:t xml:space="preserve"> are </w:t>
      </w:r>
      <w:r w:rsidRPr="00011C46">
        <w:t>set out below.</w:t>
      </w:r>
    </w:p>
    <w:p w14:paraId="4A5A6220" w14:textId="2A4B7FED" w:rsidR="008E67EA" w:rsidRDefault="008E67EA">
      <w:pPr>
        <w:pStyle w:val="GazetteListNumbered"/>
        <w:numPr>
          <w:ilvl w:val="0"/>
          <w:numId w:val="44"/>
        </w:numPr>
        <w:ind w:left="357" w:hanging="357"/>
      </w:pPr>
      <w:r>
        <w:t>Information provided to the APVMA in response to notices</w:t>
      </w:r>
      <w:r w:rsidRPr="00384021">
        <w:t xml:space="preserve"> </w:t>
      </w:r>
      <w:bookmarkStart w:id="327" w:name="_Hlk216083508"/>
      <w:r>
        <w:t>as</w:t>
      </w:r>
      <w:r w:rsidRPr="000B255E">
        <w:t xml:space="preserve"> listed in </w:t>
      </w:r>
      <w:r>
        <w:t xml:space="preserve">the </w:t>
      </w:r>
      <w:hyperlink r:id="rId44" w:history="1">
        <w:r w:rsidRPr="00477E90">
          <w:rPr>
            <w:rStyle w:val="Hyperlink"/>
          </w:rPr>
          <w:t>Anticoagulant Rodenticides Data List</w:t>
        </w:r>
      </w:hyperlink>
      <w:r w:rsidRPr="000B255E">
        <w:t xml:space="preserve"> and cited in the </w:t>
      </w:r>
      <w:r>
        <w:t>R</w:t>
      </w:r>
      <w:r w:rsidRPr="000B255E">
        <w:t xml:space="preserve">eview </w:t>
      </w:r>
      <w:r>
        <w:t>T</w:t>
      </w:r>
      <w:r w:rsidRPr="000B255E">
        <w:t xml:space="preserve">echnical </w:t>
      </w:r>
      <w:r>
        <w:t>R</w:t>
      </w:r>
      <w:r w:rsidRPr="000B255E">
        <w:t xml:space="preserve">eport, noting that </w:t>
      </w:r>
      <w:r>
        <w:t xml:space="preserve">Confidential Commercial Information </w:t>
      </w:r>
      <w:r w:rsidRPr="000B255E">
        <w:t xml:space="preserve">restrictions limit access to </w:t>
      </w:r>
      <w:r>
        <w:t xml:space="preserve">some of </w:t>
      </w:r>
      <w:r w:rsidRPr="000B255E">
        <w:t>these data</w:t>
      </w:r>
      <w:bookmarkEnd w:id="327"/>
      <w:r>
        <w:t>:</w:t>
      </w:r>
    </w:p>
    <w:p w14:paraId="087339FF" w14:textId="2D5FF5BE" w:rsidR="008E67EA" w:rsidRDefault="008E67EA" w:rsidP="00011C46">
      <w:pPr>
        <w:pStyle w:val="GazetteListNumbered"/>
        <w:numPr>
          <w:ilvl w:val="1"/>
          <w:numId w:val="1"/>
        </w:numPr>
      </w:pPr>
      <w:r>
        <w:t>Issued to holders of anticoagulant rodenticide approvals and registrations on 21 November 2021 and 17 March 2025 under section 32 of the Agvet Code.</w:t>
      </w:r>
    </w:p>
    <w:p w14:paraId="4784B358" w14:textId="5563343E" w:rsidR="008E67EA" w:rsidRDefault="008E67EA" w:rsidP="00011C46">
      <w:pPr>
        <w:pStyle w:val="GazetteListNumbered"/>
        <w:numPr>
          <w:ilvl w:val="1"/>
          <w:numId w:val="1"/>
        </w:numPr>
      </w:pPr>
      <w:r>
        <w:t>Published in the APVMA Gazette on 21 November 2021 under section 32 of the Agvet Code.</w:t>
      </w:r>
    </w:p>
    <w:p w14:paraId="48E10A4A" w14:textId="77777777" w:rsidR="008E67EA" w:rsidRDefault="008E67EA" w:rsidP="00011C46">
      <w:pPr>
        <w:pStyle w:val="GazetteListNumbered"/>
        <w:numPr>
          <w:ilvl w:val="1"/>
          <w:numId w:val="1"/>
        </w:numPr>
      </w:pPr>
      <w:r w:rsidRPr="009F14CD">
        <w:t xml:space="preserve">Issued to </w:t>
      </w:r>
      <w:r>
        <w:t xml:space="preserve">holders of anticoagulant rodenticide approvals and registrations </w:t>
      </w:r>
      <w:r w:rsidRPr="009F14CD">
        <w:t xml:space="preserve">under section 33 of the Agvet Code on </w:t>
      </w:r>
      <w:r>
        <w:t>28 November 2022, 27 June 2024 and 4 July 2024.</w:t>
      </w:r>
    </w:p>
    <w:p w14:paraId="7C54921E" w14:textId="508052DE" w:rsidR="008E67EA" w:rsidRDefault="008E67EA" w:rsidP="00011C46">
      <w:pPr>
        <w:pStyle w:val="GazetteListNumbered"/>
        <w:ind w:left="357" w:hanging="357"/>
      </w:pPr>
      <w:r>
        <w:t>The APVMA records for the registration of relevant products and approval of relevant labels, including information submitted and assessed at the time of registration and approval.</w:t>
      </w:r>
    </w:p>
    <w:p w14:paraId="537695EA" w14:textId="77777777" w:rsidR="008E67EA" w:rsidRDefault="008E67EA" w:rsidP="00011C46">
      <w:pPr>
        <w:pStyle w:val="GazetteListNumbered"/>
        <w:ind w:left="357" w:hanging="357"/>
      </w:pPr>
      <w:r>
        <w:t>Information assessed by the APVMA and summarised in the following published report:</w:t>
      </w:r>
    </w:p>
    <w:p w14:paraId="07620628" w14:textId="7D5A8E46" w:rsidR="008E67EA" w:rsidRDefault="008E67EA" w:rsidP="00011C46">
      <w:pPr>
        <w:pStyle w:val="GazetteListNumbered"/>
        <w:numPr>
          <w:ilvl w:val="1"/>
          <w:numId w:val="1"/>
        </w:numPr>
      </w:pPr>
      <w:r>
        <w:t xml:space="preserve">Anticoagulant Rodenticides </w:t>
      </w:r>
      <w:hyperlink r:id="rId45" w:history="1">
        <w:r w:rsidRPr="00477E90">
          <w:rPr>
            <w:rStyle w:val="Hyperlink"/>
          </w:rPr>
          <w:t>Review Technical Report</w:t>
        </w:r>
      </w:hyperlink>
    </w:p>
    <w:p w14:paraId="5692DF55" w14:textId="77777777" w:rsidR="008E67EA" w:rsidRDefault="008E67EA" w:rsidP="00011C46">
      <w:pPr>
        <w:pStyle w:val="GazetteListNumbered"/>
        <w:ind w:left="357" w:hanging="357"/>
      </w:pPr>
      <w:r>
        <w:t>Information assessed by the APVMA in the following unpublished reports (these are internal APVMA reports which include confidential commercial information belonging to multiple parties):</w:t>
      </w:r>
    </w:p>
    <w:p w14:paraId="5B8E9F90" w14:textId="77777777" w:rsidR="008E67EA" w:rsidRDefault="008E67EA" w:rsidP="00011C46">
      <w:pPr>
        <w:pStyle w:val="GazetteListNumbered"/>
        <w:numPr>
          <w:ilvl w:val="1"/>
          <w:numId w:val="1"/>
        </w:numPr>
      </w:pPr>
      <w:bookmarkStart w:id="328" w:name="_Hlk216041532"/>
      <w:r>
        <w:t xml:space="preserve">Anticoagulant rodenticides </w:t>
      </w:r>
      <w:r>
        <w:t>–</w:t>
      </w:r>
      <w:r>
        <w:t xml:space="preserve"> chemistry and manufacture</w:t>
      </w:r>
      <w:r w:rsidRPr="00EC3B14">
        <w:t xml:space="preserve"> </w:t>
      </w:r>
      <w:r>
        <w:t xml:space="preserve">risk </w:t>
      </w:r>
      <w:r w:rsidRPr="00EC3B14">
        <w:t>assessment</w:t>
      </w:r>
      <w:r>
        <w:t xml:space="preserve"> (Ref: </w:t>
      </w:r>
      <w:r w:rsidRPr="00E14A32">
        <w:t>A3652378</w:t>
      </w:r>
      <w:r>
        <w:t xml:space="preserve">, </w:t>
      </w:r>
      <w:r w:rsidRPr="00E14A32">
        <w:t>A3537438</w:t>
      </w:r>
      <w:r>
        <w:t>)</w:t>
      </w:r>
    </w:p>
    <w:bookmarkEnd w:id="328"/>
    <w:p w14:paraId="098C2F6F" w14:textId="77777777" w:rsidR="008E67EA" w:rsidRDefault="008E67EA" w:rsidP="00011C46">
      <w:pPr>
        <w:pStyle w:val="GazetteListNumbered"/>
        <w:numPr>
          <w:ilvl w:val="1"/>
          <w:numId w:val="1"/>
        </w:numPr>
      </w:pPr>
      <w:r>
        <w:t xml:space="preserve">Anticoagulant rodenticides </w:t>
      </w:r>
      <w:r>
        <w:t>–</w:t>
      </w:r>
      <w:r>
        <w:t xml:space="preserve"> h</w:t>
      </w:r>
      <w:r w:rsidRPr="00EC3B14">
        <w:t>uman health risk assessment</w:t>
      </w:r>
      <w:bookmarkStart w:id="329" w:name="_Hlk216041521"/>
      <w:r>
        <w:t xml:space="preserve"> </w:t>
      </w:r>
      <w:bookmarkStart w:id="330" w:name="_Hlk216041551"/>
      <w:r>
        <w:t xml:space="preserve">(Ref: </w:t>
      </w:r>
      <w:r w:rsidRPr="00E14A32">
        <w:t>A3429050</w:t>
      </w:r>
      <w:r>
        <w:t>)</w:t>
      </w:r>
      <w:bookmarkEnd w:id="329"/>
      <w:bookmarkEnd w:id="330"/>
    </w:p>
    <w:p w14:paraId="620459D0" w14:textId="77777777" w:rsidR="008E67EA" w:rsidRDefault="008E67EA" w:rsidP="00011C46">
      <w:pPr>
        <w:pStyle w:val="GazetteListNumbered"/>
        <w:numPr>
          <w:ilvl w:val="1"/>
          <w:numId w:val="1"/>
        </w:numPr>
      </w:pPr>
      <w:r w:rsidRPr="00EC3B14">
        <w:t xml:space="preserve">Anticoagulant rodenticides </w:t>
      </w:r>
      <w:r>
        <w:t>–</w:t>
      </w:r>
      <w:r>
        <w:t xml:space="preserve"> fate and behaviour in the environment</w:t>
      </w:r>
      <w:bookmarkStart w:id="331" w:name="_Hlk216041557"/>
      <w:r>
        <w:t xml:space="preserve"> (Ref: </w:t>
      </w:r>
      <w:r w:rsidRPr="00E14A32">
        <w:t>A3217354</w:t>
      </w:r>
      <w:r>
        <w:t>)</w:t>
      </w:r>
      <w:bookmarkEnd w:id="331"/>
    </w:p>
    <w:p w14:paraId="5BF66C02" w14:textId="77777777" w:rsidR="008E67EA" w:rsidRDefault="008E67EA" w:rsidP="00011C46">
      <w:pPr>
        <w:pStyle w:val="GazetteListNumbered"/>
        <w:numPr>
          <w:ilvl w:val="1"/>
          <w:numId w:val="1"/>
        </w:numPr>
      </w:pPr>
      <w:r w:rsidRPr="00EC3B14">
        <w:t xml:space="preserve">Anticoagulant rodenticides </w:t>
      </w:r>
      <w:r>
        <w:t>–</w:t>
      </w:r>
      <w:r>
        <w:t xml:space="preserve"> effects on non-target species </w:t>
      </w:r>
      <w:bookmarkStart w:id="332" w:name="_Hlk216041562"/>
      <w:r>
        <w:t xml:space="preserve">(Ref: </w:t>
      </w:r>
      <w:r w:rsidRPr="00E14A32">
        <w:t>A3218224</w:t>
      </w:r>
      <w:r>
        <w:t>)</w:t>
      </w:r>
      <w:bookmarkEnd w:id="332"/>
    </w:p>
    <w:p w14:paraId="179A74B3" w14:textId="77777777" w:rsidR="008E67EA" w:rsidRDefault="008E67EA" w:rsidP="00011C46">
      <w:pPr>
        <w:pStyle w:val="GazetteListNumbered"/>
        <w:numPr>
          <w:ilvl w:val="1"/>
          <w:numId w:val="1"/>
        </w:numPr>
      </w:pPr>
      <w:r w:rsidRPr="00EC3B14">
        <w:t xml:space="preserve">Anticoagulant rodenticides </w:t>
      </w:r>
      <w:r>
        <w:t>–</w:t>
      </w:r>
      <w:r>
        <w:t xml:space="preserve"> environment assessment report </w:t>
      </w:r>
      <w:bookmarkStart w:id="333" w:name="_Hlk216041572"/>
      <w:r>
        <w:t xml:space="preserve">(Ref: </w:t>
      </w:r>
      <w:r w:rsidRPr="00E14A32">
        <w:t>A2913026</w:t>
      </w:r>
      <w:r>
        <w:t>)</w:t>
      </w:r>
      <w:bookmarkEnd w:id="333"/>
    </w:p>
    <w:p w14:paraId="1B7BC70E" w14:textId="77777777" w:rsidR="008E67EA" w:rsidRDefault="008E67EA" w:rsidP="00011C46">
      <w:pPr>
        <w:pStyle w:val="GazetteListNumbered"/>
        <w:numPr>
          <w:ilvl w:val="1"/>
          <w:numId w:val="1"/>
        </w:numPr>
      </w:pPr>
      <w:r>
        <w:t xml:space="preserve">Anticoagulant rodenticides </w:t>
      </w:r>
      <w:r>
        <w:t>–</w:t>
      </w:r>
      <w:r>
        <w:t xml:space="preserve"> residues and trade assessment report (Ref: </w:t>
      </w:r>
      <w:r w:rsidRPr="00E14A32">
        <w:t>A3462884</w:t>
      </w:r>
      <w:r>
        <w:t>)</w:t>
      </w:r>
    </w:p>
    <w:p w14:paraId="76901742" w14:textId="77777777" w:rsidR="008E67EA" w:rsidRDefault="008E67EA" w:rsidP="00011C46">
      <w:pPr>
        <w:pStyle w:val="GazetteListNumbered"/>
        <w:ind w:left="357" w:hanging="357"/>
      </w:pPr>
      <w:r>
        <w:t>The relevant provisions of the Agvet Code and instruments under that Code, in particular those set out in the tables below:</w:t>
      </w:r>
    </w:p>
    <w:p w14:paraId="10D94181" w14:textId="748CA54E" w:rsidR="008E67EA" w:rsidRPr="00BD0F4B" w:rsidRDefault="008E67EA" w:rsidP="008E67EA">
      <w:pPr>
        <w:pStyle w:val="StatementofReasonsTableCaption"/>
        <w:ind w:left="567"/>
      </w:pPr>
      <w:r w:rsidRPr="00BD0F4B">
        <w:t>Table C</w:t>
      </w:r>
      <w:r w:rsidRPr="00BD0F4B">
        <w:fldChar w:fldCharType="begin"/>
      </w:r>
      <w:r w:rsidRPr="00BD0F4B">
        <w:instrText xml:space="preserve"> SEQ Table_A \* ARABIC </w:instrText>
      </w:r>
      <w:r w:rsidRPr="00BD0F4B">
        <w:fldChar w:fldCharType="separate"/>
      </w:r>
      <w:r w:rsidR="002C0C2A">
        <w:rPr>
          <w:noProof/>
        </w:rPr>
        <w:t>4</w:t>
      </w:r>
      <w:r w:rsidRPr="00BD0F4B">
        <w:fldChar w:fldCharType="end"/>
      </w:r>
      <w:r w:rsidRPr="00BD0F4B">
        <w:t xml:space="preserve">: </w:t>
      </w:r>
      <w:r w:rsidRPr="00BD0F4B">
        <w:rPr>
          <w:i/>
          <w:iCs w:val="0"/>
        </w:rPr>
        <w:t>Agricultural and Veterinary Chemicals Code Act 1994</w:t>
      </w:r>
    </w:p>
    <w:tbl>
      <w:tblPr>
        <w:tblStyle w:val="TableGrid"/>
        <w:tblW w:w="4490" w:type="pct"/>
        <w:tblInd w:w="562" w:type="dxa"/>
        <w:shd w:val="clear" w:color="auto" w:fill="D9D9D9" w:themeFill="background1" w:themeFillShade="D9"/>
        <w:tblLook w:val="04A0" w:firstRow="1" w:lastRow="0" w:firstColumn="1" w:lastColumn="0" w:noHBand="0" w:noVBand="1"/>
      </w:tblPr>
      <w:tblGrid>
        <w:gridCol w:w="1702"/>
        <w:gridCol w:w="6944"/>
      </w:tblGrid>
      <w:tr w:rsidR="008E67EA" w14:paraId="617BF1B7" w14:textId="77777777" w:rsidTr="00B44A74">
        <w:trPr>
          <w:tblHeader/>
        </w:trPr>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B2B585" w14:textId="77777777" w:rsidR="008E67EA" w:rsidRPr="00BD0F4B" w:rsidRDefault="008E67EA" w:rsidP="00B44A74">
            <w:pPr>
              <w:pStyle w:val="GazetteTableHeading"/>
            </w:pPr>
            <w:r w:rsidRPr="00BD0F4B">
              <w:t>Section</w:t>
            </w:r>
          </w:p>
        </w:tc>
        <w:tc>
          <w:tcPr>
            <w:tcW w:w="401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EAB058" w14:textId="77777777" w:rsidR="008E67EA" w:rsidRPr="00BD0F4B" w:rsidRDefault="008E67EA" w:rsidP="00B44A74">
            <w:pPr>
              <w:pStyle w:val="GazetteTableHeading"/>
            </w:pPr>
            <w:r w:rsidRPr="00BD0F4B">
              <w:t>Section Heading</w:t>
            </w:r>
          </w:p>
        </w:tc>
      </w:tr>
      <w:tr w:rsidR="008E67EA" w14:paraId="4E2DFED2"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tcPr>
          <w:p w14:paraId="6AF4D9D6" w14:textId="77777777" w:rsidR="008E67EA" w:rsidRDefault="008E67EA" w:rsidP="00B44A74">
            <w:pPr>
              <w:pStyle w:val="GazetteTableText"/>
              <w:rPr>
                <w:b/>
                <w:bCs/>
                <w:sz w:val="18"/>
                <w:szCs w:val="20"/>
              </w:rPr>
            </w:pPr>
            <w:r>
              <w:rPr>
                <w:b/>
                <w:color w:val="000000" w:themeColor="text1"/>
                <w:sz w:val="18"/>
                <w:szCs w:val="22"/>
              </w:rPr>
              <w:t>3</w:t>
            </w:r>
          </w:p>
        </w:tc>
        <w:tc>
          <w:tcPr>
            <w:tcW w:w="4016" w:type="pct"/>
            <w:tcBorders>
              <w:top w:val="single" w:sz="4" w:space="0" w:color="auto"/>
              <w:left w:val="single" w:sz="4" w:space="0" w:color="auto"/>
              <w:bottom w:val="single" w:sz="4" w:space="0" w:color="auto"/>
              <w:right w:val="single" w:sz="4" w:space="0" w:color="auto"/>
            </w:tcBorders>
          </w:tcPr>
          <w:p w14:paraId="4E55D736" w14:textId="77777777" w:rsidR="008E67EA" w:rsidRDefault="008E67EA" w:rsidP="00B44A74">
            <w:pPr>
              <w:pStyle w:val="GazetteTableText"/>
              <w:rPr>
                <w:sz w:val="18"/>
                <w:szCs w:val="20"/>
              </w:rPr>
            </w:pPr>
            <w:r>
              <w:rPr>
                <w:color w:val="000000" w:themeColor="text1"/>
                <w:sz w:val="18"/>
                <w:szCs w:val="19"/>
              </w:rPr>
              <w:t>Definitions</w:t>
            </w:r>
          </w:p>
        </w:tc>
      </w:tr>
      <w:tr w:rsidR="008E67EA" w14:paraId="3EFCDCFB"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tcPr>
          <w:p w14:paraId="55958DB6" w14:textId="77777777" w:rsidR="008E67EA" w:rsidRDefault="008E67EA" w:rsidP="00B44A74">
            <w:pPr>
              <w:pStyle w:val="GazetteTableText"/>
              <w:rPr>
                <w:b/>
                <w:bCs/>
                <w:sz w:val="18"/>
                <w:szCs w:val="20"/>
              </w:rPr>
            </w:pPr>
            <w:r>
              <w:rPr>
                <w:b/>
                <w:bCs/>
                <w:color w:val="000000" w:themeColor="text1"/>
                <w:sz w:val="18"/>
                <w:szCs w:val="22"/>
              </w:rPr>
              <w:t>5A</w:t>
            </w:r>
          </w:p>
        </w:tc>
        <w:tc>
          <w:tcPr>
            <w:tcW w:w="4016" w:type="pct"/>
            <w:tcBorders>
              <w:top w:val="single" w:sz="4" w:space="0" w:color="auto"/>
              <w:left w:val="single" w:sz="4" w:space="0" w:color="auto"/>
              <w:bottom w:val="single" w:sz="4" w:space="0" w:color="auto"/>
              <w:right w:val="single" w:sz="4" w:space="0" w:color="auto"/>
            </w:tcBorders>
          </w:tcPr>
          <w:p w14:paraId="656A6DA2" w14:textId="77777777" w:rsidR="008E67EA" w:rsidRDefault="008E67EA" w:rsidP="00B44A74">
            <w:pPr>
              <w:pStyle w:val="GazetteTableText"/>
              <w:rPr>
                <w:sz w:val="18"/>
                <w:szCs w:val="20"/>
              </w:rPr>
            </w:pPr>
            <w:r>
              <w:rPr>
                <w:color w:val="000000" w:themeColor="text1"/>
                <w:sz w:val="18"/>
                <w:szCs w:val="19"/>
              </w:rPr>
              <w:t xml:space="preserve">Definition of </w:t>
            </w:r>
            <w:r>
              <w:rPr>
                <w:i/>
                <w:color w:val="000000" w:themeColor="text1"/>
                <w:sz w:val="18"/>
                <w:szCs w:val="19"/>
              </w:rPr>
              <w:t>meets the safety criteria</w:t>
            </w:r>
          </w:p>
        </w:tc>
      </w:tr>
      <w:tr w:rsidR="008E67EA" w14:paraId="6C79B38F"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tcPr>
          <w:p w14:paraId="05B67010" w14:textId="77777777" w:rsidR="008E67EA" w:rsidRDefault="008E67EA" w:rsidP="00B44A74">
            <w:pPr>
              <w:pStyle w:val="GazetteTableText"/>
              <w:rPr>
                <w:b/>
                <w:bCs/>
                <w:sz w:val="18"/>
                <w:szCs w:val="20"/>
              </w:rPr>
            </w:pPr>
            <w:r>
              <w:rPr>
                <w:b/>
                <w:bCs/>
                <w:color w:val="000000" w:themeColor="text1"/>
                <w:sz w:val="18"/>
                <w:szCs w:val="22"/>
              </w:rPr>
              <w:t>5B</w:t>
            </w:r>
          </w:p>
        </w:tc>
        <w:tc>
          <w:tcPr>
            <w:tcW w:w="4016" w:type="pct"/>
            <w:tcBorders>
              <w:top w:val="single" w:sz="4" w:space="0" w:color="auto"/>
              <w:left w:val="single" w:sz="4" w:space="0" w:color="auto"/>
              <w:bottom w:val="single" w:sz="4" w:space="0" w:color="auto"/>
              <w:right w:val="single" w:sz="4" w:space="0" w:color="auto"/>
            </w:tcBorders>
          </w:tcPr>
          <w:p w14:paraId="42F5D859" w14:textId="77777777" w:rsidR="008E67EA" w:rsidRDefault="008E67EA" w:rsidP="00B44A74">
            <w:pPr>
              <w:pStyle w:val="GazetteTableText"/>
              <w:rPr>
                <w:sz w:val="18"/>
                <w:szCs w:val="20"/>
              </w:rPr>
            </w:pPr>
            <w:r>
              <w:rPr>
                <w:color w:val="000000" w:themeColor="text1"/>
                <w:sz w:val="18"/>
                <w:szCs w:val="19"/>
              </w:rPr>
              <w:t xml:space="preserve">Definition of </w:t>
            </w:r>
            <w:r>
              <w:rPr>
                <w:i/>
                <w:color w:val="000000" w:themeColor="text1"/>
                <w:sz w:val="18"/>
                <w:szCs w:val="19"/>
              </w:rPr>
              <w:t>meets the efficacy criteria</w:t>
            </w:r>
          </w:p>
        </w:tc>
      </w:tr>
      <w:tr w:rsidR="008E67EA" w14:paraId="21894306"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tcPr>
          <w:p w14:paraId="13EA5E00" w14:textId="77777777" w:rsidR="008E67EA" w:rsidRDefault="008E67EA" w:rsidP="00B44A74">
            <w:pPr>
              <w:pStyle w:val="GazetteTableText"/>
              <w:rPr>
                <w:b/>
                <w:bCs/>
                <w:sz w:val="18"/>
                <w:szCs w:val="20"/>
              </w:rPr>
            </w:pPr>
            <w:r>
              <w:rPr>
                <w:b/>
                <w:bCs/>
                <w:color w:val="000000" w:themeColor="text1"/>
                <w:sz w:val="18"/>
                <w:szCs w:val="22"/>
              </w:rPr>
              <w:t>5C</w:t>
            </w:r>
          </w:p>
        </w:tc>
        <w:tc>
          <w:tcPr>
            <w:tcW w:w="4016" w:type="pct"/>
            <w:tcBorders>
              <w:top w:val="single" w:sz="4" w:space="0" w:color="auto"/>
              <w:left w:val="single" w:sz="4" w:space="0" w:color="auto"/>
              <w:bottom w:val="single" w:sz="4" w:space="0" w:color="auto"/>
              <w:right w:val="single" w:sz="4" w:space="0" w:color="auto"/>
            </w:tcBorders>
          </w:tcPr>
          <w:p w14:paraId="2124F2F4" w14:textId="77777777" w:rsidR="008E67EA" w:rsidRDefault="008E67EA" w:rsidP="00B44A74">
            <w:pPr>
              <w:pStyle w:val="GazetteTableText"/>
              <w:rPr>
                <w:sz w:val="18"/>
                <w:szCs w:val="20"/>
              </w:rPr>
            </w:pPr>
            <w:r>
              <w:rPr>
                <w:rFonts w:eastAsiaTheme="minorEastAsia"/>
                <w:bCs/>
                <w:color w:val="000000" w:themeColor="text1"/>
                <w:sz w:val="18"/>
                <w:szCs w:val="19"/>
              </w:rPr>
              <w:t xml:space="preserve">Definition of </w:t>
            </w:r>
            <w:r>
              <w:rPr>
                <w:rFonts w:eastAsiaTheme="minorEastAsia"/>
                <w:bCs/>
                <w:i/>
                <w:color w:val="000000" w:themeColor="text1"/>
                <w:sz w:val="18"/>
                <w:szCs w:val="19"/>
              </w:rPr>
              <w:t>meets the trade criteria</w:t>
            </w:r>
          </w:p>
        </w:tc>
      </w:tr>
      <w:tr w:rsidR="008E67EA" w14:paraId="2CC7FAC2"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tcPr>
          <w:p w14:paraId="29DD027D" w14:textId="77777777" w:rsidR="008E67EA" w:rsidRDefault="008E67EA" w:rsidP="00B44A74">
            <w:pPr>
              <w:pStyle w:val="GazetteTableText"/>
              <w:rPr>
                <w:b/>
                <w:bCs/>
                <w:sz w:val="18"/>
                <w:szCs w:val="20"/>
              </w:rPr>
            </w:pPr>
            <w:r>
              <w:rPr>
                <w:b/>
                <w:bCs/>
                <w:color w:val="000000" w:themeColor="text1"/>
                <w:sz w:val="18"/>
                <w:szCs w:val="22"/>
              </w:rPr>
              <w:t>5D</w:t>
            </w:r>
          </w:p>
        </w:tc>
        <w:tc>
          <w:tcPr>
            <w:tcW w:w="4016" w:type="pct"/>
            <w:tcBorders>
              <w:top w:val="single" w:sz="4" w:space="0" w:color="auto"/>
              <w:left w:val="single" w:sz="4" w:space="0" w:color="auto"/>
              <w:bottom w:val="single" w:sz="4" w:space="0" w:color="auto"/>
              <w:right w:val="single" w:sz="4" w:space="0" w:color="auto"/>
            </w:tcBorders>
          </w:tcPr>
          <w:p w14:paraId="1EB54FED" w14:textId="77777777" w:rsidR="008E67EA" w:rsidRDefault="008E67EA" w:rsidP="00B44A74">
            <w:pPr>
              <w:pStyle w:val="GazetteTableText"/>
              <w:rPr>
                <w:sz w:val="18"/>
                <w:szCs w:val="20"/>
              </w:rPr>
            </w:pPr>
            <w:r>
              <w:rPr>
                <w:rFonts w:eastAsiaTheme="minorEastAsia"/>
                <w:bCs/>
                <w:color w:val="000000" w:themeColor="text1"/>
                <w:sz w:val="18"/>
                <w:szCs w:val="19"/>
              </w:rPr>
              <w:t xml:space="preserve">Definition of </w:t>
            </w:r>
            <w:r>
              <w:rPr>
                <w:rFonts w:eastAsiaTheme="minorEastAsia"/>
                <w:bCs/>
                <w:i/>
                <w:color w:val="000000" w:themeColor="text1"/>
                <w:sz w:val="18"/>
                <w:szCs w:val="19"/>
              </w:rPr>
              <w:t>meets the labelling criteria</w:t>
            </w:r>
          </w:p>
        </w:tc>
      </w:tr>
      <w:tr w:rsidR="008E67EA" w14:paraId="68E45444"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tcPr>
          <w:p w14:paraId="0EEBBF25" w14:textId="77777777" w:rsidR="008E67EA" w:rsidRDefault="008E67EA" w:rsidP="00B44A74">
            <w:pPr>
              <w:pStyle w:val="GazetteTableText"/>
              <w:rPr>
                <w:b/>
                <w:bCs/>
                <w:sz w:val="18"/>
                <w:szCs w:val="20"/>
              </w:rPr>
            </w:pPr>
            <w:r>
              <w:rPr>
                <w:b/>
                <w:bCs/>
                <w:color w:val="000000" w:themeColor="text1"/>
                <w:sz w:val="18"/>
                <w:szCs w:val="22"/>
              </w:rPr>
              <w:t>6E</w:t>
            </w:r>
          </w:p>
        </w:tc>
        <w:tc>
          <w:tcPr>
            <w:tcW w:w="4016" w:type="pct"/>
            <w:tcBorders>
              <w:top w:val="single" w:sz="4" w:space="0" w:color="auto"/>
              <w:left w:val="single" w:sz="4" w:space="0" w:color="auto"/>
              <w:bottom w:val="single" w:sz="4" w:space="0" w:color="auto"/>
              <w:right w:val="single" w:sz="4" w:space="0" w:color="auto"/>
            </w:tcBorders>
          </w:tcPr>
          <w:p w14:paraId="051099AE" w14:textId="77777777" w:rsidR="008E67EA" w:rsidRDefault="008E67EA" w:rsidP="00B44A74">
            <w:pPr>
              <w:pStyle w:val="GazetteTableText"/>
              <w:rPr>
                <w:sz w:val="18"/>
                <w:szCs w:val="20"/>
              </w:rPr>
            </w:pPr>
            <w:r>
              <w:rPr>
                <w:rFonts w:eastAsiaTheme="minorEastAsia"/>
                <w:bCs/>
                <w:color w:val="000000" w:themeColor="text1"/>
                <w:sz w:val="18"/>
                <w:szCs w:val="19"/>
              </w:rPr>
              <w:t>The APVMA may make standards</w:t>
            </w:r>
          </w:p>
        </w:tc>
      </w:tr>
      <w:tr w:rsidR="008E67EA" w14:paraId="55D181F6"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tcPr>
          <w:p w14:paraId="1A81AD6A" w14:textId="77777777" w:rsidR="008E67EA" w:rsidRDefault="008E67EA" w:rsidP="00B44A74">
            <w:pPr>
              <w:pStyle w:val="GazetteTableText"/>
              <w:rPr>
                <w:b/>
                <w:bCs/>
                <w:sz w:val="18"/>
                <w:szCs w:val="20"/>
              </w:rPr>
            </w:pPr>
            <w:r>
              <w:rPr>
                <w:rFonts w:eastAsiaTheme="minorEastAsia"/>
                <w:b/>
                <w:bCs/>
                <w:color w:val="000000" w:themeColor="text1"/>
                <w:sz w:val="18"/>
                <w:szCs w:val="22"/>
              </w:rPr>
              <w:t>20</w:t>
            </w:r>
          </w:p>
        </w:tc>
        <w:tc>
          <w:tcPr>
            <w:tcW w:w="4016" w:type="pct"/>
            <w:tcBorders>
              <w:top w:val="single" w:sz="4" w:space="0" w:color="auto"/>
              <w:left w:val="single" w:sz="4" w:space="0" w:color="auto"/>
              <w:bottom w:val="single" w:sz="4" w:space="0" w:color="auto"/>
              <w:right w:val="single" w:sz="4" w:space="0" w:color="auto"/>
            </w:tcBorders>
          </w:tcPr>
          <w:p w14:paraId="7BE686E2" w14:textId="77777777" w:rsidR="008E67EA" w:rsidRDefault="008E67EA" w:rsidP="00B44A74">
            <w:pPr>
              <w:pStyle w:val="GazetteTableText"/>
              <w:rPr>
                <w:sz w:val="18"/>
                <w:szCs w:val="20"/>
              </w:rPr>
            </w:pPr>
            <w:r>
              <w:rPr>
                <w:rFonts w:eastAsiaTheme="minorEastAsia"/>
                <w:bCs/>
                <w:color w:val="000000" w:themeColor="text1"/>
                <w:sz w:val="18"/>
                <w:szCs w:val="19"/>
              </w:rPr>
              <w:t>How registration of chemical product takes place</w:t>
            </w:r>
          </w:p>
        </w:tc>
      </w:tr>
      <w:tr w:rsidR="008E67EA" w14:paraId="2C4F1709"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tcPr>
          <w:p w14:paraId="6173AFEE" w14:textId="77777777" w:rsidR="008E67EA" w:rsidRDefault="008E67EA" w:rsidP="00B44A74">
            <w:pPr>
              <w:pStyle w:val="GazetteTableText"/>
              <w:rPr>
                <w:b/>
                <w:bCs/>
                <w:sz w:val="18"/>
                <w:szCs w:val="20"/>
              </w:rPr>
            </w:pPr>
            <w:r>
              <w:rPr>
                <w:rFonts w:eastAsiaTheme="minorEastAsia"/>
                <w:b/>
                <w:bCs/>
                <w:color w:val="000000" w:themeColor="text1"/>
                <w:sz w:val="18"/>
                <w:szCs w:val="22"/>
              </w:rPr>
              <w:t>21</w:t>
            </w:r>
          </w:p>
        </w:tc>
        <w:tc>
          <w:tcPr>
            <w:tcW w:w="4016" w:type="pct"/>
            <w:tcBorders>
              <w:top w:val="single" w:sz="4" w:space="0" w:color="auto"/>
              <w:left w:val="single" w:sz="4" w:space="0" w:color="auto"/>
              <w:bottom w:val="single" w:sz="4" w:space="0" w:color="auto"/>
              <w:right w:val="single" w:sz="4" w:space="0" w:color="auto"/>
            </w:tcBorders>
          </w:tcPr>
          <w:p w14:paraId="2E311714" w14:textId="77777777" w:rsidR="008E67EA" w:rsidRDefault="008E67EA" w:rsidP="00B44A74">
            <w:pPr>
              <w:pStyle w:val="GazetteTableText"/>
              <w:rPr>
                <w:sz w:val="18"/>
                <w:szCs w:val="20"/>
              </w:rPr>
            </w:pPr>
            <w:r>
              <w:rPr>
                <w:rFonts w:eastAsiaTheme="minorEastAsia"/>
                <w:bCs/>
                <w:color w:val="000000" w:themeColor="text1"/>
                <w:sz w:val="18"/>
                <w:szCs w:val="19"/>
              </w:rPr>
              <w:t>How approval of label takes place</w:t>
            </w:r>
          </w:p>
        </w:tc>
      </w:tr>
      <w:tr w:rsidR="008E67EA" w14:paraId="4B05C987"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tcPr>
          <w:p w14:paraId="713373A8" w14:textId="77777777" w:rsidR="008E67EA" w:rsidRDefault="008E67EA" w:rsidP="00B44A74">
            <w:pPr>
              <w:pStyle w:val="GazetteTableText"/>
              <w:rPr>
                <w:b/>
                <w:bCs/>
                <w:sz w:val="18"/>
                <w:szCs w:val="20"/>
              </w:rPr>
            </w:pPr>
            <w:r>
              <w:rPr>
                <w:rFonts w:eastAsiaTheme="minorEastAsia"/>
                <w:b/>
                <w:bCs/>
                <w:color w:val="000000" w:themeColor="text1"/>
                <w:sz w:val="18"/>
                <w:szCs w:val="22"/>
              </w:rPr>
              <w:lastRenderedPageBreak/>
              <w:t>23</w:t>
            </w:r>
          </w:p>
        </w:tc>
        <w:tc>
          <w:tcPr>
            <w:tcW w:w="4016" w:type="pct"/>
            <w:tcBorders>
              <w:top w:val="single" w:sz="4" w:space="0" w:color="auto"/>
              <w:left w:val="single" w:sz="4" w:space="0" w:color="auto"/>
              <w:bottom w:val="single" w:sz="4" w:space="0" w:color="auto"/>
              <w:right w:val="single" w:sz="4" w:space="0" w:color="auto"/>
            </w:tcBorders>
          </w:tcPr>
          <w:p w14:paraId="5DE8E77F" w14:textId="77777777" w:rsidR="008E67EA" w:rsidRDefault="008E67EA" w:rsidP="00B44A74">
            <w:pPr>
              <w:pStyle w:val="GazetteTableText"/>
              <w:rPr>
                <w:sz w:val="18"/>
                <w:szCs w:val="20"/>
              </w:rPr>
            </w:pPr>
            <w:r>
              <w:rPr>
                <w:rFonts w:eastAsiaTheme="minorEastAsia"/>
                <w:bCs/>
                <w:color w:val="000000" w:themeColor="text1"/>
                <w:sz w:val="18"/>
                <w:szCs w:val="19"/>
              </w:rPr>
              <w:t>Conditions of approval or registration</w:t>
            </w:r>
          </w:p>
        </w:tc>
      </w:tr>
      <w:tr w:rsidR="008E67EA" w14:paraId="67C52327"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tcPr>
          <w:p w14:paraId="38112A71" w14:textId="77777777" w:rsidR="008E67EA" w:rsidRDefault="008E67EA" w:rsidP="00B44A74">
            <w:pPr>
              <w:pStyle w:val="GazetteTableText"/>
              <w:rPr>
                <w:b/>
                <w:bCs/>
                <w:sz w:val="18"/>
                <w:szCs w:val="20"/>
              </w:rPr>
            </w:pPr>
            <w:r>
              <w:rPr>
                <w:b/>
                <w:bCs/>
                <w:color w:val="000000" w:themeColor="text1"/>
                <w:sz w:val="18"/>
                <w:szCs w:val="22"/>
              </w:rPr>
              <w:t>31</w:t>
            </w:r>
          </w:p>
        </w:tc>
        <w:tc>
          <w:tcPr>
            <w:tcW w:w="4016" w:type="pct"/>
            <w:tcBorders>
              <w:top w:val="single" w:sz="4" w:space="0" w:color="auto"/>
              <w:left w:val="single" w:sz="4" w:space="0" w:color="auto"/>
              <w:bottom w:val="single" w:sz="4" w:space="0" w:color="auto"/>
              <w:right w:val="single" w:sz="4" w:space="0" w:color="auto"/>
            </w:tcBorders>
          </w:tcPr>
          <w:p w14:paraId="05960832" w14:textId="77777777" w:rsidR="008E67EA" w:rsidRDefault="008E67EA" w:rsidP="00B44A74">
            <w:pPr>
              <w:pStyle w:val="GazetteTableText"/>
              <w:rPr>
                <w:sz w:val="18"/>
                <w:szCs w:val="20"/>
              </w:rPr>
            </w:pPr>
            <w:r>
              <w:rPr>
                <w:color w:val="000000" w:themeColor="text1"/>
                <w:sz w:val="18"/>
                <w:szCs w:val="19"/>
              </w:rPr>
              <w:t>APVMA may reconsider an approval or registration</w:t>
            </w:r>
          </w:p>
        </w:tc>
      </w:tr>
      <w:tr w:rsidR="008E67EA" w14:paraId="4E16A58E"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tcPr>
          <w:p w14:paraId="10E289D4" w14:textId="77777777" w:rsidR="008E67EA" w:rsidRDefault="008E67EA" w:rsidP="00B44A74">
            <w:pPr>
              <w:pStyle w:val="GazetteTableText"/>
              <w:rPr>
                <w:b/>
                <w:bCs/>
                <w:sz w:val="18"/>
                <w:szCs w:val="20"/>
              </w:rPr>
            </w:pPr>
            <w:r>
              <w:rPr>
                <w:b/>
                <w:bCs/>
                <w:color w:val="000000" w:themeColor="text1"/>
                <w:sz w:val="18"/>
                <w:szCs w:val="22"/>
              </w:rPr>
              <w:t>33</w:t>
            </w:r>
          </w:p>
        </w:tc>
        <w:tc>
          <w:tcPr>
            <w:tcW w:w="4016" w:type="pct"/>
            <w:tcBorders>
              <w:top w:val="single" w:sz="4" w:space="0" w:color="auto"/>
              <w:left w:val="single" w:sz="4" w:space="0" w:color="auto"/>
              <w:bottom w:val="single" w:sz="4" w:space="0" w:color="auto"/>
              <w:right w:val="single" w:sz="4" w:space="0" w:color="auto"/>
            </w:tcBorders>
          </w:tcPr>
          <w:p w14:paraId="5DCE4AC1" w14:textId="77777777" w:rsidR="008E67EA" w:rsidRDefault="008E67EA" w:rsidP="00B44A74">
            <w:pPr>
              <w:pStyle w:val="GazetteTableText"/>
              <w:rPr>
                <w:sz w:val="18"/>
                <w:szCs w:val="20"/>
              </w:rPr>
            </w:pPr>
            <w:r>
              <w:rPr>
                <w:color w:val="000000" w:themeColor="text1"/>
                <w:sz w:val="18"/>
                <w:szCs w:val="19"/>
              </w:rPr>
              <w:t>APVMA may require information, reports, results or samples</w:t>
            </w:r>
          </w:p>
        </w:tc>
      </w:tr>
      <w:tr w:rsidR="008E67EA" w14:paraId="04671CE2"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tcPr>
          <w:p w14:paraId="55DA1173" w14:textId="77777777" w:rsidR="008E67EA" w:rsidRDefault="008E67EA" w:rsidP="00B44A74">
            <w:pPr>
              <w:pStyle w:val="GazetteTableText"/>
              <w:rPr>
                <w:b/>
                <w:bCs/>
                <w:sz w:val="18"/>
                <w:szCs w:val="20"/>
              </w:rPr>
            </w:pPr>
            <w:r>
              <w:rPr>
                <w:b/>
                <w:bCs/>
                <w:color w:val="000000" w:themeColor="text1"/>
                <w:sz w:val="18"/>
                <w:szCs w:val="22"/>
              </w:rPr>
              <w:t>34</w:t>
            </w:r>
          </w:p>
        </w:tc>
        <w:tc>
          <w:tcPr>
            <w:tcW w:w="4016" w:type="pct"/>
            <w:tcBorders>
              <w:top w:val="single" w:sz="4" w:space="0" w:color="auto"/>
              <w:left w:val="single" w:sz="4" w:space="0" w:color="auto"/>
              <w:bottom w:val="single" w:sz="4" w:space="0" w:color="auto"/>
              <w:right w:val="single" w:sz="4" w:space="0" w:color="auto"/>
            </w:tcBorders>
          </w:tcPr>
          <w:p w14:paraId="29DC52F4" w14:textId="77777777" w:rsidR="008E67EA" w:rsidRDefault="008E67EA" w:rsidP="00B44A74">
            <w:pPr>
              <w:pStyle w:val="GazetteTableText"/>
              <w:rPr>
                <w:sz w:val="18"/>
                <w:szCs w:val="20"/>
              </w:rPr>
            </w:pPr>
            <w:r>
              <w:rPr>
                <w:color w:val="000000" w:themeColor="text1"/>
                <w:sz w:val="18"/>
                <w:szCs w:val="19"/>
              </w:rPr>
              <w:t>Reconsideration by APVMA</w:t>
            </w:r>
          </w:p>
        </w:tc>
      </w:tr>
      <w:tr w:rsidR="008E67EA" w14:paraId="03ABAA23"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tcPr>
          <w:p w14:paraId="02CBAD19" w14:textId="77777777" w:rsidR="008E67EA" w:rsidRDefault="008E67EA" w:rsidP="00B44A74">
            <w:pPr>
              <w:pStyle w:val="GazetteTableText"/>
              <w:rPr>
                <w:b/>
                <w:bCs/>
                <w:sz w:val="18"/>
                <w:szCs w:val="20"/>
              </w:rPr>
            </w:pPr>
            <w:r>
              <w:rPr>
                <w:b/>
                <w:bCs/>
                <w:color w:val="000000" w:themeColor="text1"/>
                <w:sz w:val="18"/>
                <w:szCs w:val="22"/>
              </w:rPr>
              <w:t>34A</w:t>
            </w:r>
          </w:p>
        </w:tc>
        <w:tc>
          <w:tcPr>
            <w:tcW w:w="4016" w:type="pct"/>
            <w:tcBorders>
              <w:top w:val="single" w:sz="4" w:space="0" w:color="auto"/>
              <w:left w:val="single" w:sz="4" w:space="0" w:color="auto"/>
              <w:bottom w:val="single" w:sz="4" w:space="0" w:color="auto"/>
              <w:right w:val="single" w:sz="4" w:space="0" w:color="auto"/>
            </w:tcBorders>
          </w:tcPr>
          <w:p w14:paraId="5ABC44E3" w14:textId="77777777" w:rsidR="008E67EA" w:rsidRDefault="008E67EA" w:rsidP="00B44A74">
            <w:pPr>
              <w:pStyle w:val="GazetteTableText"/>
              <w:rPr>
                <w:sz w:val="18"/>
                <w:szCs w:val="20"/>
              </w:rPr>
            </w:pPr>
            <w:r>
              <w:rPr>
                <w:color w:val="000000" w:themeColor="text1"/>
                <w:sz w:val="18"/>
                <w:szCs w:val="19"/>
              </w:rPr>
              <w:t>Varying relevant particulars or conditions to allow affirmation</w:t>
            </w:r>
          </w:p>
        </w:tc>
      </w:tr>
      <w:tr w:rsidR="008E67EA" w14:paraId="085AA431"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tcPr>
          <w:p w14:paraId="6BAAB9E2" w14:textId="77777777" w:rsidR="008E67EA" w:rsidRDefault="008E67EA" w:rsidP="00B44A74">
            <w:pPr>
              <w:pStyle w:val="GazetteTableText"/>
              <w:rPr>
                <w:b/>
                <w:bCs/>
                <w:color w:val="000000" w:themeColor="text1"/>
                <w:sz w:val="18"/>
                <w:szCs w:val="22"/>
              </w:rPr>
            </w:pPr>
            <w:r>
              <w:rPr>
                <w:b/>
                <w:bCs/>
                <w:color w:val="000000" w:themeColor="text1"/>
                <w:sz w:val="18"/>
                <w:szCs w:val="22"/>
              </w:rPr>
              <w:t>34AA</w:t>
            </w:r>
          </w:p>
        </w:tc>
        <w:tc>
          <w:tcPr>
            <w:tcW w:w="4016" w:type="pct"/>
            <w:tcBorders>
              <w:top w:val="single" w:sz="4" w:space="0" w:color="auto"/>
              <w:left w:val="single" w:sz="4" w:space="0" w:color="auto"/>
              <w:bottom w:val="single" w:sz="4" w:space="0" w:color="auto"/>
              <w:right w:val="single" w:sz="4" w:space="0" w:color="auto"/>
            </w:tcBorders>
          </w:tcPr>
          <w:p w14:paraId="0FAA03A6" w14:textId="77777777" w:rsidR="008E67EA" w:rsidRDefault="008E67EA" w:rsidP="00B44A74">
            <w:pPr>
              <w:pStyle w:val="GazetteTableText"/>
              <w:rPr>
                <w:color w:val="000000" w:themeColor="text1"/>
                <w:sz w:val="18"/>
                <w:szCs w:val="19"/>
              </w:rPr>
            </w:pPr>
            <w:r>
              <w:rPr>
                <w:color w:val="000000" w:themeColor="text1"/>
                <w:sz w:val="18"/>
                <w:szCs w:val="19"/>
              </w:rPr>
              <w:t>Suspension or cancellation</w:t>
            </w:r>
          </w:p>
        </w:tc>
      </w:tr>
      <w:tr w:rsidR="008E67EA" w14:paraId="55FB3FA9"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tcPr>
          <w:p w14:paraId="185997B6" w14:textId="77777777" w:rsidR="008E67EA" w:rsidRDefault="008E67EA" w:rsidP="00B44A74">
            <w:pPr>
              <w:pStyle w:val="GazetteTableText"/>
              <w:rPr>
                <w:b/>
                <w:bCs/>
                <w:color w:val="000000" w:themeColor="text1"/>
                <w:sz w:val="18"/>
                <w:szCs w:val="22"/>
              </w:rPr>
            </w:pPr>
            <w:r>
              <w:rPr>
                <w:b/>
                <w:bCs/>
                <w:color w:val="000000" w:themeColor="text1"/>
                <w:sz w:val="18"/>
                <w:szCs w:val="22"/>
              </w:rPr>
              <w:t>34AB</w:t>
            </w:r>
          </w:p>
        </w:tc>
        <w:tc>
          <w:tcPr>
            <w:tcW w:w="4016" w:type="pct"/>
            <w:tcBorders>
              <w:top w:val="single" w:sz="4" w:space="0" w:color="auto"/>
              <w:left w:val="single" w:sz="4" w:space="0" w:color="auto"/>
              <w:bottom w:val="single" w:sz="4" w:space="0" w:color="auto"/>
              <w:right w:val="single" w:sz="4" w:space="0" w:color="auto"/>
            </w:tcBorders>
          </w:tcPr>
          <w:p w14:paraId="401DE587" w14:textId="77777777" w:rsidR="008E67EA" w:rsidRDefault="008E67EA" w:rsidP="00B44A74">
            <w:pPr>
              <w:pStyle w:val="GazetteTableText"/>
              <w:rPr>
                <w:color w:val="000000" w:themeColor="text1"/>
                <w:sz w:val="18"/>
                <w:szCs w:val="19"/>
              </w:rPr>
            </w:pPr>
            <w:r>
              <w:rPr>
                <w:color w:val="000000" w:themeColor="text1"/>
                <w:sz w:val="18"/>
                <w:szCs w:val="19"/>
              </w:rPr>
              <w:t>Notice of proposed decision</w:t>
            </w:r>
          </w:p>
        </w:tc>
      </w:tr>
    </w:tbl>
    <w:p w14:paraId="22C62B82" w14:textId="6219D149" w:rsidR="008E67EA" w:rsidRPr="00816AF3" w:rsidRDefault="008E67EA" w:rsidP="008E67EA">
      <w:pPr>
        <w:pStyle w:val="StatementofReasonsTableCaption"/>
        <w:ind w:left="567"/>
      </w:pPr>
      <w:r w:rsidRPr="00816AF3">
        <w:t>Table C</w:t>
      </w:r>
      <w:r w:rsidRPr="00816AF3">
        <w:fldChar w:fldCharType="begin"/>
      </w:r>
      <w:r w:rsidRPr="00816AF3">
        <w:instrText xml:space="preserve"> SEQ Table_A \* ARABIC </w:instrText>
      </w:r>
      <w:r w:rsidRPr="00816AF3">
        <w:fldChar w:fldCharType="separate"/>
      </w:r>
      <w:r w:rsidR="002C0C2A">
        <w:rPr>
          <w:noProof/>
        </w:rPr>
        <w:t>5</w:t>
      </w:r>
      <w:r w:rsidRPr="00816AF3">
        <w:rPr>
          <w:noProof/>
        </w:rPr>
        <w:fldChar w:fldCharType="end"/>
      </w:r>
      <w:r w:rsidRPr="00816AF3">
        <w:t xml:space="preserve">: </w:t>
      </w:r>
      <w:r w:rsidRPr="00BD0F4B">
        <w:rPr>
          <w:i/>
          <w:iCs w:val="0"/>
        </w:rPr>
        <w:t>Agricultural and Veterinary Chemicals Code Regulations 1995</w:t>
      </w:r>
    </w:p>
    <w:tbl>
      <w:tblPr>
        <w:tblStyle w:val="TableGrid"/>
        <w:tblW w:w="4490" w:type="pct"/>
        <w:tblInd w:w="562" w:type="dxa"/>
        <w:shd w:val="clear" w:color="auto" w:fill="D9D9D9" w:themeFill="background1" w:themeFillShade="D9"/>
        <w:tblLook w:val="04A0" w:firstRow="1" w:lastRow="0" w:firstColumn="1" w:lastColumn="0" w:noHBand="0" w:noVBand="1"/>
      </w:tblPr>
      <w:tblGrid>
        <w:gridCol w:w="1702"/>
        <w:gridCol w:w="6944"/>
      </w:tblGrid>
      <w:tr w:rsidR="008E67EA" w14:paraId="22B07695" w14:textId="77777777" w:rsidTr="00B44A74">
        <w:trPr>
          <w:tblHeader/>
        </w:trPr>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7FF065" w14:textId="77777777" w:rsidR="008E67EA" w:rsidRPr="00BD0F4B" w:rsidRDefault="008E67EA" w:rsidP="00B44A74">
            <w:pPr>
              <w:pStyle w:val="GazetteTableHeading"/>
            </w:pPr>
            <w:r w:rsidRPr="00BD0F4B">
              <w:t>Section</w:t>
            </w:r>
          </w:p>
        </w:tc>
        <w:tc>
          <w:tcPr>
            <w:tcW w:w="401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36282F" w14:textId="77777777" w:rsidR="008E67EA" w:rsidRPr="00BD0F4B" w:rsidRDefault="008E67EA" w:rsidP="00B44A74">
            <w:pPr>
              <w:pStyle w:val="GazetteTableHeading"/>
            </w:pPr>
            <w:r w:rsidRPr="00BD0F4B">
              <w:t>Section Heading</w:t>
            </w:r>
          </w:p>
        </w:tc>
      </w:tr>
      <w:tr w:rsidR="008E67EA" w14:paraId="3F089654"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tcPr>
          <w:p w14:paraId="66C1EDFF" w14:textId="77777777" w:rsidR="008E67EA" w:rsidRDefault="008E67EA" w:rsidP="00B44A74">
            <w:pPr>
              <w:pStyle w:val="GazetteTableText"/>
              <w:rPr>
                <w:b/>
                <w:bCs/>
                <w:sz w:val="18"/>
                <w:szCs w:val="20"/>
              </w:rPr>
            </w:pPr>
            <w:r>
              <w:rPr>
                <w:b/>
                <w:bCs/>
                <w:color w:val="000000" w:themeColor="text1"/>
                <w:sz w:val="18"/>
                <w:szCs w:val="22"/>
              </w:rPr>
              <w:t>8AB</w:t>
            </w:r>
          </w:p>
        </w:tc>
        <w:tc>
          <w:tcPr>
            <w:tcW w:w="4016" w:type="pct"/>
            <w:tcBorders>
              <w:top w:val="single" w:sz="4" w:space="0" w:color="auto"/>
              <w:left w:val="single" w:sz="4" w:space="0" w:color="auto"/>
              <w:bottom w:val="single" w:sz="4" w:space="0" w:color="auto"/>
              <w:right w:val="single" w:sz="4" w:space="0" w:color="auto"/>
            </w:tcBorders>
          </w:tcPr>
          <w:p w14:paraId="38D42E7F" w14:textId="77777777" w:rsidR="008E67EA" w:rsidRDefault="008E67EA" w:rsidP="00B44A74">
            <w:pPr>
              <w:pStyle w:val="GazetteTableText"/>
              <w:rPr>
                <w:sz w:val="18"/>
                <w:szCs w:val="20"/>
              </w:rPr>
            </w:pPr>
            <w:r>
              <w:rPr>
                <w:color w:val="000000" w:themeColor="text1"/>
                <w:sz w:val="18"/>
                <w:szCs w:val="19"/>
              </w:rPr>
              <w:t xml:space="preserve">Safety Criteria </w:t>
            </w:r>
            <w:r>
              <w:rPr>
                <w:rFonts w:hint="eastAsia"/>
                <w:color w:val="000000" w:themeColor="text1"/>
                <w:sz w:val="18"/>
                <w:szCs w:val="19"/>
              </w:rPr>
              <w:t>–</w:t>
            </w:r>
            <w:r>
              <w:rPr>
                <w:color w:val="000000" w:themeColor="text1"/>
                <w:sz w:val="18"/>
                <w:szCs w:val="19"/>
              </w:rPr>
              <w:t xml:space="preserve"> chemical products</w:t>
            </w:r>
          </w:p>
        </w:tc>
      </w:tr>
      <w:tr w:rsidR="008E67EA" w14:paraId="7A929F05"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tcPr>
          <w:p w14:paraId="477BE656" w14:textId="77777777" w:rsidR="008E67EA" w:rsidRDefault="008E67EA" w:rsidP="00B44A74">
            <w:pPr>
              <w:pStyle w:val="GazetteTableText"/>
              <w:rPr>
                <w:b/>
                <w:bCs/>
                <w:color w:val="000000" w:themeColor="text1"/>
                <w:sz w:val="18"/>
                <w:szCs w:val="22"/>
              </w:rPr>
            </w:pPr>
            <w:r>
              <w:rPr>
                <w:b/>
                <w:bCs/>
                <w:color w:val="000000" w:themeColor="text1"/>
                <w:sz w:val="18"/>
                <w:szCs w:val="22"/>
              </w:rPr>
              <w:t>8AD</w:t>
            </w:r>
          </w:p>
        </w:tc>
        <w:tc>
          <w:tcPr>
            <w:tcW w:w="4016" w:type="pct"/>
            <w:tcBorders>
              <w:top w:val="single" w:sz="4" w:space="0" w:color="auto"/>
              <w:left w:val="single" w:sz="4" w:space="0" w:color="auto"/>
              <w:bottom w:val="single" w:sz="4" w:space="0" w:color="auto"/>
              <w:right w:val="single" w:sz="4" w:space="0" w:color="auto"/>
            </w:tcBorders>
          </w:tcPr>
          <w:p w14:paraId="77405891" w14:textId="77777777" w:rsidR="008E67EA" w:rsidRDefault="008E67EA" w:rsidP="00B44A74">
            <w:pPr>
              <w:pStyle w:val="GazetteTableText"/>
              <w:rPr>
                <w:color w:val="000000" w:themeColor="text1"/>
                <w:sz w:val="18"/>
                <w:szCs w:val="19"/>
              </w:rPr>
            </w:pPr>
            <w:r>
              <w:rPr>
                <w:color w:val="000000" w:themeColor="text1"/>
                <w:sz w:val="18"/>
                <w:szCs w:val="19"/>
              </w:rPr>
              <w:t>Trade Criteria</w:t>
            </w:r>
          </w:p>
        </w:tc>
      </w:tr>
      <w:tr w:rsidR="008E67EA" w14:paraId="44CE2FEA"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tcPr>
          <w:p w14:paraId="65EB75D4" w14:textId="77777777" w:rsidR="008E67EA" w:rsidRDefault="008E67EA" w:rsidP="00B44A74">
            <w:pPr>
              <w:pStyle w:val="GazetteTableText"/>
              <w:rPr>
                <w:b/>
                <w:bCs/>
                <w:color w:val="000000" w:themeColor="text1"/>
                <w:sz w:val="18"/>
                <w:szCs w:val="22"/>
              </w:rPr>
            </w:pPr>
            <w:r>
              <w:rPr>
                <w:b/>
                <w:bCs/>
                <w:color w:val="000000" w:themeColor="text1"/>
                <w:sz w:val="18"/>
                <w:szCs w:val="22"/>
              </w:rPr>
              <w:t>8AE</w:t>
            </w:r>
          </w:p>
        </w:tc>
        <w:tc>
          <w:tcPr>
            <w:tcW w:w="4016" w:type="pct"/>
            <w:tcBorders>
              <w:top w:val="single" w:sz="4" w:space="0" w:color="auto"/>
              <w:left w:val="single" w:sz="4" w:space="0" w:color="auto"/>
              <w:bottom w:val="single" w:sz="4" w:space="0" w:color="auto"/>
              <w:right w:val="single" w:sz="4" w:space="0" w:color="auto"/>
            </w:tcBorders>
          </w:tcPr>
          <w:p w14:paraId="15143F54" w14:textId="77777777" w:rsidR="008E67EA" w:rsidRDefault="008E67EA" w:rsidP="00B44A74">
            <w:pPr>
              <w:pStyle w:val="GazetteTableText"/>
              <w:rPr>
                <w:color w:val="000000" w:themeColor="text1"/>
                <w:sz w:val="18"/>
                <w:szCs w:val="19"/>
              </w:rPr>
            </w:pPr>
            <w:r>
              <w:rPr>
                <w:color w:val="000000" w:themeColor="text1"/>
                <w:sz w:val="18"/>
                <w:szCs w:val="19"/>
              </w:rPr>
              <w:t>Labelling Criteria</w:t>
            </w:r>
          </w:p>
        </w:tc>
      </w:tr>
      <w:tr w:rsidR="008E67EA" w14:paraId="3F54C478"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tcPr>
          <w:p w14:paraId="3510F8E7" w14:textId="77777777" w:rsidR="008E67EA" w:rsidRDefault="008E67EA" w:rsidP="00B44A74">
            <w:pPr>
              <w:pStyle w:val="GazetteTableText"/>
              <w:rPr>
                <w:b/>
                <w:bCs/>
                <w:color w:val="000000" w:themeColor="text1"/>
                <w:sz w:val="18"/>
                <w:szCs w:val="22"/>
              </w:rPr>
            </w:pPr>
            <w:r>
              <w:rPr>
                <w:b/>
                <w:bCs/>
                <w:color w:val="000000" w:themeColor="text1"/>
                <w:sz w:val="18"/>
                <w:szCs w:val="22"/>
              </w:rPr>
              <w:t>16</w:t>
            </w:r>
          </w:p>
        </w:tc>
        <w:tc>
          <w:tcPr>
            <w:tcW w:w="4016" w:type="pct"/>
            <w:tcBorders>
              <w:top w:val="single" w:sz="4" w:space="0" w:color="auto"/>
              <w:left w:val="single" w:sz="4" w:space="0" w:color="auto"/>
              <w:bottom w:val="single" w:sz="4" w:space="0" w:color="auto"/>
              <w:right w:val="single" w:sz="4" w:space="0" w:color="auto"/>
            </w:tcBorders>
          </w:tcPr>
          <w:p w14:paraId="6729880A" w14:textId="77777777" w:rsidR="008E67EA" w:rsidRDefault="008E67EA" w:rsidP="00B44A74">
            <w:pPr>
              <w:pStyle w:val="GazetteTableText"/>
              <w:rPr>
                <w:color w:val="000000" w:themeColor="text1"/>
                <w:sz w:val="18"/>
                <w:szCs w:val="19"/>
              </w:rPr>
            </w:pPr>
            <w:r>
              <w:rPr>
                <w:color w:val="000000" w:themeColor="text1"/>
                <w:sz w:val="18"/>
                <w:szCs w:val="19"/>
              </w:rPr>
              <w:t>Particulars of registered chemical products to be recorded</w:t>
            </w:r>
          </w:p>
        </w:tc>
      </w:tr>
      <w:tr w:rsidR="008E67EA" w14:paraId="70A31312"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tcPr>
          <w:p w14:paraId="32020B75" w14:textId="77777777" w:rsidR="008E67EA" w:rsidRDefault="008E67EA" w:rsidP="00B44A74">
            <w:pPr>
              <w:pStyle w:val="GazetteTableText"/>
              <w:rPr>
                <w:b/>
                <w:bCs/>
                <w:color w:val="000000" w:themeColor="text1"/>
                <w:sz w:val="18"/>
                <w:szCs w:val="22"/>
              </w:rPr>
            </w:pPr>
            <w:r>
              <w:rPr>
                <w:b/>
                <w:bCs/>
                <w:color w:val="000000" w:themeColor="text1"/>
                <w:sz w:val="18"/>
                <w:szCs w:val="22"/>
              </w:rPr>
              <w:t>17</w:t>
            </w:r>
          </w:p>
        </w:tc>
        <w:tc>
          <w:tcPr>
            <w:tcW w:w="4016" w:type="pct"/>
            <w:tcBorders>
              <w:top w:val="single" w:sz="4" w:space="0" w:color="auto"/>
              <w:left w:val="single" w:sz="4" w:space="0" w:color="auto"/>
              <w:bottom w:val="single" w:sz="4" w:space="0" w:color="auto"/>
              <w:right w:val="single" w:sz="4" w:space="0" w:color="auto"/>
            </w:tcBorders>
          </w:tcPr>
          <w:p w14:paraId="137E5582" w14:textId="77777777" w:rsidR="008E67EA" w:rsidRDefault="008E67EA" w:rsidP="00B44A74">
            <w:pPr>
              <w:pStyle w:val="GazetteTableText"/>
              <w:rPr>
                <w:color w:val="000000" w:themeColor="text1"/>
                <w:sz w:val="18"/>
                <w:szCs w:val="19"/>
              </w:rPr>
            </w:pPr>
            <w:r>
              <w:rPr>
                <w:color w:val="000000" w:themeColor="text1"/>
                <w:sz w:val="18"/>
                <w:szCs w:val="19"/>
              </w:rPr>
              <w:t>Particulars for label</w:t>
            </w:r>
          </w:p>
        </w:tc>
      </w:tr>
      <w:tr w:rsidR="008E67EA" w14:paraId="636A231C"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tcPr>
          <w:p w14:paraId="3B1F983E" w14:textId="77777777" w:rsidR="008E67EA" w:rsidRDefault="008E67EA" w:rsidP="00B44A74">
            <w:pPr>
              <w:pStyle w:val="GazetteTableText"/>
              <w:rPr>
                <w:b/>
                <w:bCs/>
                <w:color w:val="000000" w:themeColor="text1"/>
                <w:sz w:val="18"/>
                <w:szCs w:val="22"/>
              </w:rPr>
            </w:pPr>
            <w:r>
              <w:rPr>
                <w:b/>
                <w:bCs/>
                <w:color w:val="000000" w:themeColor="text1"/>
                <w:sz w:val="18"/>
                <w:szCs w:val="22"/>
              </w:rPr>
              <w:t>17C</w:t>
            </w:r>
          </w:p>
        </w:tc>
        <w:tc>
          <w:tcPr>
            <w:tcW w:w="4016" w:type="pct"/>
            <w:tcBorders>
              <w:top w:val="single" w:sz="4" w:space="0" w:color="auto"/>
              <w:left w:val="single" w:sz="4" w:space="0" w:color="auto"/>
              <w:bottom w:val="single" w:sz="4" w:space="0" w:color="auto"/>
              <w:right w:val="single" w:sz="4" w:space="0" w:color="auto"/>
            </w:tcBorders>
          </w:tcPr>
          <w:p w14:paraId="4620625B" w14:textId="77777777" w:rsidR="008E67EA" w:rsidRDefault="008E67EA" w:rsidP="00B44A74">
            <w:pPr>
              <w:pStyle w:val="GazetteTableText"/>
              <w:rPr>
                <w:color w:val="000000" w:themeColor="text1"/>
                <w:sz w:val="18"/>
                <w:szCs w:val="19"/>
              </w:rPr>
            </w:pPr>
            <w:r>
              <w:rPr>
                <w:color w:val="000000" w:themeColor="text1"/>
                <w:sz w:val="18"/>
                <w:szCs w:val="19"/>
              </w:rPr>
              <w:t xml:space="preserve">Conditions of approval or registration </w:t>
            </w:r>
            <w:r>
              <w:rPr>
                <w:rFonts w:hint="eastAsia"/>
                <w:color w:val="000000" w:themeColor="text1"/>
                <w:sz w:val="18"/>
                <w:szCs w:val="19"/>
              </w:rPr>
              <w:t>–</w:t>
            </w:r>
            <w:r>
              <w:rPr>
                <w:color w:val="000000" w:themeColor="text1"/>
                <w:sz w:val="18"/>
                <w:szCs w:val="19"/>
              </w:rPr>
              <w:t xml:space="preserve"> active constituents and chemical products</w:t>
            </w:r>
          </w:p>
        </w:tc>
      </w:tr>
      <w:tr w:rsidR="008E67EA" w14:paraId="6A4C6F24"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tcPr>
          <w:p w14:paraId="79D1D225" w14:textId="77777777" w:rsidR="008E67EA" w:rsidRDefault="008E67EA" w:rsidP="00B44A74">
            <w:pPr>
              <w:pStyle w:val="GazetteTableText"/>
              <w:rPr>
                <w:b/>
                <w:bCs/>
                <w:color w:val="000000" w:themeColor="text1"/>
                <w:sz w:val="18"/>
                <w:szCs w:val="22"/>
              </w:rPr>
            </w:pPr>
            <w:r>
              <w:rPr>
                <w:b/>
                <w:bCs/>
                <w:color w:val="000000" w:themeColor="text1"/>
                <w:sz w:val="18"/>
                <w:szCs w:val="22"/>
              </w:rPr>
              <w:t>18</w:t>
            </w:r>
          </w:p>
        </w:tc>
        <w:tc>
          <w:tcPr>
            <w:tcW w:w="4016" w:type="pct"/>
            <w:tcBorders>
              <w:top w:val="single" w:sz="4" w:space="0" w:color="auto"/>
              <w:left w:val="single" w:sz="4" w:space="0" w:color="auto"/>
              <w:bottom w:val="single" w:sz="4" w:space="0" w:color="auto"/>
              <w:right w:val="single" w:sz="4" w:space="0" w:color="auto"/>
            </w:tcBorders>
          </w:tcPr>
          <w:p w14:paraId="0177C1A4" w14:textId="77777777" w:rsidR="008E67EA" w:rsidRDefault="008E67EA" w:rsidP="00B44A74">
            <w:pPr>
              <w:pStyle w:val="GazetteTableText"/>
              <w:rPr>
                <w:color w:val="000000" w:themeColor="text1"/>
                <w:sz w:val="18"/>
                <w:szCs w:val="19"/>
              </w:rPr>
            </w:pPr>
            <w:r>
              <w:rPr>
                <w:color w:val="000000" w:themeColor="text1"/>
                <w:sz w:val="18"/>
                <w:szCs w:val="19"/>
              </w:rPr>
              <w:t xml:space="preserve">Conditions of registration of chemical products </w:t>
            </w:r>
            <w:r>
              <w:rPr>
                <w:color w:val="000000" w:themeColor="text1"/>
                <w:sz w:val="18"/>
                <w:szCs w:val="19"/>
              </w:rPr>
              <w:t>–</w:t>
            </w:r>
            <w:r>
              <w:rPr>
                <w:color w:val="000000" w:themeColor="text1"/>
                <w:sz w:val="18"/>
                <w:szCs w:val="19"/>
              </w:rPr>
              <w:t xml:space="preserve"> containers</w:t>
            </w:r>
          </w:p>
        </w:tc>
      </w:tr>
      <w:tr w:rsidR="008E67EA" w14:paraId="21364A19"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tcPr>
          <w:p w14:paraId="1150AB9F" w14:textId="77777777" w:rsidR="008E67EA" w:rsidRDefault="008E67EA" w:rsidP="00B44A74">
            <w:pPr>
              <w:pStyle w:val="GazetteTableText"/>
              <w:rPr>
                <w:b/>
                <w:bCs/>
                <w:sz w:val="18"/>
                <w:szCs w:val="20"/>
              </w:rPr>
            </w:pPr>
            <w:r>
              <w:rPr>
                <w:b/>
                <w:color w:val="000000" w:themeColor="text1"/>
                <w:sz w:val="18"/>
                <w:szCs w:val="20"/>
              </w:rPr>
              <w:t>18E</w:t>
            </w:r>
            <w:r>
              <w:rPr>
                <w:rFonts w:hint="eastAsia"/>
                <w:b/>
                <w:color w:val="000000" w:themeColor="text1"/>
                <w:sz w:val="18"/>
                <w:szCs w:val="22"/>
              </w:rPr>
              <w:t> </w:t>
            </w:r>
          </w:p>
        </w:tc>
        <w:tc>
          <w:tcPr>
            <w:tcW w:w="4016" w:type="pct"/>
            <w:tcBorders>
              <w:top w:val="single" w:sz="4" w:space="0" w:color="auto"/>
              <w:left w:val="single" w:sz="4" w:space="0" w:color="auto"/>
              <w:bottom w:val="single" w:sz="4" w:space="0" w:color="auto"/>
              <w:right w:val="single" w:sz="4" w:space="0" w:color="auto"/>
            </w:tcBorders>
          </w:tcPr>
          <w:p w14:paraId="5ED4B526" w14:textId="77777777" w:rsidR="008E67EA" w:rsidRDefault="008E67EA" w:rsidP="00B44A74">
            <w:pPr>
              <w:pStyle w:val="GazetteTableText"/>
              <w:rPr>
                <w:sz w:val="18"/>
                <w:szCs w:val="20"/>
              </w:rPr>
            </w:pPr>
            <w:r>
              <w:rPr>
                <w:color w:val="000000" w:themeColor="text1"/>
                <w:sz w:val="18"/>
                <w:szCs w:val="19"/>
              </w:rPr>
              <w:t>Labelling standards and requirements</w:t>
            </w:r>
          </w:p>
        </w:tc>
      </w:tr>
    </w:tbl>
    <w:p w14:paraId="3AC56C03" w14:textId="20569F6C" w:rsidR="008E67EA" w:rsidRPr="00816AF3" w:rsidRDefault="008E67EA" w:rsidP="008E67EA">
      <w:pPr>
        <w:pStyle w:val="StatementofReasonsTableCaption"/>
        <w:ind w:left="567"/>
        <w:rPr>
          <w:i/>
          <w:iCs w:val="0"/>
        </w:rPr>
      </w:pPr>
      <w:r w:rsidRPr="00816AF3">
        <w:t>Table C</w:t>
      </w:r>
      <w:r w:rsidRPr="00816AF3">
        <w:fldChar w:fldCharType="begin"/>
      </w:r>
      <w:r w:rsidRPr="00816AF3">
        <w:instrText xml:space="preserve"> SEQ Table_A \* ARABIC </w:instrText>
      </w:r>
      <w:r w:rsidRPr="00816AF3">
        <w:fldChar w:fldCharType="separate"/>
      </w:r>
      <w:r w:rsidR="002C0C2A">
        <w:rPr>
          <w:noProof/>
        </w:rPr>
        <w:t>6</w:t>
      </w:r>
      <w:r w:rsidRPr="00816AF3">
        <w:rPr>
          <w:noProof/>
        </w:rPr>
        <w:fldChar w:fldCharType="end"/>
      </w:r>
      <w:r w:rsidRPr="00816AF3">
        <w:t xml:space="preserve">: Other legislative instruments under the </w:t>
      </w:r>
      <w:r w:rsidRPr="00816AF3">
        <w:rPr>
          <w:i/>
          <w:iCs w:val="0"/>
        </w:rPr>
        <w:t>Agricultural and Veterinary Chemicals Code Act 1994</w:t>
      </w:r>
    </w:p>
    <w:tbl>
      <w:tblPr>
        <w:tblStyle w:val="TableGrid"/>
        <w:tblW w:w="4490" w:type="pct"/>
        <w:tblInd w:w="562" w:type="dxa"/>
        <w:shd w:val="clear" w:color="auto" w:fill="D9D9D9" w:themeFill="background1" w:themeFillShade="D9"/>
        <w:tblLook w:val="04A0" w:firstRow="1" w:lastRow="0" w:firstColumn="1" w:lastColumn="0" w:noHBand="0" w:noVBand="1"/>
      </w:tblPr>
      <w:tblGrid>
        <w:gridCol w:w="8646"/>
      </w:tblGrid>
      <w:tr w:rsidR="008E67EA" w14:paraId="5FF9FBED" w14:textId="77777777" w:rsidTr="00B44A74">
        <w:trPr>
          <w:tblHead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CD7B24" w14:textId="77777777" w:rsidR="008E67EA" w:rsidRPr="00BD0F4B" w:rsidRDefault="008E67EA" w:rsidP="00B44A74">
            <w:pPr>
              <w:pStyle w:val="GazetteTableHeading"/>
            </w:pPr>
            <w:r w:rsidRPr="00BD0F4B">
              <w:t>Legislative instruments</w:t>
            </w:r>
          </w:p>
        </w:tc>
      </w:tr>
      <w:tr w:rsidR="008E67EA" w14:paraId="5C7B32F0" w14:textId="77777777" w:rsidTr="00B44A74">
        <w:trPr>
          <w:trHeight w:val="463"/>
        </w:trPr>
        <w:tc>
          <w:tcPr>
            <w:tcW w:w="5000" w:type="pct"/>
            <w:tcBorders>
              <w:top w:val="single" w:sz="4" w:space="0" w:color="auto"/>
              <w:left w:val="single" w:sz="4" w:space="0" w:color="auto"/>
              <w:bottom w:val="single" w:sz="4" w:space="0" w:color="auto"/>
              <w:right w:val="single" w:sz="4" w:space="0" w:color="auto"/>
            </w:tcBorders>
          </w:tcPr>
          <w:p w14:paraId="1442A9DD" w14:textId="77777777" w:rsidR="008E67EA" w:rsidRDefault="008E67EA" w:rsidP="00B44A74">
            <w:pPr>
              <w:pStyle w:val="GazetteTableText"/>
              <w:rPr>
                <w:b/>
                <w:bCs/>
                <w:sz w:val="18"/>
                <w:szCs w:val="20"/>
              </w:rPr>
            </w:pPr>
            <w:hyperlink r:id="rId46" w:history="1">
              <w:r>
                <w:rPr>
                  <w:rStyle w:val="Hyperlink"/>
                  <w:sz w:val="18"/>
                  <w:szCs w:val="22"/>
                </w:rPr>
                <w:t>Agricultural and Veterinary Chemical Code (Efficacy Criteria) Determination 2014</w:t>
              </w:r>
            </w:hyperlink>
          </w:p>
        </w:tc>
      </w:tr>
      <w:tr w:rsidR="008E67EA" w14:paraId="1C766A8F" w14:textId="77777777" w:rsidTr="00B44A74">
        <w:trPr>
          <w:trHeight w:val="463"/>
        </w:trPr>
        <w:tc>
          <w:tcPr>
            <w:tcW w:w="5000" w:type="pct"/>
            <w:tcBorders>
              <w:top w:val="single" w:sz="4" w:space="0" w:color="auto"/>
              <w:left w:val="single" w:sz="4" w:space="0" w:color="auto"/>
              <w:bottom w:val="single" w:sz="4" w:space="0" w:color="auto"/>
              <w:right w:val="single" w:sz="4" w:space="0" w:color="auto"/>
            </w:tcBorders>
          </w:tcPr>
          <w:p w14:paraId="7D5E0F1B" w14:textId="77777777" w:rsidR="008E67EA" w:rsidRDefault="008E67EA" w:rsidP="00B44A74">
            <w:pPr>
              <w:pStyle w:val="GazetteTableText"/>
              <w:rPr>
                <w:b/>
                <w:bCs/>
                <w:sz w:val="18"/>
                <w:szCs w:val="20"/>
              </w:rPr>
            </w:pPr>
            <w:hyperlink r:id="rId47" w:history="1">
              <w:r>
                <w:rPr>
                  <w:rStyle w:val="Hyperlink"/>
                  <w:sz w:val="18"/>
                  <w:szCs w:val="22"/>
                </w:rPr>
                <w:t>Agricultural and Veterinary Chemicals Code (Conditions of Approval or Registration) Order 2021</w:t>
              </w:r>
            </w:hyperlink>
          </w:p>
        </w:tc>
      </w:tr>
      <w:tr w:rsidR="008E67EA" w14:paraId="63CF50D1" w14:textId="77777777" w:rsidTr="00B44A74">
        <w:trPr>
          <w:trHeight w:val="463"/>
        </w:trPr>
        <w:tc>
          <w:tcPr>
            <w:tcW w:w="5000" w:type="pct"/>
            <w:tcBorders>
              <w:top w:val="single" w:sz="4" w:space="0" w:color="auto"/>
              <w:left w:val="single" w:sz="4" w:space="0" w:color="auto"/>
              <w:bottom w:val="single" w:sz="4" w:space="0" w:color="auto"/>
              <w:right w:val="single" w:sz="4" w:space="0" w:color="auto"/>
            </w:tcBorders>
          </w:tcPr>
          <w:p w14:paraId="05E2AB39" w14:textId="77777777" w:rsidR="008E67EA" w:rsidRDefault="008E67EA" w:rsidP="00B44A74">
            <w:pPr>
              <w:pStyle w:val="GazetteTableText"/>
              <w:rPr>
                <w:b/>
                <w:bCs/>
                <w:sz w:val="18"/>
                <w:szCs w:val="20"/>
              </w:rPr>
            </w:pPr>
            <w:hyperlink r:id="rId48" w:history="1">
              <w:r>
                <w:rPr>
                  <w:rStyle w:val="Hyperlink"/>
                  <w:sz w:val="18"/>
                  <w:szCs w:val="22"/>
                </w:rPr>
                <w:t>Agricultural and Veterinary Chemicals Code (Agricultural Active Constituents) Standards 2022</w:t>
              </w:r>
            </w:hyperlink>
          </w:p>
        </w:tc>
      </w:tr>
      <w:tr w:rsidR="008E67EA" w14:paraId="291F29D2" w14:textId="77777777" w:rsidTr="00B44A74">
        <w:trPr>
          <w:trHeight w:val="463"/>
        </w:trPr>
        <w:tc>
          <w:tcPr>
            <w:tcW w:w="5000" w:type="pct"/>
            <w:tcBorders>
              <w:top w:val="single" w:sz="4" w:space="0" w:color="auto"/>
              <w:left w:val="single" w:sz="4" w:space="0" w:color="auto"/>
              <w:bottom w:val="single" w:sz="4" w:space="0" w:color="auto"/>
              <w:right w:val="single" w:sz="4" w:space="0" w:color="auto"/>
            </w:tcBorders>
          </w:tcPr>
          <w:p w14:paraId="235C5B16" w14:textId="77777777" w:rsidR="008E67EA" w:rsidRDefault="008E67EA" w:rsidP="00B44A74">
            <w:pPr>
              <w:pStyle w:val="GazetteTableText"/>
              <w:rPr>
                <w:b/>
                <w:bCs/>
                <w:sz w:val="18"/>
                <w:szCs w:val="20"/>
              </w:rPr>
            </w:pPr>
            <w:hyperlink r:id="rId49" w:history="1">
              <w:r>
                <w:rPr>
                  <w:rStyle w:val="Hyperlink"/>
                  <w:sz w:val="18"/>
                  <w:szCs w:val="20"/>
                </w:rPr>
                <w:t>Agricultural and Veterinary Chemicals Code (Allowable Variation in Concentrations of Constituents in Agricultural Chemical Products) Standard 2022</w:t>
              </w:r>
            </w:hyperlink>
          </w:p>
        </w:tc>
      </w:tr>
    </w:tbl>
    <w:p w14:paraId="2B941410" w14:textId="77777777" w:rsidR="008E67EA" w:rsidRDefault="008E67EA" w:rsidP="00011C46">
      <w:pPr>
        <w:pStyle w:val="GazetteListNumbered"/>
        <w:ind w:left="357" w:hanging="357"/>
      </w:pPr>
      <w:r>
        <w:t>Relevant APVMA risk assessment manuals, as published on the APVMA website:</w:t>
      </w:r>
    </w:p>
    <w:p w14:paraId="6AD27B2F" w14:textId="77777777" w:rsidR="008E67EA" w:rsidRDefault="008E67EA" w:rsidP="00011C46">
      <w:pPr>
        <w:pStyle w:val="GazetteListNumbered"/>
        <w:numPr>
          <w:ilvl w:val="1"/>
          <w:numId w:val="1"/>
        </w:numPr>
      </w:pPr>
      <w:bookmarkStart w:id="334" w:name="_Hlk216041620"/>
      <w:r>
        <w:t>Chemistry and manufacture (</w:t>
      </w:r>
      <w:hyperlink r:id="rId50" w:history="1">
        <w:r w:rsidRPr="001B2CB7">
          <w:rPr>
            <w:rStyle w:val="Hyperlink"/>
          </w:rPr>
          <w:t>https://www.apvma.gov.au/registrations-and-permits/data-guidelines/risk-assessment-manuals/chemistry-manufacture</w:t>
        </w:r>
      </w:hyperlink>
      <w:r>
        <w:t>)</w:t>
      </w:r>
    </w:p>
    <w:bookmarkEnd w:id="334"/>
    <w:p w14:paraId="27CC9DF5" w14:textId="77777777" w:rsidR="008E67EA" w:rsidRDefault="008E67EA" w:rsidP="00011C46">
      <w:pPr>
        <w:pStyle w:val="GazetteListNumbered"/>
        <w:numPr>
          <w:ilvl w:val="1"/>
          <w:numId w:val="1"/>
        </w:numPr>
      </w:pPr>
      <w:r>
        <w:t>Environment (</w:t>
      </w:r>
      <w:hyperlink r:id="rId51" w:history="1">
        <w:r w:rsidRPr="001B2CB7">
          <w:rPr>
            <w:rStyle w:val="Hyperlink"/>
          </w:rPr>
          <w:t>https://www.apvma.gov.au/registrations-and-permits/data-guidelines/risk-assessment-manuals/environment</w:t>
        </w:r>
      </w:hyperlink>
      <w:r>
        <w:t>)</w:t>
      </w:r>
    </w:p>
    <w:p w14:paraId="6FD4786C" w14:textId="77777777" w:rsidR="008E67EA" w:rsidRDefault="008E67EA" w:rsidP="00011C46">
      <w:pPr>
        <w:pStyle w:val="GazetteListNumbered"/>
        <w:numPr>
          <w:ilvl w:val="1"/>
          <w:numId w:val="1"/>
        </w:numPr>
      </w:pPr>
      <w:r>
        <w:lastRenderedPageBreak/>
        <w:t>Human health (</w:t>
      </w:r>
      <w:hyperlink r:id="rId52" w:history="1">
        <w:r w:rsidRPr="001B2CB7">
          <w:rPr>
            <w:rStyle w:val="Hyperlink"/>
          </w:rPr>
          <w:t>https://www.apvma.gov.au/registrations-and-permits/data-guidelines/risk-assessment-manuals/human-health</w:t>
        </w:r>
      </w:hyperlink>
      <w:r>
        <w:t>)</w:t>
      </w:r>
    </w:p>
    <w:p w14:paraId="451CBED2" w14:textId="77777777" w:rsidR="008E67EA" w:rsidRDefault="008E67EA" w:rsidP="00011C46">
      <w:pPr>
        <w:pStyle w:val="GazetteListNumbered"/>
        <w:numPr>
          <w:ilvl w:val="1"/>
          <w:numId w:val="1"/>
        </w:numPr>
      </w:pPr>
      <w:r>
        <w:t>Residues and trade (</w:t>
      </w:r>
      <w:hyperlink r:id="rId53" w:history="1">
        <w:r w:rsidRPr="001B2CB7">
          <w:rPr>
            <w:rStyle w:val="Hyperlink"/>
          </w:rPr>
          <w:t>https://www.apvma.gov.au/registrations-and-permits/data-guidelines/risk-assessment-manuals/residues-trade</w:t>
        </w:r>
      </w:hyperlink>
      <w:r>
        <w:t>)</w:t>
      </w:r>
    </w:p>
    <w:p w14:paraId="7AD1543B" w14:textId="0612E473" w:rsidR="008E67EA" w:rsidRPr="0015317F" w:rsidRDefault="008E67EA" w:rsidP="00011C46">
      <w:pPr>
        <w:pStyle w:val="GazetteListNumbered"/>
        <w:ind w:left="357" w:hanging="357"/>
        <w:rPr>
          <w:color w:val="000000" w:themeColor="text1"/>
        </w:rPr>
      </w:pPr>
      <w:r w:rsidRPr="0015317F">
        <w:rPr>
          <w:color w:val="000000" w:themeColor="text1"/>
        </w:rPr>
        <w:t>The following risk assessment methodologies and assessment</w:t>
      </w:r>
      <w:r>
        <w:rPr>
          <w:color w:val="000000" w:themeColor="text1"/>
        </w:rPr>
        <w:t>s</w:t>
      </w:r>
      <w:r w:rsidRPr="0015317F">
        <w:rPr>
          <w:color w:val="000000" w:themeColor="text1"/>
        </w:rPr>
        <w:t xml:space="preserve"> from international regulators.</w:t>
      </w:r>
    </w:p>
    <w:p w14:paraId="4B994262" w14:textId="77777777" w:rsidR="008E67EA" w:rsidRPr="00E61B02" w:rsidRDefault="008E67EA" w:rsidP="00011C46">
      <w:pPr>
        <w:pStyle w:val="GazetteListNumbered"/>
        <w:numPr>
          <w:ilvl w:val="1"/>
          <w:numId w:val="1"/>
        </w:numPr>
        <w:rPr>
          <w:color w:val="000000" w:themeColor="text1"/>
        </w:rPr>
      </w:pPr>
      <w:r w:rsidRPr="00E61B02">
        <w:rPr>
          <w:color w:val="000000" w:themeColor="text1"/>
        </w:rPr>
        <w:t xml:space="preserve">European Chemicals Agency (ECHA). 2018. Revised emission scenario document for product type 14 (rodenticides). Helsinki, Finland </w:t>
      </w:r>
    </w:p>
    <w:p w14:paraId="5194999E" w14:textId="77777777" w:rsidR="008E67EA" w:rsidRPr="00E61B02" w:rsidRDefault="008E67EA" w:rsidP="00011C46">
      <w:pPr>
        <w:pStyle w:val="GazetteListNumbered"/>
        <w:numPr>
          <w:ilvl w:val="1"/>
          <w:numId w:val="1"/>
        </w:numPr>
        <w:rPr>
          <w:color w:val="000000" w:themeColor="text1"/>
        </w:rPr>
      </w:pPr>
      <w:r w:rsidRPr="00E61B02">
        <w:rPr>
          <w:color w:val="000000" w:themeColor="text1"/>
        </w:rPr>
        <w:t>Berny Ph, Esther A, Jacob J, Prescott C. 2014. Risk mitigation measures for anticoagulant rodenticides as biocidal products. European Commission contract no 07-0307/2012/638259/ETU/D3.</w:t>
      </w:r>
    </w:p>
    <w:p w14:paraId="4CD63171" w14:textId="77777777" w:rsidR="008E67EA" w:rsidRPr="00E61B02" w:rsidRDefault="008E67EA" w:rsidP="00011C46">
      <w:pPr>
        <w:pStyle w:val="GazetteListNumbered"/>
        <w:numPr>
          <w:ilvl w:val="1"/>
          <w:numId w:val="1"/>
        </w:numPr>
        <w:rPr>
          <w:color w:val="000000" w:themeColor="text1"/>
        </w:rPr>
      </w:pPr>
      <w:r w:rsidRPr="00E61B02">
        <w:rPr>
          <w:color w:val="000000" w:themeColor="text1"/>
        </w:rPr>
        <w:t>United States Environmental Protection Agency (US EPA). 2021, Occupational Pesticide Handler Exposure Calculator (OPHEC) (version date: May 2021). https://www.epa.gov/sites/production/files/2021-05/opp-hed-occupational-handler-exposure-may-2021.xlsx</w:t>
      </w:r>
    </w:p>
    <w:p w14:paraId="50339D3B" w14:textId="77777777" w:rsidR="008E67EA" w:rsidRPr="00E61B02" w:rsidRDefault="008E67EA" w:rsidP="00011C46">
      <w:pPr>
        <w:pStyle w:val="GazetteListNumbered"/>
        <w:numPr>
          <w:ilvl w:val="1"/>
          <w:numId w:val="1"/>
        </w:numPr>
        <w:rPr>
          <w:color w:val="000000" w:themeColor="text1"/>
        </w:rPr>
      </w:pPr>
      <w:r w:rsidRPr="00E61B02">
        <w:rPr>
          <w:color w:val="000000" w:themeColor="text1"/>
        </w:rPr>
        <w:t xml:space="preserve">United States Environmental Protection Agency (US EPA). 2012. Residential (Handler) Standard Operating Procedures (SOPs). </w:t>
      </w:r>
      <w:hyperlink r:id="rId54" w:anchor="sops" w:history="1">
        <w:r w:rsidRPr="00E61B02">
          <w:rPr>
            <w:color w:val="000000" w:themeColor="text1"/>
          </w:rPr>
          <w:t>https://www.epa.gov/pesticide-science-and-assessing-pesticide-risks/standard-operating-procedures-residential-pesticide#sops</w:t>
        </w:r>
      </w:hyperlink>
    </w:p>
    <w:p w14:paraId="6723D0D3" w14:textId="77777777" w:rsidR="008E67EA" w:rsidRPr="00E61B02" w:rsidRDefault="008E67EA" w:rsidP="00011C46">
      <w:pPr>
        <w:pStyle w:val="GazetteListNumbered"/>
        <w:numPr>
          <w:ilvl w:val="1"/>
          <w:numId w:val="1"/>
        </w:numPr>
        <w:rPr>
          <w:color w:val="000000" w:themeColor="text1"/>
        </w:rPr>
      </w:pPr>
      <w:r w:rsidRPr="00E61B02">
        <w:rPr>
          <w:color w:val="000000" w:themeColor="text1"/>
        </w:rPr>
        <w:t>Food and Agriculture Organization of the United Nations (FAO) Specifications and Evaluations for Agricultural Pesticides: Brodifacoum. 3-[3-(4'-bromobiphenyl-4-yl)-1,2,3,4- tetrahydro-1-naphthyl]- 4-hydroxycoumarin. 2015. (https://openknowledge.fao.org/server/api/core/bitstreams/e4bf9cc0-99c1-472b-8360-972093d4d897/content)</w:t>
      </w:r>
    </w:p>
    <w:p w14:paraId="7B4EC5E9" w14:textId="7F0CE1AA" w:rsidR="008E67EA" w:rsidRDefault="008E67EA" w:rsidP="00011C46">
      <w:pPr>
        <w:pStyle w:val="GazetteListNumbered"/>
        <w:ind w:left="357" w:hanging="357"/>
        <w:sectPr w:rsidR="008E67EA" w:rsidSect="00B347E8">
          <w:pgSz w:w="11906" w:h="16838"/>
          <w:pgMar w:top="1440" w:right="1134" w:bottom="1440" w:left="1134" w:header="680" w:footer="737" w:gutter="0"/>
          <w:cols w:space="708"/>
          <w:docGrid w:linePitch="360"/>
        </w:sectPr>
      </w:pPr>
      <w:r w:rsidRPr="00731415">
        <w:rPr>
          <w:i/>
          <w:iCs/>
          <w:color w:val="000000" w:themeColor="text1"/>
        </w:rPr>
        <w:t>Therapeutic Goods (Poisons Standard</w:t>
      </w:r>
      <w:r w:rsidRPr="00731415">
        <w:rPr>
          <w:rFonts w:hint="eastAsia"/>
          <w:i/>
          <w:iCs/>
          <w:color w:val="000000" w:themeColor="text1"/>
        </w:rPr>
        <w:t>—</w:t>
      </w:r>
      <w:r w:rsidRPr="00731415">
        <w:rPr>
          <w:i/>
          <w:iCs/>
          <w:color w:val="000000" w:themeColor="text1"/>
        </w:rPr>
        <w:t xml:space="preserve">June 2025) Instrument 2024 </w:t>
      </w:r>
      <w:r w:rsidRPr="00731415">
        <w:rPr>
          <w:color w:val="000000" w:themeColor="text1"/>
        </w:rPr>
        <w:t>(i.e. the Standard for the Uniform Scheduling of Medicines and Poisons)</w:t>
      </w:r>
    </w:p>
    <w:p w14:paraId="180B7AA7" w14:textId="77777777" w:rsidR="008E67EA" w:rsidRDefault="008E67EA" w:rsidP="008E67EA">
      <w:pPr>
        <w:pStyle w:val="GazetteHeading1"/>
      </w:pPr>
      <w:bookmarkStart w:id="335" w:name="_Toc216282367"/>
      <w:r>
        <w:lastRenderedPageBreak/>
        <w:t>Attachment D</w:t>
      </w:r>
      <w:r w:rsidRPr="00B418E9">
        <w:t xml:space="preserve">: </w:t>
      </w:r>
      <w:bookmarkStart w:id="336" w:name="_Hlk203484964"/>
      <w:r w:rsidRPr="00322180">
        <w:t>Templates for proposed varied anticoagulant rodenticide labels</w:t>
      </w:r>
      <w:bookmarkEnd w:id="335"/>
      <w:bookmarkEnd w:id="336"/>
    </w:p>
    <w:p w14:paraId="0B6D07A7" w14:textId="77777777" w:rsidR="008E67EA" w:rsidRPr="00B73CCC" w:rsidRDefault="008E67EA" w:rsidP="008E67EA">
      <w:r w:rsidRPr="00B73CCC">
        <w:t>Representative labels for anticoagulant rodenticide chemical products are provided below</w:t>
      </w:r>
    </w:p>
    <w:p w14:paraId="70CB40DF" w14:textId="73E609C6" w:rsidR="008E67EA" w:rsidRDefault="008E67EA" w:rsidP="008E67EA">
      <w:pPr>
        <w:pStyle w:val="Caption"/>
        <w:keepNext/>
      </w:pPr>
      <w:bookmarkStart w:id="337" w:name="_Ref213257833"/>
      <w:r>
        <w:t xml:space="preserve">Table </w:t>
      </w:r>
      <w:r>
        <w:fldChar w:fldCharType="begin"/>
      </w:r>
      <w:r>
        <w:instrText xml:space="preserve"> SEQ Table \* ARABIC </w:instrText>
      </w:r>
      <w:r>
        <w:fldChar w:fldCharType="separate"/>
      </w:r>
      <w:r w:rsidR="002C0C2A">
        <w:rPr>
          <w:noProof/>
        </w:rPr>
        <w:t>17</w:t>
      </w:r>
      <w:r>
        <w:fldChar w:fldCharType="end"/>
      </w:r>
      <w:bookmarkEnd w:id="337"/>
      <w:r>
        <w:t xml:space="preserve">: </w:t>
      </w:r>
      <w:bookmarkStart w:id="338" w:name="_Ref213257822"/>
      <w:r>
        <w:t>Representative template labels for varied anticoagulant rodenticide chemical labels</w:t>
      </w:r>
      <w:bookmarkEnd w:id="338"/>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Caption w:val="example of license table"/>
      </w:tblPr>
      <w:tblGrid>
        <w:gridCol w:w="1157"/>
        <w:gridCol w:w="2661"/>
        <w:gridCol w:w="1400"/>
        <w:gridCol w:w="1583"/>
        <w:gridCol w:w="1868"/>
        <w:gridCol w:w="959"/>
      </w:tblGrid>
      <w:tr w:rsidR="008E67EA" w14:paraId="665C06BB" w14:textId="77777777" w:rsidTr="00731415">
        <w:trPr>
          <w:tblHeader/>
        </w:trPr>
        <w:tc>
          <w:tcPr>
            <w:tcW w:w="601" w:type="pct"/>
            <w:shd w:val="clear" w:color="auto" w:fill="D9D9D9" w:themeFill="background1" w:themeFillShade="D9"/>
          </w:tcPr>
          <w:p w14:paraId="4084957C" w14:textId="77777777" w:rsidR="008E67EA" w:rsidRDefault="008E67EA" w:rsidP="00B44A74">
            <w:pPr>
              <w:pStyle w:val="GazetteTableHeading"/>
            </w:pPr>
            <w:r>
              <w:t>Registration number</w:t>
            </w:r>
          </w:p>
        </w:tc>
        <w:tc>
          <w:tcPr>
            <w:tcW w:w="1382" w:type="pct"/>
            <w:shd w:val="clear" w:color="auto" w:fill="D9D9D9" w:themeFill="background1" w:themeFillShade="D9"/>
          </w:tcPr>
          <w:p w14:paraId="3967943C" w14:textId="77777777" w:rsidR="008E67EA" w:rsidRDefault="008E67EA" w:rsidP="00B44A74">
            <w:pPr>
              <w:pStyle w:val="GazetteTableHeading"/>
            </w:pPr>
            <w:r>
              <w:t>Product name</w:t>
            </w:r>
          </w:p>
        </w:tc>
        <w:tc>
          <w:tcPr>
            <w:tcW w:w="727" w:type="pct"/>
            <w:shd w:val="clear" w:color="auto" w:fill="D9D9D9" w:themeFill="background1" w:themeFillShade="D9"/>
          </w:tcPr>
          <w:p w14:paraId="55AE81A3" w14:textId="77777777" w:rsidR="008E67EA" w:rsidRDefault="008E67EA" w:rsidP="00B44A74">
            <w:pPr>
              <w:pStyle w:val="GazetteTableHeading"/>
            </w:pPr>
            <w:r>
              <w:t>Active Constituent(s)</w:t>
            </w:r>
          </w:p>
        </w:tc>
        <w:tc>
          <w:tcPr>
            <w:tcW w:w="822" w:type="pct"/>
            <w:shd w:val="clear" w:color="auto" w:fill="D9D9D9" w:themeFill="background1" w:themeFillShade="D9"/>
          </w:tcPr>
          <w:p w14:paraId="22B01AC4" w14:textId="77777777" w:rsidR="008E67EA" w:rsidRDefault="008E67EA" w:rsidP="00B44A74">
            <w:pPr>
              <w:pStyle w:val="GazetteTableHeading"/>
            </w:pPr>
            <w:r>
              <w:t>Commercial or domestic product</w:t>
            </w:r>
          </w:p>
        </w:tc>
        <w:tc>
          <w:tcPr>
            <w:tcW w:w="970" w:type="pct"/>
            <w:shd w:val="clear" w:color="auto" w:fill="D9D9D9" w:themeFill="background1" w:themeFillShade="D9"/>
          </w:tcPr>
          <w:p w14:paraId="58FF8ECB" w14:textId="77777777" w:rsidR="008E67EA" w:rsidRDefault="008E67EA" w:rsidP="00B44A74">
            <w:pPr>
              <w:pStyle w:val="GazetteTableHeading"/>
            </w:pPr>
            <w:r>
              <w:t>Substance</w:t>
            </w:r>
          </w:p>
        </w:tc>
        <w:tc>
          <w:tcPr>
            <w:tcW w:w="498" w:type="pct"/>
            <w:shd w:val="clear" w:color="auto" w:fill="D9D9D9" w:themeFill="background1" w:themeFillShade="D9"/>
          </w:tcPr>
          <w:p w14:paraId="5F15E76C" w14:textId="77777777" w:rsidR="008E67EA" w:rsidRDefault="008E67EA" w:rsidP="00B44A74">
            <w:pPr>
              <w:pStyle w:val="GazetteTableHeading"/>
            </w:pPr>
            <w:r>
              <w:t>Template Label</w:t>
            </w:r>
          </w:p>
        </w:tc>
      </w:tr>
      <w:tr w:rsidR="008E67EA" w14:paraId="205DA436" w14:textId="77777777" w:rsidTr="00731415">
        <w:tc>
          <w:tcPr>
            <w:tcW w:w="601" w:type="pct"/>
          </w:tcPr>
          <w:p w14:paraId="737B0E5F" w14:textId="77777777" w:rsidR="008E67EA" w:rsidRDefault="008E67EA" w:rsidP="00B44A74">
            <w:pPr>
              <w:pStyle w:val="GazetteTableText"/>
            </w:pPr>
            <w:r w:rsidRPr="00674D09">
              <w:t>33896</w:t>
            </w:r>
          </w:p>
        </w:tc>
        <w:tc>
          <w:tcPr>
            <w:tcW w:w="1382" w:type="pct"/>
          </w:tcPr>
          <w:p w14:paraId="52E33591" w14:textId="77777777" w:rsidR="008E67EA" w:rsidRPr="00B75907" w:rsidRDefault="008E67EA" w:rsidP="00B44A74">
            <w:pPr>
              <w:pStyle w:val="GazetteTableText"/>
            </w:pPr>
            <w:r w:rsidRPr="00674D09">
              <w:t>Talon Rat &amp; Mouse Killer Pellets</w:t>
            </w:r>
          </w:p>
        </w:tc>
        <w:tc>
          <w:tcPr>
            <w:tcW w:w="727" w:type="pct"/>
          </w:tcPr>
          <w:p w14:paraId="718ADA9B" w14:textId="77777777" w:rsidR="008E67EA" w:rsidRDefault="008E67EA" w:rsidP="00B44A74">
            <w:pPr>
              <w:pStyle w:val="GazetteTableText"/>
            </w:pPr>
            <w:r>
              <w:t>B</w:t>
            </w:r>
            <w:r w:rsidRPr="00001A49">
              <w:t>rodifacoum</w:t>
            </w:r>
          </w:p>
        </w:tc>
        <w:tc>
          <w:tcPr>
            <w:tcW w:w="822" w:type="pct"/>
          </w:tcPr>
          <w:p w14:paraId="76F171D4" w14:textId="77777777" w:rsidR="008E67EA" w:rsidRDefault="008E67EA" w:rsidP="00B44A74">
            <w:pPr>
              <w:pStyle w:val="GazetteTableText"/>
            </w:pPr>
            <w:r w:rsidRPr="00AA105E">
              <w:t>Commercial</w:t>
            </w:r>
          </w:p>
        </w:tc>
        <w:tc>
          <w:tcPr>
            <w:tcW w:w="970" w:type="pct"/>
          </w:tcPr>
          <w:p w14:paraId="27A8C63B" w14:textId="77777777" w:rsidR="008E67EA" w:rsidRPr="004C07C1" w:rsidRDefault="008E67EA" w:rsidP="00B44A74">
            <w:pPr>
              <w:pStyle w:val="GazetteTableText"/>
            </w:pPr>
            <w:r w:rsidRPr="004C07C1">
              <w:t>RB 0.05 g/kg or less in pellet formulation</w:t>
            </w:r>
          </w:p>
        </w:tc>
        <w:tc>
          <w:tcPr>
            <w:tcW w:w="498" w:type="pct"/>
          </w:tcPr>
          <w:p w14:paraId="10C994C9" w14:textId="77777777" w:rsidR="008E67EA" w:rsidRDefault="008E67EA" w:rsidP="00B44A74">
            <w:pPr>
              <w:pStyle w:val="GazetteTableText"/>
            </w:pPr>
            <w:r w:rsidRPr="00310CEC">
              <w:t xml:space="preserve">3a </w:t>
            </w:r>
          </w:p>
        </w:tc>
      </w:tr>
      <w:tr w:rsidR="008E67EA" w14:paraId="13560DD9" w14:textId="77777777" w:rsidTr="00731415">
        <w:tc>
          <w:tcPr>
            <w:tcW w:w="601" w:type="pct"/>
          </w:tcPr>
          <w:p w14:paraId="43716024" w14:textId="77777777" w:rsidR="008E67EA" w:rsidRDefault="008E67EA" w:rsidP="00B44A74">
            <w:pPr>
              <w:pStyle w:val="GazetteTableText"/>
            </w:pPr>
            <w:r w:rsidRPr="00674D09">
              <w:t>49867</w:t>
            </w:r>
          </w:p>
        </w:tc>
        <w:tc>
          <w:tcPr>
            <w:tcW w:w="1382" w:type="pct"/>
          </w:tcPr>
          <w:p w14:paraId="6F822B94" w14:textId="77777777" w:rsidR="008E67EA" w:rsidRPr="00B75907" w:rsidRDefault="008E67EA" w:rsidP="00B44A74">
            <w:pPr>
              <w:pStyle w:val="GazetteTableText"/>
            </w:pPr>
            <w:r w:rsidRPr="00674D09">
              <w:t>Ditrac All Weather Blox Rodenticide</w:t>
            </w:r>
          </w:p>
        </w:tc>
        <w:tc>
          <w:tcPr>
            <w:tcW w:w="727" w:type="pct"/>
          </w:tcPr>
          <w:p w14:paraId="6FCEB92F" w14:textId="77777777" w:rsidR="008E67EA" w:rsidRDefault="008E67EA" w:rsidP="00B44A74">
            <w:pPr>
              <w:pStyle w:val="GazetteTableText"/>
            </w:pPr>
            <w:r w:rsidRPr="009A4983">
              <w:t>Brodifacoum</w:t>
            </w:r>
          </w:p>
        </w:tc>
        <w:tc>
          <w:tcPr>
            <w:tcW w:w="822" w:type="pct"/>
          </w:tcPr>
          <w:p w14:paraId="68A339FB" w14:textId="77777777" w:rsidR="008E67EA" w:rsidRDefault="008E67EA" w:rsidP="00B44A74">
            <w:pPr>
              <w:pStyle w:val="GazetteTableText"/>
            </w:pPr>
            <w:r w:rsidRPr="00AA105E">
              <w:t>Commercial</w:t>
            </w:r>
          </w:p>
        </w:tc>
        <w:tc>
          <w:tcPr>
            <w:tcW w:w="970" w:type="pct"/>
          </w:tcPr>
          <w:p w14:paraId="58F44067" w14:textId="77777777" w:rsidR="008E67EA" w:rsidRDefault="008E67EA" w:rsidP="00B44A74">
            <w:pPr>
              <w:pStyle w:val="GazetteTableText"/>
            </w:pPr>
            <w:r w:rsidRPr="00AA105E">
              <w:t>RB 0.05 g/kg or less in block formulation</w:t>
            </w:r>
          </w:p>
        </w:tc>
        <w:tc>
          <w:tcPr>
            <w:tcW w:w="498" w:type="pct"/>
          </w:tcPr>
          <w:p w14:paraId="2D5790AD" w14:textId="77777777" w:rsidR="008E67EA" w:rsidRDefault="008E67EA" w:rsidP="00B44A74">
            <w:pPr>
              <w:pStyle w:val="GazetteTableText"/>
            </w:pPr>
            <w:r w:rsidRPr="00310CEC">
              <w:t>1c</w:t>
            </w:r>
          </w:p>
        </w:tc>
      </w:tr>
      <w:tr w:rsidR="008E67EA" w14:paraId="6FC6A4EA" w14:textId="77777777" w:rsidTr="00731415">
        <w:tc>
          <w:tcPr>
            <w:tcW w:w="601" w:type="pct"/>
          </w:tcPr>
          <w:p w14:paraId="675DFEDE" w14:textId="77777777" w:rsidR="008E67EA" w:rsidRDefault="008E67EA" w:rsidP="00B44A74">
            <w:pPr>
              <w:pStyle w:val="GazetteTableText"/>
            </w:pPr>
            <w:r w:rsidRPr="00674D09">
              <w:t>49868</w:t>
            </w:r>
          </w:p>
        </w:tc>
        <w:tc>
          <w:tcPr>
            <w:tcW w:w="1382" w:type="pct"/>
          </w:tcPr>
          <w:p w14:paraId="1C077DF7" w14:textId="77777777" w:rsidR="008E67EA" w:rsidRPr="00B75907" w:rsidRDefault="008E67EA" w:rsidP="00B44A74">
            <w:pPr>
              <w:pStyle w:val="GazetteTableText"/>
            </w:pPr>
            <w:r w:rsidRPr="00674D09">
              <w:t>Ditrac Rodenticide</w:t>
            </w:r>
          </w:p>
        </w:tc>
        <w:tc>
          <w:tcPr>
            <w:tcW w:w="727" w:type="pct"/>
          </w:tcPr>
          <w:p w14:paraId="6678351C" w14:textId="77777777" w:rsidR="008E67EA" w:rsidRDefault="008E67EA" w:rsidP="00B44A74">
            <w:pPr>
              <w:pStyle w:val="GazetteTableText"/>
            </w:pPr>
            <w:r w:rsidRPr="009A4983">
              <w:t>Brodifacoum</w:t>
            </w:r>
          </w:p>
        </w:tc>
        <w:tc>
          <w:tcPr>
            <w:tcW w:w="822" w:type="pct"/>
          </w:tcPr>
          <w:p w14:paraId="2C9A5ED8" w14:textId="77777777" w:rsidR="008E67EA" w:rsidRDefault="008E67EA" w:rsidP="00B44A74">
            <w:pPr>
              <w:pStyle w:val="GazetteTableText"/>
            </w:pPr>
            <w:r w:rsidRPr="00AA105E">
              <w:t>Commercial</w:t>
            </w:r>
          </w:p>
        </w:tc>
        <w:tc>
          <w:tcPr>
            <w:tcW w:w="970" w:type="pct"/>
          </w:tcPr>
          <w:p w14:paraId="39355EFC" w14:textId="77777777" w:rsidR="008E67EA" w:rsidRDefault="008E67EA" w:rsidP="00B44A74">
            <w:pPr>
              <w:pStyle w:val="GazetteTableText"/>
            </w:pPr>
            <w:r w:rsidRPr="004C07C1">
              <w:t>RB 0.05 g/kg or less in pellet formulation</w:t>
            </w:r>
          </w:p>
        </w:tc>
        <w:tc>
          <w:tcPr>
            <w:tcW w:w="498" w:type="pct"/>
          </w:tcPr>
          <w:p w14:paraId="4F89AD35" w14:textId="77777777" w:rsidR="008E67EA" w:rsidRDefault="008E67EA" w:rsidP="00B44A74">
            <w:pPr>
              <w:pStyle w:val="GazetteTableText"/>
            </w:pPr>
            <w:r w:rsidRPr="00310CEC">
              <w:t>3b</w:t>
            </w:r>
          </w:p>
        </w:tc>
      </w:tr>
      <w:tr w:rsidR="008E67EA" w14:paraId="37F1BC83" w14:textId="77777777" w:rsidTr="00731415">
        <w:tc>
          <w:tcPr>
            <w:tcW w:w="601" w:type="pct"/>
          </w:tcPr>
          <w:p w14:paraId="32B19CF8" w14:textId="77777777" w:rsidR="008E67EA" w:rsidRDefault="008E67EA" w:rsidP="00B44A74">
            <w:pPr>
              <w:pStyle w:val="GazetteTableText"/>
            </w:pPr>
            <w:r w:rsidRPr="00674D09">
              <w:t>50697</w:t>
            </w:r>
          </w:p>
        </w:tc>
        <w:tc>
          <w:tcPr>
            <w:tcW w:w="1382" w:type="pct"/>
          </w:tcPr>
          <w:p w14:paraId="62DFA897" w14:textId="77777777" w:rsidR="008E67EA" w:rsidRPr="00B75907" w:rsidRDefault="008E67EA" w:rsidP="00B44A74">
            <w:pPr>
              <w:pStyle w:val="GazetteTableText"/>
            </w:pPr>
            <w:r w:rsidRPr="00674D09">
              <w:t>Tomcat I</w:t>
            </w:r>
            <w:r>
              <w:t>I</w:t>
            </w:r>
            <w:r w:rsidRPr="00674D09">
              <w:t xml:space="preserve"> All Weather Blox Rodenticide</w:t>
            </w:r>
          </w:p>
        </w:tc>
        <w:tc>
          <w:tcPr>
            <w:tcW w:w="727" w:type="pct"/>
          </w:tcPr>
          <w:p w14:paraId="3953822C" w14:textId="77777777" w:rsidR="008E67EA" w:rsidRDefault="008E67EA" w:rsidP="00B44A74">
            <w:pPr>
              <w:pStyle w:val="GazetteTableText"/>
            </w:pPr>
            <w:r w:rsidRPr="009A4983">
              <w:t>Brodifacoum</w:t>
            </w:r>
          </w:p>
        </w:tc>
        <w:tc>
          <w:tcPr>
            <w:tcW w:w="822" w:type="pct"/>
          </w:tcPr>
          <w:p w14:paraId="53B5993E" w14:textId="77777777" w:rsidR="008E67EA" w:rsidRDefault="008E67EA" w:rsidP="00B44A74">
            <w:pPr>
              <w:pStyle w:val="GazetteTableText"/>
            </w:pPr>
            <w:r w:rsidRPr="00AA105E">
              <w:t>Commercial</w:t>
            </w:r>
          </w:p>
        </w:tc>
        <w:tc>
          <w:tcPr>
            <w:tcW w:w="970" w:type="pct"/>
          </w:tcPr>
          <w:p w14:paraId="78C4AF65" w14:textId="77777777" w:rsidR="008E67EA" w:rsidRDefault="008E67EA" w:rsidP="00B44A74">
            <w:pPr>
              <w:pStyle w:val="GazetteTableText"/>
            </w:pPr>
            <w:r w:rsidRPr="00AA105E">
              <w:t>RB 0.05 g/kg or less in block formulation</w:t>
            </w:r>
          </w:p>
        </w:tc>
        <w:tc>
          <w:tcPr>
            <w:tcW w:w="498" w:type="pct"/>
          </w:tcPr>
          <w:p w14:paraId="2C89A7A9" w14:textId="77777777" w:rsidR="008E67EA" w:rsidRDefault="008E67EA" w:rsidP="00B44A74">
            <w:pPr>
              <w:pStyle w:val="GazetteTableText"/>
            </w:pPr>
            <w:r w:rsidRPr="00310CEC">
              <w:t>1c</w:t>
            </w:r>
          </w:p>
        </w:tc>
      </w:tr>
      <w:tr w:rsidR="008E67EA" w14:paraId="5672212F" w14:textId="77777777" w:rsidTr="00731415">
        <w:tc>
          <w:tcPr>
            <w:tcW w:w="601" w:type="pct"/>
          </w:tcPr>
          <w:p w14:paraId="4FD9B752" w14:textId="77777777" w:rsidR="008E67EA" w:rsidRDefault="008E67EA" w:rsidP="00B44A74">
            <w:pPr>
              <w:pStyle w:val="GazetteTableText"/>
            </w:pPr>
            <w:r w:rsidRPr="00674D09">
              <w:t>51181</w:t>
            </w:r>
          </w:p>
        </w:tc>
        <w:tc>
          <w:tcPr>
            <w:tcW w:w="1382" w:type="pct"/>
          </w:tcPr>
          <w:p w14:paraId="6E5A946F" w14:textId="77777777" w:rsidR="008E67EA" w:rsidRPr="00B75907" w:rsidRDefault="008E67EA" w:rsidP="00B44A74">
            <w:pPr>
              <w:pStyle w:val="GazetteTableText"/>
            </w:pPr>
            <w:r w:rsidRPr="00674D09">
              <w:t>Pestmaster Mouse &amp; Rat Bait</w:t>
            </w:r>
          </w:p>
        </w:tc>
        <w:tc>
          <w:tcPr>
            <w:tcW w:w="727" w:type="pct"/>
          </w:tcPr>
          <w:p w14:paraId="23FD69C0" w14:textId="77777777" w:rsidR="008E67EA" w:rsidRDefault="008E67EA" w:rsidP="00B44A74">
            <w:pPr>
              <w:pStyle w:val="GazetteTableText"/>
            </w:pPr>
            <w:r w:rsidRPr="009A4983">
              <w:t>Brodifacoum</w:t>
            </w:r>
          </w:p>
        </w:tc>
        <w:tc>
          <w:tcPr>
            <w:tcW w:w="822" w:type="pct"/>
          </w:tcPr>
          <w:p w14:paraId="4BCEB54E" w14:textId="77777777" w:rsidR="008E67EA" w:rsidRDefault="008E67EA" w:rsidP="00B44A74">
            <w:pPr>
              <w:pStyle w:val="GazetteTableText"/>
            </w:pPr>
            <w:r w:rsidRPr="00AA105E">
              <w:t>Commercial</w:t>
            </w:r>
          </w:p>
        </w:tc>
        <w:tc>
          <w:tcPr>
            <w:tcW w:w="970" w:type="pct"/>
          </w:tcPr>
          <w:p w14:paraId="540E40E9" w14:textId="77777777" w:rsidR="008E67EA" w:rsidRDefault="008E67EA" w:rsidP="00B44A74">
            <w:pPr>
              <w:pStyle w:val="GazetteTableText"/>
            </w:pPr>
            <w:r w:rsidRPr="004C07C1">
              <w:t>RB 0.05 g/kg or less in pellet formulation</w:t>
            </w:r>
          </w:p>
        </w:tc>
        <w:tc>
          <w:tcPr>
            <w:tcW w:w="498" w:type="pct"/>
          </w:tcPr>
          <w:p w14:paraId="41DD00BD" w14:textId="77777777" w:rsidR="008E67EA" w:rsidRDefault="008E67EA" w:rsidP="00B44A74">
            <w:pPr>
              <w:pStyle w:val="GazetteTableText"/>
            </w:pPr>
            <w:r w:rsidRPr="00310CEC">
              <w:t>3b</w:t>
            </w:r>
          </w:p>
        </w:tc>
      </w:tr>
      <w:tr w:rsidR="008E67EA" w14:paraId="1098D70A" w14:textId="77777777" w:rsidTr="00731415">
        <w:tc>
          <w:tcPr>
            <w:tcW w:w="601" w:type="pct"/>
          </w:tcPr>
          <w:p w14:paraId="736FEFB2" w14:textId="77777777" w:rsidR="008E67EA" w:rsidRDefault="008E67EA" w:rsidP="00B44A74">
            <w:pPr>
              <w:pStyle w:val="GazetteTableText"/>
            </w:pPr>
            <w:r w:rsidRPr="00674D09">
              <w:t>51280</w:t>
            </w:r>
          </w:p>
        </w:tc>
        <w:tc>
          <w:tcPr>
            <w:tcW w:w="1382" w:type="pct"/>
          </w:tcPr>
          <w:p w14:paraId="284B87E3" w14:textId="77777777" w:rsidR="008E67EA" w:rsidRPr="00B75907" w:rsidRDefault="008E67EA" w:rsidP="00B44A74">
            <w:pPr>
              <w:pStyle w:val="GazetteTableText"/>
            </w:pPr>
            <w:r w:rsidRPr="00674D09">
              <w:t>Tomcat I</w:t>
            </w:r>
            <w:r>
              <w:t>I</w:t>
            </w:r>
            <w:r w:rsidRPr="00674D09">
              <w:t xml:space="preserve"> Rodenticide</w:t>
            </w:r>
          </w:p>
        </w:tc>
        <w:tc>
          <w:tcPr>
            <w:tcW w:w="727" w:type="pct"/>
          </w:tcPr>
          <w:p w14:paraId="74A8CBA1" w14:textId="77777777" w:rsidR="008E67EA" w:rsidRDefault="008E67EA" w:rsidP="00B44A74">
            <w:pPr>
              <w:pStyle w:val="GazetteTableText"/>
            </w:pPr>
            <w:r w:rsidRPr="009A4983">
              <w:t>Brodifacoum</w:t>
            </w:r>
          </w:p>
        </w:tc>
        <w:tc>
          <w:tcPr>
            <w:tcW w:w="822" w:type="pct"/>
          </w:tcPr>
          <w:p w14:paraId="0A98DA39" w14:textId="77777777" w:rsidR="008E67EA" w:rsidRDefault="008E67EA" w:rsidP="00B44A74">
            <w:pPr>
              <w:pStyle w:val="GazetteTableText"/>
            </w:pPr>
            <w:r w:rsidRPr="00AA105E">
              <w:t>Commercial</w:t>
            </w:r>
          </w:p>
        </w:tc>
        <w:tc>
          <w:tcPr>
            <w:tcW w:w="970" w:type="pct"/>
          </w:tcPr>
          <w:p w14:paraId="24F88491" w14:textId="77777777" w:rsidR="008E67EA" w:rsidRDefault="008E67EA" w:rsidP="00B44A74">
            <w:pPr>
              <w:pStyle w:val="GazetteTableText"/>
            </w:pPr>
            <w:r w:rsidRPr="004C07C1">
              <w:t>RB 0.05 g/kg or less in pellet formulation</w:t>
            </w:r>
          </w:p>
        </w:tc>
        <w:tc>
          <w:tcPr>
            <w:tcW w:w="498" w:type="pct"/>
          </w:tcPr>
          <w:p w14:paraId="6D026991" w14:textId="77777777" w:rsidR="008E67EA" w:rsidRDefault="008E67EA" w:rsidP="00B44A74">
            <w:pPr>
              <w:pStyle w:val="GazetteTableText"/>
            </w:pPr>
            <w:r w:rsidRPr="00310CEC">
              <w:t>3b</w:t>
            </w:r>
          </w:p>
        </w:tc>
      </w:tr>
      <w:tr w:rsidR="008E67EA" w14:paraId="3EEC0517" w14:textId="77777777" w:rsidTr="00731415">
        <w:tc>
          <w:tcPr>
            <w:tcW w:w="601" w:type="pct"/>
          </w:tcPr>
          <w:p w14:paraId="527E5BBF" w14:textId="77777777" w:rsidR="008E67EA" w:rsidRDefault="008E67EA" w:rsidP="00B44A74">
            <w:pPr>
              <w:pStyle w:val="GazetteTableText"/>
            </w:pPr>
            <w:r w:rsidRPr="00674D09">
              <w:t>52675</w:t>
            </w:r>
          </w:p>
        </w:tc>
        <w:tc>
          <w:tcPr>
            <w:tcW w:w="1382" w:type="pct"/>
          </w:tcPr>
          <w:p w14:paraId="5492824E" w14:textId="77777777" w:rsidR="008E67EA" w:rsidRPr="00B75907" w:rsidRDefault="008E67EA" w:rsidP="00B44A74">
            <w:pPr>
              <w:pStyle w:val="GazetteTableText"/>
            </w:pPr>
            <w:r w:rsidRPr="00674D09">
              <w:t>Talon Rat &amp; Mouse Killer All Weather Wax Blocks</w:t>
            </w:r>
          </w:p>
        </w:tc>
        <w:tc>
          <w:tcPr>
            <w:tcW w:w="727" w:type="pct"/>
          </w:tcPr>
          <w:p w14:paraId="139DD4F6" w14:textId="77777777" w:rsidR="008E67EA" w:rsidRDefault="008E67EA" w:rsidP="00B44A74">
            <w:pPr>
              <w:pStyle w:val="GazetteTableText"/>
            </w:pPr>
            <w:r w:rsidRPr="009A4983">
              <w:t>Brodifacoum</w:t>
            </w:r>
          </w:p>
        </w:tc>
        <w:tc>
          <w:tcPr>
            <w:tcW w:w="822" w:type="pct"/>
          </w:tcPr>
          <w:p w14:paraId="28FFA70D" w14:textId="77777777" w:rsidR="008E67EA" w:rsidRDefault="008E67EA" w:rsidP="00B44A74">
            <w:pPr>
              <w:pStyle w:val="GazetteTableText"/>
            </w:pPr>
            <w:r w:rsidRPr="00AA105E">
              <w:t>Commercial</w:t>
            </w:r>
          </w:p>
        </w:tc>
        <w:tc>
          <w:tcPr>
            <w:tcW w:w="970" w:type="pct"/>
          </w:tcPr>
          <w:p w14:paraId="72B874B6" w14:textId="77777777" w:rsidR="008E67EA" w:rsidRDefault="008E67EA" w:rsidP="00B44A74">
            <w:pPr>
              <w:pStyle w:val="GazetteTableText"/>
            </w:pPr>
            <w:r w:rsidRPr="00AA105E">
              <w:t>RB 0.05 g/kg or less in block formulation</w:t>
            </w:r>
          </w:p>
        </w:tc>
        <w:tc>
          <w:tcPr>
            <w:tcW w:w="498" w:type="pct"/>
          </w:tcPr>
          <w:p w14:paraId="296265E7" w14:textId="77777777" w:rsidR="008E67EA" w:rsidRDefault="008E67EA" w:rsidP="00B44A74">
            <w:pPr>
              <w:pStyle w:val="GazetteTableText"/>
            </w:pPr>
            <w:r w:rsidRPr="00310CEC">
              <w:t>1a</w:t>
            </w:r>
          </w:p>
        </w:tc>
      </w:tr>
      <w:tr w:rsidR="008E67EA" w14:paraId="4C5EB34B" w14:textId="77777777" w:rsidTr="00731415">
        <w:tc>
          <w:tcPr>
            <w:tcW w:w="601" w:type="pct"/>
          </w:tcPr>
          <w:p w14:paraId="7F8C29B4" w14:textId="77777777" w:rsidR="008E67EA" w:rsidRDefault="008E67EA" w:rsidP="00B44A74">
            <w:pPr>
              <w:pStyle w:val="GazetteTableText"/>
            </w:pPr>
            <w:r w:rsidRPr="00674D09">
              <w:t>54836</w:t>
            </w:r>
          </w:p>
        </w:tc>
        <w:tc>
          <w:tcPr>
            <w:tcW w:w="1382" w:type="pct"/>
          </w:tcPr>
          <w:p w14:paraId="3F28E33D" w14:textId="77777777" w:rsidR="008E67EA" w:rsidRPr="00B75907" w:rsidRDefault="008E67EA" w:rsidP="00B44A74">
            <w:pPr>
              <w:pStyle w:val="GazetteTableText"/>
            </w:pPr>
            <w:r w:rsidRPr="00674D09">
              <w:t>Fast Action Ratsak Bait Station Kills Rats and Mice</w:t>
            </w:r>
          </w:p>
        </w:tc>
        <w:tc>
          <w:tcPr>
            <w:tcW w:w="727" w:type="pct"/>
          </w:tcPr>
          <w:p w14:paraId="1EA276F3" w14:textId="77777777" w:rsidR="008E67EA" w:rsidRDefault="008E67EA" w:rsidP="00B44A74">
            <w:pPr>
              <w:pStyle w:val="GazetteTableText"/>
            </w:pPr>
            <w:r w:rsidRPr="009A4983">
              <w:t>Brodifacoum</w:t>
            </w:r>
          </w:p>
        </w:tc>
        <w:tc>
          <w:tcPr>
            <w:tcW w:w="822" w:type="pct"/>
          </w:tcPr>
          <w:p w14:paraId="59BA0F4F" w14:textId="77777777" w:rsidR="008E67EA" w:rsidRDefault="008E67EA" w:rsidP="00B44A74">
            <w:pPr>
              <w:pStyle w:val="GazetteTableText"/>
            </w:pPr>
            <w:r>
              <w:t>Domestic</w:t>
            </w:r>
          </w:p>
        </w:tc>
        <w:tc>
          <w:tcPr>
            <w:tcW w:w="970" w:type="pct"/>
          </w:tcPr>
          <w:p w14:paraId="51EA2B08" w14:textId="77777777" w:rsidR="008E67EA" w:rsidRDefault="008E67EA" w:rsidP="00B44A74">
            <w:pPr>
              <w:pStyle w:val="GazetteTableText"/>
            </w:pPr>
            <w:r w:rsidRPr="00AA105E">
              <w:t>RB 0.05 g/kg or less in sachet or place pack</w:t>
            </w:r>
          </w:p>
        </w:tc>
        <w:tc>
          <w:tcPr>
            <w:tcW w:w="498" w:type="pct"/>
          </w:tcPr>
          <w:p w14:paraId="1F81A9E0" w14:textId="77777777" w:rsidR="008E67EA" w:rsidRDefault="008E67EA" w:rsidP="00B44A74">
            <w:pPr>
              <w:pStyle w:val="GazetteTableText"/>
            </w:pPr>
            <w:r w:rsidRPr="00FF66FF">
              <w:t>7a</w:t>
            </w:r>
          </w:p>
        </w:tc>
      </w:tr>
      <w:tr w:rsidR="008E67EA" w14:paraId="2373DEC0" w14:textId="77777777" w:rsidTr="00731415">
        <w:tc>
          <w:tcPr>
            <w:tcW w:w="601" w:type="pct"/>
          </w:tcPr>
          <w:p w14:paraId="68111192" w14:textId="77777777" w:rsidR="008E67EA" w:rsidRDefault="008E67EA" w:rsidP="00B44A74">
            <w:pPr>
              <w:pStyle w:val="GazetteTableText"/>
            </w:pPr>
            <w:r w:rsidRPr="00674D09">
              <w:t>54839</w:t>
            </w:r>
          </w:p>
        </w:tc>
        <w:tc>
          <w:tcPr>
            <w:tcW w:w="1382" w:type="pct"/>
          </w:tcPr>
          <w:p w14:paraId="71DBF942" w14:textId="77777777" w:rsidR="008E67EA" w:rsidRPr="00B75907" w:rsidRDefault="008E67EA" w:rsidP="00B44A74">
            <w:pPr>
              <w:pStyle w:val="GazetteTableText"/>
            </w:pPr>
            <w:r w:rsidRPr="00674D09">
              <w:t>Rentokil Brodifacoum Paste</w:t>
            </w:r>
          </w:p>
        </w:tc>
        <w:tc>
          <w:tcPr>
            <w:tcW w:w="727" w:type="pct"/>
          </w:tcPr>
          <w:p w14:paraId="1EF65669" w14:textId="77777777" w:rsidR="008E67EA" w:rsidRDefault="008E67EA" w:rsidP="00B44A74">
            <w:pPr>
              <w:pStyle w:val="GazetteTableText"/>
            </w:pPr>
            <w:r w:rsidRPr="009A4983">
              <w:t>Brodifacoum</w:t>
            </w:r>
          </w:p>
        </w:tc>
        <w:tc>
          <w:tcPr>
            <w:tcW w:w="822" w:type="pct"/>
          </w:tcPr>
          <w:p w14:paraId="6B5DB051" w14:textId="77777777" w:rsidR="008E67EA" w:rsidRDefault="008E67EA" w:rsidP="00B44A74">
            <w:pPr>
              <w:pStyle w:val="GazetteTableText"/>
            </w:pPr>
            <w:r w:rsidRPr="00AA105E">
              <w:t>Commercial</w:t>
            </w:r>
          </w:p>
        </w:tc>
        <w:tc>
          <w:tcPr>
            <w:tcW w:w="970" w:type="pct"/>
          </w:tcPr>
          <w:p w14:paraId="0441F9C8" w14:textId="77777777" w:rsidR="008E67EA" w:rsidRDefault="008E67EA" w:rsidP="00B44A74">
            <w:pPr>
              <w:pStyle w:val="GazetteTableText"/>
            </w:pPr>
            <w:r>
              <w:rPr>
                <w:color w:val="000000" w:themeColor="text1"/>
              </w:rPr>
              <w:t>RB</w:t>
            </w:r>
            <w:r w:rsidRPr="00D65344">
              <w:rPr>
                <w:color w:val="000000" w:themeColor="text1"/>
              </w:rPr>
              <w:t xml:space="preserve"> 0.05 g/kg or less as a paste in caulking gun</w:t>
            </w:r>
          </w:p>
        </w:tc>
        <w:tc>
          <w:tcPr>
            <w:tcW w:w="498" w:type="pct"/>
          </w:tcPr>
          <w:p w14:paraId="721825ED" w14:textId="77777777" w:rsidR="008E67EA" w:rsidRDefault="008E67EA" w:rsidP="00B44A74">
            <w:pPr>
              <w:pStyle w:val="GazetteTableText"/>
            </w:pPr>
            <w:r w:rsidRPr="00310CEC">
              <w:t>2b</w:t>
            </w:r>
          </w:p>
        </w:tc>
      </w:tr>
      <w:tr w:rsidR="008E67EA" w14:paraId="3B641E0C" w14:textId="77777777" w:rsidTr="00731415">
        <w:tc>
          <w:tcPr>
            <w:tcW w:w="601" w:type="pct"/>
          </w:tcPr>
          <w:p w14:paraId="2F3523B9" w14:textId="77777777" w:rsidR="008E67EA" w:rsidRDefault="008E67EA" w:rsidP="00B44A74">
            <w:pPr>
              <w:pStyle w:val="GazetteTableText"/>
            </w:pPr>
            <w:r w:rsidRPr="00674D09">
              <w:t>56632</w:t>
            </w:r>
          </w:p>
        </w:tc>
        <w:tc>
          <w:tcPr>
            <w:tcW w:w="1382" w:type="pct"/>
          </w:tcPr>
          <w:p w14:paraId="24A83DFC" w14:textId="77777777" w:rsidR="008E67EA" w:rsidRPr="00B75907" w:rsidRDefault="008E67EA" w:rsidP="00B44A74">
            <w:pPr>
              <w:pStyle w:val="GazetteTableText"/>
            </w:pPr>
            <w:r w:rsidRPr="00674D09">
              <w:t>Fast Action Ratsak Throwpacks Kills Rats &amp; Mice</w:t>
            </w:r>
          </w:p>
        </w:tc>
        <w:tc>
          <w:tcPr>
            <w:tcW w:w="727" w:type="pct"/>
          </w:tcPr>
          <w:p w14:paraId="655EB4DA" w14:textId="77777777" w:rsidR="008E67EA" w:rsidRDefault="008E67EA" w:rsidP="00B44A74">
            <w:pPr>
              <w:pStyle w:val="GazetteTableText"/>
            </w:pPr>
            <w:r w:rsidRPr="009A4983">
              <w:t>Brodifacoum</w:t>
            </w:r>
          </w:p>
        </w:tc>
        <w:tc>
          <w:tcPr>
            <w:tcW w:w="822" w:type="pct"/>
          </w:tcPr>
          <w:p w14:paraId="7D4CF3E5" w14:textId="77777777" w:rsidR="008E67EA" w:rsidRDefault="008E67EA" w:rsidP="00B44A74">
            <w:pPr>
              <w:pStyle w:val="GazetteTableText"/>
            </w:pPr>
            <w:r>
              <w:t>Domestic</w:t>
            </w:r>
          </w:p>
        </w:tc>
        <w:tc>
          <w:tcPr>
            <w:tcW w:w="970" w:type="pct"/>
          </w:tcPr>
          <w:p w14:paraId="0C359D31" w14:textId="77777777" w:rsidR="008E67EA" w:rsidRDefault="008E67EA" w:rsidP="00B44A74">
            <w:pPr>
              <w:pStyle w:val="GazetteTableText"/>
            </w:pPr>
            <w:r w:rsidRPr="00AA105E">
              <w:t>RB 0.05 g/kg or less in sachet or place pack</w:t>
            </w:r>
          </w:p>
        </w:tc>
        <w:tc>
          <w:tcPr>
            <w:tcW w:w="498" w:type="pct"/>
          </w:tcPr>
          <w:p w14:paraId="7FDC2428" w14:textId="77777777" w:rsidR="008E67EA" w:rsidRDefault="008E67EA" w:rsidP="00B44A74">
            <w:pPr>
              <w:pStyle w:val="GazetteTableText"/>
            </w:pPr>
            <w:r w:rsidRPr="00FF66FF">
              <w:t>7a</w:t>
            </w:r>
          </w:p>
        </w:tc>
      </w:tr>
      <w:tr w:rsidR="008E67EA" w14:paraId="51563A86" w14:textId="77777777" w:rsidTr="00731415">
        <w:tc>
          <w:tcPr>
            <w:tcW w:w="601" w:type="pct"/>
          </w:tcPr>
          <w:p w14:paraId="0AE19498" w14:textId="77777777" w:rsidR="008E67EA" w:rsidRDefault="008E67EA" w:rsidP="00B44A74">
            <w:pPr>
              <w:pStyle w:val="GazetteTableText"/>
            </w:pPr>
            <w:r w:rsidRPr="00674D09">
              <w:t>58301</w:t>
            </w:r>
          </w:p>
        </w:tc>
        <w:tc>
          <w:tcPr>
            <w:tcW w:w="1382" w:type="pct"/>
          </w:tcPr>
          <w:p w14:paraId="0B0E43B8" w14:textId="77777777" w:rsidR="008E67EA" w:rsidRPr="00B75907" w:rsidRDefault="008E67EA" w:rsidP="00B44A74">
            <w:pPr>
              <w:pStyle w:val="GazetteTableText"/>
            </w:pPr>
            <w:r w:rsidRPr="00674D09">
              <w:t>Talon Rat &amp; Mouse Killer Ezy Throw Pellets</w:t>
            </w:r>
          </w:p>
        </w:tc>
        <w:tc>
          <w:tcPr>
            <w:tcW w:w="727" w:type="pct"/>
          </w:tcPr>
          <w:p w14:paraId="3D489BAC" w14:textId="77777777" w:rsidR="008E67EA" w:rsidRDefault="008E67EA" w:rsidP="00B44A74">
            <w:pPr>
              <w:pStyle w:val="GazetteTableText"/>
            </w:pPr>
            <w:r w:rsidRPr="009A4983">
              <w:t>Brodifacoum</w:t>
            </w:r>
          </w:p>
        </w:tc>
        <w:tc>
          <w:tcPr>
            <w:tcW w:w="822" w:type="pct"/>
          </w:tcPr>
          <w:p w14:paraId="2588E74F" w14:textId="77777777" w:rsidR="008E67EA" w:rsidRDefault="008E67EA" w:rsidP="00B44A74">
            <w:pPr>
              <w:pStyle w:val="GazetteTableText"/>
            </w:pPr>
            <w:r>
              <w:t>Domestic</w:t>
            </w:r>
          </w:p>
        </w:tc>
        <w:tc>
          <w:tcPr>
            <w:tcW w:w="970" w:type="pct"/>
          </w:tcPr>
          <w:p w14:paraId="101E82AA" w14:textId="77777777" w:rsidR="008E67EA" w:rsidRDefault="008E67EA" w:rsidP="00B44A74">
            <w:pPr>
              <w:pStyle w:val="GazetteTableText"/>
            </w:pPr>
            <w:r w:rsidRPr="00AA105E">
              <w:t>RB 0.05 g/kg or less in sachet or place pack</w:t>
            </w:r>
          </w:p>
        </w:tc>
        <w:tc>
          <w:tcPr>
            <w:tcW w:w="498" w:type="pct"/>
          </w:tcPr>
          <w:p w14:paraId="7D8779BD" w14:textId="77777777" w:rsidR="008E67EA" w:rsidRDefault="008E67EA" w:rsidP="00B44A74">
            <w:pPr>
              <w:pStyle w:val="GazetteTableText"/>
            </w:pPr>
            <w:r w:rsidRPr="00FF66FF">
              <w:t>7a</w:t>
            </w:r>
          </w:p>
        </w:tc>
      </w:tr>
      <w:tr w:rsidR="008E67EA" w14:paraId="43DFC960" w14:textId="77777777" w:rsidTr="00731415">
        <w:tc>
          <w:tcPr>
            <w:tcW w:w="601" w:type="pct"/>
          </w:tcPr>
          <w:p w14:paraId="7410120D" w14:textId="77777777" w:rsidR="008E67EA" w:rsidRDefault="008E67EA" w:rsidP="00B44A74">
            <w:pPr>
              <w:pStyle w:val="GazetteTableText"/>
            </w:pPr>
            <w:r w:rsidRPr="00674D09">
              <w:t>58338</w:t>
            </w:r>
          </w:p>
        </w:tc>
        <w:tc>
          <w:tcPr>
            <w:tcW w:w="1382" w:type="pct"/>
          </w:tcPr>
          <w:p w14:paraId="279161BA" w14:textId="77777777" w:rsidR="008E67EA" w:rsidRPr="00B75907" w:rsidRDefault="008E67EA" w:rsidP="00B44A74">
            <w:pPr>
              <w:pStyle w:val="GazetteTableText"/>
            </w:pPr>
            <w:r w:rsidRPr="00674D09">
              <w:t>Talon Rat &amp; Mouse Killer Pellet Trays</w:t>
            </w:r>
          </w:p>
        </w:tc>
        <w:tc>
          <w:tcPr>
            <w:tcW w:w="727" w:type="pct"/>
          </w:tcPr>
          <w:p w14:paraId="0F5EF0B8" w14:textId="77777777" w:rsidR="008E67EA" w:rsidRDefault="008E67EA" w:rsidP="00B44A74">
            <w:pPr>
              <w:pStyle w:val="GazetteTableText"/>
            </w:pPr>
            <w:r w:rsidRPr="009A4983">
              <w:t>Brodifacoum</w:t>
            </w:r>
          </w:p>
        </w:tc>
        <w:tc>
          <w:tcPr>
            <w:tcW w:w="822" w:type="pct"/>
          </w:tcPr>
          <w:p w14:paraId="484575A5" w14:textId="77777777" w:rsidR="008E67EA" w:rsidRDefault="008E67EA" w:rsidP="00B44A74">
            <w:pPr>
              <w:pStyle w:val="GazetteTableText"/>
            </w:pPr>
            <w:r>
              <w:t>Domestic</w:t>
            </w:r>
          </w:p>
        </w:tc>
        <w:tc>
          <w:tcPr>
            <w:tcW w:w="970" w:type="pct"/>
          </w:tcPr>
          <w:p w14:paraId="2BBF1AA0" w14:textId="77777777" w:rsidR="008E67EA" w:rsidRDefault="008E67EA" w:rsidP="00B44A74">
            <w:pPr>
              <w:pStyle w:val="GazetteTableText"/>
            </w:pPr>
            <w:r w:rsidRPr="00AA105E">
              <w:t>RB 0.05 g/kg or less in sachet or place pack</w:t>
            </w:r>
          </w:p>
        </w:tc>
        <w:tc>
          <w:tcPr>
            <w:tcW w:w="498" w:type="pct"/>
          </w:tcPr>
          <w:p w14:paraId="5D6D443D" w14:textId="77777777" w:rsidR="008E67EA" w:rsidRDefault="008E67EA" w:rsidP="00B44A74">
            <w:pPr>
              <w:pStyle w:val="GazetteTableText"/>
            </w:pPr>
            <w:r w:rsidRPr="00FF66FF">
              <w:t>7a</w:t>
            </w:r>
          </w:p>
        </w:tc>
      </w:tr>
      <w:tr w:rsidR="008E67EA" w14:paraId="783FAEFC" w14:textId="77777777" w:rsidTr="00731415">
        <w:tc>
          <w:tcPr>
            <w:tcW w:w="601" w:type="pct"/>
          </w:tcPr>
          <w:p w14:paraId="7B3D5352" w14:textId="77777777" w:rsidR="008E67EA" w:rsidRDefault="008E67EA" w:rsidP="00B44A74">
            <w:pPr>
              <w:pStyle w:val="GazetteTableText"/>
            </w:pPr>
            <w:r w:rsidRPr="00674D09">
              <w:t>58339</w:t>
            </w:r>
          </w:p>
        </w:tc>
        <w:tc>
          <w:tcPr>
            <w:tcW w:w="1382" w:type="pct"/>
          </w:tcPr>
          <w:p w14:paraId="7AB25CC2" w14:textId="77777777" w:rsidR="008E67EA" w:rsidRPr="00B75907" w:rsidRDefault="008E67EA" w:rsidP="00B44A74">
            <w:pPr>
              <w:pStyle w:val="GazetteTableText"/>
            </w:pPr>
            <w:r w:rsidRPr="00674D09">
              <w:t>Talon Rat &amp; Mouse Killer Wax Blocks</w:t>
            </w:r>
          </w:p>
        </w:tc>
        <w:tc>
          <w:tcPr>
            <w:tcW w:w="727" w:type="pct"/>
          </w:tcPr>
          <w:p w14:paraId="279D74F1" w14:textId="77777777" w:rsidR="008E67EA" w:rsidRDefault="008E67EA" w:rsidP="00B44A74">
            <w:pPr>
              <w:pStyle w:val="GazetteTableText"/>
            </w:pPr>
            <w:r w:rsidRPr="009A4983">
              <w:t>Brodifacoum</w:t>
            </w:r>
          </w:p>
        </w:tc>
        <w:tc>
          <w:tcPr>
            <w:tcW w:w="822" w:type="pct"/>
          </w:tcPr>
          <w:p w14:paraId="5E9BFBC5" w14:textId="77777777" w:rsidR="008E67EA" w:rsidRDefault="008E67EA" w:rsidP="00B44A74">
            <w:pPr>
              <w:pStyle w:val="GazetteTableText"/>
            </w:pPr>
            <w:r>
              <w:t>Domestic</w:t>
            </w:r>
          </w:p>
        </w:tc>
        <w:tc>
          <w:tcPr>
            <w:tcW w:w="970" w:type="pct"/>
          </w:tcPr>
          <w:p w14:paraId="21169394" w14:textId="77777777" w:rsidR="008E67EA" w:rsidRDefault="008E67EA" w:rsidP="00B44A74">
            <w:pPr>
              <w:pStyle w:val="GazetteTableText"/>
            </w:pPr>
            <w:r w:rsidRPr="00AA105E">
              <w:t>RB 0.05 g/kg or less in block formulation</w:t>
            </w:r>
          </w:p>
        </w:tc>
        <w:tc>
          <w:tcPr>
            <w:tcW w:w="498" w:type="pct"/>
          </w:tcPr>
          <w:p w14:paraId="7A285487" w14:textId="77777777" w:rsidR="008E67EA" w:rsidRDefault="008E67EA" w:rsidP="00B44A74">
            <w:pPr>
              <w:pStyle w:val="GazetteTableText"/>
            </w:pPr>
            <w:r w:rsidRPr="003D301E">
              <w:t>5a</w:t>
            </w:r>
          </w:p>
        </w:tc>
      </w:tr>
      <w:tr w:rsidR="008E67EA" w14:paraId="37F57D7A" w14:textId="77777777" w:rsidTr="00731415">
        <w:tc>
          <w:tcPr>
            <w:tcW w:w="601" w:type="pct"/>
          </w:tcPr>
          <w:p w14:paraId="3E28E1C6" w14:textId="77777777" w:rsidR="008E67EA" w:rsidRDefault="008E67EA" w:rsidP="00B44A74">
            <w:pPr>
              <w:pStyle w:val="GazetteTableText"/>
            </w:pPr>
            <w:r w:rsidRPr="00674D09">
              <w:t>58661</w:t>
            </w:r>
          </w:p>
        </w:tc>
        <w:tc>
          <w:tcPr>
            <w:tcW w:w="1382" w:type="pct"/>
          </w:tcPr>
          <w:p w14:paraId="416A35E2" w14:textId="77777777" w:rsidR="008E67EA" w:rsidRPr="00B75907" w:rsidRDefault="008E67EA" w:rsidP="00B44A74">
            <w:pPr>
              <w:pStyle w:val="GazetteTableText"/>
            </w:pPr>
            <w:r w:rsidRPr="00674D09">
              <w:t>Mortein Kills Rats &amp; Mice and The Fleas They Carry Dual Action Bait</w:t>
            </w:r>
          </w:p>
        </w:tc>
        <w:tc>
          <w:tcPr>
            <w:tcW w:w="727" w:type="pct"/>
          </w:tcPr>
          <w:p w14:paraId="22A1E77C" w14:textId="77777777" w:rsidR="008E67EA" w:rsidRDefault="008E67EA" w:rsidP="00B44A74">
            <w:pPr>
              <w:pStyle w:val="GazetteTableText"/>
            </w:pPr>
            <w:r w:rsidRPr="009A4983">
              <w:t>Brodifacoum</w:t>
            </w:r>
            <w:r>
              <w:t>, Fipronil</w:t>
            </w:r>
          </w:p>
        </w:tc>
        <w:tc>
          <w:tcPr>
            <w:tcW w:w="822" w:type="pct"/>
          </w:tcPr>
          <w:p w14:paraId="383A455B" w14:textId="77777777" w:rsidR="008E67EA" w:rsidRDefault="008E67EA" w:rsidP="00B44A74">
            <w:pPr>
              <w:pStyle w:val="GazetteTableText"/>
            </w:pPr>
            <w:r>
              <w:t>Domestic</w:t>
            </w:r>
          </w:p>
        </w:tc>
        <w:tc>
          <w:tcPr>
            <w:tcW w:w="970" w:type="pct"/>
          </w:tcPr>
          <w:p w14:paraId="2E838E93" w14:textId="77777777" w:rsidR="008E67EA" w:rsidRPr="003B7BFC" w:rsidRDefault="008E67EA" w:rsidP="00B44A74">
            <w:pPr>
              <w:pStyle w:val="GazetteTableText"/>
            </w:pPr>
            <w:r w:rsidRPr="003B7BFC">
              <w:t>RB 0.05 g/kg or less in pellet formulation</w:t>
            </w:r>
          </w:p>
        </w:tc>
        <w:tc>
          <w:tcPr>
            <w:tcW w:w="498" w:type="pct"/>
          </w:tcPr>
          <w:p w14:paraId="08016111" w14:textId="77777777" w:rsidR="008E67EA" w:rsidRDefault="008E67EA" w:rsidP="00B44A74">
            <w:pPr>
              <w:pStyle w:val="GazetteTableText"/>
            </w:pPr>
            <w:r w:rsidRPr="00FF66FF">
              <w:t>6</w:t>
            </w:r>
          </w:p>
        </w:tc>
      </w:tr>
      <w:tr w:rsidR="008E67EA" w14:paraId="2B71A475" w14:textId="77777777" w:rsidTr="00731415">
        <w:tc>
          <w:tcPr>
            <w:tcW w:w="601" w:type="pct"/>
          </w:tcPr>
          <w:p w14:paraId="5FDB82EA" w14:textId="77777777" w:rsidR="008E67EA" w:rsidRDefault="008E67EA" w:rsidP="00B44A74">
            <w:pPr>
              <w:pStyle w:val="GazetteTableText"/>
            </w:pPr>
            <w:r w:rsidRPr="00674D09">
              <w:t>59323</w:t>
            </w:r>
          </w:p>
        </w:tc>
        <w:tc>
          <w:tcPr>
            <w:tcW w:w="1382" w:type="pct"/>
          </w:tcPr>
          <w:p w14:paraId="033A43CC" w14:textId="77777777" w:rsidR="008E67EA" w:rsidRPr="00B75907" w:rsidRDefault="008E67EA" w:rsidP="00B44A74">
            <w:pPr>
              <w:pStyle w:val="GazetteTableText"/>
            </w:pPr>
            <w:r w:rsidRPr="00674D09">
              <w:t>Talon X</w:t>
            </w:r>
            <w:r>
              <w:t>T</w:t>
            </w:r>
            <w:r w:rsidRPr="00674D09">
              <w:t xml:space="preserve"> Pro Rodenticide Wax Blocks</w:t>
            </w:r>
          </w:p>
        </w:tc>
        <w:tc>
          <w:tcPr>
            <w:tcW w:w="727" w:type="pct"/>
          </w:tcPr>
          <w:p w14:paraId="6D479517" w14:textId="77777777" w:rsidR="008E67EA" w:rsidRDefault="008E67EA" w:rsidP="00B44A74">
            <w:pPr>
              <w:pStyle w:val="GazetteTableText"/>
            </w:pPr>
            <w:r w:rsidRPr="009A4983">
              <w:t>Brodifacoum</w:t>
            </w:r>
          </w:p>
        </w:tc>
        <w:tc>
          <w:tcPr>
            <w:tcW w:w="822" w:type="pct"/>
          </w:tcPr>
          <w:p w14:paraId="6E2F8519" w14:textId="77777777" w:rsidR="008E67EA" w:rsidRDefault="008E67EA" w:rsidP="00B44A74">
            <w:pPr>
              <w:pStyle w:val="GazetteTableText"/>
            </w:pPr>
            <w:r w:rsidRPr="00AA105E">
              <w:t>Commercial</w:t>
            </w:r>
          </w:p>
        </w:tc>
        <w:tc>
          <w:tcPr>
            <w:tcW w:w="970" w:type="pct"/>
          </w:tcPr>
          <w:p w14:paraId="3011F6A9" w14:textId="77777777" w:rsidR="008E67EA" w:rsidRDefault="008E67EA" w:rsidP="00B44A74">
            <w:pPr>
              <w:pStyle w:val="GazetteTableText"/>
            </w:pPr>
            <w:r w:rsidRPr="00AA105E">
              <w:t>RB 0.05 g/kg or less in block formulation</w:t>
            </w:r>
          </w:p>
        </w:tc>
        <w:tc>
          <w:tcPr>
            <w:tcW w:w="498" w:type="pct"/>
          </w:tcPr>
          <w:p w14:paraId="3C307E7F" w14:textId="77777777" w:rsidR="008E67EA" w:rsidRDefault="008E67EA" w:rsidP="00B44A74">
            <w:pPr>
              <w:pStyle w:val="GazetteTableText"/>
            </w:pPr>
            <w:r w:rsidRPr="00310CEC">
              <w:t>1a</w:t>
            </w:r>
          </w:p>
        </w:tc>
      </w:tr>
      <w:tr w:rsidR="008E67EA" w14:paraId="3C385B87" w14:textId="77777777" w:rsidTr="00731415">
        <w:tc>
          <w:tcPr>
            <w:tcW w:w="601" w:type="pct"/>
          </w:tcPr>
          <w:p w14:paraId="41BED992" w14:textId="77777777" w:rsidR="008E67EA" w:rsidRDefault="008E67EA" w:rsidP="00B44A74">
            <w:pPr>
              <w:pStyle w:val="GazetteTableText"/>
            </w:pPr>
            <w:r w:rsidRPr="00674D09">
              <w:t>59875</w:t>
            </w:r>
          </w:p>
        </w:tc>
        <w:tc>
          <w:tcPr>
            <w:tcW w:w="1382" w:type="pct"/>
          </w:tcPr>
          <w:p w14:paraId="51AD914D" w14:textId="77777777" w:rsidR="008E67EA" w:rsidRPr="00B75907" w:rsidRDefault="008E67EA" w:rsidP="00B44A74">
            <w:pPr>
              <w:pStyle w:val="GazetteTableText"/>
            </w:pPr>
            <w:r w:rsidRPr="00674D09">
              <w:t>All Weather P</w:t>
            </w:r>
            <w:r>
              <w:t>CT</w:t>
            </w:r>
            <w:r w:rsidRPr="00674D09">
              <w:t xml:space="preserve"> First Formula Blocks Rodenticide</w:t>
            </w:r>
          </w:p>
        </w:tc>
        <w:tc>
          <w:tcPr>
            <w:tcW w:w="727" w:type="pct"/>
          </w:tcPr>
          <w:p w14:paraId="0AAC19F5" w14:textId="77777777" w:rsidR="008E67EA" w:rsidRDefault="008E67EA" w:rsidP="00B44A74">
            <w:pPr>
              <w:pStyle w:val="GazetteTableText"/>
            </w:pPr>
            <w:r w:rsidRPr="009A4983">
              <w:t>Brodifacoum</w:t>
            </w:r>
          </w:p>
        </w:tc>
        <w:tc>
          <w:tcPr>
            <w:tcW w:w="822" w:type="pct"/>
          </w:tcPr>
          <w:p w14:paraId="076C7D76" w14:textId="77777777" w:rsidR="008E67EA" w:rsidRDefault="008E67EA" w:rsidP="00B44A74">
            <w:pPr>
              <w:pStyle w:val="GazetteTableText"/>
            </w:pPr>
            <w:r w:rsidRPr="00AA105E">
              <w:t>Commercial</w:t>
            </w:r>
          </w:p>
        </w:tc>
        <w:tc>
          <w:tcPr>
            <w:tcW w:w="970" w:type="pct"/>
          </w:tcPr>
          <w:p w14:paraId="6815C6D8" w14:textId="77777777" w:rsidR="008E67EA" w:rsidRDefault="008E67EA" w:rsidP="00B44A74">
            <w:pPr>
              <w:pStyle w:val="GazetteTableText"/>
            </w:pPr>
            <w:r w:rsidRPr="00AA105E">
              <w:t>RB 0.05 g/kg or less in block formulation</w:t>
            </w:r>
          </w:p>
        </w:tc>
        <w:tc>
          <w:tcPr>
            <w:tcW w:w="498" w:type="pct"/>
          </w:tcPr>
          <w:p w14:paraId="267A4867" w14:textId="77777777" w:rsidR="008E67EA" w:rsidRDefault="008E67EA" w:rsidP="00B44A74">
            <w:pPr>
              <w:pStyle w:val="GazetteTableText"/>
            </w:pPr>
            <w:r w:rsidRPr="00310CEC">
              <w:t>1b</w:t>
            </w:r>
          </w:p>
        </w:tc>
      </w:tr>
      <w:tr w:rsidR="008E67EA" w14:paraId="60C2F21E" w14:textId="77777777" w:rsidTr="00731415">
        <w:tc>
          <w:tcPr>
            <w:tcW w:w="601" w:type="pct"/>
          </w:tcPr>
          <w:p w14:paraId="591C2827" w14:textId="77777777" w:rsidR="008E67EA" w:rsidRDefault="008E67EA" w:rsidP="00B44A74">
            <w:pPr>
              <w:pStyle w:val="GazetteTableText"/>
            </w:pPr>
            <w:r w:rsidRPr="00674D09">
              <w:t>59876</w:t>
            </w:r>
          </w:p>
        </w:tc>
        <w:tc>
          <w:tcPr>
            <w:tcW w:w="1382" w:type="pct"/>
          </w:tcPr>
          <w:p w14:paraId="283D3F67" w14:textId="77777777" w:rsidR="008E67EA" w:rsidRPr="00B75907" w:rsidRDefault="008E67EA" w:rsidP="00B44A74">
            <w:pPr>
              <w:pStyle w:val="GazetteTableText"/>
            </w:pPr>
            <w:r w:rsidRPr="00674D09">
              <w:t>Surefire All Weather Blocks Rodenticide</w:t>
            </w:r>
          </w:p>
        </w:tc>
        <w:tc>
          <w:tcPr>
            <w:tcW w:w="727" w:type="pct"/>
          </w:tcPr>
          <w:p w14:paraId="50B62716" w14:textId="77777777" w:rsidR="008E67EA" w:rsidRDefault="008E67EA" w:rsidP="00B44A74">
            <w:pPr>
              <w:pStyle w:val="GazetteTableText"/>
            </w:pPr>
            <w:r w:rsidRPr="009A4983">
              <w:t>Brodifacoum</w:t>
            </w:r>
          </w:p>
        </w:tc>
        <w:tc>
          <w:tcPr>
            <w:tcW w:w="822" w:type="pct"/>
          </w:tcPr>
          <w:p w14:paraId="77065A92" w14:textId="77777777" w:rsidR="008E67EA" w:rsidRDefault="008E67EA" w:rsidP="00B44A74">
            <w:pPr>
              <w:pStyle w:val="GazetteTableText"/>
            </w:pPr>
            <w:r w:rsidRPr="00AA105E">
              <w:t>Commercial</w:t>
            </w:r>
          </w:p>
        </w:tc>
        <w:tc>
          <w:tcPr>
            <w:tcW w:w="970" w:type="pct"/>
          </w:tcPr>
          <w:p w14:paraId="49CD7C3D" w14:textId="77777777" w:rsidR="008E67EA" w:rsidRDefault="008E67EA" w:rsidP="00B44A74">
            <w:pPr>
              <w:pStyle w:val="GazetteTableText"/>
            </w:pPr>
            <w:r w:rsidRPr="00AA105E">
              <w:t>RB 0.05 g/kg or less in block formulation</w:t>
            </w:r>
          </w:p>
        </w:tc>
        <w:tc>
          <w:tcPr>
            <w:tcW w:w="498" w:type="pct"/>
          </w:tcPr>
          <w:p w14:paraId="6B240AE5" w14:textId="77777777" w:rsidR="008E67EA" w:rsidRDefault="008E67EA" w:rsidP="00B44A74">
            <w:pPr>
              <w:pStyle w:val="GazetteTableText"/>
            </w:pPr>
            <w:r w:rsidRPr="00310CEC">
              <w:t>1b</w:t>
            </w:r>
          </w:p>
        </w:tc>
      </w:tr>
      <w:tr w:rsidR="008E67EA" w14:paraId="4FF5A496" w14:textId="77777777" w:rsidTr="00731415">
        <w:tc>
          <w:tcPr>
            <w:tcW w:w="601" w:type="pct"/>
          </w:tcPr>
          <w:p w14:paraId="31CF5DB6" w14:textId="77777777" w:rsidR="008E67EA" w:rsidRDefault="008E67EA" w:rsidP="00B44A74">
            <w:pPr>
              <w:pStyle w:val="GazetteTableText"/>
            </w:pPr>
            <w:r w:rsidRPr="00674D09">
              <w:t>62635</w:t>
            </w:r>
          </w:p>
        </w:tc>
        <w:tc>
          <w:tcPr>
            <w:tcW w:w="1382" w:type="pct"/>
          </w:tcPr>
          <w:p w14:paraId="7B4AEFC5" w14:textId="77777777" w:rsidR="008E67EA" w:rsidRPr="00B75907" w:rsidRDefault="008E67EA" w:rsidP="00B44A74">
            <w:pPr>
              <w:pStyle w:val="GazetteTableText"/>
            </w:pPr>
            <w:r w:rsidRPr="00674D09">
              <w:t>Talon Mouse Bait Station</w:t>
            </w:r>
          </w:p>
        </w:tc>
        <w:tc>
          <w:tcPr>
            <w:tcW w:w="727" w:type="pct"/>
          </w:tcPr>
          <w:p w14:paraId="04DD64E9" w14:textId="77777777" w:rsidR="008E67EA" w:rsidRDefault="008E67EA" w:rsidP="00B44A74">
            <w:pPr>
              <w:pStyle w:val="GazetteTableText"/>
            </w:pPr>
            <w:r w:rsidRPr="009A4983">
              <w:t>Brodifacoum</w:t>
            </w:r>
          </w:p>
        </w:tc>
        <w:tc>
          <w:tcPr>
            <w:tcW w:w="822" w:type="pct"/>
          </w:tcPr>
          <w:p w14:paraId="3C74FA5D" w14:textId="77777777" w:rsidR="008E67EA" w:rsidRDefault="008E67EA" w:rsidP="00B44A74">
            <w:pPr>
              <w:pStyle w:val="GazetteTableText"/>
            </w:pPr>
            <w:r>
              <w:t>Domestic</w:t>
            </w:r>
          </w:p>
        </w:tc>
        <w:tc>
          <w:tcPr>
            <w:tcW w:w="970" w:type="pct"/>
          </w:tcPr>
          <w:p w14:paraId="6EB592B5" w14:textId="77777777" w:rsidR="008E67EA" w:rsidRDefault="008E67EA" w:rsidP="00B44A74">
            <w:pPr>
              <w:pStyle w:val="GazetteTableText"/>
            </w:pPr>
            <w:r w:rsidRPr="00AA105E">
              <w:t>RB 0.05 g/kg or less in block formulation</w:t>
            </w:r>
          </w:p>
        </w:tc>
        <w:tc>
          <w:tcPr>
            <w:tcW w:w="498" w:type="pct"/>
          </w:tcPr>
          <w:p w14:paraId="46CA0A30" w14:textId="77777777" w:rsidR="008E67EA" w:rsidRDefault="008E67EA" w:rsidP="00B44A74">
            <w:pPr>
              <w:pStyle w:val="GazetteTableText"/>
            </w:pPr>
            <w:r w:rsidRPr="003D301E">
              <w:t>5b</w:t>
            </w:r>
          </w:p>
        </w:tc>
      </w:tr>
      <w:tr w:rsidR="008E67EA" w14:paraId="273C5C0B" w14:textId="77777777" w:rsidTr="00731415">
        <w:tc>
          <w:tcPr>
            <w:tcW w:w="601" w:type="pct"/>
          </w:tcPr>
          <w:p w14:paraId="1DB7DD78" w14:textId="77777777" w:rsidR="008E67EA" w:rsidRDefault="008E67EA" w:rsidP="00B44A74">
            <w:pPr>
              <w:pStyle w:val="GazetteTableText"/>
            </w:pPr>
            <w:r w:rsidRPr="00674D09">
              <w:t>63624</w:t>
            </w:r>
          </w:p>
        </w:tc>
        <w:tc>
          <w:tcPr>
            <w:tcW w:w="1382" w:type="pct"/>
          </w:tcPr>
          <w:p w14:paraId="31B8094E" w14:textId="77777777" w:rsidR="008E67EA" w:rsidRPr="00B75907" w:rsidRDefault="008E67EA" w:rsidP="00B44A74">
            <w:pPr>
              <w:pStyle w:val="GazetteTableText"/>
            </w:pPr>
            <w:r w:rsidRPr="00674D09">
              <w:t>X-Verminator Single Feed Lethal Dose Rodent Blocks</w:t>
            </w:r>
          </w:p>
        </w:tc>
        <w:tc>
          <w:tcPr>
            <w:tcW w:w="727" w:type="pct"/>
          </w:tcPr>
          <w:p w14:paraId="7C49BE76" w14:textId="77777777" w:rsidR="008E67EA" w:rsidRDefault="008E67EA" w:rsidP="00B44A74">
            <w:pPr>
              <w:pStyle w:val="GazetteTableText"/>
            </w:pPr>
            <w:r w:rsidRPr="009A4983">
              <w:t>Brodifacoum</w:t>
            </w:r>
          </w:p>
        </w:tc>
        <w:tc>
          <w:tcPr>
            <w:tcW w:w="822" w:type="pct"/>
          </w:tcPr>
          <w:p w14:paraId="341CBFDC" w14:textId="77777777" w:rsidR="008E67EA" w:rsidRDefault="008E67EA" w:rsidP="00B44A74">
            <w:pPr>
              <w:pStyle w:val="GazetteTableText"/>
            </w:pPr>
            <w:r w:rsidRPr="00AA105E">
              <w:t>Commercial</w:t>
            </w:r>
          </w:p>
        </w:tc>
        <w:tc>
          <w:tcPr>
            <w:tcW w:w="970" w:type="pct"/>
          </w:tcPr>
          <w:p w14:paraId="4DF932AA" w14:textId="77777777" w:rsidR="008E67EA" w:rsidRDefault="008E67EA" w:rsidP="00B44A74">
            <w:pPr>
              <w:pStyle w:val="GazetteTableText"/>
            </w:pPr>
            <w:r w:rsidRPr="00AA105E">
              <w:t>RB 0.05 g/kg or less in block formulation</w:t>
            </w:r>
          </w:p>
        </w:tc>
        <w:tc>
          <w:tcPr>
            <w:tcW w:w="498" w:type="pct"/>
          </w:tcPr>
          <w:p w14:paraId="6C197221" w14:textId="77777777" w:rsidR="008E67EA" w:rsidRDefault="008E67EA" w:rsidP="00B44A74">
            <w:pPr>
              <w:pStyle w:val="GazetteTableText"/>
            </w:pPr>
            <w:r w:rsidRPr="00310CEC">
              <w:t>1b</w:t>
            </w:r>
          </w:p>
        </w:tc>
      </w:tr>
      <w:tr w:rsidR="008E67EA" w14:paraId="65591683" w14:textId="77777777" w:rsidTr="00731415">
        <w:tc>
          <w:tcPr>
            <w:tcW w:w="601" w:type="pct"/>
          </w:tcPr>
          <w:p w14:paraId="51A3D5CE" w14:textId="77777777" w:rsidR="008E67EA" w:rsidRDefault="008E67EA" w:rsidP="00B44A74">
            <w:pPr>
              <w:pStyle w:val="GazetteTableText"/>
            </w:pPr>
            <w:r w:rsidRPr="00674D09">
              <w:t>63867</w:t>
            </w:r>
          </w:p>
        </w:tc>
        <w:tc>
          <w:tcPr>
            <w:tcW w:w="1382" w:type="pct"/>
          </w:tcPr>
          <w:p w14:paraId="154E2870" w14:textId="77777777" w:rsidR="008E67EA" w:rsidRPr="00B75907" w:rsidRDefault="008E67EA" w:rsidP="00B44A74">
            <w:pPr>
              <w:pStyle w:val="GazetteTableText"/>
            </w:pPr>
            <w:r w:rsidRPr="00674D09">
              <w:t>Surefire Pellets Rodenticide</w:t>
            </w:r>
          </w:p>
        </w:tc>
        <w:tc>
          <w:tcPr>
            <w:tcW w:w="727" w:type="pct"/>
          </w:tcPr>
          <w:p w14:paraId="72721A0A" w14:textId="77777777" w:rsidR="008E67EA" w:rsidRDefault="008E67EA" w:rsidP="00B44A74">
            <w:pPr>
              <w:pStyle w:val="GazetteTableText"/>
            </w:pPr>
            <w:r w:rsidRPr="009A4983">
              <w:t>Brodifacoum</w:t>
            </w:r>
          </w:p>
        </w:tc>
        <w:tc>
          <w:tcPr>
            <w:tcW w:w="822" w:type="pct"/>
          </w:tcPr>
          <w:p w14:paraId="1E5DEB2B" w14:textId="77777777" w:rsidR="008E67EA" w:rsidRDefault="008E67EA" w:rsidP="00B44A74">
            <w:pPr>
              <w:pStyle w:val="GazetteTableText"/>
            </w:pPr>
            <w:r w:rsidRPr="00AA105E">
              <w:t>Commercial</w:t>
            </w:r>
          </w:p>
        </w:tc>
        <w:tc>
          <w:tcPr>
            <w:tcW w:w="970" w:type="pct"/>
          </w:tcPr>
          <w:p w14:paraId="14139C14" w14:textId="77777777" w:rsidR="008E67EA" w:rsidRDefault="008E67EA" w:rsidP="00B44A74">
            <w:pPr>
              <w:pStyle w:val="GazetteTableText"/>
            </w:pPr>
            <w:r w:rsidRPr="004C07C1">
              <w:t>RB 0.05 g/kg or less in pellet formulation</w:t>
            </w:r>
          </w:p>
        </w:tc>
        <w:tc>
          <w:tcPr>
            <w:tcW w:w="498" w:type="pct"/>
          </w:tcPr>
          <w:p w14:paraId="4F575B5E" w14:textId="77777777" w:rsidR="008E67EA" w:rsidRDefault="008E67EA" w:rsidP="00B44A74">
            <w:pPr>
              <w:pStyle w:val="GazetteTableText"/>
            </w:pPr>
            <w:r w:rsidRPr="00310CEC">
              <w:t>3b</w:t>
            </w:r>
          </w:p>
        </w:tc>
      </w:tr>
      <w:tr w:rsidR="008E67EA" w14:paraId="35A74504" w14:textId="77777777" w:rsidTr="00731415">
        <w:tc>
          <w:tcPr>
            <w:tcW w:w="601" w:type="pct"/>
          </w:tcPr>
          <w:p w14:paraId="25C198FA" w14:textId="77777777" w:rsidR="008E67EA" w:rsidRDefault="008E67EA" w:rsidP="00B44A74">
            <w:pPr>
              <w:pStyle w:val="GazetteTableText"/>
            </w:pPr>
            <w:r w:rsidRPr="00674D09">
              <w:t>63885</w:t>
            </w:r>
          </w:p>
        </w:tc>
        <w:tc>
          <w:tcPr>
            <w:tcW w:w="1382" w:type="pct"/>
          </w:tcPr>
          <w:p w14:paraId="0F166C31" w14:textId="77777777" w:rsidR="008E67EA" w:rsidRPr="00B75907" w:rsidRDefault="008E67EA" w:rsidP="00B44A74">
            <w:pPr>
              <w:pStyle w:val="GazetteTableText"/>
            </w:pPr>
            <w:r w:rsidRPr="00674D09">
              <w:t xml:space="preserve">Mortein Kills Rats &amp; Mice </w:t>
            </w:r>
            <w:r>
              <w:t>a</w:t>
            </w:r>
            <w:r w:rsidRPr="00674D09">
              <w:t xml:space="preserve">nd </w:t>
            </w:r>
            <w:r>
              <w:t>t</w:t>
            </w:r>
            <w:r w:rsidRPr="00674D09">
              <w:t>he Fleas They Carry Dual Action Throwpack</w:t>
            </w:r>
          </w:p>
        </w:tc>
        <w:tc>
          <w:tcPr>
            <w:tcW w:w="727" w:type="pct"/>
          </w:tcPr>
          <w:p w14:paraId="6A413E35" w14:textId="77777777" w:rsidR="008E67EA" w:rsidRDefault="008E67EA" w:rsidP="00B44A74">
            <w:pPr>
              <w:pStyle w:val="GazetteTableText"/>
            </w:pPr>
            <w:r w:rsidRPr="009A4983">
              <w:t>Brodifacoum</w:t>
            </w:r>
            <w:r>
              <w:t>, Fipronil</w:t>
            </w:r>
          </w:p>
        </w:tc>
        <w:tc>
          <w:tcPr>
            <w:tcW w:w="822" w:type="pct"/>
          </w:tcPr>
          <w:p w14:paraId="63FC701D" w14:textId="77777777" w:rsidR="008E67EA" w:rsidRDefault="008E67EA" w:rsidP="00B44A74">
            <w:pPr>
              <w:pStyle w:val="GazetteTableText"/>
            </w:pPr>
            <w:r>
              <w:t>Domestic</w:t>
            </w:r>
          </w:p>
        </w:tc>
        <w:tc>
          <w:tcPr>
            <w:tcW w:w="970" w:type="pct"/>
          </w:tcPr>
          <w:p w14:paraId="6665E1D9" w14:textId="77777777" w:rsidR="008E67EA" w:rsidRDefault="008E67EA" w:rsidP="00B44A74">
            <w:pPr>
              <w:pStyle w:val="GazetteTableText"/>
            </w:pPr>
            <w:r w:rsidRPr="00AA105E">
              <w:t>RB 0.05 g/kg or less in sachet or place pack</w:t>
            </w:r>
          </w:p>
        </w:tc>
        <w:tc>
          <w:tcPr>
            <w:tcW w:w="498" w:type="pct"/>
          </w:tcPr>
          <w:p w14:paraId="6D962F73" w14:textId="77777777" w:rsidR="008E67EA" w:rsidRDefault="008E67EA" w:rsidP="00B44A74">
            <w:pPr>
              <w:pStyle w:val="GazetteTableText"/>
            </w:pPr>
            <w:r w:rsidRPr="00FF66FF">
              <w:t>7b</w:t>
            </w:r>
          </w:p>
        </w:tc>
      </w:tr>
      <w:tr w:rsidR="008E67EA" w14:paraId="16CF7546" w14:textId="77777777" w:rsidTr="00731415">
        <w:tc>
          <w:tcPr>
            <w:tcW w:w="601" w:type="pct"/>
          </w:tcPr>
          <w:p w14:paraId="6D0F7634" w14:textId="77777777" w:rsidR="008E67EA" w:rsidRDefault="008E67EA" w:rsidP="00B44A74">
            <w:pPr>
              <w:pStyle w:val="GazetteTableText"/>
            </w:pPr>
            <w:r w:rsidRPr="00674D09">
              <w:t>65597</w:t>
            </w:r>
          </w:p>
        </w:tc>
        <w:tc>
          <w:tcPr>
            <w:tcW w:w="1382" w:type="pct"/>
          </w:tcPr>
          <w:p w14:paraId="05369B3C" w14:textId="77777777" w:rsidR="008E67EA" w:rsidRPr="00B75907" w:rsidRDefault="008E67EA" w:rsidP="00B44A74">
            <w:pPr>
              <w:pStyle w:val="GazetteTableText"/>
            </w:pPr>
            <w:r w:rsidRPr="00674D09">
              <w:t>Imtrade Top Cat Rodenticide Wax Blocks</w:t>
            </w:r>
          </w:p>
        </w:tc>
        <w:tc>
          <w:tcPr>
            <w:tcW w:w="727" w:type="pct"/>
          </w:tcPr>
          <w:p w14:paraId="1AEE0778" w14:textId="77777777" w:rsidR="008E67EA" w:rsidRDefault="008E67EA" w:rsidP="00B44A74">
            <w:pPr>
              <w:pStyle w:val="GazetteTableText"/>
            </w:pPr>
            <w:r w:rsidRPr="009A4983">
              <w:t>Brodifacoum</w:t>
            </w:r>
          </w:p>
        </w:tc>
        <w:tc>
          <w:tcPr>
            <w:tcW w:w="822" w:type="pct"/>
          </w:tcPr>
          <w:p w14:paraId="38A142B0" w14:textId="77777777" w:rsidR="008E67EA" w:rsidRDefault="008E67EA" w:rsidP="00B44A74">
            <w:pPr>
              <w:pStyle w:val="GazetteTableText"/>
            </w:pPr>
            <w:r w:rsidRPr="00AA105E">
              <w:t>Commercial</w:t>
            </w:r>
          </w:p>
        </w:tc>
        <w:tc>
          <w:tcPr>
            <w:tcW w:w="970" w:type="pct"/>
          </w:tcPr>
          <w:p w14:paraId="1D882757" w14:textId="77777777" w:rsidR="008E67EA" w:rsidRDefault="008E67EA" w:rsidP="00B44A74">
            <w:pPr>
              <w:pStyle w:val="GazetteTableText"/>
            </w:pPr>
            <w:r w:rsidRPr="00AA105E">
              <w:t>RB 0.05 g/kg or less in block formulation</w:t>
            </w:r>
          </w:p>
        </w:tc>
        <w:tc>
          <w:tcPr>
            <w:tcW w:w="498" w:type="pct"/>
          </w:tcPr>
          <w:p w14:paraId="0B5A0070" w14:textId="77777777" w:rsidR="008E67EA" w:rsidRDefault="008E67EA" w:rsidP="00B44A74">
            <w:pPr>
              <w:pStyle w:val="GazetteTableText"/>
            </w:pPr>
            <w:r w:rsidRPr="00310CEC">
              <w:t>1b</w:t>
            </w:r>
          </w:p>
        </w:tc>
      </w:tr>
      <w:tr w:rsidR="008E67EA" w14:paraId="175BFA24" w14:textId="77777777" w:rsidTr="00731415">
        <w:tc>
          <w:tcPr>
            <w:tcW w:w="601" w:type="pct"/>
          </w:tcPr>
          <w:p w14:paraId="2FD2B4D4" w14:textId="77777777" w:rsidR="008E67EA" w:rsidRDefault="008E67EA" w:rsidP="00B44A74">
            <w:pPr>
              <w:pStyle w:val="GazetteTableText"/>
            </w:pPr>
            <w:r w:rsidRPr="00674D09">
              <w:lastRenderedPageBreak/>
              <w:t>66235</w:t>
            </w:r>
          </w:p>
        </w:tc>
        <w:tc>
          <w:tcPr>
            <w:tcW w:w="1382" w:type="pct"/>
          </w:tcPr>
          <w:p w14:paraId="416FFDE9" w14:textId="77777777" w:rsidR="008E67EA" w:rsidRPr="00B75907" w:rsidRDefault="008E67EA" w:rsidP="00B44A74">
            <w:pPr>
              <w:pStyle w:val="GazetteTableText"/>
            </w:pPr>
            <w:r w:rsidRPr="00674D09">
              <w:t>Rodenthor Block Rodenticide</w:t>
            </w:r>
          </w:p>
        </w:tc>
        <w:tc>
          <w:tcPr>
            <w:tcW w:w="727" w:type="pct"/>
          </w:tcPr>
          <w:p w14:paraId="006CA5C5" w14:textId="77777777" w:rsidR="008E67EA" w:rsidRDefault="008E67EA" w:rsidP="00B44A74">
            <w:pPr>
              <w:pStyle w:val="GazetteTableText"/>
            </w:pPr>
            <w:r w:rsidRPr="009A4983">
              <w:t>Brodifacoum</w:t>
            </w:r>
          </w:p>
        </w:tc>
        <w:tc>
          <w:tcPr>
            <w:tcW w:w="822" w:type="pct"/>
          </w:tcPr>
          <w:p w14:paraId="63202D0A" w14:textId="77777777" w:rsidR="008E67EA" w:rsidRDefault="008E67EA" w:rsidP="00B44A74">
            <w:pPr>
              <w:pStyle w:val="GazetteTableText"/>
            </w:pPr>
            <w:r w:rsidRPr="00AA105E">
              <w:t>Commercial</w:t>
            </w:r>
          </w:p>
        </w:tc>
        <w:tc>
          <w:tcPr>
            <w:tcW w:w="970" w:type="pct"/>
          </w:tcPr>
          <w:p w14:paraId="646CB47F" w14:textId="77777777" w:rsidR="008E67EA" w:rsidRDefault="008E67EA" w:rsidP="00B44A74">
            <w:pPr>
              <w:pStyle w:val="GazetteTableText"/>
            </w:pPr>
            <w:r w:rsidRPr="00AA105E">
              <w:t>RB 0.05 g/kg or less in block formulation</w:t>
            </w:r>
          </w:p>
        </w:tc>
        <w:tc>
          <w:tcPr>
            <w:tcW w:w="498" w:type="pct"/>
          </w:tcPr>
          <w:p w14:paraId="3955459A" w14:textId="77777777" w:rsidR="008E67EA" w:rsidRDefault="008E67EA" w:rsidP="00B44A74">
            <w:pPr>
              <w:pStyle w:val="GazetteTableText"/>
            </w:pPr>
            <w:r w:rsidRPr="00310CEC">
              <w:t>1a</w:t>
            </w:r>
          </w:p>
        </w:tc>
      </w:tr>
      <w:tr w:rsidR="008E67EA" w14:paraId="0FD039AA" w14:textId="77777777" w:rsidTr="00731415">
        <w:tc>
          <w:tcPr>
            <w:tcW w:w="601" w:type="pct"/>
          </w:tcPr>
          <w:p w14:paraId="3E97FEB6" w14:textId="77777777" w:rsidR="008E67EA" w:rsidRDefault="008E67EA" w:rsidP="00B44A74">
            <w:pPr>
              <w:pStyle w:val="GazetteTableText"/>
            </w:pPr>
            <w:r w:rsidRPr="00674D09">
              <w:t>66331</w:t>
            </w:r>
          </w:p>
        </w:tc>
        <w:tc>
          <w:tcPr>
            <w:tcW w:w="1382" w:type="pct"/>
          </w:tcPr>
          <w:p w14:paraId="68135878" w14:textId="77777777" w:rsidR="008E67EA" w:rsidRPr="00B75907" w:rsidRDefault="008E67EA" w:rsidP="00B44A74">
            <w:pPr>
              <w:pStyle w:val="GazetteTableText"/>
            </w:pPr>
            <w:r w:rsidRPr="00674D09">
              <w:t>Rodenthor Soft Bait Rodenticide</w:t>
            </w:r>
          </w:p>
        </w:tc>
        <w:tc>
          <w:tcPr>
            <w:tcW w:w="727" w:type="pct"/>
          </w:tcPr>
          <w:p w14:paraId="4935D0F4" w14:textId="77777777" w:rsidR="008E67EA" w:rsidRDefault="008E67EA" w:rsidP="00B44A74">
            <w:pPr>
              <w:pStyle w:val="GazetteTableText"/>
            </w:pPr>
            <w:r w:rsidRPr="009A4983">
              <w:t>Brodifacoum</w:t>
            </w:r>
          </w:p>
        </w:tc>
        <w:tc>
          <w:tcPr>
            <w:tcW w:w="822" w:type="pct"/>
          </w:tcPr>
          <w:p w14:paraId="309E06EB" w14:textId="77777777" w:rsidR="008E67EA" w:rsidRDefault="008E67EA" w:rsidP="00B44A74">
            <w:pPr>
              <w:pStyle w:val="GazetteTableText"/>
            </w:pPr>
            <w:r w:rsidRPr="00AA105E">
              <w:t>Commercial</w:t>
            </w:r>
          </w:p>
        </w:tc>
        <w:tc>
          <w:tcPr>
            <w:tcW w:w="970" w:type="pct"/>
          </w:tcPr>
          <w:p w14:paraId="397C3CE3" w14:textId="77777777" w:rsidR="008E67EA" w:rsidRDefault="008E67EA" w:rsidP="00B44A74">
            <w:pPr>
              <w:pStyle w:val="GazetteTableText"/>
            </w:pPr>
            <w:r w:rsidRPr="00AA105E">
              <w:t>RB 0.05 g/kg or less in sachet or place pack</w:t>
            </w:r>
          </w:p>
        </w:tc>
        <w:tc>
          <w:tcPr>
            <w:tcW w:w="498" w:type="pct"/>
          </w:tcPr>
          <w:p w14:paraId="6E38B04C" w14:textId="77777777" w:rsidR="008E67EA" w:rsidRDefault="008E67EA" w:rsidP="00B44A74">
            <w:pPr>
              <w:pStyle w:val="GazetteTableText"/>
            </w:pPr>
            <w:r w:rsidRPr="00FF66FF">
              <w:t>4a</w:t>
            </w:r>
          </w:p>
        </w:tc>
      </w:tr>
      <w:tr w:rsidR="008E67EA" w14:paraId="49AEFF9D" w14:textId="77777777" w:rsidTr="00731415">
        <w:tc>
          <w:tcPr>
            <w:tcW w:w="601" w:type="pct"/>
          </w:tcPr>
          <w:p w14:paraId="4240F185" w14:textId="77777777" w:rsidR="008E67EA" w:rsidRDefault="008E67EA" w:rsidP="00B44A74">
            <w:pPr>
              <w:pStyle w:val="GazetteTableText"/>
            </w:pPr>
            <w:r w:rsidRPr="00674D09">
              <w:t>67610</w:t>
            </w:r>
          </w:p>
        </w:tc>
        <w:tc>
          <w:tcPr>
            <w:tcW w:w="1382" w:type="pct"/>
          </w:tcPr>
          <w:p w14:paraId="507E4F16" w14:textId="77777777" w:rsidR="008E67EA" w:rsidRPr="00B75907" w:rsidRDefault="008E67EA" w:rsidP="00B44A74">
            <w:pPr>
              <w:pStyle w:val="GazetteTableText"/>
            </w:pPr>
            <w:r w:rsidRPr="00674D09">
              <w:t>Ratsak Professional Pellets</w:t>
            </w:r>
          </w:p>
        </w:tc>
        <w:tc>
          <w:tcPr>
            <w:tcW w:w="727" w:type="pct"/>
          </w:tcPr>
          <w:p w14:paraId="18ACDBAE" w14:textId="77777777" w:rsidR="008E67EA" w:rsidRDefault="008E67EA" w:rsidP="00B44A74">
            <w:pPr>
              <w:pStyle w:val="GazetteTableText"/>
            </w:pPr>
            <w:r w:rsidRPr="009A4983">
              <w:t>Brodifacoum</w:t>
            </w:r>
          </w:p>
        </w:tc>
        <w:tc>
          <w:tcPr>
            <w:tcW w:w="822" w:type="pct"/>
          </w:tcPr>
          <w:p w14:paraId="3A747023" w14:textId="77777777" w:rsidR="008E67EA" w:rsidRDefault="008E67EA" w:rsidP="00B44A74">
            <w:pPr>
              <w:pStyle w:val="GazetteTableText"/>
            </w:pPr>
            <w:r w:rsidRPr="00AA105E">
              <w:t>Commercial</w:t>
            </w:r>
          </w:p>
        </w:tc>
        <w:tc>
          <w:tcPr>
            <w:tcW w:w="970" w:type="pct"/>
          </w:tcPr>
          <w:p w14:paraId="1FFEC4F6" w14:textId="77777777" w:rsidR="008E67EA" w:rsidRDefault="008E67EA" w:rsidP="00B44A74">
            <w:pPr>
              <w:pStyle w:val="GazetteTableText"/>
            </w:pPr>
            <w:r w:rsidRPr="004C07C1">
              <w:t>RB 0.05 g/kg or less in pellet formulation</w:t>
            </w:r>
          </w:p>
        </w:tc>
        <w:tc>
          <w:tcPr>
            <w:tcW w:w="498" w:type="pct"/>
          </w:tcPr>
          <w:p w14:paraId="0BD6C778" w14:textId="77777777" w:rsidR="008E67EA" w:rsidRDefault="008E67EA" w:rsidP="00B44A74">
            <w:pPr>
              <w:pStyle w:val="GazetteTableText"/>
            </w:pPr>
            <w:r w:rsidRPr="00310CEC">
              <w:t>3b</w:t>
            </w:r>
          </w:p>
        </w:tc>
      </w:tr>
      <w:tr w:rsidR="008E67EA" w14:paraId="01FE3B32" w14:textId="77777777" w:rsidTr="00731415">
        <w:tc>
          <w:tcPr>
            <w:tcW w:w="601" w:type="pct"/>
          </w:tcPr>
          <w:p w14:paraId="59910CA4" w14:textId="77777777" w:rsidR="008E67EA" w:rsidRDefault="008E67EA" w:rsidP="00B44A74">
            <w:pPr>
              <w:pStyle w:val="GazetteTableText"/>
            </w:pPr>
            <w:r w:rsidRPr="00674D09">
              <w:t>67611</w:t>
            </w:r>
          </w:p>
        </w:tc>
        <w:tc>
          <w:tcPr>
            <w:tcW w:w="1382" w:type="pct"/>
          </w:tcPr>
          <w:p w14:paraId="2C9ECAEB" w14:textId="77777777" w:rsidR="008E67EA" w:rsidRPr="00B75907" w:rsidRDefault="008E67EA" w:rsidP="00B44A74">
            <w:pPr>
              <w:pStyle w:val="GazetteTableText"/>
            </w:pPr>
            <w:r w:rsidRPr="00674D09">
              <w:t>Ratsak Professional All Weather Wax Blocks</w:t>
            </w:r>
          </w:p>
        </w:tc>
        <w:tc>
          <w:tcPr>
            <w:tcW w:w="727" w:type="pct"/>
          </w:tcPr>
          <w:p w14:paraId="62DB5CF4" w14:textId="77777777" w:rsidR="008E67EA" w:rsidRDefault="008E67EA" w:rsidP="00B44A74">
            <w:pPr>
              <w:pStyle w:val="GazetteTableText"/>
            </w:pPr>
            <w:r w:rsidRPr="009A4983">
              <w:t>Brodifacoum</w:t>
            </w:r>
          </w:p>
        </w:tc>
        <w:tc>
          <w:tcPr>
            <w:tcW w:w="822" w:type="pct"/>
          </w:tcPr>
          <w:p w14:paraId="1489F6B4" w14:textId="77777777" w:rsidR="008E67EA" w:rsidRDefault="008E67EA" w:rsidP="00B44A74">
            <w:pPr>
              <w:pStyle w:val="GazetteTableText"/>
            </w:pPr>
            <w:r w:rsidRPr="00AA105E">
              <w:t>Commercial</w:t>
            </w:r>
          </w:p>
        </w:tc>
        <w:tc>
          <w:tcPr>
            <w:tcW w:w="970" w:type="pct"/>
          </w:tcPr>
          <w:p w14:paraId="0BCA06C0" w14:textId="77777777" w:rsidR="008E67EA" w:rsidRDefault="008E67EA" w:rsidP="00B44A74">
            <w:pPr>
              <w:pStyle w:val="GazetteTableText"/>
            </w:pPr>
            <w:r w:rsidRPr="00AA105E">
              <w:t>RB 0.05 g/kg or less in block formulation</w:t>
            </w:r>
          </w:p>
        </w:tc>
        <w:tc>
          <w:tcPr>
            <w:tcW w:w="498" w:type="pct"/>
          </w:tcPr>
          <w:p w14:paraId="60719F6E" w14:textId="77777777" w:rsidR="008E67EA" w:rsidRDefault="008E67EA" w:rsidP="00B44A74">
            <w:pPr>
              <w:pStyle w:val="GazetteTableText"/>
            </w:pPr>
            <w:r w:rsidRPr="00310CEC">
              <w:t>1b</w:t>
            </w:r>
          </w:p>
        </w:tc>
      </w:tr>
      <w:tr w:rsidR="008E67EA" w14:paraId="30ECCB36" w14:textId="77777777" w:rsidTr="00731415">
        <w:tc>
          <w:tcPr>
            <w:tcW w:w="601" w:type="pct"/>
          </w:tcPr>
          <w:p w14:paraId="1131A6C9" w14:textId="77777777" w:rsidR="008E67EA" w:rsidRDefault="008E67EA" w:rsidP="00B44A74">
            <w:pPr>
              <w:pStyle w:val="GazetteTableText"/>
            </w:pPr>
            <w:r w:rsidRPr="00674D09">
              <w:t>67652</w:t>
            </w:r>
          </w:p>
        </w:tc>
        <w:tc>
          <w:tcPr>
            <w:tcW w:w="1382" w:type="pct"/>
          </w:tcPr>
          <w:p w14:paraId="38D83AA6" w14:textId="77777777" w:rsidR="008E67EA" w:rsidRPr="00B75907" w:rsidRDefault="008E67EA" w:rsidP="00B44A74">
            <w:pPr>
              <w:pStyle w:val="GazetteTableText"/>
            </w:pPr>
            <w:r w:rsidRPr="00674D09">
              <w:t>Fast Action Ratsak Waxblocks</w:t>
            </w:r>
          </w:p>
        </w:tc>
        <w:tc>
          <w:tcPr>
            <w:tcW w:w="727" w:type="pct"/>
          </w:tcPr>
          <w:p w14:paraId="5A4EC3AD" w14:textId="77777777" w:rsidR="008E67EA" w:rsidRDefault="008E67EA" w:rsidP="00B44A74">
            <w:pPr>
              <w:pStyle w:val="GazetteTableText"/>
            </w:pPr>
            <w:r w:rsidRPr="009A4983">
              <w:t>Brodifacoum</w:t>
            </w:r>
          </w:p>
        </w:tc>
        <w:tc>
          <w:tcPr>
            <w:tcW w:w="822" w:type="pct"/>
          </w:tcPr>
          <w:p w14:paraId="1AB5A7BB" w14:textId="77777777" w:rsidR="008E67EA" w:rsidRDefault="008E67EA" w:rsidP="00B44A74">
            <w:pPr>
              <w:pStyle w:val="GazetteTableText"/>
            </w:pPr>
            <w:r>
              <w:t>Domestic</w:t>
            </w:r>
          </w:p>
        </w:tc>
        <w:tc>
          <w:tcPr>
            <w:tcW w:w="970" w:type="pct"/>
          </w:tcPr>
          <w:p w14:paraId="45F06948" w14:textId="77777777" w:rsidR="008E67EA" w:rsidRDefault="008E67EA" w:rsidP="00B44A74">
            <w:pPr>
              <w:pStyle w:val="GazetteTableText"/>
            </w:pPr>
            <w:r w:rsidRPr="00AA105E">
              <w:t>RB 0.05 g/kg or less in block formulation</w:t>
            </w:r>
          </w:p>
        </w:tc>
        <w:tc>
          <w:tcPr>
            <w:tcW w:w="498" w:type="pct"/>
          </w:tcPr>
          <w:p w14:paraId="3303B969" w14:textId="77777777" w:rsidR="008E67EA" w:rsidRDefault="008E67EA" w:rsidP="00B44A74">
            <w:pPr>
              <w:pStyle w:val="GazetteTableText"/>
            </w:pPr>
            <w:r w:rsidRPr="003D301E">
              <w:t>5a</w:t>
            </w:r>
          </w:p>
        </w:tc>
      </w:tr>
      <w:tr w:rsidR="008E67EA" w14:paraId="07BC72A2" w14:textId="77777777" w:rsidTr="00731415">
        <w:tc>
          <w:tcPr>
            <w:tcW w:w="601" w:type="pct"/>
          </w:tcPr>
          <w:p w14:paraId="073C96D6" w14:textId="77777777" w:rsidR="008E67EA" w:rsidRDefault="008E67EA" w:rsidP="00B44A74">
            <w:pPr>
              <w:pStyle w:val="GazetteTableText"/>
            </w:pPr>
            <w:r w:rsidRPr="00674D09">
              <w:t>68021</w:t>
            </w:r>
          </w:p>
        </w:tc>
        <w:tc>
          <w:tcPr>
            <w:tcW w:w="1382" w:type="pct"/>
          </w:tcPr>
          <w:p w14:paraId="3A733668" w14:textId="77777777" w:rsidR="008E67EA" w:rsidRPr="00B75907" w:rsidRDefault="008E67EA" w:rsidP="00B44A74">
            <w:pPr>
              <w:pStyle w:val="GazetteTableText"/>
            </w:pPr>
            <w:r w:rsidRPr="00674D09">
              <w:t>Brigand Rodenticide Paste</w:t>
            </w:r>
          </w:p>
        </w:tc>
        <w:tc>
          <w:tcPr>
            <w:tcW w:w="727" w:type="pct"/>
          </w:tcPr>
          <w:p w14:paraId="70FB0321" w14:textId="77777777" w:rsidR="008E67EA" w:rsidRDefault="008E67EA" w:rsidP="00B44A74">
            <w:pPr>
              <w:pStyle w:val="GazetteTableText"/>
            </w:pPr>
            <w:r w:rsidRPr="009A4983">
              <w:t>Brodifacoum</w:t>
            </w:r>
          </w:p>
        </w:tc>
        <w:tc>
          <w:tcPr>
            <w:tcW w:w="822" w:type="pct"/>
          </w:tcPr>
          <w:p w14:paraId="68B3F089" w14:textId="77777777" w:rsidR="008E67EA" w:rsidRDefault="008E67EA" w:rsidP="00B44A74">
            <w:pPr>
              <w:pStyle w:val="GazetteTableText"/>
            </w:pPr>
            <w:r w:rsidRPr="00AA105E">
              <w:t>Commercial</w:t>
            </w:r>
          </w:p>
        </w:tc>
        <w:tc>
          <w:tcPr>
            <w:tcW w:w="970" w:type="pct"/>
          </w:tcPr>
          <w:p w14:paraId="5A1FB92B" w14:textId="77777777" w:rsidR="008E67EA" w:rsidRDefault="008E67EA" w:rsidP="00B44A74">
            <w:pPr>
              <w:pStyle w:val="GazetteTableText"/>
            </w:pPr>
            <w:r w:rsidRPr="00AA105E">
              <w:t>RB 0.05 g/kg or less in sachet or place pack</w:t>
            </w:r>
          </w:p>
        </w:tc>
        <w:tc>
          <w:tcPr>
            <w:tcW w:w="498" w:type="pct"/>
          </w:tcPr>
          <w:p w14:paraId="0E0F9B10" w14:textId="77777777" w:rsidR="008E67EA" w:rsidRDefault="008E67EA" w:rsidP="00B44A74">
            <w:pPr>
              <w:pStyle w:val="GazetteTableText"/>
            </w:pPr>
            <w:r w:rsidRPr="00FF66FF">
              <w:t>4b</w:t>
            </w:r>
          </w:p>
        </w:tc>
      </w:tr>
      <w:tr w:rsidR="008E67EA" w14:paraId="1606C8DE" w14:textId="77777777" w:rsidTr="00731415">
        <w:tc>
          <w:tcPr>
            <w:tcW w:w="601" w:type="pct"/>
          </w:tcPr>
          <w:p w14:paraId="63865EB5" w14:textId="77777777" w:rsidR="008E67EA" w:rsidRDefault="008E67EA" w:rsidP="00B44A74">
            <w:pPr>
              <w:pStyle w:val="GazetteTableText"/>
            </w:pPr>
            <w:r w:rsidRPr="00674D09">
              <w:t>68025</w:t>
            </w:r>
          </w:p>
        </w:tc>
        <w:tc>
          <w:tcPr>
            <w:tcW w:w="1382" w:type="pct"/>
          </w:tcPr>
          <w:p w14:paraId="34EC25E3" w14:textId="77777777" w:rsidR="008E67EA" w:rsidRPr="00B75907" w:rsidRDefault="008E67EA" w:rsidP="00B44A74">
            <w:pPr>
              <w:pStyle w:val="GazetteTableText"/>
            </w:pPr>
            <w:r w:rsidRPr="00674D09">
              <w:t>Brigand Rodenticide Blocks</w:t>
            </w:r>
          </w:p>
        </w:tc>
        <w:tc>
          <w:tcPr>
            <w:tcW w:w="727" w:type="pct"/>
          </w:tcPr>
          <w:p w14:paraId="62765107" w14:textId="77777777" w:rsidR="008E67EA" w:rsidRDefault="008E67EA" w:rsidP="00B44A74">
            <w:pPr>
              <w:pStyle w:val="GazetteTableText"/>
            </w:pPr>
            <w:r w:rsidRPr="009A4983">
              <w:t>Brodifacoum</w:t>
            </w:r>
          </w:p>
        </w:tc>
        <w:tc>
          <w:tcPr>
            <w:tcW w:w="822" w:type="pct"/>
          </w:tcPr>
          <w:p w14:paraId="700F5208" w14:textId="77777777" w:rsidR="008E67EA" w:rsidRDefault="008E67EA" w:rsidP="00B44A74">
            <w:pPr>
              <w:pStyle w:val="GazetteTableText"/>
            </w:pPr>
            <w:r w:rsidRPr="00AA105E">
              <w:t>Commercial</w:t>
            </w:r>
          </w:p>
        </w:tc>
        <w:tc>
          <w:tcPr>
            <w:tcW w:w="970" w:type="pct"/>
          </w:tcPr>
          <w:p w14:paraId="16CAEA9B" w14:textId="77777777" w:rsidR="008E67EA" w:rsidRDefault="008E67EA" w:rsidP="00B44A74">
            <w:pPr>
              <w:pStyle w:val="GazetteTableText"/>
            </w:pPr>
            <w:r w:rsidRPr="00AA105E">
              <w:t>RB 0.05 g/kg or less in block formulation</w:t>
            </w:r>
          </w:p>
        </w:tc>
        <w:tc>
          <w:tcPr>
            <w:tcW w:w="498" w:type="pct"/>
          </w:tcPr>
          <w:p w14:paraId="0196ECCB" w14:textId="77777777" w:rsidR="008E67EA" w:rsidRDefault="008E67EA" w:rsidP="00B44A74">
            <w:pPr>
              <w:pStyle w:val="GazetteTableText"/>
            </w:pPr>
            <w:r w:rsidRPr="00310CEC">
              <w:t>1b</w:t>
            </w:r>
          </w:p>
        </w:tc>
      </w:tr>
      <w:tr w:rsidR="008E67EA" w14:paraId="589D93A9" w14:textId="77777777" w:rsidTr="00731415">
        <w:tc>
          <w:tcPr>
            <w:tcW w:w="601" w:type="pct"/>
          </w:tcPr>
          <w:p w14:paraId="1D54AB11" w14:textId="77777777" w:rsidR="008E67EA" w:rsidRDefault="008E67EA" w:rsidP="00B44A74">
            <w:pPr>
              <w:pStyle w:val="GazetteTableText"/>
            </w:pPr>
            <w:r w:rsidRPr="00674D09">
              <w:t>68028</w:t>
            </w:r>
          </w:p>
        </w:tc>
        <w:tc>
          <w:tcPr>
            <w:tcW w:w="1382" w:type="pct"/>
          </w:tcPr>
          <w:p w14:paraId="543375EA" w14:textId="77777777" w:rsidR="008E67EA" w:rsidRPr="00B75907" w:rsidRDefault="008E67EA" w:rsidP="00B44A74">
            <w:pPr>
              <w:pStyle w:val="GazetteTableText"/>
            </w:pPr>
            <w:r w:rsidRPr="00674D09">
              <w:t>Brigand Rodenticide Pellets</w:t>
            </w:r>
          </w:p>
        </w:tc>
        <w:tc>
          <w:tcPr>
            <w:tcW w:w="727" w:type="pct"/>
          </w:tcPr>
          <w:p w14:paraId="553F862F" w14:textId="77777777" w:rsidR="008E67EA" w:rsidRDefault="008E67EA" w:rsidP="00B44A74">
            <w:pPr>
              <w:pStyle w:val="GazetteTableText"/>
            </w:pPr>
            <w:r w:rsidRPr="009A4983">
              <w:t>Brodifacoum</w:t>
            </w:r>
          </w:p>
        </w:tc>
        <w:tc>
          <w:tcPr>
            <w:tcW w:w="822" w:type="pct"/>
          </w:tcPr>
          <w:p w14:paraId="010B9816" w14:textId="77777777" w:rsidR="008E67EA" w:rsidRDefault="008E67EA" w:rsidP="00B44A74">
            <w:pPr>
              <w:pStyle w:val="GazetteTableText"/>
            </w:pPr>
            <w:r w:rsidRPr="00AA105E">
              <w:t>Commercial</w:t>
            </w:r>
          </w:p>
        </w:tc>
        <w:tc>
          <w:tcPr>
            <w:tcW w:w="970" w:type="pct"/>
          </w:tcPr>
          <w:p w14:paraId="34D643C2" w14:textId="77777777" w:rsidR="008E67EA" w:rsidRDefault="008E67EA" w:rsidP="00B44A74">
            <w:pPr>
              <w:pStyle w:val="GazetteTableText"/>
            </w:pPr>
            <w:r w:rsidRPr="004C07C1">
              <w:t>RB 0.05 g/kg or less in pellet formulation</w:t>
            </w:r>
          </w:p>
        </w:tc>
        <w:tc>
          <w:tcPr>
            <w:tcW w:w="498" w:type="pct"/>
          </w:tcPr>
          <w:p w14:paraId="1AF2330F" w14:textId="77777777" w:rsidR="008E67EA" w:rsidRDefault="008E67EA" w:rsidP="00B44A74">
            <w:pPr>
              <w:pStyle w:val="GazetteTableText"/>
            </w:pPr>
            <w:r w:rsidRPr="00310CEC">
              <w:t>3b</w:t>
            </w:r>
          </w:p>
        </w:tc>
      </w:tr>
      <w:tr w:rsidR="008E67EA" w14:paraId="7653966C" w14:textId="77777777" w:rsidTr="00731415">
        <w:tc>
          <w:tcPr>
            <w:tcW w:w="601" w:type="pct"/>
          </w:tcPr>
          <w:p w14:paraId="3036AE59" w14:textId="77777777" w:rsidR="008E67EA" w:rsidRDefault="008E67EA" w:rsidP="00B44A74">
            <w:pPr>
              <w:pStyle w:val="GazetteTableText"/>
            </w:pPr>
            <w:r w:rsidRPr="00674D09">
              <w:t>68122</w:t>
            </w:r>
          </w:p>
        </w:tc>
        <w:tc>
          <w:tcPr>
            <w:tcW w:w="1382" w:type="pct"/>
          </w:tcPr>
          <w:p w14:paraId="3CCB565D" w14:textId="77777777" w:rsidR="008E67EA" w:rsidRPr="00B75907" w:rsidRDefault="008E67EA" w:rsidP="00B44A74">
            <w:pPr>
              <w:pStyle w:val="GazetteTableText"/>
            </w:pPr>
            <w:r w:rsidRPr="00674D09">
              <w:t>Pestmaster Rat &amp; Mouse Killer Wax Blocks</w:t>
            </w:r>
          </w:p>
        </w:tc>
        <w:tc>
          <w:tcPr>
            <w:tcW w:w="727" w:type="pct"/>
          </w:tcPr>
          <w:p w14:paraId="5FBCF2F1" w14:textId="77777777" w:rsidR="008E67EA" w:rsidRDefault="008E67EA" w:rsidP="00B44A74">
            <w:pPr>
              <w:pStyle w:val="GazetteTableText"/>
            </w:pPr>
            <w:r w:rsidRPr="009A4983">
              <w:t>Brodifacoum</w:t>
            </w:r>
          </w:p>
        </w:tc>
        <w:tc>
          <w:tcPr>
            <w:tcW w:w="822" w:type="pct"/>
          </w:tcPr>
          <w:p w14:paraId="6EC0FA7D" w14:textId="77777777" w:rsidR="008E67EA" w:rsidRDefault="008E67EA" w:rsidP="00B44A74">
            <w:pPr>
              <w:pStyle w:val="GazetteTableText"/>
            </w:pPr>
            <w:r w:rsidRPr="00AA105E">
              <w:t>Commercial</w:t>
            </w:r>
          </w:p>
        </w:tc>
        <w:tc>
          <w:tcPr>
            <w:tcW w:w="970" w:type="pct"/>
          </w:tcPr>
          <w:p w14:paraId="7C567FAC" w14:textId="77777777" w:rsidR="008E67EA" w:rsidRDefault="008E67EA" w:rsidP="00B44A74">
            <w:pPr>
              <w:pStyle w:val="GazetteTableText"/>
            </w:pPr>
            <w:r w:rsidRPr="00AA105E">
              <w:t>RB 0.05 g/kg or less in block formulation</w:t>
            </w:r>
          </w:p>
        </w:tc>
        <w:tc>
          <w:tcPr>
            <w:tcW w:w="498" w:type="pct"/>
          </w:tcPr>
          <w:p w14:paraId="1D6CE9D7" w14:textId="77777777" w:rsidR="008E67EA" w:rsidRDefault="008E67EA" w:rsidP="00B44A74">
            <w:pPr>
              <w:pStyle w:val="GazetteTableText"/>
            </w:pPr>
            <w:r w:rsidRPr="00310CEC">
              <w:t>1d</w:t>
            </w:r>
          </w:p>
        </w:tc>
      </w:tr>
      <w:tr w:rsidR="008E67EA" w14:paraId="65508BFF" w14:textId="77777777" w:rsidTr="00731415">
        <w:tc>
          <w:tcPr>
            <w:tcW w:w="601" w:type="pct"/>
          </w:tcPr>
          <w:p w14:paraId="7FBEABB6" w14:textId="77777777" w:rsidR="008E67EA" w:rsidRDefault="008E67EA" w:rsidP="00B44A74">
            <w:pPr>
              <w:pStyle w:val="GazetteTableText"/>
            </w:pPr>
            <w:r w:rsidRPr="00674D09">
              <w:t>69017</w:t>
            </w:r>
          </w:p>
        </w:tc>
        <w:tc>
          <w:tcPr>
            <w:tcW w:w="1382" w:type="pct"/>
          </w:tcPr>
          <w:p w14:paraId="50CE5655" w14:textId="77777777" w:rsidR="008E67EA" w:rsidRPr="00B75907" w:rsidRDefault="008E67EA" w:rsidP="00B44A74">
            <w:pPr>
              <w:pStyle w:val="GazetteTableText"/>
            </w:pPr>
            <w:r w:rsidRPr="00674D09">
              <w:t>Fast Action Ratsak Reusable Mouse Bait Station with Wax Blocks</w:t>
            </w:r>
          </w:p>
        </w:tc>
        <w:tc>
          <w:tcPr>
            <w:tcW w:w="727" w:type="pct"/>
          </w:tcPr>
          <w:p w14:paraId="16D2E667" w14:textId="77777777" w:rsidR="008E67EA" w:rsidRDefault="008E67EA" w:rsidP="00B44A74">
            <w:pPr>
              <w:pStyle w:val="GazetteTableText"/>
            </w:pPr>
            <w:r w:rsidRPr="009A4983">
              <w:t>Brodifacoum</w:t>
            </w:r>
          </w:p>
        </w:tc>
        <w:tc>
          <w:tcPr>
            <w:tcW w:w="822" w:type="pct"/>
          </w:tcPr>
          <w:p w14:paraId="33DDC9FF" w14:textId="77777777" w:rsidR="008E67EA" w:rsidRDefault="008E67EA" w:rsidP="00B44A74">
            <w:pPr>
              <w:pStyle w:val="GazetteTableText"/>
            </w:pPr>
            <w:r>
              <w:t>Domestic</w:t>
            </w:r>
          </w:p>
        </w:tc>
        <w:tc>
          <w:tcPr>
            <w:tcW w:w="970" w:type="pct"/>
          </w:tcPr>
          <w:p w14:paraId="5E9B078A" w14:textId="77777777" w:rsidR="008E67EA" w:rsidRDefault="008E67EA" w:rsidP="00B44A74">
            <w:pPr>
              <w:pStyle w:val="GazetteTableText"/>
            </w:pPr>
            <w:r w:rsidRPr="00AA105E">
              <w:t>RB 0.05 g/kg or less in block formulation</w:t>
            </w:r>
          </w:p>
        </w:tc>
        <w:tc>
          <w:tcPr>
            <w:tcW w:w="498" w:type="pct"/>
          </w:tcPr>
          <w:p w14:paraId="7C7D130B" w14:textId="77777777" w:rsidR="008E67EA" w:rsidRDefault="008E67EA" w:rsidP="00B44A74">
            <w:pPr>
              <w:pStyle w:val="GazetteTableText"/>
            </w:pPr>
            <w:r w:rsidRPr="003D301E">
              <w:t>5b</w:t>
            </w:r>
          </w:p>
        </w:tc>
      </w:tr>
      <w:tr w:rsidR="008E67EA" w14:paraId="13B870FA" w14:textId="77777777" w:rsidTr="00731415">
        <w:tc>
          <w:tcPr>
            <w:tcW w:w="601" w:type="pct"/>
          </w:tcPr>
          <w:p w14:paraId="5E17B158" w14:textId="77777777" w:rsidR="008E67EA" w:rsidRDefault="008E67EA" w:rsidP="00B44A74">
            <w:pPr>
              <w:pStyle w:val="GazetteTableText"/>
            </w:pPr>
            <w:r w:rsidRPr="00674D09">
              <w:t>69119</w:t>
            </w:r>
          </w:p>
        </w:tc>
        <w:tc>
          <w:tcPr>
            <w:tcW w:w="1382" w:type="pct"/>
          </w:tcPr>
          <w:p w14:paraId="4DFB5289" w14:textId="77777777" w:rsidR="008E67EA" w:rsidRPr="00B75907" w:rsidRDefault="008E67EA" w:rsidP="00B44A74">
            <w:pPr>
              <w:pStyle w:val="GazetteTableText"/>
            </w:pPr>
            <w:r w:rsidRPr="00674D09">
              <w:t>Fast Action Ratsak Reusable Rodent Bait Station with Wax Blocks</w:t>
            </w:r>
          </w:p>
        </w:tc>
        <w:tc>
          <w:tcPr>
            <w:tcW w:w="727" w:type="pct"/>
          </w:tcPr>
          <w:p w14:paraId="3D9A3C3E" w14:textId="77777777" w:rsidR="008E67EA" w:rsidRDefault="008E67EA" w:rsidP="00B44A74">
            <w:pPr>
              <w:pStyle w:val="GazetteTableText"/>
            </w:pPr>
            <w:r w:rsidRPr="009A4983">
              <w:t>Brodifacoum</w:t>
            </w:r>
          </w:p>
        </w:tc>
        <w:tc>
          <w:tcPr>
            <w:tcW w:w="822" w:type="pct"/>
          </w:tcPr>
          <w:p w14:paraId="6105F4A2" w14:textId="77777777" w:rsidR="008E67EA" w:rsidRDefault="008E67EA" w:rsidP="00B44A74">
            <w:pPr>
              <w:pStyle w:val="GazetteTableText"/>
            </w:pPr>
            <w:r>
              <w:t>Domestic</w:t>
            </w:r>
          </w:p>
        </w:tc>
        <w:tc>
          <w:tcPr>
            <w:tcW w:w="970" w:type="pct"/>
          </w:tcPr>
          <w:p w14:paraId="3C86CA16" w14:textId="77777777" w:rsidR="008E67EA" w:rsidRDefault="008E67EA" w:rsidP="00B44A74">
            <w:pPr>
              <w:pStyle w:val="GazetteTableText"/>
            </w:pPr>
            <w:r w:rsidRPr="00AA105E">
              <w:t>RB 0.05 g/kg or less in block formulation</w:t>
            </w:r>
          </w:p>
        </w:tc>
        <w:tc>
          <w:tcPr>
            <w:tcW w:w="498" w:type="pct"/>
          </w:tcPr>
          <w:p w14:paraId="1A0382AA" w14:textId="77777777" w:rsidR="008E67EA" w:rsidRDefault="008E67EA" w:rsidP="00B44A74">
            <w:pPr>
              <w:pStyle w:val="GazetteTableText"/>
            </w:pPr>
            <w:r w:rsidRPr="003D301E">
              <w:t>5a</w:t>
            </w:r>
          </w:p>
        </w:tc>
      </w:tr>
      <w:tr w:rsidR="008E67EA" w14:paraId="37E1F955" w14:textId="77777777" w:rsidTr="00731415">
        <w:tc>
          <w:tcPr>
            <w:tcW w:w="601" w:type="pct"/>
          </w:tcPr>
          <w:p w14:paraId="25D2E9A9" w14:textId="77777777" w:rsidR="008E67EA" w:rsidRDefault="008E67EA" w:rsidP="00B44A74">
            <w:pPr>
              <w:pStyle w:val="GazetteTableText"/>
            </w:pPr>
            <w:r w:rsidRPr="00674D09">
              <w:t>69158</w:t>
            </w:r>
          </w:p>
        </w:tc>
        <w:tc>
          <w:tcPr>
            <w:tcW w:w="1382" w:type="pct"/>
          </w:tcPr>
          <w:p w14:paraId="275AACC5" w14:textId="77777777" w:rsidR="008E67EA" w:rsidRPr="00B75907" w:rsidRDefault="008E67EA" w:rsidP="00B44A74">
            <w:pPr>
              <w:pStyle w:val="GazetteTableText"/>
            </w:pPr>
            <w:r w:rsidRPr="00674D09">
              <w:t>Fast Action Ratsak Disposable Mouse Bait Station with Wax Block</w:t>
            </w:r>
          </w:p>
        </w:tc>
        <w:tc>
          <w:tcPr>
            <w:tcW w:w="727" w:type="pct"/>
          </w:tcPr>
          <w:p w14:paraId="5CA2DA21" w14:textId="77777777" w:rsidR="008E67EA" w:rsidRDefault="008E67EA" w:rsidP="00B44A74">
            <w:pPr>
              <w:pStyle w:val="GazetteTableText"/>
            </w:pPr>
            <w:r w:rsidRPr="009A4983">
              <w:t>Brodifacoum</w:t>
            </w:r>
          </w:p>
        </w:tc>
        <w:tc>
          <w:tcPr>
            <w:tcW w:w="822" w:type="pct"/>
          </w:tcPr>
          <w:p w14:paraId="6E9718A6" w14:textId="77777777" w:rsidR="008E67EA" w:rsidRDefault="008E67EA" w:rsidP="00B44A74">
            <w:pPr>
              <w:pStyle w:val="GazetteTableText"/>
            </w:pPr>
            <w:r>
              <w:t>Domestic</w:t>
            </w:r>
          </w:p>
        </w:tc>
        <w:tc>
          <w:tcPr>
            <w:tcW w:w="970" w:type="pct"/>
          </w:tcPr>
          <w:p w14:paraId="35999164" w14:textId="77777777" w:rsidR="008E67EA" w:rsidRDefault="008E67EA" w:rsidP="00B44A74">
            <w:pPr>
              <w:pStyle w:val="GazetteTableText"/>
            </w:pPr>
            <w:r w:rsidRPr="00AA105E">
              <w:t>RB 0.05 g/kg or less in block formulation</w:t>
            </w:r>
          </w:p>
        </w:tc>
        <w:tc>
          <w:tcPr>
            <w:tcW w:w="498" w:type="pct"/>
          </w:tcPr>
          <w:p w14:paraId="5F6B712F" w14:textId="77777777" w:rsidR="008E67EA" w:rsidRDefault="008E67EA" w:rsidP="00B44A74">
            <w:pPr>
              <w:pStyle w:val="GazetteTableText"/>
            </w:pPr>
            <w:r w:rsidRPr="003D301E">
              <w:t>5b</w:t>
            </w:r>
          </w:p>
        </w:tc>
      </w:tr>
      <w:tr w:rsidR="008E67EA" w14:paraId="1F301AFE" w14:textId="77777777" w:rsidTr="00731415">
        <w:tc>
          <w:tcPr>
            <w:tcW w:w="601" w:type="pct"/>
          </w:tcPr>
          <w:p w14:paraId="732702E0" w14:textId="77777777" w:rsidR="008E67EA" w:rsidRDefault="008E67EA" w:rsidP="00B44A74">
            <w:pPr>
              <w:pStyle w:val="GazetteTableText"/>
            </w:pPr>
            <w:r w:rsidRPr="00674D09">
              <w:t>69209</w:t>
            </w:r>
          </w:p>
        </w:tc>
        <w:tc>
          <w:tcPr>
            <w:tcW w:w="1382" w:type="pct"/>
          </w:tcPr>
          <w:p w14:paraId="3AA632C7" w14:textId="77777777" w:rsidR="008E67EA" w:rsidRPr="00B75907" w:rsidRDefault="008E67EA" w:rsidP="00B44A74">
            <w:pPr>
              <w:pStyle w:val="GazetteTableText"/>
            </w:pPr>
            <w:r w:rsidRPr="00674D09">
              <w:t>Ratshot Rapidkill Rodenticide Blocks</w:t>
            </w:r>
          </w:p>
        </w:tc>
        <w:tc>
          <w:tcPr>
            <w:tcW w:w="727" w:type="pct"/>
          </w:tcPr>
          <w:p w14:paraId="14F6C93F" w14:textId="77777777" w:rsidR="008E67EA" w:rsidRDefault="008E67EA" w:rsidP="00B44A74">
            <w:pPr>
              <w:pStyle w:val="GazetteTableText"/>
            </w:pPr>
            <w:r w:rsidRPr="009A4983">
              <w:t>Brodifacoum</w:t>
            </w:r>
          </w:p>
        </w:tc>
        <w:tc>
          <w:tcPr>
            <w:tcW w:w="822" w:type="pct"/>
          </w:tcPr>
          <w:p w14:paraId="5A933E44" w14:textId="77777777" w:rsidR="008E67EA" w:rsidRDefault="008E67EA" w:rsidP="00B44A74">
            <w:pPr>
              <w:pStyle w:val="GazetteTableText"/>
            </w:pPr>
            <w:r w:rsidRPr="00AA105E">
              <w:t>Commercial</w:t>
            </w:r>
          </w:p>
        </w:tc>
        <w:tc>
          <w:tcPr>
            <w:tcW w:w="970" w:type="pct"/>
          </w:tcPr>
          <w:p w14:paraId="5DC8A260" w14:textId="77777777" w:rsidR="008E67EA" w:rsidRDefault="008E67EA" w:rsidP="00B44A74">
            <w:pPr>
              <w:pStyle w:val="GazetteTableText"/>
            </w:pPr>
            <w:r w:rsidRPr="00AA105E">
              <w:t>RB 0.05 g/kg or less in block formulation</w:t>
            </w:r>
          </w:p>
        </w:tc>
        <w:tc>
          <w:tcPr>
            <w:tcW w:w="498" w:type="pct"/>
          </w:tcPr>
          <w:p w14:paraId="750A1763" w14:textId="77777777" w:rsidR="008E67EA" w:rsidRDefault="008E67EA" w:rsidP="00B44A74">
            <w:pPr>
              <w:pStyle w:val="GazetteTableText"/>
            </w:pPr>
            <w:r w:rsidRPr="00310CEC">
              <w:t>1b</w:t>
            </w:r>
          </w:p>
        </w:tc>
      </w:tr>
      <w:tr w:rsidR="008E67EA" w14:paraId="74D19A0D" w14:textId="77777777" w:rsidTr="00731415">
        <w:tc>
          <w:tcPr>
            <w:tcW w:w="601" w:type="pct"/>
          </w:tcPr>
          <w:p w14:paraId="138836A7" w14:textId="77777777" w:rsidR="008E67EA" w:rsidRDefault="008E67EA" w:rsidP="00B44A74">
            <w:pPr>
              <w:pStyle w:val="GazetteTableText"/>
            </w:pPr>
            <w:r w:rsidRPr="00674D09">
              <w:t>69210</w:t>
            </w:r>
          </w:p>
        </w:tc>
        <w:tc>
          <w:tcPr>
            <w:tcW w:w="1382" w:type="pct"/>
          </w:tcPr>
          <w:p w14:paraId="6BA556DE" w14:textId="77777777" w:rsidR="008E67EA" w:rsidRPr="00B75907" w:rsidRDefault="008E67EA" w:rsidP="00B44A74">
            <w:pPr>
              <w:pStyle w:val="GazetteTableText"/>
            </w:pPr>
            <w:r w:rsidRPr="00674D09">
              <w:t>Ratshot Final Kill Paste Rodenticide</w:t>
            </w:r>
          </w:p>
        </w:tc>
        <w:tc>
          <w:tcPr>
            <w:tcW w:w="727" w:type="pct"/>
          </w:tcPr>
          <w:p w14:paraId="41027750" w14:textId="77777777" w:rsidR="008E67EA" w:rsidRDefault="008E67EA" w:rsidP="00B44A74">
            <w:pPr>
              <w:pStyle w:val="GazetteTableText"/>
            </w:pPr>
            <w:r w:rsidRPr="009A4983">
              <w:t>Brodifacoum</w:t>
            </w:r>
          </w:p>
        </w:tc>
        <w:tc>
          <w:tcPr>
            <w:tcW w:w="822" w:type="pct"/>
          </w:tcPr>
          <w:p w14:paraId="16A80ADC" w14:textId="77777777" w:rsidR="008E67EA" w:rsidRDefault="008E67EA" w:rsidP="00B44A74">
            <w:pPr>
              <w:pStyle w:val="GazetteTableText"/>
            </w:pPr>
            <w:r w:rsidRPr="00AA105E">
              <w:t>Commercial</w:t>
            </w:r>
          </w:p>
        </w:tc>
        <w:tc>
          <w:tcPr>
            <w:tcW w:w="970" w:type="pct"/>
          </w:tcPr>
          <w:p w14:paraId="47B568BF" w14:textId="77777777" w:rsidR="008E67EA" w:rsidRDefault="008E67EA" w:rsidP="00B44A74">
            <w:pPr>
              <w:pStyle w:val="GazetteTableText"/>
            </w:pPr>
            <w:r w:rsidRPr="00AA105E">
              <w:t>RB 0.05 g/kg or less in sachet or place pack</w:t>
            </w:r>
          </w:p>
        </w:tc>
        <w:tc>
          <w:tcPr>
            <w:tcW w:w="498" w:type="pct"/>
          </w:tcPr>
          <w:p w14:paraId="15804487" w14:textId="77777777" w:rsidR="008E67EA" w:rsidRDefault="008E67EA" w:rsidP="00B44A74">
            <w:pPr>
              <w:pStyle w:val="GazetteTableText"/>
            </w:pPr>
            <w:r w:rsidRPr="00FF66FF">
              <w:t>4b</w:t>
            </w:r>
          </w:p>
        </w:tc>
      </w:tr>
      <w:tr w:rsidR="008E67EA" w14:paraId="757B8A31" w14:textId="77777777" w:rsidTr="00731415">
        <w:tc>
          <w:tcPr>
            <w:tcW w:w="601" w:type="pct"/>
          </w:tcPr>
          <w:p w14:paraId="280FC89B" w14:textId="77777777" w:rsidR="008E67EA" w:rsidRDefault="008E67EA" w:rsidP="00B44A74">
            <w:pPr>
              <w:pStyle w:val="GazetteTableText"/>
            </w:pPr>
            <w:r w:rsidRPr="00674D09">
              <w:t>69643</w:t>
            </w:r>
          </w:p>
        </w:tc>
        <w:tc>
          <w:tcPr>
            <w:tcW w:w="1382" w:type="pct"/>
          </w:tcPr>
          <w:p w14:paraId="008F9ABC" w14:textId="77777777" w:rsidR="008E67EA" w:rsidRPr="00B75907" w:rsidRDefault="008E67EA" w:rsidP="00B44A74">
            <w:pPr>
              <w:pStyle w:val="GazetteTableText"/>
            </w:pPr>
            <w:r w:rsidRPr="00674D09">
              <w:t>Ratal B Rat Blocks</w:t>
            </w:r>
          </w:p>
        </w:tc>
        <w:tc>
          <w:tcPr>
            <w:tcW w:w="727" w:type="pct"/>
          </w:tcPr>
          <w:p w14:paraId="202FC928" w14:textId="77777777" w:rsidR="008E67EA" w:rsidRDefault="008E67EA" w:rsidP="00B44A74">
            <w:pPr>
              <w:pStyle w:val="GazetteTableText"/>
            </w:pPr>
            <w:r w:rsidRPr="009A4983">
              <w:t>Brodifacoum</w:t>
            </w:r>
          </w:p>
        </w:tc>
        <w:tc>
          <w:tcPr>
            <w:tcW w:w="822" w:type="pct"/>
          </w:tcPr>
          <w:p w14:paraId="6444D979" w14:textId="77777777" w:rsidR="008E67EA" w:rsidRDefault="008E67EA" w:rsidP="00B44A74">
            <w:pPr>
              <w:pStyle w:val="GazetteTableText"/>
            </w:pPr>
            <w:r w:rsidRPr="00AA105E">
              <w:t>Commercial</w:t>
            </w:r>
          </w:p>
        </w:tc>
        <w:tc>
          <w:tcPr>
            <w:tcW w:w="970" w:type="pct"/>
          </w:tcPr>
          <w:p w14:paraId="4057E969" w14:textId="77777777" w:rsidR="008E67EA" w:rsidRDefault="008E67EA" w:rsidP="00B44A74">
            <w:pPr>
              <w:pStyle w:val="GazetteTableText"/>
            </w:pPr>
            <w:r w:rsidRPr="00AA105E">
              <w:t>RB 0.05 g/kg or less in block formulation</w:t>
            </w:r>
          </w:p>
        </w:tc>
        <w:tc>
          <w:tcPr>
            <w:tcW w:w="498" w:type="pct"/>
          </w:tcPr>
          <w:p w14:paraId="07A23944" w14:textId="77777777" w:rsidR="008E67EA" w:rsidRDefault="008E67EA" w:rsidP="00B44A74">
            <w:pPr>
              <w:pStyle w:val="GazetteTableText"/>
            </w:pPr>
            <w:r w:rsidRPr="00310CEC">
              <w:t>1d</w:t>
            </w:r>
          </w:p>
        </w:tc>
      </w:tr>
      <w:tr w:rsidR="008E67EA" w14:paraId="02E668E1" w14:textId="77777777" w:rsidTr="00731415">
        <w:tc>
          <w:tcPr>
            <w:tcW w:w="601" w:type="pct"/>
          </w:tcPr>
          <w:p w14:paraId="1F716540" w14:textId="77777777" w:rsidR="008E67EA" w:rsidRDefault="008E67EA" w:rsidP="00B44A74">
            <w:pPr>
              <w:pStyle w:val="GazetteTableText"/>
            </w:pPr>
            <w:r w:rsidRPr="00674D09">
              <w:t>69867</w:t>
            </w:r>
          </w:p>
        </w:tc>
        <w:tc>
          <w:tcPr>
            <w:tcW w:w="1382" w:type="pct"/>
          </w:tcPr>
          <w:p w14:paraId="5C460E02" w14:textId="77777777" w:rsidR="008E67EA" w:rsidRPr="00B75907" w:rsidRDefault="008E67EA" w:rsidP="00B44A74">
            <w:pPr>
              <w:pStyle w:val="GazetteTableText"/>
            </w:pPr>
            <w:r w:rsidRPr="00674D09">
              <w:t>Klerat Xt Pro Rodenticide Wax Blocks</w:t>
            </w:r>
          </w:p>
        </w:tc>
        <w:tc>
          <w:tcPr>
            <w:tcW w:w="727" w:type="pct"/>
          </w:tcPr>
          <w:p w14:paraId="069440B1" w14:textId="77777777" w:rsidR="008E67EA" w:rsidRDefault="008E67EA" w:rsidP="00B44A74">
            <w:pPr>
              <w:pStyle w:val="GazetteTableText"/>
            </w:pPr>
            <w:r w:rsidRPr="009A4983">
              <w:t>Brodifacoum</w:t>
            </w:r>
          </w:p>
        </w:tc>
        <w:tc>
          <w:tcPr>
            <w:tcW w:w="822" w:type="pct"/>
          </w:tcPr>
          <w:p w14:paraId="0082713D" w14:textId="77777777" w:rsidR="008E67EA" w:rsidRDefault="008E67EA" w:rsidP="00B44A74">
            <w:pPr>
              <w:pStyle w:val="GazetteTableText"/>
            </w:pPr>
            <w:r w:rsidRPr="00AA105E">
              <w:t>Commercial</w:t>
            </w:r>
          </w:p>
        </w:tc>
        <w:tc>
          <w:tcPr>
            <w:tcW w:w="970" w:type="pct"/>
          </w:tcPr>
          <w:p w14:paraId="273EE7B6" w14:textId="77777777" w:rsidR="008E67EA" w:rsidRDefault="008E67EA" w:rsidP="00B44A74">
            <w:pPr>
              <w:pStyle w:val="GazetteTableText"/>
            </w:pPr>
            <w:r w:rsidRPr="00AA105E">
              <w:t>RB 0.05 g/kg or less in block formulation</w:t>
            </w:r>
          </w:p>
        </w:tc>
        <w:tc>
          <w:tcPr>
            <w:tcW w:w="498" w:type="pct"/>
          </w:tcPr>
          <w:p w14:paraId="334BED96" w14:textId="77777777" w:rsidR="008E67EA" w:rsidRDefault="008E67EA" w:rsidP="00B44A74">
            <w:pPr>
              <w:pStyle w:val="GazetteTableText"/>
            </w:pPr>
            <w:r w:rsidRPr="00310CEC">
              <w:t>1a</w:t>
            </w:r>
          </w:p>
        </w:tc>
      </w:tr>
      <w:tr w:rsidR="008E67EA" w14:paraId="378469EC" w14:textId="77777777" w:rsidTr="00731415">
        <w:tc>
          <w:tcPr>
            <w:tcW w:w="601" w:type="pct"/>
          </w:tcPr>
          <w:p w14:paraId="5C521F3F" w14:textId="77777777" w:rsidR="008E67EA" w:rsidRDefault="008E67EA" w:rsidP="00B44A74">
            <w:pPr>
              <w:pStyle w:val="GazetteTableText"/>
            </w:pPr>
            <w:r w:rsidRPr="00674D09">
              <w:t>80029</w:t>
            </w:r>
          </w:p>
        </w:tc>
        <w:tc>
          <w:tcPr>
            <w:tcW w:w="1382" w:type="pct"/>
          </w:tcPr>
          <w:p w14:paraId="5585891E" w14:textId="77777777" w:rsidR="008E67EA" w:rsidRPr="00B75907" w:rsidRDefault="008E67EA" w:rsidP="00B44A74">
            <w:pPr>
              <w:pStyle w:val="GazetteTableText"/>
            </w:pPr>
            <w:r w:rsidRPr="00674D09">
              <w:t>Ratshot One Shot Rodenticide Pellets</w:t>
            </w:r>
          </w:p>
        </w:tc>
        <w:tc>
          <w:tcPr>
            <w:tcW w:w="727" w:type="pct"/>
          </w:tcPr>
          <w:p w14:paraId="7EEA3928" w14:textId="77777777" w:rsidR="008E67EA" w:rsidRDefault="008E67EA" w:rsidP="00B44A74">
            <w:pPr>
              <w:pStyle w:val="GazetteTableText"/>
            </w:pPr>
            <w:r w:rsidRPr="009A4983">
              <w:t>Brodifacoum</w:t>
            </w:r>
          </w:p>
        </w:tc>
        <w:tc>
          <w:tcPr>
            <w:tcW w:w="822" w:type="pct"/>
          </w:tcPr>
          <w:p w14:paraId="7A9FBDFF" w14:textId="77777777" w:rsidR="008E67EA" w:rsidRDefault="008E67EA" w:rsidP="00B44A74">
            <w:pPr>
              <w:pStyle w:val="GazetteTableText"/>
            </w:pPr>
            <w:r w:rsidRPr="00AA105E">
              <w:t>Commercial</w:t>
            </w:r>
          </w:p>
        </w:tc>
        <w:tc>
          <w:tcPr>
            <w:tcW w:w="970" w:type="pct"/>
          </w:tcPr>
          <w:p w14:paraId="5D48D340" w14:textId="77777777" w:rsidR="008E67EA" w:rsidRDefault="008E67EA" w:rsidP="00B44A74">
            <w:pPr>
              <w:pStyle w:val="GazetteTableText"/>
            </w:pPr>
            <w:r w:rsidRPr="004C07C1">
              <w:t>RB 0.05 g/kg or less in pellet formulation</w:t>
            </w:r>
          </w:p>
        </w:tc>
        <w:tc>
          <w:tcPr>
            <w:tcW w:w="498" w:type="pct"/>
          </w:tcPr>
          <w:p w14:paraId="4DDD2294" w14:textId="77777777" w:rsidR="008E67EA" w:rsidRDefault="008E67EA" w:rsidP="00B44A74">
            <w:pPr>
              <w:pStyle w:val="GazetteTableText"/>
            </w:pPr>
            <w:r w:rsidRPr="00310CEC">
              <w:t>3b</w:t>
            </w:r>
          </w:p>
        </w:tc>
      </w:tr>
      <w:tr w:rsidR="008E67EA" w14:paraId="4AC3D25E" w14:textId="77777777" w:rsidTr="00731415">
        <w:tc>
          <w:tcPr>
            <w:tcW w:w="601" w:type="pct"/>
          </w:tcPr>
          <w:p w14:paraId="6DE05A9F" w14:textId="77777777" w:rsidR="008E67EA" w:rsidRDefault="008E67EA" w:rsidP="00B44A74">
            <w:pPr>
              <w:pStyle w:val="GazetteTableText"/>
            </w:pPr>
            <w:r w:rsidRPr="00674D09">
              <w:t>80059</w:t>
            </w:r>
          </w:p>
        </w:tc>
        <w:tc>
          <w:tcPr>
            <w:tcW w:w="1382" w:type="pct"/>
          </w:tcPr>
          <w:p w14:paraId="53018870" w14:textId="77777777" w:rsidR="008E67EA" w:rsidRPr="00B75907" w:rsidRDefault="008E67EA" w:rsidP="00B44A74">
            <w:pPr>
              <w:pStyle w:val="GazetteTableText"/>
            </w:pPr>
            <w:r w:rsidRPr="00674D09">
              <w:t>Farmalinx Rodi Pellets</w:t>
            </w:r>
          </w:p>
        </w:tc>
        <w:tc>
          <w:tcPr>
            <w:tcW w:w="727" w:type="pct"/>
          </w:tcPr>
          <w:p w14:paraId="7CDC0222" w14:textId="77777777" w:rsidR="008E67EA" w:rsidRDefault="008E67EA" w:rsidP="00B44A74">
            <w:pPr>
              <w:pStyle w:val="GazetteTableText"/>
            </w:pPr>
            <w:r w:rsidRPr="009A4983">
              <w:t>Brodifacoum</w:t>
            </w:r>
          </w:p>
        </w:tc>
        <w:tc>
          <w:tcPr>
            <w:tcW w:w="822" w:type="pct"/>
          </w:tcPr>
          <w:p w14:paraId="1F4ABD34" w14:textId="77777777" w:rsidR="008E67EA" w:rsidRDefault="008E67EA" w:rsidP="00B44A74">
            <w:pPr>
              <w:pStyle w:val="GazetteTableText"/>
            </w:pPr>
            <w:r w:rsidRPr="00AA105E">
              <w:t>Commercial</w:t>
            </w:r>
          </w:p>
        </w:tc>
        <w:tc>
          <w:tcPr>
            <w:tcW w:w="970" w:type="pct"/>
          </w:tcPr>
          <w:p w14:paraId="11492845" w14:textId="77777777" w:rsidR="008E67EA" w:rsidRDefault="008E67EA" w:rsidP="00B44A74">
            <w:pPr>
              <w:pStyle w:val="GazetteTableText"/>
            </w:pPr>
            <w:r w:rsidRPr="004C07C1">
              <w:t>RB 0.05 g/kg or less in pellet formulation</w:t>
            </w:r>
          </w:p>
        </w:tc>
        <w:tc>
          <w:tcPr>
            <w:tcW w:w="498" w:type="pct"/>
          </w:tcPr>
          <w:p w14:paraId="3E9A9145" w14:textId="77777777" w:rsidR="008E67EA" w:rsidRDefault="008E67EA" w:rsidP="00B44A74">
            <w:pPr>
              <w:pStyle w:val="GazetteTableText"/>
            </w:pPr>
            <w:r w:rsidRPr="00310CEC">
              <w:t>3b</w:t>
            </w:r>
          </w:p>
        </w:tc>
      </w:tr>
      <w:tr w:rsidR="008E67EA" w14:paraId="620DF347" w14:textId="77777777" w:rsidTr="00731415">
        <w:tc>
          <w:tcPr>
            <w:tcW w:w="601" w:type="pct"/>
          </w:tcPr>
          <w:p w14:paraId="556A32DE" w14:textId="77777777" w:rsidR="008E67EA" w:rsidRDefault="008E67EA" w:rsidP="00B44A74">
            <w:pPr>
              <w:pStyle w:val="GazetteTableText"/>
            </w:pPr>
            <w:r w:rsidRPr="00674D09">
              <w:t>81663</w:t>
            </w:r>
          </w:p>
        </w:tc>
        <w:tc>
          <w:tcPr>
            <w:tcW w:w="1382" w:type="pct"/>
          </w:tcPr>
          <w:p w14:paraId="662E5CDE" w14:textId="77777777" w:rsidR="008E67EA" w:rsidRPr="00B75907" w:rsidRDefault="008E67EA" w:rsidP="00B44A74">
            <w:pPr>
              <w:pStyle w:val="GazetteTableText"/>
            </w:pPr>
            <w:r w:rsidRPr="00674D09">
              <w:t>The Big Cheese Ultra Power Fast Action Bait Blocks</w:t>
            </w:r>
          </w:p>
        </w:tc>
        <w:tc>
          <w:tcPr>
            <w:tcW w:w="727" w:type="pct"/>
          </w:tcPr>
          <w:p w14:paraId="1BAD91E8" w14:textId="77777777" w:rsidR="008E67EA" w:rsidRDefault="008E67EA" w:rsidP="00B44A74">
            <w:pPr>
              <w:pStyle w:val="GazetteTableText"/>
              <w:ind w:left="720" w:hanging="720"/>
            </w:pPr>
            <w:r w:rsidRPr="009A4983">
              <w:t>Brodifacoum</w:t>
            </w:r>
          </w:p>
        </w:tc>
        <w:tc>
          <w:tcPr>
            <w:tcW w:w="822" w:type="pct"/>
          </w:tcPr>
          <w:p w14:paraId="6CC34247" w14:textId="77777777" w:rsidR="008E67EA" w:rsidRDefault="008E67EA" w:rsidP="00B44A74">
            <w:pPr>
              <w:pStyle w:val="GazetteTableText"/>
              <w:ind w:left="720" w:hanging="720"/>
            </w:pPr>
            <w:r w:rsidRPr="00AA105E">
              <w:t>Commercial</w:t>
            </w:r>
          </w:p>
        </w:tc>
        <w:tc>
          <w:tcPr>
            <w:tcW w:w="970" w:type="pct"/>
          </w:tcPr>
          <w:p w14:paraId="19D28532" w14:textId="77777777" w:rsidR="008E67EA" w:rsidRDefault="008E67EA" w:rsidP="00B44A74">
            <w:pPr>
              <w:pStyle w:val="GazetteTableText"/>
            </w:pPr>
            <w:r w:rsidRPr="00AA105E">
              <w:t>RB 0.05 g/kg or less in block formulation</w:t>
            </w:r>
          </w:p>
        </w:tc>
        <w:tc>
          <w:tcPr>
            <w:tcW w:w="498" w:type="pct"/>
          </w:tcPr>
          <w:p w14:paraId="3C4C9C1E" w14:textId="77777777" w:rsidR="008E67EA" w:rsidRDefault="008E67EA" w:rsidP="00B44A74">
            <w:pPr>
              <w:pStyle w:val="GazetteTableText"/>
            </w:pPr>
            <w:r w:rsidRPr="00310CEC">
              <w:t>1b</w:t>
            </w:r>
          </w:p>
        </w:tc>
      </w:tr>
      <w:tr w:rsidR="008E67EA" w14:paraId="6758347A" w14:textId="77777777" w:rsidTr="00731415">
        <w:tc>
          <w:tcPr>
            <w:tcW w:w="601" w:type="pct"/>
          </w:tcPr>
          <w:p w14:paraId="4C3AD677" w14:textId="77777777" w:rsidR="008E67EA" w:rsidRDefault="008E67EA" w:rsidP="00B44A74">
            <w:pPr>
              <w:pStyle w:val="GazetteTableText"/>
            </w:pPr>
            <w:r w:rsidRPr="00674D09">
              <w:t>81664</w:t>
            </w:r>
          </w:p>
        </w:tc>
        <w:tc>
          <w:tcPr>
            <w:tcW w:w="1382" w:type="pct"/>
          </w:tcPr>
          <w:p w14:paraId="08426DBF" w14:textId="77777777" w:rsidR="008E67EA" w:rsidRPr="00B75907" w:rsidRDefault="008E67EA" w:rsidP="00B44A74">
            <w:pPr>
              <w:pStyle w:val="GazetteTableText"/>
            </w:pPr>
            <w:r w:rsidRPr="00674D09">
              <w:t>The Big Cheese Ultra Power Rat Kill Bait Station</w:t>
            </w:r>
          </w:p>
        </w:tc>
        <w:tc>
          <w:tcPr>
            <w:tcW w:w="727" w:type="pct"/>
          </w:tcPr>
          <w:p w14:paraId="7778FC0B" w14:textId="77777777" w:rsidR="008E67EA" w:rsidRDefault="008E67EA" w:rsidP="00B44A74">
            <w:pPr>
              <w:pStyle w:val="GazetteTableText"/>
            </w:pPr>
            <w:r w:rsidRPr="009A4983">
              <w:t>Brodifacoum</w:t>
            </w:r>
          </w:p>
        </w:tc>
        <w:tc>
          <w:tcPr>
            <w:tcW w:w="822" w:type="pct"/>
          </w:tcPr>
          <w:p w14:paraId="776A3305" w14:textId="77777777" w:rsidR="008E67EA" w:rsidRDefault="008E67EA" w:rsidP="00B44A74">
            <w:pPr>
              <w:pStyle w:val="GazetteTableText"/>
            </w:pPr>
            <w:r>
              <w:t>Domestic</w:t>
            </w:r>
          </w:p>
        </w:tc>
        <w:tc>
          <w:tcPr>
            <w:tcW w:w="970" w:type="pct"/>
          </w:tcPr>
          <w:p w14:paraId="40343EED" w14:textId="77777777" w:rsidR="008E67EA" w:rsidRDefault="008E67EA" w:rsidP="00B44A74">
            <w:pPr>
              <w:pStyle w:val="GazetteTableText"/>
            </w:pPr>
            <w:r w:rsidRPr="00AA105E">
              <w:t>RB 0.05 g/kg or less in block formulation</w:t>
            </w:r>
          </w:p>
        </w:tc>
        <w:tc>
          <w:tcPr>
            <w:tcW w:w="498" w:type="pct"/>
          </w:tcPr>
          <w:p w14:paraId="2F5EEA88" w14:textId="77777777" w:rsidR="008E67EA" w:rsidRDefault="008E67EA" w:rsidP="00B44A74">
            <w:pPr>
              <w:pStyle w:val="GazetteTableText"/>
            </w:pPr>
            <w:r w:rsidRPr="003D301E">
              <w:t>5a</w:t>
            </w:r>
          </w:p>
        </w:tc>
      </w:tr>
      <w:tr w:rsidR="008E67EA" w14:paraId="77699C91" w14:textId="77777777" w:rsidTr="00731415">
        <w:tc>
          <w:tcPr>
            <w:tcW w:w="601" w:type="pct"/>
          </w:tcPr>
          <w:p w14:paraId="3DE21AB1" w14:textId="77777777" w:rsidR="008E67EA" w:rsidRDefault="008E67EA" w:rsidP="00B44A74">
            <w:pPr>
              <w:pStyle w:val="GazetteTableText"/>
            </w:pPr>
            <w:r w:rsidRPr="00674D09">
              <w:t>81665</w:t>
            </w:r>
          </w:p>
        </w:tc>
        <w:tc>
          <w:tcPr>
            <w:tcW w:w="1382" w:type="pct"/>
          </w:tcPr>
          <w:p w14:paraId="2626C122" w14:textId="77777777" w:rsidR="008E67EA" w:rsidRPr="00B75907" w:rsidRDefault="008E67EA" w:rsidP="00B44A74">
            <w:pPr>
              <w:pStyle w:val="GazetteTableText"/>
            </w:pPr>
            <w:r w:rsidRPr="00674D09">
              <w:t>The Big Cheese Ultra Power Mouse Kill Bait Station</w:t>
            </w:r>
          </w:p>
        </w:tc>
        <w:tc>
          <w:tcPr>
            <w:tcW w:w="727" w:type="pct"/>
          </w:tcPr>
          <w:p w14:paraId="37CBFE1C" w14:textId="77777777" w:rsidR="008E67EA" w:rsidRDefault="008E67EA" w:rsidP="00B44A74">
            <w:pPr>
              <w:pStyle w:val="GazetteTableText"/>
            </w:pPr>
            <w:r w:rsidRPr="009A4983">
              <w:t>Brodifacoum</w:t>
            </w:r>
          </w:p>
        </w:tc>
        <w:tc>
          <w:tcPr>
            <w:tcW w:w="822" w:type="pct"/>
          </w:tcPr>
          <w:p w14:paraId="27E039F6" w14:textId="77777777" w:rsidR="008E67EA" w:rsidRDefault="008E67EA" w:rsidP="00B44A74">
            <w:pPr>
              <w:pStyle w:val="GazetteTableText"/>
            </w:pPr>
            <w:r>
              <w:t>Domestic</w:t>
            </w:r>
          </w:p>
        </w:tc>
        <w:tc>
          <w:tcPr>
            <w:tcW w:w="970" w:type="pct"/>
          </w:tcPr>
          <w:p w14:paraId="601C5846" w14:textId="77777777" w:rsidR="008E67EA" w:rsidRDefault="008E67EA" w:rsidP="00B44A74">
            <w:pPr>
              <w:pStyle w:val="GazetteTableText"/>
            </w:pPr>
            <w:r w:rsidRPr="00AA105E">
              <w:t>RB 0.05 g/kg or less in block formulation</w:t>
            </w:r>
          </w:p>
        </w:tc>
        <w:tc>
          <w:tcPr>
            <w:tcW w:w="498" w:type="pct"/>
          </w:tcPr>
          <w:p w14:paraId="3A736154" w14:textId="77777777" w:rsidR="008E67EA" w:rsidRDefault="008E67EA" w:rsidP="00B44A74">
            <w:pPr>
              <w:pStyle w:val="GazetteTableText"/>
            </w:pPr>
            <w:r w:rsidRPr="003D301E">
              <w:t>5b</w:t>
            </w:r>
          </w:p>
        </w:tc>
      </w:tr>
      <w:tr w:rsidR="008E67EA" w14:paraId="53F61BCC" w14:textId="77777777" w:rsidTr="00731415">
        <w:tc>
          <w:tcPr>
            <w:tcW w:w="601" w:type="pct"/>
          </w:tcPr>
          <w:p w14:paraId="29A86AB3" w14:textId="77777777" w:rsidR="008E67EA" w:rsidRDefault="008E67EA" w:rsidP="00B44A74">
            <w:pPr>
              <w:pStyle w:val="GazetteTableText"/>
            </w:pPr>
            <w:r w:rsidRPr="00674D09">
              <w:t>81666</w:t>
            </w:r>
          </w:p>
        </w:tc>
        <w:tc>
          <w:tcPr>
            <w:tcW w:w="1382" w:type="pct"/>
          </w:tcPr>
          <w:p w14:paraId="3D1230F7" w14:textId="77777777" w:rsidR="008E67EA" w:rsidRPr="00B75907" w:rsidRDefault="008E67EA" w:rsidP="00B44A74">
            <w:pPr>
              <w:pStyle w:val="GazetteTableText"/>
            </w:pPr>
            <w:r w:rsidRPr="00674D09">
              <w:t>The Big Cheese Ultra Power Fast Action Bait Packs</w:t>
            </w:r>
          </w:p>
        </w:tc>
        <w:tc>
          <w:tcPr>
            <w:tcW w:w="727" w:type="pct"/>
          </w:tcPr>
          <w:p w14:paraId="7DED48B2" w14:textId="77777777" w:rsidR="008E67EA" w:rsidRDefault="008E67EA" w:rsidP="00B44A74">
            <w:pPr>
              <w:pStyle w:val="GazetteTableText"/>
            </w:pPr>
            <w:r w:rsidRPr="009A4983">
              <w:t>Brodifacoum</w:t>
            </w:r>
          </w:p>
        </w:tc>
        <w:tc>
          <w:tcPr>
            <w:tcW w:w="822" w:type="pct"/>
          </w:tcPr>
          <w:p w14:paraId="130AD41F" w14:textId="77777777" w:rsidR="008E67EA" w:rsidRDefault="008E67EA" w:rsidP="00B44A74">
            <w:pPr>
              <w:pStyle w:val="GazetteTableText"/>
            </w:pPr>
            <w:r w:rsidRPr="00AA105E">
              <w:t>Commercial</w:t>
            </w:r>
          </w:p>
        </w:tc>
        <w:tc>
          <w:tcPr>
            <w:tcW w:w="970" w:type="pct"/>
          </w:tcPr>
          <w:p w14:paraId="21785BB1" w14:textId="77777777" w:rsidR="008E67EA" w:rsidRDefault="008E67EA" w:rsidP="00B44A74">
            <w:pPr>
              <w:pStyle w:val="GazetteTableText"/>
            </w:pPr>
            <w:r w:rsidRPr="00AA105E">
              <w:t>RB 0.05 g/kg or less in sachet or place pack</w:t>
            </w:r>
          </w:p>
        </w:tc>
        <w:tc>
          <w:tcPr>
            <w:tcW w:w="498" w:type="pct"/>
          </w:tcPr>
          <w:p w14:paraId="21625225" w14:textId="77777777" w:rsidR="008E67EA" w:rsidRDefault="008E67EA" w:rsidP="00B44A74">
            <w:pPr>
              <w:pStyle w:val="GazetteTableText"/>
            </w:pPr>
            <w:r w:rsidRPr="00FF66FF">
              <w:t>4b</w:t>
            </w:r>
          </w:p>
        </w:tc>
      </w:tr>
      <w:tr w:rsidR="008E67EA" w14:paraId="25CDA64F" w14:textId="77777777" w:rsidTr="00731415">
        <w:tc>
          <w:tcPr>
            <w:tcW w:w="601" w:type="pct"/>
          </w:tcPr>
          <w:p w14:paraId="23955074" w14:textId="77777777" w:rsidR="008E67EA" w:rsidRDefault="008E67EA" w:rsidP="00B44A74">
            <w:pPr>
              <w:pStyle w:val="GazetteTableText"/>
            </w:pPr>
            <w:r w:rsidRPr="00674D09">
              <w:t>82233</w:t>
            </w:r>
          </w:p>
        </w:tc>
        <w:tc>
          <w:tcPr>
            <w:tcW w:w="1382" w:type="pct"/>
          </w:tcPr>
          <w:p w14:paraId="323C48D5" w14:textId="77777777" w:rsidR="008E67EA" w:rsidRPr="00B75907" w:rsidRDefault="008E67EA" w:rsidP="00B44A74">
            <w:pPr>
              <w:pStyle w:val="GazetteTableText"/>
            </w:pPr>
            <w:r w:rsidRPr="00674D09">
              <w:t>Time's Up Fast Action Baited Mouse Station</w:t>
            </w:r>
          </w:p>
        </w:tc>
        <w:tc>
          <w:tcPr>
            <w:tcW w:w="727" w:type="pct"/>
          </w:tcPr>
          <w:p w14:paraId="4DC2F349" w14:textId="77777777" w:rsidR="008E67EA" w:rsidRDefault="008E67EA" w:rsidP="00B44A74">
            <w:pPr>
              <w:pStyle w:val="GazetteTableText"/>
            </w:pPr>
            <w:r w:rsidRPr="009A4983">
              <w:t>Brodifacoum</w:t>
            </w:r>
          </w:p>
        </w:tc>
        <w:tc>
          <w:tcPr>
            <w:tcW w:w="822" w:type="pct"/>
          </w:tcPr>
          <w:p w14:paraId="4AFC248A" w14:textId="77777777" w:rsidR="008E67EA" w:rsidRDefault="008E67EA" w:rsidP="00B44A74">
            <w:pPr>
              <w:pStyle w:val="GazetteTableText"/>
            </w:pPr>
            <w:r>
              <w:t>Domestic</w:t>
            </w:r>
          </w:p>
        </w:tc>
        <w:tc>
          <w:tcPr>
            <w:tcW w:w="970" w:type="pct"/>
          </w:tcPr>
          <w:p w14:paraId="4612A6FC" w14:textId="77777777" w:rsidR="008E67EA" w:rsidRDefault="008E67EA" w:rsidP="00B44A74">
            <w:pPr>
              <w:pStyle w:val="GazetteTableText"/>
            </w:pPr>
            <w:r w:rsidRPr="00AA105E">
              <w:t>RB 0.05 g/kg or less in block formulation</w:t>
            </w:r>
          </w:p>
        </w:tc>
        <w:tc>
          <w:tcPr>
            <w:tcW w:w="498" w:type="pct"/>
          </w:tcPr>
          <w:p w14:paraId="549CFE1E" w14:textId="77777777" w:rsidR="008E67EA" w:rsidRDefault="008E67EA" w:rsidP="00B44A74">
            <w:pPr>
              <w:pStyle w:val="GazetteTableText"/>
            </w:pPr>
            <w:r w:rsidRPr="003D301E">
              <w:t>5b</w:t>
            </w:r>
          </w:p>
        </w:tc>
      </w:tr>
      <w:tr w:rsidR="008E67EA" w14:paraId="2BC60F59" w14:textId="77777777" w:rsidTr="00731415">
        <w:tc>
          <w:tcPr>
            <w:tcW w:w="601" w:type="pct"/>
          </w:tcPr>
          <w:p w14:paraId="5D71DD45" w14:textId="77777777" w:rsidR="008E67EA" w:rsidRDefault="008E67EA" w:rsidP="00B44A74">
            <w:pPr>
              <w:pStyle w:val="GazetteTableText"/>
            </w:pPr>
            <w:r w:rsidRPr="00674D09">
              <w:t>82234</w:t>
            </w:r>
          </w:p>
        </w:tc>
        <w:tc>
          <w:tcPr>
            <w:tcW w:w="1382" w:type="pct"/>
          </w:tcPr>
          <w:p w14:paraId="74427F39" w14:textId="77777777" w:rsidR="008E67EA" w:rsidRPr="00B75907" w:rsidRDefault="008E67EA" w:rsidP="00B44A74">
            <w:pPr>
              <w:pStyle w:val="GazetteTableText"/>
            </w:pPr>
            <w:r w:rsidRPr="00674D09">
              <w:t>The Big Cheese Ultra Power Fast Action Disposable Mouse Kill Bait Station</w:t>
            </w:r>
          </w:p>
        </w:tc>
        <w:tc>
          <w:tcPr>
            <w:tcW w:w="727" w:type="pct"/>
          </w:tcPr>
          <w:p w14:paraId="3617A1C6" w14:textId="77777777" w:rsidR="008E67EA" w:rsidRDefault="008E67EA" w:rsidP="00B44A74">
            <w:pPr>
              <w:pStyle w:val="GazetteTableText"/>
            </w:pPr>
            <w:r w:rsidRPr="009A4983">
              <w:t>Brodifacoum</w:t>
            </w:r>
          </w:p>
        </w:tc>
        <w:tc>
          <w:tcPr>
            <w:tcW w:w="822" w:type="pct"/>
          </w:tcPr>
          <w:p w14:paraId="43A5EA58" w14:textId="77777777" w:rsidR="008E67EA" w:rsidRDefault="008E67EA" w:rsidP="00B44A74">
            <w:pPr>
              <w:pStyle w:val="GazetteTableText"/>
            </w:pPr>
            <w:r>
              <w:t>Domestic</w:t>
            </w:r>
          </w:p>
        </w:tc>
        <w:tc>
          <w:tcPr>
            <w:tcW w:w="970" w:type="pct"/>
          </w:tcPr>
          <w:p w14:paraId="4F1BFB66" w14:textId="77777777" w:rsidR="008E67EA" w:rsidRDefault="008E67EA" w:rsidP="00B44A74">
            <w:pPr>
              <w:pStyle w:val="GazetteTableText"/>
            </w:pPr>
            <w:r w:rsidRPr="00AA105E">
              <w:t>RB 0.05 g/kg or less in block formulation</w:t>
            </w:r>
          </w:p>
        </w:tc>
        <w:tc>
          <w:tcPr>
            <w:tcW w:w="498" w:type="pct"/>
          </w:tcPr>
          <w:p w14:paraId="7F885231" w14:textId="77777777" w:rsidR="008E67EA" w:rsidRDefault="008E67EA" w:rsidP="00B44A74">
            <w:pPr>
              <w:pStyle w:val="GazetteTableText"/>
            </w:pPr>
            <w:r w:rsidRPr="003D301E">
              <w:t>5b</w:t>
            </w:r>
          </w:p>
        </w:tc>
      </w:tr>
      <w:tr w:rsidR="008E67EA" w14:paraId="3319A069" w14:textId="77777777" w:rsidTr="00731415">
        <w:tc>
          <w:tcPr>
            <w:tcW w:w="601" w:type="pct"/>
          </w:tcPr>
          <w:p w14:paraId="68479263" w14:textId="77777777" w:rsidR="008E67EA" w:rsidRDefault="008E67EA" w:rsidP="00B44A74">
            <w:pPr>
              <w:pStyle w:val="GazetteTableText"/>
            </w:pPr>
            <w:r w:rsidRPr="00674D09">
              <w:t>83673</w:t>
            </w:r>
          </w:p>
        </w:tc>
        <w:tc>
          <w:tcPr>
            <w:tcW w:w="1382" w:type="pct"/>
          </w:tcPr>
          <w:p w14:paraId="1CC7BDA1" w14:textId="77777777" w:rsidR="008E67EA" w:rsidRPr="00B75907" w:rsidRDefault="008E67EA" w:rsidP="00B44A74">
            <w:pPr>
              <w:pStyle w:val="GazetteTableText"/>
            </w:pPr>
            <w:r w:rsidRPr="00674D09">
              <w:t>Fast Action Ratsak Multi Pack</w:t>
            </w:r>
          </w:p>
        </w:tc>
        <w:tc>
          <w:tcPr>
            <w:tcW w:w="727" w:type="pct"/>
          </w:tcPr>
          <w:p w14:paraId="35C27EEA" w14:textId="77777777" w:rsidR="008E67EA" w:rsidRDefault="008E67EA" w:rsidP="00B44A74">
            <w:pPr>
              <w:pStyle w:val="GazetteTableText"/>
            </w:pPr>
            <w:r w:rsidRPr="009A4983">
              <w:t>Brodifacoum</w:t>
            </w:r>
          </w:p>
        </w:tc>
        <w:tc>
          <w:tcPr>
            <w:tcW w:w="822" w:type="pct"/>
          </w:tcPr>
          <w:p w14:paraId="018B9E0B" w14:textId="77777777" w:rsidR="008E67EA" w:rsidRDefault="008E67EA" w:rsidP="00B44A74">
            <w:pPr>
              <w:pStyle w:val="GazetteTableText"/>
            </w:pPr>
            <w:r>
              <w:t>Domestic</w:t>
            </w:r>
          </w:p>
        </w:tc>
        <w:tc>
          <w:tcPr>
            <w:tcW w:w="970" w:type="pct"/>
          </w:tcPr>
          <w:p w14:paraId="643AC6F6" w14:textId="77777777" w:rsidR="008E67EA" w:rsidRDefault="008E67EA" w:rsidP="00B44A74">
            <w:pPr>
              <w:pStyle w:val="GazetteTableText"/>
            </w:pPr>
            <w:r w:rsidRPr="00AA105E">
              <w:t>RB 0.05 g/kg or less in block formulation</w:t>
            </w:r>
          </w:p>
        </w:tc>
        <w:tc>
          <w:tcPr>
            <w:tcW w:w="498" w:type="pct"/>
          </w:tcPr>
          <w:p w14:paraId="3DEFC9B3" w14:textId="77777777" w:rsidR="008E67EA" w:rsidRDefault="008E67EA" w:rsidP="00B44A74">
            <w:pPr>
              <w:pStyle w:val="GazetteTableText"/>
            </w:pPr>
            <w:r w:rsidRPr="003D301E">
              <w:t>5a</w:t>
            </w:r>
          </w:p>
        </w:tc>
      </w:tr>
      <w:tr w:rsidR="008E67EA" w14:paraId="24AAE389" w14:textId="77777777" w:rsidTr="00731415">
        <w:tc>
          <w:tcPr>
            <w:tcW w:w="601" w:type="pct"/>
          </w:tcPr>
          <w:p w14:paraId="792BA173" w14:textId="77777777" w:rsidR="008E67EA" w:rsidRDefault="008E67EA" w:rsidP="00B44A74">
            <w:pPr>
              <w:pStyle w:val="GazetteTableText"/>
            </w:pPr>
            <w:r w:rsidRPr="00674D09">
              <w:lastRenderedPageBreak/>
              <w:t>84215</w:t>
            </w:r>
          </w:p>
        </w:tc>
        <w:tc>
          <w:tcPr>
            <w:tcW w:w="1382" w:type="pct"/>
          </w:tcPr>
          <w:p w14:paraId="19DDB9A8" w14:textId="77777777" w:rsidR="008E67EA" w:rsidRPr="00B75907" w:rsidRDefault="008E67EA" w:rsidP="00B44A74">
            <w:pPr>
              <w:pStyle w:val="GazetteTableText"/>
            </w:pPr>
            <w:r w:rsidRPr="00674D09">
              <w:t>Freezone Ratshot G Quickshot Rodenticide</w:t>
            </w:r>
          </w:p>
        </w:tc>
        <w:tc>
          <w:tcPr>
            <w:tcW w:w="727" w:type="pct"/>
          </w:tcPr>
          <w:p w14:paraId="6A2825B0" w14:textId="77777777" w:rsidR="008E67EA" w:rsidRDefault="008E67EA" w:rsidP="00B44A74">
            <w:pPr>
              <w:pStyle w:val="GazetteTableText"/>
            </w:pPr>
            <w:r w:rsidRPr="009A4983">
              <w:t>Brodifacoum</w:t>
            </w:r>
          </w:p>
        </w:tc>
        <w:tc>
          <w:tcPr>
            <w:tcW w:w="822" w:type="pct"/>
          </w:tcPr>
          <w:p w14:paraId="213AD1F7" w14:textId="77777777" w:rsidR="008E67EA" w:rsidRDefault="008E67EA" w:rsidP="00B44A74">
            <w:pPr>
              <w:pStyle w:val="GazetteTableText"/>
            </w:pPr>
            <w:r w:rsidRPr="00AA105E">
              <w:t>Commercial</w:t>
            </w:r>
          </w:p>
        </w:tc>
        <w:tc>
          <w:tcPr>
            <w:tcW w:w="970" w:type="pct"/>
          </w:tcPr>
          <w:p w14:paraId="6895C253" w14:textId="77777777" w:rsidR="008E67EA" w:rsidRDefault="008E67EA" w:rsidP="00B44A74">
            <w:pPr>
              <w:pStyle w:val="GazetteTableText"/>
            </w:pPr>
            <w:r w:rsidRPr="004C07C1">
              <w:t>RB 0.05 g/kg or less in pellet formulation</w:t>
            </w:r>
          </w:p>
        </w:tc>
        <w:tc>
          <w:tcPr>
            <w:tcW w:w="498" w:type="pct"/>
          </w:tcPr>
          <w:p w14:paraId="544CE2F0" w14:textId="77777777" w:rsidR="008E67EA" w:rsidRDefault="008E67EA" w:rsidP="00B44A74">
            <w:pPr>
              <w:pStyle w:val="GazetteTableText"/>
            </w:pPr>
            <w:r w:rsidRPr="00310CEC">
              <w:t>3b</w:t>
            </w:r>
          </w:p>
        </w:tc>
      </w:tr>
      <w:tr w:rsidR="008E67EA" w14:paraId="6ADD11AB" w14:textId="77777777" w:rsidTr="00731415">
        <w:tc>
          <w:tcPr>
            <w:tcW w:w="601" w:type="pct"/>
          </w:tcPr>
          <w:p w14:paraId="4AE7CA26" w14:textId="77777777" w:rsidR="008E67EA" w:rsidRDefault="008E67EA" w:rsidP="00B44A74">
            <w:pPr>
              <w:pStyle w:val="GazetteTableText"/>
            </w:pPr>
            <w:r w:rsidRPr="00674D09">
              <w:t>85522</w:t>
            </w:r>
          </w:p>
        </w:tc>
        <w:tc>
          <w:tcPr>
            <w:tcW w:w="1382" w:type="pct"/>
          </w:tcPr>
          <w:p w14:paraId="3942E34E" w14:textId="77777777" w:rsidR="008E67EA" w:rsidRPr="00B75907" w:rsidRDefault="008E67EA" w:rsidP="00B44A74">
            <w:pPr>
              <w:pStyle w:val="GazetteTableText"/>
            </w:pPr>
            <w:r w:rsidRPr="00674D09">
              <w:t>Time's Up Fast Action Throw Pack</w:t>
            </w:r>
          </w:p>
        </w:tc>
        <w:tc>
          <w:tcPr>
            <w:tcW w:w="727" w:type="pct"/>
          </w:tcPr>
          <w:p w14:paraId="5616F676" w14:textId="77777777" w:rsidR="008E67EA" w:rsidRDefault="008E67EA" w:rsidP="00B44A74">
            <w:pPr>
              <w:pStyle w:val="GazetteTableText"/>
            </w:pPr>
            <w:r w:rsidRPr="009A4983">
              <w:t>Brodifacoum</w:t>
            </w:r>
          </w:p>
        </w:tc>
        <w:tc>
          <w:tcPr>
            <w:tcW w:w="822" w:type="pct"/>
          </w:tcPr>
          <w:p w14:paraId="49F9DF83" w14:textId="77777777" w:rsidR="008E67EA" w:rsidRDefault="008E67EA" w:rsidP="00B44A74">
            <w:pPr>
              <w:pStyle w:val="GazetteTableText"/>
            </w:pPr>
            <w:r w:rsidRPr="00AA105E">
              <w:t>Commercial</w:t>
            </w:r>
          </w:p>
        </w:tc>
        <w:tc>
          <w:tcPr>
            <w:tcW w:w="970" w:type="pct"/>
          </w:tcPr>
          <w:p w14:paraId="12008BD8" w14:textId="77777777" w:rsidR="008E67EA" w:rsidRDefault="008E67EA" w:rsidP="00B44A74">
            <w:pPr>
              <w:pStyle w:val="GazetteTableText"/>
            </w:pPr>
            <w:r w:rsidRPr="00AA105E">
              <w:t>RB 0.05 g/kg or less in sachet or place pack</w:t>
            </w:r>
          </w:p>
        </w:tc>
        <w:tc>
          <w:tcPr>
            <w:tcW w:w="498" w:type="pct"/>
          </w:tcPr>
          <w:p w14:paraId="3A019C7C" w14:textId="77777777" w:rsidR="008E67EA" w:rsidRDefault="008E67EA" w:rsidP="00B44A74">
            <w:pPr>
              <w:pStyle w:val="GazetteTableText"/>
            </w:pPr>
            <w:r w:rsidRPr="00FF66FF">
              <w:t>4b</w:t>
            </w:r>
          </w:p>
        </w:tc>
      </w:tr>
      <w:tr w:rsidR="008E67EA" w14:paraId="64563CCC" w14:textId="77777777" w:rsidTr="00731415">
        <w:tc>
          <w:tcPr>
            <w:tcW w:w="601" w:type="pct"/>
          </w:tcPr>
          <w:p w14:paraId="3DFBB80B" w14:textId="77777777" w:rsidR="008E67EA" w:rsidRDefault="008E67EA" w:rsidP="00B44A74">
            <w:pPr>
              <w:pStyle w:val="GazetteTableText"/>
            </w:pPr>
            <w:r w:rsidRPr="00674D09">
              <w:t>85523</w:t>
            </w:r>
          </w:p>
        </w:tc>
        <w:tc>
          <w:tcPr>
            <w:tcW w:w="1382" w:type="pct"/>
          </w:tcPr>
          <w:p w14:paraId="7CD05FA0" w14:textId="77777777" w:rsidR="008E67EA" w:rsidRPr="00B75907" w:rsidRDefault="008E67EA" w:rsidP="00B44A74">
            <w:pPr>
              <w:pStyle w:val="GazetteTableText"/>
            </w:pPr>
            <w:r w:rsidRPr="00674D09">
              <w:t>Time's Up Fast Action Block Bait</w:t>
            </w:r>
          </w:p>
        </w:tc>
        <w:tc>
          <w:tcPr>
            <w:tcW w:w="727" w:type="pct"/>
          </w:tcPr>
          <w:p w14:paraId="60F170F6" w14:textId="77777777" w:rsidR="008E67EA" w:rsidRDefault="008E67EA" w:rsidP="00B44A74">
            <w:pPr>
              <w:pStyle w:val="GazetteTableText"/>
            </w:pPr>
            <w:r w:rsidRPr="009A4983">
              <w:t>Brodifacoum</w:t>
            </w:r>
          </w:p>
        </w:tc>
        <w:tc>
          <w:tcPr>
            <w:tcW w:w="822" w:type="pct"/>
          </w:tcPr>
          <w:p w14:paraId="298786AE" w14:textId="77777777" w:rsidR="008E67EA" w:rsidRDefault="008E67EA" w:rsidP="00B44A74">
            <w:pPr>
              <w:pStyle w:val="GazetteTableText"/>
            </w:pPr>
            <w:r w:rsidRPr="00AA105E">
              <w:t>Commercial</w:t>
            </w:r>
          </w:p>
        </w:tc>
        <w:tc>
          <w:tcPr>
            <w:tcW w:w="970" w:type="pct"/>
          </w:tcPr>
          <w:p w14:paraId="4F46779C" w14:textId="77777777" w:rsidR="008E67EA" w:rsidRDefault="008E67EA" w:rsidP="00B44A74">
            <w:pPr>
              <w:pStyle w:val="GazetteTableText"/>
            </w:pPr>
            <w:r w:rsidRPr="00AA105E">
              <w:t>RB 0.05 g/kg or less in block formulation</w:t>
            </w:r>
          </w:p>
        </w:tc>
        <w:tc>
          <w:tcPr>
            <w:tcW w:w="498" w:type="pct"/>
          </w:tcPr>
          <w:p w14:paraId="5D677090" w14:textId="77777777" w:rsidR="008E67EA" w:rsidRDefault="008E67EA" w:rsidP="00B44A74">
            <w:pPr>
              <w:pStyle w:val="GazetteTableText"/>
            </w:pPr>
            <w:r w:rsidRPr="00310CEC">
              <w:t>1b</w:t>
            </w:r>
          </w:p>
        </w:tc>
      </w:tr>
      <w:tr w:rsidR="008E67EA" w14:paraId="66D9F527" w14:textId="77777777" w:rsidTr="00731415">
        <w:tc>
          <w:tcPr>
            <w:tcW w:w="601" w:type="pct"/>
          </w:tcPr>
          <w:p w14:paraId="5B673AF2" w14:textId="77777777" w:rsidR="008E67EA" w:rsidRDefault="008E67EA" w:rsidP="00B44A74">
            <w:pPr>
              <w:pStyle w:val="GazetteTableText"/>
            </w:pPr>
            <w:r w:rsidRPr="00674D09">
              <w:t>86214</w:t>
            </w:r>
          </w:p>
        </w:tc>
        <w:tc>
          <w:tcPr>
            <w:tcW w:w="1382" w:type="pct"/>
          </w:tcPr>
          <w:p w14:paraId="224D31C7" w14:textId="77777777" w:rsidR="008E67EA" w:rsidRPr="00B75907" w:rsidRDefault="008E67EA" w:rsidP="00B44A74">
            <w:pPr>
              <w:pStyle w:val="GazetteTableText"/>
            </w:pPr>
            <w:r w:rsidRPr="00674D09">
              <w:t>The Big Cheese Ultra Power Fast Action Block Bait Rodenticide</w:t>
            </w:r>
          </w:p>
        </w:tc>
        <w:tc>
          <w:tcPr>
            <w:tcW w:w="727" w:type="pct"/>
          </w:tcPr>
          <w:p w14:paraId="067B6D4C" w14:textId="77777777" w:rsidR="008E67EA" w:rsidRDefault="008E67EA" w:rsidP="00B44A74">
            <w:pPr>
              <w:pStyle w:val="GazetteTableText"/>
            </w:pPr>
            <w:r w:rsidRPr="009A4983">
              <w:t>Brodifacoum</w:t>
            </w:r>
          </w:p>
        </w:tc>
        <w:tc>
          <w:tcPr>
            <w:tcW w:w="822" w:type="pct"/>
          </w:tcPr>
          <w:p w14:paraId="481CB375" w14:textId="77777777" w:rsidR="008E67EA" w:rsidRDefault="008E67EA" w:rsidP="00B44A74">
            <w:pPr>
              <w:pStyle w:val="GazetteTableText"/>
            </w:pPr>
            <w:r w:rsidRPr="00AA105E">
              <w:t>Commercial</w:t>
            </w:r>
          </w:p>
        </w:tc>
        <w:tc>
          <w:tcPr>
            <w:tcW w:w="970" w:type="pct"/>
          </w:tcPr>
          <w:p w14:paraId="101D67D9" w14:textId="77777777" w:rsidR="008E67EA" w:rsidRDefault="008E67EA" w:rsidP="00B44A74">
            <w:pPr>
              <w:pStyle w:val="GazetteTableText"/>
            </w:pPr>
            <w:r w:rsidRPr="00AA105E">
              <w:t>RB 0.05 g/kg or less in block formulation</w:t>
            </w:r>
          </w:p>
        </w:tc>
        <w:tc>
          <w:tcPr>
            <w:tcW w:w="498" w:type="pct"/>
          </w:tcPr>
          <w:p w14:paraId="5325A93A" w14:textId="77777777" w:rsidR="008E67EA" w:rsidRDefault="008E67EA" w:rsidP="00B44A74">
            <w:pPr>
              <w:pStyle w:val="GazetteTableText"/>
            </w:pPr>
            <w:r w:rsidRPr="00310CEC">
              <w:t>1b</w:t>
            </w:r>
          </w:p>
        </w:tc>
      </w:tr>
      <w:tr w:rsidR="008E67EA" w14:paraId="56A30B23" w14:textId="77777777" w:rsidTr="00731415">
        <w:tc>
          <w:tcPr>
            <w:tcW w:w="601" w:type="pct"/>
          </w:tcPr>
          <w:p w14:paraId="529EC643" w14:textId="77777777" w:rsidR="008E67EA" w:rsidRDefault="008E67EA" w:rsidP="00B44A74">
            <w:pPr>
              <w:pStyle w:val="GazetteTableText"/>
            </w:pPr>
            <w:r w:rsidRPr="00674D09">
              <w:t>87706</w:t>
            </w:r>
          </w:p>
        </w:tc>
        <w:tc>
          <w:tcPr>
            <w:tcW w:w="1382" w:type="pct"/>
          </w:tcPr>
          <w:p w14:paraId="3028E42A" w14:textId="77777777" w:rsidR="008E67EA" w:rsidRPr="00B75907" w:rsidRDefault="008E67EA" w:rsidP="00B44A74">
            <w:pPr>
              <w:pStyle w:val="GazetteTableText"/>
            </w:pPr>
            <w:r w:rsidRPr="00674D09">
              <w:t>Rodenthor Gel Rodenticide</w:t>
            </w:r>
          </w:p>
        </w:tc>
        <w:tc>
          <w:tcPr>
            <w:tcW w:w="727" w:type="pct"/>
          </w:tcPr>
          <w:p w14:paraId="2BC5E159" w14:textId="77777777" w:rsidR="008E67EA" w:rsidRDefault="008E67EA" w:rsidP="00B44A74">
            <w:pPr>
              <w:pStyle w:val="GazetteTableText"/>
            </w:pPr>
            <w:r w:rsidRPr="009A4983">
              <w:t>Brodifacoum</w:t>
            </w:r>
          </w:p>
        </w:tc>
        <w:tc>
          <w:tcPr>
            <w:tcW w:w="822" w:type="pct"/>
          </w:tcPr>
          <w:p w14:paraId="6162CEC0" w14:textId="77777777" w:rsidR="008E67EA" w:rsidRDefault="008E67EA" w:rsidP="00B44A74">
            <w:pPr>
              <w:pStyle w:val="GazetteTableText"/>
            </w:pPr>
            <w:r w:rsidRPr="00AA105E">
              <w:t>Commercial</w:t>
            </w:r>
          </w:p>
        </w:tc>
        <w:tc>
          <w:tcPr>
            <w:tcW w:w="970" w:type="pct"/>
          </w:tcPr>
          <w:p w14:paraId="26A2772A" w14:textId="77777777" w:rsidR="008E67EA" w:rsidRDefault="008E67EA" w:rsidP="00B44A74">
            <w:pPr>
              <w:pStyle w:val="GazetteTableText"/>
            </w:pPr>
            <w:r>
              <w:rPr>
                <w:color w:val="000000" w:themeColor="text1"/>
              </w:rPr>
              <w:t>RB</w:t>
            </w:r>
            <w:r w:rsidRPr="00D65344">
              <w:rPr>
                <w:color w:val="000000" w:themeColor="text1"/>
              </w:rPr>
              <w:t xml:space="preserve"> 0.05 g/kg or less as a paste in caulking gun</w:t>
            </w:r>
          </w:p>
        </w:tc>
        <w:tc>
          <w:tcPr>
            <w:tcW w:w="498" w:type="pct"/>
          </w:tcPr>
          <w:p w14:paraId="41C250D0" w14:textId="77777777" w:rsidR="008E67EA" w:rsidRDefault="008E67EA" w:rsidP="00B44A74">
            <w:pPr>
              <w:pStyle w:val="GazetteTableText"/>
            </w:pPr>
            <w:r w:rsidRPr="00310CEC">
              <w:t>2a</w:t>
            </w:r>
          </w:p>
        </w:tc>
      </w:tr>
      <w:tr w:rsidR="008E67EA" w14:paraId="500B0D43" w14:textId="77777777" w:rsidTr="00731415">
        <w:tc>
          <w:tcPr>
            <w:tcW w:w="601" w:type="pct"/>
          </w:tcPr>
          <w:p w14:paraId="47EF13CF" w14:textId="77777777" w:rsidR="008E67EA" w:rsidRDefault="008E67EA" w:rsidP="00B44A74">
            <w:pPr>
              <w:pStyle w:val="GazetteTableText"/>
            </w:pPr>
            <w:r w:rsidRPr="00674D09">
              <w:t>88845</w:t>
            </w:r>
          </w:p>
        </w:tc>
        <w:tc>
          <w:tcPr>
            <w:tcW w:w="1382" w:type="pct"/>
          </w:tcPr>
          <w:p w14:paraId="39D7BABA" w14:textId="77777777" w:rsidR="008E67EA" w:rsidRPr="00B75907" w:rsidRDefault="008E67EA" w:rsidP="00B44A74">
            <w:pPr>
              <w:pStyle w:val="GazetteTableText"/>
            </w:pPr>
            <w:r w:rsidRPr="00674D09">
              <w:t>The Big Cheese Ultra Power Block Bait Rodenticide</w:t>
            </w:r>
          </w:p>
        </w:tc>
        <w:tc>
          <w:tcPr>
            <w:tcW w:w="727" w:type="pct"/>
          </w:tcPr>
          <w:p w14:paraId="242332D6" w14:textId="77777777" w:rsidR="008E67EA" w:rsidRDefault="008E67EA" w:rsidP="00B44A74">
            <w:pPr>
              <w:pStyle w:val="GazetteTableText"/>
            </w:pPr>
            <w:r w:rsidRPr="009A4983">
              <w:t>Brodifacoum</w:t>
            </w:r>
          </w:p>
        </w:tc>
        <w:tc>
          <w:tcPr>
            <w:tcW w:w="822" w:type="pct"/>
          </w:tcPr>
          <w:p w14:paraId="7561F73B" w14:textId="77777777" w:rsidR="008E67EA" w:rsidRDefault="008E67EA" w:rsidP="00B44A74">
            <w:pPr>
              <w:pStyle w:val="GazetteTableText"/>
            </w:pPr>
            <w:r w:rsidRPr="00AA105E">
              <w:t>Commercial</w:t>
            </w:r>
          </w:p>
        </w:tc>
        <w:tc>
          <w:tcPr>
            <w:tcW w:w="970" w:type="pct"/>
          </w:tcPr>
          <w:p w14:paraId="4A569B2D" w14:textId="77777777" w:rsidR="008E67EA" w:rsidRDefault="008E67EA" w:rsidP="00B44A74">
            <w:pPr>
              <w:pStyle w:val="GazetteTableText"/>
            </w:pPr>
            <w:r w:rsidRPr="00AA105E">
              <w:t>RB 0.05 g/kg or less in block formulation</w:t>
            </w:r>
          </w:p>
        </w:tc>
        <w:tc>
          <w:tcPr>
            <w:tcW w:w="498" w:type="pct"/>
          </w:tcPr>
          <w:p w14:paraId="778BFA37" w14:textId="77777777" w:rsidR="008E67EA" w:rsidRDefault="008E67EA" w:rsidP="00B44A74">
            <w:pPr>
              <w:pStyle w:val="GazetteTableText"/>
            </w:pPr>
            <w:r w:rsidRPr="00310CEC">
              <w:t>1e</w:t>
            </w:r>
          </w:p>
        </w:tc>
      </w:tr>
      <w:tr w:rsidR="008E67EA" w14:paraId="03F68A36" w14:textId="77777777" w:rsidTr="00731415">
        <w:tc>
          <w:tcPr>
            <w:tcW w:w="601" w:type="pct"/>
          </w:tcPr>
          <w:p w14:paraId="530891CA" w14:textId="77777777" w:rsidR="008E67EA" w:rsidRDefault="008E67EA" w:rsidP="00B44A74">
            <w:pPr>
              <w:pStyle w:val="GazetteTableText"/>
            </w:pPr>
            <w:r w:rsidRPr="00674D09">
              <w:t>88846</w:t>
            </w:r>
          </w:p>
        </w:tc>
        <w:tc>
          <w:tcPr>
            <w:tcW w:w="1382" w:type="pct"/>
          </w:tcPr>
          <w:p w14:paraId="0ACDD30B" w14:textId="77777777" w:rsidR="008E67EA" w:rsidRPr="00B75907" w:rsidRDefault="008E67EA" w:rsidP="00B44A74">
            <w:pPr>
              <w:pStyle w:val="GazetteTableText"/>
            </w:pPr>
            <w:r w:rsidRPr="00674D09">
              <w:t>The Big Cheese Ultra Power All Weather Block Bait</w:t>
            </w:r>
          </w:p>
        </w:tc>
        <w:tc>
          <w:tcPr>
            <w:tcW w:w="727" w:type="pct"/>
          </w:tcPr>
          <w:p w14:paraId="15260C9D" w14:textId="77777777" w:rsidR="008E67EA" w:rsidRDefault="008E67EA" w:rsidP="00B44A74">
            <w:pPr>
              <w:pStyle w:val="GazetteTableText"/>
            </w:pPr>
            <w:r w:rsidRPr="009A4983">
              <w:t>Brodifacoum</w:t>
            </w:r>
          </w:p>
        </w:tc>
        <w:tc>
          <w:tcPr>
            <w:tcW w:w="822" w:type="pct"/>
          </w:tcPr>
          <w:p w14:paraId="6FBE9EAD" w14:textId="77777777" w:rsidR="008E67EA" w:rsidRDefault="008E67EA" w:rsidP="00B44A74">
            <w:pPr>
              <w:pStyle w:val="GazetteTableText"/>
            </w:pPr>
            <w:r>
              <w:t>Domestic</w:t>
            </w:r>
          </w:p>
        </w:tc>
        <w:tc>
          <w:tcPr>
            <w:tcW w:w="970" w:type="pct"/>
          </w:tcPr>
          <w:p w14:paraId="7EDA4329" w14:textId="77777777" w:rsidR="008E67EA" w:rsidRDefault="008E67EA" w:rsidP="00B44A74">
            <w:pPr>
              <w:pStyle w:val="GazetteTableText"/>
            </w:pPr>
            <w:r w:rsidRPr="00AA105E">
              <w:t>RB 0.05 g/kg or less in block formulation</w:t>
            </w:r>
          </w:p>
        </w:tc>
        <w:tc>
          <w:tcPr>
            <w:tcW w:w="498" w:type="pct"/>
          </w:tcPr>
          <w:p w14:paraId="164F86E4" w14:textId="77777777" w:rsidR="008E67EA" w:rsidRDefault="008E67EA" w:rsidP="00B44A74">
            <w:pPr>
              <w:pStyle w:val="GazetteTableText"/>
            </w:pPr>
            <w:r w:rsidRPr="003D301E">
              <w:t>5c</w:t>
            </w:r>
          </w:p>
        </w:tc>
      </w:tr>
      <w:tr w:rsidR="008E67EA" w14:paraId="200541DA" w14:textId="77777777" w:rsidTr="00731415">
        <w:tc>
          <w:tcPr>
            <w:tcW w:w="601" w:type="pct"/>
          </w:tcPr>
          <w:p w14:paraId="2420E1A2" w14:textId="77777777" w:rsidR="008E67EA" w:rsidRDefault="008E67EA" w:rsidP="00B44A74">
            <w:pPr>
              <w:pStyle w:val="GazetteTableText"/>
            </w:pPr>
            <w:r w:rsidRPr="00674D09">
              <w:t>88847</w:t>
            </w:r>
          </w:p>
        </w:tc>
        <w:tc>
          <w:tcPr>
            <w:tcW w:w="1382" w:type="pct"/>
          </w:tcPr>
          <w:p w14:paraId="1C7CB72E" w14:textId="77777777" w:rsidR="008E67EA" w:rsidRPr="00B75907" w:rsidRDefault="008E67EA" w:rsidP="00B44A74">
            <w:pPr>
              <w:pStyle w:val="GazetteTableText"/>
            </w:pPr>
            <w:r w:rsidRPr="00674D09">
              <w:t>The Big Cheese Ultra Power Rat and Mouse Kill Throw Packs</w:t>
            </w:r>
          </w:p>
        </w:tc>
        <w:tc>
          <w:tcPr>
            <w:tcW w:w="727" w:type="pct"/>
          </w:tcPr>
          <w:p w14:paraId="778C2371" w14:textId="77777777" w:rsidR="008E67EA" w:rsidRDefault="008E67EA" w:rsidP="00B44A74">
            <w:pPr>
              <w:pStyle w:val="GazetteTableText"/>
            </w:pPr>
            <w:r w:rsidRPr="009A4983">
              <w:t>Brodifacoum</w:t>
            </w:r>
          </w:p>
        </w:tc>
        <w:tc>
          <w:tcPr>
            <w:tcW w:w="822" w:type="pct"/>
          </w:tcPr>
          <w:p w14:paraId="5638AE0B" w14:textId="77777777" w:rsidR="008E67EA" w:rsidRDefault="008E67EA" w:rsidP="00B44A74">
            <w:pPr>
              <w:pStyle w:val="GazetteTableText"/>
            </w:pPr>
            <w:r>
              <w:t>Domestic</w:t>
            </w:r>
          </w:p>
        </w:tc>
        <w:tc>
          <w:tcPr>
            <w:tcW w:w="970" w:type="pct"/>
          </w:tcPr>
          <w:p w14:paraId="5779CFE9" w14:textId="77777777" w:rsidR="008E67EA" w:rsidRDefault="008E67EA" w:rsidP="00B44A74">
            <w:pPr>
              <w:pStyle w:val="GazetteTableText"/>
            </w:pPr>
            <w:r w:rsidRPr="00AA105E">
              <w:t>RB 0.05 g/kg or less in sachet or place pack</w:t>
            </w:r>
          </w:p>
        </w:tc>
        <w:tc>
          <w:tcPr>
            <w:tcW w:w="498" w:type="pct"/>
          </w:tcPr>
          <w:p w14:paraId="7729F768" w14:textId="77777777" w:rsidR="008E67EA" w:rsidRDefault="008E67EA" w:rsidP="00B44A74">
            <w:pPr>
              <w:pStyle w:val="GazetteTableText"/>
            </w:pPr>
            <w:r w:rsidRPr="003D301E">
              <w:t>7c</w:t>
            </w:r>
          </w:p>
        </w:tc>
      </w:tr>
      <w:tr w:rsidR="008E67EA" w14:paraId="3AD16FB8" w14:textId="77777777" w:rsidTr="00731415">
        <w:tc>
          <w:tcPr>
            <w:tcW w:w="601" w:type="pct"/>
          </w:tcPr>
          <w:p w14:paraId="04BBFF6C" w14:textId="77777777" w:rsidR="008E67EA" w:rsidRDefault="008E67EA" w:rsidP="00B44A74">
            <w:pPr>
              <w:pStyle w:val="GazetteTableText"/>
            </w:pPr>
            <w:r w:rsidRPr="00674D09">
              <w:t>89039</w:t>
            </w:r>
          </w:p>
        </w:tc>
        <w:tc>
          <w:tcPr>
            <w:tcW w:w="1382" w:type="pct"/>
          </w:tcPr>
          <w:p w14:paraId="3B4280B1" w14:textId="77777777" w:rsidR="008E67EA" w:rsidRPr="00B75907" w:rsidRDefault="008E67EA" w:rsidP="00B44A74">
            <w:pPr>
              <w:pStyle w:val="GazetteTableText"/>
            </w:pPr>
            <w:r w:rsidRPr="00674D09">
              <w:t>Solo 25 Blox Rodenticide</w:t>
            </w:r>
          </w:p>
        </w:tc>
        <w:tc>
          <w:tcPr>
            <w:tcW w:w="727" w:type="pct"/>
          </w:tcPr>
          <w:p w14:paraId="014FD175" w14:textId="77777777" w:rsidR="008E67EA" w:rsidRDefault="008E67EA" w:rsidP="00B44A74">
            <w:pPr>
              <w:pStyle w:val="GazetteTableText"/>
            </w:pPr>
            <w:r w:rsidRPr="009A4983">
              <w:t>Brodifacoum</w:t>
            </w:r>
          </w:p>
        </w:tc>
        <w:tc>
          <w:tcPr>
            <w:tcW w:w="822" w:type="pct"/>
          </w:tcPr>
          <w:p w14:paraId="6E233018" w14:textId="77777777" w:rsidR="008E67EA" w:rsidRDefault="008E67EA" w:rsidP="00B44A74">
            <w:pPr>
              <w:pStyle w:val="GazetteTableText"/>
            </w:pPr>
            <w:r w:rsidRPr="00AA105E">
              <w:t>Commercial</w:t>
            </w:r>
          </w:p>
        </w:tc>
        <w:tc>
          <w:tcPr>
            <w:tcW w:w="970" w:type="pct"/>
          </w:tcPr>
          <w:p w14:paraId="56F90A92" w14:textId="77777777" w:rsidR="008E67EA" w:rsidRDefault="008E67EA" w:rsidP="00B44A74">
            <w:pPr>
              <w:pStyle w:val="GazetteTableText"/>
            </w:pPr>
            <w:r w:rsidRPr="00AA105E">
              <w:t>RB 0.05 g/kg or less in block formulation</w:t>
            </w:r>
          </w:p>
        </w:tc>
        <w:tc>
          <w:tcPr>
            <w:tcW w:w="498" w:type="pct"/>
          </w:tcPr>
          <w:p w14:paraId="2B17602D" w14:textId="77777777" w:rsidR="008E67EA" w:rsidRDefault="008E67EA" w:rsidP="00B44A74">
            <w:pPr>
              <w:pStyle w:val="GazetteTableText"/>
            </w:pPr>
            <w:r w:rsidRPr="00310CEC">
              <w:t>1f</w:t>
            </w:r>
          </w:p>
        </w:tc>
      </w:tr>
      <w:tr w:rsidR="008E67EA" w14:paraId="53D758D0" w14:textId="77777777" w:rsidTr="00731415">
        <w:tc>
          <w:tcPr>
            <w:tcW w:w="601" w:type="pct"/>
          </w:tcPr>
          <w:p w14:paraId="0FB7C9BA" w14:textId="77777777" w:rsidR="008E67EA" w:rsidRDefault="008E67EA" w:rsidP="00B44A74">
            <w:pPr>
              <w:pStyle w:val="GazetteTableText"/>
            </w:pPr>
            <w:r w:rsidRPr="00674D09">
              <w:t>89557</w:t>
            </w:r>
          </w:p>
        </w:tc>
        <w:tc>
          <w:tcPr>
            <w:tcW w:w="1382" w:type="pct"/>
          </w:tcPr>
          <w:p w14:paraId="18C29CEB" w14:textId="77777777" w:rsidR="008E67EA" w:rsidRPr="00B75907" w:rsidRDefault="008E67EA" w:rsidP="00B44A74">
            <w:pPr>
              <w:pStyle w:val="GazetteTableText"/>
            </w:pPr>
            <w:r w:rsidRPr="00674D09">
              <w:t xml:space="preserve">Raticate </w:t>
            </w:r>
            <w:r>
              <w:t>a</w:t>
            </w:r>
            <w:r w:rsidRPr="00674D09">
              <w:t xml:space="preserve">ll-weather block - Brodifacoum </w:t>
            </w:r>
          </w:p>
        </w:tc>
        <w:tc>
          <w:tcPr>
            <w:tcW w:w="727" w:type="pct"/>
          </w:tcPr>
          <w:p w14:paraId="7D0AAD9F" w14:textId="77777777" w:rsidR="008E67EA" w:rsidRDefault="008E67EA" w:rsidP="00B44A74">
            <w:pPr>
              <w:pStyle w:val="GazetteTableText"/>
            </w:pPr>
            <w:r w:rsidRPr="009A4983">
              <w:t>Brodifacoum</w:t>
            </w:r>
          </w:p>
        </w:tc>
        <w:tc>
          <w:tcPr>
            <w:tcW w:w="822" w:type="pct"/>
          </w:tcPr>
          <w:p w14:paraId="1DB3AD31" w14:textId="77777777" w:rsidR="008E67EA" w:rsidRDefault="008E67EA" w:rsidP="00B44A74">
            <w:pPr>
              <w:pStyle w:val="GazetteTableText"/>
            </w:pPr>
            <w:r w:rsidRPr="00AA105E">
              <w:t>Commercial</w:t>
            </w:r>
          </w:p>
        </w:tc>
        <w:tc>
          <w:tcPr>
            <w:tcW w:w="970" w:type="pct"/>
          </w:tcPr>
          <w:p w14:paraId="1107F12B" w14:textId="77777777" w:rsidR="008E67EA" w:rsidRDefault="008E67EA" w:rsidP="00B44A74">
            <w:pPr>
              <w:pStyle w:val="GazetteTableText"/>
            </w:pPr>
            <w:r w:rsidRPr="00AA105E">
              <w:t>RB 0.05 g/kg or less in block formulation</w:t>
            </w:r>
          </w:p>
        </w:tc>
        <w:tc>
          <w:tcPr>
            <w:tcW w:w="498" w:type="pct"/>
          </w:tcPr>
          <w:p w14:paraId="78BBB338" w14:textId="77777777" w:rsidR="008E67EA" w:rsidRDefault="008E67EA" w:rsidP="00B44A74">
            <w:pPr>
              <w:pStyle w:val="GazetteTableText"/>
            </w:pPr>
            <w:r w:rsidRPr="00310CEC">
              <w:t>1a</w:t>
            </w:r>
          </w:p>
        </w:tc>
      </w:tr>
      <w:tr w:rsidR="008E67EA" w14:paraId="17DE6579" w14:textId="77777777" w:rsidTr="00731415">
        <w:tc>
          <w:tcPr>
            <w:tcW w:w="601" w:type="pct"/>
          </w:tcPr>
          <w:p w14:paraId="07770BF1" w14:textId="77777777" w:rsidR="008E67EA" w:rsidRDefault="008E67EA" w:rsidP="00B44A74">
            <w:pPr>
              <w:pStyle w:val="GazetteTableText"/>
            </w:pPr>
            <w:r w:rsidRPr="00674D09">
              <w:t>90982</w:t>
            </w:r>
          </w:p>
        </w:tc>
        <w:tc>
          <w:tcPr>
            <w:tcW w:w="1382" w:type="pct"/>
          </w:tcPr>
          <w:p w14:paraId="7D11D0FF" w14:textId="77777777" w:rsidR="008E67EA" w:rsidRPr="00B75907" w:rsidRDefault="008E67EA" w:rsidP="00B44A74">
            <w:pPr>
              <w:pStyle w:val="GazetteTableText"/>
            </w:pPr>
            <w:r w:rsidRPr="00674D09">
              <w:t>ADAMA Brodifacoum Soft Bait</w:t>
            </w:r>
          </w:p>
        </w:tc>
        <w:tc>
          <w:tcPr>
            <w:tcW w:w="727" w:type="pct"/>
          </w:tcPr>
          <w:p w14:paraId="2F8BCC89" w14:textId="77777777" w:rsidR="008E67EA" w:rsidRDefault="008E67EA" w:rsidP="00B44A74">
            <w:pPr>
              <w:pStyle w:val="GazetteTableText"/>
            </w:pPr>
            <w:r w:rsidRPr="009A4983">
              <w:t>Brodifacoum</w:t>
            </w:r>
          </w:p>
        </w:tc>
        <w:tc>
          <w:tcPr>
            <w:tcW w:w="822" w:type="pct"/>
          </w:tcPr>
          <w:p w14:paraId="21326E07" w14:textId="77777777" w:rsidR="008E67EA" w:rsidRDefault="008E67EA" w:rsidP="00B44A74">
            <w:pPr>
              <w:pStyle w:val="GazetteTableText"/>
            </w:pPr>
            <w:r w:rsidRPr="00AA105E">
              <w:t>Commercial</w:t>
            </w:r>
          </w:p>
        </w:tc>
        <w:tc>
          <w:tcPr>
            <w:tcW w:w="970" w:type="pct"/>
          </w:tcPr>
          <w:p w14:paraId="26B3B63F" w14:textId="77777777" w:rsidR="008E67EA" w:rsidRDefault="008E67EA" w:rsidP="00B44A74">
            <w:pPr>
              <w:pStyle w:val="GazetteTableText"/>
            </w:pPr>
            <w:r w:rsidRPr="00AA105E">
              <w:t>RB 0.05 g/kg or less in sachet or place pack</w:t>
            </w:r>
          </w:p>
        </w:tc>
        <w:tc>
          <w:tcPr>
            <w:tcW w:w="498" w:type="pct"/>
          </w:tcPr>
          <w:p w14:paraId="57634F19" w14:textId="77777777" w:rsidR="008E67EA" w:rsidRDefault="008E67EA" w:rsidP="00B44A74">
            <w:pPr>
              <w:pStyle w:val="GazetteTableText"/>
            </w:pPr>
            <w:r w:rsidRPr="00FF66FF">
              <w:t>4a</w:t>
            </w:r>
          </w:p>
        </w:tc>
      </w:tr>
      <w:tr w:rsidR="008E67EA" w14:paraId="28391E80" w14:textId="77777777" w:rsidTr="00731415">
        <w:tc>
          <w:tcPr>
            <w:tcW w:w="601" w:type="pct"/>
          </w:tcPr>
          <w:p w14:paraId="49E7A24E" w14:textId="77777777" w:rsidR="008E67EA" w:rsidRDefault="008E67EA" w:rsidP="00B44A74">
            <w:pPr>
              <w:pStyle w:val="GazetteTableText"/>
            </w:pPr>
            <w:r w:rsidRPr="00674D09">
              <w:t>91393</w:t>
            </w:r>
          </w:p>
        </w:tc>
        <w:tc>
          <w:tcPr>
            <w:tcW w:w="1382" w:type="pct"/>
          </w:tcPr>
          <w:p w14:paraId="564A71E3" w14:textId="77777777" w:rsidR="008E67EA" w:rsidRPr="00B75907" w:rsidRDefault="008E67EA" w:rsidP="00B44A74">
            <w:pPr>
              <w:pStyle w:val="GazetteTableText"/>
            </w:pPr>
            <w:r w:rsidRPr="00674D09">
              <w:t>The Big Cheese Ultra Power Disposable Mouse Kill Bait Station</w:t>
            </w:r>
          </w:p>
        </w:tc>
        <w:tc>
          <w:tcPr>
            <w:tcW w:w="727" w:type="pct"/>
          </w:tcPr>
          <w:p w14:paraId="00FFEC5B" w14:textId="77777777" w:rsidR="008E67EA" w:rsidRDefault="008E67EA" w:rsidP="00B44A74">
            <w:pPr>
              <w:pStyle w:val="GazetteTableText"/>
            </w:pPr>
            <w:r w:rsidRPr="009A4983">
              <w:t>Brodifacoum</w:t>
            </w:r>
          </w:p>
        </w:tc>
        <w:tc>
          <w:tcPr>
            <w:tcW w:w="822" w:type="pct"/>
          </w:tcPr>
          <w:p w14:paraId="751B1F32" w14:textId="77777777" w:rsidR="008E67EA" w:rsidRDefault="008E67EA" w:rsidP="00B44A74">
            <w:pPr>
              <w:pStyle w:val="GazetteTableText"/>
            </w:pPr>
            <w:r>
              <w:t>Domestic</w:t>
            </w:r>
          </w:p>
        </w:tc>
        <w:tc>
          <w:tcPr>
            <w:tcW w:w="970" w:type="pct"/>
          </w:tcPr>
          <w:p w14:paraId="2C88AD97" w14:textId="77777777" w:rsidR="008E67EA" w:rsidRDefault="008E67EA" w:rsidP="00B44A74">
            <w:pPr>
              <w:pStyle w:val="GazetteTableText"/>
            </w:pPr>
            <w:r w:rsidRPr="00AA105E">
              <w:t>RB 0.05 g/kg or less in block formulation</w:t>
            </w:r>
          </w:p>
        </w:tc>
        <w:tc>
          <w:tcPr>
            <w:tcW w:w="498" w:type="pct"/>
          </w:tcPr>
          <w:p w14:paraId="12783294" w14:textId="77777777" w:rsidR="008E67EA" w:rsidRDefault="008E67EA" w:rsidP="00B44A74">
            <w:pPr>
              <w:pStyle w:val="GazetteTableText"/>
            </w:pPr>
            <w:r w:rsidRPr="003D301E">
              <w:t>5d</w:t>
            </w:r>
          </w:p>
        </w:tc>
      </w:tr>
      <w:tr w:rsidR="008E67EA" w14:paraId="28D2D4BB" w14:textId="77777777" w:rsidTr="00731415">
        <w:tc>
          <w:tcPr>
            <w:tcW w:w="601" w:type="pct"/>
          </w:tcPr>
          <w:p w14:paraId="3253D9F6" w14:textId="77777777" w:rsidR="008E67EA" w:rsidRDefault="008E67EA" w:rsidP="00B44A74">
            <w:pPr>
              <w:pStyle w:val="GazetteTableText"/>
            </w:pPr>
            <w:r w:rsidRPr="00674D09">
              <w:t>91394</w:t>
            </w:r>
          </w:p>
        </w:tc>
        <w:tc>
          <w:tcPr>
            <w:tcW w:w="1382" w:type="pct"/>
          </w:tcPr>
          <w:p w14:paraId="55DD7474" w14:textId="77777777" w:rsidR="008E67EA" w:rsidRPr="00B75907" w:rsidRDefault="008E67EA" w:rsidP="00B44A74">
            <w:pPr>
              <w:pStyle w:val="GazetteTableText"/>
            </w:pPr>
            <w:r w:rsidRPr="00674D09">
              <w:t>The Big Cheese Ultra Power Mouse Kill Bait Station Kit</w:t>
            </w:r>
          </w:p>
        </w:tc>
        <w:tc>
          <w:tcPr>
            <w:tcW w:w="727" w:type="pct"/>
          </w:tcPr>
          <w:p w14:paraId="2BC967EC" w14:textId="77777777" w:rsidR="008E67EA" w:rsidRDefault="008E67EA" w:rsidP="00B44A74">
            <w:pPr>
              <w:pStyle w:val="GazetteTableText"/>
            </w:pPr>
            <w:r w:rsidRPr="009A4983">
              <w:t>Brodifacoum</w:t>
            </w:r>
          </w:p>
        </w:tc>
        <w:tc>
          <w:tcPr>
            <w:tcW w:w="822" w:type="pct"/>
          </w:tcPr>
          <w:p w14:paraId="68A4A425" w14:textId="77777777" w:rsidR="008E67EA" w:rsidRDefault="008E67EA" w:rsidP="00B44A74">
            <w:pPr>
              <w:pStyle w:val="GazetteTableText"/>
            </w:pPr>
            <w:r>
              <w:t>Domestic</w:t>
            </w:r>
          </w:p>
        </w:tc>
        <w:tc>
          <w:tcPr>
            <w:tcW w:w="970" w:type="pct"/>
          </w:tcPr>
          <w:p w14:paraId="0F3A105D" w14:textId="77777777" w:rsidR="008E67EA" w:rsidRDefault="008E67EA" w:rsidP="00B44A74">
            <w:pPr>
              <w:pStyle w:val="GazetteTableText"/>
            </w:pPr>
            <w:r w:rsidRPr="00AA105E">
              <w:t>RB 0.05 g/kg or less in block formulation</w:t>
            </w:r>
          </w:p>
        </w:tc>
        <w:tc>
          <w:tcPr>
            <w:tcW w:w="498" w:type="pct"/>
          </w:tcPr>
          <w:p w14:paraId="419268FF" w14:textId="77777777" w:rsidR="008E67EA" w:rsidRDefault="008E67EA" w:rsidP="00B44A74">
            <w:pPr>
              <w:pStyle w:val="GazetteTableText"/>
            </w:pPr>
            <w:r w:rsidRPr="003D301E">
              <w:t>5d</w:t>
            </w:r>
          </w:p>
        </w:tc>
      </w:tr>
      <w:tr w:rsidR="008E67EA" w14:paraId="61F9CF55" w14:textId="77777777" w:rsidTr="00731415">
        <w:tc>
          <w:tcPr>
            <w:tcW w:w="601" w:type="pct"/>
          </w:tcPr>
          <w:p w14:paraId="3B37D876" w14:textId="77777777" w:rsidR="008E67EA" w:rsidRDefault="008E67EA" w:rsidP="00B44A74">
            <w:pPr>
              <w:pStyle w:val="GazetteTableText"/>
            </w:pPr>
            <w:r w:rsidRPr="00674D09">
              <w:t>91401</w:t>
            </w:r>
          </w:p>
        </w:tc>
        <w:tc>
          <w:tcPr>
            <w:tcW w:w="1382" w:type="pct"/>
          </w:tcPr>
          <w:p w14:paraId="6877E821" w14:textId="77777777" w:rsidR="008E67EA" w:rsidRPr="00B75907" w:rsidRDefault="008E67EA" w:rsidP="00B44A74">
            <w:pPr>
              <w:pStyle w:val="GazetteTableText"/>
            </w:pPr>
            <w:r w:rsidRPr="00674D09">
              <w:t>The Big Cheese Ultra Power Rat Kill Bait Station Kit</w:t>
            </w:r>
          </w:p>
        </w:tc>
        <w:tc>
          <w:tcPr>
            <w:tcW w:w="727" w:type="pct"/>
          </w:tcPr>
          <w:p w14:paraId="5B111BD8" w14:textId="77777777" w:rsidR="008E67EA" w:rsidRDefault="008E67EA" w:rsidP="00B44A74">
            <w:pPr>
              <w:pStyle w:val="GazetteTableText"/>
            </w:pPr>
            <w:r w:rsidRPr="009A4983">
              <w:t>Brodifacoum</w:t>
            </w:r>
          </w:p>
        </w:tc>
        <w:tc>
          <w:tcPr>
            <w:tcW w:w="822" w:type="pct"/>
          </w:tcPr>
          <w:p w14:paraId="3A660FDA" w14:textId="77777777" w:rsidR="008E67EA" w:rsidRDefault="008E67EA" w:rsidP="00B44A74">
            <w:pPr>
              <w:pStyle w:val="GazetteTableText"/>
            </w:pPr>
            <w:r>
              <w:t>Domestic</w:t>
            </w:r>
          </w:p>
        </w:tc>
        <w:tc>
          <w:tcPr>
            <w:tcW w:w="970" w:type="pct"/>
          </w:tcPr>
          <w:p w14:paraId="787AE4A0" w14:textId="77777777" w:rsidR="008E67EA" w:rsidRDefault="008E67EA" w:rsidP="00B44A74">
            <w:pPr>
              <w:pStyle w:val="GazetteTableText"/>
            </w:pPr>
            <w:r w:rsidRPr="00AA105E">
              <w:t>RB 0.05 g/kg or less in block formulation</w:t>
            </w:r>
          </w:p>
        </w:tc>
        <w:tc>
          <w:tcPr>
            <w:tcW w:w="498" w:type="pct"/>
          </w:tcPr>
          <w:p w14:paraId="1DA1C470" w14:textId="77777777" w:rsidR="008E67EA" w:rsidRDefault="008E67EA" w:rsidP="00B44A74">
            <w:pPr>
              <w:pStyle w:val="GazetteTableText"/>
            </w:pPr>
            <w:r w:rsidRPr="003D301E">
              <w:t>5c</w:t>
            </w:r>
          </w:p>
        </w:tc>
      </w:tr>
      <w:tr w:rsidR="008E67EA" w14:paraId="394196F0" w14:textId="77777777" w:rsidTr="00731415">
        <w:tc>
          <w:tcPr>
            <w:tcW w:w="601" w:type="pct"/>
          </w:tcPr>
          <w:p w14:paraId="4793D721" w14:textId="77777777" w:rsidR="008E67EA" w:rsidRDefault="008E67EA" w:rsidP="00B44A74">
            <w:pPr>
              <w:pStyle w:val="GazetteTableText"/>
            </w:pPr>
            <w:r w:rsidRPr="00674D09">
              <w:t>91553</w:t>
            </w:r>
          </w:p>
        </w:tc>
        <w:tc>
          <w:tcPr>
            <w:tcW w:w="1382" w:type="pct"/>
          </w:tcPr>
          <w:p w14:paraId="0DB0F25F" w14:textId="77777777" w:rsidR="008E67EA" w:rsidRPr="00B75907" w:rsidRDefault="008E67EA" w:rsidP="00B44A74">
            <w:pPr>
              <w:pStyle w:val="GazetteTableText"/>
            </w:pPr>
            <w:r w:rsidRPr="00674D09">
              <w:t>Titan Onza Red Rodenticide Paste</w:t>
            </w:r>
          </w:p>
        </w:tc>
        <w:tc>
          <w:tcPr>
            <w:tcW w:w="727" w:type="pct"/>
          </w:tcPr>
          <w:p w14:paraId="584ED0C5" w14:textId="77777777" w:rsidR="008E67EA" w:rsidRDefault="008E67EA" w:rsidP="00B44A74">
            <w:pPr>
              <w:pStyle w:val="GazetteTableText"/>
            </w:pPr>
            <w:r w:rsidRPr="009A4983">
              <w:t>Brodifacoum</w:t>
            </w:r>
          </w:p>
        </w:tc>
        <w:tc>
          <w:tcPr>
            <w:tcW w:w="822" w:type="pct"/>
          </w:tcPr>
          <w:p w14:paraId="62AC007D" w14:textId="77777777" w:rsidR="008E67EA" w:rsidRDefault="008E67EA" w:rsidP="00B44A74">
            <w:pPr>
              <w:pStyle w:val="GazetteTableText"/>
            </w:pPr>
            <w:r w:rsidRPr="00AA105E">
              <w:t>Commercial</w:t>
            </w:r>
          </w:p>
        </w:tc>
        <w:tc>
          <w:tcPr>
            <w:tcW w:w="970" w:type="pct"/>
          </w:tcPr>
          <w:p w14:paraId="7B9B9CF7" w14:textId="77777777" w:rsidR="008E67EA" w:rsidRDefault="008E67EA" w:rsidP="00B44A74">
            <w:pPr>
              <w:pStyle w:val="GazetteTableText"/>
            </w:pPr>
            <w:r w:rsidRPr="00AA105E">
              <w:t>RB 0.05 g/kg or less in sachet or place pack</w:t>
            </w:r>
          </w:p>
        </w:tc>
        <w:tc>
          <w:tcPr>
            <w:tcW w:w="498" w:type="pct"/>
          </w:tcPr>
          <w:p w14:paraId="1BE19C9B" w14:textId="77777777" w:rsidR="008E67EA" w:rsidRDefault="008E67EA" w:rsidP="00B44A74">
            <w:pPr>
              <w:pStyle w:val="GazetteTableText"/>
            </w:pPr>
            <w:r w:rsidRPr="00FF66FF">
              <w:t>4b</w:t>
            </w:r>
          </w:p>
        </w:tc>
      </w:tr>
      <w:tr w:rsidR="008E67EA" w14:paraId="3BF326D1" w14:textId="77777777" w:rsidTr="00731415">
        <w:tc>
          <w:tcPr>
            <w:tcW w:w="601" w:type="pct"/>
          </w:tcPr>
          <w:p w14:paraId="24484A9C" w14:textId="77777777" w:rsidR="008E67EA" w:rsidRDefault="008E67EA" w:rsidP="00B44A74">
            <w:pPr>
              <w:pStyle w:val="GazetteTableText"/>
            </w:pPr>
            <w:r w:rsidRPr="00674D09">
              <w:t>91554</w:t>
            </w:r>
          </w:p>
        </w:tc>
        <w:tc>
          <w:tcPr>
            <w:tcW w:w="1382" w:type="pct"/>
          </w:tcPr>
          <w:p w14:paraId="0462F8D9" w14:textId="77777777" w:rsidR="008E67EA" w:rsidRPr="00B75907" w:rsidRDefault="008E67EA" w:rsidP="00B44A74">
            <w:pPr>
              <w:pStyle w:val="GazetteTableText"/>
            </w:pPr>
            <w:r w:rsidRPr="00674D09">
              <w:t>Titan Onza Red Rodenticide Blocks</w:t>
            </w:r>
          </w:p>
        </w:tc>
        <w:tc>
          <w:tcPr>
            <w:tcW w:w="727" w:type="pct"/>
          </w:tcPr>
          <w:p w14:paraId="63F15CD2" w14:textId="77777777" w:rsidR="008E67EA" w:rsidRDefault="008E67EA" w:rsidP="00B44A74">
            <w:pPr>
              <w:pStyle w:val="GazetteTableText"/>
            </w:pPr>
            <w:r w:rsidRPr="009A4983">
              <w:t>Brodifacoum</w:t>
            </w:r>
          </w:p>
        </w:tc>
        <w:tc>
          <w:tcPr>
            <w:tcW w:w="822" w:type="pct"/>
          </w:tcPr>
          <w:p w14:paraId="3D82C2C6" w14:textId="77777777" w:rsidR="008E67EA" w:rsidRDefault="008E67EA" w:rsidP="00B44A74">
            <w:pPr>
              <w:pStyle w:val="GazetteTableText"/>
            </w:pPr>
            <w:r w:rsidRPr="00AA105E">
              <w:t>Commercial</w:t>
            </w:r>
          </w:p>
        </w:tc>
        <w:tc>
          <w:tcPr>
            <w:tcW w:w="970" w:type="pct"/>
          </w:tcPr>
          <w:p w14:paraId="5C7701A4" w14:textId="77777777" w:rsidR="008E67EA" w:rsidRDefault="008E67EA" w:rsidP="00B44A74">
            <w:pPr>
              <w:pStyle w:val="GazetteTableText"/>
            </w:pPr>
            <w:r w:rsidRPr="00AA105E">
              <w:t>RB 0.05 g/kg or less in block formulation</w:t>
            </w:r>
          </w:p>
        </w:tc>
        <w:tc>
          <w:tcPr>
            <w:tcW w:w="498" w:type="pct"/>
          </w:tcPr>
          <w:p w14:paraId="5C86D701" w14:textId="77777777" w:rsidR="008E67EA" w:rsidRDefault="008E67EA" w:rsidP="00B44A74">
            <w:pPr>
              <w:pStyle w:val="GazetteTableText"/>
            </w:pPr>
            <w:r w:rsidRPr="00310CEC">
              <w:t>1b</w:t>
            </w:r>
          </w:p>
        </w:tc>
      </w:tr>
      <w:tr w:rsidR="008E67EA" w14:paraId="2E107808" w14:textId="77777777" w:rsidTr="00731415">
        <w:tc>
          <w:tcPr>
            <w:tcW w:w="601" w:type="pct"/>
          </w:tcPr>
          <w:p w14:paraId="7A24F784" w14:textId="77777777" w:rsidR="008E67EA" w:rsidRDefault="008E67EA" w:rsidP="00B44A74">
            <w:pPr>
              <w:pStyle w:val="GazetteTableText"/>
            </w:pPr>
            <w:r w:rsidRPr="00674D09">
              <w:t>91653</w:t>
            </w:r>
          </w:p>
        </w:tc>
        <w:tc>
          <w:tcPr>
            <w:tcW w:w="1382" w:type="pct"/>
          </w:tcPr>
          <w:p w14:paraId="773869C0" w14:textId="77777777" w:rsidR="008E67EA" w:rsidRPr="00B75907" w:rsidRDefault="008E67EA" w:rsidP="00B44A74">
            <w:pPr>
              <w:pStyle w:val="GazetteTableText"/>
            </w:pPr>
            <w:r w:rsidRPr="00674D09">
              <w:t>Pestmaster Brodifacoum Rat &amp; Mouse Killer Blocks</w:t>
            </w:r>
          </w:p>
        </w:tc>
        <w:tc>
          <w:tcPr>
            <w:tcW w:w="727" w:type="pct"/>
          </w:tcPr>
          <w:p w14:paraId="4A3DF30B" w14:textId="77777777" w:rsidR="008E67EA" w:rsidRDefault="008E67EA" w:rsidP="00B44A74">
            <w:pPr>
              <w:pStyle w:val="GazetteTableText"/>
            </w:pPr>
            <w:r w:rsidRPr="009A4983">
              <w:t>Brodifacoum</w:t>
            </w:r>
          </w:p>
        </w:tc>
        <w:tc>
          <w:tcPr>
            <w:tcW w:w="822" w:type="pct"/>
          </w:tcPr>
          <w:p w14:paraId="45A1D66C" w14:textId="77777777" w:rsidR="008E67EA" w:rsidRDefault="008E67EA" w:rsidP="00B44A74">
            <w:pPr>
              <w:pStyle w:val="GazetteTableText"/>
            </w:pPr>
            <w:r w:rsidRPr="00AA105E">
              <w:t>Commercial</w:t>
            </w:r>
          </w:p>
        </w:tc>
        <w:tc>
          <w:tcPr>
            <w:tcW w:w="970" w:type="pct"/>
          </w:tcPr>
          <w:p w14:paraId="6CABB683" w14:textId="77777777" w:rsidR="008E67EA" w:rsidRDefault="008E67EA" w:rsidP="00B44A74">
            <w:pPr>
              <w:pStyle w:val="GazetteTableText"/>
            </w:pPr>
            <w:r w:rsidRPr="00AA105E">
              <w:t>RB 0.05 g/kg or less in block formulation</w:t>
            </w:r>
          </w:p>
        </w:tc>
        <w:tc>
          <w:tcPr>
            <w:tcW w:w="498" w:type="pct"/>
          </w:tcPr>
          <w:p w14:paraId="1285B229" w14:textId="77777777" w:rsidR="008E67EA" w:rsidRDefault="008E67EA" w:rsidP="00B44A74">
            <w:pPr>
              <w:pStyle w:val="GazetteTableText"/>
            </w:pPr>
            <w:r w:rsidRPr="00310CEC">
              <w:t>1b</w:t>
            </w:r>
          </w:p>
        </w:tc>
      </w:tr>
      <w:tr w:rsidR="008E67EA" w14:paraId="2992F8D0" w14:textId="77777777" w:rsidTr="00731415">
        <w:tc>
          <w:tcPr>
            <w:tcW w:w="601" w:type="pct"/>
          </w:tcPr>
          <w:p w14:paraId="48D99A08" w14:textId="77777777" w:rsidR="008E67EA" w:rsidRDefault="008E67EA" w:rsidP="00B44A74">
            <w:pPr>
              <w:pStyle w:val="GazetteTableText"/>
            </w:pPr>
            <w:r w:rsidRPr="00674D09">
              <w:t>91708</w:t>
            </w:r>
          </w:p>
        </w:tc>
        <w:tc>
          <w:tcPr>
            <w:tcW w:w="1382" w:type="pct"/>
          </w:tcPr>
          <w:p w14:paraId="5EF6F78D" w14:textId="77777777" w:rsidR="008E67EA" w:rsidRPr="00B75907" w:rsidRDefault="008E67EA" w:rsidP="00B44A74">
            <w:pPr>
              <w:pStyle w:val="GazetteTableText"/>
            </w:pPr>
            <w:r w:rsidRPr="00674D09">
              <w:t>Titan Onza Red Grain Bait</w:t>
            </w:r>
          </w:p>
        </w:tc>
        <w:tc>
          <w:tcPr>
            <w:tcW w:w="727" w:type="pct"/>
          </w:tcPr>
          <w:p w14:paraId="4383C379" w14:textId="77777777" w:rsidR="008E67EA" w:rsidRDefault="008E67EA" w:rsidP="00B44A74">
            <w:pPr>
              <w:pStyle w:val="GazetteTableText"/>
            </w:pPr>
            <w:r w:rsidRPr="009A4983">
              <w:t>Brodifacoum</w:t>
            </w:r>
          </w:p>
        </w:tc>
        <w:tc>
          <w:tcPr>
            <w:tcW w:w="822" w:type="pct"/>
          </w:tcPr>
          <w:p w14:paraId="30EEDE56" w14:textId="77777777" w:rsidR="008E67EA" w:rsidRDefault="008E67EA" w:rsidP="00B44A74">
            <w:pPr>
              <w:pStyle w:val="GazetteTableText"/>
            </w:pPr>
            <w:r w:rsidRPr="00AA105E">
              <w:t>Commercial</w:t>
            </w:r>
          </w:p>
        </w:tc>
        <w:tc>
          <w:tcPr>
            <w:tcW w:w="970" w:type="pct"/>
          </w:tcPr>
          <w:p w14:paraId="56D459DD" w14:textId="77777777" w:rsidR="008E67EA" w:rsidRDefault="008E67EA" w:rsidP="00B44A74">
            <w:pPr>
              <w:pStyle w:val="GazetteTableText"/>
            </w:pPr>
            <w:r w:rsidRPr="004C07C1">
              <w:t>RB 0.05 g/kg or less in pellet formulation</w:t>
            </w:r>
          </w:p>
        </w:tc>
        <w:tc>
          <w:tcPr>
            <w:tcW w:w="498" w:type="pct"/>
          </w:tcPr>
          <w:p w14:paraId="2B885E36" w14:textId="77777777" w:rsidR="008E67EA" w:rsidRDefault="008E67EA" w:rsidP="00B44A74">
            <w:pPr>
              <w:pStyle w:val="GazetteTableText"/>
            </w:pPr>
            <w:r w:rsidRPr="00310CEC">
              <w:t>3b</w:t>
            </w:r>
          </w:p>
        </w:tc>
      </w:tr>
      <w:tr w:rsidR="008E67EA" w14:paraId="32B2EF75" w14:textId="77777777" w:rsidTr="00731415">
        <w:tc>
          <w:tcPr>
            <w:tcW w:w="601" w:type="pct"/>
          </w:tcPr>
          <w:p w14:paraId="06600A13" w14:textId="77777777" w:rsidR="008E67EA" w:rsidRDefault="008E67EA" w:rsidP="00B44A74">
            <w:pPr>
              <w:pStyle w:val="GazetteTableText"/>
            </w:pPr>
            <w:r w:rsidRPr="00674D09">
              <w:t>92319</w:t>
            </w:r>
          </w:p>
        </w:tc>
        <w:tc>
          <w:tcPr>
            <w:tcW w:w="1382" w:type="pct"/>
          </w:tcPr>
          <w:p w14:paraId="2D6F2B75" w14:textId="77777777" w:rsidR="008E67EA" w:rsidRPr="00B75907" w:rsidRDefault="008E67EA" w:rsidP="00B44A74">
            <w:pPr>
              <w:pStyle w:val="GazetteTableText"/>
            </w:pPr>
            <w:r w:rsidRPr="00674D09">
              <w:t>TALON GT Pro Rodenticide Grain Bait Block</w:t>
            </w:r>
          </w:p>
        </w:tc>
        <w:tc>
          <w:tcPr>
            <w:tcW w:w="727" w:type="pct"/>
          </w:tcPr>
          <w:p w14:paraId="1CE2F5F5" w14:textId="77777777" w:rsidR="008E67EA" w:rsidRDefault="008E67EA" w:rsidP="00B44A74">
            <w:pPr>
              <w:pStyle w:val="GazetteTableText"/>
            </w:pPr>
            <w:r w:rsidRPr="009A4983">
              <w:t>Brodifacoum</w:t>
            </w:r>
          </w:p>
        </w:tc>
        <w:tc>
          <w:tcPr>
            <w:tcW w:w="822" w:type="pct"/>
          </w:tcPr>
          <w:p w14:paraId="4A02724C" w14:textId="77777777" w:rsidR="008E67EA" w:rsidRDefault="008E67EA" w:rsidP="00B44A74">
            <w:pPr>
              <w:pStyle w:val="GazetteTableText"/>
            </w:pPr>
            <w:r w:rsidRPr="00AA105E">
              <w:t>Commercial</w:t>
            </w:r>
          </w:p>
        </w:tc>
        <w:tc>
          <w:tcPr>
            <w:tcW w:w="970" w:type="pct"/>
          </w:tcPr>
          <w:p w14:paraId="5AE7B396" w14:textId="77777777" w:rsidR="008E67EA" w:rsidRDefault="008E67EA" w:rsidP="00B44A74">
            <w:pPr>
              <w:pStyle w:val="GazetteTableText"/>
            </w:pPr>
            <w:r w:rsidRPr="00AA105E">
              <w:t>RB 0.05 g/kg or less in block formulation</w:t>
            </w:r>
          </w:p>
        </w:tc>
        <w:tc>
          <w:tcPr>
            <w:tcW w:w="498" w:type="pct"/>
          </w:tcPr>
          <w:p w14:paraId="05E16381" w14:textId="77777777" w:rsidR="008E67EA" w:rsidRDefault="008E67EA" w:rsidP="00B44A74">
            <w:pPr>
              <w:pStyle w:val="GazetteTableText"/>
            </w:pPr>
            <w:r w:rsidRPr="00310CEC">
              <w:t>1b</w:t>
            </w:r>
          </w:p>
        </w:tc>
      </w:tr>
      <w:tr w:rsidR="008E67EA" w14:paraId="1F362EE3" w14:textId="77777777" w:rsidTr="00731415">
        <w:tc>
          <w:tcPr>
            <w:tcW w:w="601" w:type="pct"/>
          </w:tcPr>
          <w:p w14:paraId="159919B3" w14:textId="77777777" w:rsidR="008E67EA" w:rsidRDefault="008E67EA" w:rsidP="00B44A74">
            <w:pPr>
              <w:pStyle w:val="GazetteTableText"/>
            </w:pPr>
            <w:r w:rsidRPr="00674D09">
              <w:t>92320</w:t>
            </w:r>
          </w:p>
        </w:tc>
        <w:tc>
          <w:tcPr>
            <w:tcW w:w="1382" w:type="pct"/>
          </w:tcPr>
          <w:p w14:paraId="2D7B925D" w14:textId="77777777" w:rsidR="008E67EA" w:rsidRPr="00B75907" w:rsidRDefault="008E67EA" w:rsidP="00B44A74">
            <w:pPr>
              <w:pStyle w:val="GazetteTableText"/>
            </w:pPr>
            <w:r w:rsidRPr="00674D09">
              <w:t>TALON Rat &amp; Mouse Killer Grain Bait Block</w:t>
            </w:r>
          </w:p>
        </w:tc>
        <w:tc>
          <w:tcPr>
            <w:tcW w:w="727" w:type="pct"/>
          </w:tcPr>
          <w:p w14:paraId="78AAC54F" w14:textId="77777777" w:rsidR="008E67EA" w:rsidRDefault="008E67EA" w:rsidP="00B44A74">
            <w:pPr>
              <w:pStyle w:val="GazetteTableText"/>
            </w:pPr>
            <w:r w:rsidRPr="009A4983">
              <w:t>Brodifacoum</w:t>
            </w:r>
          </w:p>
        </w:tc>
        <w:tc>
          <w:tcPr>
            <w:tcW w:w="822" w:type="pct"/>
          </w:tcPr>
          <w:p w14:paraId="4A606B7F" w14:textId="77777777" w:rsidR="008E67EA" w:rsidRDefault="008E67EA" w:rsidP="00B44A74">
            <w:pPr>
              <w:pStyle w:val="GazetteTableText"/>
            </w:pPr>
            <w:r w:rsidRPr="00AA105E">
              <w:t>Commercial</w:t>
            </w:r>
          </w:p>
        </w:tc>
        <w:tc>
          <w:tcPr>
            <w:tcW w:w="970" w:type="pct"/>
          </w:tcPr>
          <w:p w14:paraId="7008D474" w14:textId="77777777" w:rsidR="008E67EA" w:rsidRDefault="008E67EA" w:rsidP="00B44A74">
            <w:pPr>
              <w:pStyle w:val="GazetteTableText"/>
            </w:pPr>
            <w:r w:rsidRPr="00AA105E">
              <w:t>RB 0.05 g/kg or less in block formulation</w:t>
            </w:r>
          </w:p>
        </w:tc>
        <w:tc>
          <w:tcPr>
            <w:tcW w:w="498" w:type="pct"/>
          </w:tcPr>
          <w:p w14:paraId="1DCB66DF" w14:textId="77777777" w:rsidR="008E67EA" w:rsidRDefault="008E67EA" w:rsidP="00B44A74">
            <w:pPr>
              <w:pStyle w:val="GazetteTableText"/>
            </w:pPr>
            <w:r w:rsidRPr="00310CEC">
              <w:t>1b</w:t>
            </w:r>
          </w:p>
        </w:tc>
      </w:tr>
      <w:tr w:rsidR="008E67EA" w14:paraId="4D32DB92" w14:textId="77777777" w:rsidTr="00731415">
        <w:tc>
          <w:tcPr>
            <w:tcW w:w="601" w:type="pct"/>
          </w:tcPr>
          <w:p w14:paraId="7CB184F1" w14:textId="77777777" w:rsidR="008E67EA" w:rsidRDefault="008E67EA" w:rsidP="00B44A74">
            <w:pPr>
              <w:pStyle w:val="GazetteTableText"/>
            </w:pPr>
            <w:r w:rsidRPr="00674D09">
              <w:t>94339</w:t>
            </w:r>
          </w:p>
        </w:tc>
        <w:tc>
          <w:tcPr>
            <w:tcW w:w="1382" w:type="pct"/>
          </w:tcPr>
          <w:p w14:paraId="41460085" w14:textId="77777777" w:rsidR="008E67EA" w:rsidRPr="00B75907" w:rsidRDefault="008E67EA" w:rsidP="00B44A74">
            <w:pPr>
              <w:pStyle w:val="GazetteTableText"/>
            </w:pPr>
            <w:r w:rsidRPr="00674D09">
              <w:t>Ratsak 50 Waxblocks Kills Rats &amp; Mice</w:t>
            </w:r>
          </w:p>
        </w:tc>
        <w:tc>
          <w:tcPr>
            <w:tcW w:w="727" w:type="pct"/>
          </w:tcPr>
          <w:p w14:paraId="358EC89B" w14:textId="77777777" w:rsidR="008E67EA" w:rsidRDefault="008E67EA" w:rsidP="00B44A74">
            <w:pPr>
              <w:pStyle w:val="GazetteTableText"/>
            </w:pPr>
            <w:r w:rsidRPr="009A4983">
              <w:t>Brodifacoum</w:t>
            </w:r>
          </w:p>
        </w:tc>
        <w:tc>
          <w:tcPr>
            <w:tcW w:w="822" w:type="pct"/>
          </w:tcPr>
          <w:p w14:paraId="41B2B76D" w14:textId="77777777" w:rsidR="008E67EA" w:rsidRDefault="008E67EA" w:rsidP="00B44A74">
            <w:pPr>
              <w:pStyle w:val="GazetteTableText"/>
            </w:pPr>
            <w:r>
              <w:t>Domestic</w:t>
            </w:r>
          </w:p>
        </w:tc>
        <w:tc>
          <w:tcPr>
            <w:tcW w:w="970" w:type="pct"/>
          </w:tcPr>
          <w:p w14:paraId="0033B7A1" w14:textId="77777777" w:rsidR="008E67EA" w:rsidRDefault="008E67EA" w:rsidP="00B44A74">
            <w:pPr>
              <w:pStyle w:val="GazetteTableText"/>
            </w:pPr>
            <w:r w:rsidRPr="00AA105E">
              <w:t>RB 0.05 g/kg or less in block formulation</w:t>
            </w:r>
          </w:p>
        </w:tc>
        <w:tc>
          <w:tcPr>
            <w:tcW w:w="498" w:type="pct"/>
          </w:tcPr>
          <w:p w14:paraId="5B184599" w14:textId="77777777" w:rsidR="008E67EA" w:rsidRDefault="008E67EA" w:rsidP="00B44A74">
            <w:pPr>
              <w:pStyle w:val="GazetteTableText"/>
            </w:pPr>
            <w:r w:rsidRPr="003D301E">
              <w:t>5a</w:t>
            </w:r>
          </w:p>
        </w:tc>
      </w:tr>
      <w:tr w:rsidR="008E67EA" w14:paraId="0207BEB2" w14:textId="77777777" w:rsidTr="00731415">
        <w:tc>
          <w:tcPr>
            <w:tcW w:w="601" w:type="pct"/>
          </w:tcPr>
          <w:p w14:paraId="331E41DD" w14:textId="77777777" w:rsidR="008E67EA" w:rsidRDefault="008E67EA" w:rsidP="00B44A74">
            <w:pPr>
              <w:pStyle w:val="GazetteTableText"/>
            </w:pPr>
            <w:r w:rsidRPr="00674D09">
              <w:t>94350</w:t>
            </w:r>
          </w:p>
        </w:tc>
        <w:tc>
          <w:tcPr>
            <w:tcW w:w="1382" w:type="pct"/>
          </w:tcPr>
          <w:p w14:paraId="2AD17C40" w14:textId="77777777" w:rsidR="008E67EA" w:rsidRPr="00B75907" w:rsidRDefault="008E67EA" w:rsidP="00B44A74">
            <w:pPr>
              <w:pStyle w:val="GazetteTableText"/>
            </w:pPr>
            <w:r w:rsidRPr="00674D09">
              <w:t>Ratsak 50 Soft Bait Kills Rats &amp; Mice</w:t>
            </w:r>
          </w:p>
        </w:tc>
        <w:tc>
          <w:tcPr>
            <w:tcW w:w="727" w:type="pct"/>
          </w:tcPr>
          <w:p w14:paraId="4198693C" w14:textId="77777777" w:rsidR="008E67EA" w:rsidRDefault="008E67EA" w:rsidP="00B44A74">
            <w:pPr>
              <w:pStyle w:val="GazetteTableText"/>
            </w:pPr>
            <w:r w:rsidRPr="009A4983">
              <w:t>Brodifacoum</w:t>
            </w:r>
          </w:p>
        </w:tc>
        <w:tc>
          <w:tcPr>
            <w:tcW w:w="822" w:type="pct"/>
          </w:tcPr>
          <w:p w14:paraId="0F09EF4D" w14:textId="77777777" w:rsidR="008E67EA" w:rsidRDefault="008E67EA" w:rsidP="00B44A74">
            <w:pPr>
              <w:pStyle w:val="GazetteTableText"/>
            </w:pPr>
            <w:r>
              <w:t>Domestic</w:t>
            </w:r>
          </w:p>
        </w:tc>
        <w:tc>
          <w:tcPr>
            <w:tcW w:w="970" w:type="pct"/>
          </w:tcPr>
          <w:p w14:paraId="0B2E21E9" w14:textId="77777777" w:rsidR="008E67EA" w:rsidRDefault="008E67EA" w:rsidP="00B44A74">
            <w:pPr>
              <w:pStyle w:val="GazetteTableText"/>
            </w:pPr>
            <w:r w:rsidRPr="00AA105E">
              <w:t>RB 0.05 g/kg or less in sachet or place pack</w:t>
            </w:r>
          </w:p>
        </w:tc>
        <w:tc>
          <w:tcPr>
            <w:tcW w:w="498" w:type="pct"/>
          </w:tcPr>
          <w:p w14:paraId="03D79F52" w14:textId="77777777" w:rsidR="008E67EA" w:rsidRDefault="008E67EA" w:rsidP="00B44A74">
            <w:pPr>
              <w:pStyle w:val="GazetteTableText"/>
            </w:pPr>
            <w:r w:rsidRPr="00FF66FF">
              <w:t>7a</w:t>
            </w:r>
          </w:p>
        </w:tc>
      </w:tr>
      <w:tr w:rsidR="008E67EA" w14:paraId="4021DD40" w14:textId="77777777" w:rsidTr="00731415">
        <w:tc>
          <w:tcPr>
            <w:tcW w:w="601" w:type="pct"/>
          </w:tcPr>
          <w:p w14:paraId="7E2B6516" w14:textId="77777777" w:rsidR="008E67EA" w:rsidRDefault="008E67EA" w:rsidP="00B44A74">
            <w:pPr>
              <w:pStyle w:val="GazetteTableText"/>
            </w:pPr>
            <w:r w:rsidRPr="00674D09">
              <w:t>94918</w:t>
            </w:r>
          </w:p>
        </w:tc>
        <w:tc>
          <w:tcPr>
            <w:tcW w:w="1382" w:type="pct"/>
          </w:tcPr>
          <w:p w14:paraId="61D20690" w14:textId="77777777" w:rsidR="008E67EA" w:rsidRPr="00B75907" w:rsidRDefault="008E67EA" w:rsidP="00B44A74">
            <w:pPr>
              <w:pStyle w:val="GazetteTableText"/>
            </w:pPr>
            <w:r w:rsidRPr="00674D09">
              <w:t>No Rats &amp; Mice One Feed Rodenticide Blocks</w:t>
            </w:r>
          </w:p>
        </w:tc>
        <w:tc>
          <w:tcPr>
            <w:tcW w:w="727" w:type="pct"/>
          </w:tcPr>
          <w:p w14:paraId="51529FBF" w14:textId="77777777" w:rsidR="008E67EA" w:rsidRDefault="008E67EA" w:rsidP="00B44A74">
            <w:pPr>
              <w:pStyle w:val="GazetteTableText"/>
            </w:pPr>
            <w:r w:rsidRPr="009A4983">
              <w:t>Brodifacoum</w:t>
            </w:r>
          </w:p>
        </w:tc>
        <w:tc>
          <w:tcPr>
            <w:tcW w:w="822" w:type="pct"/>
          </w:tcPr>
          <w:p w14:paraId="69C74FA1" w14:textId="77777777" w:rsidR="008E67EA" w:rsidRDefault="008E67EA" w:rsidP="00B44A74">
            <w:pPr>
              <w:pStyle w:val="GazetteTableText"/>
            </w:pPr>
            <w:r w:rsidRPr="00AA105E">
              <w:t>Commercial</w:t>
            </w:r>
          </w:p>
        </w:tc>
        <w:tc>
          <w:tcPr>
            <w:tcW w:w="970" w:type="pct"/>
          </w:tcPr>
          <w:p w14:paraId="1E46CD40" w14:textId="77777777" w:rsidR="008E67EA" w:rsidRDefault="008E67EA" w:rsidP="00B44A74">
            <w:pPr>
              <w:pStyle w:val="GazetteTableText"/>
            </w:pPr>
            <w:r w:rsidRPr="00AA105E">
              <w:t>RB 0.05 g/kg or less in block formulation</w:t>
            </w:r>
          </w:p>
        </w:tc>
        <w:tc>
          <w:tcPr>
            <w:tcW w:w="498" w:type="pct"/>
          </w:tcPr>
          <w:p w14:paraId="1D3CCA19" w14:textId="77777777" w:rsidR="008E67EA" w:rsidRDefault="008E67EA" w:rsidP="00B44A74">
            <w:pPr>
              <w:pStyle w:val="GazetteTableText"/>
            </w:pPr>
            <w:r w:rsidRPr="00310CEC">
              <w:t>1b</w:t>
            </w:r>
          </w:p>
        </w:tc>
      </w:tr>
      <w:tr w:rsidR="008E67EA" w14:paraId="4589F096" w14:textId="77777777" w:rsidTr="00731415">
        <w:tc>
          <w:tcPr>
            <w:tcW w:w="601" w:type="pct"/>
          </w:tcPr>
          <w:p w14:paraId="6E31B49E" w14:textId="77777777" w:rsidR="008E67EA" w:rsidRDefault="008E67EA" w:rsidP="00B44A74">
            <w:pPr>
              <w:pStyle w:val="GazetteTableText"/>
            </w:pPr>
            <w:r w:rsidRPr="00B1201B">
              <w:t>39461</w:t>
            </w:r>
          </w:p>
        </w:tc>
        <w:tc>
          <w:tcPr>
            <w:tcW w:w="1382" w:type="pct"/>
          </w:tcPr>
          <w:p w14:paraId="03EAFF79" w14:textId="77777777" w:rsidR="008E67EA" w:rsidRPr="00B75907" w:rsidRDefault="008E67EA" w:rsidP="00B44A74">
            <w:pPr>
              <w:pStyle w:val="GazetteTableText"/>
            </w:pPr>
            <w:r w:rsidRPr="00B1201B">
              <w:t>Rentokil Bromard</w:t>
            </w:r>
          </w:p>
        </w:tc>
        <w:tc>
          <w:tcPr>
            <w:tcW w:w="727" w:type="pct"/>
          </w:tcPr>
          <w:p w14:paraId="695771FD" w14:textId="77777777" w:rsidR="008E67EA" w:rsidRDefault="008E67EA" w:rsidP="00B44A74">
            <w:pPr>
              <w:pStyle w:val="GazetteTableText"/>
            </w:pPr>
            <w:r w:rsidRPr="00A816F7">
              <w:t>Bromadiolone</w:t>
            </w:r>
          </w:p>
        </w:tc>
        <w:tc>
          <w:tcPr>
            <w:tcW w:w="822" w:type="pct"/>
          </w:tcPr>
          <w:p w14:paraId="5ABCD71E" w14:textId="77777777" w:rsidR="008E67EA" w:rsidRDefault="008E67EA" w:rsidP="00B44A74">
            <w:pPr>
              <w:pStyle w:val="GazetteTableText"/>
            </w:pPr>
            <w:r w:rsidRPr="002B45E6">
              <w:t>Commercial</w:t>
            </w:r>
          </w:p>
        </w:tc>
        <w:tc>
          <w:tcPr>
            <w:tcW w:w="970" w:type="pct"/>
          </w:tcPr>
          <w:p w14:paraId="19957C6F" w14:textId="77777777" w:rsidR="008E67EA" w:rsidRDefault="008E67EA" w:rsidP="00B44A74">
            <w:pPr>
              <w:pStyle w:val="GazetteTableText"/>
            </w:pPr>
            <w:r>
              <w:rPr>
                <w:color w:val="000000" w:themeColor="text1"/>
              </w:rPr>
              <w:t>RB</w:t>
            </w:r>
            <w:r w:rsidRPr="00D65344">
              <w:rPr>
                <w:color w:val="000000" w:themeColor="text1"/>
              </w:rPr>
              <w:t xml:space="preserve"> 0.1 g/kg or less as a paste in caulking gun</w:t>
            </w:r>
          </w:p>
        </w:tc>
        <w:tc>
          <w:tcPr>
            <w:tcW w:w="498" w:type="pct"/>
          </w:tcPr>
          <w:p w14:paraId="16D35C55" w14:textId="77777777" w:rsidR="008E67EA" w:rsidRDefault="008E67EA" w:rsidP="00B44A74">
            <w:pPr>
              <w:pStyle w:val="GazetteTableText"/>
            </w:pPr>
            <w:r w:rsidRPr="00AA105E">
              <w:t>9</w:t>
            </w:r>
          </w:p>
        </w:tc>
      </w:tr>
      <w:tr w:rsidR="008E67EA" w14:paraId="0447B71D" w14:textId="77777777" w:rsidTr="00731415">
        <w:tc>
          <w:tcPr>
            <w:tcW w:w="601" w:type="pct"/>
          </w:tcPr>
          <w:p w14:paraId="57DF7DD0" w14:textId="77777777" w:rsidR="008E67EA" w:rsidRDefault="008E67EA" w:rsidP="00B44A74">
            <w:pPr>
              <w:pStyle w:val="GazetteTableText"/>
            </w:pPr>
            <w:r w:rsidRPr="00B1201B">
              <w:t>48372</w:t>
            </w:r>
          </w:p>
        </w:tc>
        <w:tc>
          <w:tcPr>
            <w:tcW w:w="1382" w:type="pct"/>
          </w:tcPr>
          <w:p w14:paraId="33EA6DCE" w14:textId="77777777" w:rsidR="008E67EA" w:rsidRPr="00B75907" w:rsidRDefault="008E67EA" w:rsidP="00B44A74">
            <w:pPr>
              <w:pStyle w:val="GazetteTableText"/>
            </w:pPr>
            <w:r w:rsidRPr="00B1201B">
              <w:t>Contrac Blox</w:t>
            </w:r>
          </w:p>
        </w:tc>
        <w:tc>
          <w:tcPr>
            <w:tcW w:w="727" w:type="pct"/>
          </w:tcPr>
          <w:p w14:paraId="43833820" w14:textId="77777777" w:rsidR="008E67EA" w:rsidRDefault="008E67EA" w:rsidP="00B44A74">
            <w:pPr>
              <w:pStyle w:val="GazetteTableText"/>
            </w:pPr>
            <w:r w:rsidRPr="00A816F7">
              <w:t>Bromadiolone</w:t>
            </w:r>
          </w:p>
        </w:tc>
        <w:tc>
          <w:tcPr>
            <w:tcW w:w="822" w:type="pct"/>
          </w:tcPr>
          <w:p w14:paraId="1C0CF79F" w14:textId="77777777" w:rsidR="008E67EA" w:rsidRDefault="008E67EA" w:rsidP="00B44A74">
            <w:pPr>
              <w:pStyle w:val="GazetteTableText"/>
            </w:pPr>
            <w:r w:rsidRPr="00F952BB">
              <w:t>Commercial</w:t>
            </w:r>
          </w:p>
        </w:tc>
        <w:tc>
          <w:tcPr>
            <w:tcW w:w="970" w:type="pct"/>
          </w:tcPr>
          <w:p w14:paraId="388459FE" w14:textId="77777777" w:rsidR="008E67EA" w:rsidRDefault="008E67EA" w:rsidP="00B44A74">
            <w:pPr>
              <w:pStyle w:val="GazetteTableText"/>
            </w:pPr>
            <w:r w:rsidRPr="00AA105E">
              <w:t>RB 0.05 g/kg or less in block formulation</w:t>
            </w:r>
          </w:p>
        </w:tc>
        <w:tc>
          <w:tcPr>
            <w:tcW w:w="498" w:type="pct"/>
          </w:tcPr>
          <w:p w14:paraId="487D26D6" w14:textId="77777777" w:rsidR="008E67EA" w:rsidRDefault="008E67EA" w:rsidP="00B44A74">
            <w:pPr>
              <w:pStyle w:val="GazetteTableText"/>
            </w:pPr>
            <w:r w:rsidRPr="00AA105E">
              <w:t>8</w:t>
            </w:r>
            <w:r>
              <w:t>a</w:t>
            </w:r>
          </w:p>
        </w:tc>
      </w:tr>
      <w:tr w:rsidR="008E67EA" w14:paraId="2D1EEAF3" w14:textId="77777777" w:rsidTr="00731415">
        <w:tc>
          <w:tcPr>
            <w:tcW w:w="601" w:type="pct"/>
          </w:tcPr>
          <w:p w14:paraId="4E487F11" w14:textId="77777777" w:rsidR="008E67EA" w:rsidRDefault="008E67EA" w:rsidP="00B44A74">
            <w:pPr>
              <w:pStyle w:val="GazetteTableText"/>
            </w:pPr>
            <w:r w:rsidRPr="00B1201B">
              <w:t>48374</w:t>
            </w:r>
          </w:p>
        </w:tc>
        <w:tc>
          <w:tcPr>
            <w:tcW w:w="1382" w:type="pct"/>
          </w:tcPr>
          <w:p w14:paraId="4E3F9D78" w14:textId="77777777" w:rsidR="008E67EA" w:rsidRPr="00B75907" w:rsidRDefault="008E67EA" w:rsidP="00B44A74">
            <w:pPr>
              <w:pStyle w:val="GazetteTableText"/>
            </w:pPr>
            <w:r w:rsidRPr="00B1201B">
              <w:t>Contrac Rodenticide</w:t>
            </w:r>
          </w:p>
        </w:tc>
        <w:tc>
          <w:tcPr>
            <w:tcW w:w="727" w:type="pct"/>
          </w:tcPr>
          <w:p w14:paraId="7988ECD1" w14:textId="77777777" w:rsidR="008E67EA" w:rsidRDefault="008E67EA" w:rsidP="00B44A74">
            <w:pPr>
              <w:pStyle w:val="GazetteTableText"/>
            </w:pPr>
            <w:r w:rsidRPr="00A816F7">
              <w:t>Bromadiolone</w:t>
            </w:r>
          </w:p>
        </w:tc>
        <w:tc>
          <w:tcPr>
            <w:tcW w:w="822" w:type="pct"/>
          </w:tcPr>
          <w:p w14:paraId="14F2012B" w14:textId="77777777" w:rsidR="008E67EA" w:rsidRDefault="008E67EA" w:rsidP="00B44A74">
            <w:pPr>
              <w:pStyle w:val="GazetteTableText"/>
            </w:pPr>
            <w:r w:rsidRPr="00F952BB">
              <w:t>Commercial</w:t>
            </w:r>
          </w:p>
        </w:tc>
        <w:tc>
          <w:tcPr>
            <w:tcW w:w="970" w:type="pct"/>
          </w:tcPr>
          <w:p w14:paraId="2323902F" w14:textId="77777777" w:rsidR="008E67EA" w:rsidRDefault="008E67EA" w:rsidP="00B44A74">
            <w:pPr>
              <w:pStyle w:val="GazetteTableText"/>
            </w:pPr>
            <w:r w:rsidRPr="00161C5F">
              <w:t>RB 0.05 g/kg or less in pellet formulation</w:t>
            </w:r>
          </w:p>
        </w:tc>
        <w:tc>
          <w:tcPr>
            <w:tcW w:w="498" w:type="pct"/>
          </w:tcPr>
          <w:p w14:paraId="265F3271" w14:textId="77777777" w:rsidR="008E67EA" w:rsidRDefault="008E67EA" w:rsidP="00B44A74">
            <w:pPr>
              <w:pStyle w:val="GazetteTableText"/>
            </w:pPr>
            <w:r>
              <w:t>10a</w:t>
            </w:r>
          </w:p>
        </w:tc>
      </w:tr>
      <w:tr w:rsidR="008E67EA" w14:paraId="7BF0DC42" w14:textId="77777777" w:rsidTr="00731415">
        <w:tc>
          <w:tcPr>
            <w:tcW w:w="601" w:type="pct"/>
          </w:tcPr>
          <w:p w14:paraId="16283436" w14:textId="77777777" w:rsidR="008E67EA" w:rsidRDefault="008E67EA" w:rsidP="00B44A74">
            <w:pPr>
              <w:pStyle w:val="GazetteTableText"/>
            </w:pPr>
            <w:r w:rsidRPr="00B1201B">
              <w:lastRenderedPageBreak/>
              <w:t>49776</w:t>
            </w:r>
          </w:p>
        </w:tc>
        <w:tc>
          <w:tcPr>
            <w:tcW w:w="1382" w:type="pct"/>
          </w:tcPr>
          <w:p w14:paraId="1F67BD7B" w14:textId="77777777" w:rsidR="008E67EA" w:rsidRPr="00B75907" w:rsidRDefault="008E67EA" w:rsidP="00B44A74">
            <w:pPr>
              <w:pStyle w:val="GazetteTableText"/>
            </w:pPr>
            <w:r w:rsidRPr="00B1201B">
              <w:t>Tomcat All-Weather Blox</w:t>
            </w:r>
          </w:p>
        </w:tc>
        <w:tc>
          <w:tcPr>
            <w:tcW w:w="727" w:type="pct"/>
          </w:tcPr>
          <w:p w14:paraId="69DCE48F" w14:textId="77777777" w:rsidR="008E67EA" w:rsidRDefault="008E67EA" w:rsidP="00B44A74">
            <w:pPr>
              <w:pStyle w:val="GazetteTableText"/>
            </w:pPr>
            <w:r w:rsidRPr="00A816F7">
              <w:t>Bromadiolone</w:t>
            </w:r>
          </w:p>
        </w:tc>
        <w:tc>
          <w:tcPr>
            <w:tcW w:w="822" w:type="pct"/>
          </w:tcPr>
          <w:p w14:paraId="5A3929B9" w14:textId="77777777" w:rsidR="008E67EA" w:rsidRDefault="008E67EA" w:rsidP="00B44A74">
            <w:pPr>
              <w:pStyle w:val="GazetteTableText"/>
            </w:pPr>
            <w:r w:rsidRPr="00F952BB">
              <w:t>Commercial</w:t>
            </w:r>
          </w:p>
        </w:tc>
        <w:tc>
          <w:tcPr>
            <w:tcW w:w="970" w:type="pct"/>
          </w:tcPr>
          <w:p w14:paraId="5E028E00" w14:textId="77777777" w:rsidR="008E67EA" w:rsidRDefault="008E67EA" w:rsidP="00B44A74">
            <w:pPr>
              <w:pStyle w:val="GazetteTableText"/>
            </w:pPr>
            <w:r w:rsidRPr="00AA105E">
              <w:t>RB 0.05 g/kg or less in block formulation</w:t>
            </w:r>
          </w:p>
        </w:tc>
        <w:tc>
          <w:tcPr>
            <w:tcW w:w="498" w:type="pct"/>
          </w:tcPr>
          <w:p w14:paraId="230E7024" w14:textId="77777777" w:rsidR="008E67EA" w:rsidRDefault="008E67EA" w:rsidP="00B44A74">
            <w:pPr>
              <w:pStyle w:val="GazetteTableText"/>
            </w:pPr>
            <w:r>
              <w:t>8b</w:t>
            </w:r>
          </w:p>
        </w:tc>
      </w:tr>
      <w:tr w:rsidR="008E67EA" w14:paraId="3D155CBD" w14:textId="77777777" w:rsidTr="00731415">
        <w:tc>
          <w:tcPr>
            <w:tcW w:w="601" w:type="pct"/>
          </w:tcPr>
          <w:p w14:paraId="623EBF3E" w14:textId="77777777" w:rsidR="008E67EA" w:rsidRDefault="008E67EA" w:rsidP="00B44A74">
            <w:pPr>
              <w:pStyle w:val="GazetteTableText"/>
            </w:pPr>
            <w:r w:rsidRPr="00B1201B">
              <w:t>49782</w:t>
            </w:r>
          </w:p>
        </w:tc>
        <w:tc>
          <w:tcPr>
            <w:tcW w:w="1382" w:type="pct"/>
          </w:tcPr>
          <w:p w14:paraId="1C3BA3B0" w14:textId="77777777" w:rsidR="008E67EA" w:rsidRPr="00B75907" w:rsidRDefault="008E67EA" w:rsidP="00B44A74">
            <w:pPr>
              <w:pStyle w:val="GazetteTableText"/>
            </w:pPr>
            <w:r w:rsidRPr="00B1201B">
              <w:t>Tomcat Rat and Mouse Bait</w:t>
            </w:r>
          </w:p>
        </w:tc>
        <w:tc>
          <w:tcPr>
            <w:tcW w:w="727" w:type="pct"/>
          </w:tcPr>
          <w:p w14:paraId="37035B93" w14:textId="77777777" w:rsidR="008E67EA" w:rsidRDefault="008E67EA" w:rsidP="00B44A74">
            <w:pPr>
              <w:pStyle w:val="GazetteTableText"/>
            </w:pPr>
            <w:r w:rsidRPr="00A816F7">
              <w:t>Bromadiolone</w:t>
            </w:r>
          </w:p>
        </w:tc>
        <w:tc>
          <w:tcPr>
            <w:tcW w:w="822" w:type="pct"/>
          </w:tcPr>
          <w:p w14:paraId="16DCD891" w14:textId="77777777" w:rsidR="008E67EA" w:rsidRDefault="008E67EA" w:rsidP="00B44A74">
            <w:pPr>
              <w:pStyle w:val="GazetteTableText"/>
            </w:pPr>
            <w:r w:rsidRPr="00F952BB">
              <w:t>Commercial</w:t>
            </w:r>
          </w:p>
        </w:tc>
        <w:tc>
          <w:tcPr>
            <w:tcW w:w="970" w:type="pct"/>
          </w:tcPr>
          <w:p w14:paraId="316CF510" w14:textId="77777777" w:rsidR="008E67EA" w:rsidRDefault="008E67EA" w:rsidP="00B44A74">
            <w:pPr>
              <w:pStyle w:val="GazetteTableText"/>
            </w:pPr>
            <w:r w:rsidRPr="00161C5F">
              <w:t>RB 0.05 g/kg or less in pellet formulation</w:t>
            </w:r>
          </w:p>
        </w:tc>
        <w:tc>
          <w:tcPr>
            <w:tcW w:w="498" w:type="pct"/>
          </w:tcPr>
          <w:p w14:paraId="3C023E1B" w14:textId="77777777" w:rsidR="008E67EA" w:rsidRDefault="008E67EA" w:rsidP="00B44A74">
            <w:pPr>
              <w:pStyle w:val="GazetteTableText"/>
            </w:pPr>
            <w:r>
              <w:t>10a</w:t>
            </w:r>
          </w:p>
        </w:tc>
      </w:tr>
      <w:tr w:rsidR="008E67EA" w14:paraId="1948CF45" w14:textId="77777777" w:rsidTr="00731415">
        <w:tc>
          <w:tcPr>
            <w:tcW w:w="601" w:type="pct"/>
          </w:tcPr>
          <w:p w14:paraId="77938AB6" w14:textId="77777777" w:rsidR="008E67EA" w:rsidRDefault="008E67EA" w:rsidP="00B44A74">
            <w:pPr>
              <w:pStyle w:val="GazetteTableText"/>
            </w:pPr>
            <w:r w:rsidRPr="00B1201B">
              <w:t>62180</w:t>
            </w:r>
          </w:p>
        </w:tc>
        <w:tc>
          <w:tcPr>
            <w:tcW w:w="1382" w:type="pct"/>
          </w:tcPr>
          <w:p w14:paraId="723D4FF7" w14:textId="77777777" w:rsidR="008E67EA" w:rsidRPr="00B75907" w:rsidRDefault="008E67EA" w:rsidP="00B44A74">
            <w:pPr>
              <w:pStyle w:val="GazetteTableText"/>
            </w:pPr>
            <w:r w:rsidRPr="00B1201B">
              <w:t>Maki Block Weather - Proof Rodenticide</w:t>
            </w:r>
          </w:p>
        </w:tc>
        <w:tc>
          <w:tcPr>
            <w:tcW w:w="727" w:type="pct"/>
          </w:tcPr>
          <w:p w14:paraId="3531ADA5" w14:textId="77777777" w:rsidR="008E67EA" w:rsidRDefault="008E67EA" w:rsidP="00B44A74">
            <w:pPr>
              <w:pStyle w:val="GazetteTableText"/>
            </w:pPr>
            <w:r w:rsidRPr="00A816F7">
              <w:t>Bromadiolone</w:t>
            </w:r>
          </w:p>
        </w:tc>
        <w:tc>
          <w:tcPr>
            <w:tcW w:w="822" w:type="pct"/>
          </w:tcPr>
          <w:p w14:paraId="4DDF509B" w14:textId="77777777" w:rsidR="008E67EA" w:rsidRDefault="008E67EA" w:rsidP="00B44A74">
            <w:pPr>
              <w:pStyle w:val="GazetteTableText"/>
            </w:pPr>
            <w:r w:rsidRPr="00F952BB">
              <w:t>Commercial</w:t>
            </w:r>
          </w:p>
        </w:tc>
        <w:tc>
          <w:tcPr>
            <w:tcW w:w="970" w:type="pct"/>
          </w:tcPr>
          <w:p w14:paraId="0B2436F5" w14:textId="77777777" w:rsidR="008E67EA" w:rsidRDefault="008E67EA" w:rsidP="00B44A74">
            <w:pPr>
              <w:pStyle w:val="GazetteTableText"/>
            </w:pPr>
            <w:r w:rsidRPr="00AA105E">
              <w:t>RB 0.05 g/kg or less in block formulation</w:t>
            </w:r>
          </w:p>
        </w:tc>
        <w:tc>
          <w:tcPr>
            <w:tcW w:w="498" w:type="pct"/>
          </w:tcPr>
          <w:p w14:paraId="075D1705" w14:textId="77777777" w:rsidR="008E67EA" w:rsidRDefault="008E67EA" w:rsidP="00B44A74">
            <w:pPr>
              <w:pStyle w:val="GazetteTableText"/>
            </w:pPr>
            <w:r>
              <w:t>8c</w:t>
            </w:r>
          </w:p>
        </w:tc>
      </w:tr>
      <w:tr w:rsidR="008E67EA" w14:paraId="4E70C0A7" w14:textId="77777777" w:rsidTr="00731415">
        <w:tc>
          <w:tcPr>
            <w:tcW w:w="601" w:type="pct"/>
          </w:tcPr>
          <w:p w14:paraId="1944433D" w14:textId="77777777" w:rsidR="008E67EA" w:rsidRDefault="008E67EA" w:rsidP="00B44A74">
            <w:pPr>
              <w:pStyle w:val="GazetteTableText"/>
            </w:pPr>
            <w:r w:rsidRPr="00B1201B">
              <w:t>64849</w:t>
            </w:r>
          </w:p>
        </w:tc>
        <w:tc>
          <w:tcPr>
            <w:tcW w:w="1382" w:type="pct"/>
          </w:tcPr>
          <w:p w14:paraId="6AD44556" w14:textId="77777777" w:rsidR="008E67EA" w:rsidRPr="00B75907" w:rsidRDefault="008E67EA" w:rsidP="00B44A74">
            <w:pPr>
              <w:pStyle w:val="GazetteTableText"/>
            </w:pPr>
            <w:r w:rsidRPr="00B1201B">
              <w:t>Surefire Broma Blocks Rodenticide</w:t>
            </w:r>
          </w:p>
        </w:tc>
        <w:tc>
          <w:tcPr>
            <w:tcW w:w="727" w:type="pct"/>
          </w:tcPr>
          <w:p w14:paraId="6C74EDB3" w14:textId="77777777" w:rsidR="008E67EA" w:rsidRDefault="008E67EA" w:rsidP="00B44A74">
            <w:pPr>
              <w:pStyle w:val="GazetteTableText"/>
            </w:pPr>
            <w:r w:rsidRPr="00A816F7">
              <w:t>Bromadiolone</w:t>
            </w:r>
          </w:p>
        </w:tc>
        <w:tc>
          <w:tcPr>
            <w:tcW w:w="822" w:type="pct"/>
          </w:tcPr>
          <w:p w14:paraId="5CCFD6CC" w14:textId="77777777" w:rsidR="008E67EA" w:rsidRDefault="008E67EA" w:rsidP="00B44A74">
            <w:pPr>
              <w:pStyle w:val="GazetteTableText"/>
            </w:pPr>
            <w:r w:rsidRPr="00F952BB">
              <w:t>Commercial</w:t>
            </w:r>
          </w:p>
        </w:tc>
        <w:tc>
          <w:tcPr>
            <w:tcW w:w="970" w:type="pct"/>
          </w:tcPr>
          <w:p w14:paraId="2C704A2B" w14:textId="77777777" w:rsidR="008E67EA" w:rsidRDefault="008E67EA" w:rsidP="00B44A74">
            <w:pPr>
              <w:pStyle w:val="GazetteTableText"/>
            </w:pPr>
            <w:r w:rsidRPr="00AA105E">
              <w:t>RB 0.05 g/kg or less in block formulation</w:t>
            </w:r>
          </w:p>
        </w:tc>
        <w:tc>
          <w:tcPr>
            <w:tcW w:w="498" w:type="pct"/>
          </w:tcPr>
          <w:p w14:paraId="6ADA2956" w14:textId="77777777" w:rsidR="008E67EA" w:rsidRDefault="008E67EA" w:rsidP="00B44A74">
            <w:pPr>
              <w:pStyle w:val="GazetteTableText"/>
            </w:pPr>
            <w:r>
              <w:t>8b</w:t>
            </w:r>
          </w:p>
        </w:tc>
      </w:tr>
      <w:tr w:rsidR="008E67EA" w14:paraId="0EC24CEA" w14:textId="77777777" w:rsidTr="00731415">
        <w:tc>
          <w:tcPr>
            <w:tcW w:w="601" w:type="pct"/>
          </w:tcPr>
          <w:p w14:paraId="569B9C9C" w14:textId="77777777" w:rsidR="008E67EA" w:rsidRDefault="008E67EA" w:rsidP="00B44A74">
            <w:pPr>
              <w:pStyle w:val="GazetteTableText"/>
            </w:pPr>
            <w:r w:rsidRPr="00B1201B">
              <w:t>64850</w:t>
            </w:r>
          </w:p>
        </w:tc>
        <w:tc>
          <w:tcPr>
            <w:tcW w:w="1382" w:type="pct"/>
          </w:tcPr>
          <w:p w14:paraId="2AD3F3A0" w14:textId="77777777" w:rsidR="008E67EA" w:rsidRPr="00B75907" w:rsidRDefault="008E67EA" w:rsidP="00B44A74">
            <w:pPr>
              <w:pStyle w:val="GazetteTableText"/>
            </w:pPr>
            <w:r w:rsidRPr="00B1201B">
              <w:t>Surefire Broma Pellets Rodenticide</w:t>
            </w:r>
          </w:p>
        </w:tc>
        <w:tc>
          <w:tcPr>
            <w:tcW w:w="727" w:type="pct"/>
          </w:tcPr>
          <w:p w14:paraId="20360AA2" w14:textId="77777777" w:rsidR="008E67EA" w:rsidRDefault="008E67EA" w:rsidP="00B44A74">
            <w:pPr>
              <w:pStyle w:val="GazetteTableText"/>
            </w:pPr>
            <w:r w:rsidRPr="00A816F7">
              <w:t>Bromadiolone</w:t>
            </w:r>
          </w:p>
        </w:tc>
        <w:tc>
          <w:tcPr>
            <w:tcW w:w="822" w:type="pct"/>
          </w:tcPr>
          <w:p w14:paraId="5442A398" w14:textId="77777777" w:rsidR="008E67EA" w:rsidRDefault="008E67EA" w:rsidP="00B44A74">
            <w:pPr>
              <w:pStyle w:val="GazetteTableText"/>
            </w:pPr>
            <w:r w:rsidRPr="00F952BB">
              <w:t>Commercial</w:t>
            </w:r>
          </w:p>
        </w:tc>
        <w:tc>
          <w:tcPr>
            <w:tcW w:w="970" w:type="pct"/>
          </w:tcPr>
          <w:p w14:paraId="1B8AE7A5" w14:textId="77777777" w:rsidR="008E67EA" w:rsidRDefault="008E67EA" w:rsidP="00B44A74">
            <w:pPr>
              <w:pStyle w:val="GazetteTableText"/>
            </w:pPr>
            <w:r w:rsidRPr="00161C5F">
              <w:t>RB 0.05 g/kg or less in pellet formulation</w:t>
            </w:r>
          </w:p>
        </w:tc>
        <w:tc>
          <w:tcPr>
            <w:tcW w:w="498" w:type="pct"/>
          </w:tcPr>
          <w:p w14:paraId="3AE56E39" w14:textId="77777777" w:rsidR="008E67EA" w:rsidRDefault="008E67EA" w:rsidP="00B44A74">
            <w:pPr>
              <w:pStyle w:val="GazetteTableText"/>
            </w:pPr>
            <w:r>
              <w:t>10a</w:t>
            </w:r>
          </w:p>
        </w:tc>
      </w:tr>
      <w:tr w:rsidR="008E67EA" w14:paraId="5EADDEE2" w14:textId="77777777" w:rsidTr="00731415">
        <w:tc>
          <w:tcPr>
            <w:tcW w:w="601" w:type="pct"/>
          </w:tcPr>
          <w:p w14:paraId="4F0D5611" w14:textId="77777777" w:rsidR="008E67EA" w:rsidRDefault="008E67EA" w:rsidP="00B44A74">
            <w:pPr>
              <w:pStyle w:val="GazetteTableText"/>
            </w:pPr>
            <w:r w:rsidRPr="00B1201B">
              <w:t>80379</w:t>
            </w:r>
          </w:p>
        </w:tc>
        <w:tc>
          <w:tcPr>
            <w:tcW w:w="1382" w:type="pct"/>
          </w:tcPr>
          <w:p w14:paraId="4DABB8B2" w14:textId="77777777" w:rsidR="008E67EA" w:rsidRPr="00B75907" w:rsidRDefault="008E67EA" w:rsidP="00B44A74">
            <w:pPr>
              <w:pStyle w:val="GazetteTableText"/>
            </w:pPr>
            <w:r w:rsidRPr="00B1201B">
              <w:t>Generation Green Rodenticide Pellet</w:t>
            </w:r>
          </w:p>
        </w:tc>
        <w:tc>
          <w:tcPr>
            <w:tcW w:w="727" w:type="pct"/>
          </w:tcPr>
          <w:p w14:paraId="4FD95B6E" w14:textId="77777777" w:rsidR="008E67EA" w:rsidRDefault="008E67EA" w:rsidP="00B44A74">
            <w:pPr>
              <w:pStyle w:val="GazetteTableText"/>
            </w:pPr>
            <w:r w:rsidRPr="00A816F7">
              <w:t>Bromadiolone</w:t>
            </w:r>
          </w:p>
        </w:tc>
        <w:tc>
          <w:tcPr>
            <w:tcW w:w="822" w:type="pct"/>
          </w:tcPr>
          <w:p w14:paraId="609571D6" w14:textId="77777777" w:rsidR="008E67EA" w:rsidRDefault="008E67EA" w:rsidP="00B44A74">
            <w:pPr>
              <w:pStyle w:val="GazetteTableText"/>
            </w:pPr>
            <w:r w:rsidRPr="00F952BB">
              <w:t>Commercial</w:t>
            </w:r>
          </w:p>
        </w:tc>
        <w:tc>
          <w:tcPr>
            <w:tcW w:w="970" w:type="pct"/>
          </w:tcPr>
          <w:p w14:paraId="603D07A4" w14:textId="77777777" w:rsidR="008E67EA" w:rsidRDefault="008E67EA" w:rsidP="00B44A74">
            <w:pPr>
              <w:pStyle w:val="GazetteTableText"/>
            </w:pPr>
            <w:r w:rsidRPr="00161C5F">
              <w:t>RB 0.05 g/kg or less in pellet formulation</w:t>
            </w:r>
          </w:p>
        </w:tc>
        <w:tc>
          <w:tcPr>
            <w:tcW w:w="498" w:type="pct"/>
          </w:tcPr>
          <w:p w14:paraId="205B03CF" w14:textId="77777777" w:rsidR="008E67EA" w:rsidRDefault="008E67EA" w:rsidP="00B44A74">
            <w:pPr>
              <w:pStyle w:val="GazetteTableText"/>
            </w:pPr>
            <w:r>
              <w:t>10b</w:t>
            </w:r>
          </w:p>
        </w:tc>
      </w:tr>
      <w:tr w:rsidR="008E67EA" w14:paraId="5236B8FD" w14:textId="77777777" w:rsidTr="00731415">
        <w:tc>
          <w:tcPr>
            <w:tcW w:w="601" w:type="pct"/>
          </w:tcPr>
          <w:p w14:paraId="4F4C7744" w14:textId="77777777" w:rsidR="008E67EA" w:rsidRDefault="008E67EA" w:rsidP="00B44A74">
            <w:pPr>
              <w:pStyle w:val="GazetteTableText"/>
            </w:pPr>
            <w:r w:rsidRPr="00B1201B">
              <w:t>80388</w:t>
            </w:r>
          </w:p>
        </w:tc>
        <w:tc>
          <w:tcPr>
            <w:tcW w:w="1382" w:type="pct"/>
          </w:tcPr>
          <w:p w14:paraId="43884C83" w14:textId="77777777" w:rsidR="008E67EA" w:rsidRPr="00B75907" w:rsidRDefault="008E67EA" w:rsidP="00B44A74">
            <w:pPr>
              <w:pStyle w:val="GazetteTableText"/>
            </w:pPr>
            <w:r w:rsidRPr="00B1201B">
              <w:t>Bromakil Power Block for Rats and Mice</w:t>
            </w:r>
          </w:p>
        </w:tc>
        <w:tc>
          <w:tcPr>
            <w:tcW w:w="727" w:type="pct"/>
          </w:tcPr>
          <w:p w14:paraId="5EEC0B24" w14:textId="77777777" w:rsidR="008E67EA" w:rsidRDefault="008E67EA" w:rsidP="00B44A74">
            <w:pPr>
              <w:pStyle w:val="GazetteTableText"/>
            </w:pPr>
            <w:r w:rsidRPr="00A816F7">
              <w:t>Bromadiolone</w:t>
            </w:r>
          </w:p>
        </w:tc>
        <w:tc>
          <w:tcPr>
            <w:tcW w:w="822" w:type="pct"/>
          </w:tcPr>
          <w:p w14:paraId="20743DD8" w14:textId="77777777" w:rsidR="008E67EA" w:rsidRDefault="008E67EA" w:rsidP="00B44A74">
            <w:pPr>
              <w:pStyle w:val="GazetteTableText"/>
            </w:pPr>
            <w:r w:rsidRPr="00F952BB">
              <w:t>Commercial</w:t>
            </w:r>
          </w:p>
        </w:tc>
        <w:tc>
          <w:tcPr>
            <w:tcW w:w="970" w:type="pct"/>
          </w:tcPr>
          <w:p w14:paraId="2675522D" w14:textId="77777777" w:rsidR="008E67EA" w:rsidRDefault="008E67EA" w:rsidP="00B44A74">
            <w:pPr>
              <w:pStyle w:val="GazetteTableText"/>
            </w:pPr>
            <w:r w:rsidRPr="00AA105E">
              <w:t>RB 0.05 g/kg or less in block formulation</w:t>
            </w:r>
          </w:p>
        </w:tc>
        <w:tc>
          <w:tcPr>
            <w:tcW w:w="498" w:type="pct"/>
          </w:tcPr>
          <w:p w14:paraId="7DDE3F7E" w14:textId="77777777" w:rsidR="008E67EA" w:rsidRDefault="008E67EA" w:rsidP="00B44A74">
            <w:pPr>
              <w:pStyle w:val="GazetteTableText"/>
            </w:pPr>
            <w:r>
              <w:t>8c</w:t>
            </w:r>
          </w:p>
        </w:tc>
      </w:tr>
      <w:tr w:rsidR="008E67EA" w14:paraId="17802860" w14:textId="77777777" w:rsidTr="00731415">
        <w:tc>
          <w:tcPr>
            <w:tcW w:w="601" w:type="pct"/>
          </w:tcPr>
          <w:p w14:paraId="18639143" w14:textId="77777777" w:rsidR="008E67EA" w:rsidRDefault="008E67EA" w:rsidP="00B44A74">
            <w:pPr>
              <w:pStyle w:val="GazetteTableText"/>
            </w:pPr>
            <w:r w:rsidRPr="00B1201B">
              <w:t>81205</w:t>
            </w:r>
          </w:p>
        </w:tc>
        <w:tc>
          <w:tcPr>
            <w:tcW w:w="1382" w:type="pct"/>
          </w:tcPr>
          <w:p w14:paraId="3EC87887" w14:textId="77777777" w:rsidR="008E67EA" w:rsidRPr="00B75907" w:rsidRDefault="008E67EA" w:rsidP="00B44A74">
            <w:pPr>
              <w:pStyle w:val="GazetteTableText"/>
            </w:pPr>
            <w:r w:rsidRPr="00B1201B">
              <w:t>Tomcat Bait Packs</w:t>
            </w:r>
          </w:p>
        </w:tc>
        <w:tc>
          <w:tcPr>
            <w:tcW w:w="727" w:type="pct"/>
          </w:tcPr>
          <w:p w14:paraId="2BC4ADEF" w14:textId="77777777" w:rsidR="008E67EA" w:rsidRDefault="008E67EA" w:rsidP="00B44A74">
            <w:pPr>
              <w:pStyle w:val="GazetteTableText"/>
            </w:pPr>
            <w:r w:rsidRPr="00A816F7">
              <w:t>Bromadiolone</w:t>
            </w:r>
          </w:p>
        </w:tc>
        <w:tc>
          <w:tcPr>
            <w:tcW w:w="822" w:type="pct"/>
          </w:tcPr>
          <w:p w14:paraId="335169F7" w14:textId="77777777" w:rsidR="008E67EA" w:rsidRDefault="008E67EA" w:rsidP="00B44A74">
            <w:pPr>
              <w:pStyle w:val="GazetteTableText"/>
            </w:pPr>
            <w:r w:rsidRPr="00F952BB">
              <w:t>Commercial</w:t>
            </w:r>
          </w:p>
        </w:tc>
        <w:tc>
          <w:tcPr>
            <w:tcW w:w="970" w:type="pct"/>
          </w:tcPr>
          <w:p w14:paraId="555AEECA" w14:textId="77777777" w:rsidR="008E67EA" w:rsidRDefault="008E67EA" w:rsidP="00B44A74">
            <w:pPr>
              <w:pStyle w:val="GazetteTableText"/>
            </w:pPr>
            <w:r w:rsidRPr="00AA105E">
              <w:t>RB 0.05 g/kg or less in sachet or place pack</w:t>
            </w:r>
          </w:p>
        </w:tc>
        <w:tc>
          <w:tcPr>
            <w:tcW w:w="498" w:type="pct"/>
          </w:tcPr>
          <w:p w14:paraId="1C878EDB" w14:textId="77777777" w:rsidR="008E67EA" w:rsidRDefault="008E67EA" w:rsidP="00B44A74">
            <w:pPr>
              <w:pStyle w:val="GazetteTableText"/>
            </w:pPr>
            <w:r>
              <w:t>11c</w:t>
            </w:r>
          </w:p>
        </w:tc>
      </w:tr>
      <w:tr w:rsidR="008E67EA" w14:paraId="76306874" w14:textId="77777777" w:rsidTr="00731415">
        <w:tc>
          <w:tcPr>
            <w:tcW w:w="601" w:type="pct"/>
          </w:tcPr>
          <w:p w14:paraId="2A99A2EC" w14:textId="77777777" w:rsidR="008E67EA" w:rsidRDefault="008E67EA" w:rsidP="00B44A74">
            <w:pPr>
              <w:pStyle w:val="GazetteTableText"/>
            </w:pPr>
            <w:r w:rsidRPr="00B1201B">
              <w:t>81206</w:t>
            </w:r>
          </w:p>
        </w:tc>
        <w:tc>
          <w:tcPr>
            <w:tcW w:w="1382" w:type="pct"/>
          </w:tcPr>
          <w:p w14:paraId="630C0C7A" w14:textId="77777777" w:rsidR="008E67EA" w:rsidRPr="00B75907" w:rsidRDefault="008E67EA" w:rsidP="00B44A74">
            <w:pPr>
              <w:pStyle w:val="GazetteTableText"/>
            </w:pPr>
            <w:r w:rsidRPr="00B1201B">
              <w:t>Tomcat All-Weather Rat &amp; Mouse Block Baits</w:t>
            </w:r>
          </w:p>
        </w:tc>
        <w:tc>
          <w:tcPr>
            <w:tcW w:w="727" w:type="pct"/>
          </w:tcPr>
          <w:p w14:paraId="60478EDE" w14:textId="77777777" w:rsidR="008E67EA" w:rsidRDefault="008E67EA" w:rsidP="00B44A74">
            <w:pPr>
              <w:pStyle w:val="GazetteTableText"/>
            </w:pPr>
            <w:r w:rsidRPr="00A816F7">
              <w:t>Bromadiolone</w:t>
            </w:r>
          </w:p>
        </w:tc>
        <w:tc>
          <w:tcPr>
            <w:tcW w:w="822" w:type="pct"/>
          </w:tcPr>
          <w:p w14:paraId="3440BFBA" w14:textId="77777777" w:rsidR="008E67EA" w:rsidRDefault="008E67EA" w:rsidP="00B44A74">
            <w:pPr>
              <w:pStyle w:val="GazetteTableText"/>
            </w:pPr>
            <w:r w:rsidRPr="00F952BB">
              <w:t>Commercial</w:t>
            </w:r>
          </w:p>
        </w:tc>
        <w:tc>
          <w:tcPr>
            <w:tcW w:w="970" w:type="pct"/>
          </w:tcPr>
          <w:p w14:paraId="33081DAF" w14:textId="77777777" w:rsidR="008E67EA" w:rsidRDefault="008E67EA" w:rsidP="00B44A74">
            <w:pPr>
              <w:pStyle w:val="GazetteTableText"/>
            </w:pPr>
            <w:r w:rsidRPr="00AA105E">
              <w:t>RB 0.05 g/kg or less in block formulation</w:t>
            </w:r>
          </w:p>
        </w:tc>
        <w:tc>
          <w:tcPr>
            <w:tcW w:w="498" w:type="pct"/>
          </w:tcPr>
          <w:p w14:paraId="5967979E" w14:textId="77777777" w:rsidR="008E67EA" w:rsidRDefault="008E67EA" w:rsidP="00B44A74">
            <w:pPr>
              <w:pStyle w:val="GazetteTableText"/>
            </w:pPr>
            <w:r>
              <w:t>8d</w:t>
            </w:r>
          </w:p>
        </w:tc>
      </w:tr>
      <w:tr w:rsidR="008E67EA" w14:paraId="7C3462EE" w14:textId="77777777" w:rsidTr="00731415">
        <w:tc>
          <w:tcPr>
            <w:tcW w:w="601" w:type="pct"/>
          </w:tcPr>
          <w:p w14:paraId="3A242519" w14:textId="77777777" w:rsidR="008E67EA" w:rsidRDefault="008E67EA" w:rsidP="00B44A74">
            <w:pPr>
              <w:pStyle w:val="GazetteTableText"/>
            </w:pPr>
            <w:r w:rsidRPr="00B1201B">
              <w:t>86179</w:t>
            </w:r>
          </w:p>
        </w:tc>
        <w:tc>
          <w:tcPr>
            <w:tcW w:w="1382" w:type="pct"/>
          </w:tcPr>
          <w:p w14:paraId="17B00CC5" w14:textId="77777777" w:rsidR="008E67EA" w:rsidRPr="00B75907" w:rsidRDefault="008E67EA" w:rsidP="00B44A74">
            <w:pPr>
              <w:pStyle w:val="GazetteTableText"/>
            </w:pPr>
            <w:r w:rsidRPr="00B1201B">
              <w:t>Resolv Soft Bait Rodenticide</w:t>
            </w:r>
          </w:p>
        </w:tc>
        <w:tc>
          <w:tcPr>
            <w:tcW w:w="727" w:type="pct"/>
          </w:tcPr>
          <w:p w14:paraId="57E6AF7E" w14:textId="77777777" w:rsidR="008E67EA" w:rsidRDefault="008E67EA" w:rsidP="00B44A74">
            <w:pPr>
              <w:pStyle w:val="GazetteTableText"/>
            </w:pPr>
            <w:r w:rsidRPr="00A816F7">
              <w:t>Bromadiolone</w:t>
            </w:r>
          </w:p>
        </w:tc>
        <w:tc>
          <w:tcPr>
            <w:tcW w:w="822" w:type="pct"/>
          </w:tcPr>
          <w:p w14:paraId="47E74B04" w14:textId="77777777" w:rsidR="008E67EA" w:rsidRDefault="008E67EA" w:rsidP="00B44A74">
            <w:pPr>
              <w:pStyle w:val="GazetteTableText"/>
            </w:pPr>
            <w:r w:rsidRPr="00F05E01">
              <w:t>Commercial</w:t>
            </w:r>
          </w:p>
        </w:tc>
        <w:tc>
          <w:tcPr>
            <w:tcW w:w="970" w:type="pct"/>
          </w:tcPr>
          <w:p w14:paraId="0F35B4EB" w14:textId="77777777" w:rsidR="008E67EA" w:rsidRDefault="008E67EA" w:rsidP="00B44A74">
            <w:pPr>
              <w:pStyle w:val="GazetteTableText"/>
            </w:pPr>
            <w:r w:rsidRPr="00AA105E">
              <w:t>RB 0.05 g/kg or less in sachet or place pack</w:t>
            </w:r>
          </w:p>
        </w:tc>
        <w:tc>
          <w:tcPr>
            <w:tcW w:w="498" w:type="pct"/>
          </w:tcPr>
          <w:p w14:paraId="1A6A5465" w14:textId="77777777" w:rsidR="008E67EA" w:rsidRDefault="008E67EA" w:rsidP="00B44A74">
            <w:pPr>
              <w:pStyle w:val="GazetteTableText"/>
            </w:pPr>
            <w:r w:rsidRPr="00AA105E">
              <w:t>11</w:t>
            </w:r>
            <w:r>
              <w:t>a</w:t>
            </w:r>
          </w:p>
        </w:tc>
      </w:tr>
      <w:tr w:rsidR="008E67EA" w14:paraId="14EA2EE7" w14:textId="77777777" w:rsidTr="00731415">
        <w:tc>
          <w:tcPr>
            <w:tcW w:w="601" w:type="pct"/>
          </w:tcPr>
          <w:p w14:paraId="00C4462A" w14:textId="77777777" w:rsidR="008E67EA" w:rsidRDefault="008E67EA" w:rsidP="00B44A74">
            <w:pPr>
              <w:pStyle w:val="GazetteTableText"/>
            </w:pPr>
            <w:r w:rsidRPr="00B1201B">
              <w:t>86331</w:t>
            </w:r>
          </w:p>
        </w:tc>
        <w:tc>
          <w:tcPr>
            <w:tcW w:w="1382" w:type="pct"/>
          </w:tcPr>
          <w:p w14:paraId="04C47CEC" w14:textId="77777777" w:rsidR="008E67EA" w:rsidRPr="00B75907" w:rsidRDefault="008E67EA" w:rsidP="00B44A74">
            <w:pPr>
              <w:pStyle w:val="GazetteTableText"/>
            </w:pPr>
            <w:r w:rsidRPr="00B1201B">
              <w:t>Contrac Soft Bait</w:t>
            </w:r>
          </w:p>
        </w:tc>
        <w:tc>
          <w:tcPr>
            <w:tcW w:w="727" w:type="pct"/>
          </w:tcPr>
          <w:p w14:paraId="00F91E0A" w14:textId="77777777" w:rsidR="008E67EA" w:rsidRDefault="008E67EA" w:rsidP="00B44A74">
            <w:pPr>
              <w:pStyle w:val="GazetteTableText"/>
            </w:pPr>
            <w:r w:rsidRPr="00A816F7">
              <w:t>Bromadiolone</w:t>
            </w:r>
          </w:p>
        </w:tc>
        <w:tc>
          <w:tcPr>
            <w:tcW w:w="822" w:type="pct"/>
          </w:tcPr>
          <w:p w14:paraId="70021C5C" w14:textId="77777777" w:rsidR="008E67EA" w:rsidRDefault="008E67EA" w:rsidP="00B44A74">
            <w:pPr>
              <w:pStyle w:val="GazetteTableText"/>
            </w:pPr>
            <w:r w:rsidRPr="00F05E01">
              <w:t>Commercial</w:t>
            </w:r>
          </w:p>
        </w:tc>
        <w:tc>
          <w:tcPr>
            <w:tcW w:w="970" w:type="pct"/>
          </w:tcPr>
          <w:p w14:paraId="1C06F53B" w14:textId="77777777" w:rsidR="008E67EA" w:rsidRDefault="008E67EA" w:rsidP="00B44A74">
            <w:pPr>
              <w:pStyle w:val="GazetteTableText"/>
            </w:pPr>
            <w:r w:rsidRPr="00AA105E">
              <w:t>RB 0.05 g/kg or less in sachet or place pack</w:t>
            </w:r>
          </w:p>
        </w:tc>
        <w:tc>
          <w:tcPr>
            <w:tcW w:w="498" w:type="pct"/>
          </w:tcPr>
          <w:p w14:paraId="51FA931A" w14:textId="77777777" w:rsidR="008E67EA" w:rsidRDefault="008E67EA" w:rsidP="00B44A74">
            <w:pPr>
              <w:pStyle w:val="GazetteTableText"/>
            </w:pPr>
            <w:r>
              <w:t>11b</w:t>
            </w:r>
          </w:p>
        </w:tc>
      </w:tr>
      <w:tr w:rsidR="008E67EA" w14:paraId="6080868D" w14:textId="77777777" w:rsidTr="00731415">
        <w:tc>
          <w:tcPr>
            <w:tcW w:w="601" w:type="pct"/>
          </w:tcPr>
          <w:p w14:paraId="77162151" w14:textId="77777777" w:rsidR="008E67EA" w:rsidRDefault="008E67EA" w:rsidP="00B44A74">
            <w:pPr>
              <w:pStyle w:val="GazetteTableText"/>
            </w:pPr>
            <w:r w:rsidRPr="00BA7919">
              <w:t>69994</w:t>
            </w:r>
          </w:p>
        </w:tc>
        <w:tc>
          <w:tcPr>
            <w:tcW w:w="1382" w:type="pct"/>
          </w:tcPr>
          <w:p w14:paraId="2709129E" w14:textId="77777777" w:rsidR="008E67EA" w:rsidRPr="00B75907" w:rsidRDefault="008E67EA" w:rsidP="00B44A74">
            <w:pPr>
              <w:pStyle w:val="GazetteTableText"/>
            </w:pPr>
            <w:r w:rsidRPr="00BA7919">
              <w:t>Muskil Dual Active Rodenticide Blocks with Fluo-Np Technology</w:t>
            </w:r>
          </w:p>
        </w:tc>
        <w:tc>
          <w:tcPr>
            <w:tcW w:w="727" w:type="pct"/>
          </w:tcPr>
          <w:p w14:paraId="221C0A59" w14:textId="77777777" w:rsidR="008E67EA" w:rsidRDefault="008E67EA" w:rsidP="00B44A74">
            <w:pPr>
              <w:pStyle w:val="GazetteTableText"/>
            </w:pPr>
            <w:r w:rsidRPr="00C37238">
              <w:t>Bromadiolone, Difenacoum</w:t>
            </w:r>
          </w:p>
        </w:tc>
        <w:tc>
          <w:tcPr>
            <w:tcW w:w="822" w:type="pct"/>
          </w:tcPr>
          <w:p w14:paraId="28C5AEBB" w14:textId="77777777" w:rsidR="008E67EA" w:rsidRDefault="008E67EA" w:rsidP="00B44A74">
            <w:pPr>
              <w:pStyle w:val="GazetteTableText"/>
            </w:pPr>
            <w:r w:rsidRPr="002B45E6">
              <w:t>Commercial</w:t>
            </w:r>
          </w:p>
        </w:tc>
        <w:tc>
          <w:tcPr>
            <w:tcW w:w="970" w:type="pct"/>
          </w:tcPr>
          <w:p w14:paraId="42CD10D4" w14:textId="77777777" w:rsidR="008E67EA" w:rsidRDefault="008E67EA" w:rsidP="00B44A74">
            <w:pPr>
              <w:pStyle w:val="GazetteTableText"/>
            </w:pPr>
            <w:r w:rsidRPr="00AA105E">
              <w:t>RB 0.05 g/kg or less in block formulation</w:t>
            </w:r>
          </w:p>
        </w:tc>
        <w:tc>
          <w:tcPr>
            <w:tcW w:w="498" w:type="pct"/>
          </w:tcPr>
          <w:p w14:paraId="500B6723" w14:textId="77777777" w:rsidR="008E67EA" w:rsidRDefault="008E67EA" w:rsidP="00B44A74">
            <w:pPr>
              <w:pStyle w:val="GazetteTableText"/>
            </w:pPr>
            <w:r w:rsidRPr="00E5439D">
              <w:t>1</w:t>
            </w:r>
            <w:r>
              <w:t>2</w:t>
            </w:r>
          </w:p>
        </w:tc>
      </w:tr>
      <w:tr w:rsidR="008E67EA" w14:paraId="2C86CEFB" w14:textId="77777777" w:rsidTr="00731415">
        <w:tc>
          <w:tcPr>
            <w:tcW w:w="601" w:type="pct"/>
          </w:tcPr>
          <w:p w14:paraId="3DB6AB16" w14:textId="77777777" w:rsidR="008E67EA" w:rsidRDefault="008E67EA" w:rsidP="00B44A74">
            <w:pPr>
              <w:pStyle w:val="GazetteTableText"/>
            </w:pPr>
            <w:r w:rsidRPr="00BA7919">
              <w:t>82450</w:t>
            </w:r>
          </w:p>
        </w:tc>
        <w:tc>
          <w:tcPr>
            <w:tcW w:w="1382" w:type="pct"/>
          </w:tcPr>
          <w:p w14:paraId="23CE38FF" w14:textId="77777777" w:rsidR="008E67EA" w:rsidRPr="00B75907" w:rsidRDefault="008E67EA" w:rsidP="00B44A74">
            <w:pPr>
              <w:pStyle w:val="GazetteTableText"/>
            </w:pPr>
            <w:r w:rsidRPr="00BA7919">
              <w:t>Muskil Soft Bait with Two Actives for Faster Kill of Rats &amp; Mice</w:t>
            </w:r>
          </w:p>
        </w:tc>
        <w:tc>
          <w:tcPr>
            <w:tcW w:w="727" w:type="pct"/>
          </w:tcPr>
          <w:p w14:paraId="396D457C" w14:textId="77777777" w:rsidR="008E67EA" w:rsidRDefault="008E67EA" w:rsidP="00B44A74">
            <w:pPr>
              <w:pStyle w:val="GazetteTableText"/>
            </w:pPr>
            <w:r w:rsidRPr="00C37238">
              <w:t>Bromadiolone, Difenacoum</w:t>
            </w:r>
          </w:p>
        </w:tc>
        <w:tc>
          <w:tcPr>
            <w:tcW w:w="822" w:type="pct"/>
          </w:tcPr>
          <w:p w14:paraId="300F7E63" w14:textId="77777777" w:rsidR="008E67EA" w:rsidRDefault="008E67EA" w:rsidP="00B44A74">
            <w:pPr>
              <w:pStyle w:val="GazetteTableText"/>
            </w:pPr>
            <w:r w:rsidRPr="002B45E6">
              <w:t>Commercial</w:t>
            </w:r>
          </w:p>
        </w:tc>
        <w:tc>
          <w:tcPr>
            <w:tcW w:w="970" w:type="pct"/>
          </w:tcPr>
          <w:p w14:paraId="5D707BB9" w14:textId="77777777" w:rsidR="008E67EA" w:rsidRDefault="008E67EA" w:rsidP="00B44A74">
            <w:pPr>
              <w:pStyle w:val="GazetteTableText"/>
            </w:pPr>
            <w:r w:rsidRPr="00AA105E">
              <w:t>RB 0.05 g/kg or less in sachet or place pack</w:t>
            </w:r>
          </w:p>
        </w:tc>
        <w:tc>
          <w:tcPr>
            <w:tcW w:w="498" w:type="pct"/>
          </w:tcPr>
          <w:p w14:paraId="3F47474B" w14:textId="77777777" w:rsidR="008E67EA" w:rsidRDefault="008E67EA" w:rsidP="00B44A74">
            <w:pPr>
              <w:pStyle w:val="GazetteTableText"/>
            </w:pPr>
            <w:r w:rsidRPr="00E5439D">
              <w:t>1</w:t>
            </w:r>
            <w:r>
              <w:t>3</w:t>
            </w:r>
          </w:p>
        </w:tc>
      </w:tr>
      <w:tr w:rsidR="008E67EA" w14:paraId="6D285AD2" w14:textId="77777777" w:rsidTr="00731415">
        <w:tc>
          <w:tcPr>
            <w:tcW w:w="601" w:type="pct"/>
          </w:tcPr>
          <w:p w14:paraId="4ABF38A4" w14:textId="77777777" w:rsidR="008E67EA" w:rsidRDefault="008E67EA" w:rsidP="00B44A74">
            <w:pPr>
              <w:pStyle w:val="GazetteTableText"/>
            </w:pPr>
            <w:r w:rsidRPr="00BA7919">
              <w:t>84831</w:t>
            </w:r>
          </w:p>
        </w:tc>
        <w:tc>
          <w:tcPr>
            <w:tcW w:w="1382" w:type="pct"/>
          </w:tcPr>
          <w:p w14:paraId="24ECD408" w14:textId="77777777" w:rsidR="008E67EA" w:rsidRPr="00B75907" w:rsidRDefault="008E67EA" w:rsidP="00B44A74">
            <w:pPr>
              <w:pStyle w:val="GazetteTableText"/>
            </w:pPr>
            <w:r w:rsidRPr="00BA7919">
              <w:t xml:space="preserve">Ratsak Rapid Strike Dual Active Waxblocks </w:t>
            </w:r>
          </w:p>
        </w:tc>
        <w:tc>
          <w:tcPr>
            <w:tcW w:w="727" w:type="pct"/>
          </w:tcPr>
          <w:p w14:paraId="2C8EF253" w14:textId="77777777" w:rsidR="008E67EA" w:rsidRDefault="008E67EA" w:rsidP="00B44A74">
            <w:pPr>
              <w:pStyle w:val="GazetteTableText"/>
            </w:pPr>
            <w:r w:rsidRPr="00C37238">
              <w:t>Bromadiolone, Difenacoum</w:t>
            </w:r>
          </w:p>
        </w:tc>
        <w:tc>
          <w:tcPr>
            <w:tcW w:w="822" w:type="pct"/>
          </w:tcPr>
          <w:p w14:paraId="02F33592" w14:textId="77777777" w:rsidR="008E67EA" w:rsidRDefault="008E67EA" w:rsidP="00B44A74">
            <w:pPr>
              <w:pStyle w:val="GazetteTableText"/>
            </w:pPr>
            <w:r>
              <w:t>Domestic</w:t>
            </w:r>
          </w:p>
        </w:tc>
        <w:tc>
          <w:tcPr>
            <w:tcW w:w="970" w:type="pct"/>
          </w:tcPr>
          <w:p w14:paraId="475AC63B" w14:textId="77777777" w:rsidR="008E67EA" w:rsidRDefault="008E67EA" w:rsidP="00B44A74">
            <w:pPr>
              <w:pStyle w:val="GazetteTableText"/>
            </w:pPr>
            <w:r w:rsidRPr="00AA105E">
              <w:t>RB 0.05 g/kg or less in block formulation</w:t>
            </w:r>
          </w:p>
        </w:tc>
        <w:tc>
          <w:tcPr>
            <w:tcW w:w="498" w:type="pct"/>
          </w:tcPr>
          <w:p w14:paraId="00739504" w14:textId="77777777" w:rsidR="008E67EA" w:rsidRDefault="008E67EA" w:rsidP="00B44A74">
            <w:pPr>
              <w:pStyle w:val="GazetteTableText"/>
            </w:pPr>
            <w:r w:rsidRPr="00A925F0">
              <w:t>1</w:t>
            </w:r>
            <w:r>
              <w:t>4</w:t>
            </w:r>
          </w:p>
        </w:tc>
      </w:tr>
      <w:tr w:rsidR="008E67EA" w14:paraId="6E7AE709" w14:textId="77777777" w:rsidTr="00731415">
        <w:tc>
          <w:tcPr>
            <w:tcW w:w="601" w:type="pct"/>
          </w:tcPr>
          <w:p w14:paraId="4031161D" w14:textId="77777777" w:rsidR="008E67EA" w:rsidRDefault="008E67EA" w:rsidP="00B44A74">
            <w:pPr>
              <w:pStyle w:val="GazetteTableText"/>
            </w:pPr>
            <w:r w:rsidRPr="00BA7919">
              <w:t>84832</w:t>
            </w:r>
          </w:p>
        </w:tc>
        <w:tc>
          <w:tcPr>
            <w:tcW w:w="1382" w:type="pct"/>
          </w:tcPr>
          <w:p w14:paraId="362A243D" w14:textId="77777777" w:rsidR="008E67EA" w:rsidRPr="00B75907" w:rsidRDefault="008E67EA" w:rsidP="00B44A74">
            <w:pPr>
              <w:pStyle w:val="GazetteTableText"/>
            </w:pPr>
            <w:r w:rsidRPr="00BA7919">
              <w:t>Ratsak Rapid Strike Advanced Dual Active Soft Bait</w:t>
            </w:r>
          </w:p>
        </w:tc>
        <w:tc>
          <w:tcPr>
            <w:tcW w:w="727" w:type="pct"/>
          </w:tcPr>
          <w:p w14:paraId="09BCF980" w14:textId="77777777" w:rsidR="008E67EA" w:rsidRDefault="008E67EA" w:rsidP="00B44A74">
            <w:pPr>
              <w:pStyle w:val="GazetteTableText"/>
            </w:pPr>
            <w:r w:rsidRPr="00C37238">
              <w:t>Bromadiolone, Difenacoum</w:t>
            </w:r>
          </w:p>
        </w:tc>
        <w:tc>
          <w:tcPr>
            <w:tcW w:w="822" w:type="pct"/>
          </w:tcPr>
          <w:p w14:paraId="31BC65F6" w14:textId="77777777" w:rsidR="008E67EA" w:rsidRDefault="008E67EA" w:rsidP="00B44A74">
            <w:pPr>
              <w:pStyle w:val="GazetteTableText"/>
            </w:pPr>
            <w:r>
              <w:t>Domestic</w:t>
            </w:r>
          </w:p>
        </w:tc>
        <w:tc>
          <w:tcPr>
            <w:tcW w:w="970" w:type="pct"/>
          </w:tcPr>
          <w:p w14:paraId="23A06CA1" w14:textId="77777777" w:rsidR="008E67EA" w:rsidRDefault="008E67EA" w:rsidP="00B44A74">
            <w:pPr>
              <w:pStyle w:val="GazetteTableText"/>
            </w:pPr>
            <w:r w:rsidRPr="00AA105E">
              <w:t>RB 0.05 g/kg or less in sachet or place pack</w:t>
            </w:r>
          </w:p>
        </w:tc>
        <w:tc>
          <w:tcPr>
            <w:tcW w:w="498" w:type="pct"/>
          </w:tcPr>
          <w:p w14:paraId="5C74234B" w14:textId="77777777" w:rsidR="008E67EA" w:rsidRDefault="008E67EA" w:rsidP="00B44A74">
            <w:pPr>
              <w:pStyle w:val="GazetteTableText"/>
            </w:pPr>
            <w:r w:rsidRPr="00A925F0">
              <w:t>1</w:t>
            </w:r>
            <w:r>
              <w:t>5</w:t>
            </w:r>
          </w:p>
        </w:tc>
      </w:tr>
      <w:tr w:rsidR="008E67EA" w14:paraId="5306E8E1" w14:textId="77777777" w:rsidTr="00731415">
        <w:tc>
          <w:tcPr>
            <w:tcW w:w="601" w:type="pct"/>
          </w:tcPr>
          <w:p w14:paraId="7BFE2898" w14:textId="77777777" w:rsidR="008E67EA" w:rsidRDefault="008E67EA" w:rsidP="00B44A74">
            <w:pPr>
              <w:pStyle w:val="GazetteTableText"/>
            </w:pPr>
            <w:r w:rsidRPr="000F742E">
              <w:t>51508</w:t>
            </w:r>
          </w:p>
        </w:tc>
        <w:tc>
          <w:tcPr>
            <w:tcW w:w="1382" w:type="pct"/>
          </w:tcPr>
          <w:p w14:paraId="606857D0" w14:textId="77777777" w:rsidR="008E67EA" w:rsidRPr="00B75907" w:rsidRDefault="008E67EA" w:rsidP="00B44A74">
            <w:pPr>
              <w:pStyle w:val="GazetteTableText"/>
            </w:pPr>
            <w:r w:rsidRPr="000F742E">
              <w:t xml:space="preserve">Racumin Rat </w:t>
            </w:r>
            <w:r>
              <w:t>a</w:t>
            </w:r>
            <w:r w:rsidRPr="000F742E">
              <w:t>nd Mouse Paste</w:t>
            </w:r>
          </w:p>
        </w:tc>
        <w:tc>
          <w:tcPr>
            <w:tcW w:w="727" w:type="pct"/>
          </w:tcPr>
          <w:p w14:paraId="1DFDA580" w14:textId="77777777" w:rsidR="008E67EA" w:rsidRDefault="008E67EA" w:rsidP="00B44A74">
            <w:pPr>
              <w:pStyle w:val="GazetteTableText"/>
            </w:pPr>
            <w:r>
              <w:t>C</w:t>
            </w:r>
            <w:r w:rsidRPr="00001A49">
              <w:t>oumatetralyl</w:t>
            </w:r>
          </w:p>
        </w:tc>
        <w:tc>
          <w:tcPr>
            <w:tcW w:w="822" w:type="pct"/>
          </w:tcPr>
          <w:p w14:paraId="26C2D84C" w14:textId="77777777" w:rsidR="008E67EA" w:rsidRDefault="008E67EA" w:rsidP="00B44A74">
            <w:pPr>
              <w:pStyle w:val="GazetteTableText"/>
            </w:pPr>
            <w:r w:rsidRPr="00AA105E">
              <w:t>Commercial</w:t>
            </w:r>
          </w:p>
        </w:tc>
        <w:tc>
          <w:tcPr>
            <w:tcW w:w="970" w:type="pct"/>
          </w:tcPr>
          <w:p w14:paraId="1BF0A950" w14:textId="77777777" w:rsidR="008E67EA" w:rsidRDefault="008E67EA" w:rsidP="00B44A74">
            <w:pPr>
              <w:pStyle w:val="GazetteTableText"/>
            </w:pPr>
            <w:r w:rsidRPr="00AA105E">
              <w:t>RB 0.4 g/kg or less in sachet or place pack</w:t>
            </w:r>
          </w:p>
        </w:tc>
        <w:tc>
          <w:tcPr>
            <w:tcW w:w="498" w:type="pct"/>
          </w:tcPr>
          <w:p w14:paraId="7A9C2366" w14:textId="77777777" w:rsidR="008E67EA" w:rsidRDefault="008E67EA" w:rsidP="00B44A74">
            <w:pPr>
              <w:pStyle w:val="GazetteTableText"/>
            </w:pPr>
            <w:r w:rsidRPr="0079223E">
              <w:t>1</w:t>
            </w:r>
            <w:r>
              <w:t>7</w:t>
            </w:r>
          </w:p>
        </w:tc>
      </w:tr>
      <w:tr w:rsidR="008E67EA" w14:paraId="0591A7F9" w14:textId="77777777" w:rsidTr="00731415">
        <w:tc>
          <w:tcPr>
            <w:tcW w:w="601" w:type="pct"/>
          </w:tcPr>
          <w:p w14:paraId="4B20DE13" w14:textId="77777777" w:rsidR="008E67EA" w:rsidRDefault="008E67EA" w:rsidP="00B44A74">
            <w:pPr>
              <w:pStyle w:val="GazetteTableText"/>
            </w:pPr>
            <w:r w:rsidRPr="000F742E">
              <w:t>52098</w:t>
            </w:r>
          </w:p>
        </w:tc>
        <w:tc>
          <w:tcPr>
            <w:tcW w:w="1382" w:type="pct"/>
          </w:tcPr>
          <w:p w14:paraId="46F44CAE" w14:textId="77777777" w:rsidR="008E67EA" w:rsidRPr="00B75907" w:rsidRDefault="008E67EA" w:rsidP="00B44A74">
            <w:pPr>
              <w:pStyle w:val="GazetteTableText"/>
            </w:pPr>
            <w:r w:rsidRPr="000F742E">
              <w:t xml:space="preserve">Racumin Rat </w:t>
            </w:r>
            <w:r>
              <w:t>a</w:t>
            </w:r>
            <w:r w:rsidRPr="000F742E">
              <w:t>nd Mouse Blocks</w:t>
            </w:r>
          </w:p>
        </w:tc>
        <w:tc>
          <w:tcPr>
            <w:tcW w:w="727" w:type="pct"/>
          </w:tcPr>
          <w:p w14:paraId="252E7785" w14:textId="77777777" w:rsidR="008E67EA" w:rsidRDefault="008E67EA" w:rsidP="00B44A74">
            <w:pPr>
              <w:pStyle w:val="GazetteTableText"/>
            </w:pPr>
            <w:r>
              <w:t>C</w:t>
            </w:r>
            <w:r w:rsidRPr="00001A49">
              <w:t>oumatetralyl</w:t>
            </w:r>
          </w:p>
        </w:tc>
        <w:tc>
          <w:tcPr>
            <w:tcW w:w="822" w:type="pct"/>
          </w:tcPr>
          <w:p w14:paraId="02ABE7A9" w14:textId="77777777" w:rsidR="008E67EA" w:rsidRDefault="008E67EA" w:rsidP="00B44A74">
            <w:pPr>
              <w:pStyle w:val="GazetteTableText"/>
            </w:pPr>
            <w:r w:rsidRPr="00AA105E">
              <w:t>Commercial</w:t>
            </w:r>
          </w:p>
        </w:tc>
        <w:tc>
          <w:tcPr>
            <w:tcW w:w="970" w:type="pct"/>
          </w:tcPr>
          <w:p w14:paraId="17E2F6AB" w14:textId="77777777" w:rsidR="008E67EA" w:rsidRDefault="008E67EA" w:rsidP="00B44A74">
            <w:pPr>
              <w:pStyle w:val="GazetteTableText"/>
            </w:pPr>
            <w:r w:rsidRPr="00AA105E">
              <w:t>RB 0.4 g/kg or less in block formulation</w:t>
            </w:r>
          </w:p>
        </w:tc>
        <w:tc>
          <w:tcPr>
            <w:tcW w:w="498" w:type="pct"/>
          </w:tcPr>
          <w:p w14:paraId="791DC168" w14:textId="77777777" w:rsidR="008E67EA" w:rsidRDefault="008E67EA" w:rsidP="00B44A74">
            <w:pPr>
              <w:pStyle w:val="GazetteTableText"/>
            </w:pPr>
            <w:r w:rsidRPr="00E5439D">
              <w:t>1</w:t>
            </w:r>
            <w:r>
              <w:t>6</w:t>
            </w:r>
          </w:p>
        </w:tc>
      </w:tr>
      <w:tr w:rsidR="008E67EA" w14:paraId="05223442" w14:textId="77777777" w:rsidTr="00731415">
        <w:tc>
          <w:tcPr>
            <w:tcW w:w="601" w:type="pct"/>
          </w:tcPr>
          <w:p w14:paraId="3FE5B23B" w14:textId="77777777" w:rsidR="008E67EA" w:rsidRDefault="008E67EA" w:rsidP="00B44A74">
            <w:pPr>
              <w:pStyle w:val="GazetteTableText"/>
            </w:pPr>
            <w:r w:rsidRPr="000F742E">
              <w:t>59284</w:t>
            </w:r>
          </w:p>
        </w:tc>
        <w:tc>
          <w:tcPr>
            <w:tcW w:w="1382" w:type="pct"/>
          </w:tcPr>
          <w:p w14:paraId="69F352CE" w14:textId="77777777" w:rsidR="008E67EA" w:rsidRPr="00B75907" w:rsidRDefault="008E67EA" w:rsidP="00B44A74">
            <w:pPr>
              <w:pStyle w:val="GazetteTableText"/>
            </w:pPr>
            <w:r w:rsidRPr="000F742E">
              <w:t>Bayer Racumin Rat &amp; Mouse Killer</w:t>
            </w:r>
          </w:p>
        </w:tc>
        <w:tc>
          <w:tcPr>
            <w:tcW w:w="727" w:type="pct"/>
          </w:tcPr>
          <w:p w14:paraId="36BC8CB7" w14:textId="77777777" w:rsidR="008E67EA" w:rsidRDefault="008E67EA" w:rsidP="00B44A74">
            <w:pPr>
              <w:pStyle w:val="GazetteTableText"/>
            </w:pPr>
            <w:r>
              <w:t>C</w:t>
            </w:r>
            <w:r w:rsidRPr="00001A49">
              <w:t>oumatetralyl</w:t>
            </w:r>
          </w:p>
        </w:tc>
        <w:tc>
          <w:tcPr>
            <w:tcW w:w="822" w:type="pct"/>
          </w:tcPr>
          <w:p w14:paraId="7A6F2730" w14:textId="77777777" w:rsidR="008E67EA" w:rsidRDefault="008E67EA" w:rsidP="00B44A74">
            <w:pPr>
              <w:pStyle w:val="GazetteTableText"/>
            </w:pPr>
            <w:r>
              <w:t>Domestic</w:t>
            </w:r>
          </w:p>
        </w:tc>
        <w:tc>
          <w:tcPr>
            <w:tcW w:w="970" w:type="pct"/>
          </w:tcPr>
          <w:p w14:paraId="153F4D0F" w14:textId="77777777" w:rsidR="008E67EA" w:rsidRDefault="008E67EA" w:rsidP="00B44A74">
            <w:pPr>
              <w:pStyle w:val="GazetteTableText"/>
            </w:pPr>
            <w:r w:rsidRPr="00AA105E">
              <w:t>RB 0.4 g/kg or less in sachet or place pack</w:t>
            </w:r>
          </w:p>
        </w:tc>
        <w:tc>
          <w:tcPr>
            <w:tcW w:w="498" w:type="pct"/>
          </w:tcPr>
          <w:p w14:paraId="387BEC3A" w14:textId="77777777" w:rsidR="008E67EA" w:rsidRDefault="008E67EA" w:rsidP="00B44A74">
            <w:pPr>
              <w:pStyle w:val="GazetteTableText"/>
            </w:pPr>
            <w:r>
              <w:t>18</w:t>
            </w:r>
          </w:p>
        </w:tc>
      </w:tr>
      <w:tr w:rsidR="008E67EA" w14:paraId="1CE2B3AB" w14:textId="77777777" w:rsidTr="00731415">
        <w:tc>
          <w:tcPr>
            <w:tcW w:w="601" w:type="pct"/>
          </w:tcPr>
          <w:p w14:paraId="0C3B6A86" w14:textId="77777777" w:rsidR="008E67EA" w:rsidRDefault="008E67EA" w:rsidP="00B44A74">
            <w:pPr>
              <w:pStyle w:val="GazetteTableText"/>
            </w:pPr>
            <w:r w:rsidRPr="000F742E">
              <w:t>82217</w:t>
            </w:r>
          </w:p>
        </w:tc>
        <w:tc>
          <w:tcPr>
            <w:tcW w:w="1382" w:type="pct"/>
          </w:tcPr>
          <w:p w14:paraId="5E72400A" w14:textId="77777777" w:rsidR="008E67EA" w:rsidRPr="00B75907" w:rsidRDefault="008E67EA" w:rsidP="00B44A74">
            <w:pPr>
              <w:pStyle w:val="GazetteTableText"/>
            </w:pPr>
            <w:r w:rsidRPr="000F742E">
              <w:t>Surefire Couma All Weather Blocks Rodenticide</w:t>
            </w:r>
          </w:p>
        </w:tc>
        <w:tc>
          <w:tcPr>
            <w:tcW w:w="727" w:type="pct"/>
          </w:tcPr>
          <w:p w14:paraId="600FA3A9" w14:textId="77777777" w:rsidR="008E67EA" w:rsidRDefault="008E67EA" w:rsidP="00B44A74">
            <w:pPr>
              <w:pStyle w:val="GazetteTableText"/>
            </w:pPr>
            <w:r>
              <w:t>C</w:t>
            </w:r>
            <w:r w:rsidRPr="00001A49">
              <w:t>oumatetralyl</w:t>
            </w:r>
          </w:p>
        </w:tc>
        <w:tc>
          <w:tcPr>
            <w:tcW w:w="822" w:type="pct"/>
          </w:tcPr>
          <w:p w14:paraId="5306770A" w14:textId="77777777" w:rsidR="008E67EA" w:rsidRDefault="008E67EA" w:rsidP="00B44A74">
            <w:pPr>
              <w:pStyle w:val="GazetteTableText"/>
            </w:pPr>
            <w:r w:rsidRPr="00AA105E">
              <w:t>Commercial</w:t>
            </w:r>
          </w:p>
        </w:tc>
        <w:tc>
          <w:tcPr>
            <w:tcW w:w="970" w:type="pct"/>
          </w:tcPr>
          <w:p w14:paraId="3A11A302" w14:textId="77777777" w:rsidR="008E67EA" w:rsidRDefault="008E67EA" w:rsidP="00B44A74">
            <w:pPr>
              <w:pStyle w:val="GazetteTableText"/>
            </w:pPr>
            <w:r w:rsidRPr="00AA105E">
              <w:t>RB 0.4 g/kg or less in block formulation</w:t>
            </w:r>
          </w:p>
        </w:tc>
        <w:tc>
          <w:tcPr>
            <w:tcW w:w="498" w:type="pct"/>
          </w:tcPr>
          <w:p w14:paraId="51A75E8A" w14:textId="77777777" w:rsidR="008E67EA" w:rsidRDefault="008E67EA" w:rsidP="00B44A74">
            <w:pPr>
              <w:pStyle w:val="GazetteTableText"/>
            </w:pPr>
            <w:r w:rsidRPr="00E5439D">
              <w:t>1</w:t>
            </w:r>
            <w:r>
              <w:t>6</w:t>
            </w:r>
          </w:p>
        </w:tc>
      </w:tr>
      <w:tr w:rsidR="008E67EA" w14:paraId="52655FBA" w14:textId="77777777" w:rsidTr="00731415">
        <w:tc>
          <w:tcPr>
            <w:tcW w:w="601" w:type="pct"/>
          </w:tcPr>
          <w:p w14:paraId="4013714D" w14:textId="77777777" w:rsidR="008E67EA" w:rsidRDefault="008E67EA" w:rsidP="00B44A74">
            <w:pPr>
              <w:pStyle w:val="GazetteTableText"/>
            </w:pPr>
            <w:r w:rsidRPr="00D95DA9">
              <w:t>65339</w:t>
            </w:r>
          </w:p>
        </w:tc>
        <w:tc>
          <w:tcPr>
            <w:tcW w:w="1382" w:type="pct"/>
          </w:tcPr>
          <w:p w14:paraId="44EE6A11" w14:textId="77777777" w:rsidR="008E67EA" w:rsidRPr="00B75907" w:rsidRDefault="008E67EA" w:rsidP="00B44A74">
            <w:pPr>
              <w:pStyle w:val="GazetteTableText"/>
            </w:pPr>
            <w:r w:rsidRPr="00D95DA9">
              <w:t>Roban Rodenticide Blocks</w:t>
            </w:r>
          </w:p>
        </w:tc>
        <w:tc>
          <w:tcPr>
            <w:tcW w:w="727" w:type="pct"/>
          </w:tcPr>
          <w:p w14:paraId="0967F8E1" w14:textId="77777777" w:rsidR="008E67EA" w:rsidRDefault="008E67EA" w:rsidP="00B44A74">
            <w:pPr>
              <w:pStyle w:val="GazetteTableText"/>
            </w:pPr>
            <w:r>
              <w:t>D</w:t>
            </w:r>
            <w:r w:rsidRPr="00001A49">
              <w:t>ifenacoum</w:t>
            </w:r>
          </w:p>
        </w:tc>
        <w:tc>
          <w:tcPr>
            <w:tcW w:w="822" w:type="pct"/>
          </w:tcPr>
          <w:p w14:paraId="74C37606" w14:textId="77777777" w:rsidR="008E67EA" w:rsidRDefault="008E67EA" w:rsidP="00B44A74">
            <w:pPr>
              <w:pStyle w:val="GazetteTableText"/>
            </w:pPr>
            <w:r>
              <w:t>Commercial</w:t>
            </w:r>
          </w:p>
        </w:tc>
        <w:tc>
          <w:tcPr>
            <w:tcW w:w="970" w:type="pct"/>
          </w:tcPr>
          <w:p w14:paraId="0993BD6B" w14:textId="77777777" w:rsidR="008E67EA" w:rsidRDefault="008E67EA" w:rsidP="00B44A74">
            <w:pPr>
              <w:pStyle w:val="GazetteTableText"/>
            </w:pPr>
            <w:r w:rsidRPr="00AA105E">
              <w:t>RB 0.05 g/kg or less in block formulation</w:t>
            </w:r>
          </w:p>
        </w:tc>
        <w:tc>
          <w:tcPr>
            <w:tcW w:w="498" w:type="pct"/>
          </w:tcPr>
          <w:p w14:paraId="03D66174" w14:textId="77777777" w:rsidR="008E67EA" w:rsidRDefault="008E67EA" w:rsidP="00B44A74">
            <w:pPr>
              <w:pStyle w:val="GazetteTableText"/>
            </w:pPr>
            <w:r>
              <w:t>19</w:t>
            </w:r>
            <w:r w:rsidRPr="0079223E">
              <w:t>a</w:t>
            </w:r>
          </w:p>
        </w:tc>
      </w:tr>
      <w:tr w:rsidR="008E67EA" w14:paraId="50C23C1D" w14:textId="77777777" w:rsidTr="00731415">
        <w:tc>
          <w:tcPr>
            <w:tcW w:w="601" w:type="pct"/>
          </w:tcPr>
          <w:p w14:paraId="16165271" w14:textId="77777777" w:rsidR="008E67EA" w:rsidRDefault="008E67EA" w:rsidP="00B44A74">
            <w:pPr>
              <w:pStyle w:val="GazetteTableText"/>
            </w:pPr>
            <w:r w:rsidRPr="00D95DA9">
              <w:t>65358</w:t>
            </w:r>
          </w:p>
        </w:tc>
        <w:tc>
          <w:tcPr>
            <w:tcW w:w="1382" w:type="pct"/>
          </w:tcPr>
          <w:p w14:paraId="716573CB" w14:textId="77777777" w:rsidR="008E67EA" w:rsidRPr="00B75907" w:rsidRDefault="008E67EA" w:rsidP="00B44A74">
            <w:pPr>
              <w:pStyle w:val="GazetteTableText"/>
            </w:pPr>
            <w:r w:rsidRPr="00D95DA9">
              <w:t>Roban Rodenticide Paste</w:t>
            </w:r>
          </w:p>
        </w:tc>
        <w:tc>
          <w:tcPr>
            <w:tcW w:w="727" w:type="pct"/>
          </w:tcPr>
          <w:p w14:paraId="5C181C2B" w14:textId="77777777" w:rsidR="008E67EA" w:rsidRDefault="008E67EA" w:rsidP="00B44A74">
            <w:pPr>
              <w:pStyle w:val="GazetteTableText"/>
            </w:pPr>
            <w:r>
              <w:t>D</w:t>
            </w:r>
            <w:r w:rsidRPr="00001A49">
              <w:t>ifenacoum</w:t>
            </w:r>
          </w:p>
        </w:tc>
        <w:tc>
          <w:tcPr>
            <w:tcW w:w="822" w:type="pct"/>
          </w:tcPr>
          <w:p w14:paraId="23FD8D57" w14:textId="77777777" w:rsidR="008E67EA" w:rsidRDefault="008E67EA" w:rsidP="00B44A74">
            <w:pPr>
              <w:pStyle w:val="GazetteTableText"/>
            </w:pPr>
            <w:r>
              <w:t>Commercial</w:t>
            </w:r>
          </w:p>
        </w:tc>
        <w:tc>
          <w:tcPr>
            <w:tcW w:w="970" w:type="pct"/>
          </w:tcPr>
          <w:p w14:paraId="512415C6" w14:textId="77777777" w:rsidR="008E67EA" w:rsidRDefault="008E67EA" w:rsidP="00B44A74">
            <w:pPr>
              <w:pStyle w:val="GazetteTableText"/>
            </w:pPr>
            <w:r w:rsidRPr="00AA105E">
              <w:t>RB 0.05 g/kg or less in sachet or place pack</w:t>
            </w:r>
          </w:p>
        </w:tc>
        <w:tc>
          <w:tcPr>
            <w:tcW w:w="498" w:type="pct"/>
          </w:tcPr>
          <w:p w14:paraId="70643E98" w14:textId="77777777" w:rsidR="008E67EA" w:rsidRDefault="008E67EA" w:rsidP="00B44A74">
            <w:pPr>
              <w:pStyle w:val="GazetteTableText"/>
            </w:pPr>
            <w:r w:rsidRPr="00745F0E">
              <w:t>2</w:t>
            </w:r>
            <w:r>
              <w:t>1</w:t>
            </w:r>
          </w:p>
        </w:tc>
      </w:tr>
      <w:tr w:rsidR="008E67EA" w14:paraId="369FD207" w14:textId="77777777" w:rsidTr="00731415">
        <w:tc>
          <w:tcPr>
            <w:tcW w:w="601" w:type="pct"/>
          </w:tcPr>
          <w:p w14:paraId="4688F7C8" w14:textId="77777777" w:rsidR="008E67EA" w:rsidRDefault="008E67EA" w:rsidP="00B44A74">
            <w:pPr>
              <w:pStyle w:val="GazetteTableText"/>
            </w:pPr>
            <w:r w:rsidRPr="00D95DA9">
              <w:t>65528</w:t>
            </w:r>
          </w:p>
        </w:tc>
        <w:tc>
          <w:tcPr>
            <w:tcW w:w="1382" w:type="pct"/>
          </w:tcPr>
          <w:p w14:paraId="0F9685EE" w14:textId="77777777" w:rsidR="008E67EA" w:rsidRPr="00B75907" w:rsidRDefault="008E67EA" w:rsidP="00B44A74">
            <w:pPr>
              <w:pStyle w:val="GazetteTableText"/>
            </w:pPr>
            <w:r w:rsidRPr="00D95DA9">
              <w:t>Roban Rodenticide Pellets</w:t>
            </w:r>
          </w:p>
        </w:tc>
        <w:tc>
          <w:tcPr>
            <w:tcW w:w="727" w:type="pct"/>
          </w:tcPr>
          <w:p w14:paraId="1C9CBFDF" w14:textId="77777777" w:rsidR="008E67EA" w:rsidRDefault="008E67EA" w:rsidP="00B44A74">
            <w:pPr>
              <w:pStyle w:val="GazetteTableText"/>
            </w:pPr>
            <w:r>
              <w:t>D</w:t>
            </w:r>
            <w:r w:rsidRPr="00001A49">
              <w:t>ifenacoum</w:t>
            </w:r>
          </w:p>
        </w:tc>
        <w:tc>
          <w:tcPr>
            <w:tcW w:w="822" w:type="pct"/>
          </w:tcPr>
          <w:p w14:paraId="4479A1A2" w14:textId="77777777" w:rsidR="008E67EA" w:rsidRDefault="008E67EA" w:rsidP="00B44A74">
            <w:pPr>
              <w:pStyle w:val="GazetteTableText"/>
            </w:pPr>
            <w:r>
              <w:t>Commercial</w:t>
            </w:r>
          </w:p>
        </w:tc>
        <w:tc>
          <w:tcPr>
            <w:tcW w:w="970" w:type="pct"/>
          </w:tcPr>
          <w:p w14:paraId="093A929B" w14:textId="77777777" w:rsidR="008E67EA" w:rsidRDefault="008E67EA" w:rsidP="00B44A74">
            <w:pPr>
              <w:pStyle w:val="GazetteTableText"/>
            </w:pPr>
            <w:r w:rsidRPr="00161C5F">
              <w:t>RB 0.05 g/kg or less in pellet formulation</w:t>
            </w:r>
          </w:p>
        </w:tc>
        <w:tc>
          <w:tcPr>
            <w:tcW w:w="498" w:type="pct"/>
          </w:tcPr>
          <w:p w14:paraId="2716F41D" w14:textId="77777777" w:rsidR="008E67EA" w:rsidRDefault="008E67EA" w:rsidP="00B44A74">
            <w:pPr>
              <w:pStyle w:val="GazetteTableText"/>
            </w:pPr>
            <w:r w:rsidRPr="0079223E">
              <w:t>2</w:t>
            </w:r>
            <w:r>
              <w:t>0</w:t>
            </w:r>
          </w:p>
        </w:tc>
      </w:tr>
      <w:tr w:rsidR="008E67EA" w14:paraId="36A735D1" w14:textId="77777777" w:rsidTr="00731415">
        <w:tc>
          <w:tcPr>
            <w:tcW w:w="601" w:type="pct"/>
          </w:tcPr>
          <w:p w14:paraId="2C493A0D" w14:textId="77777777" w:rsidR="008E67EA" w:rsidRDefault="008E67EA" w:rsidP="00B44A74">
            <w:pPr>
              <w:pStyle w:val="GazetteTableText"/>
            </w:pPr>
            <w:r w:rsidRPr="00D95DA9">
              <w:t>66399</w:t>
            </w:r>
          </w:p>
        </w:tc>
        <w:tc>
          <w:tcPr>
            <w:tcW w:w="1382" w:type="pct"/>
          </w:tcPr>
          <w:p w14:paraId="1044C098" w14:textId="77777777" w:rsidR="008E67EA" w:rsidRPr="00B75907" w:rsidRDefault="008E67EA" w:rsidP="00B44A74">
            <w:pPr>
              <w:pStyle w:val="GazetteTableText"/>
            </w:pPr>
            <w:r w:rsidRPr="00D95DA9">
              <w:t>Roban Rodenticide Placepacks</w:t>
            </w:r>
          </w:p>
        </w:tc>
        <w:tc>
          <w:tcPr>
            <w:tcW w:w="727" w:type="pct"/>
          </w:tcPr>
          <w:p w14:paraId="389D3FB7" w14:textId="77777777" w:rsidR="008E67EA" w:rsidRDefault="008E67EA" w:rsidP="00B44A74">
            <w:pPr>
              <w:pStyle w:val="GazetteTableText"/>
            </w:pPr>
            <w:r>
              <w:t>D</w:t>
            </w:r>
            <w:r w:rsidRPr="00001A49">
              <w:t>ifenacoum</w:t>
            </w:r>
          </w:p>
        </w:tc>
        <w:tc>
          <w:tcPr>
            <w:tcW w:w="822" w:type="pct"/>
          </w:tcPr>
          <w:p w14:paraId="03A227AD" w14:textId="77777777" w:rsidR="008E67EA" w:rsidRDefault="008E67EA" w:rsidP="00B44A74">
            <w:pPr>
              <w:pStyle w:val="GazetteTableText"/>
            </w:pPr>
            <w:r>
              <w:t>Commercial</w:t>
            </w:r>
          </w:p>
        </w:tc>
        <w:tc>
          <w:tcPr>
            <w:tcW w:w="970" w:type="pct"/>
          </w:tcPr>
          <w:p w14:paraId="7ED8C34D" w14:textId="77777777" w:rsidR="008E67EA" w:rsidRDefault="008E67EA" w:rsidP="00B44A74">
            <w:pPr>
              <w:pStyle w:val="GazetteTableText"/>
            </w:pPr>
            <w:r w:rsidRPr="00AA105E">
              <w:t>RB 0.05 g/kg or less in sachet or place pack</w:t>
            </w:r>
          </w:p>
        </w:tc>
        <w:tc>
          <w:tcPr>
            <w:tcW w:w="498" w:type="pct"/>
          </w:tcPr>
          <w:p w14:paraId="5CC96EA9" w14:textId="77777777" w:rsidR="008E67EA" w:rsidRDefault="008E67EA" w:rsidP="00B44A74">
            <w:pPr>
              <w:pStyle w:val="GazetteTableText"/>
            </w:pPr>
            <w:r w:rsidRPr="00745F0E">
              <w:t>2</w:t>
            </w:r>
            <w:r>
              <w:t>1</w:t>
            </w:r>
          </w:p>
        </w:tc>
      </w:tr>
      <w:tr w:rsidR="008E67EA" w14:paraId="5AB51A42" w14:textId="77777777" w:rsidTr="00731415">
        <w:tc>
          <w:tcPr>
            <w:tcW w:w="601" w:type="pct"/>
          </w:tcPr>
          <w:p w14:paraId="47C86665" w14:textId="77777777" w:rsidR="008E67EA" w:rsidRDefault="008E67EA" w:rsidP="00B44A74">
            <w:pPr>
              <w:pStyle w:val="GazetteTableText"/>
            </w:pPr>
            <w:r w:rsidRPr="00D95DA9">
              <w:t>66587</w:t>
            </w:r>
          </w:p>
        </w:tc>
        <w:tc>
          <w:tcPr>
            <w:tcW w:w="1382" w:type="pct"/>
          </w:tcPr>
          <w:p w14:paraId="6E0D17DD" w14:textId="77777777" w:rsidR="008E67EA" w:rsidRPr="00B75907" w:rsidRDefault="008E67EA" w:rsidP="00B44A74">
            <w:pPr>
              <w:pStyle w:val="GazetteTableText"/>
            </w:pPr>
            <w:r w:rsidRPr="00D95DA9">
              <w:t>Cougar Rodenticide Paste Sachets</w:t>
            </w:r>
          </w:p>
        </w:tc>
        <w:tc>
          <w:tcPr>
            <w:tcW w:w="727" w:type="pct"/>
          </w:tcPr>
          <w:p w14:paraId="07597E10" w14:textId="77777777" w:rsidR="008E67EA" w:rsidRDefault="008E67EA" w:rsidP="00B44A74">
            <w:pPr>
              <w:pStyle w:val="GazetteTableText"/>
            </w:pPr>
            <w:r>
              <w:t>D</w:t>
            </w:r>
            <w:r w:rsidRPr="00001A49">
              <w:t>ifenacoum</w:t>
            </w:r>
          </w:p>
        </w:tc>
        <w:tc>
          <w:tcPr>
            <w:tcW w:w="822" w:type="pct"/>
          </w:tcPr>
          <w:p w14:paraId="0F45DA32" w14:textId="77777777" w:rsidR="008E67EA" w:rsidRDefault="008E67EA" w:rsidP="00B44A74">
            <w:pPr>
              <w:pStyle w:val="GazetteTableText"/>
            </w:pPr>
            <w:r>
              <w:t>Commercial</w:t>
            </w:r>
          </w:p>
        </w:tc>
        <w:tc>
          <w:tcPr>
            <w:tcW w:w="970" w:type="pct"/>
          </w:tcPr>
          <w:p w14:paraId="05D0745A" w14:textId="77777777" w:rsidR="008E67EA" w:rsidRDefault="008E67EA" w:rsidP="00B44A74">
            <w:pPr>
              <w:pStyle w:val="GazetteTableText"/>
            </w:pPr>
            <w:r w:rsidRPr="00AA105E">
              <w:t>RB 0.05 g/kg or less in sachet or place pack</w:t>
            </w:r>
          </w:p>
        </w:tc>
        <w:tc>
          <w:tcPr>
            <w:tcW w:w="498" w:type="pct"/>
          </w:tcPr>
          <w:p w14:paraId="290C5F69" w14:textId="77777777" w:rsidR="008E67EA" w:rsidRDefault="008E67EA" w:rsidP="00B44A74">
            <w:pPr>
              <w:pStyle w:val="GazetteTableText"/>
            </w:pPr>
            <w:r w:rsidRPr="00745F0E">
              <w:t>2</w:t>
            </w:r>
            <w:r>
              <w:t>1</w:t>
            </w:r>
          </w:p>
        </w:tc>
      </w:tr>
      <w:tr w:rsidR="008E67EA" w14:paraId="10CD2883" w14:textId="77777777" w:rsidTr="00731415">
        <w:tc>
          <w:tcPr>
            <w:tcW w:w="601" w:type="pct"/>
          </w:tcPr>
          <w:p w14:paraId="70BD2B04" w14:textId="77777777" w:rsidR="008E67EA" w:rsidRDefault="008E67EA" w:rsidP="00B44A74">
            <w:pPr>
              <w:pStyle w:val="GazetteTableText"/>
            </w:pPr>
            <w:r w:rsidRPr="00D95DA9">
              <w:t>66588</w:t>
            </w:r>
          </w:p>
        </w:tc>
        <w:tc>
          <w:tcPr>
            <w:tcW w:w="1382" w:type="pct"/>
          </w:tcPr>
          <w:p w14:paraId="24283EE0" w14:textId="77777777" w:rsidR="008E67EA" w:rsidRPr="00B75907" w:rsidRDefault="008E67EA" w:rsidP="00B44A74">
            <w:pPr>
              <w:pStyle w:val="GazetteTableText"/>
            </w:pPr>
            <w:r w:rsidRPr="00D95DA9">
              <w:t>Cougar Rodenticide Wax Blocks</w:t>
            </w:r>
          </w:p>
        </w:tc>
        <w:tc>
          <w:tcPr>
            <w:tcW w:w="727" w:type="pct"/>
          </w:tcPr>
          <w:p w14:paraId="3700EC1F" w14:textId="77777777" w:rsidR="008E67EA" w:rsidRDefault="008E67EA" w:rsidP="00B44A74">
            <w:pPr>
              <w:pStyle w:val="GazetteTableText"/>
            </w:pPr>
            <w:r>
              <w:t>D</w:t>
            </w:r>
            <w:r w:rsidRPr="00001A49">
              <w:t>ifenacoum</w:t>
            </w:r>
          </w:p>
        </w:tc>
        <w:tc>
          <w:tcPr>
            <w:tcW w:w="822" w:type="pct"/>
          </w:tcPr>
          <w:p w14:paraId="396F2572" w14:textId="77777777" w:rsidR="008E67EA" w:rsidRDefault="008E67EA" w:rsidP="00B44A74">
            <w:pPr>
              <w:pStyle w:val="GazetteTableText"/>
            </w:pPr>
            <w:r>
              <w:t>Commercial</w:t>
            </w:r>
          </w:p>
        </w:tc>
        <w:tc>
          <w:tcPr>
            <w:tcW w:w="970" w:type="pct"/>
          </w:tcPr>
          <w:p w14:paraId="77FC6B7D" w14:textId="77777777" w:rsidR="008E67EA" w:rsidRDefault="008E67EA" w:rsidP="00B44A74">
            <w:pPr>
              <w:pStyle w:val="GazetteTableText"/>
            </w:pPr>
            <w:r w:rsidRPr="00AA105E">
              <w:t>RB 0.05 g/kg or less in block formulation</w:t>
            </w:r>
          </w:p>
        </w:tc>
        <w:tc>
          <w:tcPr>
            <w:tcW w:w="498" w:type="pct"/>
          </w:tcPr>
          <w:p w14:paraId="29B49BE3" w14:textId="77777777" w:rsidR="008E67EA" w:rsidRDefault="008E67EA" w:rsidP="00B44A74">
            <w:pPr>
              <w:pStyle w:val="GazetteTableText"/>
            </w:pPr>
            <w:r>
              <w:t>19</w:t>
            </w:r>
            <w:r w:rsidRPr="0079223E">
              <w:t>a</w:t>
            </w:r>
          </w:p>
        </w:tc>
      </w:tr>
      <w:tr w:rsidR="008E67EA" w14:paraId="6CD4BBB9" w14:textId="77777777" w:rsidTr="00731415">
        <w:tc>
          <w:tcPr>
            <w:tcW w:w="601" w:type="pct"/>
          </w:tcPr>
          <w:p w14:paraId="2997E349" w14:textId="77777777" w:rsidR="008E67EA" w:rsidRDefault="008E67EA" w:rsidP="00B44A74">
            <w:pPr>
              <w:pStyle w:val="GazetteTableText"/>
            </w:pPr>
            <w:r w:rsidRPr="00D95DA9">
              <w:t>67484</w:t>
            </w:r>
          </w:p>
        </w:tc>
        <w:tc>
          <w:tcPr>
            <w:tcW w:w="1382" w:type="pct"/>
          </w:tcPr>
          <w:p w14:paraId="42F73C1D" w14:textId="77777777" w:rsidR="008E67EA" w:rsidRPr="00B75907" w:rsidRDefault="008E67EA" w:rsidP="00B44A74">
            <w:pPr>
              <w:pStyle w:val="GazetteTableText"/>
            </w:pPr>
            <w:r w:rsidRPr="00D95DA9">
              <w:t>Roban Rat And Mouse Killer Paste</w:t>
            </w:r>
          </w:p>
        </w:tc>
        <w:tc>
          <w:tcPr>
            <w:tcW w:w="727" w:type="pct"/>
          </w:tcPr>
          <w:p w14:paraId="21CA0126" w14:textId="77777777" w:rsidR="008E67EA" w:rsidRDefault="008E67EA" w:rsidP="00B44A74">
            <w:pPr>
              <w:pStyle w:val="GazetteTableText"/>
            </w:pPr>
            <w:r>
              <w:t>D</w:t>
            </w:r>
            <w:r w:rsidRPr="00001A49">
              <w:t>ifenacoum</w:t>
            </w:r>
          </w:p>
        </w:tc>
        <w:tc>
          <w:tcPr>
            <w:tcW w:w="822" w:type="pct"/>
          </w:tcPr>
          <w:p w14:paraId="5D9AD5C3" w14:textId="77777777" w:rsidR="008E67EA" w:rsidRDefault="008E67EA" w:rsidP="00B44A74">
            <w:pPr>
              <w:pStyle w:val="GazetteTableText"/>
            </w:pPr>
            <w:r>
              <w:t>Domestic</w:t>
            </w:r>
          </w:p>
        </w:tc>
        <w:tc>
          <w:tcPr>
            <w:tcW w:w="970" w:type="pct"/>
          </w:tcPr>
          <w:p w14:paraId="18077435" w14:textId="77777777" w:rsidR="008E67EA" w:rsidRDefault="008E67EA" w:rsidP="00B44A74">
            <w:pPr>
              <w:pStyle w:val="GazetteTableText"/>
            </w:pPr>
            <w:r w:rsidRPr="00AA105E">
              <w:t>RB 0.05 g/kg or less in sachet or place pack</w:t>
            </w:r>
          </w:p>
        </w:tc>
        <w:tc>
          <w:tcPr>
            <w:tcW w:w="498" w:type="pct"/>
          </w:tcPr>
          <w:p w14:paraId="7101CAFA" w14:textId="77777777" w:rsidR="008E67EA" w:rsidRDefault="008E67EA" w:rsidP="00B44A74">
            <w:pPr>
              <w:pStyle w:val="GazetteTableText"/>
            </w:pPr>
            <w:r w:rsidRPr="00745F0E">
              <w:t>2</w:t>
            </w:r>
            <w:r>
              <w:t>3</w:t>
            </w:r>
            <w:r w:rsidRPr="00745F0E">
              <w:t>a</w:t>
            </w:r>
          </w:p>
        </w:tc>
      </w:tr>
      <w:tr w:rsidR="008E67EA" w14:paraId="12D3FAE0" w14:textId="77777777" w:rsidTr="00731415">
        <w:tc>
          <w:tcPr>
            <w:tcW w:w="601" w:type="pct"/>
          </w:tcPr>
          <w:p w14:paraId="38329F6B" w14:textId="77777777" w:rsidR="008E67EA" w:rsidRDefault="008E67EA" w:rsidP="00B44A74">
            <w:pPr>
              <w:pStyle w:val="GazetteTableText"/>
            </w:pPr>
            <w:r w:rsidRPr="00D95DA9">
              <w:t>67644</w:t>
            </w:r>
          </w:p>
        </w:tc>
        <w:tc>
          <w:tcPr>
            <w:tcW w:w="1382" w:type="pct"/>
          </w:tcPr>
          <w:p w14:paraId="091AA56A" w14:textId="77777777" w:rsidR="008E67EA" w:rsidRPr="00B75907" w:rsidRDefault="008E67EA" w:rsidP="00B44A74">
            <w:pPr>
              <w:pStyle w:val="GazetteTableText"/>
            </w:pPr>
            <w:r w:rsidRPr="00D95DA9">
              <w:t>Time's Up Rat &amp; Mouse Killer Ready to Use Bait Packs</w:t>
            </w:r>
          </w:p>
        </w:tc>
        <w:tc>
          <w:tcPr>
            <w:tcW w:w="727" w:type="pct"/>
          </w:tcPr>
          <w:p w14:paraId="5E48894E" w14:textId="77777777" w:rsidR="008E67EA" w:rsidRDefault="008E67EA" w:rsidP="00B44A74">
            <w:pPr>
              <w:pStyle w:val="GazetteTableText"/>
            </w:pPr>
            <w:r>
              <w:t>D</w:t>
            </w:r>
            <w:r w:rsidRPr="00001A49">
              <w:t>ifenacoum</w:t>
            </w:r>
          </w:p>
        </w:tc>
        <w:tc>
          <w:tcPr>
            <w:tcW w:w="822" w:type="pct"/>
          </w:tcPr>
          <w:p w14:paraId="1FC85F36" w14:textId="77777777" w:rsidR="008E67EA" w:rsidRDefault="008E67EA" w:rsidP="00B44A74">
            <w:pPr>
              <w:pStyle w:val="GazetteTableText"/>
            </w:pPr>
            <w:r>
              <w:t>Domestic</w:t>
            </w:r>
          </w:p>
        </w:tc>
        <w:tc>
          <w:tcPr>
            <w:tcW w:w="970" w:type="pct"/>
          </w:tcPr>
          <w:p w14:paraId="64F96758" w14:textId="77777777" w:rsidR="008E67EA" w:rsidRDefault="008E67EA" w:rsidP="00B44A74">
            <w:pPr>
              <w:pStyle w:val="GazetteTableText"/>
            </w:pPr>
            <w:r w:rsidRPr="00AA105E">
              <w:t>RB 0.05 g/kg or less in sachet or place pack</w:t>
            </w:r>
          </w:p>
        </w:tc>
        <w:tc>
          <w:tcPr>
            <w:tcW w:w="498" w:type="pct"/>
          </w:tcPr>
          <w:p w14:paraId="4EFE74CF" w14:textId="77777777" w:rsidR="008E67EA" w:rsidRDefault="008E67EA" w:rsidP="00B44A74">
            <w:pPr>
              <w:pStyle w:val="GazetteTableText"/>
            </w:pPr>
            <w:r w:rsidRPr="00745F0E">
              <w:t>2</w:t>
            </w:r>
            <w:r>
              <w:t>3</w:t>
            </w:r>
            <w:r w:rsidRPr="00745F0E">
              <w:t>a</w:t>
            </w:r>
          </w:p>
        </w:tc>
      </w:tr>
      <w:tr w:rsidR="008E67EA" w14:paraId="7B97E29B" w14:textId="77777777" w:rsidTr="00731415">
        <w:tc>
          <w:tcPr>
            <w:tcW w:w="601" w:type="pct"/>
          </w:tcPr>
          <w:p w14:paraId="694C1666" w14:textId="77777777" w:rsidR="008E67EA" w:rsidRDefault="008E67EA" w:rsidP="00B44A74">
            <w:pPr>
              <w:pStyle w:val="GazetteTableText"/>
            </w:pPr>
            <w:r w:rsidRPr="00D95DA9">
              <w:lastRenderedPageBreak/>
              <w:t>67647</w:t>
            </w:r>
          </w:p>
        </w:tc>
        <w:tc>
          <w:tcPr>
            <w:tcW w:w="1382" w:type="pct"/>
          </w:tcPr>
          <w:p w14:paraId="27043BA5" w14:textId="77777777" w:rsidR="008E67EA" w:rsidRPr="00B75907" w:rsidRDefault="008E67EA" w:rsidP="00B44A74">
            <w:pPr>
              <w:pStyle w:val="GazetteTableText"/>
            </w:pPr>
            <w:r w:rsidRPr="00D95DA9">
              <w:t>Time's Up All-Weather Block Bait Rodenticide</w:t>
            </w:r>
          </w:p>
        </w:tc>
        <w:tc>
          <w:tcPr>
            <w:tcW w:w="727" w:type="pct"/>
          </w:tcPr>
          <w:p w14:paraId="6870F4B1" w14:textId="77777777" w:rsidR="008E67EA" w:rsidRDefault="008E67EA" w:rsidP="00B44A74">
            <w:pPr>
              <w:pStyle w:val="GazetteTableText"/>
            </w:pPr>
            <w:r>
              <w:t>D</w:t>
            </w:r>
            <w:r w:rsidRPr="00001A49">
              <w:t>ifenacoum</w:t>
            </w:r>
          </w:p>
        </w:tc>
        <w:tc>
          <w:tcPr>
            <w:tcW w:w="822" w:type="pct"/>
          </w:tcPr>
          <w:p w14:paraId="50681CA4" w14:textId="77777777" w:rsidR="008E67EA" w:rsidRDefault="008E67EA" w:rsidP="00B44A74">
            <w:pPr>
              <w:pStyle w:val="GazetteTableText"/>
            </w:pPr>
            <w:r>
              <w:t>Domestic</w:t>
            </w:r>
          </w:p>
        </w:tc>
        <w:tc>
          <w:tcPr>
            <w:tcW w:w="970" w:type="pct"/>
          </w:tcPr>
          <w:p w14:paraId="451FA076" w14:textId="77777777" w:rsidR="008E67EA" w:rsidRDefault="008E67EA" w:rsidP="00B44A74">
            <w:pPr>
              <w:pStyle w:val="GazetteTableText"/>
            </w:pPr>
            <w:r w:rsidRPr="00AA105E">
              <w:t>RB 0.05 g/kg or less in block formulation</w:t>
            </w:r>
          </w:p>
        </w:tc>
        <w:tc>
          <w:tcPr>
            <w:tcW w:w="498" w:type="pct"/>
          </w:tcPr>
          <w:p w14:paraId="695BA362" w14:textId="77777777" w:rsidR="008E67EA" w:rsidRDefault="008E67EA" w:rsidP="00B44A74">
            <w:pPr>
              <w:pStyle w:val="GazetteTableText"/>
            </w:pPr>
            <w:r w:rsidRPr="00A925F0">
              <w:t>2</w:t>
            </w:r>
            <w:r>
              <w:t>2</w:t>
            </w:r>
            <w:r w:rsidRPr="00A925F0">
              <w:t>a</w:t>
            </w:r>
          </w:p>
        </w:tc>
      </w:tr>
      <w:tr w:rsidR="008E67EA" w14:paraId="67FE606C" w14:textId="77777777" w:rsidTr="00731415">
        <w:tc>
          <w:tcPr>
            <w:tcW w:w="601" w:type="pct"/>
          </w:tcPr>
          <w:p w14:paraId="0CDD45C1" w14:textId="77777777" w:rsidR="008E67EA" w:rsidRDefault="008E67EA" w:rsidP="00B44A74">
            <w:pPr>
              <w:pStyle w:val="GazetteTableText"/>
            </w:pPr>
            <w:r w:rsidRPr="00D95DA9">
              <w:t>67681</w:t>
            </w:r>
          </w:p>
        </w:tc>
        <w:tc>
          <w:tcPr>
            <w:tcW w:w="1382" w:type="pct"/>
          </w:tcPr>
          <w:p w14:paraId="1FC9B0E4" w14:textId="77777777" w:rsidR="008E67EA" w:rsidRPr="00B75907" w:rsidRDefault="008E67EA" w:rsidP="00B44A74">
            <w:pPr>
              <w:pStyle w:val="GazetteTableText"/>
            </w:pPr>
            <w:r w:rsidRPr="00D95DA9">
              <w:t>Time's Up Baited Mouse Kill Station</w:t>
            </w:r>
          </w:p>
        </w:tc>
        <w:tc>
          <w:tcPr>
            <w:tcW w:w="727" w:type="pct"/>
          </w:tcPr>
          <w:p w14:paraId="1793E203" w14:textId="77777777" w:rsidR="008E67EA" w:rsidRDefault="008E67EA" w:rsidP="00B44A74">
            <w:pPr>
              <w:pStyle w:val="GazetteTableText"/>
            </w:pPr>
            <w:r>
              <w:t>D</w:t>
            </w:r>
            <w:r w:rsidRPr="00001A49">
              <w:t>ifenacoum</w:t>
            </w:r>
          </w:p>
        </w:tc>
        <w:tc>
          <w:tcPr>
            <w:tcW w:w="822" w:type="pct"/>
          </w:tcPr>
          <w:p w14:paraId="1F5255FF" w14:textId="77777777" w:rsidR="008E67EA" w:rsidRDefault="008E67EA" w:rsidP="00B44A74">
            <w:pPr>
              <w:pStyle w:val="GazetteTableText"/>
            </w:pPr>
            <w:r>
              <w:t>Domestic</w:t>
            </w:r>
          </w:p>
        </w:tc>
        <w:tc>
          <w:tcPr>
            <w:tcW w:w="970" w:type="pct"/>
          </w:tcPr>
          <w:p w14:paraId="34B9E75D" w14:textId="77777777" w:rsidR="008E67EA" w:rsidRDefault="008E67EA" w:rsidP="00B44A74">
            <w:pPr>
              <w:pStyle w:val="GazetteTableText"/>
            </w:pPr>
            <w:r w:rsidRPr="00AA105E">
              <w:t>RB 0.05 g/kg or less in block formulation</w:t>
            </w:r>
          </w:p>
        </w:tc>
        <w:tc>
          <w:tcPr>
            <w:tcW w:w="498" w:type="pct"/>
          </w:tcPr>
          <w:p w14:paraId="5AED9873" w14:textId="77777777" w:rsidR="008E67EA" w:rsidRDefault="008E67EA" w:rsidP="00B44A74">
            <w:pPr>
              <w:pStyle w:val="GazetteTableText"/>
            </w:pPr>
            <w:r w:rsidRPr="00A925F0">
              <w:t>2</w:t>
            </w:r>
            <w:r>
              <w:t>2</w:t>
            </w:r>
            <w:r w:rsidRPr="00A925F0">
              <w:t>b</w:t>
            </w:r>
          </w:p>
        </w:tc>
      </w:tr>
      <w:tr w:rsidR="008E67EA" w14:paraId="111ED912" w14:textId="77777777" w:rsidTr="00731415">
        <w:tc>
          <w:tcPr>
            <w:tcW w:w="601" w:type="pct"/>
          </w:tcPr>
          <w:p w14:paraId="24C5F79D" w14:textId="77777777" w:rsidR="008E67EA" w:rsidRDefault="008E67EA" w:rsidP="00B44A74">
            <w:pPr>
              <w:pStyle w:val="GazetteTableText"/>
            </w:pPr>
            <w:r w:rsidRPr="00D95DA9">
              <w:t>68759</w:t>
            </w:r>
          </w:p>
        </w:tc>
        <w:tc>
          <w:tcPr>
            <w:tcW w:w="1382" w:type="pct"/>
          </w:tcPr>
          <w:p w14:paraId="59B8F67C" w14:textId="77777777" w:rsidR="008E67EA" w:rsidRPr="00B75907" w:rsidRDefault="008E67EA" w:rsidP="00B44A74">
            <w:pPr>
              <w:pStyle w:val="GazetteTableText"/>
            </w:pPr>
            <w:r w:rsidRPr="00D95DA9">
              <w:t>Ratshot Rodenticide Paste</w:t>
            </w:r>
          </w:p>
        </w:tc>
        <w:tc>
          <w:tcPr>
            <w:tcW w:w="727" w:type="pct"/>
          </w:tcPr>
          <w:p w14:paraId="27D4D295" w14:textId="77777777" w:rsidR="008E67EA" w:rsidRDefault="008E67EA" w:rsidP="00B44A74">
            <w:pPr>
              <w:pStyle w:val="GazetteTableText"/>
            </w:pPr>
            <w:r>
              <w:t>D</w:t>
            </w:r>
            <w:r w:rsidRPr="00001A49">
              <w:t>ifenacoum</w:t>
            </w:r>
          </w:p>
        </w:tc>
        <w:tc>
          <w:tcPr>
            <w:tcW w:w="822" w:type="pct"/>
          </w:tcPr>
          <w:p w14:paraId="2A9F684F" w14:textId="77777777" w:rsidR="008E67EA" w:rsidRDefault="008E67EA" w:rsidP="00B44A74">
            <w:pPr>
              <w:pStyle w:val="GazetteTableText"/>
            </w:pPr>
            <w:r>
              <w:t>Commercial</w:t>
            </w:r>
          </w:p>
        </w:tc>
        <w:tc>
          <w:tcPr>
            <w:tcW w:w="970" w:type="pct"/>
          </w:tcPr>
          <w:p w14:paraId="407171CC" w14:textId="77777777" w:rsidR="008E67EA" w:rsidRDefault="008E67EA" w:rsidP="00B44A74">
            <w:pPr>
              <w:pStyle w:val="GazetteTableText"/>
            </w:pPr>
            <w:r w:rsidRPr="00AA105E">
              <w:t>RB 0.05 g/kg or less in sachet or place pack</w:t>
            </w:r>
          </w:p>
        </w:tc>
        <w:tc>
          <w:tcPr>
            <w:tcW w:w="498" w:type="pct"/>
          </w:tcPr>
          <w:p w14:paraId="5B276371" w14:textId="77777777" w:rsidR="008E67EA" w:rsidRDefault="008E67EA" w:rsidP="00B44A74">
            <w:pPr>
              <w:pStyle w:val="GazetteTableText"/>
            </w:pPr>
            <w:r w:rsidRPr="00745F0E">
              <w:t>2</w:t>
            </w:r>
            <w:r>
              <w:t>1</w:t>
            </w:r>
          </w:p>
        </w:tc>
      </w:tr>
      <w:tr w:rsidR="008E67EA" w14:paraId="3945FD04" w14:textId="77777777" w:rsidTr="00731415">
        <w:tc>
          <w:tcPr>
            <w:tcW w:w="601" w:type="pct"/>
          </w:tcPr>
          <w:p w14:paraId="677A340B" w14:textId="77777777" w:rsidR="008E67EA" w:rsidRDefault="008E67EA" w:rsidP="00B44A74">
            <w:pPr>
              <w:pStyle w:val="GazetteTableText"/>
            </w:pPr>
            <w:r w:rsidRPr="00D95DA9">
              <w:t>68760</w:t>
            </w:r>
          </w:p>
        </w:tc>
        <w:tc>
          <w:tcPr>
            <w:tcW w:w="1382" w:type="pct"/>
          </w:tcPr>
          <w:p w14:paraId="562B8627" w14:textId="77777777" w:rsidR="008E67EA" w:rsidRPr="00B75907" w:rsidRDefault="008E67EA" w:rsidP="00B44A74">
            <w:pPr>
              <w:pStyle w:val="GazetteTableText"/>
            </w:pPr>
            <w:r w:rsidRPr="00D95DA9">
              <w:t>Ratshot Reusable Baited Rat Kill Station</w:t>
            </w:r>
          </w:p>
        </w:tc>
        <w:tc>
          <w:tcPr>
            <w:tcW w:w="727" w:type="pct"/>
          </w:tcPr>
          <w:p w14:paraId="5EC65F2E" w14:textId="77777777" w:rsidR="008E67EA" w:rsidRDefault="008E67EA" w:rsidP="00B44A74">
            <w:pPr>
              <w:pStyle w:val="GazetteTableText"/>
            </w:pPr>
            <w:r>
              <w:t>D</w:t>
            </w:r>
            <w:r w:rsidRPr="00001A49">
              <w:t>ifenacoum</w:t>
            </w:r>
          </w:p>
        </w:tc>
        <w:tc>
          <w:tcPr>
            <w:tcW w:w="822" w:type="pct"/>
          </w:tcPr>
          <w:p w14:paraId="7B3E5FD1" w14:textId="77777777" w:rsidR="008E67EA" w:rsidRDefault="008E67EA" w:rsidP="00B44A74">
            <w:pPr>
              <w:pStyle w:val="GazetteTableText"/>
            </w:pPr>
            <w:r>
              <w:t>Domestic</w:t>
            </w:r>
          </w:p>
        </w:tc>
        <w:tc>
          <w:tcPr>
            <w:tcW w:w="970" w:type="pct"/>
          </w:tcPr>
          <w:p w14:paraId="22EEDBA6" w14:textId="77777777" w:rsidR="008E67EA" w:rsidRDefault="008E67EA" w:rsidP="00B44A74">
            <w:pPr>
              <w:pStyle w:val="GazetteTableText"/>
            </w:pPr>
            <w:r w:rsidRPr="00AA105E">
              <w:t>RB 0.05 g/kg or less in block formulation</w:t>
            </w:r>
          </w:p>
        </w:tc>
        <w:tc>
          <w:tcPr>
            <w:tcW w:w="498" w:type="pct"/>
          </w:tcPr>
          <w:p w14:paraId="406D398F" w14:textId="77777777" w:rsidR="008E67EA" w:rsidRDefault="008E67EA" w:rsidP="00B44A74">
            <w:pPr>
              <w:pStyle w:val="GazetteTableText"/>
            </w:pPr>
            <w:r w:rsidRPr="00A925F0">
              <w:t>2</w:t>
            </w:r>
            <w:r>
              <w:t>2</w:t>
            </w:r>
            <w:r w:rsidRPr="00A925F0">
              <w:t>a</w:t>
            </w:r>
          </w:p>
        </w:tc>
      </w:tr>
      <w:tr w:rsidR="008E67EA" w14:paraId="226C1A87" w14:textId="77777777" w:rsidTr="00731415">
        <w:tc>
          <w:tcPr>
            <w:tcW w:w="601" w:type="pct"/>
          </w:tcPr>
          <w:p w14:paraId="4D0842AB" w14:textId="77777777" w:rsidR="008E67EA" w:rsidRDefault="008E67EA" w:rsidP="00B44A74">
            <w:pPr>
              <w:pStyle w:val="GazetteTableText"/>
            </w:pPr>
            <w:r w:rsidRPr="00D95DA9">
              <w:t>68762</w:t>
            </w:r>
          </w:p>
        </w:tc>
        <w:tc>
          <w:tcPr>
            <w:tcW w:w="1382" w:type="pct"/>
          </w:tcPr>
          <w:p w14:paraId="50F26726" w14:textId="77777777" w:rsidR="008E67EA" w:rsidRPr="00B75907" w:rsidRDefault="008E67EA" w:rsidP="00B44A74">
            <w:pPr>
              <w:pStyle w:val="GazetteTableText"/>
            </w:pPr>
            <w:r w:rsidRPr="00D95DA9">
              <w:t>Ratshot Rodenticide Blocks</w:t>
            </w:r>
          </w:p>
        </w:tc>
        <w:tc>
          <w:tcPr>
            <w:tcW w:w="727" w:type="pct"/>
          </w:tcPr>
          <w:p w14:paraId="7E6BEC26" w14:textId="77777777" w:rsidR="008E67EA" w:rsidRDefault="008E67EA" w:rsidP="00B44A74">
            <w:pPr>
              <w:pStyle w:val="GazetteTableText"/>
            </w:pPr>
            <w:r>
              <w:t>D</w:t>
            </w:r>
            <w:r w:rsidRPr="00001A49">
              <w:t>ifenacoum</w:t>
            </w:r>
          </w:p>
        </w:tc>
        <w:tc>
          <w:tcPr>
            <w:tcW w:w="822" w:type="pct"/>
          </w:tcPr>
          <w:p w14:paraId="0D4F7BB9" w14:textId="77777777" w:rsidR="008E67EA" w:rsidRDefault="008E67EA" w:rsidP="00B44A74">
            <w:pPr>
              <w:pStyle w:val="GazetteTableText"/>
            </w:pPr>
            <w:r>
              <w:t>Commercial</w:t>
            </w:r>
          </w:p>
        </w:tc>
        <w:tc>
          <w:tcPr>
            <w:tcW w:w="970" w:type="pct"/>
          </w:tcPr>
          <w:p w14:paraId="3D4A1CE2" w14:textId="77777777" w:rsidR="008E67EA" w:rsidRDefault="008E67EA" w:rsidP="00B44A74">
            <w:pPr>
              <w:pStyle w:val="GazetteTableText"/>
            </w:pPr>
            <w:r w:rsidRPr="00AA105E">
              <w:t>RB 0.05 g/kg or less in block formulation</w:t>
            </w:r>
          </w:p>
        </w:tc>
        <w:tc>
          <w:tcPr>
            <w:tcW w:w="498" w:type="pct"/>
          </w:tcPr>
          <w:p w14:paraId="5F42D82D" w14:textId="77777777" w:rsidR="008E67EA" w:rsidRDefault="008E67EA" w:rsidP="00B44A74">
            <w:pPr>
              <w:pStyle w:val="GazetteTableText"/>
            </w:pPr>
            <w:r>
              <w:t>19</w:t>
            </w:r>
            <w:r w:rsidRPr="0079223E">
              <w:t>a</w:t>
            </w:r>
          </w:p>
        </w:tc>
      </w:tr>
      <w:tr w:rsidR="008E67EA" w14:paraId="443F88BB" w14:textId="77777777" w:rsidTr="00731415">
        <w:tc>
          <w:tcPr>
            <w:tcW w:w="601" w:type="pct"/>
          </w:tcPr>
          <w:p w14:paraId="28428144" w14:textId="77777777" w:rsidR="008E67EA" w:rsidRDefault="008E67EA" w:rsidP="00B44A74">
            <w:pPr>
              <w:pStyle w:val="GazetteTableText"/>
            </w:pPr>
            <w:r w:rsidRPr="00D95DA9">
              <w:t>68763</w:t>
            </w:r>
          </w:p>
        </w:tc>
        <w:tc>
          <w:tcPr>
            <w:tcW w:w="1382" w:type="pct"/>
          </w:tcPr>
          <w:p w14:paraId="1A65C77A" w14:textId="77777777" w:rsidR="008E67EA" w:rsidRPr="00B75907" w:rsidRDefault="008E67EA" w:rsidP="00B44A74">
            <w:pPr>
              <w:pStyle w:val="GazetteTableText"/>
            </w:pPr>
            <w:r w:rsidRPr="00D95DA9">
              <w:t>Ratshot Rat And Mouse Killer Paste</w:t>
            </w:r>
          </w:p>
        </w:tc>
        <w:tc>
          <w:tcPr>
            <w:tcW w:w="727" w:type="pct"/>
          </w:tcPr>
          <w:p w14:paraId="4DA24885" w14:textId="77777777" w:rsidR="008E67EA" w:rsidRDefault="008E67EA" w:rsidP="00B44A74">
            <w:pPr>
              <w:pStyle w:val="GazetteTableText"/>
            </w:pPr>
            <w:r>
              <w:t>D</w:t>
            </w:r>
            <w:r w:rsidRPr="00001A49">
              <w:t>ifenacoum</w:t>
            </w:r>
          </w:p>
        </w:tc>
        <w:tc>
          <w:tcPr>
            <w:tcW w:w="822" w:type="pct"/>
          </w:tcPr>
          <w:p w14:paraId="65C4EECE" w14:textId="77777777" w:rsidR="008E67EA" w:rsidRDefault="008E67EA" w:rsidP="00B44A74">
            <w:pPr>
              <w:pStyle w:val="GazetteTableText"/>
            </w:pPr>
            <w:r>
              <w:t>Domestic</w:t>
            </w:r>
          </w:p>
        </w:tc>
        <w:tc>
          <w:tcPr>
            <w:tcW w:w="970" w:type="pct"/>
          </w:tcPr>
          <w:p w14:paraId="4F0A4288" w14:textId="77777777" w:rsidR="008E67EA" w:rsidRDefault="008E67EA" w:rsidP="00B44A74">
            <w:pPr>
              <w:pStyle w:val="GazetteTableText"/>
            </w:pPr>
            <w:r w:rsidRPr="00AA105E">
              <w:t>RB 0.05 g/kg or less in sachet or place pack</w:t>
            </w:r>
          </w:p>
        </w:tc>
        <w:tc>
          <w:tcPr>
            <w:tcW w:w="498" w:type="pct"/>
          </w:tcPr>
          <w:p w14:paraId="57A7323F" w14:textId="77777777" w:rsidR="008E67EA" w:rsidRDefault="008E67EA" w:rsidP="00B44A74">
            <w:pPr>
              <w:pStyle w:val="GazetteTableText"/>
            </w:pPr>
            <w:r w:rsidRPr="00745F0E">
              <w:t>2</w:t>
            </w:r>
            <w:r>
              <w:t>3</w:t>
            </w:r>
            <w:r w:rsidRPr="00745F0E">
              <w:t>a</w:t>
            </w:r>
          </w:p>
        </w:tc>
      </w:tr>
      <w:tr w:rsidR="008E67EA" w14:paraId="17BBFF50" w14:textId="77777777" w:rsidTr="00731415">
        <w:tc>
          <w:tcPr>
            <w:tcW w:w="601" w:type="pct"/>
          </w:tcPr>
          <w:p w14:paraId="546D52B6" w14:textId="77777777" w:rsidR="008E67EA" w:rsidRDefault="008E67EA" w:rsidP="00B44A74">
            <w:pPr>
              <w:pStyle w:val="GazetteTableText"/>
            </w:pPr>
            <w:r w:rsidRPr="00D95DA9">
              <w:t>69347</w:t>
            </w:r>
          </w:p>
        </w:tc>
        <w:tc>
          <w:tcPr>
            <w:tcW w:w="1382" w:type="pct"/>
          </w:tcPr>
          <w:p w14:paraId="010AF5B9" w14:textId="77777777" w:rsidR="008E67EA" w:rsidRPr="00B75907" w:rsidRDefault="008E67EA" w:rsidP="00B44A74">
            <w:pPr>
              <w:pStyle w:val="GazetteTableText"/>
            </w:pPr>
            <w:r w:rsidRPr="00D95DA9">
              <w:t>Roban Rodenticide Grain Bait</w:t>
            </w:r>
          </w:p>
        </w:tc>
        <w:tc>
          <w:tcPr>
            <w:tcW w:w="727" w:type="pct"/>
          </w:tcPr>
          <w:p w14:paraId="1C817960" w14:textId="77777777" w:rsidR="008E67EA" w:rsidRDefault="008E67EA" w:rsidP="00B44A74">
            <w:pPr>
              <w:pStyle w:val="GazetteTableText"/>
            </w:pPr>
            <w:r>
              <w:t>D</w:t>
            </w:r>
            <w:r w:rsidRPr="00001A49">
              <w:t>ifenacoum</w:t>
            </w:r>
          </w:p>
        </w:tc>
        <w:tc>
          <w:tcPr>
            <w:tcW w:w="822" w:type="pct"/>
          </w:tcPr>
          <w:p w14:paraId="2E1A1013" w14:textId="77777777" w:rsidR="008E67EA" w:rsidRDefault="008E67EA" w:rsidP="00B44A74">
            <w:pPr>
              <w:pStyle w:val="GazetteTableText"/>
            </w:pPr>
            <w:r>
              <w:t>Commercial</w:t>
            </w:r>
          </w:p>
        </w:tc>
        <w:tc>
          <w:tcPr>
            <w:tcW w:w="970" w:type="pct"/>
          </w:tcPr>
          <w:p w14:paraId="38E770B9" w14:textId="77777777" w:rsidR="008E67EA" w:rsidRDefault="008E67EA" w:rsidP="00B44A74">
            <w:pPr>
              <w:pStyle w:val="GazetteTableText"/>
            </w:pPr>
            <w:r w:rsidRPr="00161C5F">
              <w:t>RB 0.05 g/kg or less in pellet formulation</w:t>
            </w:r>
          </w:p>
        </w:tc>
        <w:tc>
          <w:tcPr>
            <w:tcW w:w="498" w:type="pct"/>
          </w:tcPr>
          <w:p w14:paraId="21DC33CD" w14:textId="77777777" w:rsidR="008E67EA" w:rsidRDefault="008E67EA" w:rsidP="00B44A74">
            <w:pPr>
              <w:pStyle w:val="GazetteTableText"/>
            </w:pPr>
            <w:r w:rsidRPr="0079223E">
              <w:t>2</w:t>
            </w:r>
            <w:r>
              <w:t>0</w:t>
            </w:r>
          </w:p>
        </w:tc>
      </w:tr>
      <w:tr w:rsidR="008E67EA" w14:paraId="11EE8CA8" w14:textId="77777777" w:rsidTr="00731415">
        <w:tc>
          <w:tcPr>
            <w:tcW w:w="601" w:type="pct"/>
          </w:tcPr>
          <w:p w14:paraId="223E709D" w14:textId="77777777" w:rsidR="008E67EA" w:rsidRDefault="008E67EA" w:rsidP="00B44A74">
            <w:pPr>
              <w:pStyle w:val="GazetteTableText"/>
            </w:pPr>
            <w:r w:rsidRPr="00D95DA9">
              <w:t>69911</w:t>
            </w:r>
          </w:p>
        </w:tc>
        <w:tc>
          <w:tcPr>
            <w:tcW w:w="1382" w:type="pct"/>
          </w:tcPr>
          <w:p w14:paraId="5072F4A0" w14:textId="77777777" w:rsidR="008E67EA" w:rsidRPr="00B75907" w:rsidRDefault="008E67EA" w:rsidP="00B44A74">
            <w:pPr>
              <w:pStyle w:val="GazetteTableText"/>
            </w:pPr>
            <w:r w:rsidRPr="00D95DA9">
              <w:t>Surefire Difenate All Weather Blocks Rodenticide</w:t>
            </w:r>
          </w:p>
        </w:tc>
        <w:tc>
          <w:tcPr>
            <w:tcW w:w="727" w:type="pct"/>
          </w:tcPr>
          <w:p w14:paraId="651F83CD" w14:textId="77777777" w:rsidR="008E67EA" w:rsidRDefault="008E67EA" w:rsidP="00B44A74">
            <w:pPr>
              <w:pStyle w:val="GazetteTableText"/>
            </w:pPr>
            <w:r>
              <w:t>D</w:t>
            </w:r>
            <w:r w:rsidRPr="00001A49">
              <w:t>ifenacoum</w:t>
            </w:r>
          </w:p>
        </w:tc>
        <w:tc>
          <w:tcPr>
            <w:tcW w:w="822" w:type="pct"/>
          </w:tcPr>
          <w:p w14:paraId="05103BF9" w14:textId="77777777" w:rsidR="008E67EA" w:rsidRDefault="008E67EA" w:rsidP="00B44A74">
            <w:pPr>
              <w:pStyle w:val="GazetteTableText"/>
            </w:pPr>
            <w:r>
              <w:t>Commercial</w:t>
            </w:r>
          </w:p>
        </w:tc>
        <w:tc>
          <w:tcPr>
            <w:tcW w:w="970" w:type="pct"/>
          </w:tcPr>
          <w:p w14:paraId="5AD97388" w14:textId="77777777" w:rsidR="008E67EA" w:rsidRDefault="008E67EA" w:rsidP="00B44A74">
            <w:pPr>
              <w:pStyle w:val="GazetteTableText"/>
            </w:pPr>
            <w:r w:rsidRPr="00AA105E">
              <w:t>RB 0.05 g/kg or less in block formulation</w:t>
            </w:r>
          </w:p>
        </w:tc>
        <w:tc>
          <w:tcPr>
            <w:tcW w:w="498" w:type="pct"/>
          </w:tcPr>
          <w:p w14:paraId="63320B76" w14:textId="77777777" w:rsidR="008E67EA" w:rsidRDefault="008E67EA" w:rsidP="00B44A74">
            <w:pPr>
              <w:pStyle w:val="GazetteTableText"/>
            </w:pPr>
            <w:r>
              <w:t>19</w:t>
            </w:r>
            <w:r w:rsidRPr="0079223E">
              <w:t>a</w:t>
            </w:r>
          </w:p>
        </w:tc>
      </w:tr>
      <w:tr w:rsidR="008E67EA" w14:paraId="1FECBF41" w14:textId="77777777" w:rsidTr="00731415">
        <w:tc>
          <w:tcPr>
            <w:tcW w:w="601" w:type="pct"/>
          </w:tcPr>
          <w:p w14:paraId="0796B3E5" w14:textId="77777777" w:rsidR="008E67EA" w:rsidRDefault="008E67EA" w:rsidP="00B44A74">
            <w:pPr>
              <w:pStyle w:val="GazetteTableText"/>
            </w:pPr>
            <w:r w:rsidRPr="00D95DA9">
              <w:t>80124</w:t>
            </w:r>
          </w:p>
        </w:tc>
        <w:tc>
          <w:tcPr>
            <w:tcW w:w="1382" w:type="pct"/>
          </w:tcPr>
          <w:p w14:paraId="3B8007C5" w14:textId="77777777" w:rsidR="008E67EA" w:rsidRPr="00B75907" w:rsidRDefault="008E67EA" w:rsidP="00B44A74">
            <w:pPr>
              <w:pStyle w:val="GazetteTableText"/>
            </w:pPr>
            <w:r w:rsidRPr="00D95DA9">
              <w:t>All Weather PCT Pro Formula Blocks Rodenticide</w:t>
            </w:r>
          </w:p>
        </w:tc>
        <w:tc>
          <w:tcPr>
            <w:tcW w:w="727" w:type="pct"/>
          </w:tcPr>
          <w:p w14:paraId="39B6F785" w14:textId="77777777" w:rsidR="008E67EA" w:rsidRDefault="008E67EA" w:rsidP="00B44A74">
            <w:pPr>
              <w:pStyle w:val="GazetteTableText"/>
            </w:pPr>
            <w:r>
              <w:t>D</w:t>
            </w:r>
            <w:r w:rsidRPr="00001A49">
              <w:t>ifenacoum</w:t>
            </w:r>
          </w:p>
        </w:tc>
        <w:tc>
          <w:tcPr>
            <w:tcW w:w="822" w:type="pct"/>
          </w:tcPr>
          <w:p w14:paraId="3B4272D2" w14:textId="77777777" w:rsidR="008E67EA" w:rsidRDefault="008E67EA" w:rsidP="00B44A74">
            <w:pPr>
              <w:pStyle w:val="GazetteTableText"/>
            </w:pPr>
            <w:r>
              <w:t>Commercial</w:t>
            </w:r>
          </w:p>
        </w:tc>
        <w:tc>
          <w:tcPr>
            <w:tcW w:w="970" w:type="pct"/>
          </w:tcPr>
          <w:p w14:paraId="7F3BC365" w14:textId="77777777" w:rsidR="008E67EA" w:rsidRDefault="008E67EA" w:rsidP="00B44A74">
            <w:pPr>
              <w:pStyle w:val="GazetteTableText"/>
            </w:pPr>
            <w:r w:rsidRPr="00AA105E">
              <w:t>RB 0.05 g/kg or less in block formulation</w:t>
            </w:r>
          </w:p>
        </w:tc>
        <w:tc>
          <w:tcPr>
            <w:tcW w:w="498" w:type="pct"/>
          </w:tcPr>
          <w:p w14:paraId="32C3E31E" w14:textId="77777777" w:rsidR="008E67EA" w:rsidRDefault="008E67EA" w:rsidP="00B44A74">
            <w:pPr>
              <w:pStyle w:val="GazetteTableText"/>
            </w:pPr>
            <w:r>
              <w:t>19</w:t>
            </w:r>
            <w:r w:rsidRPr="0079223E">
              <w:t>a</w:t>
            </w:r>
          </w:p>
        </w:tc>
      </w:tr>
      <w:tr w:rsidR="008E67EA" w14:paraId="2E7FEFD4" w14:textId="77777777" w:rsidTr="00731415">
        <w:tc>
          <w:tcPr>
            <w:tcW w:w="601" w:type="pct"/>
          </w:tcPr>
          <w:p w14:paraId="5871F3C8" w14:textId="77777777" w:rsidR="008E67EA" w:rsidRDefault="008E67EA" w:rsidP="00B44A74">
            <w:pPr>
              <w:pStyle w:val="GazetteTableText"/>
            </w:pPr>
            <w:r w:rsidRPr="00D95DA9">
              <w:t>80667</w:t>
            </w:r>
          </w:p>
        </w:tc>
        <w:tc>
          <w:tcPr>
            <w:tcW w:w="1382" w:type="pct"/>
          </w:tcPr>
          <w:p w14:paraId="26A23153" w14:textId="77777777" w:rsidR="008E67EA" w:rsidRPr="00B75907" w:rsidRDefault="008E67EA" w:rsidP="00B44A74">
            <w:pPr>
              <w:pStyle w:val="GazetteTableText"/>
            </w:pPr>
            <w:r w:rsidRPr="00D95DA9">
              <w:t>Ratshot-G Rodenticide Grain Bait</w:t>
            </w:r>
          </w:p>
        </w:tc>
        <w:tc>
          <w:tcPr>
            <w:tcW w:w="727" w:type="pct"/>
          </w:tcPr>
          <w:p w14:paraId="374B05AF" w14:textId="77777777" w:rsidR="008E67EA" w:rsidRDefault="008E67EA" w:rsidP="00B44A74">
            <w:pPr>
              <w:pStyle w:val="GazetteTableText"/>
            </w:pPr>
            <w:r>
              <w:t>D</w:t>
            </w:r>
            <w:r w:rsidRPr="00001A49">
              <w:t>ifenacoum</w:t>
            </w:r>
          </w:p>
        </w:tc>
        <w:tc>
          <w:tcPr>
            <w:tcW w:w="822" w:type="pct"/>
          </w:tcPr>
          <w:p w14:paraId="5425DDD2" w14:textId="77777777" w:rsidR="008E67EA" w:rsidRDefault="008E67EA" w:rsidP="00B44A74">
            <w:pPr>
              <w:pStyle w:val="GazetteTableText"/>
            </w:pPr>
            <w:r>
              <w:t>Commercial</w:t>
            </w:r>
          </w:p>
        </w:tc>
        <w:tc>
          <w:tcPr>
            <w:tcW w:w="970" w:type="pct"/>
          </w:tcPr>
          <w:p w14:paraId="4BBB938F" w14:textId="77777777" w:rsidR="008E67EA" w:rsidRDefault="008E67EA" w:rsidP="00B44A74">
            <w:pPr>
              <w:pStyle w:val="GazetteTableText"/>
            </w:pPr>
            <w:r w:rsidRPr="00161C5F">
              <w:t>RB 0.05 g/kg or less in pellet formulation</w:t>
            </w:r>
          </w:p>
        </w:tc>
        <w:tc>
          <w:tcPr>
            <w:tcW w:w="498" w:type="pct"/>
          </w:tcPr>
          <w:p w14:paraId="7618BFB8" w14:textId="77777777" w:rsidR="008E67EA" w:rsidRDefault="008E67EA" w:rsidP="00B44A74">
            <w:pPr>
              <w:pStyle w:val="GazetteTableText"/>
            </w:pPr>
            <w:r w:rsidRPr="0079223E">
              <w:t>2</w:t>
            </w:r>
            <w:r>
              <w:t>0</w:t>
            </w:r>
          </w:p>
        </w:tc>
      </w:tr>
      <w:tr w:rsidR="008E67EA" w14:paraId="52417AB9" w14:textId="77777777" w:rsidTr="00731415">
        <w:tc>
          <w:tcPr>
            <w:tcW w:w="601" w:type="pct"/>
          </w:tcPr>
          <w:p w14:paraId="7D2066C3" w14:textId="77777777" w:rsidR="008E67EA" w:rsidRDefault="008E67EA" w:rsidP="00B44A74">
            <w:pPr>
              <w:pStyle w:val="GazetteTableText"/>
            </w:pPr>
            <w:r w:rsidRPr="00D95DA9">
              <w:t>85512</w:t>
            </w:r>
          </w:p>
        </w:tc>
        <w:tc>
          <w:tcPr>
            <w:tcW w:w="1382" w:type="pct"/>
          </w:tcPr>
          <w:p w14:paraId="5F13435E" w14:textId="77777777" w:rsidR="008E67EA" w:rsidRPr="00B75907" w:rsidRDefault="008E67EA" w:rsidP="00B44A74">
            <w:pPr>
              <w:pStyle w:val="GazetteTableText"/>
            </w:pPr>
            <w:r w:rsidRPr="00D95DA9">
              <w:t>Amgrow Patrol All Weather Blocks Rodenticide</w:t>
            </w:r>
          </w:p>
        </w:tc>
        <w:tc>
          <w:tcPr>
            <w:tcW w:w="727" w:type="pct"/>
          </w:tcPr>
          <w:p w14:paraId="010C6929" w14:textId="77777777" w:rsidR="008E67EA" w:rsidRDefault="008E67EA" w:rsidP="00B44A74">
            <w:pPr>
              <w:pStyle w:val="GazetteTableText"/>
            </w:pPr>
            <w:r>
              <w:t>D</w:t>
            </w:r>
            <w:r w:rsidRPr="00001A49">
              <w:t>ifenacoum</w:t>
            </w:r>
          </w:p>
        </w:tc>
        <w:tc>
          <w:tcPr>
            <w:tcW w:w="822" w:type="pct"/>
          </w:tcPr>
          <w:p w14:paraId="542AEE9C" w14:textId="77777777" w:rsidR="008E67EA" w:rsidRDefault="008E67EA" w:rsidP="00B44A74">
            <w:pPr>
              <w:pStyle w:val="GazetteTableText"/>
            </w:pPr>
            <w:r>
              <w:t>Commercial</w:t>
            </w:r>
          </w:p>
        </w:tc>
        <w:tc>
          <w:tcPr>
            <w:tcW w:w="970" w:type="pct"/>
          </w:tcPr>
          <w:p w14:paraId="0E10B0AA" w14:textId="77777777" w:rsidR="008E67EA" w:rsidRDefault="008E67EA" w:rsidP="00B44A74">
            <w:pPr>
              <w:pStyle w:val="GazetteTableText"/>
            </w:pPr>
            <w:r w:rsidRPr="00AA105E">
              <w:t>RB 0.05 g/kg or less in block formulation</w:t>
            </w:r>
          </w:p>
        </w:tc>
        <w:tc>
          <w:tcPr>
            <w:tcW w:w="498" w:type="pct"/>
          </w:tcPr>
          <w:p w14:paraId="31562E78" w14:textId="77777777" w:rsidR="008E67EA" w:rsidRDefault="008E67EA" w:rsidP="00B44A74">
            <w:pPr>
              <w:pStyle w:val="GazetteTableText"/>
            </w:pPr>
            <w:r>
              <w:t>19</w:t>
            </w:r>
            <w:r w:rsidRPr="0079223E">
              <w:t>a</w:t>
            </w:r>
          </w:p>
        </w:tc>
      </w:tr>
      <w:tr w:rsidR="008E67EA" w14:paraId="727C8CDC" w14:textId="77777777" w:rsidTr="00731415">
        <w:tc>
          <w:tcPr>
            <w:tcW w:w="601" w:type="pct"/>
          </w:tcPr>
          <w:p w14:paraId="350DEFD6" w14:textId="77777777" w:rsidR="008E67EA" w:rsidRDefault="008E67EA" w:rsidP="00B44A74">
            <w:pPr>
              <w:pStyle w:val="GazetteTableText"/>
            </w:pPr>
            <w:r w:rsidRPr="00D95DA9">
              <w:t>87869</w:t>
            </w:r>
          </w:p>
        </w:tc>
        <w:tc>
          <w:tcPr>
            <w:tcW w:w="1382" w:type="pct"/>
          </w:tcPr>
          <w:p w14:paraId="72B6BC68" w14:textId="77777777" w:rsidR="008E67EA" w:rsidRPr="00B75907" w:rsidRDefault="008E67EA" w:rsidP="00B44A74">
            <w:pPr>
              <w:pStyle w:val="GazetteTableText"/>
            </w:pPr>
            <w:r w:rsidRPr="00D95DA9">
              <w:t>The Big Cheese Home Choice All Weather Block Bait</w:t>
            </w:r>
          </w:p>
        </w:tc>
        <w:tc>
          <w:tcPr>
            <w:tcW w:w="727" w:type="pct"/>
          </w:tcPr>
          <w:p w14:paraId="6766CF8D" w14:textId="77777777" w:rsidR="008E67EA" w:rsidRDefault="008E67EA" w:rsidP="00B44A74">
            <w:pPr>
              <w:pStyle w:val="GazetteTableText"/>
            </w:pPr>
            <w:r>
              <w:t>D</w:t>
            </w:r>
            <w:r w:rsidRPr="00001A49">
              <w:t>ifenacoum</w:t>
            </w:r>
          </w:p>
        </w:tc>
        <w:tc>
          <w:tcPr>
            <w:tcW w:w="822" w:type="pct"/>
          </w:tcPr>
          <w:p w14:paraId="6E35321B" w14:textId="77777777" w:rsidR="008E67EA" w:rsidRDefault="008E67EA" w:rsidP="00B44A74">
            <w:pPr>
              <w:pStyle w:val="GazetteTableText"/>
            </w:pPr>
            <w:r>
              <w:t>Domestic</w:t>
            </w:r>
          </w:p>
        </w:tc>
        <w:tc>
          <w:tcPr>
            <w:tcW w:w="970" w:type="pct"/>
          </w:tcPr>
          <w:p w14:paraId="09D02681" w14:textId="77777777" w:rsidR="008E67EA" w:rsidRDefault="008E67EA" w:rsidP="00B44A74">
            <w:pPr>
              <w:pStyle w:val="GazetteTableText"/>
            </w:pPr>
            <w:r w:rsidRPr="00AA105E">
              <w:t>RB 0.05 g/kg or less in block formulation</w:t>
            </w:r>
          </w:p>
        </w:tc>
        <w:tc>
          <w:tcPr>
            <w:tcW w:w="498" w:type="pct"/>
          </w:tcPr>
          <w:p w14:paraId="1161DD89" w14:textId="77777777" w:rsidR="008E67EA" w:rsidRDefault="008E67EA" w:rsidP="00B44A74">
            <w:pPr>
              <w:pStyle w:val="GazetteTableText"/>
            </w:pPr>
            <w:r w:rsidRPr="00313192">
              <w:t>2</w:t>
            </w:r>
            <w:r>
              <w:t>2</w:t>
            </w:r>
            <w:r w:rsidRPr="00313192">
              <w:t>d</w:t>
            </w:r>
          </w:p>
        </w:tc>
      </w:tr>
      <w:tr w:rsidR="008E67EA" w14:paraId="61E768A3" w14:textId="77777777" w:rsidTr="00731415">
        <w:tc>
          <w:tcPr>
            <w:tcW w:w="601" w:type="pct"/>
          </w:tcPr>
          <w:p w14:paraId="2F34C7B0" w14:textId="77777777" w:rsidR="008E67EA" w:rsidRDefault="008E67EA" w:rsidP="00B44A74">
            <w:pPr>
              <w:pStyle w:val="GazetteTableText"/>
            </w:pPr>
            <w:r w:rsidRPr="00D95DA9">
              <w:t>87870</w:t>
            </w:r>
          </w:p>
        </w:tc>
        <w:tc>
          <w:tcPr>
            <w:tcW w:w="1382" w:type="pct"/>
          </w:tcPr>
          <w:p w14:paraId="16DD76D8" w14:textId="77777777" w:rsidR="008E67EA" w:rsidRPr="00B75907" w:rsidRDefault="008E67EA" w:rsidP="00B44A74">
            <w:pPr>
              <w:pStyle w:val="GazetteTableText"/>
            </w:pPr>
            <w:r w:rsidRPr="00D95DA9">
              <w:t>The Big Cheese Home Choice Rat &amp; Mouse Kill Throw Packs</w:t>
            </w:r>
          </w:p>
        </w:tc>
        <w:tc>
          <w:tcPr>
            <w:tcW w:w="727" w:type="pct"/>
          </w:tcPr>
          <w:p w14:paraId="4924F005" w14:textId="77777777" w:rsidR="008E67EA" w:rsidRDefault="008E67EA" w:rsidP="00B44A74">
            <w:pPr>
              <w:pStyle w:val="GazetteTableText"/>
            </w:pPr>
            <w:r>
              <w:t>D</w:t>
            </w:r>
            <w:r w:rsidRPr="00001A49">
              <w:t>ifenacoum</w:t>
            </w:r>
          </w:p>
        </w:tc>
        <w:tc>
          <w:tcPr>
            <w:tcW w:w="822" w:type="pct"/>
          </w:tcPr>
          <w:p w14:paraId="2918C875" w14:textId="77777777" w:rsidR="008E67EA" w:rsidRDefault="008E67EA" w:rsidP="00B44A74">
            <w:pPr>
              <w:pStyle w:val="GazetteTableText"/>
            </w:pPr>
            <w:r>
              <w:t>Domestic</w:t>
            </w:r>
          </w:p>
        </w:tc>
        <w:tc>
          <w:tcPr>
            <w:tcW w:w="970" w:type="pct"/>
          </w:tcPr>
          <w:p w14:paraId="36CF05C6" w14:textId="77777777" w:rsidR="008E67EA" w:rsidRDefault="008E67EA" w:rsidP="00B44A74">
            <w:pPr>
              <w:pStyle w:val="GazetteTableText"/>
            </w:pPr>
            <w:r w:rsidRPr="00AA105E">
              <w:t>RB 0.05 g/kg or less in sachet or place pack</w:t>
            </w:r>
          </w:p>
        </w:tc>
        <w:tc>
          <w:tcPr>
            <w:tcW w:w="498" w:type="pct"/>
          </w:tcPr>
          <w:p w14:paraId="3F1D4B88" w14:textId="77777777" w:rsidR="008E67EA" w:rsidRDefault="008E67EA" w:rsidP="00B44A74">
            <w:pPr>
              <w:pStyle w:val="GazetteTableText"/>
            </w:pPr>
            <w:r w:rsidRPr="00745F0E">
              <w:t>2</w:t>
            </w:r>
            <w:r>
              <w:t>3</w:t>
            </w:r>
            <w:r w:rsidRPr="00745F0E">
              <w:t>b</w:t>
            </w:r>
          </w:p>
        </w:tc>
      </w:tr>
      <w:tr w:rsidR="008E67EA" w14:paraId="1FC2E8A6" w14:textId="77777777" w:rsidTr="00731415">
        <w:tc>
          <w:tcPr>
            <w:tcW w:w="601" w:type="pct"/>
          </w:tcPr>
          <w:p w14:paraId="05A612F4" w14:textId="77777777" w:rsidR="008E67EA" w:rsidRDefault="008E67EA" w:rsidP="00B44A74">
            <w:pPr>
              <w:pStyle w:val="GazetteTableText"/>
            </w:pPr>
            <w:r w:rsidRPr="00D95DA9">
              <w:t>89203</w:t>
            </w:r>
          </w:p>
        </w:tc>
        <w:tc>
          <w:tcPr>
            <w:tcW w:w="1382" w:type="pct"/>
          </w:tcPr>
          <w:p w14:paraId="4F31D708" w14:textId="77777777" w:rsidR="008E67EA" w:rsidRPr="00B75907" w:rsidRDefault="008E67EA" w:rsidP="00B44A74">
            <w:pPr>
              <w:pStyle w:val="GazetteTableText"/>
            </w:pPr>
            <w:r w:rsidRPr="00D95DA9">
              <w:t>The Big Cheese Home Choice Rat &amp; Mouse Killer Ready to Use Bait Station</w:t>
            </w:r>
          </w:p>
        </w:tc>
        <w:tc>
          <w:tcPr>
            <w:tcW w:w="727" w:type="pct"/>
          </w:tcPr>
          <w:p w14:paraId="4613372E" w14:textId="77777777" w:rsidR="008E67EA" w:rsidRDefault="008E67EA" w:rsidP="00B44A74">
            <w:pPr>
              <w:pStyle w:val="GazetteTableText"/>
            </w:pPr>
            <w:r>
              <w:t>D</w:t>
            </w:r>
            <w:r w:rsidRPr="00001A49">
              <w:t>ifenacoum</w:t>
            </w:r>
          </w:p>
        </w:tc>
        <w:tc>
          <w:tcPr>
            <w:tcW w:w="822" w:type="pct"/>
          </w:tcPr>
          <w:p w14:paraId="6A38C16A" w14:textId="77777777" w:rsidR="008E67EA" w:rsidRDefault="008E67EA" w:rsidP="00B44A74">
            <w:pPr>
              <w:pStyle w:val="GazetteTableText"/>
            </w:pPr>
            <w:r>
              <w:t>Domestic</w:t>
            </w:r>
          </w:p>
        </w:tc>
        <w:tc>
          <w:tcPr>
            <w:tcW w:w="970" w:type="pct"/>
          </w:tcPr>
          <w:p w14:paraId="1E60FA51" w14:textId="77777777" w:rsidR="008E67EA" w:rsidRDefault="008E67EA" w:rsidP="00B44A74">
            <w:pPr>
              <w:pStyle w:val="GazetteTableText"/>
            </w:pPr>
            <w:r w:rsidRPr="00AA105E">
              <w:t>RB 0.05 g/kg or less in sachet or place pack</w:t>
            </w:r>
          </w:p>
        </w:tc>
        <w:tc>
          <w:tcPr>
            <w:tcW w:w="498" w:type="pct"/>
          </w:tcPr>
          <w:p w14:paraId="096FC41B" w14:textId="77777777" w:rsidR="008E67EA" w:rsidRDefault="008E67EA" w:rsidP="00B44A74">
            <w:pPr>
              <w:pStyle w:val="GazetteTableText"/>
            </w:pPr>
            <w:r w:rsidRPr="00745F0E">
              <w:t>2</w:t>
            </w:r>
            <w:r>
              <w:t>3</w:t>
            </w:r>
            <w:r w:rsidRPr="00745F0E">
              <w:t>b</w:t>
            </w:r>
          </w:p>
        </w:tc>
      </w:tr>
      <w:tr w:rsidR="008E67EA" w14:paraId="57685EB8" w14:textId="77777777" w:rsidTr="00731415">
        <w:tc>
          <w:tcPr>
            <w:tcW w:w="601" w:type="pct"/>
          </w:tcPr>
          <w:p w14:paraId="1363DB8F" w14:textId="77777777" w:rsidR="008E67EA" w:rsidRDefault="008E67EA" w:rsidP="00B44A74">
            <w:pPr>
              <w:pStyle w:val="GazetteTableText"/>
            </w:pPr>
            <w:r w:rsidRPr="00D95DA9">
              <w:t>89204</w:t>
            </w:r>
          </w:p>
        </w:tc>
        <w:tc>
          <w:tcPr>
            <w:tcW w:w="1382" w:type="pct"/>
          </w:tcPr>
          <w:p w14:paraId="78EAB9B7" w14:textId="77777777" w:rsidR="008E67EA" w:rsidRPr="00B75907" w:rsidRDefault="008E67EA" w:rsidP="00B44A74">
            <w:pPr>
              <w:pStyle w:val="GazetteTableText"/>
            </w:pPr>
            <w:r w:rsidRPr="00D95DA9">
              <w:t>The Big Cheese Home Choice Mouse Killer Bait Station</w:t>
            </w:r>
          </w:p>
        </w:tc>
        <w:tc>
          <w:tcPr>
            <w:tcW w:w="727" w:type="pct"/>
          </w:tcPr>
          <w:p w14:paraId="5FE3873B" w14:textId="77777777" w:rsidR="008E67EA" w:rsidRDefault="008E67EA" w:rsidP="00B44A74">
            <w:pPr>
              <w:pStyle w:val="GazetteTableText"/>
            </w:pPr>
            <w:r>
              <w:t>D</w:t>
            </w:r>
            <w:r w:rsidRPr="00001A49">
              <w:t>ifenacoum</w:t>
            </w:r>
          </w:p>
        </w:tc>
        <w:tc>
          <w:tcPr>
            <w:tcW w:w="822" w:type="pct"/>
          </w:tcPr>
          <w:p w14:paraId="36C7D60D" w14:textId="77777777" w:rsidR="008E67EA" w:rsidRDefault="008E67EA" w:rsidP="00B44A74">
            <w:pPr>
              <w:pStyle w:val="GazetteTableText"/>
            </w:pPr>
            <w:r>
              <w:t>Domestic</w:t>
            </w:r>
          </w:p>
        </w:tc>
        <w:tc>
          <w:tcPr>
            <w:tcW w:w="970" w:type="pct"/>
          </w:tcPr>
          <w:p w14:paraId="2B6B6E9D" w14:textId="77777777" w:rsidR="008E67EA" w:rsidRDefault="008E67EA" w:rsidP="00B44A74">
            <w:pPr>
              <w:pStyle w:val="GazetteTableText"/>
            </w:pPr>
            <w:r w:rsidRPr="00AA105E">
              <w:t>RB 0.05 g/kg or less in block formulation</w:t>
            </w:r>
          </w:p>
        </w:tc>
        <w:tc>
          <w:tcPr>
            <w:tcW w:w="498" w:type="pct"/>
          </w:tcPr>
          <w:p w14:paraId="537F5839" w14:textId="77777777" w:rsidR="008E67EA" w:rsidRDefault="008E67EA" w:rsidP="00B44A74">
            <w:pPr>
              <w:pStyle w:val="GazetteTableText"/>
            </w:pPr>
            <w:r w:rsidRPr="00313192">
              <w:t>2</w:t>
            </w:r>
            <w:r>
              <w:t>2</w:t>
            </w:r>
            <w:r w:rsidRPr="00313192">
              <w:t>e</w:t>
            </w:r>
          </w:p>
        </w:tc>
      </w:tr>
      <w:tr w:rsidR="008E67EA" w14:paraId="6CD58FA8" w14:textId="77777777" w:rsidTr="00731415">
        <w:tc>
          <w:tcPr>
            <w:tcW w:w="601" w:type="pct"/>
          </w:tcPr>
          <w:p w14:paraId="5A0694C8" w14:textId="77777777" w:rsidR="008E67EA" w:rsidRDefault="008E67EA" w:rsidP="00B44A74">
            <w:pPr>
              <w:pStyle w:val="GazetteTableText"/>
            </w:pPr>
            <w:r w:rsidRPr="00D95DA9">
              <w:t>89206</w:t>
            </w:r>
          </w:p>
        </w:tc>
        <w:tc>
          <w:tcPr>
            <w:tcW w:w="1382" w:type="pct"/>
          </w:tcPr>
          <w:p w14:paraId="498691A0" w14:textId="77777777" w:rsidR="008E67EA" w:rsidRPr="00B75907" w:rsidRDefault="008E67EA" w:rsidP="00B44A74">
            <w:pPr>
              <w:pStyle w:val="GazetteTableText"/>
            </w:pPr>
            <w:r w:rsidRPr="00D95DA9">
              <w:t>The Big Cheese Home Choice Rat Killer Bait Station</w:t>
            </w:r>
          </w:p>
        </w:tc>
        <w:tc>
          <w:tcPr>
            <w:tcW w:w="727" w:type="pct"/>
          </w:tcPr>
          <w:p w14:paraId="4A8D8037" w14:textId="77777777" w:rsidR="008E67EA" w:rsidRDefault="008E67EA" w:rsidP="00B44A74">
            <w:pPr>
              <w:pStyle w:val="GazetteTableText"/>
            </w:pPr>
            <w:r>
              <w:t>D</w:t>
            </w:r>
            <w:r w:rsidRPr="00001A49">
              <w:t>ifenacoum</w:t>
            </w:r>
          </w:p>
        </w:tc>
        <w:tc>
          <w:tcPr>
            <w:tcW w:w="822" w:type="pct"/>
          </w:tcPr>
          <w:p w14:paraId="317C96B2" w14:textId="77777777" w:rsidR="008E67EA" w:rsidRDefault="008E67EA" w:rsidP="00B44A74">
            <w:pPr>
              <w:pStyle w:val="GazetteTableText"/>
            </w:pPr>
            <w:r>
              <w:t>Domestic</w:t>
            </w:r>
          </w:p>
        </w:tc>
        <w:tc>
          <w:tcPr>
            <w:tcW w:w="970" w:type="pct"/>
          </w:tcPr>
          <w:p w14:paraId="13AE06E7" w14:textId="77777777" w:rsidR="008E67EA" w:rsidRDefault="008E67EA" w:rsidP="00B44A74">
            <w:pPr>
              <w:pStyle w:val="GazetteTableText"/>
            </w:pPr>
            <w:r w:rsidRPr="00AA105E">
              <w:t>RB 0.05 g/kg or less in block formulation</w:t>
            </w:r>
          </w:p>
        </w:tc>
        <w:tc>
          <w:tcPr>
            <w:tcW w:w="498" w:type="pct"/>
          </w:tcPr>
          <w:p w14:paraId="164B9666" w14:textId="77777777" w:rsidR="008E67EA" w:rsidRDefault="008E67EA" w:rsidP="00B44A74">
            <w:pPr>
              <w:pStyle w:val="GazetteTableText"/>
            </w:pPr>
            <w:r w:rsidRPr="00313192">
              <w:t>2</w:t>
            </w:r>
            <w:r>
              <w:t>2</w:t>
            </w:r>
            <w:r w:rsidRPr="00313192">
              <w:t>c</w:t>
            </w:r>
          </w:p>
        </w:tc>
      </w:tr>
      <w:tr w:rsidR="008E67EA" w14:paraId="6A205AE5" w14:textId="77777777" w:rsidTr="00731415">
        <w:tc>
          <w:tcPr>
            <w:tcW w:w="601" w:type="pct"/>
          </w:tcPr>
          <w:p w14:paraId="57F5209B" w14:textId="77777777" w:rsidR="008E67EA" w:rsidRDefault="008E67EA" w:rsidP="00B44A74">
            <w:pPr>
              <w:pStyle w:val="GazetteTableText"/>
            </w:pPr>
            <w:r w:rsidRPr="00D95DA9">
              <w:t>89510</w:t>
            </w:r>
          </w:p>
        </w:tc>
        <w:tc>
          <w:tcPr>
            <w:tcW w:w="1382" w:type="pct"/>
          </w:tcPr>
          <w:p w14:paraId="71F0CED2" w14:textId="77777777" w:rsidR="008E67EA" w:rsidRPr="00B75907" w:rsidRDefault="008E67EA" w:rsidP="00B44A74">
            <w:pPr>
              <w:pStyle w:val="GazetteTableText"/>
            </w:pPr>
            <w:r w:rsidRPr="00D95DA9">
              <w:t>Surefire Difenate Paste Bait Rodenticide</w:t>
            </w:r>
          </w:p>
        </w:tc>
        <w:tc>
          <w:tcPr>
            <w:tcW w:w="727" w:type="pct"/>
          </w:tcPr>
          <w:p w14:paraId="3E3B3970" w14:textId="77777777" w:rsidR="008E67EA" w:rsidRDefault="008E67EA" w:rsidP="00B44A74">
            <w:pPr>
              <w:pStyle w:val="GazetteTableText"/>
            </w:pPr>
            <w:r>
              <w:t>D</w:t>
            </w:r>
            <w:r w:rsidRPr="00001A49">
              <w:t>ifenacoum</w:t>
            </w:r>
          </w:p>
        </w:tc>
        <w:tc>
          <w:tcPr>
            <w:tcW w:w="822" w:type="pct"/>
          </w:tcPr>
          <w:p w14:paraId="01174DF1" w14:textId="77777777" w:rsidR="008E67EA" w:rsidRDefault="008E67EA" w:rsidP="00B44A74">
            <w:pPr>
              <w:pStyle w:val="GazetteTableText"/>
            </w:pPr>
            <w:r>
              <w:t>Commercial</w:t>
            </w:r>
          </w:p>
        </w:tc>
        <w:tc>
          <w:tcPr>
            <w:tcW w:w="970" w:type="pct"/>
          </w:tcPr>
          <w:p w14:paraId="7615B844" w14:textId="77777777" w:rsidR="008E67EA" w:rsidRDefault="008E67EA" w:rsidP="00B44A74">
            <w:pPr>
              <w:pStyle w:val="GazetteTableText"/>
            </w:pPr>
            <w:r w:rsidRPr="00AA105E">
              <w:t>RB 0.05 g/kg or less in sachet or place pack</w:t>
            </w:r>
          </w:p>
        </w:tc>
        <w:tc>
          <w:tcPr>
            <w:tcW w:w="498" w:type="pct"/>
          </w:tcPr>
          <w:p w14:paraId="3A4AFEDE" w14:textId="77777777" w:rsidR="008E67EA" w:rsidRDefault="008E67EA" w:rsidP="00B44A74">
            <w:pPr>
              <w:pStyle w:val="GazetteTableText"/>
            </w:pPr>
            <w:r w:rsidRPr="00745F0E">
              <w:t>2</w:t>
            </w:r>
            <w:r>
              <w:t>1</w:t>
            </w:r>
          </w:p>
        </w:tc>
      </w:tr>
      <w:tr w:rsidR="008E67EA" w14:paraId="4FE576E0" w14:textId="77777777" w:rsidTr="00731415">
        <w:tc>
          <w:tcPr>
            <w:tcW w:w="601" w:type="pct"/>
          </w:tcPr>
          <w:p w14:paraId="764BF1A2" w14:textId="77777777" w:rsidR="008E67EA" w:rsidRDefault="008E67EA" w:rsidP="00B44A74">
            <w:pPr>
              <w:pStyle w:val="GazetteTableText"/>
            </w:pPr>
            <w:r w:rsidRPr="00D95DA9">
              <w:t>89556</w:t>
            </w:r>
          </w:p>
        </w:tc>
        <w:tc>
          <w:tcPr>
            <w:tcW w:w="1382" w:type="pct"/>
          </w:tcPr>
          <w:p w14:paraId="5A81CA03" w14:textId="77777777" w:rsidR="008E67EA" w:rsidRPr="00B75907" w:rsidRDefault="008E67EA" w:rsidP="00B44A74">
            <w:pPr>
              <w:pStyle w:val="GazetteTableText"/>
            </w:pPr>
            <w:r w:rsidRPr="00D95DA9">
              <w:t xml:space="preserve">Raticate all-weather block - Difenacoum </w:t>
            </w:r>
          </w:p>
        </w:tc>
        <w:tc>
          <w:tcPr>
            <w:tcW w:w="727" w:type="pct"/>
          </w:tcPr>
          <w:p w14:paraId="402FC02A" w14:textId="77777777" w:rsidR="008E67EA" w:rsidRDefault="008E67EA" w:rsidP="00B44A74">
            <w:pPr>
              <w:pStyle w:val="GazetteTableText"/>
            </w:pPr>
            <w:r>
              <w:t>D</w:t>
            </w:r>
            <w:r w:rsidRPr="00001A49">
              <w:t>ifenacoum</w:t>
            </w:r>
          </w:p>
        </w:tc>
        <w:tc>
          <w:tcPr>
            <w:tcW w:w="822" w:type="pct"/>
          </w:tcPr>
          <w:p w14:paraId="02EBD464" w14:textId="77777777" w:rsidR="008E67EA" w:rsidRDefault="008E67EA" w:rsidP="00B44A74">
            <w:pPr>
              <w:pStyle w:val="GazetteTableText"/>
            </w:pPr>
            <w:r>
              <w:t>Commercial</w:t>
            </w:r>
          </w:p>
        </w:tc>
        <w:tc>
          <w:tcPr>
            <w:tcW w:w="970" w:type="pct"/>
          </w:tcPr>
          <w:p w14:paraId="2C3FBE98" w14:textId="77777777" w:rsidR="008E67EA" w:rsidRDefault="008E67EA" w:rsidP="00B44A74">
            <w:pPr>
              <w:pStyle w:val="GazetteTableText"/>
            </w:pPr>
            <w:r w:rsidRPr="00AA105E">
              <w:t>RB 0.05 g/kg or less in block formulation</w:t>
            </w:r>
          </w:p>
        </w:tc>
        <w:tc>
          <w:tcPr>
            <w:tcW w:w="498" w:type="pct"/>
          </w:tcPr>
          <w:p w14:paraId="247FA4E4" w14:textId="77777777" w:rsidR="008E67EA" w:rsidRDefault="008E67EA" w:rsidP="00B44A74">
            <w:pPr>
              <w:pStyle w:val="GazetteTableText"/>
            </w:pPr>
            <w:r>
              <w:t>19</w:t>
            </w:r>
            <w:r w:rsidRPr="0079223E">
              <w:t>a</w:t>
            </w:r>
          </w:p>
        </w:tc>
      </w:tr>
      <w:tr w:rsidR="008E67EA" w14:paraId="3DC4DF9E" w14:textId="77777777" w:rsidTr="00731415">
        <w:tc>
          <w:tcPr>
            <w:tcW w:w="601" w:type="pct"/>
          </w:tcPr>
          <w:p w14:paraId="310E441F" w14:textId="77777777" w:rsidR="008E67EA" w:rsidRDefault="008E67EA" w:rsidP="00B44A74">
            <w:pPr>
              <w:pStyle w:val="GazetteTableText"/>
            </w:pPr>
            <w:r w:rsidRPr="00027FC7">
              <w:t>91552</w:t>
            </w:r>
          </w:p>
        </w:tc>
        <w:tc>
          <w:tcPr>
            <w:tcW w:w="1382" w:type="pct"/>
          </w:tcPr>
          <w:p w14:paraId="0B581D73" w14:textId="77777777" w:rsidR="008E67EA" w:rsidRPr="00B75907" w:rsidRDefault="008E67EA" w:rsidP="00B44A74">
            <w:pPr>
              <w:pStyle w:val="GazetteTableText"/>
            </w:pPr>
            <w:r w:rsidRPr="00027FC7">
              <w:t>Titan Onza Blue Rodenticide Grain Bait</w:t>
            </w:r>
          </w:p>
        </w:tc>
        <w:tc>
          <w:tcPr>
            <w:tcW w:w="727" w:type="pct"/>
          </w:tcPr>
          <w:p w14:paraId="4E6E837E" w14:textId="77777777" w:rsidR="008E67EA" w:rsidRDefault="008E67EA" w:rsidP="00B44A74">
            <w:pPr>
              <w:pStyle w:val="GazetteTableText"/>
            </w:pPr>
            <w:r w:rsidRPr="00F96D9E">
              <w:t>Difenacoum</w:t>
            </w:r>
          </w:p>
        </w:tc>
        <w:tc>
          <w:tcPr>
            <w:tcW w:w="822" w:type="pct"/>
          </w:tcPr>
          <w:p w14:paraId="00B753E4" w14:textId="77777777" w:rsidR="008E67EA" w:rsidRDefault="008E67EA" w:rsidP="00B44A74">
            <w:pPr>
              <w:pStyle w:val="GazetteTableText"/>
            </w:pPr>
            <w:r>
              <w:t>Commercial</w:t>
            </w:r>
          </w:p>
        </w:tc>
        <w:tc>
          <w:tcPr>
            <w:tcW w:w="970" w:type="pct"/>
          </w:tcPr>
          <w:p w14:paraId="141A0083" w14:textId="77777777" w:rsidR="008E67EA" w:rsidRDefault="008E67EA" w:rsidP="00B44A74">
            <w:pPr>
              <w:pStyle w:val="GazetteTableText"/>
            </w:pPr>
            <w:r w:rsidRPr="00161C5F">
              <w:t>RB 0.05 g/kg or less in pellet formulation</w:t>
            </w:r>
          </w:p>
        </w:tc>
        <w:tc>
          <w:tcPr>
            <w:tcW w:w="498" w:type="pct"/>
          </w:tcPr>
          <w:p w14:paraId="44925B49" w14:textId="77777777" w:rsidR="008E67EA" w:rsidRDefault="008E67EA" w:rsidP="00B44A74">
            <w:pPr>
              <w:pStyle w:val="GazetteTableText"/>
            </w:pPr>
            <w:r w:rsidRPr="0079223E">
              <w:t>2</w:t>
            </w:r>
            <w:r>
              <w:t>0</w:t>
            </w:r>
          </w:p>
        </w:tc>
      </w:tr>
      <w:tr w:rsidR="008E67EA" w14:paraId="0D50AD1D" w14:textId="77777777" w:rsidTr="00731415">
        <w:tc>
          <w:tcPr>
            <w:tcW w:w="601" w:type="pct"/>
          </w:tcPr>
          <w:p w14:paraId="44C37555" w14:textId="77777777" w:rsidR="008E67EA" w:rsidRDefault="008E67EA" w:rsidP="00B44A74">
            <w:pPr>
              <w:pStyle w:val="GazetteTableText"/>
            </w:pPr>
            <w:r w:rsidRPr="00D95DA9">
              <w:t>91555</w:t>
            </w:r>
          </w:p>
        </w:tc>
        <w:tc>
          <w:tcPr>
            <w:tcW w:w="1382" w:type="pct"/>
          </w:tcPr>
          <w:p w14:paraId="19791BEB" w14:textId="77777777" w:rsidR="008E67EA" w:rsidRPr="00B75907" w:rsidRDefault="008E67EA" w:rsidP="00B44A74">
            <w:pPr>
              <w:pStyle w:val="GazetteTableText"/>
            </w:pPr>
            <w:r w:rsidRPr="00D95DA9">
              <w:t>Titan Onza Blue Rodenticide Paste</w:t>
            </w:r>
          </w:p>
        </w:tc>
        <w:tc>
          <w:tcPr>
            <w:tcW w:w="727" w:type="pct"/>
          </w:tcPr>
          <w:p w14:paraId="5630B846" w14:textId="77777777" w:rsidR="008E67EA" w:rsidRDefault="008E67EA" w:rsidP="00B44A74">
            <w:pPr>
              <w:pStyle w:val="GazetteTableText"/>
            </w:pPr>
            <w:r>
              <w:t>D</w:t>
            </w:r>
            <w:r w:rsidRPr="00001A49">
              <w:t>ifenacoum</w:t>
            </w:r>
          </w:p>
        </w:tc>
        <w:tc>
          <w:tcPr>
            <w:tcW w:w="822" w:type="pct"/>
          </w:tcPr>
          <w:p w14:paraId="261A2E39" w14:textId="77777777" w:rsidR="008E67EA" w:rsidRDefault="008E67EA" w:rsidP="00B44A74">
            <w:pPr>
              <w:pStyle w:val="GazetteTableText"/>
            </w:pPr>
            <w:r>
              <w:t>Commercial</w:t>
            </w:r>
          </w:p>
        </w:tc>
        <w:tc>
          <w:tcPr>
            <w:tcW w:w="970" w:type="pct"/>
          </w:tcPr>
          <w:p w14:paraId="556BFD8C" w14:textId="77777777" w:rsidR="008E67EA" w:rsidRDefault="008E67EA" w:rsidP="00B44A74">
            <w:pPr>
              <w:pStyle w:val="GazetteTableText"/>
            </w:pPr>
            <w:r w:rsidRPr="00AA105E">
              <w:t>RB 0.05 g/kg or less in sachet or place pack</w:t>
            </w:r>
          </w:p>
        </w:tc>
        <w:tc>
          <w:tcPr>
            <w:tcW w:w="498" w:type="pct"/>
          </w:tcPr>
          <w:p w14:paraId="2AEAD095" w14:textId="77777777" w:rsidR="008E67EA" w:rsidRDefault="008E67EA" w:rsidP="00B44A74">
            <w:pPr>
              <w:pStyle w:val="GazetteTableText"/>
            </w:pPr>
            <w:r w:rsidRPr="00745F0E">
              <w:t>2</w:t>
            </w:r>
            <w:r>
              <w:t>1</w:t>
            </w:r>
          </w:p>
        </w:tc>
      </w:tr>
      <w:tr w:rsidR="008E67EA" w14:paraId="73F522FB" w14:textId="77777777" w:rsidTr="00731415">
        <w:tc>
          <w:tcPr>
            <w:tcW w:w="601" w:type="pct"/>
          </w:tcPr>
          <w:p w14:paraId="6B0DE1DD" w14:textId="77777777" w:rsidR="008E67EA" w:rsidRDefault="008E67EA" w:rsidP="00B44A74">
            <w:pPr>
              <w:pStyle w:val="GazetteTableText"/>
            </w:pPr>
            <w:r w:rsidRPr="00D95DA9">
              <w:t>91556</w:t>
            </w:r>
          </w:p>
        </w:tc>
        <w:tc>
          <w:tcPr>
            <w:tcW w:w="1382" w:type="pct"/>
          </w:tcPr>
          <w:p w14:paraId="0E9EBB32" w14:textId="77777777" w:rsidR="008E67EA" w:rsidRPr="00B75907" w:rsidRDefault="008E67EA" w:rsidP="00B44A74">
            <w:pPr>
              <w:pStyle w:val="GazetteTableText"/>
            </w:pPr>
            <w:r w:rsidRPr="00D95DA9">
              <w:t>Titan Onza Blue Rodenticide Blocks</w:t>
            </w:r>
          </w:p>
        </w:tc>
        <w:tc>
          <w:tcPr>
            <w:tcW w:w="727" w:type="pct"/>
          </w:tcPr>
          <w:p w14:paraId="7A8033D1" w14:textId="77777777" w:rsidR="008E67EA" w:rsidRDefault="008E67EA" w:rsidP="00B44A74">
            <w:pPr>
              <w:pStyle w:val="GazetteTableText"/>
            </w:pPr>
            <w:r>
              <w:t>D</w:t>
            </w:r>
            <w:r w:rsidRPr="00001A49">
              <w:t>ifenacoum</w:t>
            </w:r>
          </w:p>
        </w:tc>
        <w:tc>
          <w:tcPr>
            <w:tcW w:w="822" w:type="pct"/>
          </w:tcPr>
          <w:p w14:paraId="2350E425" w14:textId="77777777" w:rsidR="008E67EA" w:rsidRDefault="008E67EA" w:rsidP="00B44A74">
            <w:pPr>
              <w:pStyle w:val="GazetteTableText"/>
            </w:pPr>
            <w:r>
              <w:t>Commercial</w:t>
            </w:r>
          </w:p>
        </w:tc>
        <w:tc>
          <w:tcPr>
            <w:tcW w:w="970" w:type="pct"/>
          </w:tcPr>
          <w:p w14:paraId="714D25CC" w14:textId="77777777" w:rsidR="008E67EA" w:rsidRDefault="008E67EA" w:rsidP="00B44A74">
            <w:pPr>
              <w:pStyle w:val="GazetteTableText"/>
            </w:pPr>
            <w:r w:rsidRPr="00AA105E">
              <w:t>RB 0.05 g/kg or less in block formulation</w:t>
            </w:r>
          </w:p>
        </w:tc>
        <w:tc>
          <w:tcPr>
            <w:tcW w:w="498" w:type="pct"/>
          </w:tcPr>
          <w:p w14:paraId="37AFF274" w14:textId="77777777" w:rsidR="008E67EA" w:rsidRDefault="008E67EA" w:rsidP="00B44A74">
            <w:pPr>
              <w:pStyle w:val="GazetteTableText"/>
            </w:pPr>
            <w:r>
              <w:t>19</w:t>
            </w:r>
            <w:r w:rsidRPr="0079223E">
              <w:t>a</w:t>
            </w:r>
          </w:p>
        </w:tc>
      </w:tr>
      <w:tr w:rsidR="008E67EA" w14:paraId="0A9E40E4" w14:textId="77777777" w:rsidTr="00731415">
        <w:tc>
          <w:tcPr>
            <w:tcW w:w="601" w:type="pct"/>
          </w:tcPr>
          <w:p w14:paraId="1E4BE508" w14:textId="77777777" w:rsidR="008E67EA" w:rsidRDefault="008E67EA" w:rsidP="00B44A74">
            <w:pPr>
              <w:pStyle w:val="GazetteTableText"/>
            </w:pPr>
            <w:r w:rsidRPr="00D95DA9">
              <w:t>91657</w:t>
            </w:r>
          </w:p>
        </w:tc>
        <w:tc>
          <w:tcPr>
            <w:tcW w:w="1382" w:type="pct"/>
          </w:tcPr>
          <w:p w14:paraId="609E2278" w14:textId="77777777" w:rsidR="008E67EA" w:rsidRPr="00B75907" w:rsidRDefault="008E67EA" w:rsidP="00B44A74">
            <w:pPr>
              <w:pStyle w:val="GazetteTableText"/>
            </w:pPr>
            <w:r w:rsidRPr="00D95DA9">
              <w:t>Pestmaster Difenacoum Rat &amp; Mouse Killer Blocks</w:t>
            </w:r>
          </w:p>
        </w:tc>
        <w:tc>
          <w:tcPr>
            <w:tcW w:w="727" w:type="pct"/>
          </w:tcPr>
          <w:p w14:paraId="2D9D4922" w14:textId="77777777" w:rsidR="008E67EA" w:rsidRDefault="008E67EA" w:rsidP="00B44A74">
            <w:pPr>
              <w:pStyle w:val="GazetteTableText"/>
            </w:pPr>
            <w:r>
              <w:t>D</w:t>
            </w:r>
            <w:r w:rsidRPr="00001A49">
              <w:t>ifenacoum</w:t>
            </w:r>
          </w:p>
        </w:tc>
        <w:tc>
          <w:tcPr>
            <w:tcW w:w="822" w:type="pct"/>
          </w:tcPr>
          <w:p w14:paraId="060B7AA4" w14:textId="77777777" w:rsidR="008E67EA" w:rsidRDefault="008E67EA" w:rsidP="00B44A74">
            <w:pPr>
              <w:pStyle w:val="GazetteTableText"/>
            </w:pPr>
            <w:r>
              <w:t>Commercial</w:t>
            </w:r>
          </w:p>
        </w:tc>
        <w:tc>
          <w:tcPr>
            <w:tcW w:w="970" w:type="pct"/>
          </w:tcPr>
          <w:p w14:paraId="016C9E87" w14:textId="77777777" w:rsidR="008E67EA" w:rsidRDefault="008E67EA" w:rsidP="00B44A74">
            <w:pPr>
              <w:pStyle w:val="GazetteTableText"/>
            </w:pPr>
            <w:r w:rsidRPr="00AA105E">
              <w:t>RB 0.05 g/kg or less in block formulation</w:t>
            </w:r>
          </w:p>
        </w:tc>
        <w:tc>
          <w:tcPr>
            <w:tcW w:w="498" w:type="pct"/>
          </w:tcPr>
          <w:p w14:paraId="3F0A5651" w14:textId="77777777" w:rsidR="008E67EA" w:rsidRDefault="008E67EA" w:rsidP="00B44A74">
            <w:pPr>
              <w:pStyle w:val="GazetteTableText"/>
            </w:pPr>
            <w:r>
              <w:t>19</w:t>
            </w:r>
            <w:r w:rsidRPr="0079223E">
              <w:t>a</w:t>
            </w:r>
          </w:p>
        </w:tc>
      </w:tr>
      <w:tr w:rsidR="008E67EA" w14:paraId="26D45E38" w14:textId="77777777" w:rsidTr="00731415">
        <w:tc>
          <w:tcPr>
            <w:tcW w:w="601" w:type="pct"/>
          </w:tcPr>
          <w:p w14:paraId="742C1323" w14:textId="77777777" w:rsidR="008E67EA" w:rsidRDefault="008E67EA" w:rsidP="00B44A74">
            <w:pPr>
              <w:pStyle w:val="GazetteTableText"/>
            </w:pPr>
            <w:r w:rsidRPr="00027FC7">
              <w:t>92812</w:t>
            </w:r>
          </w:p>
        </w:tc>
        <w:tc>
          <w:tcPr>
            <w:tcW w:w="1382" w:type="pct"/>
          </w:tcPr>
          <w:p w14:paraId="59E71B47" w14:textId="77777777" w:rsidR="008E67EA" w:rsidRPr="00B75907" w:rsidRDefault="008E67EA" w:rsidP="00B44A74">
            <w:pPr>
              <w:pStyle w:val="GazetteTableText"/>
            </w:pPr>
            <w:r w:rsidRPr="00027FC7">
              <w:t>Roban 25 All Weather Block Bait</w:t>
            </w:r>
          </w:p>
        </w:tc>
        <w:tc>
          <w:tcPr>
            <w:tcW w:w="727" w:type="pct"/>
          </w:tcPr>
          <w:p w14:paraId="120E4C7C" w14:textId="77777777" w:rsidR="008E67EA" w:rsidRDefault="008E67EA" w:rsidP="00B44A74">
            <w:pPr>
              <w:pStyle w:val="GazetteTableText"/>
            </w:pPr>
            <w:r w:rsidRPr="00F96D9E">
              <w:t>Difenacoum</w:t>
            </w:r>
          </w:p>
        </w:tc>
        <w:tc>
          <w:tcPr>
            <w:tcW w:w="822" w:type="pct"/>
          </w:tcPr>
          <w:p w14:paraId="4998F4C8" w14:textId="77777777" w:rsidR="008E67EA" w:rsidRDefault="008E67EA" w:rsidP="00B44A74">
            <w:pPr>
              <w:pStyle w:val="GazetteTableText"/>
            </w:pPr>
            <w:r>
              <w:t>Commercial</w:t>
            </w:r>
          </w:p>
        </w:tc>
        <w:tc>
          <w:tcPr>
            <w:tcW w:w="970" w:type="pct"/>
          </w:tcPr>
          <w:p w14:paraId="0BF37E4B" w14:textId="77777777" w:rsidR="008E67EA" w:rsidRDefault="008E67EA" w:rsidP="00B44A74">
            <w:pPr>
              <w:pStyle w:val="GazetteTableText"/>
            </w:pPr>
            <w:r w:rsidRPr="00AA105E">
              <w:t>RB 0.05 g/kg or less in block formulation</w:t>
            </w:r>
          </w:p>
        </w:tc>
        <w:tc>
          <w:tcPr>
            <w:tcW w:w="498" w:type="pct"/>
          </w:tcPr>
          <w:p w14:paraId="1740AA5D" w14:textId="77777777" w:rsidR="008E67EA" w:rsidRDefault="008E67EA" w:rsidP="00B44A74">
            <w:pPr>
              <w:pStyle w:val="GazetteTableText"/>
            </w:pPr>
            <w:r>
              <w:t>19</w:t>
            </w:r>
            <w:r w:rsidRPr="0079223E">
              <w:t>b</w:t>
            </w:r>
          </w:p>
        </w:tc>
      </w:tr>
      <w:tr w:rsidR="008E67EA" w14:paraId="563C944C" w14:textId="77777777" w:rsidTr="00731415">
        <w:tc>
          <w:tcPr>
            <w:tcW w:w="601" w:type="pct"/>
          </w:tcPr>
          <w:p w14:paraId="3C2F592B" w14:textId="77777777" w:rsidR="008E67EA" w:rsidRDefault="008E67EA" w:rsidP="00B44A74">
            <w:pPr>
              <w:pStyle w:val="GazetteTableText"/>
            </w:pPr>
            <w:r w:rsidRPr="00D95DA9">
              <w:t>94917</w:t>
            </w:r>
          </w:p>
        </w:tc>
        <w:tc>
          <w:tcPr>
            <w:tcW w:w="1382" w:type="pct"/>
          </w:tcPr>
          <w:p w14:paraId="7F7CA3C1" w14:textId="77777777" w:rsidR="008E67EA" w:rsidRPr="00B75907" w:rsidRDefault="008E67EA" w:rsidP="00B44A74">
            <w:pPr>
              <w:pStyle w:val="GazetteTableText"/>
            </w:pPr>
            <w:r w:rsidRPr="00D95DA9">
              <w:t>No Mice Difend Rodenticide Blocks</w:t>
            </w:r>
          </w:p>
        </w:tc>
        <w:tc>
          <w:tcPr>
            <w:tcW w:w="727" w:type="pct"/>
          </w:tcPr>
          <w:p w14:paraId="6BA31AD9" w14:textId="77777777" w:rsidR="008E67EA" w:rsidRDefault="008E67EA" w:rsidP="00B44A74">
            <w:pPr>
              <w:pStyle w:val="GazetteTableText"/>
            </w:pPr>
            <w:r>
              <w:t>D</w:t>
            </w:r>
            <w:r w:rsidRPr="00001A49">
              <w:t>ifenacoum</w:t>
            </w:r>
          </w:p>
        </w:tc>
        <w:tc>
          <w:tcPr>
            <w:tcW w:w="822" w:type="pct"/>
          </w:tcPr>
          <w:p w14:paraId="6B49DADC" w14:textId="77777777" w:rsidR="008E67EA" w:rsidRDefault="008E67EA" w:rsidP="00B44A74">
            <w:pPr>
              <w:pStyle w:val="GazetteTableText"/>
            </w:pPr>
            <w:r>
              <w:t>Domestic</w:t>
            </w:r>
          </w:p>
        </w:tc>
        <w:tc>
          <w:tcPr>
            <w:tcW w:w="970" w:type="pct"/>
          </w:tcPr>
          <w:p w14:paraId="0B5E16A5" w14:textId="77777777" w:rsidR="008E67EA" w:rsidRDefault="008E67EA" w:rsidP="00B44A74">
            <w:pPr>
              <w:pStyle w:val="GazetteTableText"/>
            </w:pPr>
            <w:r w:rsidRPr="00AA105E">
              <w:t>RB 0.05 g/kg or less in block formulation</w:t>
            </w:r>
          </w:p>
        </w:tc>
        <w:tc>
          <w:tcPr>
            <w:tcW w:w="498" w:type="pct"/>
          </w:tcPr>
          <w:p w14:paraId="339780FF" w14:textId="77777777" w:rsidR="008E67EA" w:rsidRDefault="008E67EA" w:rsidP="00B44A74">
            <w:pPr>
              <w:pStyle w:val="GazetteTableText"/>
            </w:pPr>
            <w:r w:rsidRPr="00A925F0">
              <w:t>2</w:t>
            </w:r>
            <w:r>
              <w:t>2</w:t>
            </w:r>
            <w:r w:rsidRPr="00A925F0">
              <w:t>b</w:t>
            </w:r>
          </w:p>
        </w:tc>
      </w:tr>
      <w:tr w:rsidR="008E67EA" w14:paraId="58A0005D" w14:textId="77777777" w:rsidTr="00731415">
        <w:tc>
          <w:tcPr>
            <w:tcW w:w="601" w:type="pct"/>
          </w:tcPr>
          <w:p w14:paraId="6D120365" w14:textId="77777777" w:rsidR="008E67EA" w:rsidRDefault="008E67EA" w:rsidP="00B44A74">
            <w:pPr>
              <w:pStyle w:val="GazetteTableText"/>
            </w:pPr>
            <w:r w:rsidRPr="00584624">
              <w:t>62178</w:t>
            </w:r>
          </w:p>
        </w:tc>
        <w:tc>
          <w:tcPr>
            <w:tcW w:w="1382" w:type="pct"/>
          </w:tcPr>
          <w:p w14:paraId="67192716" w14:textId="77777777" w:rsidR="008E67EA" w:rsidRPr="00B75907" w:rsidRDefault="008E67EA" w:rsidP="00B44A74">
            <w:pPr>
              <w:pStyle w:val="GazetteTableText"/>
            </w:pPr>
            <w:r w:rsidRPr="00584624">
              <w:t>Generation Blue Max Block Single-Feed Rodenticide</w:t>
            </w:r>
          </w:p>
        </w:tc>
        <w:tc>
          <w:tcPr>
            <w:tcW w:w="727" w:type="pct"/>
          </w:tcPr>
          <w:p w14:paraId="4AFD5853" w14:textId="77777777" w:rsidR="008E67EA" w:rsidRDefault="008E67EA" w:rsidP="00B44A74">
            <w:pPr>
              <w:pStyle w:val="GazetteTableText"/>
            </w:pPr>
            <w:r>
              <w:t>D</w:t>
            </w:r>
            <w:r w:rsidRPr="00001A49">
              <w:t>ifethialone</w:t>
            </w:r>
          </w:p>
        </w:tc>
        <w:tc>
          <w:tcPr>
            <w:tcW w:w="822" w:type="pct"/>
          </w:tcPr>
          <w:p w14:paraId="7432401E" w14:textId="77777777" w:rsidR="008E67EA" w:rsidRDefault="008E67EA" w:rsidP="00B44A74">
            <w:pPr>
              <w:pStyle w:val="GazetteTableText"/>
            </w:pPr>
            <w:r>
              <w:t>Commercial</w:t>
            </w:r>
          </w:p>
        </w:tc>
        <w:tc>
          <w:tcPr>
            <w:tcW w:w="970" w:type="pct"/>
          </w:tcPr>
          <w:p w14:paraId="46D2A22E" w14:textId="77777777" w:rsidR="008E67EA" w:rsidRDefault="008E67EA" w:rsidP="00B44A74">
            <w:pPr>
              <w:pStyle w:val="GazetteTableText"/>
            </w:pPr>
            <w:r w:rsidRPr="00AA105E">
              <w:t>RB 0.025 g/kg or less in block formulation</w:t>
            </w:r>
          </w:p>
        </w:tc>
        <w:tc>
          <w:tcPr>
            <w:tcW w:w="498" w:type="pct"/>
          </w:tcPr>
          <w:p w14:paraId="19A48C1D" w14:textId="77777777" w:rsidR="008E67EA" w:rsidRDefault="008E67EA" w:rsidP="00B44A74">
            <w:pPr>
              <w:pStyle w:val="GazetteTableText"/>
            </w:pPr>
            <w:r w:rsidRPr="000D6595">
              <w:t>2</w:t>
            </w:r>
            <w:r>
              <w:t>4</w:t>
            </w:r>
          </w:p>
        </w:tc>
      </w:tr>
      <w:tr w:rsidR="008E67EA" w14:paraId="3F0DAAA9" w14:textId="77777777" w:rsidTr="00731415">
        <w:tc>
          <w:tcPr>
            <w:tcW w:w="601" w:type="pct"/>
          </w:tcPr>
          <w:p w14:paraId="0D3AC2BC" w14:textId="77777777" w:rsidR="008E67EA" w:rsidRDefault="008E67EA" w:rsidP="00B44A74">
            <w:pPr>
              <w:pStyle w:val="GazetteTableText"/>
            </w:pPr>
            <w:r w:rsidRPr="00584624">
              <w:t>62694</w:t>
            </w:r>
          </w:p>
        </w:tc>
        <w:tc>
          <w:tcPr>
            <w:tcW w:w="1382" w:type="pct"/>
          </w:tcPr>
          <w:p w14:paraId="224D5CB2" w14:textId="77777777" w:rsidR="008E67EA" w:rsidRPr="00B75907" w:rsidRDefault="008E67EA" w:rsidP="00B44A74">
            <w:pPr>
              <w:pStyle w:val="GazetteTableText"/>
            </w:pPr>
            <w:r w:rsidRPr="00584624">
              <w:t>Generation Block Single-Feed Rodenticide</w:t>
            </w:r>
          </w:p>
        </w:tc>
        <w:tc>
          <w:tcPr>
            <w:tcW w:w="727" w:type="pct"/>
          </w:tcPr>
          <w:p w14:paraId="0CE9ED90" w14:textId="77777777" w:rsidR="008E67EA" w:rsidRDefault="008E67EA" w:rsidP="00B44A74">
            <w:pPr>
              <w:pStyle w:val="GazetteTableText"/>
            </w:pPr>
            <w:r>
              <w:t>D</w:t>
            </w:r>
            <w:r w:rsidRPr="00001A49">
              <w:t>ifethialone</w:t>
            </w:r>
          </w:p>
        </w:tc>
        <w:tc>
          <w:tcPr>
            <w:tcW w:w="822" w:type="pct"/>
          </w:tcPr>
          <w:p w14:paraId="054B5913" w14:textId="77777777" w:rsidR="008E67EA" w:rsidRDefault="008E67EA" w:rsidP="00B44A74">
            <w:pPr>
              <w:pStyle w:val="GazetteTableText"/>
            </w:pPr>
            <w:r>
              <w:t>Commercial</w:t>
            </w:r>
          </w:p>
        </w:tc>
        <w:tc>
          <w:tcPr>
            <w:tcW w:w="970" w:type="pct"/>
          </w:tcPr>
          <w:p w14:paraId="36A4E460" w14:textId="77777777" w:rsidR="008E67EA" w:rsidRDefault="008E67EA" w:rsidP="00B44A74">
            <w:pPr>
              <w:pStyle w:val="GazetteTableText"/>
            </w:pPr>
            <w:r w:rsidRPr="00AA105E">
              <w:t>RB 0.025 g/kg or less in block formulation</w:t>
            </w:r>
          </w:p>
        </w:tc>
        <w:tc>
          <w:tcPr>
            <w:tcW w:w="498" w:type="pct"/>
          </w:tcPr>
          <w:p w14:paraId="6EDA12BC" w14:textId="77777777" w:rsidR="008E67EA" w:rsidRDefault="008E67EA" w:rsidP="00B44A74">
            <w:pPr>
              <w:pStyle w:val="GazetteTableText"/>
            </w:pPr>
            <w:r w:rsidRPr="000D6595">
              <w:t>2</w:t>
            </w:r>
            <w:r>
              <w:t>4</w:t>
            </w:r>
          </w:p>
        </w:tc>
      </w:tr>
      <w:tr w:rsidR="008E67EA" w14:paraId="28C9AC36" w14:textId="77777777" w:rsidTr="00731415">
        <w:tc>
          <w:tcPr>
            <w:tcW w:w="601" w:type="pct"/>
          </w:tcPr>
          <w:p w14:paraId="0A58F2AF" w14:textId="77777777" w:rsidR="008E67EA" w:rsidRDefault="008E67EA" w:rsidP="00B44A74">
            <w:pPr>
              <w:pStyle w:val="GazetteTableText"/>
            </w:pPr>
            <w:r w:rsidRPr="00584624">
              <w:lastRenderedPageBreak/>
              <w:t>66889</w:t>
            </w:r>
          </w:p>
        </w:tc>
        <w:tc>
          <w:tcPr>
            <w:tcW w:w="1382" w:type="pct"/>
          </w:tcPr>
          <w:p w14:paraId="1162DC86" w14:textId="77777777" w:rsidR="008E67EA" w:rsidRPr="00B75907" w:rsidRDefault="008E67EA" w:rsidP="00B44A74">
            <w:pPr>
              <w:pStyle w:val="GazetteTableText"/>
            </w:pPr>
            <w:r w:rsidRPr="00584624">
              <w:t>Generation Firststrike Single-Feed Rodenticide</w:t>
            </w:r>
          </w:p>
        </w:tc>
        <w:tc>
          <w:tcPr>
            <w:tcW w:w="727" w:type="pct"/>
          </w:tcPr>
          <w:p w14:paraId="18B2B5F5" w14:textId="77777777" w:rsidR="008E67EA" w:rsidRDefault="008E67EA" w:rsidP="00B44A74">
            <w:pPr>
              <w:pStyle w:val="GazetteTableText"/>
            </w:pPr>
            <w:r>
              <w:t>D</w:t>
            </w:r>
            <w:r w:rsidRPr="00001A49">
              <w:t>ifethialone</w:t>
            </w:r>
          </w:p>
        </w:tc>
        <w:tc>
          <w:tcPr>
            <w:tcW w:w="822" w:type="pct"/>
          </w:tcPr>
          <w:p w14:paraId="1AFB311A" w14:textId="77777777" w:rsidR="008E67EA" w:rsidRDefault="008E67EA" w:rsidP="00B44A74">
            <w:pPr>
              <w:pStyle w:val="GazetteTableText"/>
            </w:pPr>
            <w:r>
              <w:t>Commercial</w:t>
            </w:r>
          </w:p>
        </w:tc>
        <w:tc>
          <w:tcPr>
            <w:tcW w:w="970" w:type="pct"/>
          </w:tcPr>
          <w:p w14:paraId="319775A8" w14:textId="77777777" w:rsidR="008E67EA" w:rsidRDefault="008E67EA" w:rsidP="00B44A74">
            <w:pPr>
              <w:pStyle w:val="GazetteTableText"/>
            </w:pPr>
            <w:r w:rsidRPr="00AA105E">
              <w:t>RB 0.025 g/kg or less in sachet or place pack</w:t>
            </w:r>
          </w:p>
        </w:tc>
        <w:tc>
          <w:tcPr>
            <w:tcW w:w="498" w:type="pct"/>
          </w:tcPr>
          <w:p w14:paraId="1A898540" w14:textId="77777777" w:rsidR="008E67EA" w:rsidRDefault="008E67EA" w:rsidP="00B44A74">
            <w:pPr>
              <w:pStyle w:val="GazetteTableText"/>
            </w:pPr>
            <w:r w:rsidRPr="00480DA8">
              <w:t>2</w:t>
            </w:r>
            <w:r>
              <w:t>6</w:t>
            </w:r>
          </w:p>
        </w:tc>
      </w:tr>
      <w:tr w:rsidR="008E67EA" w14:paraId="1201005D" w14:textId="77777777" w:rsidTr="00731415">
        <w:tc>
          <w:tcPr>
            <w:tcW w:w="601" w:type="pct"/>
          </w:tcPr>
          <w:p w14:paraId="5BE063CA" w14:textId="77777777" w:rsidR="008E67EA" w:rsidRDefault="008E67EA" w:rsidP="00B44A74">
            <w:pPr>
              <w:pStyle w:val="GazetteTableText"/>
            </w:pPr>
            <w:r w:rsidRPr="00584624">
              <w:t>69086</w:t>
            </w:r>
          </w:p>
        </w:tc>
        <w:tc>
          <w:tcPr>
            <w:tcW w:w="1382" w:type="pct"/>
          </w:tcPr>
          <w:p w14:paraId="4A6123DC" w14:textId="77777777" w:rsidR="008E67EA" w:rsidRPr="00B75907" w:rsidRDefault="008E67EA" w:rsidP="00B44A74">
            <w:pPr>
              <w:pStyle w:val="GazetteTableText"/>
            </w:pPr>
            <w:r w:rsidRPr="00584624">
              <w:t>Rodilon Pro Rodenticide</w:t>
            </w:r>
          </w:p>
        </w:tc>
        <w:tc>
          <w:tcPr>
            <w:tcW w:w="727" w:type="pct"/>
          </w:tcPr>
          <w:p w14:paraId="0BA982D8" w14:textId="77777777" w:rsidR="008E67EA" w:rsidRDefault="008E67EA" w:rsidP="00B44A74">
            <w:pPr>
              <w:pStyle w:val="GazetteTableText"/>
            </w:pPr>
            <w:r>
              <w:t>D</w:t>
            </w:r>
            <w:r w:rsidRPr="00001A49">
              <w:t>ifethialone</w:t>
            </w:r>
          </w:p>
        </w:tc>
        <w:tc>
          <w:tcPr>
            <w:tcW w:w="822" w:type="pct"/>
          </w:tcPr>
          <w:p w14:paraId="010D5CBC" w14:textId="77777777" w:rsidR="008E67EA" w:rsidRDefault="008E67EA" w:rsidP="00B44A74">
            <w:pPr>
              <w:pStyle w:val="GazetteTableText"/>
            </w:pPr>
            <w:r>
              <w:t>Commercial</w:t>
            </w:r>
          </w:p>
        </w:tc>
        <w:tc>
          <w:tcPr>
            <w:tcW w:w="970" w:type="pct"/>
          </w:tcPr>
          <w:p w14:paraId="78AB379D" w14:textId="77777777" w:rsidR="008E67EA" w:rsidRDefault="008E67EA" w:rsidP="00B44A74">
            <w:pPr>
              <w:pStyle w:val="GazetteTableText"/>
            </w:pPr>
            <w:r w:rsidRPr="00AA105E">
              <w:t>RB 0.025 g/kg or less in sachet or place pack</w:t>
            </w:r>
          </w:p>
        </w:tc>
        <w:tc>
          <w:tcPr>
            <w:tcW w:w="498" w:type="pct"/>
          </w:tcPr>
          <w:p w14:paraId="5B817F64" w14:textId="77777777" w:rsidR="008E67EA" w:rsidRDefault="008E67EA" w:rsidP="00B44A74">
            <w:pPr>
              <w:pStyle w:val="GazetteTableText"/>
            </w:pPr>
            <w:r w:rsidRPr="00480DA8">
              <w:t>2</w:t>
            </w:r>
            <w:r>
              <w:t>6</w:t>
            </w:r>
          </w:p>
        </w:tc>
      </w:tr>
      <w:tr w:rsidR="008E67EA" w14:paraId="3F4F7B4B" w14:textId="77777777" w:rsidTr="00731415">
        <w:tc>
          <w:tcPr>
            <w:tcW w:w="601" w:type="pct"/>
          </w:tcPr>
          <w:p w14:paraId="4B77ABE1" w14:textId="77777777" w:rsidR="008E67EA" w:rsidRDefault="008E67EA" w:rsidP="00B44A74">
            <w:pPr>
              <w:pStyle w:val="GazetteTableText"/>
            </w:pPr>
            <w:r w:rsidRPr="00584624">
              <w:t>80381</w:t>
            </w:r>
          </w:p>
        </w:tc>
        <w:tc>
          <w:tcPr>
            <w:tcW w:w="1382" w:type="pct"/>
          </w:tcPr>
          <w:p w14:paraId="4909A424" w14:textId="77777777" w:rsidR="008E67EA" w:rsidRPr="00B75907" w:rsidRDefault="008E67EA" w:rsidP="00B44A74">
            <w:pPr>
              <w:pStyle w:val="GazetteTableText"/>
            </w:pPr>
            <w:r w:rsidRPr="00584624">
              <w:t>Generation Blue Rodenticide Block</w:t>
            </w:r>
          </w:p>
        </w:tc>
        <w:tc>
          <w:tcPr>
            <w:tcW w:w="727" w:type="pct"/>
          </w:tcPr>
          <w:p w14:paraId="11EAC4E9" w14:textId="77777777" w:rsidR="008E67EA" w:rsidRDefault="008E67EA" w:rsidP="00B44A74">
            <w:pPr>
              <w:pStyle w:val="GazetteTableText"/>
            </w:pPr>
            <w:r>
              <w:t>D</w:t>
            </w:r>
            <w:r w:rsidRPr="00001A49">
              <w:t>ifethialone</w:t>
            </w:r>
          </w:p>
        </w:tc>
        <w:tc>
          <w:tcPr>
            <w:tcW w:w="822" w:type="pct"/>
          </w:tcPr>
          <w:p w14:paraId="7690CB39" w14:textId="77777777" w:rsidR="008E67EA" w:rsidRDefault="008E67EA" w:rsidP="00B44A74">
            <w:pPr>
              <w:pStyle w:val="GazetteTableText"/>
            </w:pPr>
            <w:r>
              <w:t>Commercial</w:t>
            </w:r>
          </w:p>
        </w:tc>
        <w:tc>
          <w:tcPr>
            <w:tcW w:w="970" w:type="pct"/>
          </w:tcPr>
          <w:p w14:paraId="2BD14CD5" w14:textId="77777777" w:rsidR="008E67EA" w:rsidRDefault="008E67EA" w:rsidP="00B44A74">
            <w:pPr>
              <w:pStyle w:val="GazetteTableText"/>
            </w:pPr>
            <w:r w:rsidRPr="00AA105E">
              <w:t>RB 0.025 g/kg or less in block formulation</w:t>
            </w:r>
          </w:p>
        </w:tc>
        <w:tc>
          <w:tcPr>
            <w:tcW w:w="498" w:type="pct"/>
          </w:tcPr>
          <w:p w14:paraId="177D5C6D" w14:textId="77777777" w:rsidR="008E67EA" w:rsidRDefault="008E67EA" w:rsidP="00B44A74">
            <w:pPr>
              <w:pStyle w:val="GazetteTableText"/>
            </w:pPr>
            <w:r w:rsidRPr="000D6595">
              <w:t>2</w:t>
            </w:r>
            <w:r>
              <w:t>4</w:t>
            </w:r>
          </w:p>
        </w:tc>
      </w:tr>
      <w:tr w:rsidR="008E67EA" w14:paraId="7B2AB594" w14:textId="77777777" w:rsidTr="00731415">
        <w:tc>
          <w:tcPr>
            <w:tcW w:w="601" w:type="pct"/>
          </w:tcPr>
          <w:p w14:paraId="6739C0D7" w14:textId="77777777" w:rsidR="008E67EA" w:rsidRDefault="008E67EA" w:rsidP="00B44A74">
            <w:pPr>
              <w:pStyle w:val="GazetteTableText"/>
            </w:pPr>
            <w:r w:rsidRPr="00584624">
              <w:t>80382</w:t>
            </w:r>
          </w:p>
        </w:tc>
        <w:tc>
          <w:tcPr>
            <w:tcW w:w="1382" w:type="pct"/>
          </w:tcPr>
          <w:p w14:paraId="2DA7D4B8" w14:textId="77777777" w:rsidR="008E67EA" w:rsidRPr="00B75907" w:rsidRDefault="008E67EA" w:rsidP="00B44A74">
            <w:pPr>
              <w:pStyle w:val="GazetteTableText"/>
            </w:pPr>
            <w:r w:rsidRPr="00584624">
              <w:t>Generation Blue Rodenticide Pellet</w:t>
            </w:r>
          </w:p>
        </w:tc>
        <w:tc>
          <w:tcPr>
            <w:tcW w:w="727" w:type="pct"/>
          </w:tcPr>
          <w:p w14:paraId="1A985DCE" w14:textId="77777777" w:rsidR="008E67EA" w:rsidRDefault="008E67EA" w:rsidP="00B44A74">
            <w:pPr>
              <w:pStyle w:val="GazetteTableText"/>
            </w:pPr>
            <w:r>
              <w:t>D</w:t>
            </w:r>
            <w:r w:rsidRPr="00001A49">
              <w:t>ifethialone</w:t>
            </w:r>
          </w:p>
        </w:tc>
        <w:tc>
          <w:tcPr>
            <w:tcW w:w="822" w:type="pct"/>
          </w:tcPr>
          <w:p w14:paraId="62535BD6" w14:textId="77777777" w:rsidR="008E67EA" w:rsidRDefault="008E67EA" w:rsidP="00B44A74">
            <w:pPr>
              <w:pStyle w:val="GazetteTableText"/>
            </w:pPr>
            <w:r>
              <w:t>Commercial</w:t>
            </w:r>
          </w:p>
        </w:tc>
        <w:tc>
          <w:tcPr>
            <w:tcW w:w="970" w:type="pct"/>
          </w:tcPr>
          <w:p w14:paraId="32F6FCD5" w14:textId="77777777" w:rsidR="008E67EA" w:rsidRDefault="008E67EA" w:rsidP="00B44A74">
            <w:pPr>
              <w:pStyle w:val="GazetteTableText"/>
            </w:pPr>
            <w:r w:rsidRPr="00037D4B">
              <w:t>RB 0.025 g/kg or less in pellet formulation</w:t>
            </w:r>
          </w:p>
        </w:tc>
        <w:tc>
          <w:tcPr>
            <w:tcW w:w="498" w:type="pct"/>
          </w:tcPr>
          <w:p w14:paraId="484E33EC" w14:textId="77777777" w:rsidR="008E67EA" w:rsidRDefault="008E67EA" w:rsidP="00B44A74">
            <w:pPr>
              <w:pStyle w:val="GazetteTableText"/>
            </w:pPr>
            <w:r w:rsidRPr="00480DA8">
              <w:t>2</w:t>
            </w:r>
            <w:r>
              <w:t>5</w:t>
            </w:r>
          </w:p>
        </w:tc>
      </w:tr>
      <w:tr w:rsidR="008E67EA" w14:paraId="61CD43E9" w14:textId="77777777" w:rsidTr="00731415">
        <w:tc>
          <w:tcPr>
            <w:tcW w:w="601" w:type="pct"/>
          </w:tcPr>
          <w:p w14:paraId="3084EE98" w14:textId="77777777" w:rsidR="008E67EA" w:rsidRDefault="008E67EA" w:rsidP="00B44A74">
            <w:pPr>
              <w:pStyle w:val="GazetteTableText"/>
            </w:pPr>
            <w:r w:rsidRPr="00584624">
              <w:t>80386</w:t>
            </w:r>
          </w:p>
        </w:tc>
        <w:tc>
          <w:tcPr>
            <w:tcW w:w="1382" w:type="pct"/>
          </w:tcPr>
          <w:p w14:paraId="76C2128F" w14:textId="77777777" w:rsidR="008E67EA" w:rsidRPr="00B75907" w:rsidRDefault="008E67EA" w:rsidP="00B44A74">
            <w:pPr>
              <w:pStyle w:val="GazetteTableText"/>
            </w:pPr>
            <w:r w:rsidRPr="00584624">
              <w:t>Generation Blue Rodenticide Soft Bait</w:t>
            </w:r>
          </w:p>
        </w:tc>
        <w:tc>
          <w:tcPr>
            <w:tcW w:w="727" w:type="pct"/>
          </w:tcPr>
          <w:p w14:paraId="0E4EF3E2" w14:textId="77777777" w:rsidR="008E67EA" w:rsidRDefault="008E67EA" w:rsidP="00B44A74">
            <w:pPr>
              <w:pStyle w:val="GazetteTableText"/>
            </w:pPr>
            <w:r>
              <w:t>D</w:t>
            </w:r>
            <w:r w:rsidRPr="00001A49">
              <w:t>ifethialone</w:t>
            </w:r>
          </w:p>
        </w:tc>
        <w:tc>
          <w:tcPr>
            <w:tcW w:w="822" w:type="pct"/>
          </w:tcPr>
          <w:p w14:paraId="05EEE95D" w14:textId="77777777" w:rsidR="008E67EA" w:rsidRDefault="008E67EA" w:rsidP="00B44A74">
            <w:pPr>
              <w:pStyle w:val="GazetteTableText"/>
            </w:pPr>
            <w:r>
              <w:t>Commercial</w:t>
            </w:r>
          </w:p>
        </w:tc>
        <w:tc>
          <w:tcPr>
            <w:tcW w:w="970" w:type="pct"/>
          </w:tcPr>
          <w:p w14:paraId="397B5A78" w14:textId="77777777" w:rsidR="008E67EA" w:rsidRDefault="008E67EA" w:rsidP="00B44A74">
            <w:pPr>
              <w:pStyle w:val="GazetteTableText"/>
            </w:pPr>
            <w:r w:rsidRPr="00AA105E">
              <w:t>RB 0.025 g/kg or less in sachet or place pack</w:t>
            </w:r>
          </w:p>
        </w:tc>
        <w:tc>
          <w:tcPr>
            <w:tcW w:w="498" w:type="pct"/>
          </w:tcPr>
          <w:p w14:paraId="4C4A8496" w14:textId="77777777" w:rsidR="008E67EA" w:rsidRDefault="008E67EA" w:rsidP="00B44A74">
            <w:pPr>
              <w:pStyle w:val="GazetteTableText"/>
            </w:pPr>
            <w:r w:rsidRPr="00480DA8">
              <w:t>2</w:t>
            </w:r>
            <w:r>
              <w:t>6</w:t>
            </w:r>
          </w:p>
        </w:tc>
      </w:tr>
      <w:tr w:rsidR="008E67EA" w14:paraId="33FC7CEB" w14:textId="77777777" w:rsidTr="00731415">
        <w:tc>
          <w:tcPr>
            <w:tcW w:w="601" w:type="pct"/>
          </w:tcPr>
          <w:p w14:paraId="1AB31E2F" w14:textId="77777777" w:rsidR="008E67EA" w:rsidRPr="000F742E" w:rsidRDefault="008E67EA" w:rsidP="00B44A74">
            <w:pPr>
              <w:pStyle w:val="GazetteTableText"/>
            </w:pPr>
            <w:r w:rsidRPr="00631EEB">
              <w:t>89433</w:t>
            </w:r>
          </w:p>
        </w:tc>
        <w:tc>
          <w:tcPr>
            <w:tcW w:w="1382" w:type="pct"/>
          </w:tcPr>
          <w:p w14:paraId="6499B110" w14:textId="77777777" w:rsidR="008E67EA" w:rsidRPr="000F742E" w:rsidRDefault="008E67EA" w:rsidP="00B44A74">
            <w:pPr>
              <w:pStyle w:val="GazetteTableText"/>
            </w:pPr>
            <w:r w:rsidRPr="00631EEB">
              <w:t>RAMIK Bars Rodenticide</w:t>
            </w:r>
          </w:p>
        </w:tc>
        <w:tc>
          <w:tcPr>
            <w:tcW w:w="727" w:type="pct"/>
          </w:tcPr>
          <w:p w14:paraId="772A914B" w14:textId="77777777" w:rsidR="008E67EA" w:rsidRDefault="008E67EA" w:rsidP="00B44A74">
            <w:pPr>
              <w:pStyle w:val="GazetteTableText"/>
            </w:pPr>
            <w:r>
              <w:t>D</w:t>
            </w:r>
            <w:r w:rsidRPr="00001A49">
              <w:t>iphacinone</w:t>
            </w:r>
          </w:p>
        </w:tc>
        <w:tc>
          <w:tcPr>
            <w:tcW w:w="822" w:type="pct"/>
          </w:tcPr>
          <w:p w14:paraId="3714EC53" w14:textId="77777777" w:rsidR="008E67EA" w:rsidRDefault="008E67EA" w:rsidP="00B44A74">
            <w:pPr>
              <w:pStyle w:val="GazetteTableText"/>
            </w:pPr>
            <w:r>
              <w:t>Commercial</w:t>
            </w:r>
          </w:p>
        </w:tc>
        <w:tc>
          <w:tcPr>
            <w:tcW w:w="970" w:type="pct"/>
          </w:tcPr>
          <w:p w14:paraId="38BAEC38" w14:textId="77777777" w:rsidR="008E67EA" w:rsidRDefault="008E67EA" w:rsidP="00B44A74">
            <w:pPr>
              <w:pStyle w:val="GazetteTableText"/>
            </w:pPr>
            <w:r w:rsidRPr="00AA105E">
              <w:t>RB 0.05 g/kg or less in block formulation</w:t>
            </w:r>
          </w:p>
        </w:tc>
        <w:tc>
          <w:tcPr>
            <w:tcW w:w="498" w:type="pct"/>
          </w:tcPr>
          <w:p w14:paraId="7604DF6E" w14:textId="77777777" w:rsidR="008E67EA" w:rsidRDefault="008E67EA" w:rsidP="00B44A74">
            <w:pPr>
              <w:pStyle w:val="GazetteTableText"/>
            </w:pPr>
            <w:r w:rsidRPr="00480DA8">
              <w:t>2</w:t>
            </w:r>
            <w:r>
              <w:t>7</w:t>
            </w:r>
          </w:p>
        </w:tc>
      </w:tr>
      <w:tr w:rsidR="008E67EA" w14:paraId="63AFE218" w14:textId="77777777" w:rsidTr="00731415">
        <w:tc>
          <w:tcPr>
            <w:tcW w:w="601" w:type="pct"/>
          </w:tcPr>
          <w:p w14:paraId="785103E2" w14:textId="77777777" w:rsidR="008E67EA" w:rsidRDefault="008E67EA" w:rsidP="00B44A74">
            <w:pPr>
              <w:pStyle w:val="GazetteTableText"/>
            </w:pPr>
            <w:r w:rsidRPr="00E17EF4">
              <w:t>47768</w:t>
            </w:r>
          </w:p>
        </w:tc>
        <w:tc>
          <w:tcPr>
            <w:tcW w:w="1382" w:type="pct"/>
          </w:tcPr>
          <w:p w14:paraId="570EDE00" w14:textId="77777777" w:rsidR="008E67EA" w:rsidRPr="00B75907" w:rsidRDefault="008E67EA" w:rsidP="00B44A74">
            <w:pPr>
              <w:pStyle w:val="GazetteTableText"/>
            </w:pPr>
            <w:r w:rsidRPr="00E17EF4">
              <w:t>Storm Wax Block Rodenticide</w:t>
            </w:r>
          </w:p>
        </w:tc>
        <w:tc>
          <w:tcPr>
            <w:tcW w:w="727" w:type="pct"/>
          </w:tcPr>
          <w:p w14:paraId="70678B3A" w14:textId="77777777" w:rsidR="008E67EA" w:rsidRDefault="008E67EA" w:rsidP="00B44A74">
            <w:pPr>
              <w:pStyle w:val="GazetteTableText"/>
            </w:pPr>
            <w:r>
              <w:t>F</w:t>
            </w:r>
            <w:r w:rsidRPr="00001A49">
              <w:t>locoumafen</w:t>
            </w:r>
          </w:p>
        </w:tc>
        <w:tc>
          <w:tcPr>
            <w:tcW w:w="822" w:type="pct"/>
          </w:tcPr>
          <w:p w14:paraId="4F55191F" w14:textId="77777777" w:rsidR="008E67EA" w:rsidRDefault="008E67EA" w:rsidP="00B44A74">
            <w:pPr>
              <w:pStyle w:val="GazetteTableText"/>
            </w:pPr>
            <w:r>
              <w:t>Commercial</w:t>
            </w:r>
          </w:p>
        </w:tc>
        <w:tc>
          <w:tcPr>
            <w:tcW w:w="970" w:type="pct"/>
          </w:tcPr>
          <w:p w14:paraId="0EB18737" w14:textId="77777777" w:rsidR="008E67EA" w:rsidRDefault="008E67EA" w:rsidP="00B44A74">
            <w:pPr>
              <w:pStyle w:val="GazetteTableText"/>
            </w:pPr>
            <w:r w:rsidRPr="00AA105E">
              <w:t>RB 0.05 g/kg or less in block formulation</w:t>
            </w:r>
          </w:p>
        </w:tc>
        <w:tc>
          <w:tcPr>
            <w:tcW w:w="498" w:type="pct"/>
          </w:tcPr>
          <w:p w14:paraId="4B9D115C" w14:textId="77777777" w:rsidR="008E67EA" w:rsidRDefault="008E67EA" w:rsidP="00B44A74">
            <w:pPr>
              <w:pStyle w:val="GazetteTableText"/>
            </w:pPr>
            <w:r>
              <w:t>29</w:t>
            </w:r>
          </w:p>
        </w:tc>
      </w:tr>
      <w:tr w:rsidR="008E67EA" w14:paraId="50E15EC0" w14:textId="77777777" w:rsidTr="00731415">
        <w:tc>
          <w:tcPr>
            <w:tcW w:w="601" w:type="pct"/>
          </w:tcPr>
          <w:p w14:paraId="6D818D3B" w14:textId="77777777" w:rsidR="008E67EA" w:rsidRDefault="008E67EA" w:rsidP="00B44A74">
            <w:pPr>
              <w:pStyle w:val="GazetteTableText"/>
            </w:pPr>
            <w:r w:rsidRPr="00E17EF4">
              <w:t>54191</w:t>
            </w:r>
          </w:p>
        </w:tc>
        <w:tc>
          <w:tcPr>
            <w:tcW w:w="1382" w:type="pct"/>
          </w:tcPr>
          <w:p w14:paraId="1E13FA76" w14:textId="77777777" w:rsidR="008E67EA" w:rsidRPr="00B75907" w:rsidRDefault="008E67EA" w:rsidP="00B44A74">
            <w:pPr>
              <w:pStyle w:val="GazetteTableText"/>
            </w:pPr>
            <w:r w:rsidRPr="00E17EF4">
              <w:t>Storm Secure Wax Block Rodenticide</w:t>
            </w:r>
          </w:p>
        </w:tc>
        <w:tc>
          <w:tcPr>
            <w:tcW w:w="727" w:type="pct"/>
          </w:tcPr>
          <w:p w14:paraId="7F7C353D" w14:textId="77777777" w:rsidR="008E67EA" w:rsidRDefault="008E67EA" w:rsidP="00B44A74">
            <w:pPr>
              <w:pStyle w:val="GazetteTableText"/>
            </w:pPr>
            <w:r>
              <w:t>F</w:t>
            </w:r>
            <w:r w:rsidRPr="00001A49">
              <w:t>locoumafen</w:t>
            </w:r>
          </w:p>
        </w:tc>
        <w:tc>
          <w:tcPr>
            <w:tcW w:w="822" w:type="pct"/>
          </w:tcPr>
          <w:p w14:paraId="5B136416" w14:textId="77777777" w:rsidR="008E67EA" w:rsidRDefault="008E67EA" w:rsidP="00B44A74">
            <w:pPr>
              <w:pStyle w:val="GazetteTableText"/>
            </w:pPr>
            <w:r>
              <w:t>Commercial</w:t>
            </w:r>
          </w:p>
        </w:tc>
        <w:tc>
          <w:tcPr>
            <w:tcW w:w="970" w:type="pct"/>
          </w:tcPr>
          <w:p w14:paraId="11F394CF" w14:textId="77777777" w:rsidR="008E67EA" w:rsidRDefault="008E67EA" w:rsidP="00B44A74">
            <w:pPr>
              <w:pStyle w:val="GazetteTableText"/>
            </w:pPr>
            <w:r w:rsidRPr="00AA105E">
              <w:t>RB 0.05 g/kg or less in block formulation</w:t>
            </w:r>
          </w:p>
        </w:tc>
        <w:tc>
          <w:tcPr>
            <w:tcW w:w="498" w:type="pct"/>
          </w:tcPr>
          <w:p w14:paraId="48A0837E" w14:textId="77777777" w:rsidR="008E67EA" w:rsidRDefault="008E67EA" w:rsidP="00B44A74">
            <w:pPr>
              <w:pStyle w:val="GazetteTableText"/>
            </w:pPr>
            <w:r>
              <w:t>29</w:t>
            </w:r>
          </w:p>
        </w:tc>
      </w:tr>
      <w:tr w:rsidR="008E67EA" w14:paraId="5B838020" w14:textId="77777777" w:rsidTr="00731415">
        <w:tc>
          <w:tcPr>
            <w:tcW w:w="601" w:type="pct"/>
          </w:tcPr>
          <w:p w14:paraId="70FCCDC1" w14:textId="77777777" w:rsidR="008E67EA" w:rsidRDefault="008E67EA" w:rsidP="00B44A74">
            <w:pPr>
              <w:pStyle w:val="GazetteTableText"/>
            </w:pPr>
            <w:r w:rsidRPr="00E17EF4">
              <w:t>80663</w:t>
            </w:r>
          </w:p>
        </w:tc>
        <w:tc>
          <w:tcPr>
            <w:tcW w:w="1382" w:type="pct"/>
          </w:tcPr>
          <w:p w14:paraId="2D6E556F" w14:textId="77777777" w:rsidR="008E67EA" w:rsidRPr="00B75907" w:rsidRDefault="008E67EA" w:rsidP="00B44A74">
            <w:pPr>
              <w:pStyle w:val="GazetteTableText"/>
            </w:pPr>
            <w:r w:rsidRPr="00E17EF4">
              <w:t>Storm Soft Bait Rodenticide</w:t>
            </w:r>
          </w:p>
        </w:tc>
        <w:tc>
          <w:tcPr>
            <w:tcW w:w="727" w:type="pct"/>
          </w:tcPr>
          <w:p w14:paraId="7CD04196" w14:textId="77777777" w:rsidR="008E67EA" w:rsidRDefault="008E67EA" w:rsidP="00B44A74">
            <w:pPr>
              <w:pStyle w:val="GazetteTableText"/>
            </w:pPr>
            <w:r>
              <w:t>F</w:t>
            </w:r>
            <w:r w:rsidRPr="00001A49">
              <w:t>locoumafen</w:t>
            </w:r>
          </w:p>
        </w:tc>
        <w:tc>
          <w:tcPr>
            <w:tcW w:w="822" w:type="pct"/>
          </w:tcPr>
          <w:p w14:paraId="5C711585" w14:textId="77777777" w:rsidR="008E67EA" w:rsidRDefault="008E67EA" w:rsidP="00B44A74">
            <w:pPr>
              <w:pStyle w:val="GazetteTableText"/>
            </w:pPr>
            <w:r>
              <w:t>Commercial</w:t>
            </w:r>
          </w:p>
        </w:tc>
        <w:tc>
          <w:tcPr>
            <w:tcW w:w="970" w:type="pct"/>
          </w:tcPr>
          <w:p w14:paraId="79537D3C" w14:textId="77777777" w:rsidR="008E67EA" w:rsidRDefault="008E67EA" w:rsidP="00B44A74">
            <w:pPr>
              <w:pStyle w:val="GazetteTableText"/>
            </w:pPr>
            <w:r w:rsidRPr="00AA105E">
              <w:t>RB 0.05 g/kg or less in sachet or place pack</w:t>
            </w:r>
          </w:p>
        </w:tc>
        <w:tc>
          <w:tcPr>
            <w:tcW w:w="498" w:type="pct"/>
          </w:tcPr>
          <w:p w14:paraId="12F8528C" w14:textId="77777777" w:rsidR="008E67EA" w:rsidRDefault="008E67EA" w:rsidP="00B44A74">
            <w:pPr>
              <w:pStyle w:val="GazetteTableText"/>
            </w:pPr>
            <w:r>
              <w:t>28</w:t>
            </w:r>
          </w:p>
        </w:tc>
      </w:tr>
      <w:tr w:rsidR="008E67EA" w14:paraId="1BAAD2E6" w14:textId="77777777" w:rsidTr="00731415">
        <w:tc>
          <w:tcPr>
            <w:tcW w:w="601" w:type="pct"/>
          </w:tcPr>
          <w:p w14:paraId="5ED73F76" w14:textId="77777777" w:rsidR="008E67EA" w:rsidRDefault="008E67EA" w:rsidP="00B44A74">
            <w:pPr>
              <w:pStyle w:val="GazetteTableText"/>
            </w:pPr>
            <w:r w:rsidRPr="00E17EF4">
              <w:t>90839</w:t>
            </w:r>
          </w:p>
        </w:tc>
        <w:tc>
          <w:tcPr>
            <w:tcW w:w="1382" w:type="pct"/>
          </w:tcPr>
          <w:p w14:paraId="02AA8B08" w14:textId="77777777" w:rsidR="008E67EA" w:rsidRPr="00B75907" w:rsidRDefault="008E67EA" w:rsidP="00B44A74">
            <w:pPr>
              <w:pStyle w:val="GazetteTableText"/>
            </w:pPr>
            <w:r w:rsidRPr="00E17EF4">
              <w:t>Stratagem Soft Bait Rodenticide</w:t>
            </w:r>
          </w:p>
        </w:tc>
        <w:tc>
          <w:tcPr>
            <w:tcW w:w="727" w:type="pct"/>
          </w:tcPr>
          <w:p w14:paraId="63A45A5E" w14:textId="77777777" w:rsidR="008E67EA" w:rsidRDefault="008E67EA" w:rsidP="00B44A74">
            <w:pPr>
              <w:pStyle w:val="GazetteTableText"/>
            </w:pPr>
            <w:r>
              <w:t>F</w:t>
            </w:r>
            <w:r w:rsidRPr="00001A49">
              <w:t>locoumafen</w:t>
            </w:r>
          </w:p>
        </w:tc>
        <w:tc>
          <w:tcPr>
            <w:tcW w:w="822" w:type="pct"/>
          </w:tcPr>
          <w:p w14:paraId="332BA54A" w14:textId="77777777" w:rsidR="008E67EA" w:rsidRDefault="008E67EA" w:rsidP="00B44A74">
            <w:pPr>
              <w:pStyle w:val="GazetteTableText"/>
            </w:pPr>
            <w:r>
              <w:t>Commercial</w:t>
            </w:r>
          </w:p>
        </w:tc>
        <w:tc>
          <w:tcPr>
            <w:tcW w:w="970" w:type="pct"/>
          </w:tcPr>
          <w:p w14:paraId="2C70C9E5" w14:textId="77777777" w:rsidR="008E67EA" w:rsidRDefault="008E67EA" w:rsidP="00B44A74">
            <w:pPr>
              <w:pStyle w:val="GazetteTableText"/>
            </w:pPr>
            <w:r w:rsidRPr="00AA105E">
              <w:t>RB 0.05 g/kg or less in sachet or place pack</w:t>
            </w:r>
          </w:p>
        </w:tc>
        <w:tc>
          <w:tcPr>
            <w:tcW w:w="498" w:type="pct"/>
          </w:tcPr>
          <w:p w14:paraId="7DFE3100" w14:textId="77777777" w:rsidR="008E67EA" w:rsidRDefault="008E67EA" w:rsidP="00B44A74">
            <w:pPr>
              <w:pStyle w:val="GazetteTableText"/>
            </w:pPr>
            <w:r>
              <w:t>28</w:t>
            </w:r>
          </w:p>
        </w:tc>
      </w:tr>
      <w:tr w:rsidR="008E67EA" w14:paraId="4473216A" w14:textId="77777777" w:rsidTr="00731415">
        <w:tc>
          <w:tcPr>
            <w:tcW w:w="601" w:type="pct"/>
          </w:tcPr>
          <w:p w14:paraId="03698BD0" w14:textId="77777777" w:rsidR="008E67EA" w:rsidRDefault="008E67EA" w:rsidP="00B44A74">
            <w:pPr>
              <w:pStyle w:val="GazetteTableText"/>
            </w:pPr>
            <w:r w:rsidRPr="00E17EF4">
              <w:t>90840</w:t>
            </w:r>
          </w:p>
        </w:tc>
        <w:tc>
          <w:tcPr>
            <w:tcW w:w="1382" w:type="pct"/>
          </w:tcPr>
          <w:p w14:paraId="03255E44" w14:textId="77777777" w:rsidR="008E67EA" w:rsidRPr="00B75907" w:rsidRDefault="008E67EA" w:rsidP="00B44A74">
            <w:pPr>
              <w:pStyle w:val="GazetteTableText"/>
            </w:pPr>
            <w:r w:rsidRPr="00E17EF4">
              <w:t>Stratagem Wax Block Rodenticide</w:t>
            </w:r>
          </w:p>
        </w:tc>
        <w:tc>
          <w:tcPr>
            <w:tcW w:w="727" w:type="pct"/>
          </w:tcPr>
          <w:p w14:paraId="4B9E16EB" w14:textId="77777777" w:rsidR="008E67EA" w:rsidRDefault="008E67EA" w:rsidP="00B44A74">
            <w:pPr>
              <w:pStyle w:val="GazetteTableText"/>
            </w:pPr>
            <w:r>
              <w:t>F</w:t>
            </w:r>
            <w:r w:rsidRPr="00001A49">
              <w:t>locoumafen</w:t>
            </w:r>
          </w:p>
        </w:tc>
        <w:tc>
          <w:tcPr>
            <w:tcW w:w="822" w:type="pct"/>
          </w:tcPr>
          <w:p w14:paraId="0AE20267" w14:textId="77777777" w:rsidR="008E67EA" w:rsidRDefault="008E67EA" w:rsidP="00B44A74">
            <w:pPr>
              <w:pStyle w:val="GazetteTableText"/>
            </w:pPr>
            <w:r>
              <w:t>Commercial</w:t>
            </w:r>
          </w:p>
        </w:tc>
        <w:tc>
          <w:tcPr>
            <w:tcW w:w="970" w:type="pct"/>
          </w:tcPr>
          <w:p w14:paraId="1B82E969" w14:textId="77777777" w:rsidR="008E67EA" w:rsidRDefault="008E67EA" w:rsidP="00B44A74">
            <w:pPr>
              <w:pStyle w:val="GazetteTableText"/>
            </w:pPr>
            <w:r w:rsidRPr="00AA105E">
              <w:t>RB 0.05 g/kg or less in block formulation</w:t>
            </w:r>
          </w:p>
        </w:tc>
        <w:tc>
          <w:tcPr>
            <w:tcW w:w="498" w:type="pct"/>
          </w:tcPr>
          <w:p w14:paraId="08411945" w14:textId="77777777" w:rsidR="008E67EA" w:rsidRDefault="008E67EA" w:rsidP="00B44A74">
            <w:pPr>
              <w:pStyle w:val="GazetteTableText"/>
            </w:pPr>
            <w:r>
              <w:t>29</w:t>
            </w:r>
          </w:p>
        </w:tc>
      </w:tr>
    </w:tbl>
    <w:p w14:paraId="08C00143" w14:textId="77777777" w:rsidR="00731415" w:rsidRDefault="00731415" w:rsidP="008E67EA">
      <w:pPr>
        <w:pStyle w:val="Heading1"/>
        <w:rPr>
          <w:rFonts w:ascii="Franklin Gothic Medium" w:eastAsia="Arial Unicode MS" w:hAnsi="Franklin Gothic Medium"/>
          <w:color w:val="000000" w:themeColor="text1"/>
          <w:sz w:val="28"/>
          <w:szCs w:val="28"/>
          <w:bdr w:val="none" w:sz="0" w:space="0" w:color="auto" w:frame="1"/>
          <w:lang w:val="en-GB" w:eastAsia="en-AU"/>
        </w:rPr>
        <w:sectPr w:rsidR="00731415" w:rsidSect="00CB73E0">
          <w:pgSz w:w="11906" w:h="16838"/>
          <w:pgMar w:top="1440" w:right="1134" w:bottom="1440" w:left="1134" w:header="794" w:footer="737" w:gutter="0"/>
          <w:cols w:space="708"/>
          <w:docGrid w:linePitch="360"/>
        </w:sectPr>
      </w:pPr>
    </w:p>
    <w:p w14:paraId="73164662" w14:textId="77777777" w:rsidR="008E67EA" w:rsidRPr="00DA343B" w:rsidRDefault="008E67EA" w:rsidP="008E67EA">
      <w:pPr>
        <w:pStyle w:val="Heading1"/>
        <w:rPr>
          <w:rFonts w:ascii="Franklin Gothic Medium" w:eastAsia="Arial Unicode MS" w:hAnsi="Franklin Gothic Medium"/>
          <w:color w:val="000000" w:themeColor="text1"/>
          <w:sz w:val="28"/>
          <w:szCs w:val="28"/>
          <w:bdr w:val="none" w:sz="0" w:space="0" w:color="auto" w:frame="1"/>
          <w:lang w:val="en-GB" w:eastAsia="en-AU"/>
        </w:rPr>
      </w:pPr>
      <w:r w:rsidRPr="00DA343B">
        <w:rPr>
          <w:rFonts w:ascii="Franklin Gothic Medium" w:eastAsia="Arial Unicode MS" w:hAnsi="Franklin Gothic Medium"/>
          <w:color w:val="000000" w:themeColor="text1"/>
          <w:sz w:val="28"/>
          <w:szCs w:val="28"/>
          <w:bdr w:val="none" w:sz="0" w:space="0" w:color="auto" w:frame="1"/>
          <w:lang w:val="en-GB" w:eastAsia="en-AU"/>
        </w:rPr>
        <w:lastRenderedPageBreak/>
        <w:t>Brodifacoum</w:t>
      </w:r>
    </w:p>
    <w:p w14:paraId="38970467" w14:textId="77777777" w:rsidR="008E67EA" w:rsidRDefault="008E67EA" w:rsidP="008E67EA">
      <w:pPr>
        <w:keepNext/>
        <w:keepLines/>
        <w:spacing w:before="400" w:after="240" w:line="280" w:lineRule="exact"/>
        <w:outlineLvl w:val="1"/>
        <w:rPr>
          <w:rFonts w:ascii="Franklin Gothic Medium" w:eastAsia="Arial Unicode MS" w:hAnsi="Franklin Gothic Medium"/>
          <w:bCs/>
          <w:iCs/>
          <w:bdr w:val="none" w:sz="0" w:space="0" w:color="auto" w:frame="1"/>
          <w:lang w:val="en-GB" w:eastAsia="en-AU"/>
        </w:rPr>
      </w:pPr>
      <w:r w:rsidRPr="00FF36BF">
        <w:rPr>
          <w:rFonts w:ascii="Franklin Gothic Medium" w:eastAsia="Arial Unicode MS" w:hAnsi="Franklin Gothic Medium"/>
          <w:bCs/>
          <w:iCs/>
          <w:bdr w:val="none" w:sz="0" w:space="0" w:color="auto" w:frame="1"/>
          <w:lang w:val="en-GB" w:eastAsia="en-AU"/>
        </w:rPr>
        <w:t>Commercial</w:t>
      </w:r>
      <w:r>
        <w:rPr>
          <w:rFonts w:ascii="Franklin Gothic Medium" w:eastAsia="Arial Unicode MS" w:hAnsi="Franklin Gothic Medium"/>
          <w:bCs/>
          <w:iCs/>
          <w:bdr w:val="none" w:sz="0" w:space="0" w:color="auto" w:frame="1"/>
          <w:lang w:val="en-GB" w:eastAsia="en-AU"/>
        </w:rPr>
        <w:t xml:space="preserve"> pest-control product:</w:t>
      </w:r>
      <w:r w:rsidRPr="00FF36BF">
        <w:rPr>
          <w:rFonts w:ascii="Franklin Gothic Medium" w:eastAsia="Arial Unicode MS" w:hAnsi="Franklin Gothic Medium"/>
          <w:bCs/>
          <w:iCs/>
          <w:bdr w:val="none" w:sz="0" w:space="0" w:color="auto" w:frame="1"/>
          <w:lang w:val="en-GB" w:eastAsia="en-AU"/>
        </w:rPr>
        <w:t xml:space="preserve"> </w:t>
      </w:r>
      <w:r w:rsidRPr="00DA343B">
        <w:rPr>
          <w:rFonts w:ascii="Franklin Gothic Medium" w:eastAsia="Arial Unicode MS" w:hAnsi="Franklin Gothic Medium"/>
          <w:bCs/>
          <w:iCs/>
          <w:bdr w:val="none" w:sz="0" w:space="0" w:color="auto" w:frame="1"/>
          <w:lang w:val="en-GB" w:eastAsia="en-AU"/>
        </w:rPr>
        <w:t>RB 0.05 g/kg or less in block formulation</w:t>
      </w:r>
    </w:p>
    <w:p w14:paraId="1490C55A" w14:textId="77777777" w:rsidR="008E67EA"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t xml:space="preserve">Template Label </w:t>
      </w:r>
      <w:r>
        <w:rPr>
          <w:rFonts w:cs="Arial"/>
          <w:b/>
          <w:bCs/>
          <w:sz w:val="20"/>
          <w:szCs w:val="20"/>
          <w:bdr w:val="none" w:sz="0" w:space="0" w:color="auto" w:frame="1"/>
          <w:lang w:val="en-GB" w:eastAsia="en-AU"/>
        </w:rPr>
        <w:t>1a</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2B5B5B" w14:paraId="4A7453C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0EFD0AF" w14:textId="77777777" w:rsidR="008E67EA" w:rsidRPr="00F5215F" w:rsidRDefault="008E67EA" w:rsidP="00B44A74">
            <w:pPr>
              <w:spacing w:line="280" w:lineRule="exact"/>
              <w:rPr>
                <w:rFonts w:cs="Arial"/>
                <w:sz w:val="20"/>
                <w:szCs w:val="20"/>
              </w:rPr>
            </w:pPr>
            <w:r w:rsidRPr="00F5215F">
              <w:rPr>
                <w:rFonts w:cs="Arial"/>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5B258BE2" w14:textId="77777777" w:rsidR="008E67EA" w:rsidRPr="0015462A" w:rsidRDefault="008E67EA" w:rsidP="00B44A74">
            <w:pPr>
              <w:spacing w:line="280" w:lineRule="exact"/>
              <w:rPr>
                <w:rFonts w:cs="Arial"/>
                <w:sz w:val="20"/>
                <w:szCs w:val="20"/>
              </w:rPr>
            </w:pPr>
            <w:r w:rsidRPr="0015462A">
              <w:rPr>
                <w:rFonts w:cs="Arial"/>
                <w:sz w:val="20"/>
                <w:szCs w:val="20"/>
              </w:rPr>
              <w:t>[INSERT LABEL NAME]</w:t>
            </w:r>
          </w:p>
        </w:tc>
      </w:tr>
      <w:tr w:rsidR="008E67EA" w:rsidRPr="002B5B5B" w14:paraId="1FC63486" w14:textId="77777777" w:rsidTr="00B44A74">
        <w:trPr>
          <w:jc w:val="center"/>
        </w:trPr>
        <w:tc>
          <w:tcPr>
            <w:tcW w:w="2415" w:type="dxa"/>
            <w:tcBorders>
              <w:top w:val="single" w:sz="4" w:space="0" w:color="auto"/>
              <w:left w:val="nil"/>
              <w:bottom w:val="single" w:sz="4" w:space="0" w:color="auto"/>
              <w:right w:val="nil"/>
            </w:tcBorders>
          </w:tcPr>
          <w:p w14:paraId="6BBF3B6E"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257DD01" w14:textId="77777777" w:rsidR="008E67EA" w:rsidRPr="0015462A" w:rsidRDefault="008E67EA" w:rsidP="00B44A74">
            <w:pPr>
              <w:spacing w:line="280" w:lineRule="exact"/>
              <w:rPr>
                <w:rFonts w:cs="Arial"/>
                <w:sz w:val="20"/>
                <w:szCs w:val="20"/>
              </w:rPr>
            </w:pPr>
          </w:p>
        </w:tc>
      </w:tr>
      <w:tr w:rsidR="008E67EA" w:rsidRPr="002B5B5B" w14:paraId="4CC7C7F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1D9C542" w14:textId="77777777" w:rsidR="008E67EA" w:rsidRPr="00F5215F" w:rsidRDefault="008E67EA" w:rsidP="00B44A74">
            <w:pPr>
              <w:spacing w:line="280" w:lineRule="exact"/>
              <w:rPr>
                <w:rFonts w:cs="Arial"/>
                <w:sz w:val="20"/>
                <w:szCs w:val="20"/>
              </w:rPr>
            </w:pPr>
            <w:r w:rsidRPr="00F5215F">
              <w:rPr>
                <w:rFonts w:cs="Arial"/>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6A7140E0" w14:textId="77777777" w:rsidR="008E67EA" w:rsidRPr="00A86A4B" w:rsidRDefault="008E67EA" w:rsidP="00B44A74">
            <w:pPr>
              <w:spacing w:line="280" w:lineRule="exact"/>
              <w:rPr>
                <w:rFonts w:cs="Arial"/>
                <w:color w:val="000000" w:themeColor="text1"/>
                <w:sz w:val="20"/>
                <w:szCs w:val="20"/>
              </w:rPr>
            </w:pPr>
            <w:r w:rsidRPr="00A86A4B">
              <w:rPr>
                <w:rFonts w:cs="Arial"/>
                <w:color w:val="000000" w:themeColor="text1"/>
                <w:sz w:val="20"/>
                <w:szCs w:val="20"/>
              </w:rPr>
              <w:t>POISON</w:t>
            </w:r>
          </w:p>
          <w:p w14:paraId="15D2D1A8" w14:textId="77777777" w:rsidR="008E67EA" w:rsidRPr="00A86A4B" w:rsidRDefault="008E67EA" w:rsidP="00B44A74">
            <w:pPr>
              <w:spacing w:line="280" w:lineRule="exact"/>
              <w:rPr>
                <w:rFonts w:cs="Arial"/>
                <w:color w:val="000000" w:themeColor="text1"/>
                <w:sz w:val="20"/>
                <w:szCs w:val="20"/>
              </w:rPr>
            </w:pPr>
            <w:r w:rsidRPr="00A86A4B">
              <w:rPr>
                <w:rFonts w:cs="Arial"/>
                <w:color w:val="000000" w:themeColor="text1"/>
                <w:sz w:val="20"/>
                <w:szCs w:val="20"/>
              </w:rPr>
              <w:t>KEEP OUT OF REACH OF CHILDREN</w:t>
            </w:r>
          </w:p>
          <w:p w14:paraId="53C1CC4F" w14:textId="77777777" w:rsidR="008E67EA" w:rsidRPr="00A86A4B" w:rsidRDefault="008E67EA" w:rsidP="00B44A74">
            <w:pPr>
              <w:spacing w:line="280" w:lineRule="exact"/>
              <w:rPr>
                <w:rFonts w:cs="Arial"/>
                <w:color w:val="000000" w:themeColor="text1"/>
                <w:sz w:val="20"/>
                <w:szCs w:val="20"/>
              </w:rPr>
            </w:pPr>
            <w:r w:rsidRPr="00A86A4B">
              <w:rPr>
                <w:rFonts w:cs="Arial"/>
                <w:color w:val="000000" w:themeColor="text1"/>
                <w:sz w:val="20"/>
                <w:szCs w:val="20"/>
              </w:rPr>
              <w:t>READ SAFETY DIRECTIONS BEFORE OPENING OR USING</w:t>
            </w:r>
          </w:p>
        </w:tc>
      </w:tr>
      <w:tr w:rsidR="008E67EA" w:rsidRPr="002B5B5B" w14:paraId="326EEDEE" w14:textId="77777777" w:rsidTr="00B44A74">
        <w:trPr>
          <w:jc w:val="center"/>
        </w:trPr>
        <w:tc>
          <w:tcPr>
            <w:tcW w:w="2415" w:type="dxa"/>
            <w:tcBorders>
              <w:top w:val="single" w:sz="4" w:space="0" w:color="auto"/>
              <w:left w:val="nil"/>
              <w:bottom w:val="single" w:sz="4" w:space="0" w:color="auto"/>
              <w:right w:val="nil"/>
            </w:tcBorders>
          </w:tcPr>
          <w:p w14:paraId="274F43B2"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6E4CBE6" w14:textId="77777777" w:rsidR="008E67EA" w:rsidRPr="0015462A" w:rsidRDefault="008E67EA" w:rsidP="00B44A74">
            <w:pPr>
              <w:spacing w:line="280" w:lineRule="exact"/>
              <w:rPr>
                <w:rFonts w:cs="Arial"/>
                <w:sz w:val="20"/>
                <w:szCs w:val="20"/>
              </w:rPr>
            </w:pPr>
          </w:p>
        </w:tc>
      </w:tr>
      <w:tr w:rsidR="008E67EA" w:rsidRPr="002B5B5B" w14:paraId="6946584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4AA7FDA" w14:textId="77777777" w:rsidR="008E67EA" w:rsidRPr="00F5215F" w:rsidRDefault="008E67EA" w:rsidP="00B44A74">
            <w:pPr>
              <w:spacing w:line="280" w:lineRule="exact"/>
              <w:rPr>
                <w:rFonts w:cs="Arial"/>
                <w:sz w:val="20"/>
                <w:szCs w:val="20"/>
              </w:rPr>
            </w:pPr>
            <w:r w:rsidRPr="00F5215F">
              <w:rPr>
                <w:rFonts w:cs="Arial"/>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7BF7B777" w14:textId="77777777" w:rsidR="008E67EA" w:rsidRPr="00A86A4B" w:rsidRDefault="008E67EA" w:rsidP="00B44A74">
            <w:pPr>
              <w:spacing w:line="280" w:lineRule="exact"/>
              <w:rPr>
                <w:rFonts w:cs="Arial"/>
                <w:sz w:val="20"/>
                <w:szCs w:val="20"/>
              </w:rPr>
            </w:pPr>
            <w:r w:rsidRPr="00A86A4B">
              <w:rPr>
                <w:rFonts w:cs="Arial"/>
                <w:color w:val="000000" w:themeColor="text1"/>
                <w:sz w:val="20"/>
                <w:szCs w:val="20"/>
              </w:rPr>
              <w:t>ACTIVE CONSTITUENT: 0.05 g/kg BRODIFACOUM</w:t>
            </w:r>
          </w:p>
        </w:tc>
      </w:tr>
      <w:tr w:rsidR="008E67EA" w:rsidRPr="002B5B5B" w14:paraId="2D2D6B0F" w14:textId="77777777" w:rsidTr="00B44A74">
        <w:trPr>
          <w:jc w:val="center"/>
        </w:trPr>
        <w:tc>
          <w:tcPr>
            <w:tcW w:w="2415" w:type="dxa"/>
            <w:tcBorders>
              <w:top w:val="single" w:sz="4" w:space="0" w:color="auto"/>
              <w:left w:val="nil"/>
              <w:bottom w:val="single" w:sz="4" w:space="0" w:color="auto"/>
              <w:right w:val="nil"/>
            </w:tcBorders>
          </w:tcPr>
          <w:p w14:paraId="4AB6566B"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01E158C" w14:textId="77777777" w:rsidR="008E67EA" w:rsidRPr="0015462A" w:rsidRDefault="008E67EA" w:rsidP="00B44A74">
            <w:pPr>
              <w:spacing w:line="280" w:lineRule="exact"/>
              <w:rPr>
                <w:rFonts w:cs="Arial"/>
                <w:sz w:val="20"/>
                <w:szCs w:val="20"/>
              </w:rPr>
            </w:pPr>
          </w:p>
        </w:tc>
      </w:tr>
      <w:tr w:rsidR="008E67EA" w:rsidRPr="00994236" w14:paraId="4E38E34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270F810" w14:textId="77777777" w:rsidR="008E67EA" w:rsidRPr="00F5215F" w:rsidRDefault="008E67EA" w:rsidP="00B44A74">
            <w:pPr>
              <w:spacing w:line="280" w:lineRule="exact"/>
              <w:rPr>
                <w:rFonts w:cs="Arial"/>
                <w:sz w:val="20"/>
                <w:szCs w:val="20"/>
              </w:rPr>
            </w:pPr>
            <w:r w:rsidRPr="00F5215F">
              <w:rPr>
                <w:rFonts w:cs="Arial"/>
                <w:sz w:val="20"/>
                <w:szCs w:val="20"/>
              </w:rPr>
              <w:t>Mode of Action:</w:t>
            </w:r>
          </w:p>
        </w:tc>
        <w:tc>
          <w:tcPr>
            <w:tcW w:w="7755" w:type="dxa"/>
            <w:tcBorders>
              <w:top w:val="single" w:sz="4" w:space="0" w:color="auto"/>
              <w:left w:val="single" w:sz="4" w:space="0" w:color="auto"/>
              <w:bottom w:val="single" w:sz="4" w:space="0" w:color="auto"/>
              <w:right w:val="single" w:sz="4" w:space="0" w:color="auto"/>
            </w:tcBorders>
          </w:tcPr>
          <w:p w14:paraId="02E960F2" w14:textId="77777777" w:rsidR="008E67EA" w:rsidRPr="0015462A" w:rsidRDefault="008E67EA" w:rsidP="00B44A74">
            <w:pPr>
              <w:spacing w:line="280" w:lineRule="exact"/>
              <w:jc w:val="both"/>
              <w:rPr>
                <w:rFonts w:cs="Arial"/>
                <w:sz w:val="20"/>
                <w:szCs w:val="20"/>
              </w:rPr>
            </w:pPr>
          </w:p>
        </w:tc>
      </w:tr>
      <w:tr w:rsidR="008E67EA" w:rsidRPr="002B5B5B" w14:paraId="0CD3D92B" w14:textId="77777777" w:rsidTr="00B44A74">
        <w:trPr>
          <w:jc w:val="center"/>
        </w:trPr>
        <w:tc>
          <w:tcPr>
            <w:tcW w:w="2415" w:type="dxa"/>
            <w:tcBorders>
              <w:top w:val="single" w:sz="4" w:space="0" w:color="auto"/>
              <w:left w:val="nil"/>
              <w:bottom w:val="single" w:sz="4" w:space="0" w:color="auto"/>
              <w:right w:val="nil"/>
            </w:tcBorders>
          </w:tcPr>
          <w:p w14:paraId="7774F470"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CD25A02" w14:textId="77777777" w:rsidR="008E67EA" w:rsidRPr="0015462A" w:rsidRDefault="008E67EA" w:rsidP="00B44A74">
            <w:pPr>
              <w:spacing w:line="280" w:lineRule="exact"/>
              <w:rPr>
                <w:rFonts w:cs="Arial"/>
                <w:sz w:val="20"/>
                <w:szCs w:val="20"/>
              </w:rPr>
            </w:pPr>
          </w:p>
        </w:tc>
      </w:tr>
      <w:tr w:rsidR="008E67EA" w:rsidRPr="002B5B5B" w14:paraId="7D67400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63F0350" w14:textId="77777777" w:rsidR="008E67EA" w:rsidRPr="00F5215F" w:rsidRDefault="008E67EA" w:rsidP="00B44A74">
            <w:pPr>
              <w:spacing w:line="280" w:lineRule="exact"/>
              <w:rPr>
                <w:rFonts w:cs="Arial"/>
                <w:sz w:val="20"/>
                <w:szCs w:val="20"/>
              </w:rPr>
            </w:pPr>
            <w:r w:rsidRPr="00F5215F">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2A6EF2D9" w14:textId="77777777" w:rsidR="008E67EA" w:rsidRPr="0015462A" w:rsidRDefault="008E67EA" w:rsidP="00B44A74">
            <w:pPr>
              <w:spacing w:line="280" w:lineRule="exact"/>
              <w:rPr>
                <w:rFonts w:cs="Arial"/>
                <w:sz w:val="20"/>
                <w:szCs w:val="20"/>
              </w:rPr>
            </w:pPr>
            <w:r>
              <w:rPr>
                <w:rFonts w:cs="Arial"/>
                <w:sz w:val="20"/>
                <w:szCs w:val="20"/>
                <w:bdr w:val="none" w:sz="0" w:space="0" w:color="auto" w:frame="1"/>
                <w:lang w:val="en-GB" w:eastAsia="en-AU"/>
              </w:rPr>
              <w:t xml:space="preserve">For control of mice in </w:t>
            </w:r>
            <w:r w:rsidRPr="00A86A4B">
              <w:rPr>
                <w:rFonts w:cs="Arial"/>
                <w:sz w:val="20"/>
                <w:szCs w:val="20"/>
                <w:bdr w:val="none" w:sz="0" w:space="0" w:color="auto" w:frame="1"/>
                <w:lang w:val="en-GB" w:eastAsia="en-AU"/>
              </w:rPr>
              <w:t>agricultural, commercial, domestic, industrial and public service buildings</w:t>
            </w:r>
            <w:r>
              <w:rPr>
                <w:rFonts w:cs="Arial"/>
                <w:sz w:val="20"/>
                <w:szCs w:val="20"/>
                <w:bdr w:val="none" w:sz="0" w:space="0" w:color="auto" w:frame="1"/>
                <w:lang w:val="en-GB" w:eastAsia="en-AU"/>
              </w:rPr>
              <w:t xml:space="preserve"> and for control of rats in and around </w:t>
            </w:r>
            <w:r w:rsidRPr="00A86A4B">
              <w:rPr>
                <w:rFonts w:cs="Arial"/>
                <w:sz w:val="20"/>
                <w:szCs w:val="20"/>
                <w:bdr w:val="none" w:sz="0" w:space="0" w:color="auto" w:frame="1"/>
                <w:lang w:val="en-GB" w:eastAsia="en-AU"/>
              </w:rPr>
              <w:t>agricultural, commercial, domestic, industrial and public service buildings</w:t>
            </w:r>
            <w:r>
              <w:rPr>
                <w:rFonts w:cs="Arial"/>
                <w:sz w:val="20"/>
                <w:szCs w:val="20"/>
                <w:bdr w:val="none" w:sz="0" w:space="0" w:color="auto" w:frame="1"/>
                <w:lang w:val="en-GB" w:eastAsia="en-AU"/>
              </w:rPr>
              <w:t>.</w:t>
            </w:r>
          </w:p>
        </w:tc>
      </w:tr>
      <w:tr w:rsidR="008E67EA" w:rsidRPr="002B5B5B" w14:paraId="7476DF96" w14:textId="77777777" w:rsidTr="00B44A74">
        <w:trPr>
          <w:jc w:val="center"/>
        </w:trPr>
        <w:tc>
          <w:tcPr>
            <w:tcW w:w="2415" w:type="dxa"/>
            <w:tcBorders>
              <w:top w:val="single" w:sz="4" w:space="0" w:color="auto"/>
              <w:left w:val="nil"/>
              <w:bottom w:val="single" w:sz="4" w:space="0" w:color="auto"/>
              <w:right w:val="nil"/>
            </w:tcBorders>
          </w:tcPr>
          <w:p w14:paraId="7D112F06"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7460692" w14:textId="77777777" w:rsidR="008E67EA" w:rsidRPr="0015462A" w:rsidRDefault="008E67EA" w:rsidP="00B44A74">
            <w:pPr>
              <w:spacing w:line="280" w:lineRule="exact"/>
              <w:rPr>
                <w:rFonts w:cs="Arial"/>
                <w:sz w:val="20"/>
                <w:szCs w:val="20"/>
              </w:rPr>
            </w:pPr>
          </w:p>
        </w:tc>
      </w:tr>
      <w:tr w:rsidR="008E67EA" w:rsidRPr="002B5B5B" w14:paraId="66F1769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F6C6173" w14:textId="77777777" w:rsidR="008E67EA" w:rsidRPr="00A86A4B" w:rsidRDefault="008E67EA" w:rsidP="00B44A74">
            <w:pPr>
              <w:spacing w:line="280" w:lineRule="exact"/>
              <w:rPr>
                <w:rFonts w:cs="Arial"/>
                <w:color w:val="000000" w:themeColor="text1"/>
                <w:sz w:val="20"/>
                <w:szCs w:val="20"/>
              </w:rPr>
            </w:pPr>
            <w:r w:rsidRPr="00A86A4B">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4BE3383E" w14:textId="77777777" w:rsidR="008E67EA" w:rsidRPr="00A86A4B" w:rsidRDefault="008E67EA" w:rsidP="00B44A74">
            <w:pPr>
              <w:spacing w:line="280" w:lineRule="exact"/>
              <w:rPr>
                <w:rFonts w:cs="Arial"/>
                <w:color w:val="000000" w:themeColor="text1"/>
                <w:sz w:val="20"/>
                <w:szCs w:val="20"/>
              </w:rPr>
            </w:pPr>
            <w:r w:rsidRPr="00A86A4B">
              <w:rPr>
                <w:rFonts w:cs="Arial"/>
                <w:color w:val="000000" w:themeColor="text1"/>
                <w:sz w:val="20"/>
                <w:szCs w:val="20"/>
              </w:rPr>
              <w:t>[INSERT NET CONTENTS]</w:t>
            </w:r>
          </w:p>
        </w:tc>
      </w:tr>
      <w:tr w:rsidR="008E67EA" w:rsidRPr="002B5B5B" w14:paraId="60C031CD" w14:textId="77777777" w:rsidTr="00B44A74">
        <w:trPr>
          <w:jc w:val="center"/>
        </w:trPr>
        <w:tc>
          <w:tcPr>
            <w:tcW w:w="2415" w:type="dxa"/>
            <w:tcBorders>
              <w:top w:val="single" w:sz="4" w:space="0" w:color="auto"/>
              <w:left w:val="nil"/>
              <w:bottom w:val="single" w:sz="4" w:space="0" w:color="auto"/>
              <w:right w:val="nil"/>
            </w:tcBorders>
          </w:tcPr>
          <w:p w14:paraId="585F776A"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1750150" w14:textId="77777777" w:rsidR="008E67EA" w:rsidRPr="002B5B5B" w:rsidRDefault="008E67EA" w:rsidP="00B44A74">
            <w:pPr>
              <w:spacing w:line="280" w:lineRule="exact"/>
              <w:rPr>
                <w:rFonts w:cs="Arial"/>
                <w:sz w:val="20"/>
                <w:szCs w:val="20"/>
              </w:rPr>
            </w:pPr>
          </w:p>
        </w:tc>
      </w:tr>
      <w:tr w:rsidR="008E67EA" w:rsidRPr="002B5B5B" w14:paraId="1BAC52D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8437A36" w14:textId="77777777" w:rsidR="008E67EA" w:rsidRPr="00F5215F" w:rsidRDefault="008E67EA" w:rsidP="00B44A74">
            <w:pPr>
              <w:spacing w:line="280" w:lineRule="exact"/>
              <w:rPr>
                <w:rFonts w:cs="Arial"/>
                <w:sz w:val="20"/>
                <w:szCs w:val="20"/>
              </w:rPr>
            </w:pPr>
            <w:r w:rsidRPr="00F5215F">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5FB4434E" w14:textId="77777777" w:rsidR="008E67EA" w:rsidRDefault="008E67EA" w:rsidP="00B44A74">
            <w:pPr>
              <w:spacing w:line="280" w:lineRule="exact"/>
              <w:rPr>
                <w:rFonts w:cs="Arial"/>
                <w:sz w:val="20"/>
                <w:szCs w:val="20"/>
                <w:bdr w:val="none" w:sz="0" w:space="0" w:color="auto" w:frame="1"/>
                <w:lang w:val="en-GB" w:eastAsia="en-AU"/>
              </w:rPr>
            </w:pPr>
            <w:r>
              <w:rPr>
                <w:rFonts w:cs="Arial"/>
                <w:sz w:val="20"/>
                <w:szCs w:val="20"/>
                <w:bdr w:val="none" w:sz="0" w:space="0" w:color="auto" w:frame="1"/>
                <w:lang w:val="en-GB" w:eastAsia="en-AU"/>
              </w:rPr>
              <w:t>RESTRAINTS</w:t>
            </w:r>
          </w:p>
          <w:p w14:paraId="2186F170" w14:textId="77777777" w:rsidR="008E67EA" w:rsidRDefault="008E67EA" w:rsidP="00B44A74">
            <w:pPr>
              <w:spacing w:line="280" w:lineRule="exact"/>
              <w:rPr>
                <w:rFonts w:cs="Arial"/>
                <w:sz w:val="20"/>
                <w:szCs w:val="20"/>
                <w:bdr w:val="none" w:sz="0" w:space="0" w:color="auto" w:frame="1"/>
                <w:lang w:val="en-GB" w:eastAsia="en-AU"/>
              </w:rPr>
            </w:pPr>
            <w:r w:rsidRPr="00A86A4B">
              <w:rPr>
                <w:rFonts w:cs="Arial"/>
                <w:sz w:val="20"/>
                <w:szCs w:val="20"/>
                <w:bdr w:val="none" w:sz="0" w:space="0" w:color="auto" w:frame="1"/>
                <w:lang w:val="en-GB" w:eastAsia="en-AU"/>
              </w:rPr>
              <w:t>DO NOT use this product unless you have a current qualification in the nationally recognised training course for rodent pest management CPPUPM3006 - Manage pests by applying pesticides, or an equivalent unit of competency.</w:t>
            </w:r>
          </w:p>
          <w:p w14:paraId="50E910F4" w14:textId="48FD1C9D" w:rsidR="008E67EA" w:rsidRPr="00A86A4B" w:rsidRDefault="008E67EA" w:rsidP="00B44A74">
            <w:pPr>
              <w:spacing w:line="280" w:lineRule="exact"/>
              <w:rPr>
                <w:rFonts w:cs="Arial"/>
                <w:sz w:val="20"/>
                <w:szCs w:val="20"/>
                <w:bdr w:val="none" w:sz="0" w:space="0" w:color="auto" w:frame="1"/>
                <w:lang w:val="en-GB" w:eastAsia="en-AU"/>
              </w:rPr>
            </w:pPr>
            <w:r w:rsidRPr="00A86A4B">
              <w:rPr>
                <w:rFonts w:cs="Arial"/>
                <w:sz w:val="20"/>
                <w:szCs w:val="20"/>
                <w:bdr w:val="none" w:sz="0" w:space="0" w:color="auto" w:frame="1"/>
                <w:lang w:val="en-GB" w:eastAsia="en-AU"/>
              </w:rPr>
              <w:t>DO NOT place baits in areas that are accessible to children. In child-accessible areas baits must be placed in tamper-proof bait stations. If bait can be dislodged from bait station, bait station must be secured in place.</w:t>
            </w:r>
          </w:p>
          <w:p w14:paraId="183C547C" w14:textId="77777777" w:rsidR="008E67EA" w:rsidRPr="00A86A4B" w:rsidRDefault="008E67EA" w:rsidP="00B44A74">
            <w:pPr>
              <w:spacing w:line="280" w:lineRule="exact"/>
              <w:rPr>
                <w:rFonts w:cs="Arial"/>
                <w:sz w:val="20"/>
                <w:szCs w:val="20"/>
                <w:bdr w:val="none" w:sz="0" w:space="0" w:color="auto" w:frame="1"/>
                <w:lang w:val="en-GB" w:eastAsia="en-AU"/>
              </w:rPr>
            </w:pPr>
            <w:r w:rsidRPr="00A86A4B">
              <w:rPr>
                <w:rFonts w:cs="Arial"/>
                <w:sz w:val="20"/>
                <w:szCs w:val="20"/>
                <w:bdr w:val="none" w:sz="0" w:space="0" w:color="auto" w:frame="1"/>
                <w:lang w:val="en-GB" w:eastAsia="en-AU"/>
              </w:rPr>
              <w:t>DO NOT place bait outdoors unless it is in a tamper</w:t>
            </w:r>
            <w:r>
              <w:rPr>
                <w:rFonts w:cs="Arial"/>
                <w:sz w:val="20"/>
                <w:szCs w:val="20"/>
                <w:bdr w:val="none" w:sz="0" w:space="0" w:color="auto" w:frame="1"/>
                <w:lang w:val="en-GB" w:eastAsia="en-AU"/>
              </w:rPr>
              <w:t xml:space="preserve">-resistant </w:t>
            </w:r>
            <w:r w:rsidRPr="00A86A4B">
              <w:rPr>
                <w:rFonts w:cs="Arial"/>
                <w:sz w:val="20"/>
                <w:szCs w:val="20"/>
                <w:bdr w:val="none" w:sz="0" w:space="0" w:color="auto" w:frame="1"/>
                <w:lang w:val="en-GB" w:eastAsia="en-AU"/>
              </w:rPr>
              <w:t>bait station which is secured in place.</w:t>
            </w:r>
          </w:p>
          <w:p w14:paraId="5D81C57A" w14:textId="77777777" w:rsidR="008E67EA" w:rsidRPr="00A86A4B" w:rsidRDefault="008E67EA" w:rsidP="00B44A74">
            <w:pPr>
              <w:spacing w:line="280" w:lineRule="exact"/>
              <w:rPr>
                <w:rFonts w:cs="Arial"/>
                <w:sz w:val="20"/>
                <w:szCs w:val="20"/>
                <w:bdr w:val="none" w:sz="0" w:space="0" w:color="auto" w:frame="1"/>
                <w:lang w:val="en-GB" w:eastAsia="en-AU"/>
              </w:rPr>
            </w:pPr>
            <w:r w:rsidRPr="00A86A4B">
              <w:rPr>
                <w:rFonts w:cs="Arial"/>
                <w:sz w:val="20"/>
                <w:szCs w:val="20"/>
                <w:bdr w:val="none" w:sz="0" w:space="0" w:color="auto" w:frame="1"/>
                <w:lang w:val="en-GB" w:eastAsia="en-AU"/>
              </w:rPr>
              <w:t>DO NOT place bait stations more than 2 meters from buildings.</w:t>
            </w:r>
          </w:p>
          <w:p w14:paraId="5681CE82" w14:textId="77777777" w:rsidR="008E67EA" w:rsidRPr="00A86A4B" w:rsidRDefault="008E67EA" w:rsidP="00B44A74">
            <w:pPr>
              <w:spacing w:line="280" w:lineRule="exact"/>
              <w:rPr>
                <w:rFonts w:cs="Arial"/>
                <w:sz w:val="20"/>
                <w:szCs w:val="20"/>
                <w:bdr w:val="none" w:sz="0" w:space="0" w:color="auto" w:frame="1"/>
                <w:lang w:val="en-GB" w:eastAsia="en-AU"/>
              </w:rPr>
            </w:pPr>
            <w:r w:rsidRPr="00A86A4B">
              <w:rPr>
                <w:rFonts w:cs="Arial"/>
                <w:sz w:val="20"/>
                <w:szCs w:val="20"/>
                <w:bdr w:val="none" w:sz="0" w:space="0" w:color="auto" w:frame="1"/>
                <w:lang w:val="en-GB" w:eastAsia="en-AU"/>
              </w:rPr>
              <w:t>DO NOT place bait stations outdoors around buildings for control of mice.</w:t>
            </w:r>
          </w:p>
          <w:p w14:paraId="4CDC2E5D" w14:textId="77777777" w:rsidR="008E67EA" w:rsidRPr="00A86A4B" w:rsidRDefault="008E67EA" w:rsidP="00B44A74">
            <w:pPr>
              <w:spacing w:line="280" w:lineRule="exact"/>
              <w:rPr>
                <w:rFonts w:cs="Arial"/>
                <w:sz w:val="20"/>
                <w:szCs w:val="20"/>
                <w:bdr w:val="none" w:sz="0" w:space="0" w:color="auto" w:frame="1"/>
                <w:lang w:val="en-GB" w:eastAsia="en-AU"/>
              </w:rPr>
            </w:pPr>
            <w:r w:rsidRPr="00A86A4B">
              <w:rPr>
                <w:rFonts w:cs="Arial"/>
                <w:sz w:val="20"/>
                <w:szCs w:val="20"/>
                <w:bdr w:val="none" w:sz="0" w:space="0" w:color="auto" w:frame="1"/>
                <w:lang w:val="en-GB" w:eastAsia="en-AU"/>
              </w:rPr>
              <w:t>DO NOT bait in areas where wildlife may be collected for human consumption.</w:t>
            </w:r>
          </w:p>
          <w:p w14:paraId="35EB7729" w14:textId="77777777" w:rsidR="008E67EA" w:rsidRPr="00A86A4B" w:rsidRDefault="008E67EA" w:rsidP="00B44A74">
            <w:pPr>
              <w:spacing w:line="280" w:lineRule="exact"/>
              <w:rPr>
                <w:rFonts w:cs="Arial"/>
                <w:sz w:val="20"/>
                <w:szCs w:val="20"/>
                <w:bdr w:val="none" w:sz="0" w:space="0" w:color="auto" w:frame="1"/>
                <w:lang w:val="en-GB" w:eastAsia="en-AU"/>
              </w:rPr>
            </w:pPr>
            <w:r w:rsidRPr="00A86A4B">
              <w:rPr>
                <w:rFonts w:cs="Arial"/>
                <w:sz w:val="20"/>
                <w:szCs w:val="20"/>
                <w:bdr w:val="none" w:sz="0" w:space="0" w:color="auto" w:frame="1"/>
                <w:lang w:val="en-GB" w:eastAsia="en-AU"/>
              </w:rPr>
              <w:t>DO NOT place in animal or livestock housing unless used in tamper</w:t>
            </w:r>
            <w:r>
              <w:rPr>
                <w:rFonts w:cs="Arial"/>
                <w:sz w:val="20"/>
                <w:szCs w:val="20"/>
                <w:bdr w:val="none" w:sz="0" w:space="0" w:color="auto" w:frame="1"/>
                <w:lang w:val="en-GB" w:eastAsia="en-AU"/>
              </w:rPr>
              <w:t xml:space="preserve">-resistant </w:t>
            </w:r>
            <w:r w:rsidRPr="00A86A4B">
              <w:rPr>
                <w:rFonts w:cs="Arial"/>
                <w:sz w:val="20"/>
                <w:szCs w:val="20"/>
                <w:bdr w:val="none" w:sz="0" w:space="0" w:color="auto" w:frame="1"/>
                <w:lang w:val="en-GB" w:eastAsia="en-AU"/>
              </w:rPr>
              <w:t>and weather resistant bait stations fixed to the ground or other structures.</w:t>
            </w:r>
          </w:p>
          <w:p w14:paraId="25471D6A" w14:textId="77777777" w:rsidR="008E67EA" w:rsidRPr="00A86A4B" w:rsidRDefault="008E67EA" w:rsidP="00B44A74">
            <w:pPr>
              <w:spacing w:line="280" w:lineRule="exact"/>
              <w:rPr>
                <w:rFonts w:cs="Arial"/>
                <w:sz w:val="20"/>
                <w:szCs w:val="20"/>
                <w:bdr w:val="none" w:sz="0" w:space="0" w:color="auto" w:frame="1"/>
                <w:lang w:val="en-GB" w:eastAsia="en-AU"/>
              </w:rPr>
            </w:pPr>
            <w:r w:rsidRPr="00A86A4B">
              <w:rPr>
                <w:rFonts w:cs="Arial"/>
                <w:sz w:val="20"/>
                <w:szCs w:val="20"/>
                <w:bdr w:val="none" w:sz="0" w:space="0" w:color="auto" w:frame="1"/>
                <w:lang w:val="en-GB" w:eastAsia="en-AU"/>
              </w:rPr>
              <w:t>DO NOT place bait or bait stations above areas which would allow them to contaminate pig and poultry food or drinking water.</w:t>
            </w:r>
          </w:p>
          <w:p w14:paraId="344023DB" w14:textId="77777777" w:rsidR="008E67EA" w:rsidRPr="00A86A4B" w:rsidRDefault="008E67EA" w:rsidP="00B44A74">
            <w:pPr>
              <w:spacing w:line="280" w:lineRule="exact"/>
              <w:rPr>
                <w:rFonts w:cs="Arial"/>
                <w:sz w:val="20"/>
                <w:szCs w:val="20"/>
                <w:bdr w:val="none" w:sz="0" w:space="0" w:color="auto" w:frame="1"/>
                <w:lang w:val="en-GB" w:eastAsia="en-AU"/>
              </w:rPr>
            </w:pPr>
            <w:r w:rsidRPr="00A86A4B">
              <w:rPr>
                <w:rFonts w:cs="Arial"/>
                <w:sz w:val="20"/>
                <w:szCs w:val="20"/>
                <w:bdr w:val="none" w:sz="0" w:space="0" w:color="auto" w:frame="1"/>
                <w:lang w:val="en-GB" w:eastAsia="en-AU"/>
              </w:rPr>
              <w:t>DO NOT apply this product directly into burrows.</w:t>
            </w:r>
          </w:p>
        </w:tc>
      </w:tr>
      <w:tr w:rsidR="008E67EA" w:rsidRPr="002B5B5B" w14:paraId="417BAD6B" w14:textId="77777777" w:rsidTr="00B44A74">
        <w:trPr>
          <w:jc w:val="center"/>
        </w:trPr>
        <w:tc>
          <w:tcPr>
            <w:tcW w:w="2415" w:type="dxa"/>
            <w:tcBorders>
              <w:top w:val="single" w:sz="4" w:space="0" w:color="auto"/>
              <w:left w:val="nil"/>
              <w:bottom w:val="single" w:sz="4" w:space="0" w:color="auto"/>
              <w:right w:val="nil"/>
            </w:tcBorders>
          </w:tcPr>
          <w:p w14:paraId="3CF1CFA0"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3B713B4" w14:textId="77777777" w:rsidR="008E67EA" w:rsidRPr="002B5B5B" w:rsidRDefault="008E67EA" w:rsidP="00B44A74">
            <w:pPr>
              <w:spacing w:line="280" w:lineRule="exact"/>
              <w:rPr>
                <w:rFonts w:cs="Arial"/>
                <w:sz w:val="20"/>
                <w:szCs w:val="20"/>
              </w:rPr>
            </w:pPr>
          </w:p>
        </w:tc>
      </w:tr>
      <w:tr w:rsidR="008E67EA" w:rsidRPr="002B5B5B" w14:paraId="55BD641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0B8B138" w14:textId="77777777" w:rsidR="008E67EA" w:rsidRPr="00F5215F" w:rsidRDefault="008E67EA" w:rsidP="00B44A74">
            <w:pPr>
              <w:spacing w:line="280" w:lineRule="exact"/>
              <w:rPr>
                <w:rFonts w:cs="Arial"/>
                <w:sz w:val="20"/>
                <w:szCs w:val="20"/>
              </w:rPr>
            </w:pPr>
            <w:r w:rsidRPr="00F5215F">
              <w:rPr>
                <w:rFonts w:cs="Arial"/>
                <w:sz w:val="20"/>
                <w:szCs w:val="20"/>
              </w:rPr>
              <w:t>Directions for Use:</w:t>
            </w:r>
          </w:p>
        </w:tc>
        <w:tc>
          <w:tcPr>
            <w:tcW w:w="7755" w:type="dxa"/>
            <w:tcBorders>
              <w:top w:val="single" w:sz="4" w:space="0" w:color="auto"/>
              <w:left w:val="single" w:sz="4" w:space="0" w:color="auto"/>
              <w:bottom w:val="single" w:sz="4" w:space="0" w:color="auto"/>
              <w:right w:val="single" w:sz="4" w:space="0" w:color="auto"/>
            </w:tcBorders>
          </w:tcPr>
          <w:p w14:paraId="087398E6" w14:textId="77777777" w:rsidR="008E67EA" w:rsidRPr="00EB4816" w:rsidRDefault="008E67EA" w:rsidP="00B44A74">
            <w:pPr>
              <w:spacing w:line="280" w:lineRule="exact"/>
              <w:rPr>
                <w:rFonts w:cs="Arial"/>
                <w:sz w:val="20"/>
                <w:szCs w:val="20"/>
              </w:rPr>
            </w:pPr>
            <w:r w:rsidRPr="00B832BB">
              <w:rPr>
                <w:rFonts w:cs="Arial"/>
                <w:sz w:val="20"/>
                <w:szCs w:val="20"/>
              </w:rPr>
              <w:t>[This section contains an attachment below]</w:t>
            </w:r>
          </w:p>
        </w:tc>
      </w:tr>
      <w:tr w:rsidR="008E67EA" w:rsidRPr="002B5B5B" w14:paraId="2602CD99" w14:textId="77777777" w:rsidTr="00B44A74">
        <w:trPr>
          <w:jc w:val="center"/>
        </w:trPr>
        <w:tc>
          <w:tcPr>
            <w:tcW w:w="2415" w:type="dxa"/>
            <w:tcBorders>
              <w:top w:val="single" w:sz="4" w:space="0" w:color="auto"/>
              <w:left w:val="nil"/>
              <w:bottom w:val="single" w:sz="4" w:space="0" w:color="auto"/>
              <w:right w:val="nil"/>
            </w:tcBorders>
          </w:tcPr>
          <w:p w14:paraId="5DB539C4"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C7600A1" w14:textId="77777777" w:rsidR="008E67EA" w:rsidRPr="002B5B5B" w:rsidRDefault="008E67EA" w:rsidP="00B44A74">
            <w:pPr>
              <w:spacing w:line="280" w:lineRule="exact"/>
              <w:rPr>
                <w:rFonts w:cs="Arial"/>
                <w:sz w:val="20"/>
                <w:szCs w:val="20"/>
              </w:rPr>
            </w:pPr>
          </w:p>
        </w:tc>
      </w:tr>
      <w:tr w:rsidR="008E67EA" w:rsidRPr="002B5B5B" w14:paraId="7A12B63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4962765" w14:textId="77777777" w:rsidR="008E67EA" w:rsidRPr="00F5215F" w:rsidRDefault="008E67EA" w:rsidP="00B44A74">
            <w:pPr>
              <w:spacing w:line="280" w:lineRule="exact"/>
              <w:rPr>
                <w:rFonts w:cs="Arial"/>
                <w:sz w:val="20"/>
                <w:szCs w:val="20"/>
              </w:rPr>
            </w:pPr>
            <w:r w:rsidRPr="00F5215F">
              <w:rPr>
                <w:rFonts w:cs="Arial"/>
                <w:sz w:val="20"/>
                <w:szCs w:val="20"/>
              </w:rPr>
              <w:t>Other Limitations:</w:t>
            </w:r>
          </w:p>
        </w:tc>
        <w:tc>
          <w:tcPr>
            <w:tcW w:w="7755" w:type="dxa"/>
            <w:tcBorders>
              <w:top w:val="single" w:sz="4" w:space="0" w:color="auto"/>
              <w:left w:val="single" w:sz="4" w:space="0" w:color="auto"/>
              <w:bottom w:val="single" w:sz="4" w:space="0" w:color="auto"/>
              <w:right w:val="single" w:sz="4" w:space="0" w:color="auto"/>
            </w:tcBorders>
          </w:tcPr>
          <w:p w14:paraId="1F722C1A" w14:textId="77777777" w:rsidR="008E67EA" w:rsidRPr="002B5B5B" w:rsidRDefault="008E67EA" w:rsidP="00B44A74">
            <w:pPr>
              <w:spacing w:line="280" w:lineRule="exact"/>
              <w:rPr>
                <w:rFonts w:cs="Arial"/>
                <w:sz w:val="20"/>
                <w:szCs w:val="20"/>
              </w:rPr>
            </w:pPr>
          </w:p>
        </w:tc>
      </w:tr>
      <w:tr w:rsidR="008E67EA" w:rsidRPr="002B5B5B" w14:paraId="43C75DFB" w14:textId="77777777" w:rsidTr="00B44A74">
        <w:trPr>
          <w:jc w:val="center"/>
        </w:trPr>
        <w:tc>
          <w:tcPr>
            <w:tcW w:w="2415" w:type="dxa"/>
            <w:tcBorders>
              <w:top w:val="single" w:sz="4" w:space="0" w:color="auto"/>
              <w:left w:val="nil"/>
              <w:bottom w:val="single" w:sz="4" w:space="0" w:color="auto"/>
              <w:right w:val="nil"/>
            </w:tcBorders>
          </w:tcPr>
          <w:p w14:paraId="3AE439FC"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0915DC6" w14:textId="77777777" w:rsidR="008E67EA" w:rsidRPr="002B5B5B" w:rsidRDefault="008E67EA" w:rsidP="00B44A74">
            <w:pPr>
              <w:spacing w:line="280" w:lineRule="exact"/>
              <w:rPr>
                <w:rFonts w:cs="Arial"/>
                <w:sz w:val="20"/>
                <w:szCs w:val="20"/>
              </w:rPr>
            </w:pPr>
          </w:p>
        </w:tc>
      </w:tr>
      <w:tr w:rsidR="008E67EA" w:rsidRPr="002B5B5B" w14:paraId="247E469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26D32FC" w14:textId="77777777" w:rsidR="008E67EA" w:rsidRPr="00F5215F" w:rsidRDefault="008E67EA" w:rsidP="00B44A74">
            <w:pPr>
              <w:spacing w:line="280" w:lineRule="exact"/>
              <w:rPr>
                <w:rFonts w:cs="Arial"/>
                <w:sz w:val="20"/>
                <w:szCs w:val="20"/>
              </w:rPr>
            </w:pPr>
            <w:r w:rsidRPr="00F5215F">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4249CE5B" w14:textId="77777777" w:rsidR="008E67EA" w:rsidRPr="002B5B5B" w:rsidRDefault="008E67EA" w:rsidP="00B44A74">
            <w:pPr>
              <w:spacing w:line="280" w:lineRule="exact"/>
              <w:rPr>
                <w:rFonts w:cs="Arial"/>
                <w:sz w:val="20"/>
                <w:szCs w:val="20"/>
              </w:rPr>
            </w:pPr>
          </w:p>
        </w:tc>
      </w:tr>
      <w:tr w:rsidR="008E67EA" w:rsidRPr="002B5B5B" w14:paraId="3C1728D7" w14:textId="77777777" w:rsidTr="00B44A74">
        <w:trPr>
          <w:jc w:val="center"/>
        </w:trPr>
        <w:tc>
          <w:tcPr>
            <w:tcW w:w="2415" w:type="dxa"/>
            <w:tcBorders>
              <w:top w:val="single" w:sz="4" w:space="0" w:color="auto"/>
              <w:left w:val="nil"/>
              <w:bottom w:val="single" w:sz="4" w:space="0" w:color="auto"/>
              <w:right w:val="nil"/>
            </w:tcBorders>
          </w:tcPr>
          <w:p w14:paraId="1B67A870"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2B59B63" w14:textId="77777777" w:rsidR="008E67EA" w:rsidRPr="002B5B5B" w:rsidRDefault="008E67EA" w:rsidP="00B44A74">
            <w:pPr>
              <w:spacing w:line="280" w:lineRule="exact"/>
              <w:rPr>
                <w:rFonts w:cs="Arial"/>
                <w:sz w:val="20"/>
                <w:szCs w:val="20"/>
              </w:rPr>
            </w:pPr>
          </w:p>
        </w:tc>
      </w:tr>
      <w:tr w:rsidR="008E67EA" w:rsidRPr="002B5B5B" w14:paraId="5FB6E76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F868DF4" w14:textId="77777777" w:rsidR="008E67EA" w:rsidRPr="00F5215F" w:rsidRDefault="008E67EA" w:rsidP="00B44A74">
            <w:pPr>
              <w:spacing w:line="280" w:lineRule="exact"/>
              <w:rPr>
                <w:rFonts w:cs="Arial"/>
                <w:sz w:val="20"/>
                <w:szCs w:val="20"/>
              </w:rPr>
            </w:pPr>
            <w:r w:rsidRPr="00F5215F">
              <w:rPr>
                <w:rFonts w:cs="Arial"/>
                <w:sz w:val="20"/>
                <w:szCs w:val="20"/>
              </w:rPr>
              <w:lastRenderedPageBreak/>
              <w:t>Trade Advice:</w:t>
            </w:r>
          </w:p>
        </w:tc>
        <w:tc>
          <w:tcPr>
            <w:tcW w:w="7755" w:type="dxa"/>
            <w:tcBorders>
              <w:top w:val="single" w:sz="4" w:space="0" w:color="auto"/>
              <w:left w:val="single" w:sz="4" w:space="0" w:color="auto"/>
              <w:bottom w:val="single" w:sz="4" w:space="0" w:color="auto"/>
              <w:right w:val="single" w:sz="4" w:space="0" w:color="auto"/>
            </w:tcBorders>
          </w:tcPr>
          <w:p w14:paraId="4800BF47" w14:textId="77777777" w:rsidR="008E67EA" w:rsidRPr="002B5B5B" w:rsidRDefault="008E67EA" w:rsidP="00B44A74">
            <w:pPr>
              <w:spacing w:line="280" w:lineRule="exact"/>
              <w:rPr>
                <w:rFonts w:cs="Arial"/>
                <w:sz w:val="20"/>
                <w:szCs w:val="20"/>
              </w:rPr>
            </w:pPr>
          </w:p>
        </w:tc>
      </w:tr>
      <w:tr w:rsidR="008E67EA" w:rsidRPr="002B5B5B" w14:paraId="7A986103" w14:textId="77777777" w:rsidTr="00B44A74">
        <w:trPr>
          <w:jc w:val="center"/>
        </w:trPr>
        <w:tc>
          <w:tcPr>
            <w:tcW w:w="2415" w:type="dxa"/>
            <w:tcBorders>
              <w:top w:val="single" w:sz="4" w:space="0" w:color="auto"/>
              <w:left w:val="nil"/>
              <w:bottom w:val="single" w:sz="4" w:space="0" w:color="auto"/>
              <w:right w:val="nil"/>
            </w:tcBorders>
          </w:tcPr>
          <w:p w14:paraId="06D72CE3"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7E1C03C" w14:textId="77777777" w:rsidR="008E67EA" w:rsidRPr="002B5B5B" w:rsidRDefault="008E67EA" w:rsidP="00B44A74">
            <w:pPr>
              <w:spacing w:line="280" w:lineRule="exact"/>
              <w:rPr>
                <w:rFonts w:cs="Arial"/>
                <w:sz w:val="20"/>
                <w:szCs w:val="20"/>
              </w:rPr>
            </w:pPr>
          </w:p>
        </w:tc>
      </w:tr>
      <w:tr w:rsidR="008E67EA" w:rsidRPr="002B5B5B" w14:paraId="5426EDE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2CE982A" w14:textId="77777777" w:rsidR="008E67EA" w:rsidRPr="00F5215F" w:rsidRDefault="008E67EA" w:rsidP="00B44A74">
            <w:pPr>
              <w:spacing w:line="280" w:lineRule="exact"/>
              <w:rPr>
                <w:rFonts w:cs="Arial"/>
                <w:sz w:val="20"/>
                <w:szCs w:val="20"/>
              </w:rPr>
            </w:pPr>
            <w:r w:rsidRPr="00F5215F">
              <w:rPr>
                <w:rFonts w:cs="Arial"/>
                <w:sz w:val="20"/>
                <w:szCs w:val="20"/>
              </w:rPr>
              <w:t>General Directions:</w:t>
            </w:r>
          </w:p>
        </w:tc>
        <w:tc>
          <w:tcPr>
            <w:tcW w:w="7755" w:type="dxa"/>
            <w:tcBorders>
              <w:top w:val="single" w:sz="4" w:space="0" w:color="auto"/>
              <w:left w:val="single" w:sz="4" w:space="0" w:color="auto"/>
              <w:bottom w:val="single" w:sz="4" w:space="0" w:color="auto"/>
              <w:right w:val="single" w:sz="4" w:space="0" w:color="auto"/>
            </w:tcBorders>
          </w:tcPr>
          <w:p w14:paraId="0AB068A4" w14:textId="313F927F" w:rsidR="008E67EA" w:rsidRPr="00641519" w:rsidRDefault="008E67EA" w:rsidP="00B44A74">
            <w:pPr>
              <w:spacing w:line="280" w:lineRule="exact"/>
              <w:rPr>
                <w:rFonts w:cs="Arial"/>
                <w:sz w:val="20"/>
                <w:szCs w:val="20"/>
                <w:bdr w:val="none" w:sz="0" w:space="0" w:color="auto" w:frame="1"/>
                <w:lang w:val="en-GB" w:eastAsia="en-AU"/>
              </w:rPr>
            </w:pPr>
            <w:r w:rsidRPr="00641519">
              <w:rPr>
                <w:rFonts w:cs="Arial"/>
                <w:sz w:val="20"/>
                <w:szCs w:val="20"/>
                <w:bdr w:val="none" w:sz="0" w:space="0" w:color="auto" w:frame="1"/>
                <w:lang w:val="en-GB" w:eastAsia="en-AU"/>
              </w:rPr>
              <w:t>GENERAL INSTRUCTIONS</w:t>
            </w:r>
          </w:p>
          <w:p w14:paraId="2CAB05D7" w14:textId="6EE3D558" w:rsidR="008E67EA" w:rsidRPr="00641519" w:rsidRDefault="008E67EA" w:rsidP="00B44A74">
            <w:pPr>
              <w:spacing w:line="280" w:lineRule="exact"/>
              <w:rPr>
                <w:rFonts w:cs="Arial"/>
                <w:sz w:val="20"/>
                <w:szCs w:val="20"/>
                <w:bdr w:val="none" w:sz="0" w:space="0" w:color="auto" w:frame="1"/>
                <w:lang w:val="en-GB" w:eastAsia="en-AU"/>
              </w:rPr>
            </w:pPr>
            <w:r w:rsidRPr="00641519">
              <w:rPr>
                <w:rFonts w:cs="Arial"/>
                <w:sz w:val="20"/>
                <w:szCs w:val="20"/>
                <w:bdr w:val="none" w:sz="0" w:space="0" w:color="auto" w:frame="1"/>
                <w:lang w:val="en-GB" w:eastAsia="en-AU"/>
              </w:rPr>
              <w:t>Ensure wax blocks are inaccessible to children, pets, domestic animals and wildlife. Wax blocks are particularly suitable for use in damp situations and crop stores where the risk of contamination should be minimised.</w:t>
            </w:r>
          </w:p>
          <w:p w14:paraId="380BCDAA" w14:textId="357C8E8D" w:rsidR="008E67EA" w:rsidRPr="00641519" w:rsidRDefault="008E67EA" w:rsidP="00B44A74">
            <w:pPr>
              <w:spacing w:line="280" w:lineRule="exact"/>
              <w:rPr>
                <w:rFonts w:cs="Arial"/>
                <w:sz w:val="20"/>
                <w:szCs w:val="20"/>
                <w:bdr w:val="none" w:sz="0" w:space="0" w:color="auto" w:frame="1"/>
                <w:lang w:val="en-GB" w:eastAsia="en-AU"/>
              </w:rPr>
            </w:pPr>
            <w:r w:rsidRPr="00641519">
              <w:rPr>
                <w:rFonts w:cs="Arial"/>
                <w:sz w:val="20"/>
                <w:szCs w:val="20"/>
                <w:bdr w:val="none" w:sz="0" w:space="0" w:color="auto" w:frame="1"/>
                <w:lang w:val="en-GB" w:eastAsia="en-AU"/>
              </w:rPr>
              <w:t>Most deaths occur 4 to 7 days after consumption of wax blocks.</w:t>
            </w:r>
          </w:p>
          <w:p w14:paraId="37DDD451" w14:textId="77777777" w:rsidR="008E67EA" w:rsidRPr="00641519" w:rsidRDefault="008E67EA" w:rsidP="00B44A74">
            <w:pPr>
              <w:spacing w:line="280" w:lineRule="exact"/>
              <w:rPr>
                <w:rFonts w:cs="Arial"/>
                <w:sz w:val="20"/>
                <w:szCs w:val="20"/>
                <w:bdr w:val="none" w:sz="0" w:space="0" w:color="auto" w:frame="1"/>
                <w:lang w:val="en-GB" w:eastAsia="en-AU"/>
              </w:rPr>
            </w:pPr>
            <w:r w:rsidRPr="00641519">
              <w:rPr>
                <w:rFonts w:cs="Arial"/>
                <w:sz w:val="20"/>
                <w:szCs w:val="20"/>
                <w:bdr w:val="none" w:sz="0" w:space="0" w:color="auto" w:frame="1"/>
                <w:lang w:val="en-GB" w:eastAsia="en-AU"/>
              </w:rPr>
              <w:t>Note: One feed is sufficient to kill rats and mice. Rats and mice will continue to eat the wax blocks after a lethal dose has been eaten.</w:t>
            </w:r>
          </w:p>
        </w:tc>
      </w:tr>
      <w:tr w:rsidR="008E67EA" w:rsidRPr="002B5B5B" w14:paraId="5C108DB0" w14:textId="77777777" w:rsidTr="00B44A74">
        <w:trPr>
          <w:jc w:val="center"/>
        </w:trPr>
        <w:tc>
          <w:tcPr>
            <w:tcW w:w="2415" w:type="dxa"/>
            <w:tcBorders>
              <w:top w:val="single" w:sz="4" w:space="0" w:color="auto"/>
              <w:left w:val="nil"/>
              <w:bottom w:val="single" w:sz="4" w:space="0" w:color="auto"/>
              <w:right w:val="nil"/>
            </w:tcBorders>
          </w:tcPr>
          <w:p w14:paraId="7482C0BD"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7290779" w14:textId="77777777" w:rsidR="008E67EA" w:rsidRPr="00C118CC" w:rsidRDefault="008E67EA" w:rsidP="00B44A74">
            <w:pPr>
              <w:spacing w:line="280" w:lineRule="exact"/>
              <w:rPr>
                <w:rFonts w:cs="Arial"/>
                <w:color w:val="7030A0"/>
                <w:sz w:val="20"/>
                <w:szCs w:val="20"/>
              </w:rPr>
            </w:pPr>
          </w:p>
        </w:tc>
      </w:tr>
      <w:tr w:rsidR="008E67EA" w:rsidRPr="002B5B5B" w14:paraId="6560103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21885E3" w14:textId="77777777" w:rsidR="008E67EA" w:rsidRPr="00F5215F" w:rsidRDefault="008E67EA" w:rsidP="00B44A74">
            <w:pPr>
              <w:spacing w:line="280" w:lineRule="exact"/>
              <w:rPr>
                <w:rFonts w:cs="Arial"/>
                <w:sz w:val="20"/>
                <w:szCs w:val="20"/>
              </w:rPr>
            </w:pPr>
            <w:r w:rsidRPr="00F5215F">
              <w:rPr>
                <w:rFonts w:cs="Arial"/>
                <w:sz w:val="20"/>
                <w:szCs w:val="20"/>
              </w:rPr>
              <w:t>Resistance Warning:</w:t>
            </w:r>
          </w:p>
        </w:tc>
        <w:tc>
          <w:tcPr>
            <w:tcW w:w="7755" w:type="dxa"/>
            <w:tcBorders>
              <w:top w:val="single" w:sz="4" w:space="0" w:color="auto"/>
              <w:left w:val="single" w:sz="4" w:space="0" w:color="auto"/>
              <w:bottom w:val="single" w:sz="4" w:space="0" w:color="auto"/>
              <w:right w:val="single" w:sz="4" w:space="0" w:color="auto"/>
            </w:tcBorders>
          </w:tcPr>
          <w:p w14:paraId="01D50CFE" w14:textId="77777777" w:rsidR="008E67EA" w:rsidRPr="00C118CC" w:rsidRDefault="008E67EA" w:rsidP="00B44A74">
            <w:pPr>
              <w:spacing w:line="280" w:lineRule="exact"/>
              <w:rPr>
                <w:rFonts w:cs="Arial"/>
                <w:color w:val="7030A0"/>
                <w:sz w:val="20"/>
                <w:szCs w:val="20"/>
              </w:rPr>
            </w:pPr>
          </w:p>
        </w:tc>
      </w:tr>
      <w:tr w:rsidR="008E67EA" w:rsidRPr="002B5B5B" w14:paraId="21F30C38" w14:textId="77777777" w:rsidTr="00B44A74">
        <w:trPr>
          <w:jc w:val="center"/>
        </w:trPr>
        <w:tc>
          <w:tcPr>
            <w:tcW w:w="2415" w:type="dxa"/>
            <w:tcBorders>
              <w:top w:val="single" w:sz="4" w:space="0" w:color="auto"/>
              <w:left w:val="nil"/>
              <w:bottom w:val="single" w:sz="4" w:space="0" w:color="auto"/>
              <w:right w:val="nil"/>
            </w:tcBorders>
          </w:tcPr>
          <w:p w14:paraId="315BEC31"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E80E58D" w14:textId="77777777" w:rsidR="008E67EA" w:rsidRPr="00C118CC" w:rsidRDefault="008E67EA" w:rsidP="00B44A74">
            <w:pPr>
              <w:spacing w:line="280" w:lineRule="exact"/>
              <w:rPr>
                <w:rFonts w:cs="Arial"/>
                <w:color w:val="7030A0"/>
                <w:sz w:val="20"/>
                <w:szCs w:val="20"/>
              </w:rPr>
            </w:pPr>
          </w:p>
        </w:tc>
      </w:tr>
      <w:tr w:rsidR="008E67EA" w:rsidRPr="002B5B5B" w14:paraId="30F26C9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4288A74" w14:textId="77777777" w:rsidR="008E67EA" w:rsidRPr="00F5215F" w:rsidRDefault="008E67EA" w:rsidP="00B44A74">
            <w:pPr>
              <w:spacing w:line="280" w:lineRule="exact"/>
              <w:rPr>
                <w:rFonts w:cs="Arial"/>
                <w:sz w:val="20"/>
                <w:szCs w:val="20"/>
              </w:rPr>
            </w:pPr>
            <w:r w:rsidRPr="00F5215F">
              <w:rPr>
                <w:rFonts w:cs="Arial"/>
                <w:sz w:val="20"/>
                <w:szCs w:val="20"/>
              </w:rPr>
              <w:t>Precautions:</w:t>
            </w:r>
          </w:p>
        </w:tc>
        <w:tc>
          <w:tcPr>
            <w:tcW w:w="7755" w:type="dxa"/>
            <w:tcBorders>
              <w:top w:val="single" w:sz="4" w:space="0" w:color="auto"/>
              <w:left w:val="single" w:sz="4" w:space="0" w:color="auto"/>
              <w:bottom w:val="single" w:sz="4" w:space="0" w:color="auto"/>
              <w:right w:val="single" w:sz="4" w:space="0" w:color="auto"/>
            </w:tcBorders>
          </w:tcPr>
          <w:p w14:paraId="225429E8" w14:textId="77777777" w:rsidR="008E67EA" w:rsidRPr="00A86A4B" w:rsidRDefault="008E67EA" w:rsidP="00B44A74">
            <w:pPr>
              <w:spacing w:line="280" w:lineRule="exact"/>
              <w:rPr>
                <w:rFonts w:cs="Arial"/>
                <w:sz w:val="20"/>
                <w:szCs w:val="20"/>
                <w:bdr w:val="none" w:sz="0" w:space="0" w:color="auto" w:frame="1"/>
                <w:lang w:val="en-GB" w:eastAsia="en-AU"/>
              </w:rPr>
            </w:pPr>
            <w:r w:rsidRPr="00A86A4B">
              <w:rPr>
                <w:rFonts w:cs="Arial"/>
                <w:sz w:val="20"/>
                <w:szCs w:val="20"/>
                <w:bdr w:val="none" w:sz="0" w:space="0" w:color="auto" w:frame="1"/>
                <w:lang w:val="en-GB" w:eastAsia="en-AU"/>
              </w:rPr>
              <w:t>PRECAUTION</w:t>
            </w:r>
            <w:r>
              <w:rPr>
                <w:rFonts w:cs="Arial"/>
                <w:sz w:val="20"/>
                <w:szCs w:val="20"/>
                <w:bdr w:val="none" w:sz="0" w:space="0" w:color="auto" w:frame="1"/>
                <w:lang w:val="en-GB" w:eastAsia="en-AU"/>
              </w:rPr>
              <w:t>S</w:t>
            </w:r>
          </w:p>
          <w:p w14:paraId="11D871BD" w14:textId="77777777" w:rsidR="008E67EA" w:rsidRPr="00A86A4B" w:rsidRDefault="008E67EA" w:rsidP="00B44A74">
            <w:pPr>
              <w:pBdr>
                <w:top w:val="nil"/>
                <w:left w:val="nil"/>
                <w:bottom w:val="nil"/>
                <w:right w:val="nil"/>
                <w:between w:val="nil"/>
                <w:bar w:val="nil"/>
              </w:pBdr>
              <w:spacing w:line="280" w:lineRule="exact"/>
              <w:rPr>
                <w:rFonts w:cs="Arial"/>
                <w:sz w:val="20"/>
                <w:szCs w:val="20"/>
                <w:bdr w:val="none" w:sz="0" w:space="0" w:color="auto" w:frame="1"/>
                <w:lang w:val="en-GB" w:eastAsia="en-AU"/>
              </w:rPr>
            </w:pPr>
            <w:r w:rsidRPr="00A86A4B">
              <w:rPr>
                <w:rFonts w:cs="Arial"/>
                <w:sz w:val="20"/>
                <w:szCs w:val="20"/>
                <w:bdr w:val="none" w:sz="0" w:space="0" w:color="auto" w:frame="1"/>
                <w:lang w:val="en-GB" w:eastAsia="en-AU"/>
              </w:rPr>
              <w:t>Caution should be used when baiting near areas where hunting of wildlife may occur. Careful consideration of bait placement is necessary to avoid secondary exposure from contaminated wildlife that may be consumed.</w:t>
            </w:r>
          </w:p>
          <w:p w14:paraId="37902BF0" w14:textId="77777777" w:rsidR="008E67EA" w:rsidRPr="00A86A4B" w:rsidRDefault="008E67EA" w:rsidP="00B44A74">
            <w:pPr>
              <w:spacing w:line="280" w:lineRule="exact"/>
              <w:rPr>
                <w:rFonts w:cs="Arial"/>
                <w:sz w:val="20"/>
                <w:szCs w:val="20"/>
              </w:rPr>
            </w:pPr>
            <w:r w:rsidRPr="00A86A4B">
              <w:rPr>
                <w:rFonts w:cs="Arial"/>
                <w:sz w:val="20"/>
                <w:szCs w:val="20"/>
                <w:bdr w:val="none" w:sz="0" w:space="0" w:color="auto" w:frame="1"/>
                <w:lang w:val="en-GB" w:eastAsia="en-AU"/>
              </w:rPr>
              <w:t>DO NOT place bait in areas where there is a possibility of contaminating food, livestock feed or surfaces that come in direct contact with food or livestock feed.</w:t>
            </w:r>
          </w:p>
        </w:tc>
      </w:tr>
      <w:tr w:rsidR="008E67EA" w:rsidRPr="002B5B5B" w14:paraId="447D7A69" w14:textId="77777777" w:rsidTr="00B44A74">
        <w:trPr>
          <w:jc w:val="center"/>
        </w:trPr>
        <w:tc>
          <w:tcPr>
            <w:tcW w:w="2415" w:type="dxa"/>
            <w:tcBorders>
              <w:top w:val="single" w:sz="4" w:space="0" w:color="auto"/>
              <w:left w:val="nil"/>
              <w:bottom w:val="single" w:sz="4" w:space="0" w:color="auto"/>
              <w:right w:val="nil"/>
            </w:tcBorders>
          </w:tcPr>
          <w:p w14:paraId="5F3C542A"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875A667" w14:textId="77777777" w:rsidR="008E67EA" w:rsidRPr="00C118CC" w:rsidRDefault="008E67EA" w:rsidP="00B44A74">
            <w:pPr>
              <w:spacing w:line="280" w:lineRule="exact"/>
              <w:rPr>
                <w:rFonts w:cs="Arial"/>
                <w:color w:val="7030A0"/>
                <w:sz w:val="20"/>
                <w:szCs w:val="20"/>
              </w:rPr>
            </w:pPr>
          </w:p>
        </w:tc>
      </w:tr>
      <w:tr w:rsidR="008E67EA" w:rsidRPr="002B5B5B" w14:paraId="21F7896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CCDE271" w14:textId="77777777" w:rsidR="008E67EA" w:rsidRPr="00F5215F" w:rsidRDefault="008E67EA" w:rsidP="00B44A74">
            <w:pPr>
              <w:spacing w:line="280" w:lineRule="exact"/>
              <w:rPr>
                <w:rFonts w:cs="Arial"/>
                <w:sz w:val="20"/>
                <w:szCs w:val="20"/>
              </w:rPr>
            </w:pPr>
            <w:r w:rsidRPr="00F5215F">
              <w:rPr>
                <w:rFonts w:cs="Arial"/>
                <w:sz w:val="20"/>
                <w:szCs w:val="20"/>
              </w:rPr>
              <w:t>Protection Statements:</w:t>
            </w:r>
          </w:p>
        </w:tc>
        <w:tc>
          <w:tcPr>
            <w:tcW w:w="7755" w:type="dxa"/>
            <w:tcBorders>
              <w:top w:val="single" w:sz="4" w:space="0" w:color="auto"/>
              <w:left w:val="single" w:sz="4" w:space="0" w:color="auto"/>
              <w:bottom w:val="single" w:sz="4" w:space="0" w:color="auto"/>
              <w:right w:val="single" w:sz="4" w:space="0" w:color="auto"/>
            </w:tcBorders>
          </w:tcPr>
          <w:p w14:paraId="2174C9CB" w14:textId="77777777" w:rsidR="008E67EA" w:rsidRPr="00F84D7C" w:rsidRDefault="008E67EA" w:rsidP="00B44A74">
            <w:pPr>
              <w:pBdr>
                <w:top w:val="nil"/>
                <w:left w:val="nil"/>
                <w:bottom w:val="nil"/>
                <w:right w:val="nil"/>
                <w:between w:val="nil"/>
                <w:bar w:val="nil"/>
              </w:pBdr>
              <w:spacing w:line="280" w:lineRule="exact"/>
              <w:rPr>
                <w:rFonts w:cs="Arial"/>
                <w:sz w:val="20"/>
                <w:szCs w:val="20"/>
                <w:bdr w:val="none" w:sz="0" w:space="0" w:color="auto" w:frame="1"/>
                <w:lang w:val="en-GB" w:eastAsia="en-AU"/>
              </w:rPr>
            </w:pPr>
            <w:r w:rsidRPr="00F84D7C">
              <w:rPr>
                <w:rFonts w:cs="Arial"/>
                <w:sz w:val="20"/>
                <w:szCs w:val="20"/>
                <w:bdr w:val="none" w:sz="0" w:space="0" w:color="auto" w:frame="1"/>
                <w:lang w:val="en-GB" w:eastAsia="en-AU"/>
              </w:rPr>
              <w:t>PROTECTION OF LIVESTOCK AND WILDLIFE</w:t>
            </w:r>
          </w:p>
          <w:p w14:paraId="186E21D4" w14:textId="77777777" w:rsidR="008E67EA" w:rsidRPr="00F84D7C" w:rsidRDefault="008E67EA" w:rsidP="00B44A74">
            <w:pPr>
              <w:spacing w:line="280" w:lineRule="exact"/>
              <w:rPr>
                <w:rFonts w:cs="Arial"/>
                <w:sz w:val="20"/>
                <w:szCs w:val="20"/>
                <w:bdr w:val="none" w:sz="0" w:space="0" w:color="auto" w:frame="1"/>
                <w:lang w:val="en-GB" w:eastAsia="en-AU"/>
              </w:rPr>
            </w:pPr>
            <w:r w:rsidRPr="00F84D7C">
              <w:rPr>
                <w:rFonts w:cs="Arial"/>
                <w:sz w:val="20"/>
                <w:szCs w:val="20"/>
                <w:bdr w:val="none" w:sz="0" w:space="0" w:color="auto" w:frame="1"/>
                <w:lang w:val="en-GB" w:eastAsia="en-AU"/>
              </w:rPr>
              <w:t>Hazardous to livestock, poultry and wildlife. DO NOT place baits in locations that are accessible to domestic animals, livestock, non-target native animals or birds.</w:t>
            </w:r>
          </w:p>
          <w:p w14:paraId="54147484" w14:textId="06757B30" w:rsidR="008E67EA" w:rsidRPr="00F84D7C" w:rsidRDefault="008E67EA" w:rsidP="00B44A74">
            <w:pPr>
              <w:pBdr>
                <w:top w:val="nil"/>
                <w:left w:val="nil"/>
                <w:bottom w:val="nil"/>
                <w:right w:val="nil"/>
                <w:between w:val="nil"/>
                <w:bar w:val="nil"/>
              </w:pBdr>
              <w:spacing w:line="280" w:lineRule="exact"/>
              <w:rPr>
                <w:rFonts w:cs="Arial"/>
                <w:sz w:val="20"/>
                <w:szCs w:val="20"/>
                <w:bdr w:val="none" w:sz="0" w:space="0" w:color="auto" w:frame="1"/>
                <w:lang w:val="en-GB" w:eastAsia="en-AU"/>
              </w:rPr>
            </w:pPr>
            <w:r w:rsidRPr="00F84D7C">
              <w:rPr>
                <w:rFonts w:cs="Arial"/>
                <w:sz w:val="20"/>
                <w:szCs w:val="20"/>
                <w:bdr w:val="none" w:sz="0" w:space="0" w:color="auto" w:frame="1"/>
                <w:lang w:val="en-GB" w:eastAsia="en-AU"/>
              </w:rPr>
              <w:t>Search for and dispose of dead rodents and slugs/snails in the infested area at each visit to prevent secondary poisoning. In case slugs/snails are present, move bait station to another location within the rodent infested site, away from slugs/snails. Dispose of slugs/snails in a way non-target animals are not exposed. Dispose of dead rodents and uneaten bait in compliance with local, state or territory government regulations.</w:t>
            </w:r>
          </w:p>
          <w:p w14:paraId="2FC6D621" w14:textId="77777777" w:rsidR="008E67EA" w:rsidRDefault="008E67EA" w:rsidP="00B44A74">
            <w:pPr>
              <w:spacing w:line="280" w:lineRule="exact"/>
              <w:rPr>
                <w:rFonts w:cs="Arial"/>
                <w:sz w:val="20"/>
                <w:szCs w:val="20"/>
                <w:bdr w:val="none" w:sz="0" w:space="0" w:color="auto" w:frame="1"/>
                <w:lang w:val="en-GB" w:eastAsia="en-AU"/>
              </w:rPr>
            </w:pPr>
            <w:r w:rsidRPr="00F84D7C">
              <w:rPr>
                <w:rFonts w:cs="Arial"/>
                <w:sz w:val="20"/>
                <w:szCs w:val="20"/>
                <w:bdr w:val="none" w:sz="0" w:space="0" w:color="auto" w:frame="1"/>
                <w:lang w:val="en-GB" w:eastAsia="en-AU"/>
              </w:rPr>
              <w:t>DO NOT allow livestock or poultry to consume dead or moribund mice and rats. All dead or moribund animals and rodent faeces from baited rodents MUST be removed from areas accessible to livestock or poultry.</w:t>
            </w:r>
          </w:p>
          <w:p w14:paraId="7A117239" w14:textId="77777777" w:rsidR="008E67EA" w:rsidRDefault="008E67EA" w:rsidP="00B44A74">
            <w:pPr>
              <w:spacing w:line="280" w:lineRule="exact"/>
              <w:rPr>
                <w:rFonts w:cs="Arial"/>
                <w:sz w:val="20"/>
                <w:szCs w:val="20"/>
                <w:bdr w:val="none" w:sz="0" w:space="0" w:color="auto" w:frame="1"/>
                <w:lang w:eastAsia="en-AU"/>
              </w:rPr>
            </w:pPr>
            <w:r w:rsidRPr="00856068">
              <w:rPr>
                <w:rFonts w:cs="Arial"/>
                <w:sz w:val="20"/>
                <w:szCs w:val="20"/>
                <w:bdr w:val="none" w:sz="0" w:space="0" w:color="auto" w:frame="1"/>
                <w:lang w:eastAsia="en-AU"/>
              </w:rPr>
              <w:t>The use of this product for the control of protected native rodents and rodent like animals requires permission from wildlife authorities.</w:t>
            </w:r>
          </w:p>
          <w:p w14:paraId="0A57E46E" w14:textId="77777777" w:rsidR="008E67EA" w:rsidRPr="00F84D7C" w:rsidRDefault="008E67EA" w:rsidP="00B44A74">
            <w:pPr>
              <w:spacing w:line="280" w:lineRule="exact"/>
              <w:rPr>
                <w:rFonts w:cs="Arial"/>
                <w:sz w:val="20"/>
                <w:szCs w:val="20"/>
                <w:bdr w:val="none" w:sz="0" w:space="0" w:color="auto" w:frame="1"/>
                <w:lang w:val="en-GB" w:eastAsia="en-AU"/>
              </w:rPr>
            </w:pPr>
          </w:p>
          <w:p w14:paraId="68E2FCD7" w14:textId="77777777" w:rsidR="008E67EA" w:rsidRDefault="008E67EA" w:rsidP="00B44A74">
            <w:pPr>
              <w:spacing w:line="280" w:lineRule="exact"/>
              <w:rPr>
                <w:rFonts w:cs="Arial"/>
                <w:sz w:val="20"/>
                <w:szCs w:val="20"/>
                <w:bdr w:val="none" w:sz="0" w:space="0" w:color="auto" w:frame="1"/>
                <w:lang w:val="en-GB" w:eastAsia="en-AU"/>
              </w:rPr>
            </w:pPr>
            <w:r w:rsidRPr="00A86A4B">
              <w:rPr>
                <w:rFonts w:cs="Arial"/>
                <w:sz w:val="20"/>
                <w:szCs w:val="20"/>
                <w:bdr w:val="none" w:sz="0" w:space="0" w:color="auto" w:frame="1"/>
                <w:lang w:val="en-GB" w:eastAsia="en-AU"/>
              </w:rPr>
              <w:t>PROTECTION OF FISH, CRUSTACEANS AND ENVIRONMENT</w:t>
            </w:r>
          </w:p>
          <w:p w14:paraId="670ABCBD" w14:textId="77777777" w:rsidR="008E67EA" w:rsidRPr="00A86A4B" w:rsidRDefault="008E67EA" w:rsidP="00B44A74">
            <w:pPr>
              <w:spacing w:line="280" w:lineRule="exact"/>
              <w:rPr>
                <w:rFonts w:cs="Arial"/>
                <w:sz w:val="20"/>
                <w:szCs w:val="20"/>
                <w:bdr w:val="none" w:sz="0" w:space="0" w:color="auto" w:frame="1"/>
                <w:lang w:val="en-GB" w:eastAsia="en-AU"/>
              </w:rPr>
            </w:pPr>
            <w:r w:rsidRPr="00A86A4B">
              <w:rPr>
                <w:rFonts w:cs="Arial"/>
                <w:sz w:val="20"/>
                <w:szCs w:val="20"/>
                <w:bdr w:val="none" w:sz="0" w:space="0" w:color="auto" w:frame="1"/>
                <w:lang w:val="en-GB" w:eastAsia="en-AU"/>
              </w:rPr>
              <w:t>Very toxic to aquatic life.</w:t>
            </w:r>
            <w:r>
              <w:rPr>
                <w:rFonts w:cs="Arial"/>
                <w:sz w:val="20"/>
                <w:szCs w:val="20"/>
                <w:bdr w:val="none" w:sz="0" w:space="0" w:color="auto" w:frame="1"/>
                <w:lang w:val="en-GB" w:eastAsia="en-AU"/>
              </w:rPr>
              <w:t xml:space="preserve"> </w:t>
            </w:r>
            <w:r w:rsidRPr="00A86A4B">
              <w:rPr>
                <w:rFonts w:cs="Arial"/>
                <w:sz w:val="20"/>
                <w:szCs w:val="20"/>
                <w:bdr w:val="none" w:sz="0" w:space="0" w:color="auto" w:frame="1"/>
                <w:lang w:val="en-GB" w:eastAsia="en-AU"/>
              </w:rPr>
              <w:t>DO NOT contaminate wetlands or watercourses with this product or used containers. Place the bait stations in areas not liable to flooding. When placing bait stations close to water drainage systems, ensure that bait contact with water is avoided.</w:t>
            </w:r>
          </w:p>
        </w:tc>
      </w:tr>
      <w:tr w:rsidR="008E67EA" w:rsidRPr="002B5B5B" w14:paraId="110563EE" w14:textId="77777777" w:rsidTr="00B44A74">
        <w:trPr>
          <w:jc w:val="center"/>
        </w:trPr>
        <w:tc>
          <w:tcPr>
            <w:tcW w:w="2415" w:type="dxa"/>
            <w:tcBorders>
              <w:top w:val="single" w:sz="4" w:space="0" w:color="auto"/>
              <w:left w:val="nil"/>
              <w:bottom w:val="single" w:sz="4" w:space="0" w:color="auto"/>
              <w:right w:val="nil"/>
            </w:tcBorders>
          </w:tcPr>
          <w:p w14:paraId="30603AF2"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6C224A9" w14:textId="77777777" w:rsidR="008E67EA" w:rsidRPr="00C118CC" w:rsidRDefault="008E67EA" w:rsidP="00B44A74">
            <w:pPr>
              <w:spacing w:line="280" w:lineRule="exact"/>
              <w:rPr>
                <w:rFonts w:cs="Arial"/>
                <w:color w:val="7030A0"/>
                <w:sz w:val="20"/>
                <w:szCs w:val="20"/>
              </w:rPr>
            </w:pPr>
          </w:p>
        </w:tc>
      </w:tr>
      <w:tr w:rsidR="008E67EA" w:rsidRPr="002B5B5B" w14:paraId="0C1E19F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6D750BE" w14:textId="77777777" w:rsidR="008E67EA" w:rsidRPr="00F5215F" w:rsidRDefault="008E67EA" w:rsidP="00B44A74">
            <w:pPr>
              <w:spacing w:line="280" w:lineRule="exact"/>
              <w:rPr>
                <w:rFonts w:cs="Arial"/>
                <w:sz w:val="20"/>
                <w:szCs w:val="20"/>
              </w:rPr>
            </w:pPr>
            <w:r w:rsidRPr="00F5215F">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5D41541A" w14:textId="77777777" w:rsidR="008E67EA" w:rsidRPr="00F84D7C" w:rsidRDefault="008E67EA" w:rsidP="00B44A74">
            <w:pPr>
              <w:spacing w:line="280" w:lineRule="exact"/>
              <w:rPr>
                <w:rFonts w:cs="Arial"/>
                <w:sz w:val="20"/>
                <w:szCs w:val="20"/>
                <w:bdr w:val="none" w:sz="0" w:space="0" w:color="auto" w:frame="1"/>
                <w:lang w:val="en-GB" w:eastAsia="en-AU"/>
              </w:rPr>
            </w:pPr>
            <w:r w:rsidRPr="00F84D7C">
              <w:rPr>
                <w:rFonts w:cs="Arial"/>
                <w:sz w:val="20"/>
                <w:szCs w:val="20"/>
                <w:bdr w:val="none" w:sz="0" w:space="0" w:color="auto" w:frame="1"/>
                <w:lang w:val="en-GB" w:eastAsia="en-AU"/>
              </w:rPr>
              <w:t>STORAGE AND DISPOSAL</w:t>
            </w:r>
          </w:p>
          <w:p w14:paraId="2E444370" w14:textId="64038A3F" w:rsidR="008E67EA" w:rsidRDefault="008E67EA" w:rsidP="00B44A74">
            <w:pPr>
              <w:spacing w:line="280" w:lineRule="exact"/>
              <w:rPr>
                <w:rFonts w:cs="Arial"/>
                <w:sz w:val="20"/>
                <w:szCs w:val="20"/>
                <w:bdr w:val="none" w:sz="0" w:space="0" w:color="auto" w:frame="1"/>
                <w:lang w:val="en-GB" w:eastAsia="en-AU"/>
              </w:rPr>
            </w:pPr>
            <w:r w:rsidRPr="00F84D7C">
              <w:rPr>
                <w:rFonts w:cs="Arial"/>
                <w:sz w:val="20"/>
                <w:szCs w:val="20"/>
                <w:bdr w:val="none" w:sz="0" w:space="0" w:color="auto" w:frame="1"/>
                <w:lang w:val="en-GB" w:eastAsia="en-AU"/>
              </w:rPr>
              <w:t>Store in the closed original container in a coo</w:t>
            </w:r>
            <w:r>
              <w:rPr>
                <w:rFonts w:cs="Arial"/>
                <w:sz w:val="20"/>
                <w:szCs w:val="20"/>
                <w:bdr w:val="none" w:sz="0" w:space="0" w:color="auto" w:frame="1"/>
                <w:lang w:val="en-GB" w:eastAsia="en-AU"/>
              </w:rPr>
              <w:t>l, well ventilated area</w:t>
            </w:r>
            <w:r w:rsidRPr="00F84D7C">
              <w:rPr>
                <w:rFonts w:cs="Arial"/>
                <w:sz w:val="20"/>
                <w:szCs w:val="20"/>
                <w:bdr w:val="none" w:sz="0" w:space="0" w:color="auto" w:frame="1"/>
                <w:lang w:val="en-GB" w:eastAsia="en-AU"/>
              </w:rPr>
              <w:t xml:space="preserve">. DO NOT store </w:t>
            </w:r>
            <w:r>
              <w:rPr>
                <w:rFonts w:cs="Arial"/>
                <w:sz w:val="20"/>
                <w:szCs w:val="20"/>
                <w:bdr w:val="none" w:sz="0" w:space="0" w:color="auto" w:frame="1"/>
                <w:lang w:val="en-GB" w:eastAsia="en-AU"/>
              </w:rPr>
              <w:t xml:space="preserve">for prolonged periods </w:t>
            </w:r>
            <w:r w:rsidRPr="00F84D7C">
              <w:rPr>
                <w:rFonts w:cs="Arial"/>
                <w:sz w:val="20"/>
                <w:szCs w:val="20"/>
                <w:bdr w:val="none" w:sz="0" w:space="0" w:color="auto" w:frame="1"/>
                <w:lang w:val="en-GB" w:eastAsia="en-AU"/>
              </w:rPr>
              <w:t>in direct sunlight.</w:t>
            </w:r>
          </w:p>
          <w:p w14:paraId="0BDBD8F0" w14:textId="77777777" w:rsidR="008E67EA" w:rsidRPr="00F84D7C" w:rsidRDefault="008E67EA" w:rsidP="00B44A74">
            <w:pPr>
              <w:spacing w:line="280" w:lineRule="exact"/>
              <w:rPr>
                <w:rFonts w:cs="Arial"/>
                <w:sz w:val="20"/>
                <w:szCs w:val="20"/>
                <w:bdr w:val="none" w:sz="0" w:space="0" w:color="auto" w:frame="1"/>
                <w:lang w:val="en-GB" w:eastAsia="en-AU"/>
              </w:rPr>
            </w:pPr>
            <w:r w:rsidRPr="00F84D7C">
              <w:rPr>
                <w:rFonts w:cs="Arial"/>
                <w:sz w:val="20"/>
                <w:szCs w:val="20"/>
                <w:bdr w:val="none" w:sz="0" w:space="0" w:color="auto" w:frame="1"/>
                <w:lang w:val="en-GB" w:eastAsia="en-AU"/>
              </w:rPr>
              <w:t>Triple rinse containers before disposal. Break, crush or puncture and deliver empty packaging to an approved waste management facility. If an approved waste management facility is not available, dispose of empty packaging in compliance with relevant local, state or territory government regulations.</w:t>
            </w:r>
            <w:r>
              <w:rPr>
                <w:rFonts w:cs="Arial"/>
                <w:sz w:val="20"/>
                <w:szCs w:val="20"/>
                <w:bdr w:val="none" w:sz="0" w:space="0" w:color="auto" w:frame="1"/>
                <w:lang w:val="en-GB" w:eastAsia="en-AU"/>
              </w:rPr>
              <w:t xml:space="preserve"> </w:t>
            </w:r>
            <w:r w:rsidRPr="005E538D">
              <w:rPr>
                <w:rFonts w:cs="Arial"/>
                <w:sz w:val="20"/>
                <w:szCs w:val="20"/>
                <w:bdr w:val="none" w:sz="0" w:space="0" w:color="auto" w:frame="1"/>
                <w:lang w:val="en-GB" w:eastAsia="en-AU"/>
              </w:rPr>
              <w:t xml:space="preserve">Dispose of unused product in </w:t>
            </w:r>
            <w:r w:rsidRPr="005E538D">
              <w:rPr>
                <w:rFonts w:cs="Arial"/>
                <w:sz w:val="20"/>
                <w:szCs w:val="20"/>
                <w:bdr w:val="none" w:sz="0" w:space="0" w:color="auto" w:frame="1"/>
                <w:lang w:val="en-GB" w:eastAsia="en-AU"/>
              </w:rPr>
              <w:lastRenderedPageBreak/>
              <w:t>compliance with relevant local, state or territory government regulations.</w:t>
            </w:r>
            <w:r w:rsidRPr="00F84D7C">
              <w:rPr>
                <w:rFonts w:cs="Arial"/>
                <w:sz w:val="20"/>
                <w:szCs w:val="20"/>
                <w:bdr w:val="none" w:sz="0" w:space="0" w:color="auto" w:frame="1"/>
                <w:lang w:val="en-GB" w:eastAsia="en-AU"/>
              </w:rPr>
              <w:t xml:space="preserve"> DO NOT burn empty containers or product.</w:t>
            </w:r>
          </w:p>
        </w:tc>
      </w:tr>
      <w:tr w:rsidR="008E67EA" w:rsidRPr="002B5B5B" w14:paraId="2962617A" w14:textId="77777777" w:rsidTr="00B44A74">
        <w:trPr>
          <w:jc w:val="center"/>
        </w:trPr>
        <w:tc>
          <w:tcPr>
            <w:tcW w:w="2415" w:type="dxa"/>
            <w:tcBorders>
              <w:top w:val="single" w:sz="4" w:space="0" w:color="auto"/>
              <w:left w:val="nil"/>
              <w:bottom w:val="single" w:sz="4" w:space="0" w:color="auto"/>
              <w:right w:val="nil"/>
            </w:tcBorders>
          </w:tcPr>
          <w:p w14:paraId="79D7346E"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0034B08" w14:textId="77777777" w:rsidR="008E67EA" w:rsidRPr="002B5B5B" w:rsidRDefault="008E67EA" w:rsidP="00B44A74">
            <w:pPr>
              <w:spacing w:line="280" w:lineRule="exact"/>
              <w:rPr>
                <w:rFonts w:cs="Arial"/>
                <w:sz w:val="20"/>
                <w:szCs w:val="20"/>
              </w:rPr>
            </w:pPr>
          </w:p>
        </w:tc>
      </w:tr>
      <w:tr w:rsidR="008E67EA" w:rsidRPr="002B5B5B" w14:paraId="5BA623B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E424A8E" w14:textId="77777777" w:rsidR="008E67EA" w:rsidRPr="00F5215F" w:rsidRDefault="008E67EA" w:rsidP="00B44A74">
            <w:pPr>
              <w:spacing w:line="280" w:lineRule="exact"/>
              <w:rPr>
                <w:rFonts w:cs="Arial"/>
                <w:sz w:val="20"/>
                <w:szCs w:val="20"/>
              </w:rPr>
            </w:pPr>
            <w:r w:rsidRPr="00F5215F">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1032FD22" w14:textId="77777777" w:rsidR="008E67EA" w:rsidRDefault="008E67EA" w:rsidP="00B44A74">
            <w:pPr>
              <w:spacing w:line="280" w:lineRule="exact"/>
              <w:rPr>
                <w:rFonts w:cs="Arial"/>
                <w:sz w:val="20"/>
                <w:szCs w:val="20"/>
                <w:bdr w:val="none" w:sz="0" w:space="0" w:color="auto" w:frame="1"/>
                <w:lang w:val="en-GB" w:eastAsia="en-AU"/>
              </w:rPr>
            </w:pPr>
            <w:r w:rsidRPr="00F84D7C">
              <w:rPr>
                <w:rFonts w:cs="Arial"/>
                <w:sz w:val="20"/>
                <w:szCs w:val="20"/>
                <w:bdr w:val="none" w:sz="0" w:space="0" w:color="auto" w:frame="1"/>
                <w:lang w:val="en-GB" w:eastAsia="en-AU"/>
              </w:rPr>
              <w:t>SAFETY DIRECTIONS</w:t>
            </w:r>
          </w:p>
          <w:p w14:paraId="0F25C923" w14:textId="77777777" w:rsidR="008E67EA" w:rsidRDefault="008E67EA" w:rsidP="00B44A74">
            <w:pPr>
              <w:spacing w:line="280" w:lineRule="exact"/>
              <w:rPr>
                <w:rFonts w:cs="Arial"/>
                <w:sz w:val="20"/>
                <w:szCs w:val="20"/>
                <w:bdr w:val="none" w:sz="0" w:space="0" w:color="auto" w:frame="1"/>
                <w:lang w:val="en-GB" w:eastAsia="en-AU"/>
              </w:rPr>
            </w:pPr>
            <w:r w:rsidRPr="00F84D7C">
              <w:rPr>
                <w:rFonts w:cs="Arial"/>
                <w:sz w:val="20"/>
                <w:szCs w:val="20"/>
                <w:bdr w:val="none" w:sz="0" w:space="0" w:color="auto" w:frame="1"/>
                <w:lang w:val="en-GB" w:eastAsia="en-AU"/>
              </w:rPr>
              <w:t>Repeated minor exposure may have a cumulative poisoning effect. Do not touch bait, use scoop or measure. When using the product wear disposable gloves. If on skin and after each baiting, wash thoroughly with soap and water.</w:t>
            </w:r>
          </w:p>
          <w:p w14:paraId="37A1F7A4" w14:textId="61AA7C2B" w:rsidR="008E67EA" w:rsidRPr="00F84D7C" w:rsidRDefault="008E67EA" w:rsidP="00B44A74">
            <w:pPr>
              <w:pBdr>
                <w:top w:val="nil"/>
                <w:left w:val="nil"/>
                <w:bottom w:val="nil"/>
                <w:right w:val="nil"/>
                <w:between w:val="nil"/>
                <w:bar w:val="nil"/>
              </w:pBdr>
              <w:spacing w:line="280" w:lineRule="exact"/>
              <w:rPr>
                <w:rFonts w:cs="Arial"/>
                <w:sz w:val="20"/>
                <w:szCs w:val="20"/>
                <w:bdr w:val="none" w:sz="0" w:space="0" w:color="auto" w:frame="1"/>
                <w:lang w:val="en-GB" w:eastAsia="en-AU"/>
              </w:rPr>
            </w:pPr>
            <w:r w:rsidRPr="00A86A4B">
              <w:rPr>
                <w:rFonts w:cs="Arial"/>
                <w:sz w:val="20"/>
                <w:szCs w:val="20"/>
                <w:bdr w:val="none" w:sz="0" w:space="0" w:color="auto" w:frame="1"/>
                <w:lang w:val="en-GB" w:eastAsia="en-AU"/>
              </w:rPr>
              <w:t>During cleanup and disposal operations of bait and bait stations, wear a single layer of clothing and disposable gloves. Wear disposable gloves when handling rodent carcasses. Wash clothes after performing re-handling activities.</w:t>
            </w:r>
          </w:p>
        </w:tc>
      </w:tr>
      <w:tr w:rsidR="008E67EA" w:rsidRPr="002B5B5B" w14:paraId="7468E0EA" w14:textId="77777777" w:rsidTr="00B44A74">
        <w:trPr>
          <w:jc w:val="center"/>
        </w:trPr>
        <w:tc>
          <w:tcPr>
            <w:tcW w:w="2415" w:type="dxa"/>
            <w:tcBorders>
              <w:top w:val="single" w:sz="4" w:space="0" w:color="auto"/>
              <w:left w:val="nil"/>
              <w:bottom w:val="single" w:sz="4" w:space="0" w:color="auto"/>
              <w:right w:val="nil"/>
            </w:tcBorders>
          </w:tcPr>
          <w:p w14:paraId="0FB44AB2"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2A238C7" w14:textId="77777777" w:rsidR="008E67EA" w:rsidRPr="002B5B5B" w:rsidRDefault="008E67EA" w:rsidP="00B44A74">
            <w:pPr>
              <w:spacing w:line="280" w:lineRule="exact"/>
              <w:rPr>
                <w:rFonts w:cs="Arial"/>
                <w:sz w:val="20"/>
                <w:szCs w:val="20"/>
              </w:rPr>
            </w:pPr>
          </w:p>
        </w:tc>
      </w:tr>
      <w:tr w:rsidR="008E67EA" w:rsidRPr="002B5B5B" w14:paraId="04B1D4E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6895ACE" w14:textId="77777777" w:rsidR="008E67EA" w:rsidRPr="00F5215F" w:rsidRDefault="008E67EA" w:rsidP="00B44A74">
            <w:pPr>
              <w:spacing w:line="280" w:lineRule="exact"/>
              <w:rPr>
                <w:rFonts w:cs="Arial"/>
                <w:sz w:val="20"/>
                <w:szCs w:val="20"/>
              </w:rPr>
            </w:pPr>
            <w:r w:rsidRPr="00F5215F">
              <w:rPr>
                <w:rFonts w:cs="Arial"/>
                <w:sz w:val="20"/>
                <w:szCs w:val="20"/>
              </w:rPr>
              <w:t>First Aid Instructions:</w:t>
            </w:r>
          </w:p>
        </w:tc>
        <w:tc>
          <w:tcPr>
            <w:tcW w:w="7755" w:type="dxa"/>
            <w:tcBorders>
              <w:top w:val="single" w:sz="4" w:space="0" w:color="auto"/>
              <w:left w:val="single" w:sz="4" w:space="0" w:color="auto"/>
              <w:bottom w:val="single" w:sz="4" w:space="0" w:color="auto"/>
              <w:right w:val="single" w:sz="4" w:space="0" w:color="auto"/>
            </w:tcBorders>
          </w:tcPr>
          <w:p w14:paraId="0E6D7CF6" w14:textId="77777777" w:rsidR="008E67EA" w:rsidRPr="00F84D7C" w:rsidRDefault="008E67EA" w:rsidP="00B44A74">
            <w:pPr>
              <w:spacing w:line="280" w:lineRule="exact"/>
              <w:rPr>
                <w:rFonts w:cs="Arial"/>
                <w:sz w:val="20"/>
                <w:szCs w:val="20"/>
                <w:bdr w:val="none" w:sz="0" w:space="0" w:color="auto" w:frame="1"/>
                <w:lang w:val="en-GB" w:eastAsia="en-AU"/>
              </w:rPr>
            </w:pPr>
            <w:r w:rsidRPr="00F84D7C">
              <w:rPr>
                <w:rFonts w:cs="Arial"/>
                <w:sz w:val="20"/>
                <w:szCs w:val="20"/>
                <w:bdr w:val="none" w:sz="0" w:space="0" w:color="auto" w:frame="1"/>
                <w:lang w:val="en-GB" w:eastAsia="en-AU"/>
              </w:rPr>
              <w:t>FIRST AID</w:t>
            </w:r>
          </w:p>
          <w:p w14:paraId="195FA10B" w14:textId="77777777" w:rsidR="008E67EA" w:rsidRPr="002B5B5B" w:rsidRDefault="008E67EA" w:rsidP="00B44A74">
            <w:pPr>
              <w:spacing w:line="280" w:lineRule="exact"/>
              <w:rPr>
                <w:rFonts w:cs="Arial"/>
                <w:sz w:val="20"/>
                <w:szCs w:val="20"/>
              </w:rPr>
            </w:pPr>
            <w:r w:rsidRPr="00F84D7C">
              <w:rPr>
                <w:rFonts w:cs="Arial"/>
                <w:sz w:val="20"/>
                <w:szCs w:val="20"/>
                <w:bdr w:val="none" w:sz="0" w:space="0" w:color="auto" w:frame="1"/>
                <w:lang w:val="en-GB" w:eastAsia="en-AU"/>
              </w:rPr>
              <w:t>If poisoning occurs, contact a doctor or Poisons Information Centre. Phone Australia 13 11 26, New Zealand 0800 764 766. Vitamin K1 (Phytomenadione) is antidotal.</w:t>
            </w:r>
          </w:p>
        </w:tc>
      </w:tr>
      <w:tr w:rsidR="008E67EA" w:rsidRPr="002B5B5B" w14:paraId="09AD5FB5" w14:textId="77777777" w:rsidTr="00B44A74">
        <w:trPr>
          <w:jc w:val="center"/>
        </w:trPr>
        <w:tc>
          <w:tcPr>
            <w:tcW w:w="2415" w:type="dxa"/>
            <w:tcBorders>
              <w:top w:val="single" w:sz="4" w:space="0" w:color="auto"/>
              <w:left w:val="nil"/>
              <w:bottom w:val="single" w:sz="4" w:space="0" w:color="auto"/>
              <w:right w:val="nil"/>
            </w:tcBorders>
          </w:tcPr>
          <w:p w14:paraId="35415458"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64D972D" w14:textId="77777777" w:rsidR="008E67EA" w:rsidRPr="002B5B5B" w:rsidRDefault="008E67EA" w:rsidP="00B44A74">
            <w:pPr>
              <w:spacing w:line="280" w:lineRule="exact"/>
              <w:rPr>
                <w:rFonts w:cs="Arial"/>
                <w:sz w:val="20"/>
                <w:szCs w:val="20"/>
              </w:rPr>
            </w:pPr>
          </w:p>
        </w:tc>
      </w:tr>
      <w:tr w:rsidR="008E67EA" w:rsidRPr="002B5B5B" w14:paraId="5F9C86D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B3D6BBC" w14:textId="77777777" w:rsidR="008E67EA" w:rsidRPr="00F5215F" w:rsidRDefault="008E67EA" w:rsidP="00B44A74">
            <w:pPr>
              <w:spacing w:line="280" w:lineRule="exact"/>
              <w:rPr>
                <w:rFonts w:cs="Arial"/>
                <w:sz w:val="20"/>
                <w:szCs w:val="20"/>
              </w:rPr>
            </w:pPr>
            <w:r w:rsidRPr="00F5215F">
              <w:rPr>
                <w:rFonts w:cs="Arial"/>
                <w:sz w:val="20"/>
                <w:szCs w:val="20"/>
              </w:rPr>
              <w:t>First Aid Warnings:</w:t>
            </w:r>
          </w:p>
        </w:tc>
        <w:tc>
          <w:tcPr>
            <w:tcW w:w="7755" w:type="dxa"/>
            <w:tcBorders>
              <w:top w:val="single" w:sz="4" w:space="0" w:color="auto"/>
              <w:left w:val="single" w:sz="4" w:space="0" w:color="auto"/>
              <w:bottom w:val="single" w:sz="4" w:space="0" w:color="auto"/>
              <w:right w:val="single" w:sz="4" w:space="0" w:color="auto"/>
            </w:tcBorders>
          </w:tcPr>
          <w:p w14:paraId="5E5AE1FD" w14:textId="77777777" w:rsidR="008E67EA" w:rsidRPr="002B5B5B" w:rsidRDefault="008E67EA" w:rsidP="00B44A74">
            <w:pPr>
              <w:spacing w:line="280" w:lineRule="exact"/>
              <w:rPr>
                <w:rFonts w:cs="Arial"/>
                <w:sz w:val="20"/>
                <w:szCs w:val="20"/>
              </w:rPr>
            </w:pPr>
          </w:p>
        </w:tc>
      </w:tr>
    </w:tbl>
    <w:p w14:paraId="12ECECF3" w14:textId="77777777" w:rsidR="008E67EA" w:rsidRDefault="008E67EA" w:rsidP="008E67EA"/>
    <w:p w14:paraId="264AE4C5" w14:textId="77777777" w:rsidR="008E67EA" w:rsidRPr="00867EDB" w:rsidRDefault="008E67EA" w:rsidP="008E67EA">
      <w:pPr>
        <w:spacing w:line="280" w:lineRule="exact"/>
        <w:rPr>
          <w:rFonts w:cs="Arial"/>
          <w:b/>
          <w:bCs/>
          <w:sz w:val="20"/>
          <w:szCs w:val="20"/>
        </w:rPr>
      </w:pPr>
      <w:r w:rsidRPr="00867EDB">
        <w:rPr>
          <w:rFonts w:cs="Arial"/>
          <w:b/>
          <w:bCs/>
          <w:sz w:val="20"/>
          <w:szCs w:val="20"/>
        </w:rPr>
        <w:t>DIRECTIONS FOR USE</w:t>
      </w:r>
    </w:p>
    <w:tbl>
      <w:tblPr>
        <w:tblStyle w:val="TableGrid"/>
        <w:tblW w:w="48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1500"/>
        <w:gridCol w:w="1313"/>
        <w:gridCol w:w="3561"/>
      </w:tblGrid>
      <w:tr w:rsidR="008E67EA" w:rsidRPr="00C118CC" w14:paraId="5D77B413" w14:textId="77777777" w:rsidTr="00731415">
        <w:trPr>
          <w:trHeight w:val="340"/>
        </w:trPr>
        <w:tc>
          <w:tcPr>
            <w:tcW w:w="1601" w:type="pct"/>
          </w:tcPr>
          <w:p w14:paraId="22371FC7" w14:textId="77777777" w:rsidR="008E67EA" w:rsidRPr="002F6425" w:rsidRDefault="008E67EA" w:rsidP="00B44A74">
            <w:pPr>
              <w:spacing w:line="280" w:lineRule="exact"/>
              <w:rPr>
                <w:rFonts w:cs="Arial"/>
                <w:b/>
                <w:bCs/>
                <w:spacing w:val="-2"/>
                <w:w w:val="105"/>
                <w:szCs w:val="18"/>
              </w:rPr>
            </w:pPr>
            <w:r w:rsidRPr="002F6425">
              <w:rPr>
                <w:rFonts w:cs="Arial"/>
                <w:b/>
                <w:bCs/>
                <w:szCs w:val="18"/>
              </w:rPr>
              <w:t>SITUATION</w:t>
            </w:r>
          </w:p>
        </w:tc>
        <w:tc>
          <w:tcPr>
            <w:tcW w:w="800" w:type="pct"/>
          </w:tcPr>
          <w:p w14:paraId="37CAD056" w14:textId="77777777" w:rsidR="008E67EA" w:rsidRPr="002F6425" w:rsidRDefault="008E67EA" w:rsidP="00B44A74">
            <w:pPr>
              <w:pStyle w:val="TableParagraph"/>
              <w:spacing w:before="61"/>
              <w:rPr>
                <w:b/>
                <w:bCs/>
                <w:spacing w:val="-4"/>
                <w:sz w:val="18"/>
                <w:szCs w:val="18"/>
              </w:rPr>
            </w:pPr>
            <w:r w:rsidRPr="002F6425">
              <w:rPr>
                <w:b/>
                <w:bCs/>
                <w:sz w:val="18"/>
                <w:szCs w:val="18"/>
              </w:rPr>
              <w:t>PEST</w:t>
            </w:r>
          </w:p>
        </w:tc>
        <w:tc>
          <w:tcPr>
            <w:tcW w:w="700" w:type="pct"/>
          </w:tcPr>
          <w:p w14:paraId="7AA7522C" w14:textId="77777777" w:rsidR="008E67EA" w:rsidRPr="002F6425" w:rsidRDefault="008E67EA" w:rsidP="00B44A74">
            <w:pPr>
              <w:pStyle w:val="TableParagraph"/>
              <w:spacing w:before="61"/>
              <w:rPr>
                <w:b/>
                <w:bCs/>
                <w:sz w:val="18"/>
                <w:szCs w:val="18"/>
              </w:rPr>
            </w:pPr>
            <w:r w:rsidRPr="002F6425">
              <w:rPr>
                <w:b/>
                <w:bCs/>
                <w:sz w:val="18"/>
                <w:szCs w:val="18"/>
              </w:rPr>
              <w:t>RATE</w:t>
            </w:r>
          </w:p>
        </w:tc>
        <w:tc>
          <w:tcPr>
            <w:tcW w:w="1899" w:type="pct"/>
          </w:tcPr>
          <w:p w14:paraId="00086783" w14:textId="77777777" w:rsidR="008E67EA" w:rsidRPr="002F6425" w:rsidRDefault="008E67EA" w:rsidP="00B44A74">
            <w:pPr>
              <w:pStyle w:val="TableParagraph"/>
              <w:spacing w:before="61"/>
              <w:rPr>
                <w:b/>
                <w:bCs/>
                <w:color w:val="7030A0"/>
                <w:sz w:val="18"/>
                <w:szCs w:val="18"/>
              </w:rPr>
            </w:pPr>
            <w:r w:rsidRPr="002F6425">
              <w:rPr>
                <w:b/>
                <w:bCs/>
                <w:sz w:val="18"/>
                <w:szCs w:val="18"/>
              </w:rPr>
              <w:t>CRITICAL COMMENTS</w:t>
            </w:r>
          </w:p>
        </w:tc>
      </w:tr>
      <w:tr w:rsidR="008E67EA" w:rsidRPr="00C118CC" w14:paraId="366B3353" w14:textId="77777777" w:rsidTr="00731415">
        <w:trPr>
          <w:trHeight w:val="1050"/>
        </w:trPr>
        <w:tc>
          <w:tcPr>
            <w:tcW w:w="1601" w:type="pct"/>
          </w:tcPr>
          <w:p w14:paraId="5444328A" w14:textId="77777777" w:rsidR="008E67EA" w:rsidRPr="002F6425" w:rsidRDefault="008E67EA" w:rsidP="00B44A74">
            <w:pPr>
              <w:spacing w:line="240" w:lineRule="exact"/>
              <w:rPr>
                <w:rFonts w:cs="Arial"/>
                <w:b/>
                <w:spacing w:val="-2"/>
                <w:w w:val="105"/>
                <w:szCs w:val="18"/>
              </w:rPr>
            </w:pPr>
            <w:r w:rsidRPr="002F6425">
              <w:rPr>
                <w:rFonts w:cs="Arial"/>
                <w:b/>
                <w:spacing w:val="-2"/>
                <w:w w:val="105"/>
                <w:szCs w:val="18"/>
              </w:rPr>
              <w:t>Clean Out Treatment</w:t>
            </w:r>
            <w:r>
              <w:rPr>
                <w:rFonts w:cs="Arial"/>
                <w:b/>
                <w:spacing w:val="-2"/>
                <w:w w:val="105"/>
                <w:szCs w:val="18"/>
              </w:rPr>
              <w:t>s</w:t>
            </w:r>
            <w:r w:rsidRPr="002F6425">
              <w:rPr>
                <w:rFonts w:cs="Arial"/>
                <w:b/>
                <w:spacing w:val="-2"/>
                <w:w w:val="105"/>
                <w:szCs w:val="18"/>
              </w:rPr>
              <w:t xml:space="preserve"> </w:t>
            </w:r>
          </w:p>
          <w:p w14:paraId="5753C65A" w14:textId="77777777" w:rsidR="008E67EA" w:rsidRPr="00867EDB" w:rsidRDefault="008E67EA" w:rsidP="00B44A74">
            <w:pPr>
              <w:spacing w:line="240" w:lineRule="exact"/>
              <w:rPr>
                <w:rFonts w:cs="Arial"/>
                <w:bCs/>
                <w:spacing w:val="-2"/>
                <w:w w:val="105"/>
                <w:szCs w:val="18"/>
              </w:rPr>
            </w:pPr>
            <w:r w:rsidRPr="00867EDB">
              <w:rPr>
                <w:rFonts w:cs="Arial"/>
                <w:bCs/>
                <w:spacing w:val="-2"/>
                <w:w w:val="105"/>
                <w:szCs w:val="18"/>
              </w:rPr>
              <w:t xml:space="preserve">In and around </w:t>
            </w:r>
            <w:r>
              <w:rPr>
                <w:rFonts w:cs="Arial"/>
                <w:bCs/>
                <w:spacing w:val="-2"/>
                <w:w w:val="105"/>
                <w:szCs w:val="18"/>
              </w:rPr>
              <w:t>(within 2 m) a</w:t>
            </w:r>
            <w:r w:rsidRPr="00867EDB">
              <w:rPr>
                <w:rFonts w:cs="Arial"/>
                <w:bCs/>
                <w:spacing w:val="-2"/>
                <w:w w:val="105"/>
                <w:szCs w:val="18"/>
              </w:rPr>
              <w:t xml:space="preserve">gricultural, </w:t>
            </w:r>
            <w:r>
              <w:rPr>
                <w:rFonts w:cs="Arial"/>
                <w:bCs/>
                <w:spacing w:val="-2"/>
                <w:w w:val="105"/>
                <w:szCs w:val="18"/>
              </w:rPr>
              <w:t>c</w:t>
            </w:r>
            <w:r w:rsidRPr="00867EDB">
              <w:rPr>
                <w:rFonts w:cs="Arial"/>
                <w:bCs/>
                <w:spacing w:val="-2"/>
                <w:w w:val="105"/>
                <w:szCs w:val="18"/>
              </w:rPr>
              <w:t xml:space="preserve">ommercial, </w:t>
            </w:r>
            <w:r>
              <w:rPr>
                <w:rFonts w:cs="Arial"/>
                <w:bCs/>
                <w:spacing w:val="-2"/>
                <w:w w:val="105"/>
                <w:szCs w:val="18"/>
              </w:rPr>
              <w:t>d</w:t>
            </w:r>
            <w:r w:rsidRPr="00867EDB">
              <w:rPr>
                <w:rFonts w:cs="Arial"/>
                <w:bCs/>
                <w:spacing w:val="-2"/>
                <w:w w:val="105"/>
                <w:szCs w:val="18"/>
              </w:rPr>
              <w:t>omestic</w:t>
            </w:r>
            <w:r>
              <w:rPr>
                <w:rFonts w:cs="Arial"/>
                <w:bCs/>
                <w:spacing w:val="-2"/>
                <w:w w:val="105"/>
                <w:szCs w:val="18"/>
              </w:rPr>
              <w:t>,</w:t>
            </w:r>
            <w:r w:rsidRPr="00867EDB">
              <w:rPr>
                <w:rFonts w:cs="Arial"/>
                <w:bCs/>
                <w:spacing w:val="-2"/>
                <w:w w:val="105"/>
                <w:szCs w:val="18"/>
              </w:rPr>
              <w:t xml:space="preserve"> </w:t>
            </w:r>
            <w:r>
              <w:rPr>
                <w:rFonts w:cs="Arial"/>
                <w:bCs/>
                <w:spacing w:val="-2"/>
                <w:w w:val="105"/>
                <w:szCs w:val="18"/>
              </w:rPr>
              <w:t>i</w:t>
            </w:r>
            <w:r w:rsidRPr="00867EDB">
              <w:rPr>
                <w:rFonts w:cs="Arial"/>
                <w:bCs/>
                <w:spacing w:val="-2"/>
                <w:w w:val="105"/>
                <w:szCs w:val="18"/>
              </w:rPr>
              <w:t xml:space="preserve">ndustrial and </w:t>
            </w:r>
            <w:r>
              <w:rPr>
                <w:rFonts w:cs="Arial"/>
                <w:bCs/>
                <w:spacing w:val="-2"/>
                <w:w w:val="105"/>
                <w:szCs w:val="18"/>
              </w:rPr>
              <w:t>p</w:t>
            </w:r>
            <w:r w:rsidRPr="00867EDB">
              <w:rPr>
                <w:rFonts w:cs="Arial"/>
                <w:bCs/>
                <w:spacing w:val="-2"/>
                <w:w w:val="105"/>
                <w:szCs w:val="18"/>
              </w:rPr>
              <w:t xml:space="preserve">ublic </w:t>
            </w:r>
            <w:r>
              <w:rPr>
                <w:rFonts w:cs="Arial"/>
                <w:bCs/>
                <w:spacing w:val="-2"/>
                <w:w w:val="105"/>
                <w:szCs w:val="18"/>
              </w:rPr>
              <w:t>s</w:t>
            </w:r>
            <w:r w:rsidRPr="00867EDB">
              <w:rPr>
                <w:rFonts w:cs="Arial"/>
                <w:bCs/>
                <w:spacing w:val="-2"/>
                <w:w w:val="105"/>
                <w:szCs w:val="18"/>
              </w:rPr>
              <w:t>ervice buildings</w:t>
            </w:r>
          </w:p>
        </w:tc>
        <w:tc>
          <w:tcPr>
            <w:tcW w:w="800" w:type="pct"/>
          </w:tcPr>
          <w:p w14:paraId="43ED4BF4" w14:textId="77777777" w:rsidR="008E67EA" w:rsidRPr="00867EDB" w:rsidRDefault="008E67EA" w:rsidP="00B44A74">
            <w:pPr>
              <w:spacing w:line="240" w:lineRule="exact"/>
              <w:rPr>
                <w:rFonts w:cs="Arial"/>
                <w:bCs/>
                <w:spacing w:val="-2"/>
                <w:w w:val="105"/>
                <w:szCs w:val="18"/>
              </w:rPr>
            </w:pPr>
            <w:r w:rsidRPr="00867EDB">
              <w:rPr>
                <w:rFonts w:cs="Arial"/>
                <w:bCs/>
                <w:spacing w:val="-2"/>
                <w:w w:val="105"/>
                <w:szCs w:val="18"/>
              </w:rPr>
              <w:t>Rats</w:t>
            </w:r>
          </w:p>
          <w:p w14:paraId="0187A0A4" w14:textId="77777777" w:rsidR="008E67EA" w:rsidRPr="00641519" w:rsidRDefault="008E67EA" w:rsidP="00B44A74">
            <w:pPr>
              <w:spacing w:line="240" w:lineRule="exact"/>
              <w:rPr>
                <w:rFonts w:cs="Arial"/>
                <w:bCs/>
                <w:i/>
                <w:iCs/>
                <w:spacing w:val="-2"/>
                <w:w w:val="105"/>
                <w:szCs w:val="18"/>
              </w:rPr>
            </w:pPr>
            <w:r w:rsidRPr="00867EDB">
              <w:rPr>
                <w:rFonts w:cs="Arial"/>
                <w:bCs/>
                <w:spacing w:val="-2"/>
                <w:w w:val="105"/>
                <w:szCs w:val="18"/>
              </w:rPr>
              <w:t>(</w:t>
            </w:r>
            <w:r w:rsidRPr="002F6425">
              <w:rPr>
                <w:rFonts w:cs="Arial"/>
                <w:bCs/>
                <w:i/>
                <w:iCs/>
                <w:spacing w:val="-2"/>
                <w:w w:val="105"/>
                <w:szCs w:val="18"/>
              </w:rPr>
              <w:t>Rattus rattus, R. norvegicus)</w:t>
            </w:r>
          </w:p>
        </w:tc>
        <w:tc>
          <w:tcPr>
            <w:tcW w:w="700" w:type="pct"/>
          </w:tcPr>
          <w:p w14:paraId="4B2A749E" w14:textId="77777777" w:rsidR="008E67EA" w:rsidRPr="002F6425" w:rsidRDefault="008E67EA" w:rsidP="00B44A74">
            <w:pPr>
              <w:spacing w:line="240" w:lineRule="exact"/>
              <w:rPr>
                <w:rFonts w:cs="Arial"/>
                <w:bCs/>
                <w:spacing w:val="-2"/>
                <w:w w:val="105"/>
                <w:szCs w:val="18"/>
              </w:rPr>
            </w:pPr>
            <w:r w:rsidRPr="002F6425">
              <w:rPr>
                <w:rFonts w:cs="Arial"/>
                <w:bCs/>
                <w:spacing w:val="-2"/>
                <w:w w:val="105"/>
                <w:szCs w:val="18"/>
              </w:rPr>
              <w:t>1 to 3 wax</w:t>
            </w:r>
            <w:r>
              <w:rPr>
                <w:rFonts w:cs="Arial"/>
                <w:bCs/>
                <w:spacing w:val="-2"/>
                <w:w w:val="105"/>
                <w:szCs w:val="18"/>
              </w:rPr>
              <w:t xml:space="preserve"> </w:t>
            </w:r>
            <w:r w:rsidRPr="002F6425">
              <w:rPr>
                <w:rFonts w:cs="Arial"/>
                <w:bCs/>
                <w:spacing w:val="-2"/>
                <w:w w:val="105"/>
                <w:szCs w:val="18"/>
              </w:rPr>
              <w:t>blocks/bait</w:t>
            </w:r>
          </w:p>
          <w:p w14:paraId="496FB68A" w14:textId="37E98ABD" w:rsidR="008E67EA" w:rsidRPr="00867EDB" w:rsidRDefault="008E67EA" w:rsidP="00731415">
            <w:pPr>
              <w:spacing w:line="240" w:lineRule="exact"/>
              <w:rPr>
                <w:rFonts w:cs="Arial"/>
                <w:bCs/>
                <w:spacing w:val="-2"/>
                <w:w w:val="105"/>
                <w:szCs w:val="18"/>
              </w:rPr>
            </w:pPr>
            <w:r w:rsidRPr="002F6425">
              <w:rPr>
                <w:rFonts w:cs="Arial"/>
                <w:bCs/>
                <w:spacing w:val="-2"/>
                <w:w w:val="105"/>
                <w:szCs w:val="18"/>
              </w:rPr>
              <w:t>station</w:t>
            </w:r>
          </w:p>
        </w:tc>
        <w:tc>
          <w:tcPr>
            <w:tcW w:w="1899" w:type="pct"/>
            <w:vMerge w:val="restart"/>
          </w:tcPr>
          <w:p w14:paraId="5DBAAFC9" w14:textId="77777777" w:rsidR="008E67EA" w:rsidRDefault="008E67EA" w:rsidP="00B44A74">
            <w:pPr>
              <w:spacing w:after="120" w:line="240" w:lineRule="exact"/>
              <w:rPr>
                <w:rFonts w:cs="Arial"/>
                <w:bCs/>
                <w:spacing w:val="-2"/>
                <w:w w:val="105"/>
                <w:szCs w:val="18"/>
              </w:rPr>
            </w:pPr>
            <w:r w:rsidRPr="00753F6C">
              <w:rPr>
                <w:rFonts w:cs="Arial"/>
                <w:bCs/>
                <w:i/>
                <w:iCs/>
                <w:spacing w:val="-2"/>
                <w:w w:val="105"/>
                <w:szCs w:val="18"/>
              </w:rPr>
              <w:t>For rats:</w:t>
            </w:r>
            <w:r>
              <w:rPr>
                <w:rFonts w:cs="Arial"/>
                <w:bCs/>
                <w:spacing w:val="-2"/>
                <w:w w:val="105"/>
                <w:szCs w:val="18"/>
              </w:rPr>
              <w:t xml:space="preserve"> </w:t>
            </w:r>
            <w:r w:rsidRPr="00867EDB">
              <w:rPr>
                <w:rFonts w:cs="Arial"/>
                <w:bCs/>
                <w:spacing w:val="-2"/>
                <w:w w:val="105"/>
                <w:szCs w:val="18"/>
              </w:rPr>
              <w:t xml:space="preserve">Place </w:t>
            </w:r>
            <w:r>
              <w:rPr>
                <w:rFonts w:cs="Arial"/>
                <w:bCs/>
                <w:spacing w:val="-2"/>
                <w:w w:val="105"/>
                <w:szCs w:val="18"/>
              </w:rPr>
              <w:t>bait stations</w:t>
            </w:r>
            <w:r w:rsidRPr="00867EDB">
              <w:rPr>
                <w:rFonts w:cs="Arial"/>
                <w:bCs/>
                <w:spacing w:val="-2"/>
                <w:w w:val="105"/>
                <w:szCs w:val="18"/>
              </w:rPr>
              <w:t xml:space="preserve"> at intervals of 5 to 9 m in infested areas</w:t>
            </w:r>
            <w:r>
              <w:rPr>
                <w:rFonts w:cs="Arial"/>
                <w:bCs/>
                <w:spacing w:val="-2"/>
                <w:w w:val="105"/>
                <w:szCs w:val="18"/>
              </w:rPr>
              <w:t>.</w:t>
            </w:r>
          </w:p>
          <w:p w14:paraId="5DF6A230" w14:textId="77777777" w:rsidR="008E67EA" w:rsidRPr="00867EDB" w:rsidRDefault="008E67EA" w:rsidP="00B44A74">
            <w:pPr>
              <w:spacing w:after="120" w:line="240" w:lineRule="exact"/>
              <w:rPr>
                <w:rFonts w:cs="Arial"/>
                <w:bCs/>
                <w:spacing w:val="-2"/>
                <w:w w:val="105"/>
                <w:szCs w:val="18"/>
              </w:rPr>
            </w:pPr>
            <w:r w:rsidRPr="00753F6C">
              <w:rPr>
                <w:rFonts w:cs="Arial"/>
                <w:bCs/>
                <w:i/>
                <w:iCs/>
                <w:spacing w:val="-2"/>
                <w:w w:val="105"/>
                <w:szCs w:val="18"/>
              </w:rPr>
              <w:t>For mice:</w:t>
            </w:r>
            <w:r>
              <w:rPr>
                <w:rFonts w:cs="Arial"/>
                <w:bCs/>
                <w:spacing w:val="-2"/>
                <w:w w:val="105"/>
                <w:szCs w:val="18"/>
              </w:rPr>
              <w:t xml:space="preserve"> </w:t>
            </w:r>
            <w:r w:rsidRPr="00867EDB">
              <w:rPr>
                <w:rFonts w:cs="Arial"/>
                <w:bCs/>
                <w:spacing w:val="-2"/>
                <w:w w:val="105"/>
                <w:szCs w:val="18"/>
              </w:rPr>
              <w:t xml:space="preserve">Place </w:t>
            </w:r>
            <w:r>
              <w:rPr>
                <w:rFonts w:cs="Arial"/>
                <w:bCs/>
                <w:spacing w:val="-2"/>
                <w:w w:val="105"/>
                <w:szCs w:val="18"/>
              </w:rPr>
              <w:t>bait stations</w:t>
            </w:r>
            <w:r w:rsidRPr="00867EDB">
              <w:rPr>
                <w:rFonts w:cs="Arial"/>
                <w:bCs/>
                <w:spacing w:val="-2"/>
                <w:w w:val="105"/>
                <w:szCs w:val="18"/>
              </w:rPr>
              <w:t xml:space="preserve"> at intervals of </w:t>
            </w:r>
            <w:r>
              <w:rPr>
                <w:rFonts w:cs="Arial"/>
                <w:bCs/>
                <w:spacing w:val="-2"/>
                <w:w w:val="105"/>
                <w:szCs w:val="18"/>
              </w:rPr>
              <w:t>2</w:t>
            </w:r>
            <w:r w:rsidRPr="00867EDB">
              <w:rPr>
                <w:rFonts w:cs="Arial"/>
                <w:bCs/>
                <w:spacing w:val="-2"/>
                <w:w w:val="105"/>
                <w:szCs w:val="18"/>
              </w:rPr>
              <w:t xml:space="preserve"> to </w:t>
            </w:r>
            <w:r>
              <w:rPr>
                <w:rFonts w:cs="Arial"/>
                <w:bCs/>
                <w:spacing w:val="-2"/>
                <w:w w:val="105"/>
                <w:szCs w:val="18"/>
              </w:rPr>
              <w:t>3</w:t>
            </w:r>
            <w:r w:rsidRPr="00867EDB">
              <w:rPr>
                <w:rFonts w:cs="Arial"/>
                <w:bCs/>
                <w:spacing w:val="-2"/>
                <w:w w:val="105"/>
                <w:szCs w:val="18"/>
              </w:rPr>
              <w:t xml:space="preserve"> m in infested areas</w:t>
            </w:r>
            <w:r>
              <w:rPr>
                <w:rFonts w:cs="Arial"/>
                <w:bCs/>
                <w:spacing w:val="-2"/>
                <w:w w:val="105"/>
                <w:szCs w:val="18"/>
              </w:rPr>
              <w:t>.</w:t>
            </w:r>
          </w:p>
          <w:p w14:paraId="59B8E20E" w14:textId="77777777" w:rsidR="008E67EA" w:rsidRDefault="008E67EA" w:rsidP="00B44A74">
            <w:pPr>
              <w:spacing w:after="120" w:line="240" w:lineRule="exact"/>
              <w:rPr>
                <w:rFonts w:cs="Arial"/>
                <w:bCs/>
                <w:spacing w:val="-2"/>
                <w:w w:val="105"/>
                <w:szCs w:val="18"/>
              </w:rPr>
            </w:pPr>
            <w:r w:rsidRPr="00867EDB">
              <w:rPr>
                <w:rFonts w:cs="Arial"/>
                <w:bCs/>
                <w:spacing w:val="-2"/>
                <w:w w:val="105"/>
                <w:szCs w:val="18"/>
              </w:rPr>
              <w:t>Use the greater number of blocks and shorter distance between bait placements when infestations are heavy</w:t>
            </w:r>
            <w:r w:rsidRPr="00867EDB" w:rsidDel="004D121A">
              <w:rPr>
                <w:rFonts w:cs="Arial"/>
                <w:bCs/>
                <w:spacing w:val="-2"/>
                <w:w w:val="105"/>
                <w:szCs w:val="18"/>
              </w:rPr>
              <w:t xml:space="preserve"> </w:t>
            </w:r>
          </w:p>
          <w:p w14:paraId="24C50C07" w14:textId="77777777" w:rsidR="008E67EA" w:rsidRPr="00867EDB" w:rsidRDefault="008E67EA" w:rsidP="00B44A74">
            <w:pPr>
              <w:spacing w:after="120" w:line="240" w:lineRule="exact"/>
              <w:rPr>
                <w:rFonts w:cs="Arial"/>
                <w:bCs/>
                <w:spacing w:val="-2"/>
                <w:w w:val="105"/>
                <w:szCs w:val="18"/>
              </w:rPr>
            </w:pPr>
            <w:r>
              <w:rPr>
                <w:rFonts w:cs="Arial"/>
                <w:bCs/>
                <w:spacing w:val="-2"/>
                <w:w w:val="105"/>
                <w:szCs w:val="18"/>
              </w:rPr>
              <w:t xml:space="preserve">See also baiting strategy for clean out treatments. </w:t>
            </w:r>
          </w:p>
        </w:tc>
      </w:tr>
      <w:tr w:rsidR="008E67EA" w:rsidRPr="00C118CC" w14:paraId="3E0A62F8" w14:textId="77777777" w:rsidTr="00731415">
        <w:trPr>
          <w:trHeight w:val="402"/>
        </w:trPr>
        <w:tc>
          <w:tcPr>
            <w:tcW w:w="1601" w:type="pct"/>
          </w:tcPr>
          <w:p w14:paraId="499CB545" w14:textId="77777777" w:rsidR="008E67EA" w:rsidRDefault="008E67EA" w:rsidP="00B44A74">
            <w:pPr>
              <w:spacing w:line="240" w:lineRule="exact"/>
              <w:rPr>
                <w:rFonts w:cs="Arial"/>
                <w:bCs/>
                <w:spacing w:val="-2"/>
                <w:w w:val="105"/>
                <w:szCs w:val="18"/>
              </w:rPr>
            </w:pPr>
            <w:r w:rsidRPr="002F6425">
              <w:rPr>
                <w:rFonts w:cs="Arial"/>
                <w:b/>
                <w:spacing w:val="-2"/>
                <w:w w:val="105"/>
                <w:szCs w:val="18"/>
              </w:rPr>
              <w:t>Clean Out Treatment</w:t>
            </w:r>
            <w:r>
              <w:rPr>
                <w:rFonts w:cs="Arial"/>
                <w:b/>
                <w:spacing w:val="-2"/>
                <w:w w:val="105"/>
                <w:szCs w:val="18"/>
              </w:rPr>
              <w:t>s</w:t>
            </w:r>
          </w:p>
          <w:p w14:paraId="1BE2E1CC" w14:textId="77777777" w:rsidR="008E67EA" w:rsidRPr="00867EDB" w:rsidRDefault="008E67EA" w:rsidP="00B44A74">
            <w:pPr>
              <w:spacing w:line="240" w:lineRule="exact"/>
              <w:rPr>
                <w:rFonts w:cs="Arial"/>
                <w:bCs/>
                <w:spacing w:val="-2"/>
                <w:w w:val="105"/>
                <w:szCs w:val="18"/>
              </w:rPr>
            </w:pPr>
            <w:r w:rsidRPr="00867EDB">
              <w:rPr>
                <w:rFonts w:cs="Arial"/>
                <w:bCs/>
                <w:spacing w:val="-2"/>
                <w:w w:val="105"/>
                <w:szCs w:val="18"/>
              </w:rPr>
              <w:t xml:space="preserve">In </w:t>
            </w:r>
            <w:r>
              <w:rPr>
                <w:rFonts w:cs="Arial"/>
                <w:bCs/>
                <w:spacing w:val="-2"/>
                <w:w w:val="105"/>
                <w:szCs w:val="18"/>
              </w:rPr>
              <w:t>a</w:t>
            </w:r>
            <w:r w:rsidRPr="00867EDB">
              <w:rPr>
                <w:rFonts w:cs="Arial"/>
                <w:bCs/>
                <w:spacing w:val="-2"/>
                <w:w w:val="105"/>
                <w:szCs w:val="18"/>
              </w:rPr>
              <w:t xml:space="preserve">gricultural, </w:t>
            </w:r>
            <w:r>
              <w:rPr>
                <w:rFonts w:cs="Arial"/>
                <w:bCs/>
                <w:spacing w:val="-2"/>
                <w:w w:val="105"/>
                <w:szCs w:val="18"/>
              </w:rPr>
              <w:t>c</w:t>
            </w:r>
            <w:r w:rsidRPr="00867EDB">
              <w:rPr>
                <w:rFonts w:cs="Arial"/>
                <w:bCs/>
                <w:spacing w:val="-2"/>
                <w:w w:val="105"/>
                <w:szCs w:val="18"/>
              </w:rPr>
              <w:t xml:space="preserve">ommercial, </w:t>
            </w:r>
            <w:r>
              <w:rPr>
                <w:rFonts w:cs="Arial"/>
                <w:bCs/>
                <w:spacing w:val="-2"/>
                <w:w w:val="105"/>
                <w:szCs w:val="18"/>
              </w:rPr>
              <w:t>d</w:t>
            </w:r>
            <w:r w:rsidRPr="00867EDB">
              <w:rPr>
                <w:rFonts w:cs="Arial"/>
                <w:bCs/>
                <w:spacing w:val="-2"/>
                <w:w w:val="105"/>
                <w:szCs w:val="18"/>
              </w:rPr>
              <w:t xml:space="preserve">omestic </w:t>
            </w:r>
            <w:r>
              <w:rPr>
                <w:rFonts w:cs="Arial"/>
                <w:bCs/>
                <w:spacing w:val="-2"/>
                <w:w w:val="105"/>
                <w:szCs w:val="18"/>
              </w:rPr>
              <w:t>i</w:t>
            </w:r>
            <w:r w:rsidRPr="00867EDB">
              <w:rPr>
                <w:rFonts w:cs="Arial"/>
                <w:bCs/>
                <w:spacing w:val="-2"/>
                <w:w w:val="105"/>
                <w:szCs w:val="18"/>
              </w:rPr>
              <w:t xml:space="preserve">ndustrial and </w:t>
            </w:r>
            <w:r>
              <w:rPr>
                <w:rFonts w:cs="Arial"/>
                <w:bCs/>
                <w:spacing w:val="-2"/>
                <w:w w:val="105"/>
                <w:szCs w:val="18"/>
              </w:rPr>
              <w:t>p</w:t>
            </w:r>
            <w:r w:rsidRPr="00867EDB">
              <w:rPr>
                <w:rFonts w:cs="Arial"/>
                <w:bCs/>
                <w:spacing w:val="-2"/>
                <w:w w:val="105"/>
                <w:szCs w:val="18"/>
              </w:rPr>
              <w:t xml:space="preserve">ublic </w:t>
            </w:r>
            <w:r>
              <w:rPr>
                <w:rFonts w:cs="Arial"/>
                <w:bCs/>
                <w:spacing w:val="-2"/>
                <w:w w:val="105"/>
                <w:szCs w:val="18"/>
              </w:rPr>
              <w:t>s</w:t>
            </w:r>
            <w:r w:rsidRPr="00867EDB">
              <w:rPr>
                <w:rFonts w:cs="Arial"/>
                <w:bCs/>
                <w:spacing w:val="-2"/>
                <w:w w:val="105"/>
                <w:szCs w:val="18"/>
              </w:rPr>
              <w:t>ervice buildings</w:t>
            </w:r>
          </w:p>
        </w:tc>
        <w:tc>
          <w:tcPr>
            <w:tcW w:w="800" w:type="pct"/>
          </w:tcPr>
          <w:p w14:paraId="69FD1EC2" w14:textId="77777777" w:rsidR="008E67EA" w:rsidRPr="00867EDB" w:rsidRDefault="008E67EA" w:rsidP="00B44A74">
            <w:pPr>
              <w:spacing w:line="240" w:lineRule="exact"/>
              <w:rPr>
                <w:rFonts w:cs="Arial"/>
                <w:bCs/>
                <w:spacing w:val="-2"/>
                <w:w w:val="105"/>
                <w:szCs w:val="18"/>
              </w:rPr>
            </w:pPr>
            <w:r w:rsidRPr="00867EDB">
              <w:rPr>
                <w:rFonts w:cs="Arial"/>
                <w:bCs/>
                <w:spacing w:val="-2"/>
                <w:w w:val="105"/>
                <w:szCs w:val="18"/>
              </w:rPr>
              <w:t>Mice</w:t>
            </w:r>
          </w:p>
          <w:p w14:paraId="2BB9D98A" w14:textId="06F3B890" w:rsidR="008E67EA" w:rsidRPr="00867EDB" w:rsidRDefault="008E67EA" w:rsidP="00731415">
            <w:pPr>
              <w:spacing w:line="240" w:lineRule="exact"/>
              <w:rPr>
                <w:rFonts w:cs="Arial"/>
                <w:bCs/>
                <w:spacing w:val="-2"/>
                <w:w w:val="105"/>
                <w:szCs w:val="18"/>
              </w:rPr>
            </w:pPr>
            <w:r w:rsidRPr="002F6425">
              <w:rPr>
                <w:rFonts w:cs="Arial"/>
                <w:bCs/>
                <w:i/>
                <w:iCs/>
                <w:spacing w:val="-2"/>
                <w:w w:val="105"/>
                <w:szCs w:val="18"/>
              </w:rPr>
              <w:t>(Mus domesticus)</w:t>
            </w:r>
          </w:p>
        </w:tc>
        <w:tc>
          <w:tcPr>
            <w:tcW w:w="700" w:type="pct"/>
          </w:tcPr>
          <w:p w14:paraId="5DEA17E6" w14:textId="157C4895" w:rsidR="008E67EA" w:rsidRPr="00867EDB" w:rsidRDefault="008E67EA" w:rsidP="00731415">
            <w:pPr>
              <w:spacing w:line="240" w:lineRule="exact"/>
              <w:rPr>
                <w:rFonts w:cs="Arial"/>
                <w:bCs/>
                <w:spacing w:val="-2"/>
                <w:w w:val="105"/>
                <w:szCs w:val="18"/>
              </w:rPr>
            </w:pPr>
            <w:r>
              <w:rPr>
                <w:rFonts w:cs="Arial"/>
                <w:bCs/>
                <w:spacing w:val="-2"/>
                <w:w w:val="105"/>
                <w:szCs w:val="18"/>
              </w:rPr>
              <w:t>1 wax block/bait station</w:t>
            </w:r>
          </w:p>
        </w:tc>
        <w:tc>
          <w:tcPr>
            <w:tcW w:w="1899" w:type="pct"/>
            <w:vMerge/>
          </w:tcPr>
          <w:p w14:paraId="78A3C6B1" w14:textId="77777777" w:rsidR="008E67EA" w:rsidRPr="00867EDB" w:rsidRDefault="008E67EA" w:rsidP="00B44A74">
            <w:pPr>
              <w:spacing w:line="240" w:lineRule="exact"/>
              <w:rPr>
                <w:rFonts w:cs="Arial"/>
                <w:bCs/>
                <w:spacing w:val="-2"/>
                <w:w w:val="105"/>
                <w:szCs w:val="18"/>
              </w:rPr>
            </w:pPr>
          </w:p>
        </w:tc>
      </w:tr>
      <w:tr w:rsidR="008E67EA" w:rsidRPr="00C118CC" w14:paraId="1B24CE5E" w14:textId="77777777" w:rsidTr="00731415">
        <w:trPr>
          <w:trHeight w:val="1247"/>
        </w:trPr>
        <w:tc>
          <w:tcPr>
            <w:tcW w:w="1601" w:type="pct"/>
          </w:tcPr>
          <w:p w14:paraId="2F83A8E0" w14:textId="77777777" w:rsidR="008E67EA" w:rsidRPr="002F6425" w:rsidRDefault="008E67EA" w:rsidP="00B44A74">
            <w:pPr>
              <w:spacing w:line="240" w:lineRule="exact"/>
              <w:rPr>
                <w:rFonts w:cs="Arial"/>
                <w:b/>
                <w:spacing w:val="-2"/>
                <w:w w:val="105"/>
                <w:szCs w:val="18"/>
              </w:rPr>
            </w:pPr>
            <w:r w:rsidRPr="002F6425">
              <w:rPr>
                <w:rFonts w:cs="Arial"/>
                <w:b/>
                <w:spacing w:val="-2"/>
                <w:w w:val="105"/>
                <w:szCs w:val="18"/>
              </w:rPr>
              <w:t xml:space="preserve">Monitoring and/or Maintenance Treatments </w:t>
            </w:r>
          </w:p>
          <w:p w14:paraId="68F2589D" w14:textId="77777777" w:rsidR="008E67EA" w:rsidRDefault="008E67EA" w:rsidP="00B44A74">
            <w:pPr>
              <w:spacing w:line="240" w:lineRule="exact"/>
              <w:rPr>
                <w:rFonts w:cs="Arial"/>
                <w:bCs/>
                <w:spacing w:val="-2"/>
                <w:w w:val="105"/>
                <w:szCs w:val="18"/>
              </w:rPr>
            </w:pPr>
            <w:r w:rsidRPr="00867EDB">
              <w:rPr>
                <w:rFonts w:cs="Arial"/>
                <w:bCs/>
                <w:spacing w:val="-2"/>
                <w:w w:val="105"/>
                <w:szCs w:val="18"/>
              </w:rPr>
              <w:t xml:space="preserve">In and around </w:t>
            </w:r>
            <w:r>
              <w:rPr>
                <w:rFonts w:cs="Arial"/>
                <w:bCs/>
                <w:spacing w:val="-2"/>
                <w:w w:val="105"/>
                <w:szCs w:val="18"/>
              </w:rPr>
              <w:t>(within 2 m) a</w:t>
            </w:r>
            <w:r w:rsidRPr="00867EDB">
              <w:rPr>
                <w:rFonts w:cs="Arial"/>
                <w:bCs/>
                <w:spacing w:val="-2"/>
                <w:w w:val="105"/>
                <w:szCs w:val="18"/>
              </w:rPr>
              <w:t xml:space="preserve">gricultural, </w:t>
            </w:r>
            <w:r>
              <w:rPr>
                <w:rFonts w:cs="Arial"/>
                <w:bCs/>
                <w:spacing w:val="-2"/>
                <w:w w:val="105"/>
                <w:szCs w:val="18"/>
              </w:rPr>
              <w:t>c</w:t>
            </w:r>
            <w:r w:rsidRPr="00867EDB">
              <w:rPr>
                <w:rFonts w:cs="Arial"/>
                <w:bCs/>
                <w:spacing w:val="-2"/>
                <w:w w:val="105"/>
                <w:szCs w:val="18"/>
              </w:rPr>
              <w:t xml:space="preserve">ommercial, </w:t>
            </w:r>
            <w:r>
              <w:rPr>
                <w:rFonts w:cs="Arial"/>
                <w:bCs/>
                <w:spacing w:val="-2"/>
                <w:w w:val="105"/>
                <w:szCs w:val="18"/>
              </w:rPr>
              <w:t>d</w:t>
            </w:r>
            <w:r w:rsidRPr="00867EDB">
              <w:rPr>
                <w:rFonts w:cs="Arial"/>
                <w:bCs/>
                <w:spacing w:val="-2"/>
                <w:w w:val="105"/>
                <w:szCs w:val="18"/>
              </w:rPr>
              <w:t>omestic</w:t>
            </w:r>
            <w:r>
              <w:rPr>
                <w:rFonts w:cs="Arial"/>
                <w:bCs/>
                <w:spacing w:val="-2"/>
                <w:w w:val="105"/>
                <w:szCs w:val="18"/>
              </w:rPr>
              <w:t>,</w:t>
            </w:r>
            <w:r w:rsidRPr="00867EDB">
              <w:rPr>
                <w:rFonts w:cs="Arial"/>
                <w:bCs/>
                <w:spacing w:val="-2"/>
                <w:w w:val="105"/>
                <w:szCs w:val="18"/>
              </w:rPr>
              <w:t xml:space="preserve"> </w:t>
            </w:r>
            <w:r>
              <w:rPr>
                <w:rFonts w:cs="Arial"/>
                <w:bCs/>
                <w:spacing w:val="-2"/>
                <w:w w:val="105"/>
                <w:szCs w:val="18"/>
              </w:rPr>
              <w:t>i</w:t>
            </w:r>
            <w:r w:rsidRPr="00867EDB">
              <w:rPr>
                <w:rFonts w:cs="Arial"/>
                <w:bCs/>
                <w:spacing w:val="-2"/>
                <w:w w:val="105"/>
                <w:szCs w:val="18"/>
              </w:rPr>
              <w:t xml:space="preserve">ndustrial and </w:t>
            </w:r>
            <w:r>
              <w:rPr>
                <w:rFonts w:cs="Arial"/>
                <w:bCs/>
                <w:spacing w:val="-2"/>
                <w:w w:val="105"/>
                <w:szCs w:val="18"/>
              </w:rPr>
              <w:t>p</w:t>
            </w:r>
            <w:r w:rsidRPr="00867EDB">
              <w:rPr>
                <w:rFonts w:cs="Arial"/>
                <w:bCs/>
                <w:spacing w:val="-2"/>
                <w:w w:val="105"/>
                <w:szCs w:val="18"/>
              </w:rPr>
              <w:t xml:space="preserve">ublic </w:t>
            </w:r>
            <w:r>
              <w:rPr>
                <w:rFonts w:cs="Arial"/>
                <w:bCs/>
                <w:spacing w:val="-2"/>
                <w:w w:val="105"/>
                <w:szCs w:val="18"/>
              </w:rPr>
              <w:t>s</w:t>
            </w:r>
            <w:r w:rsidRPr="00867EDB">
              <w:rPr>
                <w:rFonts w:cs="Arial"/>
                <w:bCs/>
                <w:spacing w:val="-2"/>
                <w:w w:val="105"/>
                <w:szCs w:val="18"/>
              </w:rPr>
              <w:t>ervice buildings</w:t>
            </w:r>
          </w:p>
        </w:tc>
        <w:tc>
          <w:tcPr>
            <w:tcW w:w="800" w:type="pct"/>
          </w:tcPr>
          <w:p w14:paraId="343E6490" w14:textId="77777777" w:rsidR="008E67EA" w:rsidRPr="00867EDB" w:rsidRDefault="008E67EA" w:rsidP="00B44A74">
            <w:pPr>
              <w:spacing w:line="240" w:lineRule="exact"/>
              <w:rPr>
                <w:rFonts w:cs="Arial"/>
                <w:bCs/>
                <w:spacing w:val="-2"/>
                <w:w w:val="105"/>
                <w:szCs w:val="18"/>
              </w:rPr>
            </w:pPr>
            <w:r w:rsidRPr="00867EDB">
              <w:rPr>
                <w:rFonts w:cs="Arial"/>
                <w:bCs/>
                <w:spacing w:val="-2"/>
                <w:w w:val="105"/>
                <w:szCs w:val="18"/>
              </w:rPr>
              <w:t>Rats</w:t>
            </w:r>
          </w:p>
          <w:p w14:paraId="446E3BB1" w14:textId="3AA92B6D" w:rsidR="008E67EA" w:rsidRPr="00867EDB" w:rsidRDefault="008E67EA" w:rsidP="00731415">
            <w:pPr>
              <w:spacing w:line="240" w:lineRule="exact"/>
              <w:rPr>
                <w:rFonts w:cs="Arial"/>
                <w:bCs/>
                <w:spacing w:val="-2"/>
                <w:w w:val="105"/>
                <w:szCs w:val="18"/>
              </w:rPr>
            </w:pPr>
            <w:r w:rsidRPr="002F6425">
              <w:rPr>
                <w:rFonts w:cs="Arial"/>
                <w:bCs/>
                <w:i/>
                <w:iCs/>
                <w:spacing w:val="-2"/>
                <w:w w:val="105"/>
                <w:szCs w:val="18"/>
              </w:rPr>
              <w:t>(Rattus rattus, R. norvegicus)</w:t>
            </w:r>
          </w:p>
        </w:tc>
        <w:tc>
          <w:tcPr>
            <w:tcW w:w="700" w:type="pct"/>
            <w:vMerge w:val="restart"/>
          </w:tcPr>
          <w:p w14:paraId="53F4D79B" w14:textId="77777777" w:rsidR="008E67EA" w:rsidRPr="00867EDB" w:rsidRDefault="008E67EA" w:rsidP="00B44A74">
            <w:pPr>
              <w:spacing w:line="240" w:lineRule="exact"/>
              <w:rPr>
                <w:rFonts w:cs="Arial"/>
                <w:bCs/>
                <w:spacing w:val="-2"/>
                <w:w w:val="105"/>
                <w:szCs w:val="18"/>
              </w:rPr>
            </w:pPr>
            <w:r>
              <w:rPr>
                <w:rFonts w:cs="Arial"/>
                <w:bCs/>
                <w:spacing w:val="-2"/>
                <w:w w:val="105"/>
                <w:szCs w:val="18"/>
              </w:rPr>
              <w:t>1 wax block/bait station</w:t>
            </w:r>
          </w:p>
        </w:tc>
        <w:tc>
          <w:tcPr>
            <w:tcW w:w="1899" w:type="pct"/>
            <w:vMerge w:val="restart"/>
          </w:tcPr>
          <w:p w14:paraId="73003B22" w14:textId="77777777" w:rsidR="008E67EA" w:rsidRDefault="008E67EA" w:rsidP="00B44A74">
            <w:pPr>
              <w:spacing w:after="120" w:line="240" w:lineRule="exact"/>
              <w:rPr>
                <w:rFonts w:cs="Arial"/>
                <w:bCs/>
                <w:spacing w:val="-2"/>
                <w:w w:val="105"/>
                <w:szCs w:val="18"/>
              </w:rPr>
            </w:pPr>
            <w:r w:rsidRPr="00867EDB">
              <w:rPr>
                <w:rFonts w:cs="Arial"/>
                <w:bCs/>
                <w:spacing w:val="-2"/>
                <w:w w:val="105"/>
                <w:szCs w:val="18"/>
              </w:rPr>
              <w:t>Place bait stations</w:t>
            </w:r>
            <w:r w:rsidRPr="002F6425">
              <w:rPr>
                <w:rFonts w:cs="Arial"/>
                <w:bCs/>
                <w:spacing w:val="-2"/>
                <w:w w:val="105"/>
                <w:szCs w:val="18"/>
              </w:rPr>
              <w:t xml:space="preserve"> in areas prone to rodent</w:t>
            </w:r>
            <w:r>
              <w:rPr>
                <w:rFonts w:cs="Arial"/>
                <w:bCs/>
                <w:spacing w:val="-2"/>
                <w:w w:val="105"/>
                <w:szCs w:val="18"/>
              </w:rPr>
              <w:t xml:space="preserve"> </w:t>
            </w:r>
            <w:r w:rsidRPr="002F6425">
              <w:rPr>
                <w:rFonts w:cs="Arial"/>
                <w:bCs/>
                <w:spacing w:val="-2"/>
                <w:w w:val="105"/>
                <w:szCs w:val="18"/>
              </w:rPr>
              <w:t>infestation</w:t>
            </w:r>
            <w:r>
              <w:rPr>
                <w:rFonts w:cs="Arial"/>
                <w:bCs/>
                <w:spacing w:val="-2"/>
                <w:w w:val="105"/>
                <w:szCs w:val="18"/>
              </w:rPr>
              <w:t xml:space="preserve"> at</w:t>
            </w:r>
            <w:r w:rsidRPr="002F6425">
              <w:rPr>
                <w:rFonts w:cs="Arial"/>
                <w:bCs/>
                <w:spacing w:val="-2"/>
                <w:w w:val="105"/>
                <w:szCs w:val="18"/>
              </w:rPr>
              <w:t xml:space="preserve"> intervals of between 15 and 30</w:t>
            </w:r>
            <w:r>
              <w:rPr>
                <w:rFonts w:cs="Arial"/>
                <w:bCs/>
                <w:spacing w:val="-2"/>
                <w:w w:val="105"/>
                <w:szCs w:val="18"/>
              </w:rPr>
              <w:t xml:space="preserve"> </w:t>
            </w:r>
            <w:r w:rsidRPr="002F6425">
              <w:rPr>
                <w:rFonts w:cs="Arial"/>
                <w:bCs/>
                <w:spacing w:val="-2"/>
                <w:w w:val="105"/>
                <w:szCs w:val="18"/>
              </w:rPr>
              <w:t>m.</w:t>
            </w:r>
          </w:p>
          <w:p w14:paraId="6AE981C8" w14:textId="77777777" w:rsidR="008E67EA" w:rsidRPr="00867EDB" w:rsidRDefault="008E67EA" w:rsidP="00B44A74">
            <w:pPr>
              <w:spacing w:after="120" w:line="240" w:lineRule="exact"/>
              <w:rPr>
                <w:rFonts w:cs="Arial"/>
                <w:bCs/>
                <w:spacing w:val="-2"/>
                <w:w w:val="105"/>
                <w:szCs w:val="18"/>
              </w:rPr>
            </w:pPr>
            <w:r>
              <w:rPr>
                <w:rFonts w:cs="Arial"/>
                <w:bCs/>
                <w:spacing w:val="-2"/>
                <w:w w:val="105"/>
                <w:szCs w:val="18"/>
              </w:rPr>
              <w:t>See also baiting strategy for monitoring and/or maintenance treatments.</w:t>
            </w:r>
          </w:p>
        </w:tc>
      </w:tr>
      <w:tr w:rsidR="008E67EA" w:rsidRPr="00C118CC" w14:paraId="69B552BC" w14:textId="77777777" w:rsidTr="00731415">
        <w:trPr>
          <w:trHeight w:val="1020"/>
        </w:trPr>
        <w:tc>
          <w:tcPr>
            <w:tcW w:w="1601" w:type="pct"/>
          </w:tcPr>
          <w:p w14:paraId="6E0DB799" w14:textId="77777777" w:rsidR="008E67EA" w:rsidRPr="002F6425" w:rsidRDefault="008E67EA" w:rsidP="00B44A74">
            <w:pPr>
              <w:spacing w:line="240" w:lineRule="exact"/>
              <w:rPr>
                <w:rFonts w:cs="Arial"/>
                <w:b/>
                <w:spacing w:val="-2"/>
                <w:w w:val="105"/>
                <w:szCs w:val="18"/>
              </w:rPr>
            </w:pPr>
            <w:r w:rsidRPr="002F6425">
              <w:rPr>
                <w:rFonts w:cs="Arial"/>
                <w:b/>
                <w:spacing w:val="-2"/>
                <w:w w:val="105"/>
                <w:szCs w:val="18"/>
              </w:rPr>
              <w:t xml:space="preserve">Monitoring and/or Maintenance Treatments </w:t>
            </w:r>
          </w:p>
          <w:p w14:paraId="1F49656A" w14:textId="77777777" w:rsidR="008E67EA" w:rsidRDefault="008E67EA" w:rsidP="00B44A74">
            <w:pPr>
              <w:spacing w:line="240" w:lineRule="exact"/>
              <w:rPr>
                <w:rFonts w:cs="Arial"/>
                <w:bCs/>
                <w:spacing w:val="-2"/>
                <w:w w:val="105"/>
                <w:szCs w:val="18"/>
              </w:rPr>
            </w:pPr>
            <w:r w:rsidRPr="00867EDB">
              <w:rPr>
                <w:rFonts w:cs="Arial"/>
                <w:bCs/>
                <w:spacing w:val="-2"/>
                <w:w w:val="105"/>
                <w:szCs w:val="18"/>
              </w:rPr>
              <w:t xml:space="preserve">In </w:t>
            </w:r>
            <w:r>
              <w:rPr>
                <w:rFonts w:cs="Arial"/>
                <w:bCs/>
                <w:spacing w:val="-2"/>
                <w:w w:val="105"/>
                <w:szCs w:val="18"/>
              </w:rPr>
              <w:t>a</w:t>
            </w:r>
            <w:r w:rsidRPr="00867EDB">
              <w:rPr>
                <w:rFonts w:cs="Arial"/>
                <w:bCs/>
                <w:spacing w:val="-2"/>
                <w:w w:val="105"/>
                <w:szCs w:val="18"/>
              </w:rPr>
              <w:t>gricultural,</w:t>
            </w:r>
            <w:r>
              <w:rPr>
                <w:rFonts w:cs="Arial"/>
                <w:bCs/>
                <w:spacing w:val="-2"/>
                <w:w w:val="105"/>
                <w:szCs w:val="18"/>
              </w:rPr>
              <w:t xml:space="preserve"> c</w:t>
            </w:r>
            <w:r w:rsidRPr="00867EDB">
              <w:rPr>
                <w:rFonts w:cs="Arial"/>
                <w:bCs/>
                <w:spacing w:val="-2"/>
                <w:w w:val="105"/>
                <w:szCs w:val="18"/>
              </w:rPr>
              <w:t xml:space="preserve">ommercial, </w:t>
            </w:r>
            <w:r>
              <w:rPr>
                <w:rFonts w:cs="Arial"/>
                <w:bCs/>
                <w:spacing w:val="-2"/>
                <w:w w:val="105"/>
                <w:szCs w:val="18"/>
              </w:rPr>
              <w:t>d</w:t>
            </w:r>
            <w:r w:rsidRPr="00867EDB">
              <w:rPr>
                <w:rFonts w:cs="Arial"/>
                <w:bCs/>
                <w:spacing w:val="-2"/>
                <w:w w:val="105"/>
                <w:szCs w:val="18"/>
              </w:rPr>
              <w:t>omestic</w:t>
            </w:r>
            <w:r>
              <w:rPr>
                <w:rFonts w:cs="Arial"/>
                <w:bCs/>
                <w:spacing w:val="-2"/>
                <w:w w:val="105"/>
                <w:szCs w:val="18"/>
              </w:rPr>
              <w:t>,</w:t>
            </w:r>
            <w:r w:rsidRPr="00867EDB">
              <w:rPr>
                <w:rFonts w:cs="Arial"/>
                <w:bCs/>
                <w:spacing w:val="-2"/>
                <w:w w:val="105"/>
                <w:szCs w:val="18"/>
              </w:rPr>
              <w:t xml:space="preserve"> </w:t>
            </w:r>
            <w:r>
              <w:rPr>
                <w:rFonts w:cs="Arial"/>
                <w:bCs/>
                <w:spacing w:val="-2"/>
                <w:w w:val="105"/>
                <w:szCs w:val="18"/>
              </w:rPr>
              <w:t>i</w:t>
            </w:r>
            <w:r w:rsidRPr="00867EDB">
              <w:rPr>
                <w:rFonts w:cs="Arial"/>
                <w:bCs/>
                <w:spacing w:val="-2"/>
                <w:w w:val="105"/>
                <w:szCs w:val="18"/>
              </w:rPr>
              <w:t xml:space="preserve">ndustrial and </w:t>
            </w:r>
            <w:r>
              <w:rPr>
                <w:rFonts w:cs="Arial"/>
                <w:bCs/>
                <w:spacing w:val="-2"/>
                <w:w w:val="105"/>
                <w:szCs w:val="18"/>
              </w:rPr>
              <w:t>p</w:t>
            </w:r>
            <w:r w:rsidRPr="00867EDB">
              <w:rPr>
                <w:rFonts w:cs="Arial"/>
                <w:bCs/>
                <w:spacing w:val="-2"/>
                <w:w w:val="105"/>
                <w:szCs w:val="18"/>
              </w:rPr>
              <w:t xml:space="preserve">ublic </w:t>
            </w:r>
            <w:r>
              <w:rPr>
                <w:rFonts w:cs="Arial"/>
                <w:bCs/>
                <w:spacing w:val="-2"/>
                <w:w w:val="105"/>
                <w:szCs w:val="18"/>
              </w:rPr>
              <w:t>s</w:t>
            </w:r>
            <w:r w:rsidRPr="00867EDB">
              <w:rPr>
                <w:rFonts w:cs="Arial"/>
                <w:bCs/>
                <w:spacing w:val="-2"/>
                <w:w w:val="105"/>
                <w:szCs w:val="18"/>
              </w:rPr>
              <w:t>ervice buildings</w:t>
            </w:r>
          </w:p>
        </w:tc>
        <w:tc>
          <w:tcPr>
            <w:tcW w:w="800" w:type="pct"/>
          </w:tcPr>
          <w:p w14:paraId="5DC45EA9" w14:textId="77777777" w:rsidR="008E67EA" w:rsidRPr="00867EDB" w:rsidRDefault="008E67EA" w:rsidP="00B44A74">
            <w:pPr>
              <w:spacing w:line="240" w:lineRule="exact"/>
              <w:rPr>
                <w:rFonts w:cs="Arial"/>
                <w:bCs/>
                <w:spacing w:val="-2"/>
                <w:w w:val="105"/>
                <w:szCs w:val="18"/>
              </w:rPr>
            </w:pPr>
            <w:r w:rsidRPr="00867EDB">
              <w:rPr>
                <w:rFonts w:cs="Arial"/>
                <w:bCs/>
                <w:spacing w:val="-2"/>
                <w:w w:val="105"/>
                <w:szCs w:val="18"/>
              </w:rPr>
              <w:t>Mice</w:t>
            </w:r>
          </w:p>
          <w:p w14:paraId="5E470A2E" w14:textId="4EFC161F" w:rsidR="008E67EA" w:rsidRPr="00867EDB" w:rsidRDefault="008E67EA" w:rsidP="00731415">
            <w:pPr>
              <w:spacing w:line="240" w:lineRule="exact"/>
              <w:rPr>
                <w:rFonts w:cs="Arial"/>
                <w:bCs/>
                <w:spacing w:val="-2"/>
                <w:w w:val="105"/>
                <w:szCs w:val="18"/>
              </w:rPr>
            </w:pPr>
            <w:r w:rsidRPr="002F6425">
              <w:rPr>
                <w:rFonts w:cs="Arial"/>
                <w:bCs/>
                <w:i/>
                <w:iCs/>
                <w:spacing w:val="-2"/>
                <w:w w:val="105"/>
                <w:szCs w:val="18"/>
              </w:rPr>
              <w:t>(Mus domesticus)</w:t>
            </w:r>
          </w:p>
        </w:tc>
        <w:tc>
          <w:tcPr>
            <w:tcW w:w="700" w:type="pct"/>
            <w:vMerge/>
          </w:tcPr>
          <w:p w14:paraId="665E7E98" w14:textId="77777777" w:rsidR="008E67EA" w:rsidRPr="00867EDB" w:rsidRDefault="008E67EA" w:rsidP="00B44A74">
            <w:pPr>
              <w:spacing w:line="240" w:lineRule="exact"/>
              <w:rPr>
                <w:rFonts w:cs="Arial"/>
                <w:bCs/>
                <w:spacing w:val="-2"/>
                <w:w w:val="105"/>
                <w:szCs w:val="18"/>
              </w:rPr>
            </w:pPr>
          </w:p>
        </w:tc>
        <w:tc>
          <w:tcPr>
            <w:tcW w:w="1899" w:type="pct"/>
            <w:vMerge/>
          </w:tcPr>
          <w:p w14:paraId="522B7F09" w14:textId="77777777" w:rsidR="008E67EA" w:rsidRPr="00867EDB" w:rsidRDefault="008E67EA" w:rsidP="00B44A74">
            <w:pPr>
              <w:spacing w:line="240" w:lineRule="exact"/>
              <w:rPr>
                <w:rFonts w:cs="Arial"/>
                <w:bCs/>
                <w:spacing w:val="-2"/>
                <w:w w:val="105"/>
                <w:szCs w:val="18"/>
              </w:rPr>
            </w:pPr>
          </w:p>
        </w:tc>
      </w:tr>
    </w:tbl>
    <w:p w14:paraId="6C33E7A9" w14:textId="77777777" w:rsidR="008E67EA" w:rsidRDefault="008E67EA" w:rsidP="008E67EA">
      <w:pPr>
        <w:spacing w:line="280" w:lineRule="exact"/>
        <w:rPr>
          <w:rFonts w:cs="Arial"/>
          <w:b/>
          <w:bCs/>
          <w:color w:val="000000" w:themeColor="text1"/>
          <w:sz w:val="20"/>
          <w:szCs w:val="20"/>
        </w:rPr>
      </w:pPr>
    </w:p>
    <w:p w14:paraId="1E4B37C8" w14:textId="77777777" w:rsidR="008E67EA" w:rsidRPr="00867EDB" w:rsidRDefault="008E67EA" w:rsidP="008E67EA">
      <w:pPr>
        <w:spacing w:line="280" w:lineRule="exact"/>
        <w:rPr>
          <w:rFonts w:cs="Arial"/>
          <w:b/>
          <w:bCs/>
          <w:color w:val="000000" w:themeColor="text1"/>
          <w:sz w:val="20"/>
          <w:szCs w:val="20"/>
        </w:rPr>
      </w:pPr>
      <w:r w:rsidRPr="00867EDB">
        <w:rPr>
          <w:rFonts w:cs="Arial"/>
          <w:b/>
          <w:bCs/>
          <w:color w:val="000000" w:themeColor="text1"/>
          <w:sz w:val="20"/>
          <w:szCs w:val="20"/>
        </w:rPr>
        <w:t>Baiting Strategy</w:t>
      </w:r>
    </w:p>
    <w:p w14:paraId="46A7B106" w14:textId="77777777" w:rsidR="008E67EA" w:rsidRPr="00B832BB"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Eliminate all alternative food sources as far as practical.</w:t>
      </w:r>
    </w:p>
    <w:p w14:paraId="2A3F03F4" w14:textId="77777777" w:rsidR="008E67EA" w:rsidRPr="00B832BB"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B832BB">
        <w:rPr>
          <w:rFonts w:eastAsia="Calibri" w:cs="Arial"/>
          <w:sz w:val="20"/>
          <w:szCs w:val="20"/>
          <w:bdr w:val="none" w:sz="0" w:space="0" w:color="auto" w:frame="1"/>
          <w:lang w:val="en-GB" w:eastAsia="en-AU"/>
        </w:rPr>
        <w:t>When used in food producing animal housing situations careful consideration is necessary regarding the placement of bait stations to ensure any rodenticide contamination of water, feed or livestock is prevented.</w:t>
      </w:r>
    </w:p>
    <w:p w14:paraId="4E877A23" w14:textId="5BF94063" w:rsidR="008E67EA" w:rsidRPr="00867EDB" w:rsidRDefault="008E67EA" w:rsidP="008E67EA">
      <w:pPr>
        <w:spacing w:line="280" w:lineRule="exact"/>
        <w:rPr>
          <w:rFonts w:cs="Arial"/>
          <w:b/>
          <w:bCs/>
          <w:i/>
          <w:iCs/>
          <w:color w:val="000000" w:themeColor="text1"/>
          <w:sz w:val="20"/>
          <w:szCs w:val="20"/>
        </w:rPr>
      </w:pPr>
      <w:r w:rsidRPr="00867EDB">
        <w:rPr>
          <w:rFonts w:cs="Arial"/>
          <w:b/>
          <w:bCs/>
          <w:i/>
          <w:iCs/>
          <w:color w:val="000000" w:themeColor="text1"/>
          <w:sz w:val="20"/>
          <w:szCs w:val="20"/>
        </w:rPr>
        <w:t>Clean Out Treatments (Pulse Baiting)</w:t>
      </w:r>
    </w:p>
    <w:p w14:paraId="3E656A08" w14:textId="77777777" w:rsidR="008E67EA" w:rsidRPr="00641519"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Clean out treatments are used to remove existing infestations of rats and mice</w:t>
      </w:r>
    </w:p>
    <w:p w14:paraId="53A17C2A" w14:textId="77777777" w:rsidR="008E67EA" w:rsidRPr="00B832BB"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Survey site prior to treatment, including assessment of the extent of infestation and identification of any indications of the presence of non-target animals.</w:t>
      </w:r>
    </w:p>
    <w:p w14:paraId="75252721" w14:textId="04280204" w:rsidR="008E67EA" w:rsidRPr="00641519"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Pr>
          <w:rFonts w:eastAsia="Calibri" w:cs="Arial"/>
          <w:sz w:val="20"/>
          <w:szCs w:val="20"/>
          <w:bdr w:val="none" w:sz="0" w:space="0" w:color="auto" w:frame="1"/>
          <w:lang w:val="en-GB" w:eastAsia="en-AU"/>
        </w:rPr>
        <w:lastRenderedPageBreak/>
        <w:t xml:space="preserve">Always use </w:t>
      </w:r>
      <w:r w:rsidRPr="00A86A4B">
        <w:rPr>
          <w:rFonts w:cs="Arial"/>
          <w:sz w:val="20"/>
          <w:szCs w:val="20"/>
          <w:bdr w:val="none" w:sz="0" w:space="0" w:color="auto" w:frame="1"/>
          <w:lang w:val="en-GB" w:eastAsia="en-AU"/>
        </w:rPr>
        <w:t>tamper</w:t>
      </w:r>
      <w:r>
        <w:rPr>
          <w:rFonts w:cs="Arial"/>
          <w:sz w:val="20"/>
          <w:szCs w:val="20"/>
          <w:bdr w:val="none" w:sz="0" w:space="0" w:color="auto" w:frame="1"/>
          <w:lang w:val="en-GB" w:eastAsia="en-AU"/>
        </w:rPr>
        <w:t>-resistant bait stations that are secured in place in child accessible areas, outdoors and in animal or livestock housing.</w:t>
      </w:r>
    </w:p>
    <w:p w14:paraId="2D5B0EF5" w14:textId="77777777" w:rsidR="008E67EA" w:rsidRPr="00641519"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Place wax blocks so as to prevent access to non-target animals.</w:t>
      </w:r>
    </w:p>
    <w:p w14:paraId="19598B1F" w14:textId="77777777" w:rsidR="008E67EA" w:rsidRPr="00641519"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Always record the number and locations of wax blocks for the purpose of replacement and later removal.</w:t>
      </w:r>
    </w:p>
    <w:p w14:paraId="1B3AEDFE" w14:textId="77777777" w:rsidR="008E67EA" w:rsidRPr="00641519"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 xml:space="preserve">Conduct initial inspection of wax blocks after 3 or 4 days. Replace wax blocks that have been consumed. Repeat approximately 4 days later and then weekly. Replace contaminated or spoiled wax blocks. </w:t>
      </w:r>
    </w:p>
    <w:p w14:paraId="3EC8F8EC" w14:textId="77777777" w:rsidR="008E67EA" w:rsidRPr="00641519"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 xml:space="preserve">Baiting for at least 2 weeks (3 to 4 pulses) will be necessary to reduce rat/mouse numbers to a low level. Although heavy infestations may require longer treatments to achieve complete eradication. </w:t>
      </w:r>
    </w:p>
    <w:p w14:paraId="3F0252CC" w14:textId="77777777" w:rsidR="008E67EA" w:rsidRPr="00641519"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Discontinue the treatment when effective control has been achieved and remove all wax blocks and bait stations unless a maintenance treatment is to be undertaken.</w:t>
      </w:r>
    </w:p>
    <w:p w14:paraId="572F2683" w14:textId="77777777" w:rsidR="008E67EA" w:rsidRPr="00641519"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DO NOT use the product beyond 35 days without an evaluation of the state of the infestation and of the efficacy of the treatment.</w:t>
      </w:r>
    </w:p>
    <w:p w14:paraId="46E55797" w14:textId="77777777" w:rsidR="008E67EA" w:rsidRPr="00641519"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Remove all uneaten bait at the end of treatment.</w:t>
      </w:r>
    </w:p>
    <w:p w14:paraId="675E1A30" w14:textId="77777777" w:rsidR="008E67EA" w:rsidRPr="00867EDB" w:rsidRDefault="008E67EA" w:rsidP="008E67EA">
      <w:pPr>
        <w:spacing w:line="280" w:lineRule="exact"/>
        <w:rPr>
          <w:rFonts w:cs="Arial"/>
          <w:b/>
          <w:bCs/>
          <w:i/>
          <w:iCs/>
          <w:color w:val="000000" w:themeColor="text1"/>
          <w:sz w:val="20"/>
          <w:szCs w:val="20"/>
        </w:rPr>
      </w:pPr>
      <w:r w:rsidRPr="00867EDB">
        <w:rPr>
          <w:rFonts w:cs="Arial"/>
          <w:b/>
          <w:bCs/>
          <w:i/>
          <w:iCs/>
          <w:color w:val="000000" w:themeColor="text1"/>
          <w:sz w:val="20"/>
          <w:szCs w:val="20"/>
        </w:rPr>
        <w:t xml:space="preserve">Monitoring and/or Maintenance Treatments </w:t>
      </w:r>
    </w:p>
    <w:p w14:paraId="201F9794" w14:textId="77777777" w:rsidR="008E67EA" w:rsidRPr="00B832BB"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Monitoring and maintenance treatments are required at sensitive sites where there is no current rodent infestation but where the prevention of such infestation is essential to prevent significant risks to human health. Such treatments may be a condition for audit approval within food safety guidelines. However, use of this product must comply with the conditions of this label.</w:t>
      </w:r>
    </w:p>
    <w:p w14:paraId="7706D112" w14:textId="77777777" w:rsidR="008E67EA" w:rsidRPr="00B832BB"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Pr>
          <w:rFonts w:eastAsia="Calibri" w:cs="Arial"/>
          <w:sz w:val="20"/>
          <w:szCs w:val="20"/>
          <w:bdr w:val="none" w:sz="0" w:space="0" w:color="auto" w:frame="1"/>
          <w:lang w:val="en-GB" w:eastAsia="en-AU"/>
        </w:rPr>
        <w:t xml:space="preserve">Always use </w:t>
      </w:r>
      <w:r w:rsidRPr="00A86A4B">
        <w:rPr>
          <w:rFonts w:cs="Arial"/>
          <w:sz w:val="20"/>
          <w:szCs w:val="20"/>
          <w:bdr w:val="none" w:sz="0" w:space="0" w:color="auto" w:frame="1"/>
          <w:lang w:val="en-GB" w:eastAsia="en-AU"/>
        </w:rPr>
        <w:t>tamper</w:t>
      </w:r>
      <w:r>
        <w:rPr>
          <w:rFonts w:cs="Arial"/>
          <w:sz w:val="20"/>
          <w:szCs w:val="20"/>
          <w:bdr w:val="none" w:sz="0" w:space="0" w:color="auto" w:frame="1"/>
          <w:lang w:val="en-GB" w:eastAsia="en-AU"/>
        </w:rPr>
        <w:t xml:space="preserve">-resistant bait stations for monitoring and maintenance treatments and fix the stations securely to the substrate. </w:t>
      </w:r>
    </w:p>
    <w:p w14:paraId="5B8F843E" w14:textId="77777777" w:rsidR="008E67EA" w:rsidRPr="00641519"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Place bait stations so as to prevent access to non-target animals.</w:t>
      </w:r>
    </w:p>
    <w:p w14:paraId="2BD11D29" w14:textId="77777777" w:rsidR="008E67EA" w:rsidRPr="00641519"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Use placebo or unpoisoned bait blocks if the placement of the bait presents a hazard to non-target animals.</w:t>
      </w:r>
    </w:p>
    <w:p w14:paraId="1058712F" w14:textId="77777777" w:rsidR="008E67EA" w:rsidRPr="00641519"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Always record the number and locations of bait stations for the purpose of wax block replacement and</w:t>
      </w:r>
      <w:r>
        <w:rPr>
          <w:rFonts w:eastAsia="Calibri" w:cs="Arial"/>
          <w:sz w:val="20"/>
          <w:szCs w:val="20"/>
          <w:bdr w:val="none" w:sz="0" w:space="0" w:color="auto" w:frame="1"/>
          <w:lang w:val="en-GB" w:eastAsia="en-AU"/>
        </w:rPr>
        <w:t xml:space="preserve"> </w:t>
      </w:r>
      <w:r w:rsidRPr="00641519">
        <w:rPr>
          <w:rFonts w:eastAsia="Calibri" w:cs="Arial"/>
          <w:sz w:val="20"/>
          <w:szCs w:val="20"/>
          <w:bdr w:val="none" w:sz="0" w:space="0" w:color="auto" w:frame="1"/>
          <w:lang w:val="en-GB" w:eastAsia="en-AU"/>
        </w:rPr>
        <w:t>later removal</w:t>
      </w:r>
      <w:r>
        <w:rPr>
          <w:rFonts w:eastAsia="Calibri" w:cs="Arial"/>
          <w:sz w:val="20"/>
          <w:szCs w:val="20"/>
          <w:bdr w:val="none" w:sz="0" w:space="0" w:color="auto" w:frame="1"/>
          <w:lang w:val="en-GB" w:eastAsia="en-AU"/>
        </w:rPr>
        <w:t>.</w:t>
      </w:r>
    </w:p>
    <w:p w14:paraId="2BFACFE6" w14:textId="77777777" w:rsidR="008E67EA" w:rsidRPr="00641519"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 xml:space="preserve">Bait stations should be </w:t>
      </w:r>
      <w:r>
        <w:rPr>
          <w:rFonts w:eastAsia="Calibri" w:cs="Arial"/>
          <w:sz w:val="20"/>
          <w:szCs w:val="20"/>
          <w:bdr w:val="none" w:sz="0" w:space="0" w:color="auto" w:frame="1"/>
          <w:lang w:val="en-GB" w:eastAsia="en-AU"/>
        </w:rPr>
        <w:t>inspected</w:t>
      </w:r>
      <w:r w:rsidRPr="00641519">
        <w:rPr>
          <w:rFonts w:eastAsia="Calibri" w:cs="Arial"/>
          <w:sz w:val="20"/>
          <w:szCs w:val="20"/>
          <w:bdr w:val="none" w:sz="0" w:space="0" w:color="auto" w:frame="1"/>
          <w:lang w:val="en-GB" w:eastAsia="en-AU"/>
        </w:rPr>
        <w:t xml:space="preserve"> at regular intervals</w:t>
      </w:r>
      <w:r>
        <w:rPr>
          <w:rFonts w:eastAsia="Calibri" w:cs="Arial"/>
          <w:sz w:val="20"/>
          <w:szCs w:val="20"/>
          <w:bdr w:val="none" w:sz="0" w:space="0" w:color="auto" w:frame="1"/>
          <w:lang w:val="en-GB" w:eastAsia="en-AU"/>
        </w:rPr>
        <w:t xml:space="preserve"> no more than 7 days apart</w:t>
      </w:r>
      <w:r w:rsidRPr="00641519">
        <w:rPr>
          <w:rFonts w:eastAsia="Calibri" w:cs="Arial"/>
          <w:sz w:val="20"/>
          <w:szCs w:val="20"/>
          <w:bdr w:val="none" w:sz="0" w:space="0" w:color="auto" w:frame="1"/>
          <w:lang w:val="en-GB" w:eastAsia="en-AU"/>
        </w:rPr>
        <w:t xml:space="preserve"> according to an agreed and documented schedule.</w:t>
      </w:r>
    </w:p>
    <w:p w14:paraId="50066A65" w14:textId="77777777" w:rsidR="008E67EA" w:rsidRPr="00641519"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eastAsia="en-AU"/>
        </w:rPr>
        <w:t>When a rodent infestation is detected revert to the directions for Clean Out Treatments</w:t>
      </w:r>
      <w:r>
        <w:rPr>
          <w:rFonts w:eastAsia="Calibri" w:cs="Arial"/>
          <w:sz w:val="20"/>
          <w:szCs w:val="20"/>
          <w:bdr w:val="none" w:sz="0" w:space="0" w:color="auto" w:frame="1"/>
          <w:lang w:eastAsia="en-AU"/>
        </w:rPr>
        <w:t>.</w:t>
      </w:r>
    </w:p>
    <w:p w14:paraId="32C36F0C" w14:textId="77777777" w:rsidR="00731415" w:rsidRDefault="008E67EA" w:rsidP="008E67EA">
      <w:pPr>
        <w:spacing w:line="280" w:lineRule="exact"/>
        <w:rPr>
          <w:rFonts w:cs="Arial"/>
          <w:b/>
          <w:bCs/>
          <w:color w:val="000000" w:themeColor="text1"/>
          <w:sz w:val="20"/>
          <w:szCs w:val="20"/>
        </w:rPr>
        <w:sectPr w:rsidR="00731415" w:rsidSect="00CB73E0">
          <w:pgSz w:w="11906" w:h="16838"/>
          <w:pgMar w:top="1440" w:right="1134" w:bottom="1440" w:left="1134" w:header="794" w:footer="737" w:gutter="0"/>
          <w:cols w:space="708"/>
          <w:docGrid w:linePitch="360"/>
        </w:sectPr>
      </w:pPr>
      <w:r w:rsidRPr="002F6425">
        <w:rPr>
          <w:rFonts w:cs="Arial"/>
          <w:b/>
          <w:bCs/>
          <w:color w:val="000000" w:themeColor="text1"/>
          <w:sz w:val="20"/>
          <w:szCs w:val="20"/>
        </w:rPr>
        <w:t>NOT TO BE USED FOR ANY PURPOSE, OR IN ANY MANNER, CONTRARY TO THIS LABEL UNLESS</w:t>
      </w:r>
      <w:r>
        <w:rPr>
          <w:rFonts w:cs="Arial"/>
          <w:b/>
          <w:bCs/>
          <w:color w:val="000000" w:themeColor="text1"/>
          <w:sz w:val="20"/>
          <w:szCs w:val="20"/>
        </w:rPr>
        <w:t xml:space="preserve"> </w:t>
      </w:r>
      <w:r w:rsidRPr="002F6425">
        <w:rPr>
          <w:rFonts w:cs="Arial"/>
          <w:b/>
          <w:bCs/>
          <w:color w:val="000000" w:themeColor="text1"/>
          <w:sz w:val="20"/>
          <w:szCs w:val="20"/>
        </w:rPr>
        <w:t>AUTHORISED UNDER APPROPRIATE LEGISLATION</w:t>
      </w:r>
    </w:p>
    <w:p w14:paraId="50071B1D" w14:textId="77777777" w:rsidR="008E67EA"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lastRenderedPageBreak/>
        <w:t xml:space="preserve">Template Label </w:t>
      </w:r>
      <w:r>
        <w:rPr>
          <w:rFonts w:cs="Arial"/>
          <w:b/>
          <w:bCs/>
          <w:sz w:val="20"/>
          <w:szCs w:val="20"/>
          <w:bdr w:val="none" w:sz="0" w:space="0" w:color="auto" w:frame="1"/>
          <w:lang w:val="en-GB" w:eastAsia="en-AU"/>
        </w:rPr>
        <w:t>1b</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2B5B5B" w14:paraId="0E94D06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BA801F9" w14:textId="77777777" w:rsidR="008E67EA" w:rsidRPr="00F5215F" w:rsidRDefault="008E67EA" w:rsidP="00B44A74">
            <w:pPr>
              <w:spacing w:line="280" w:lineRule="exact"/>
              <w:rPr>
                <w:rFonts w:cs="Arial"/>
                <w:sz w:val="20"/>
                <w:szCs w:val="20"/>
              </w:rPr>
            </w:pPr>
            <w:r w:rsidRPr="00F5215F">
              <w:rPr>
                <w:rFonts w:cs="Arial"/>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37609083" w14:textId="77777777" w:rsidR="008E67EA" w:rsidRPr="0015462A" w:rsidRDefault="008E67EA" w:rsidP="00B44A74">
            <w:pPr>
              <w:spacing w:line="280" w:lineRule="exact"/>
              <w:rPr>
                <w:rFonts w:cs="Arial"/>
                <w:sz w:val="20"/>
                <w:szCs w:val="20"/>
              </w:rPr>
            </w:pPr>
            <w:r w:rsidRPr="0015462A">
              <w:rPr>
                <w:rFonts w:cs="Arial"/>
                <w:sz w:val="20"/>
                <w:szCs w:val="20"/>
              </w:rPr>
              <w:t>[INSERT LABEL NAME]</w:t>
            </w:r>
          </w:p>
        </w:tc>
      </w:tr>
      <w:tr w:rsidR="008E67EA" w:rsidRPr="002B5B5B" w14:paraId="0B59D236" w14:textId="77777777" w:rsidTr="00B44A74">
        <w:trPr>
          <w:jc w:val="center"/>
        </w:trPr>
        <w:tc>
          <w:tcPr>
            <w:tcW w:w="2415" w:type="dxa"/>
            <w:tcBorders>
              <w:top w:val="single" w:sz="4" w:space="0" w:color="auto"/>
              <w:left w:val="nil"/>
              <w:bottom w:val="single" w:sz="4" w:space="0" w:color="auto"/>
              <w:right w:val="nil"/>
            </w:tcBorders>
          </w:tcPr>
          <w:p w14:paraId="7E0AC418"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E11C905" w14:textId="77777777" w:rsidR="008E67EA" w:rsidRPr="0015462A" w:rsidRDefault="008E67EA" w:rsidP="00B44A74">
            <w:pPr>
              <w:spacing w:line="280" w:lineRule="exact"/>
              <w:rPr>
                <w:rFonts w:cs="Arial"/>
                <w:sz w:val="20"/>
                <w:szCs w:val="20"/>
              </w:rPr>
            </w:pPr>
          </w:p>
        </w:tc>
      </w:tr>
      <w:tr w:rsidR="008E67EA" w:rsidRPr="002B5B5B" w14:paraId="477EBD69"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FE20BCE" w14:textId="77777777" w:rsidR="008E67EA" w:rsidRPr="00F5215F" w:rsidRDefault="008E67EA" w:rsidP="00B44A74">
            <w:pPr>
              <w:spacing w:line="280" w:lineRule="exact"/>
              <w:rPr>
                <w:rFonts w:cs="Arial"/>
                <w:sz w:val="20"/>
                <w:szCs w:val="20"/>
              </w:rPr>
            </w:pPr>
            <w:r w:rsidRPr="00F5215F">
              <w:rPr>
                <w:rFonts w:cs="Arial"/>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6DEB9B6D" w14:textId="77777777" w:rsidR="008E67EA" w:rsidRPr="00794C95" w:rsidRDefault="008E67EA" w:rsidP="00B44A74">
            <w:pPr>
              <w:spacing w:line="280" w:lineRule="exact"/>
              <w:rPr>
                <w:rFonts w:cs="Arial"/>
                <w:sz w:val="20"/>
                <w:szCs w:val="20"/>
              </w:rPr>
            </w:pPr>
            <w:r w:rsidRPr="00794C95">
              <w:rPr>
                <w:rFonts w:cs="Arial"/>
                <w:sz w:val="20"/>
                <w:szCs w:val="20"/>
              </w:rPr>
              <w:t>POISON</w:t>
            </w:r>
          </w:p>
          <w:p w14:paraId="02B68A48" w14:textId="77777777" w:rsidR="008E67EA" w:rsidRPr="00794C95" w:rsidRDefault="008E67EA" w:rsidP="00B44A74">
            <w:pPr>
              <w:spacing w:line="280" w:lineRule="exact"/>
              <w:rPr>
                <w:rFonts w:cs="Arial"/>
                <w:sz w:val="20"/>
                <w:szCs w:val="20"/>
              </w:rPr>
            </w:pPr>
            <w:r w:rsidRPr="00794C95">
              <w:rPr>
                <w:rFonts w:cs="Arial"/>
                <w:sz w:val="20"/>
                <w:szCs w:val="20"/>
              </w:rPr>
              <w:t>KEEP OUT OF REACH OF CHILDREN</w:t>
            </w:r>
          </w:p>
          <w:p w14:paraId="2FE38C01" w14:textId="77777777" w:rsidR="008E67EA" w:rsidRPr="00AA242D" w:rsidRDefault="008E67EA" w:rsidP="00B44A74">
            <w:pPr>
              <w:spacing w:line="280" w:lineRule="exact"/>
              <w:rPr>
                <w:rFonts w:cs="Arial"/>
                <w:sz w:val="20"/>
                <w:szCs w:val="20"/>
              </w:rPr>
            </w:pPr>
            <w:r w:rsidRPr="00794C95">
              <w:rPr>
                <w:rFonts w:cs="Arial"/>
                <w:sz w:val="20"/>
                <w:szCs w:val="20"/>
              </w:rPr>
              <w:t>READ SAFETY DIRECTIONS BEFORE OPENING OR USING</w:t>
            </w:r>
          </w:p>
        </w:tc>
      </w:tr>
      <w:tr w:rsidR="008E67EA" w:rsidRPr="002B5B5B" w14:paraId="397861B7" w14:textId="77777777" w:rsidTr="00B44A74">
        <w:trPr>
          <w:jc w:val="center"/>
        </w:trPr>
        <w:tc>
          <w:tcPr>
            <w:tcW w:w="2415" w:type="dxa"/>
            <w:tcBorders>
              <w:top w:val="single" w:sz="4" w:space="0" w:color="auto"/>
              <w:left w:val="nil"/>
              <w:bottom w:val="single" w:sz="4" w:space="0" w:color="auto"/>
              <w:right w:val="nil"/>
            </w:tcBorders>
          </w:tcPr>
          <w:p w14:paraId="643534B7"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8344CEF" w14:textId="77777777" w:rsidR="008E67EA" w:rsidRPr="0015462A" w:rsidRDefault="008E67EA" w:rsidP="00B44A74">
            <w:pPr>
              <w:spacing w:line="280" w:lineRule="exact"/>
              <w:rPr>
                <w:rFonts w:cs="Arial"/>
                <w:sz w:val="20"/>
                <w:szCs w:val="20"/>
              </w:rPr>
            </w:pPr>
          </w:p>
        </w:tc>
      </w:tr>
      <w:tr w:rsidR="008E67EA" w:rsidRPr="002B5B5B" w14:paraId="4976861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A496ABE" w14:textId="77777777" w:rsidR="008E67EA" w:rsidRPr="00F5215F" w:rsidRDefault="008E67EA" w:rsidP="00B44A74">
            <w:pPr>
              <w:spacing w:line="280" w:lineRule="exact"/>
              <w:rPr>
                <w:rFonts w:cs="Arial"/>
                <w:sz w:val="20"/>
                <w:szCs w:val="20"/>
              </w:rPr>
            </w:pPr>
            <w:r w:rsidRPr="00F5215F">
              <w:rPr>
                <w:rFonts w:cs="Arial"/>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4D90DCE1" w14:textId="77777777" w:rsidR="008E67EA" w:rsidRPr="0015462A" w:rsidRDefault="008E67EA" w:rsidP="00B44A74">
            <w:pPr>
              <w:spacing w:line="280" w:lineRule="exact"/>
              <w:rPr>
                <w:rFonts w:cs="Arial"/>
                <w:sz w:val="20"/>
                <w:szCs w:val="20"/>
              </w:rPr>
            </w:pPr>
            <w:r w:rsidRPr="00794C95">
              <w:rPr>
                <w:rFonts w:cs="Arial"/>
                <w:sz w:val="20"/>
                <w:szCs w:val="20"/>
              </w:rPr>
              <w:t>ACTIVE CONSTITUENT: 0.05 g/kg BRODIFACOUM</w:t>
            </w:r>
          </w:p>
        </w:tc>
      </w:tr>
      <w:tr w:rsidR="008E67EA" w:rsidRPr="002B5B5B" w14:paraId="4091069B" w14:textId="77777777" w:rsidTr="00B44A74">
        <w:trPr>
          <w:jc w:val="center"/>
        </w:trPr>
        <w:tc>
          <w:tcPr>
            <w:tcW w:w="2415" w:type="dxa"/>
            <w:tcBorders>
              <w:top w:val="single" w:sz="4" w:space="0" w:color="auto"/>
              <w:left w:val="nil"/>
              <w:bottom w:val="single" w:sz="4" w:space="0" w:color="auto"/>
              <w:right w:val="nil"/>
            </w:tcBorders>
          </w:tcPr>
          <w:p w14:paraId="630419B1"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F5A919D" w14:textId="77777777" w:rsidR="008E67EA" w:rsidRPr="0015462A" w:rsidRDefault="008E67EA" w:rsidP="00B44A74">
            <w:pPr>
              <w:spacing w:line="280" w:lineRule="exact"/>
              <w:rPr>
                <w:rFonts w:cs="Arial"/>
                <w:sz w:val="20"/>
                <w:szCs w:val="20"/>
              </w:rPr>
            </w:pPr>
          </w:p>
        </w:tc>
      </w:tr>
      <w:tr w:rsidR="008E67EA" w:rsidRPr="00994236" w14:paraId="1B8F1D4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6B74898" w14:textId="77777777" w:rsidR="008E67EA" w:rsidRPr="00F5215F" w:rsidRDefault="008E67EA" w:rsidP="00B44A74">
            <w:pPr>
              <w:spacing w:line="280" w:lineRule="exact"/>
              <w:rPr>
                <w:rFonts w:cs="Arial"/>
                <w:sz w:val="20"/>
                <w:szCs w:val="20"/>
              </w:rPr>
            </w:pPr>
            <w:r w:rsidRPr="00F5215F">
              <w:rPr>
                <w:rFonts w:cs="Arial"/>
                <w:sz w:val="20"/>
                <w:szCs w:val="20"/>
              </w:rPr>
              <w:t>Mode of Action:</w:t>
            </w:r>
          </w:p>
        </w:tc>
        <w:tc>
          <w:tcPr>
            <w:tcW w:w="7755" w:type="dxa"/>
            <w:tcBorders>
              <w:top w:val="single" w:sz="4" w:space="0" w:color="auto"/>
              <w:left w:val="single" w:sz="4" w:space="0" w:color="auto"/>
              <w:bottom w:val="single" w:sz="4" w:space="0" w:color="auto"/>
              <w:right w:val="single" w:sz="4" w:space="0" w:color="auto"/>
            </w:tcBorders>
          </w:tcPr>
          <w:p w14:paraId="1068B25C" w14:textId="77777777" w:rsidR="008E67EA" w:rsidRPr="0015462A" w:rsidRDefault="008E67EA" w:rsidP="00B44A74">
            <w:pPr>
              <w:spacing w:line="280" w:lineRule="exact"/>
              <w:jc w:val="both"/>
              <w:rPr>
                <w:rFonts w:cs="Arial"/>
                <w:sz w:val="20"/>
                <w:szCs w:val="20"/>
              </w:rPr>
            </w:pPr>
          </w:p>
        </w:tc>
      </w:tr>
      <w:tr w:rsidR="008E67EA" w:rsidRPr="002B5B5B" w14:paraId="67C69423" w14:textId="77777777" w:rsidTr="00B44A74">
        <w:trPr>
          <w:jc w:val="center"/>
        </w:trPr>
        <w:tc>
          <w:tcPr>
            <w:tcW w:w="2415" w:type="dxa"/>
            <w:tcBorders>
              <w:top w:val="single" w:sz="4" w:space="0" w:color="auto"/>
              <w:left w:val="nil"/>
              <w:bottom w:val="single" w:sz="4" w:space="0" w:color="auto"/>
              <w:right w:val="nil"/>
            </w:tcBorders>
          </w:tcPr>
          <w:p w14:paraId="5C6427C7"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956F375" w14:textId="77777777" w:rsidR="008E67EA" w:rsidRPr="0015462A" w:rsidRDefault="008E67EA" w:rsidP="00B44A74">
            <w:pPr>
              <w:spacing w:line="280" w:lineRule="exact"/>
              <w:rPr>
                <w:rFonts w:cs="Arial"/>
                <w:sz w:val="20"/>
                <w:szCs w:val="20"/>
              </w:rPr>
            </w:pPr>
          </w:p>
        </w:tc>
      </w:tr>
      <w:tr w:rsidR="008E67EA" w:rsidRPr="002B5B5B" w14:paraId="1F86A0F0" w14:textId="77777777" w:rsidTr="00B44A74">
        <w:trPr>
          <w:trHeight w:val="477"/>
          <w:jc w:val="center"/>
        </w:trPr>
        <w:tc>
          <w:tcPr>
            <w:tcW w:w="2415" w:type="dxa"/>
            <w:tcBorders>
              <w:top w:val="single" w:sz="4" w:space="0" w:color="auto"/>
              <w:left w:val="single" w:sz="4" w:space="0" w:color="auto"/>
              <w:bottom w:val="single" w:sz="4" w:space="0" w:color="auto"/>
              <w:right w:val="single" w:sz="4" w:space="0" w:color="auto"/>
            </w:tcBorders>
            <w:hideMark/>
          </w:tcPr>
          <w:p w14:paraId="482DEB3D" w14:textId="77777777" w:rsidR="008E67EA" w:rsidRPr="00F5215F" w:rsidRDefault="008E67EA" w:rsidP="00B44A74">
            <w:pPr>
              <w:spacing w:line="280" w:lineRule="exact"/>
              <w:rPr>
                <w:rFonts w:cs="Arial"/>
                <w:sz w:val="20"/>
                <w:szCs w:val="20"/>
              </w:rPr>
            </w:pPr>
            <w:r w:rsidRPr="00F5215F">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24A66BE9" w14:textId="77777777" w:rsidR="008E67EA" w:rsidRPr="00794C95" w:rsidRDefault="008E67EA" w:rsidP="00B44A74">
            <w:pPr>
              <w:spacing w:line="280" w:lineRule="exact"/>
              <w:rPr>
                <w:rFonts w:cs="Arial"/>
                <w:sz w:val="20"/>
                <w:szCs w:val="20"/>
                <w:highlight w:val="yellow"/>
              </w:rPr>
            </w:pPr>
            <w:r w:rsidRPr="00A41558">
              <w:rPr>
                <w:rFonts w:cs="Arial"/>
                <w:sz w:val="20"/>
                <w:szCs w:val="20"/>
              </w:rPr>
              <w:t>For control of mice in industrial, commercial, public services, agricultural and domestic buildings and rats in and around industrial, commercial, public services, agricultural and domestic buildings.</w:t>
            </w:r>
          </w:p>
        </w:tc>
      </w:tr>
      <w:tr w:rsidR="008E67EA" w:rsidRPr="002B5B5B" w14:paraId="4298A621" w14:textId="77777777" w:rsidTr="00B44A74">
        <w:trPr>
          <w:jc w:val="center"/>
        </w:trPr>
        <w:tc>
          <w:tcPr>
            <w:tcW w:w="2415" w:type="dxa"/>
            <w:tcBorders>
              <w:top w:val="single" w:sz="4" w:space="0" w:color="auto"/>
              <w:left w:val="nil"/>
              <w:bottom w:val="single" w:sz="4" w:space="0" w:color="auto"/>
              <w:right w:val="nil"/>
            </w:tcBorders>
          </w:tcPr>
          <w:p w14:paraId="0AD8E21F"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D6764F3" w14:textId="77777777" w:rsidR="008E67EA" w:rsidRPr="00506DE6" w:rsidRDefault="008E67EA" w:rsidP="00B44A74">
            <w:pPr>
              <w:spacing w:line="280" w:lineRule="exact"/>
              <w:rPr>
                <w:rFonts w:cs="Arial"/>
                <w:sz w:val="20"/>
                <w:szCs w:val="20"/>
              </w:rPr>
            </w:pPr>
          </w:p>
        </w:tc>
      </w:tr>
      <w:tr w:rsidR="008E67EA" w:rsidRPr="002B5B5B" w14:paraId="0B783A1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52A1062" w14:textId="77777777" w:rsidR="008E67EA" w:rsidRPr="00F5215F" w:rsidRDefault="008E67EA" w:rsidP="00B44A74">
            <w:pPr>
              <w:spacing w:line="280" w:lineRule="exact"/>
              <w:rPr>
                <w:rFonts w:cs="Arial"/>
                <w:sz w:val="20"/>
                <w:szCs w:val="20"/>
              </w:rPr>
            </w:pPr>
            <w:r w:rsidRPr="00F5215F">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69C37BFB" w14:textId="77777777" w:rsidR="008E67EA" w:rsidRPr="00794C95" w:rsidRDefault="008E67EA" w:rsidP="00B44A74">
            <w:pPr>
              <w:spacing w:line="280" w:lineRule="exact"/>
              <w:rPr>
                <w:rFonts w:cs="Arial"/>
                <w:sz w:val="20"/>
                <w:szCs w:val="20"/>
              </w:rPr>
            </w:pPr>
            <w:r w:rsidRPr="00794C95">
              <w:rPr>
                <w:rFonts w:cs="Arial"/>
                <w:sz w:val="20"/>
                <w:szCs w:val="20"/>
              </w:rPr>
              <w:t>[INSERT NET CONTENTS]</w:t>
            </w:r>
          </w:p>
        </w:tc>
      </w:tr>
      <w:tr w:rsidR="008E67EA" w:rsidRPr="002B5B5B" w14:paraId="0010A010" w14:textId="77777777" w:rsidTr="00B44A74">
        <w:trPr>
          <w:jc w:val="center"/>
        </w:trPr>
        <w:tc>
          <w:tcPr>
            <w:tcW w:w="2415" w:type="dxa"/>
            <w:tcBorders>
              <w:top w:val="single" w:sz="4" w:space="0" w:color="auto"/>
              <w:left w:val="nil"/>
              <w:bottom w:val="single" w:sz="4" w:space="0" w:color="auto"/>
              <w:right w:val="nil"/>
            </w:tcBorders>
          </w:tcPr>
          <w:p w14:paraId="1E59E332"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96DB048" w14:textId="77777777" w:rsidR="008E67EA" w:rsidRPr="002B5B5B" w:rsidRDefault="008E67EA" w:rsidP="00B44A74">
            <w:pPr>
              <w:spacing w:line="280" w:lineRule="exact"/>
              <w:rPr>
                <w:rFonts w:cs="Arial"/>
                <w:sz w:val="20"/>
                <w:szCs w:val="20"/>
              </w:rPr>
            </w:pPr>
          </w:p>
        </w:tc>
      </w:tr>
      <w:tr w:rsidR="008E67EA" w:rsidRPr="002B5B5B" w14:paraId="1FE9775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8D93A7D" w14:textId="77777777" w:rsidR="008E67EA" w:rsidRPr="00F5215F" w:rsidRDefault="008E67EA" w:rsidP="00B44A74">
            <w:pPr>
              <w:spacing w:line="280" w:lineRule="exact"/>
              <w:rPr>
                <w:rFonts w:cs="Arial"/>
                <w:sz w:val="20"/>
                <w:szCs w:val="20"/>
              </w:rPr>
            </w:pPr>
            <w:r w:rsidRPr="00F5215F">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60A59B7C" w14:textId="77777777" w:rsidR="008E67EA" w:rsidRDefault="008E67EA" w:rsidP="00B44A74">
            <w:pPr>
              <w:spacing w:line="280" w:lineRule="exact"/>
              <w:rPr>
                <w:rFonts w:cs="Arial"/>
                <w:sz w:val="20"/>
                <w:szCs w:val="20"/>
              </w:rPr>
            </w:pPr>
            <w:r>
              <w:rPr>
                <w:rFonts w:cs="Arial"/>
                <w:sz w:val="20"/>
                <w:szCs w:val="20"/>
              </w:rPr>
              <w:t>RESTRAINTS</w:t>
            </w:r>
          </w:p>
          <w:p w14:paraId="4C4AD5E2" w14:textId="77777777" w:rsidR="008E67EA" w:rsidRPr="00794C95" w:rsidRDefault="008E67EA" w:rsidP="00B44A74">
            <w:pPr>
              <w:spacing w:line="280" w:lineRule="exact"/>
              <w:rPr>
                <w:rFonts w:cs="Arial"/>
                <w:sz w:val="20"/>
                <w:szCs w:val="20"/>
              </w:rPr>
            </w:pPr>
            <w:r w:rsidRPr="00794C95">
              <w:rPr>
                <w:rFonts w:cs="Arial"/>
                <w:sz w:val="20"/>
                <w:szCs w:val="20"/>
              </w:rPr>
              <w:t>DO NOT use this product unless you have a current qualification in the nationally recognised training course for rodent pest management CPPUPM3006 - Manage pests by applying pesticides, or an equivalent unit of competency.</w:t>
            </w:r>
          </w:p>
          <w:p w14:paraId="6DFC0DB3" w14:textId="53B2ACD2" w:rsidR="008E67EA" w:rsidRPr="00794C95" w:rsidRDefault="008E67EA" w:rsidP="00B44A74">
            <w:pPr>
              <w:spacing w:line="280" w:lineRule="exact"/>
              <w:rPr>
                <w:rFonts w:cs="Arial"/>
                <w:sz w:val="20"/>
                <w:szCs w:val="20"/>
              </w:rPr>
            </w:pPr>
            <w:r w:rsidRPr="00794C95">
              <w:rPr>
                <w:rFonts w:cs="Arial"/>
                <w:sz w:val="20"/>
                <w:szCs w:val="20"/>
              </w:rPr>
              <w:t>DO NOT place baits in areas that are accessible to children. In child-accessible areas baits must be placed in tamper-</w:t>
            </w:r>
            <w:r>
              <w:rPr>
                <w:rFonts w:cs="Arial"/>
                <w:sz w:val="20"/>
                <w:szCs w:val="20"/>
              </w:rPr>
              <w:t>resistant</w:t>
            </w:r>
            <w:r w:rsidRPr="00794C95">
              <w:rPr>
                <w:rFonts w:cs="Arial"/>
                <w:sz w:val="20"/>
                <w:szCs w:val="20"/>
              </w:rPr>
              <w:t xml:space="preserve"> bait stations. If bait can be dislodged from bait station, bait station must be secured in place.</w:t>
            </w:r>
          </w:p>
          <w:p w14:paraId="79A67A9E" w14:textId="77777777" w:rsidR="008E67EA" w:rsidRPr="00794C95" w:rsidRDefault="008E67EA" w:rsidP="00B44A74">
            <w:pPr>
              <w:spacing w:line="280" w:lineRule="exact"/>
              <w:rPr>
                <w:rFonts w:cs="Arial"/>
                <w:sz w:val="20"/>
                <w:szCs w:val="20"/>
              </w:rPr>
            </w:pPr>
            <w:r w:rsidRPr="00794C95">
              <w:rPr>
                <w:rFonts w:cs="Arial"/>
                <w:sz w:val="20"/>
                <w:szCs w:val="20"/>
              </w:rPr>
              <w:t>DO NOT place bait outdoors unless it is in a tamper-resistant bait station which is secured in place.</w:t>
            </w:r>
          </w:p>
          <w:p w14:paraId="02BB0380" w14:textId="77777777" w:rsidR="008E67EA" w:rsidRPr="00794C95" w:rsidRDefault="008E67EA" w:rsidP="00B44A74">
            <w:pPr>
              <w:spacing w:line="280" w:lineRule="exact"/>
              <w:rPr>
                <w:rFonts w:cs="Arial"/>
                <w:sz w:val="20"/>
                <w:szCs w:val="20"/>
              </w:rPr>
            </w:pPr>
            <w:r w:rsidRPr="00794C95">
              <w:rPr>
                <w:rFonts w:cs="Arial"/>
                <w:sz w:val="20"/>
                <w:szCs w:val="20"/>
              </w:rPr>
              <w:t>DO NOT place bait stations more than 2 meters from buildings.</w:t>
            </w:r>
          </w:p>
          <w:p w14:paraId="5B8201F7" w14:textId="77777777" w:rsidR="008E67EA" w:rsidRPr="00794C95" w:rsidRDefault="008E67EA" w:rsidP="00B44A74">
            <w:pPr>
              <w:spacing w:line="280" w:lineRule="exact"/>
              <w:rPr>
                <w:rFonts w:cs="Arial"/>
                <w:sz w:val="20"/>
                <w:szCs w:val="20"/>
              </w:rPr>
            </w:pPr>
            <w:r w:rsidRPr="00794C95">
              <w:rPr>
                <w:rFonts w:cs="Arial"/>
                <w:sz w:val="20"/>
                <w:szCs w:val="20"/>
              </w:rPr>
              <w:t>DO NOT place bait stations outdoors around buildings for control of mice.</w:t>
            </w:r>
          </w:p>
          <w:p w14:paraId="259250FA" w14:textId="77777777" w:rsidR="008E67EA" w:rsidRPr="00794C95" w:rsidRDefault="008E67EA" w:rsidP="00B44A74">
            <w:pPr>
              <w:spacing w:line="280" w:lineRule="exact"/>
              <w:rPr>
                <w:rFonts w:cs="Arial"/>
                <w:sz w:val="20"/>
                <w:szCs w:val="20"/>
              </w:rPr>
            </w:pPr>
            <w:r w:rsidRPr="00794C95">
              <w:rPr>
                <w:rFonts w:cs="Arial"/>
                <w:sz w:val="20"/>
                <w:szCs w:val="20"/>
              </w:rPr>
              <w:t>DO NOT bait in areas where wildlife may be collected for human consumption.</w:t>
            </w:r>
          </w:p>
          <w:p w14:paraId="7939550B" w14:textId="77777777" w:rsidR="008E67EA" w:rsidRPr="00794C95" w:rsidRDefault="008E67EA" w:rsidP="00B44A74">
            <w:pPr>
              <w:spacing w:line="280" w:lineRule="exact"/>
              <w:rPr>
                <w:rFonts w:cs="Arial"/>
                <w:sz w:val="20"/>
                <w:szCs w:val="20"/>
              </w:rPr>
            </w:pPr>
            <w:r w:rsidRPr="00794C95">
              <w:rPr>
                <w:rFonts w:cs="Arial"/>
                <w:sz w:val="20"/>
                <w:szCs w:val="20"/>
              </w:rPr>
              <w:t>DO NOT place in animal or livestock housing unless used in tamper-resistant and weather</w:t>
            </w:r>
            <w:r>
              <w:rPr>
                <w:rFonts w:cs="Arial"/>
                <w:sz w:val="20"/>
                <w:szCs w:val="20"/>
              </w:rPr>
              <w:t>-</w:t>
            </w:r>
            <w:r w:rsidRPr="00794C95">
              <w:rPr>
                <w:rFonts w:cs="Arial"/>
                <w:sz w:val="20"/>
                <w:szCs w:val="20"/>
              </w:rPr>
              <w:t>resistant bait stations fixed to the ground or other structures.</w:t>
            </w:r>
          </w:p>
          <w:p w14:paraId="2780791D" w14:textId="77777777" w:rsidR="008E67EA" w:rsidRPr="00794C95" w:rsidRDefault="008E67EA" w:rsidP="00B44A74">
            <w:pPr>
              <w:spacing w:line="280" w:lineRule="exact"/>
              <w:rPr>
                <w:rFonts w:cs="Arial"/>
                <w:sz w:val="20"/>
                <w:szCs w:val="20"/>
              </w:rPr>
            </w:pPr>
            <w:r w:rsidRPr="00794C95">
              <w:rPr>
                <w:rFonts w:cs="Arial"/>
                <w:sz w:val="20"/>
                <w:szCs w:val="20"/>
              </w:rPr>
              <w:t>DO NOT place bait or bait stations above areas which would allow them to contaminate pig and poultry food or drinking water.</w:t>
            </w:r>
          </w:p>
          <w:p w14:paraId="06B31997" w14:textId="77777777" w:rsidR="008E67EA" w:rsidRPr="00794C95" w:rsidRDefault="008E67EA" w:rsidP="00B44A74">
            <w:pPr>
              <w:spacing w:line="280" w:lineRule="exact"/>
              <w:rPr>
                <w:rFonts w:cs="Arial"/>
                <w:color w:val="7030A0"/>
                <w:sz w:val="20"/>
                <w:szCs w:val="20"/>
              </w:rPr>
            </w:pPr>
            <w:r w:rsidRPr="00794C95">
              <w:rPr>
                <w:rFonts w:cs="Arial"/>
                <w:sz w:val="20"/>
                <w:szCs w:val="20"/>
              </w:rPr>
              <w:t>DO NOT apply this product directly into burrows.</w:t>
            </w:r>
          </w:p>
        </w:tc>
      </w:tr>
      <w:tr w:rsidR="008E67EA" w:rsidRPr="002B5B5B" w14:paraId="05D4482E" w14:textId="77777777" w:rsidTr="00B44A74">
        <w:trPr>
          <w:jc w:val="center"/>
        </w:trPr>
        <w:tc>
          <w:tcPr>
            <w:tcW w:w="2415" w:type="dxa"/>
            <w:tcBorders>
              <w:top w:val="single" w:sz="4" w:space="0" w:color="auto"/>
              <w:left w:val="nil"/>
              <w:bottom w:val="single" w:sz="4" w:space="0" w:color="auto"/>
              <w:right w:val="nil"/>
            </w:tcBorders>
          </w:tcPr>
          <w:p w14:paraId="5A943B5E"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3B65B2C" w14:textId="77777777" w:rsidR="008E67EA" w:rsidRPr="002B5B5B" w:rsidRDefault="008E67EA" w:rsidP="00B44A74">
            <w:pPr>
              <w:spacing w:line="280" w:lineRule="exact"/>
              <w:rPr>
                <w:rFonts w:cs="Arial"/>
                <w:sz w:val="20"/>
                <w:szCs w:val="20"/>
              </w:rPr>
            </w:pPr>
          </w:p>
        </w:tc>
      </w:tr>
      <w:tr w:rsidR="008E67EA" w:rsidRPr="002B5B5B" w14:paraId="4C84BE6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BE1D218" w14:textId="77777777" w:rsidR="008E67EA" w:rsidRPr="00731415" w:rsidRDefault="008E67EA" w:rsidP="00B44A74">
            <w:pPr>
              <w:spacing w:line="280" w:lineRule="exact"/>
              <w:rPr>
                <w:rFonts w:cs="Arial"/>
                <w:sz w:val="20"/>
                <w:szCs w:val="20"/>
              </w:rPr>
            </w:pPr>
            <w:r w:rsidRPr="00731415">
              <w:rPr>
                <w:rFonts w:cs="Arial"/>
                <w:sz w:val="20"/>
                <w:szCs w:val="20"/>
              </w:rPr>
              <w:t>Directions for Use:</w:t>
            </w:r>
          </w:p>
        </w:tc>
        <w:tc>
          <w:tcPr>
            <w:tcW w:w="7755" w:type="dxa"/>
            <w:tcBorders>
              <w:top w:val="single" w:sz="4" w:space="0" w:color="auto"/>
              <w:left w:val="single" w:sz="4" w:space="0" w:color="auto"/>
              <w:bottom w:val="single" w:sz="4" w:space="0" w:color="auto"/>
              <w:right w:val="single" w:sz="4" w:space="0" w:color="auto"/>
            </w:tcBorders>
          </w:tcPr>
          <w:p w14:paraId="6145C433" w14:textId="77777777" w:rsidR="008E67EA" w:rsidRPr="00731415" w:rsidRDefault="008E67EA" w:rsidP="00B44A74">
            <w:pPr>
              <w:spacing w:line="280" w:lineRule="exact"/>
              <w:rPr>
                <w:rFonts w:cs="Arial"/>
                <w:b/>
                <w:bCs/>
                <w:sz w:val="20"/>
                <w:szCs w:val="20"/>
              </w:rPr>
            </w:pPr>
            <w:r w:rsidRPr="00731415">
              <w:rPr>
                <w:rFonts w:cs="Arial"/>
                <w:sz w:val="20"/>
                <w:szCs w:val="20"/>
              </w:rPr>
              <w:t>[This section contains an attachment below]</w:t>
            </w:r>
          </w:p>
        </w:tc>
      </w:tr>
      <w:tr w:rsidR="008E67EA" w:rsidRPr="002B5B5B" w14:paraId="7E969814" w14:textId="77777777" w:rsidTr="00B44A74">
        <w:trPr>
          <w:jc w:val="center"/>
        </w:trPr>
        <w:tc>
          <w:tcPr>
            <w:tcW w:w="2415" w:type="dxa"/>
            <w:tcBorders>
              <w:top w:val="single" w:sz="4" w:space="0" w:color="auto"/>
              <w:left w:val="nil"/>
              <w:bottom w:val="single" w:sz="4" w:space="0" w:color="auto"/>
              <w:right w:val="nil"/>
            </w:tcBorders>
          </w:tcPr>
          <w:p w14:paraId="1B8A5D00"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61E9714" w14:textId="77777777" w:rsidR="008E67EA" w:rsidRPr="002B5B5B" w:rsidRDefault="008E67EA" w:rsidP="00B44A74">
            <w:pPr>
              <w:spacing w:line="280" w:lineRule="exact"/>
              <w:rPr>
                <w:rFonts w:cs="Arial"/>
                <w:sz w:val="20"/>
                <w:szCs w:val="20"/>
              </w:rPr>
            </w:pPr>
          </w:p>
        </w:tc>
      </w:tr>
      <w:tr w:rsidR="008E67EA" w:rsidRPr="002B5B5B" w14:paraId="7097AC5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25531D8" w14:textId="77777777" w:rsidR="008E67EA" w:rsidRPr="00F5215F" w:rsidRDefault="008E67EA" w:rsidP="00B44A74">
            <w:pPr>
              <w:spacing w:line="280" w:lineRule="exact"/>
              <w:rPr>
                <w:rFonts w:cs="Arial"/>
                <w:sz w:val="20"/>
                <w:szCs w:val="20"/>
              </w:rPr>
            </w:pPr>
            <w:r w:rsidRPr="00F5215F">
              <w:rPr>
                <w:rFonts w:cs="Arial"/>
                <w:sz w:val="20"/>
                <w:szCs w:val="20"/>
              </w:rPr>
              <w:t>Other Limitations:</w:t>
            </w:r>
          </w:p>
        </w:tc>
        <w:tc>
          <w:tcPr>
            <w:tcW w:w="7755" w:type="dxa"/>
            <w:tcBorders>
              <w:top w:val="single" w:sz="4" w:space="0" w:color="auto"/>
              <w:left w:val="single" w:sz="4" w:space="0" w:color="auto"/>
              <w:bottom w:val="single" w:sz="4" w:space="0" w:color="auto"/>
              <w:right w:val="single" w:sz="4" w:space="0" w:color="auto"/>
            </w:tcBorders>
          </w:tcPr>
          <w:p w14:paraId="496631F7" w14:textId="77777777" w:rsidR="008E67EA" w:rsidRPr="00BE74F6" w:rsidRDefault="008E67EA" w:rsidP="00B44A74">
            <w:pPr>
              <w:spacing w:line="280" w:lineRule="exact"/>
              <w:rPr>
                <w:rFonts w:cs="Arial"/>
                <w:color w:val="7030A0"/>
                <w:sz w:val="20"/>
                <w:szCs w:val="20"/>
              </w:rPr>
            </w:pPr>
          </w:p>
        </w:tc>
      </w:tr>
      <w:tr w:rsidR="008E67EA" w:rsidRPr="002B5B5B" w14:paraId="43E8E50F" w14:textId="77777777" w:rsidTr="00B44A74">
        <w:trPr>
          <w:jc w:val="center"/>
        </w:trPr>
        <w:tc>
          <w:tcPr>
            <w:tcW w:w="2415" w:type="dxa"/>
            <w:tcBorders>
              <w:top w:val="single" w:sz="4" w:space="0" w:color="auto"/>
              <w:left w:val="nil"/>
              <w:bottom w:val="single" w:sz="4" w:space="0" w:color="auto"/>
              <w:right w:val="nil"/>
            </w:tcBorders>
          </w:tcPr>
          <w:p w14:paraId="05BC719C"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95F3109" w14:textId="77777777" w:rsidR="008E67EA" w:rsidRPr="002B5B5B" w:rsidRDefault="008E67EA" w:rsidP="00B44A74">
            <w:pPr>
              <w:spacing w:line="280" w:lineRule="exact"/>
              <w:rPr>
                <w:rFonts w:cs="Arial"/>
                <w:sz w:val="20"/>
                <w:szCs w:val="20"/>
              </w:rPr>
            </w:pPr>
          </w:p>
        </w:tc>
      </w:tr>
      <w:tr w:rsidR="008E67EA" w:rsidRPr="002B5B5B" w14:paraId="724702F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8A85287" w14:textId="77777777" w:rsidR="008E67EA" w:rsidRPr="00F5215F" w:rsidRDefault="008E67EA" w:rsidP="00B44A74">
            <w:pPr>
              <w:spacing w:line="280" w:lineRule="exact"/>
              <w:rPr>
                <w:rFonts w:cs="Arial"/>
                <w:sz w:val="20"/>
                <w:szCs w:val="20"/>
              </w:rPr>
            </w:pPr>
            <w:r w:rsidRPr="00F5215F">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4C72FC54" w14:textId="77777777" w:rsidR="008E67EA" w:rsidRPr="002B5B5B" w:rsidRDefault="008E67EA" w:rsidP="00B44A74">
            <w:pPr>
              <w:spacing w:line="280" w:lineRule="exact"/>
              <w:rPr>
                <w:rFonts w:cs="Arial"/>
                <w:sz w:val="20"/>
                <w:szCs w:val="20"/>
              </w:rPr>
            </w:pPr>
          </w:p>
        </w:tc>
      </w:tr>
      <w:tr w:rsidR="008E67EA" w:rsidRPr="002B5B5B" w14:paraId="6BF992F6" w14:textId="77777777" w:rsidTr="00B44A74">
        <w:trPr>
          <w:jc w:val="center"/>
        </w:trPr>
        <w:tc>
          <w:tcPr>
            <w:tcW w:w="2415" w:type="dxa"/>
            <w:tcBorders>
              <w:top w:val="single" w:sz="4" w:space="0" w:color="auto"/>
              <w:left w:val="nil"/>
              <w:bottom w:val="single" w:sz="4" w:space="0" w:color="auto"/>
              <w:right w:val="nil"/>
            </w:tcBorders>
          </w:tcPr>
          <w:p w14:paraId="2948F55A"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EF945D9" w14:textId="77777777" w:rsidR="008E67EA" w:rsidRPr="002B5B5B" w:rsidRDefault="008E67EA" w:rsidP="00B44A74">
            <w:pPr>
              <w:spacing w:line="280" w:lineRule="exact"/>
              <w:rPr>
                <w:rFonts w:cs="Arial"/>
                <w:sz w:val="20"/>
                <w:szCs w:val="20"/>
              </w:rPr>
            </w:pPr>
          </w:p>
        </w:tc>
      </w:tr>
      <w:tr w:rsidR="008E67EA" w:rsidRPr="002B5B5B" w14:paraId="5A060D1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087CE64" w14:textId="77777777" w:rsidR="008E67EA" w:rsidRPr="00F5215F" w:rsidRDefault="008E67EA" w:rsidP="00B44A74">
            <w:pPr>
              <w:spacing w:line="280" w:lineRule="exact"/>
              <w:rPr>
                <w:rFonts w:cs="Arial"/>
                <w:sz w:val="20"/>
                <w:szCs w:val="20"/>
              </w:rPr>
            </w:pPr>
            <w:r w:rsidRPr="00F5215F">
              <w:rPr>
                <w:rFonts w:cs="Arial"/>
                <w:sz w:val="20"/>
                <w:szCs w:val="20"/>
              </w:rPr>
              <w:t>Trade Advice:</w:t>
            </w:r>
          </w:p>
        </w:tc>
        <w:tc>
          <w:tcPr>
            <w:tcW w:w="7755" w:type="dxa"/>
            <w:tcBorders>
              <w:top w:val="single" w:sz="4" w:space="0" w:color="auto"/>
              <w:left w:val="single" w:sz="4" w:space="0" w:color="auto"/>
              <w:bottom w:val="single" w:sz="4" w:space="0" w:color="auto"/>
              <w:right w:val="single" w:sz="4" w:space="0" w:color="auto"/>
            </w:tcBorders>
          </w:tcPr>
          <w:p w14:paraId="5505C93D" w14:textId="77777777" w:rsidR="008E67EA" w:rsidRPr="002B5B5B" w:rsidRDefault="008E67EA" w:rsidP="00B44A74">
            <w:pPr>
              <w:spacing w:line="280" w:lineRule="exact"/>
              <w:rPr>
                <w:rFonts w:cs="Arial"/>
                <w:sz w:val="20"/>
                <w:szCs w:val="20"/>
              </w:rPr>
            </w:pPr>
          </w:p>
        </w:tc>
      </w:tr>
      <w:tr w:rsidR="008E67EA" w:rsidRPr="002B5B5B" w14:paraId="00E195FA" w14:textId="77777777" w:rsidTr="00B44A74">
        <w:trPr>
          <w:jc w:val="center"/>
        </w:trPr>
        <w:tc>
          <w:tcPr>
            <w:tcW w:w="2415" w:type="dxa"/>
            <w:tcBorders>
              <w:top w:val="single" w:sz="4" w:space="0" w:color="auto"/>
              <w:left w:val="nil"/>
              <w:bottom w:val="single" w:sz="4" w:space="0" w:color="auto"/>
              <w:right w:val="nil"/>
            </w:tcBorders>
          </w:tcPr>
          <w:p w14:paraId="3531F737"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8E5BF1D" w14:textId="77777777" w:rsidR="008E67EA" w:rsidRPr="002B5B5B" w:rsidRDefault="008E67EA" w:rsidP="00B44A74">
            <w:pPr>
              <w:spacing w:line="280" w:lineRule="exact"/>
              <w:rPr>
                <w:rFonts w:cs="Arial"/>
                <w:sz w:val="20"/>
                <w:szCs w:val="20"/>
              </w:rPr>
            </w:pPr>
          </w:p>
        </w:tc>
      </w:tr>
      <w:tr w:rsidR="008E67EA" w:rsidRPr="002B5B5B" w14:paraId="4FCAB39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9435483" w14:textId="77777777" w:rsidR="008E67EA" w:rsidRPr="00F5215F" w:rsidRDefault="008E67EA" w:rsidP="00B44A74">
            <w:pPr>
              <w:spacing w:line="280" w:lineRule="exact"/>
              <w:rPr>
                <w:rFonts w:cs="Arial"/>
                <w:sz w:val="20"/>
                <w:szCs w:val="20"/>
              </w:rPr>
            </w:pPr>
            <w:r w:rsidRPr="00F5215F">
              <w:rPr>
                <w:rFonts w:cs="Arial"/>
                <w:sz w:val="20"/>
                <w:szCs w:val="20"/>
              </w:rPr>
              <w:t>General Directions:</w:t>
            </w:r>
          </w:p>
        </w:tc>
        <w:tc>
          <w:tcPr>
            <w:tcW w:w="7755" w:type="dxa"/>
            <w:tcBorders>
              <w:top w:val="single" w:sz="4" w:space="0" w:color="auto"/>
              <w:left w:val="single" w:sz="4" w:space="0" w:color="auto"/>
              <w:bottom w:val="single" w:sz="4" w:space="0" w:color="auto"/>
              <w:right w:val="single" w:sz="4" w:space="0" w:color="auto"/>
            </w:tcBorders>
          </w:tcPr>
          <w:p w14:paraId="570E0460" w14:textId="77777777" w:rsidR="008E67EA" w:rsidRPr="00C118CC" w:rsidRDefault="008E67EA" w:rsidP="00B44A74">
            <w:pPr>
              <w:spacing w:line="280" w:lineRule="exact"/>
              <w:rPr>
                <w:rFonts w:cs="Arial"/>
                <w:color w:val="7030A0"/>
                <w:sz w:val="20"/>
                <w:szCs w:val="20"/>
              </w:rPr>
            </w:pPr>
          </w:p>
        </w:tc>
      </w:tr>
      <w:tr w:rsidR="008E67EA" w:rsidRPr="002B5B5B" w14:paraId="775A8EE0" w14:textId="77777777" w:rsidTr="00B44A74">
        <w:trPr>
          <w:jc w:val="center"/>
        </w:trPr>
        <w:tc>
          <w:tcPr>
            <w:tcW w:w="2415" w:type="dxa"/>
            <w:tcBorders>
              <w:top w:val="single" w:sz="4" w:space="0" w:color="auto"/>
              <w:left w:val="nil"/>
              <w:bottom w:val="single" w:sz="4" w:space="0" w:color="auto"/>
              <w:right w:val="nil"/>
            </w:tcBorders>
          </w:tcPr>
          <w:p w14:paraId="2E57693D"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A6D1F66" w14:textId="77777777" w:rsidR="008E67EA" w:rsidRPr="00C118CC" w:rsidRDefault="008E67EA" w:rsidP="00B44A74">
            <w:pPr>
              <w:spacing w:line="280" w:lineRule="exact"/>
              <w:rPr>
                <w:rFonts w:cs="Arial"/>
                <w:color w:val="7030A0"/>
                <w:sz w:val="20"/>
                <w:szCs w:val="20"/>
              </w:rPr>
            </w:pPr>
          </w:p>
        </w:tc>
      </w:tr>
      <w:tr w:rsidR="008E67EA" w:rsidRPr="002B5B5B" w14:paraId="0E5D5FD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8282D1F" w14:textId="77777777" w:rsidR="008E67EA" w:rsidRPr="00731415" w:rsidRDefault="008E67EA" w:rsidP="00B44A74">
            <w:pPr>
              <w:spacing w:line="280" w:lineRule="exact"/>
              <w:rPr>
                <w:rFonts w:cs="Arial"/>
                <w:sz w:val="20"/>
                <w:szCs w:val="20"/>
              </w:rPr>
            </w:pPr>
            <w:r w:rsidRPr="00731415">
              <w:rPr>
                <w:rFonts w:cs="Arial"/>
                <w:sz w:val="20"/>
                <w:szCs w:val="20"/>
              </w:rPr>
              <w:lastRenderedPageBreak/>
              <w:t>Resistance Warning:</w:t>
            </w:r>
          </w:p>
        </w:tc>
        <w:tc>
          <w:tcPr>
            <w:tcW w:w="7755" w:type="dxa"/>
            <w:tcBorders>
              <w:top w:val="single" w:sz="4" w:space="0" w:color="auto"/>
              <w:left w:val="single" w:sz="4" w:space="0" w:color="auto"/>
              <w:bottom w:val="single" w:sz="4" w:space="0" w:color="auto"/>
              <w:right w:val="single" w:sz="4" w:space="0" w:color="auto"/>
            </w:tcBorders>
          </w:tcPr>
          <w:p w14:paraId="6857E0F1" w14:textId="77777777" w:rsidR="008E67EA" w:rsidRPr="00731415" w:rsidRDefault="008E67EA" w:rsidP="00B44A74">
            <w:pPr>
              <w:spacing w:line="280" w:lineRule="exact"/>
              <w:rPr>
                <w:rFonts w:cs="Arial"/>
                <w:sz w:val="20"/>
                <w:szCs w:val="20"/>
              </w:rPr>
            </w:pPr>
          </w:p>
        </w:tc>
      </w:tr>
      <w:tr w:rsidR="008E67EA" w:rsidRPr="002B5B5B" w14:paraId="36617777" w14:textId="77777777" w:rsidTr="00B44A74">
        <w:trPr>
          <w:jc w:val="center"/>
        </w:trPr>
        <w:tc>
          <w:tcPr>
            <w:tcW w:w="2415" w:type="dxa"/>
            <w:tcBorders>
              <w:top w:val="single" w:sz="4" w:space="0" w:color="auto"/>
              <w:left w:val="nil"/>
              <w:bottom w:val="single" w:sz="4" w:space="0" w:color="auto"/>
              <w:right w:val="nil"/>
            </w:tcBorders>
          </w:tcPr>
          <w:p w14:paraId="2F333A63" w14:textId="77777777" w:rsidR="008E67EA" w:rsidRPr="0073141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B53BC08" w14:textId="77777777" w:rsidR="008E67EA" w:rsidRPr="00731415" w:rsidRDefault="008E67EA" w:rsidP="00B44A74">
            <w:pPr>
              <w:spacing w:line="280" w:lineRule="exact"/>
              <w:rPr>
                <w:rFonts w:cs="Arial"/>
                <w:sz w:val="20"/>
                <w:szCs w:val="20"/>
              </w:rPr>
            </w:pPr>
          </w:p>
        </w:tc>
      </w:tr>
      <w:tr w:rsidR="008E67EA" w:rsidRPr="002B5B5B" w14:paraId="7746493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430F409" w14:textId="77777777" w:rsidR="008E67EA" w:rsidRPr="00F5215F" w:rsidRDefault="008E67EA" w:rsidP="00B44A74">
            <w:pPr>
              <w:spacing w:line="280" w:lineRule="exact"/>
              <w:rPr>
                <w:rFonts w:cs="Arial"/>
                <w:sz w:val="20"/>
                <w:szCs w:val="20"/>
              </w:rPr>
            </w:pPr>
            <w:r w:rsidRPr="00F5215F">
              <w:rPr>
                <w:rFonts w:cs="Arial"/>
                <w:sz w:val="20"/>
                <w:szCs w:val="20"/>
              </w:rPr>
              <w:t>Precautions:</w:t>
            </w:r>
          </w:p>
        </w:tc>
        <w:tc>
          <w:tcPr>
            <w:tcW w:w="7755" w:type="dxa"/>
            <w:tcBorders>
              <w:top w:val="single" w:sz="4" w:space="0" w:color="auto"/>
              <w:left w:val="single" w:sz="4" w:space="0" w:color="auto"/>
              <w:bottom w:val="single" w:sz="4" w:space="0" w:color="auto"/>
              <w:right w:val="single" w:sz="4" w:space="0" w:color="auto"/>
            </w:tcBorders>
          </w:tcPr>
          <w:p w14:paraId="750ED502" w14:textId="77777777" w:rsidR="008E67EA" w:rsidRPr="00794C95" w:rsidRDefault="008E67EA" w:rsidP="00B44A74">
            <w:pPr>
              <w:spacing w:line="280" w:lineRule="exact"/>
              <w:rPr>
                <w:rFonts w:cs="Arial"/>
                <w:sz w:val="20"/>
                <w:szCs w:val="20"/>
              </w:rPr>
            </w:pPr>
            <w:r w:rsidRPr="00794C95">
              <w:rPr>
                <w:rFonts w:cs="Arial"/>
                <w:sz w:val="20"/>
                <w:szCs w:val="20"/>
              </w:rPr>
              <w:t>PRECAUTIONS</w:t>
            </w:r>
          </w:p>
          <w:p w14:paraId="550EA277" w14:textId="77777777" w:rsidR="008E67EA" w:rsidRPr="00794C95" w:rsidRDefault="008E67EA" w:rsidP="00B44A74">
            <w:pPr>
              <w:spacing w:line="280" w:lineRule="exact"/>
              <w:rPr>
                <w:rFonts w:cs="Arial"/>
                <w:sz w:val="20"/>
                <w:szCs w:val="20"/>
              </w:rPr>
            </w:pPr>
            <w:r w:rsidRPr="00794C95">
              <w:rPr>
                <w:rFonts w:cs="Arial"/>
                <w:sz w:val="20"/>
                <w:szCs w:val="20"/>
              </w:rPr>
              <w:t>Caution should be used when baiting near areas where hunting of wildlife may occur. Careful consideration of bait placement is necessary to avoid secondary exposure from contaminated wildlife that may be consumed.</w:t>
            </w:r>
          </w:p>
          <w:p w14:paraId="2D7B8912" w14:textId="77777777" w:rsidR="008E67EA" w:rsidRPr="00794C95" w:rsidRDefault="008E67EA" w:rsidP="00B44A74">
            <w:pPr>
              <w:spacing w:line="280" w:lineRule="exact"/>
              <w:rPr>
                <w:rFonts w:cs="Arial"/>
                <w:color w:val="7030A0"/>
                <w:sz w:val="20"/>
                <w:szCs w:val="20"/>
              </w:rPr>
            </w:pPr>
            <w:r w:rsidRPr="00794C95">
              <w:rPr>
                <w:rFonts w:cs="Arial"/>
                <w:sz w:val="20"/>
                <w:szCs w:val="20"/>
              </w:rPr>
              <w:t>DO NOT place bait in areas where there is a possibility of contaminating food, livestock feed or surfaces that come in direct contact with food or livestock feed.</w:t>
            </w:r>
          </w:p>
        </w:tc>
      </w:tr>
      <w:tr w:rsidR="008E67EA" w:rsidRPr="002B5B5B" w14:paraId="51985443" w14:textId="77777777" w:rsidTr="00B44A74">
        <w:trPr>
          <w:jc w:val="center"/>
        </w:trPr>
        <w:tc>
          <w:tcPr>
            <w:tcW w:w="2415" w:type="dxa"/>
            <w:tcBorders>
              <w:top w:val="single" w:sz="4" w:space="0" w:color="auto"/>
              <w:left w:val="nil"/>
              <w:bottom w:val="single" w:sz="4" w:space="0" w:color="auto"/>
              <w:right w:val="nil"/>
            </w:tcBorders>
          </w:tcPr>
          <w:p w14:paraId="5E737601"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E82F908" w14:textId="77777777" w:rsidR="008E67EA" w:rsidRPr="00C118CC" w:rsidRDefault="008E67EA" w:rsidP="00B44A74">
            <w:pPr>
              <w:spacing w:line="280" w:lineRule="exact"/>
              <w:rPr>
                <w:rFonts w:cs="Arial"/>
                <w:color w:val="7030A0"/>
                <w:sz w:val="20"/>
                <w:szCs w:val="20"/>
              </w:rPr>
            </w:pPr>
          </w:p>
        </w:tc>
      </w:tr>
      <w:tr w:rsidR="008E67EA" w:rsidRPr="002B5B5B" w14:paraId="3D9964D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BE57C8F" w14:textId="77777777" w:rsidR="008E67EA" w:rsidRPr="00F5215F" w:rsidRDefault="008E67EA" w:rsidP="00B44A74">
            <w:pPr>
              <w:spacing w:line="280" w:lineRule="exact"/>
              <w:rPr>
                <w:rFonts w:cs="Arial"/>
                <w:sz w:val="20"/>
                <w:szCs w:val="20"/>
              </w:rPr>
            </w:pPr>
            <w:r w:rsidRPr="00F5215F">
              <w:rPr>
                <w:rFonts w:cs="Arial"/>
                <w:sz w:val="20"/>
                <w:szCs w:val="20"/>
              </w:rPr>
              <w:t>Protection Statements:</w:t>
            </w:r>
          </w:p>
        </w:tc>
        <w:tc>
          <w:tcPr>
            <w:tcW w:w="7755" w:type="dxa"/>
            <w:tcBorders>
              <w:top w:val="single" w:sz="4" w:space="0" w:color="auto"/>
              <w:left w:val="single" w:sz="4" w:space="0" w:color="auto"/>
              <w:bottom w:val="single" w:sz="4" w:space="0" w:color="auto"/>
              <w:right w:val="single" w:sz="4" w:space="0" w:color="auto"/>
            </w:tcBorders>
          </w:tcPr>
          <w:p w14:paraId="0DE85B36" w14:textId="77777777" w:rsidR="008E67EA" w:rsidRDefault="008E67EA" w:rsidP="00B44A74">
            <w:pPr>
              <w:spacing w:line="280" w:lineRule="exact"/>
              <w:rPr>
                <w:rFonts w:cs="Arial"/>
                <w:sz w:val="20"/>
                <w:szCs w:val="20"/>
                <w:bdr w:val="none" w:sz="0" w:space="0" w:color="auto" w:frame="1"/>
                <w:lang w:val="en-GB" w:eastAsia="en-AU"/>
              </w:rPr>
            </w:pPr>
            <w:r w:rsidRPr="00794C95">
              <w:rPr>
                <w:rFonts w:cs="Arial"/>
                <w:sz w:val="20"/>
                <w:szCs w:val="20"/>
                <w:bdr w:val="none" w:sz="0" w:space="0" w:color="auto" w:frame="1"/>
                <w:lang w:val="en-GB" w:eastAsia="en-AU"/>
              </w:rPr>
              <w:t>PROTECTION OF LIVESTOCK AND WILDLIFE</w:t>
            </w:r>
          </w:p>
          <w:p w14:paraId="25FFD141" w14:textId="77777777" w:rsidR="008E67EA" w:rsidRPr="00794C95" w:rsidRDefault="008E67EA" w:rsidP="00B44A74">
            <w:pPr>
              <w:spacing w:line="280" w:lineRule="exact"/>
              <w:rPr>
                <w:rFonts w:cs="Arial"/>
                <w:sz w:val="20"/>
                <w:szCs w:val="20"/>
                <w:bdr w:val="none" w:sz="0" w:space="0" w:color="auto" w:frame="1"/>
                <w:lang w:val="en-GB" w:eastAsia="en-AU"/>
              </w:rPr>
            </w:pPr>
            <w:r w:rsidRPr="00794C95">
              <w:rPr>
                <w:rFonts w:cs="Arial"/>
                <w:sz w:val="20"/>
                <w:szCs w:val="20"/>
                <w:bdr w:val="none" w:sz="0" w:space="0" w:color="auto" w:frame="1"/>
                <w:lang w:val="en-GB" w:eastAsia="en-AU"/>
              </w:rPr>
              <w:t>Hazardous to livestock, poultry and wildlife. DO NOT place baits in locations that are accessible to domestic animals, livestock, non-target native animals or birds.</w:t>
            </w:r>
          </w:p>
          <w:p w14:paraId="620B6BA6" w14:textId="77777777" w:rsidR="008E67EA" w:rsidRPr="00794C95" w:rsidRDefault="008E67EA" w:rsidP="00B44A74">
            <w:pPr>
              <w:spacing w:line="280" w:lineRule="exact"/>
              <w:rPr>
                <w:rFonts w:cs="Arial"/>
                <w:sz w:val="20"/>
                <w:szCs w:val="20"/>
                <w:bdr w:val="none" w:sz="0" w:space="0" w:color="auto" w:frame="1"/>
                <w:lang w:val="en-GB" w:eastAsia="en-AU"/>
              </w:rPr>
            </w:pPr>
            <w:r w:rsidRPr="00794C95">
              <w:rPr>
                <w:rFonts w:cs="Arial"/>
                <w:sz w:val="20"/>
                <w:szCs w:val="20"/>
                <w:bdr w:val="none" w:sz="0" w:space="0" w:color="auto" w:frame="1"/>
                <w:lang w:val="en-GB" w:eastAsia="en-AU"/>
              </w:rPr>
              <w:t xml:space="preserve">Search for and dispose of dead rodents and slugs/snails in the infested area at each visit to prevent secondary poisoning. In case slugs/snails are present, move bait station to another location within the rodent infested site, away from slugs/snails. Dispose of slugs/snails in a way non-target animals are not exposed. Dispose of dead rodents and uneaten bait in compliance with local, state or territory government regulations. </w:t>
            </w:r>
          </w:p>
          <w:p w14:paraId="6B2DB29E" w14:textId="77777777" w:rsidR="008E67EA" w:rsidRPr="00794C95" w:rsidRDefault="008E67EA" w:rsidP="00B44A74">
            <w:pPr>
              <w:spacing w:line="280" w:lineRule="exact"/>
              <w:rPr>
                <w:rFonts w:cs="Arial"/>
                <w:sz w:val="20"/>
                <w:szCs w:val="20"/>
                <w:bdr w:val="none" w:sz="0" w:space="0" w:color="auto" w:frame="1"/>
                <w:lang w:val="en-GB" w:eastAsia="en-AU"/>
              </w:rPr>
            </w:pPr>
            <w:r w:rsidRPr="00794C95">
              <w:rPr>
                <w:rFonts w:cs="Arial"/>
                <w:sz w:val="20"/>
                <w:szCs w:val="20"/>
                <w:bdr w:val="none" w:sz="0" w:space="0" w:color="auto" w:frame="1"/>
                <w:lang w:val="en-GB" w:eastAsia="en-AU"/>
              </w:rPr>
              <w:t>DO NOT allow livestock or poultry to consume dead or moribund mice and rats. All dead or moribund animals and rodent faeces from baited rodents MUST be removed from areas accessible to livestock or poultry.</w:t>
            </w:r>
          </w:p>
          <w:p w14:paraId="532A4624" w14:textId="77777777" w:rsidR="008E67EA" w:rsidRDefault="008E67EA" w:rsidP="00B44A74">
            <w:pPr>
              <w:spacing w:line="280" w:lineRule="exact"/>
              <w:rPr>
                <w:rFonts w:cs="Arial"/>
                <w:sz w:val="20"/>
                <w:szCs w:val="20"/>
                <w:bdr w:val="none" w:sz="0" w:space="0" w:color="auto" w:frame="1"/>
                <w:lang w:val="en-GB" w:eastAsia="en-AU"/>
              </w:rPr>
            </w:pPr>
            <w:r w:rsidRPr="00794C95">
              <w:rPr>
                <w:rFonts w:cs="Arial"/>
                <w:sz w:val="20"/>
                <w:szCs w:val="20"/>
                <w:bdr w:val="none" w:sz="0" w:space="0" w:color="auto" w:frame="1"/>
                <w:lang w:val="en-GB" w:eastAsia="en-AU"/>
              </w:rPr>
              <w:t>The use of this product for the control of protected native rodents and rodent like animals requires permission from wildlife authorities.</w:t>
            </w:r>
          </w:p>
          <w:p w14:paraId="17D1BEE7" w14:textId="77777777" w:rsidR="008E67EA" w:rsidRPr="00794C95" w:rsidRDefault="008E67EA" w:rsidP="00B44A74">
            <w:pPr>
              <w:spacing w:line="280" w:lineRule="exact"/>
              <w:rPr>
                <w:rFonts w:cs="Arial"/>
                <w:sz w:val="20"/>
                <w:szCs w:val="20"/>
                <w:bdr w:val="none" w:sz="0" w:space="0" w:color="auto" w:frame="1"/>
                <w:lang w:val="en-GB" w:eastAsia="en-AU"/>
              </w:rPr>
            </w:pPr>
          </w:p>
          <w:p w14:paraId="64956601" w14:textId="77777777" w:rsidR="008E67EA" w:rsidRPr="00794C95" w:rsidRDefault="008E67EA" w:rsidP="00B44A74">
            <w:pPr>
              <w:spacing w:line="280" w:lineRule="exact"/>
              <w:rPr>
                <w:rFonts w:cs="Arial"/>
                <w:sz w:val="20"/>
                <w:szCs w:val="20"/>
                <w:bdr w:val="none" w:sz="0" w:space="0" w:color="auto" w:frame="1"/>
                <w:lang w:val="en-GB" w:eastAsia="en-AU"/>
              </w:rPr>
            </w:pPr>
            <w:r w:rsidRPr="00794C95">
              <w:rPr>
                <w:rFonts w:cs="Arial"/>
                <w:sz w:val="20"/>
                <w:szCs w:val="20"/>
                <w:bdr w:val="none" w:sz="0" w:space="0" w:color="auto" w:frame="1"/>
                <w:lang w:val="en-GB" w:eastAsia="en-AU"/>
              </w:rPr>
              <w:t>PROTECTION OF FISH, CRUSTACEANS AND ENVIRONMENT</w:t>
            </w:r>
          </w:p>
          <w:p w14:paraId="52771625" w14:textId="77777777" w:rsidR="008E67EA" w:rsidRPr="00794C95" w:rsidRDefault="008E67EA" w:rsidP="00B44A74">
            <w:pPr>
              <w:spacing w:line="280" w:lineRule="exact"/>
              <w:rPr>
                <w:rFonts w:cs="Arial"/>
                <w:sz w:val="20"/>
                <w:szCs w:val="20"/>
              </w:rPr>
            </w:pPr>
            <w:r w:rsidRPr="00794C95">
              <w:rPr>
                <w:rFonts w:cs="Arial"/>
                <w:sz w:val="20"/>
                <w:szCs w:val="20"/>
                <w:bdr w:val="none" w:sz="0" w:space="0" w:color="auto" w:frame="1"/>
                <w:lang w:val="en-GB" w:eastAsia="en-AU"/>
              </w:rPr>
              <w:t>Very toxic to aquatic life. DO NOT contaminate wetlands or watercourses with this product or used containers. Place the bait stations in areas not liable to flooding. When placing bait stations close to water drainage systems, ensure that bait contact with water is avoided.</w:t>
            </w:r>
          </w:p>
        </w:tc>
      </w:tr>
      <w:tr w:rsidR="008E67EA" w:rsidRPr="002B5B5B" w14:paraId="59570043" w14:textId="77777777" w:rsidTr="00B44A74">
        <w:trPr>
          <w:jc w:val="center"/>
        </w:trPr>
        <w:tc>
          <w:tcPr>
            <w:tcW w:w="2415" w:type="dxa"/>
            <w:tcBorders>
              <w:top w:val="single" w:sz="4" w:space="0" w:color="auto"/>
              <w:left w:val="nil"/>
              <w:bottom w:val="single" w:sz="4" w:space="0" w:color="auto"/>
              <w:right w:val="nil"/>
            </w:tcBorders>
          </w:tcPr>
          <w:p w14:paraId="40BEF01D"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80E581B" w14:textId="77777777" w:rsidR="008E67EA" w:rsidRPr="00C118CC" w:rsidRDefault="008E67EA" w:rsidP="00B44A74">
            <w:pPr>
              <w:spacing w:line="280" w:lineRule="exact"/>
              <w:rPr>
                <w:rFonts w:cs="Arial"/>
                <w:color w:val="7030A0"/>
                <w:sz w:val="20"/>
                <w:szCs w:val="20"/>
              </w:rPr>
            </w:pPr>
          </w:p>
        </w:tc>
      </w:tr>
      <w:tr w:rsidR="008E67EA" w:rsidRPr="002B5B5B" w14:paraId="598EA5D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9B1FF4D" w14:textId="77777777" w:rsidR="008E67EA" w:rsidRPr="00F5215F" w:rsidRDefault="008E67EA" w:rsidP="00B44A74">
            <w:pPr>
              <w:spacing w:line="280" w:lineRule="exact"/>
              <w:rPr>
                <w:rFonts w:cs="Arial"/>
                <w:sz w:val="20"/>
                <w:szCs w:val="20"/>
              </w:rPr>
            </w:pPr>
            <w:r w:rsidRPr="00F5215F">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3C9C1B91" w14:textId="77777777" w:rsidR="008E67EA" w:rsidRPr="00526D62" w:rsidRDefault="008E67EA" w:rsidP="00B44A74">
            <w:pPr>
              <w:spacing w:line="280" w:lineRule="exact"/>
              <w:rPr>
                <w:rFonts w:cs="Arial"/>
                <w:sz w:val="20"/>
                <w:szCs w:val="20"/>
              </w:rPr>
            </w:pPr>
            <w:r w:rsidRPr="00526D62">
              <w:rPr>
                <w:rFonts w:cs="Arial"/>
                <w:sz w:val="20"/>
                <w:szCs w:val="20"/>
              </w:rPr>
              <w:t>STORAGE AND DISPOSAL</w:t>
            </w:r>
          </w:p>
          <w:p w14:paraId="4BDA6769" w14:textId="089CD639" w:rsidR="008E67EA" w:rsidRDefault="008E67EA" w:rsidP="00B44A74">
            <w:pPr>
              <w:spacing w:line="280" w:lineRule="exact"/>
              <w:rPr>
                <w:rFonts w:cs="Arial"/>
                <w:sz w:val="20"/>
                <w:szCs w:val="20"/>
              </w:rPr>
            </w:pPr>
            <w:r w:rsidRPr="00526D62">
              <w:rPr>
                <w:rFonts w:cs="Arial"/>
                <w:sz w:val="20"/>
                <w:szCs w:val="20"/>
              </w:rPr>
              <w:t>Store in the closed original container in a coo</w:t>
            </w:r>
            <w:r>
              <w:rPr>
                <w:rFonts w:cs="Arial"/>
                <w:sz w:val="20"/>
                <w:szCs w:val="20"/>
              </w:rPr>
              <w:t>l</w:t>
            </w:r>
            <w:r w:rsidRPr="00526D62">
              <w:rPr>
                <w:rFonts w:cs="Arial"/>
                <w:sz w:val="20"/>
                <w:szCs w:val="20"/>
              </w:rPr>
              <w:t>, well-ventilated area. DO NOT store for prolonged periods in direct sunlight.</w:t>
            </w:r>
          </w:p>
          <w:p w14:paraId="14BE09E7" w14:textId="77777777" w:rsidR="008E67EA" w:rsidRPr="00794C95" w:rsidRDefault="008E67EA" w:rsidP="00B44A74">
            <w:pPr>
              <w:spacing w:line="280" w:lineRule="exact"/>
              <w:rPr>
                <w:rFonts w:cs="Arial"/>
                <w:sz w:val="20"/>
                <w:szCs w:val="20"/>
              </w:rPr>
            </w:pPr>
            <w:r w:rsidRPr="00526D62">
              <w:rPr>
                <w:rFonts w:cs="Arial"/>
                <w:sz w:val="20"/>
                <w:szCs w:val="20"/>
              </w:rPr>
              <w:t>Triple rinse containers before disposal. Break, crush or puncture and deliver empty packaging to an approved waste management facility. If an approved waste management facility is not available, dispose of empty packaging in compliance with relevant local, state or territory government regulations. Dispose of unused product in compliance with relevant local, state or territory government regulations. DO NOT burn empty containers or product.</w:t>
            </w:r>
          </w:p>
        </w:tc>
      </w:tr>
      <w:tr w:rsidR="008E67EA" w:rsidRPr="002B5B5B" w14:paraId="541C9D57" w14:textId="77777777" w:rsidTr="00B44A74">
        <w:trPr>
          <w:jc w:val="center"/>
        </w:trPr>
        <w:tc>
          <w:tcPr>
            <w:tcW w:w="2415" w:type="dxa"/>
            <w:tcBorders>
              <w:top w:val="single" w:sz="4" w:space="0" w:color="auto"/>
              <w:left w:val="nil"/>
              <w:bottom w:val="single" w:sz="4" w:space="0" w:color="auto"/>
              <w:right w:val="nil"/>
            </w:tcBorders>
          </w:tcPr>
          <w:p w14:paraId="507C97B9"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6D568A6" w14:textId="77777777" w:rsidR="008E67EA" w:rsidRPr="002B5B5B" w:rsidRDefault="008E67EA" w:rsidP="00B44A74">
            <w:pPr>
              <w:spacing w:line="280" w:lineRule="exact"/>
              <w:rPr>
                <w:rFonts w:cs="Arial"/>
                <w:sz w:val="20"/>
                <w:szCs w:val="20"/>
              </w:rPr>
            </w:pPr>
          </w:p>
        </w:tc>
      </w:tr>
      <w:tr w:rsidR="008E67EA" w:rsidRPr="002B5B5B" w14:paraId="2E7A7C7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8CD082A" w14:textId="77777777" w:rsidR="008E67EA" w:rsidRPr="00F5215F" w:rsidRDefault="008E67EA" w:rsidP="00B44A74">
            <w:pPr>
              <w:spacing w:line="280" w:lineRule="exact"/>
              <w:rPr>
                <w:rFonts w:cs="Arial"/>
                <w:sz w:val="20"/>
                <w:szCs w:val="20"/>
              </w:rPr>
            </w:pPr>
            <w:r w:rsidRPr="00F5215F">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1CBF333D" w14:textId="77777777" w:rsidR="008E67EA" w:rsidRDefault="008E67EA" w:rsidP="00B44A74">
            <w:pPr>
              <w:spacing w:line="280" w:lineRule="exact"/>
              <w:rPr>
                <w:rFonts w:cs="Arial"/>
                <w:sz w:val="20"/>
                <w:szCs w:val="20"/>
              </w:rPr>
            </w:pPr>
            <w:r w:rsidRPr="00794C95">
              <w:rPr>
                <w:rFonts w:cs="Arial"/>
                <w:sz w:val="20"/>
                <w:szCs w:val="20"/>
              </w:rPr>
              <w:t>SAFETY DIRECTION</w:t>
            </w:r>
          </w:p>
          <w:p w14:paraId="6E1D67ED" w14:textId="77777777" w:rsidR="008E67EA" w:rsidRPr="00104AF0" w:rsidRDefault="008E67EA" w:rsidP="00B44A74">
            <w:pPr>
              <w:spacing w:line="280" w:lineRule="exact"/>
              <w:rPr>
                <w:rFonts w:cs="Arial"/>
                <w:sz w:val="20"/>
                <w:szCs w:val="20"/>
              </w:rPr>
            </w:pPr>
            <w:r w:rsidRPr="00104AF0">
              <w:rPr>
                <w:rFonts w:cs="Arial"/>
                <w:sz w:val="20"/>
                <w:szCs w:val="20"/>
              </w:rPr>
              <w:t>Repeated minor exposure may have a cumulative poisoning effect. Do not touch bait, use scoop or measure. When using the product wear disposable gloves. If on skin and after each baiting, wash thoroughly with soap and water.</w:t>
            </w:r>
          </w:p>
          <w:p w14:paraId="7928D4D9" w14:textId="36F3E8A1" w:rsidR="008E67EA" w:rsidRPr="009A3B08" w:rsidRDefault="008E67EA" w:rsidP="00B44A74">
            <w:pPr>
              <w:spacing w:line="280" w:lineRule="exact"/>
              <w:rPr>
                <w:rFonts w:cs="Arial"/>
                <w:color w:val="7030A0"/>
                <w:sz w:val="20"/>
                <w:szCs w:val="20"/>
              </w:rPr>
            </w:pPr>
            <w:r w:rsidRPr="00104AF0">
              <w:rPr>
                <w:rFonts w:cs="Arial"/>
                <w:sz w:val="20"/>
                <w:szCs w:val="20"/>
              </w:rPr>
              <w:t>During cleanup and disposal operations of bait and bait stations, wear a single layer of clothing and disposable gloves. Wear disposable gloves when handling rodent carcasses. Wash clothes after performing re-handling activities.</w:t>
            </w:r>
          </w:p>
        </w:tc>
      </w:tr>
      <w:tr w:rsidR="008E67EA" w:rsidRPr="002B5B5B" w14:paraId="1C3DB89B" w14:textId="77777777" w:rsidTr="00B44A74">
        <w:trPr>
          <w:jc w:val="center"/>
        </w:trPr>
        <w:tc>
          <w:tcPr>
            <w:tcW w:w="2415" w:type="dxa"/>
            <w:tcBorders>
              <w:top w:val="single" w:sz="4" w:space="0" w:color="auto"/>
              <w:left w:val="nil"/>
              <w:bottom w:val="single" w:sz="4" w:space="0" w:color="auto"/>
              <w:right w:val="nil"/>
            </w:tcBorders>
          </w:tcPr>
          <w:p w14:paraId="2C0505BF"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7BA2C2E" w14:textId="77777777" w:rsidR="008E67EA" w:rsidRPr="002B5B5B" w:rsidRDefault="008E67EA" w:rsidP="00B44A74">
            <w:pPr>
              <w:spacing w:line="280" w:lineRule="exact"/>
              <w:rPr>
                <w:rFonts w:cs="Arial"/>
                <w:sz w:val="20"/>
                <w:szCs w:val="20"/>
              </w:rPr>
            </w:pPr>
          </w:p>
        </w:tc>
      </w:tr>
      <w:tr w:rsidR="008E67EA" w:rsidRPr="002B5B5B" w14:paraId="2892773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6DFC843" w14:textId="77777777" w:rsidR="008E67EA" w:rsidRPr="00F5215F" w:rsidRDefault="008E67EA" w:rsidP="00B44A74">
            <w:pPr>
              <w:spacing w:line="280" w:lineRule="exact"/>
              <w:rPr>
                <w:rFonts w:cs="Arial"/>
                <w:sz w:val="20"/>
                <w:szCs w:val="20"/>
              </w:rPr>
            </w:pPr>
            <w:r w:rsidRPr="00F5215F">
              <w:rPr>
                <w:rFonts w:cs="Arial"/>
                <w:sz w:val="20"/>
                <w:szCs w:val="20"/>
              </w:rPr>
              <w:lastRenderedPageBreak/>
              <w:t>First Aid Instructions:</w:t>
            </w:r>
          </w:p>
        </w:tc>
        <w:tc>
          <w:tcPr>
            <w:tcW w:w="7755" w:type="dxa"/>
            <w:tcBorders>
              <w:top w:val="single" w:sz="4" w:space="0" w:color="auto"/>
              <w:left w:val="single" w:sz="4" w:space="0" w:color="auto"/>
              <w:bottom w:val="single" w:sz="4" w:space="0" w:color="auto"/>
              <w:right w:val="single" w:sz="4" w:space="0" w:color="auto"/>
            </w:tcBorders>
          </w:tcPr>
          <w:p w14:paraId="52125D6C" w14:textId="77777777" w:rsidR="008E67EA" w:rsidRDefault="008E67EA" w:rsidP="00B44A74">
            <w:pPr>
              <w:spacing w:line="280" w:lineRule="exact"/>
              <w:rPr>
                <w:rFonts w:cs="Arial"/>
                <w:sz w:val="20"/>
                <w:szCs w:val="20"/>
              </w:rPr>
            </w:pPr>
            <w:r>
              <w:rPr>
                <w:rFonts w:cs="Arial"/>
                <w:sz w:val="20"/>
                <w:szCs w:val="20"/>
              </w:rPr>
              <w:t>FIRST AID</w:t>
            </w:r>
          </w:p>
          <w:p w14:paraId="2596E316" w14:textId="77777777" w:rsidR="008E67EA" w:rsidRPr="002B5B5B" w:rsidRDefault="008E67EA" w:rsidP="00B44A74">
            <w:pPr>
              <w:spacing w:line="280" w:lineRule="exact"/>
              <w:rPr>
                <w:rFonts w:cs="Arial"/>
                <w:sz w:val="20"/>
                <w:szCs w:val="20"/>
              </w:rPr>
            </w:pPr>
            <w:r w:rsidRPr="00794C95">
              <w:rPr>
                <w:rFonts w:cs="Arial"/>
                <w:sz w:val="20"/>
                <w:szCs w:val="20"/>
              </w:rPr>
              <w:t>If poisoning occurs, contact a doctor or Poisons Information Centre. Phone Australia 13 11 26, New Zealand 0800 764 766. Vitamin K1 (Phytomenadione) is antidotal.</w:t>
            </w:r>
          </w:p>
        </w:tc>
      </w:tr>
      <w:tr w:rsidR="008E67EA" w:rsidRPr="002B5B5B" w14:paraId="737A6DF8" w14:textId="77777777" w:rsidTr="00B44A74">
        <w:trPr>
          <w:jc w:val="center"/>
        </w:trPr>
        <w:tc>
          <w:tcPr>
            <w:tcW w:w="2415" w:type="dxa"/>
            <w:tcBorders>
              <w:top w:val="single" w:sz="4" w:space="0" w:color="auto"/>
              <w:left w:val="nil"/>
              <w:bottom w:val="single" w:sz="4" w:space="0" w:color="auto"/>
              <w:right w:val="nil"/>
            </w:tcBorders>
          </w:tcPr>
          <w:p w14:paraId="15F469FA"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C924BFF" w14:textId="77777777" w:rsidR="008E67EA" w:rsidRPr="002B5B5B" w:rsidRDefault="008E67EA" w:rsidP="00B44A74">
            <w:pPr>
              <w:spacing w:line="280" w:lineRule="exact"/>
              <w:rPr>
                <w:rFonts w:cs="Arial"/>
                <w:sz w:val="20"/>
                <w:szCs w:val="20"/>
              </w:rPr>
            </w:pPr>
          </w:p>
        </w:tc>
      </w:tr>
      <w:tr w:rsidR="008E67EA" w:rsidRPr="002B5B5B" w14:paraId="1D8C7B6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AD9B85B" w14:textId="77777777" w:rsidR="008E67EA" w:rsidRPr="00F5215F" w:rsidRDefault="008E67EA" w:rsidP="00B44A74">
            <w:pPr>
              <w:spacing w:line="280" w:lineRule="exact"/>
              <w:rPr>
                <w:rFonts w:cs="Arial"/>
                <w:sz w:val="20"/>
                <w:szCs w:val="20"/>
              </w:rPr>
            </w:pPr>
            <w:r w:rsidRPr="00F5215F">
              <w:rPr>
                <w:rFonts w:cs="Arial"/>
                <w:sz w:val="20"/>
                <w:szCs w:val="20"/>
              </w:rPr>
              <w:t>First Aid Warnings:</w:t>
            </w:r>
          </w:p>
        </w:tc>
        <w:tc>
          <w:tcPr>
            <w:tcW w:w="7755" w:type="dxa"/>
            <w:tcBorders>
              <w:top w:val="single" w:sz="4" w:space="0" w:color="auto"/>
              <w:left w:val="single" w:sz="4" w:space="0" w:color="auto"/>
              <w:bottom w:val="single" w:sz="4" w:space="0" w:color="auto"/>
              <w:right w:val="single" w:sz="4" w:space="0" w:color="auto"/>
            </w:tcBorders>
          </w:tcPr>
          <w:p w14:paraId="4D825F3D" w14:textId="77777777" w:rsidR="008E67EA" w:rsidRPr="002B5B5B" w:rsidRDefault="008E67EA" w:rsidP="00B44A74">
            <w:pPr>
              <w:spacing w:line="280" w:lineRule="exact"/>
              <w:rPr>
                <w:rFonts w:cs="Arial"/>
                <w:sz w:val="20"/>
                <w:szCs w:val="20"/>
              </w:rPr>
            </w:pPr>
          </w:p>
        </w:tc>
      </w:tr>
    </w:tbl>
    <w:p w14:paraId="3166185F" w14:textId="77777777" w:rsidR="008E67EA" w:rsidRDefault="008E67EA" w:rsidP="008E67EA">
      <w:pPr>
        <w:spacing w:line="280" w:lineRule="exact"/>
        <w:rPr>
          <w:rFonts w:cs="Arial"/>
          <w:b/>
          <w:bCs/>
          <w:sz w:val="20"/>
          <w:szCs w:val="20"/>
        </w:rPr>
      </w:pPr>
    </w:p>
    <w:p w14:paraId="34C1D013" w14:textId="77777777" w:rsidR="008E67EA" w:rsidRPr="00FF36BF" w:rsidRDefault="008E67EA" w:rsidP="008E67EA">
      <w:pPr>
        <w:spacing w:line="280" w:lineRule="exact"/>
        <w:rPr>
          <w:rFonts w:cs="Arial"/>
          <w:b/>
          <w:bCs/>
          <w:sz w:val="20"/>
          <w:szCs w:val="20"/>
        </w:rPr>
      </w:pPr>
      <w:r w:rsidRPr="00FF36BF">
        <w:rPr>
          <w:rFonts w:cs="Arial"/>
          <w:b/>
          <w:bCs/>
          <w:sz w:val="20"/>
          <w:szCs w:val="20"/>
        </w:rPr>
        <w:t>DIRECTIONS FOR USE</w:t>
      </w:r>
    </w:p>
    <w:tbl>
      <w:tblPr>
        <w:tblStyle w:val="TableGrid"/>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163"/>
        <w:gridCol w:w="1531"/>
        <w:gridCol w:w="3930"/>
      </w:tblGrid>
      <w:tr w:rsidR="008E67EA" w:rsidRPr="00A27FD2" w14:paraId="24B0F90C" w14:textId="77777777" w:rsidTr="00731415">
        <w:trPr>
          <w:trHeight w:val="340"/>
        </w:trPr>
        <w:tc>
          <w:tcPr>
            <w:tcW w:w="2376" w:type="dxa"/>
          </w:tcPr>
          <w:p w14:paraId="0A584165" w14:textId="77777777" w:rsidR="008E67EA" w:rsidRPr="00382A84" w:rsidRDefault="008E67EA" w:rsidP="00B44A74">
            <w:pPr>
              <w:spacing w:line="280" w:lineRule="exact"/>
              <w:rPr>
                <w:rFonts w:cs="Arial"/>
                <w:b/>
                <w:bCs/>
                <w:szCs w:val="18"/>
              </w:rPr>
            </w:pPr>
            <w:r w:rsidRPr="00382A84">
              <w:rPr>
                <w:rFonts w:cs="Arial"/>
                <w:b/>
                <w:bCs/>
                <w:szCs w:val="18"/>
              </w:rPr>
              <w:t>SITUATION</w:t>
            </w:r>
          </w:p>
        </w:tc>
        <w:tc>
          <w:tcPr>
            <w:tcW w:w="1163" w:type="dxa"/>
          </w:tcPr>
          <w:p w14:paraId="76D18705" w14:textId="77777777" w:rsidR="008E67EA" w:rsidRPr="00382A84" w:rsidRDefault="008E67EA" w:rsidP="00B44A74">
            <w:pPr>
              <w:spacing w:line="280" w:lineRule="exact"/>
              <w:rPr>
                <w:rFonts w:cs="Arial"/>
                <w:b/>
                <w:bCs/>
                <w:szCs w:val="18"/>
              </w:rPr>
            </w:pPr>
            <w:r w:rsidRPr="00382A84">
              <w:rPr>
                <w:rFonts w:cs="Arial"/>
                <w:b/>
                <w:bCs/>
                <w:szCs w:val="18"/>
              </w:rPr>
              <w:t>PEST</w:t>
            </w:r>
          </w:p>
        </w:tc>
        <w:tc>
          <w:tcPr>
            <w:tcW w:w="1531" w:type="dxa"/>
          </w:tcPr>
          <w:p w14:paraId="5F35C805" w14:textId="77777777" w:rsidR="008E67EA" w:rsidRPr="00382A84" w:rsidRDefault="008E67EA" w:rsidP="00B44A74">
            <w:pPr>
              <w:spacing w:line="280" w:lineRule="exact"/>
              <w:rPr>
                <w:rFonts w:cs="Arial"/>
                <w:b/>
                <w:bCs/>
                <w:szCs w:val="18"/>
              </w:rPr>
            </w:pPr>
            <w:r w:rsidRPr="00382A84">
              <w:rPr>
                <w:rFonts w:cs="Arial"/>
                <w:b/>
                <w:bCs/>
                <w:szCs w:val="18"/>
              </w:rPr>
              <w:t>RATE</w:t>
            </w:r>
          </w:p>
        </w:tc>
        <w:tc>
          <w:tcPr>
            <w:tcW w:w="3930" w:type="dxa"/>
          </w:tcPr>
          <w:p w14:paraId="2D4755BD" w14:textId="77777777" w:rsidR="008E67EA" w:rsidRPr="00382A84" w:rsidRDefault="008E67EA" w:rsidP="00B44A74">
            <w:pPr>
              <w:spacing w:line="280" w:lineRule="exact"/>
              <w:rPr>
                <w:rFonts w:cs="Arial"/>
                <w:b/>
                <w:bCs/>
                <w:szCs w:val="18"/>
              </w:rPr>
            </w:pPr>
            <w:r w:rsidRPr="00382A84">
              <w:rPr>
                <w:rFonts w:cs="Arial"/>
                <w:b/>
                <w:bCs/>
                <w:szCs w:val="18"/>
              </w:rPr>
              <w:t>CRITICAL COMMENTS</w:t>
            </w:r>
          </w:p>
        </w:tc>
      </w:tr>
      <w:tr w:rsidR="008E67EA" w:rsidRPr="00A27FD2" w14:paraId="107634AF" w14:textId="77777777" w:rsidTr="00731415">
        <w:trPr>
          <w:trHeight w:val="1125"/>
        </w:trPr>
        <w:tc>
          <w:tcPr>
            <w:tcW w:w="2376" w:type="dxa"/>
          </w:tcPr>
          <w:p w14:paraId="344EFC7B" w14:textId="77777777" w:rsidR="008E67EA" w:rsidRPr="006A3858" w:rsidRDefault="008E67EA" w:rsidP="00B44A74">
            <w:pPr>
              <w:spacing w:after="120" w:line="240" w:lineRule="exact"/>
              <w:rPr>
                <w:rFonts w:cs="Arial"/>
                <w:bCs/>
                <w:spacing w:val="-2"/>
                <w:w w:val="105"/>
                <w:szCs w:val="18"/>
              </w:rPr>
            </w:pPr>
            <w:r w:rsidRPr="006A3858">
              <w:rPr>
                <w:rFonts w:cs="Arial"/>
                <w:bCs/>
                <w:spacing w:val="-2"/>
                <w:w w:val="105"/>
                <w:szCs w:val="18"/>
              </w:rPr>
              <w:t xml:space="preserve">In and around (within 2 meters) industrial, commercial, public services, agricultural and domestic buildings. </w:t>
            </w:r>
          </w:p>
        </w:tc>
        <w:tc>
          <w:tcPr>
            <w:tcW w:w="1163" w:type="dxa"/>
          </w:tcPr>
          <w:p w14:paraId="5538BA39" w14:textId="77777777" w:rsidR="008E67EA" w:rsidRPr="006A3858" w:rsidRDefault="008E67EA" w:rsidP="00B44A74">
            <w:pPr>
              <w:spacing w:after="120" w:line="240" w:lineRule="exact"/>
              <w:rPr>
                <w:rFonts w:cs="Arial"/>
                <w:szCs w:val="18"/>
              </w:rPr>
            </w:pPr>
            <w:r w:rsidRPr="006A3858">
              <w:rPr>
                <w:rFonts w:cs="Arial"/>
                <w:bCs/>
                <w:spacing w:val="-2"/>
                <w:w w:val="105"/>
                <w:szCs w:val="18"/>
              </w:rPr>
              <w:t>Rats (</w:t>
            </w:r>
            <w:r w:rsidRPr="006A3858">
              <w:rPr>
                <w:rFonts w:cs="Arial"/>
                <w:bCs/>
                <w:i/>
                <w:iCs/>
                <w:spacing w:val="-2"/>
                <w:w w:val="105"/>
                <w:szCs w:val="18"/>
              </w:rPr>
              <w:t>Rattus norvegius, Rattus rattus</w:t>
            </w:r>
            <w:r w:rsidRPr="006A3858">
              <w:rPr>
                <w:rFonts w:cs="Arial"/>
                <w:bCs/>
                <w:spacing w:val="-2"/>
                <w:w w:val="105"/>
                <w:szCs w:val="18"/>
              </w:rPr>
              <w:t>)</w:t>
            </w:r>
          </w:p>
        </w:tc>
        <w:tc>
          <w:tcPr>
            <w:tcW w:w="1531" w:type="dxa"/>
          </w:tcPr>
          <w:p w14:paraId="7C4CF7BE" w14:textId="77777777" w:rsidR="008E67EA" w:rsidRPr="006A3858" w:rsidRDefault="008E67EA" w:rsidP="00B44A74">
            <w:pPr>
              <w:spacing w:after="120" w:line="240" w:lineRule="exact"/>
              <w:rPr>
                <w:rFonts w:cs="Arial"/>
                <w:bCs/>
                <w:spacing w:val="-2"/>
                <w:w w:val="105"/>
                <w:szCs w:val="18"/>
              </w:rPr>
            </w:pPr>
            <w:r>
              <w:rPr>
                <w:rFonts w:cs="Arial"/>
                <w:bCs/>
                <w:spacing w:val="-2"/>
                <w:w w:val="105"/>
                <w:szCs w:val="18"/>
              </w:rPr>
              <w:t>1 to 3 blocks per bait station</w:t>
            </w:r>
          </w:p>
        </w:tc>
        <w:tc>
          <w:tcPr>
            <w:tcW w:w="3930" w:type="dxa"/>
            <w:vMerge w:val="restart"/>
          </w:tcPr>
          <w:p w14:paraId="2FC92877" w14:textId="03D30BB2" w:rsidR="008E67EA" w:rsidRPr="008518B4" w:rsidRDefault="008E67EA" w:rsidP="00B44A74">
            <w:pPr>
              <w:spacing w:after="120" w:line="240" w:lineRule="exact"/>
              <w:rPr>
                <w:rFonts w:cs="Arial"/>
                <w:bCs/>
                <w:spacing w:val="-2"/>
                <w:w w:val="105"/>
                <w:szCs w:val="18"/>
              </w:rPr>
            </w:pPr>
            <w:r w:rsidRPr="008518B4">
              <w:rPr>
                <w:rFonts w:cs="Arial"/>
                <w:bCs/>
                <w:spacing w:val="-2"/>
                <w:w w:val="105"/>
                <w:szCs w:val="18"/>
              </w:rPr>
              <w:t>Place bait stations in infested area</w:t>
            </w:r>
            <w:r>
              <w:rPr>
                <w:rFonts w:cs="Arial"/>
                <w:bCs/>
                <w:spacing w:val="-2"/>
                <w:w w:val="105"/>
                <w:szCs w:val="18"/>
              </w:rPr>
              <w:t xml:space="preserve">, </w:t>
            </w:r>
            <w:r w:rsidRPr="008518B4">
              <w:rPr>
                <w:rFonts w:cs="Arial"/>
                <w:bCs/>
                <w:spacing w:val="-2"/>
                <w:w w:val="105"/>
                <w:szCs w:val="18"/>
              </w:rPr>
              <w:t xml:space="preserve">along walls or rafters and in dark sheltered spots where there are signs of rodent activity. </w:t>
            </w:r>
            <w:r>
              <w:rPr>
                <w:rFonts w:cs="Arial"/>
                <w:bCs/>
                <w:spacing w:val="-2"/>
                <w:w w:val="105"/>
                <w:szCs w:val="18"/>
              </w:rPr>
              <w:t>DO NOT touch bait.</w:t>
            </w:r>
          </w:p>
          <w:p w14:paraId="53221B32" w14:textId="52746DFA" w:rsidR="008E67EA" w:rsidRPr="008518B4" w:rsidRDefault="008E67EA" w:rsidP="00B44A74">
            <w:pPr>
              <w:spacing w:after="120" w:line="240" w:lineRule="exact"/>
              <w:rPr>
                <w:rFonts w:cs="Arial"/>
                <w:bCs/>
                <w:spacing w:val="-2"/>
                <w:w w:val="105"/>
                <w:szCs w:val="18"/>
              </w:rPr>
            </w:pPr>
            <w:r w:rsidRPr="008518B4">
              <w:rPr>
                <w:rFonts w:cs="Arial"/>
                <w:b/>
                <w:i/>
                <w:iCs/>
                <w:spacing w:val="-2"/>
                <w:w w:val="105"/>
                <w:szCs w:val="18"/>
              </w:rPr>
              <w:t>For rats:</w:t>
            </w:r>
            <w:r w:rsidRPr="008518B4">
              <w:rPr>
                <w:rFonts w:cs="Arial"/>
                <w:bCs/>
                <w:spacing w:val="-2"/>
                <w:w w:val="105"/>
                <w:szCs w:val="18"/>
              </w:rPr>
              <w:t xml:space="preserve"> Place bait stations at intervals of 5 to 9 m in infested areas. DO NOT exceed 9 m between bait stations.</w:t>
            </w:r>
          </w:p>
          <w:p w14:paraId="5E7A2F52" w14:textId="77777777" w:rsidR="008E67EA" w:rsidRPr="006A3858" w:rsidRDefault="008E67EA" w:rsidP="00B44A74">
            <w:pPr>
              <w:spacing w:after="120" w:line="240" w:lineRule="exact"/>
              <w:rPr>
                <w:rFonts w:cs="Arial"/>
                <w:bCs/>
                <w:spacing w:val="-2"/>
                <w:w w:val="105"/>
                <w:szCs w:val="18"/>
                <w:highlight w:val="yellow"/>
              </w:rPr>
            </w:pPr>
            <w:r w:rsidRPr="008518B4">
              <w:rPr>
                <w:rFonts w:cs="Arial"/>
                <w:b/>
                <w:i/>
                <w:iCs/>
                <w:spacing w:val="-2"/>
                <w:w w:val="105"/>
                <w:szCs w:val="18"/>
              </w:rPr>
              <w:t>For mice:</w:t>
            </w:r>
            <w:r w:rsidRPr="008518B4">
              <w:rPr>
                <w:rFonts w:cs="Arial"/>
                <w:bCs/>
                <w:spacing w:val="-2"/>
                <w:w w:val="105"/>
                <w:szCs w:val="18"/>
              </w:rPr>
              <w:t xml:space="preserve"> Place bait stations at intervals of 2 to 3 m in infested areas. DO NOT exceed 3 m between bait stations. </w:t>
            </w:r>
          </w:p>
        </w:tc>
      </w:tr>
      <w:tr w:rsidR="008E67EA" w:rsidRPr="00A27FD2" w14:paraId="12F5F87E" w14:textId="77777777" w:rsidTr="00731415">
        <w:trPr>
          <w:trHeight w:val="841"/>
        </w:trPr>
        <w:tc>
          <w:tcPr>
            <w:tcW w:w="2376" w:type="dxa"/>
          </w:tcPr>
          <w:p w14:paraId="21CFD386" w14:textId="77777777" w:rsidR="008E67EA" w:rsidRPr="006A3858" w:rsidRDefault="008E67EA" w:rsidP="00B44A74">
            <w:pPr>
              <w:spacing w:after="120" w:line="240" w:lineRule="exact"/>
              <w:rPr>
                <w:rFonts w:cs="Arial"/>
                <w:bCs/>
                <w:spacing w:val="-2"/>
                <w:w w:val="105"/>
                <w:szCs w:val="18"/>
              </w:rPr>
            </w:pPr>
            <w:r w:rsidRPr="006A3858">
              <w:rPr>
                <w:rFonts w:cs="Arial"/>
                <w:bCs/>
                <w:spacing w:val="-2"/>
                <w:w w:val="105"/>
                <w:szCs w:val="18"/>
              </w:rPr>
              <w:t>In industrial, commercial, public services, agricultural and domestic buildings.</w:t>
            </w:r>
          </w:p>
        </w:tc>
        <w:tc>
          <w:tcPr>
            <w:tcW w:w="1163" w:type="dxa"/>
          </w:tcPr>
          <w:p w14:paraId="3CF28D21" w14:textId="77777777" w:rsidR="008E67EA" w:rsidRPr="006A3858" w:rsidRDefault="008E67EA" w:rsidP="00B44A74">
            <w:pPr>
              <w:spacing w:after="120" w:line="240" w:lineRule="exact"/>
              <w:rPr>
                <w:rFonts w:cs="Arial"/>
                <w:bCs/>
                <w:i/>
                <w:iCs/>
                <w:spacing w:val="-2"/>
                <w:w w:val="105"/>
                <w:szCs w:val="18"/>
              </w:rPr>
            </w:pPr>
            <w:r w:rsidRPr="006A3858">
              <w:rPr>
                <w:rFonts w:cs="Arial"/>
                <w:bCs/>
                <w:spacing w:val="-2"/>
                <w:w w:val="105"/>
                <w:szCs w:val="18"/>
              </w:rPr>
              <w:t>Mice (</w:t>
            </w:r>
            <w:r w:rsidRPr="006A3858">
              <w:rPr>
                <w:rFonts w:cs="Arial"/>
                <w:bCs/>
                <w:i/>
                <w:iCs/>
                <w:spacing w:val="-2"/>
                <w:w w:val="105"/>
                <w:szCs w:val="18"/>
              </w:rPr>
              <w:t>Mus musculus</w:t>
            </w:r>
            <w:r w:rsidRPr="006A3858">
              <w:rPr>
                <w:rFonts w:cs="Arial"/>
                <w:bCs/>
                <w:spacing w:val="-2"/>
                <w:w w:val="105"/>
                <w:szCs w:val="18"/>
              </w:rPr>
              <w:t>)</w:t>
            </w:r>
          </w:p>
        </w:tc>
        <w:tc>
          <w:tcPr>
            <w:tcW w:w="1531" w:type="dxa"/>
          </w:tcPr>
          <w:p w14:paraId="401CEF79" w14:textId="77777777" w:rsidR="008E67EA" w:rsidRPr="006A3858" w:rsidRDefault="008E67EA" w:rsidP="00B44A74">
            <w:pPr>
              <w:spacing w:after="120" w:line="240" w:lineRule="exact"/>
              <w:rPr>
                <w:rFonts w:cs="Arial"/>
                <w:bCs/>
                <w:spacing w:val="-2"/>
                <w:w w:val="105"/>
                <w:szCs w:val="18"/>
              </w:rPr>
            </w:pPr>
            <w:r>
              <w:rPr>
                <w:rFonts w:cs="Arial"/>
                <w:bCs/>
                <w:spacing w:val="-2"/>
                <w:w w:val="105"/>
                <w:szCs w:val="18"/>
              </w:rPr>
              <w:t>1 block per bait station</w:t>
            </w:r>
          </w:p>
        </w:tc>
        <w:tc>
          <w:tcPr>
            <w:tcW w:w="3930" w:type="dxa"/>
            <w:vMerge/>
          </w:tcPr>
          <w:p w14:paraId="311BCF8C" w14:textId="77777777" w:rsidR="008E67EA" w:rsidRPr="006A3858" w:rsidRDefault="008E67EA" w:rsidP="00B44A74">
            <w:pPr>
              <w:ind w:firstLine="720"/>
              <w:rPr>
                <w:rFonts w:cs="Arial"/>
                <w:bCs/>
                <w:spacing w:val="-2"/>
                <w:w w:val="105"/>
                <w:szCs w:val="18"/>
                <w:highlight w:val="yellow"/>
              </w:rPr>
            </w:pPr>
          </w:p>
        </w:tc>
      </w:tr>
    </w:tbl>
    <w:p w14:paraId="014AA9F5" w14:textId="77777777" w:rsidR="008E67EA" w:rsidRDefault="008E67EA" w:rsidP="008E67EA">
      <w:pPr>
        <w:spacing w:line="280" w:lineRule="exact"/>
        <w:rPr>
          <w:rFonts w:cs="Arial"/>
          <w:b/>
          <w:bCs/>
          <w:sz w:val="20"/>
          <w:szCs w:val="20"/>
        </w:rPr>
      </w:pPr>
    </w:p>
    <w:p w14:paraId="2866C79D" w14:textId="77777777" w:rsidR="008E67EA" w:rsidRPr="00DC2C8B" w:rsidRDefault="008E67EA" w:rsidP="008E67EA">
      <w:pPr>
        <w:spacing w:line="280" w:lineRule="exact"/>
        <w:rPr>
          <w:rFonts w:cs="Arial"/>
          <w:b/>
          <w:bCs/>
          <w:color w:val="000000" w:themeColor="text1"/>
          <w:sz w:val="20"/>
          <w:szCs w:val="20"/>
        </w:rPr>
      </w:pPr>
      <w:r w:rsidRPr="00DC2C8B">
        <w:rPr>
          <w:rFonts w:cs="Arial"/>
          <w:b/>
          <w:bCs/>
          <w:color w:val="000000" w:themeColor="text1"/>
          <w:sz w:val="20"/>
          <w:szCs w:val="20"/>
        </w:rPr>
        <w:t>Baiting Strategy</w:t>
      </w:r>
    </w:p>
    <w:p w14:paraId="0A04A0F0" w14:textId="77C2BA7D" w:rsidR="008E67EA" w:rsidRPr="008518B4" w:rsidRDefault="008E67EA" w:rsidP="008E67EA">
      <w:pPr>
        <w:spacing w:line="280" w:lineRule="exact"/>
        <w:rPr>
          <w:rFonts w:cs="Arial"/>
          <w:sz w:val="20"/>
          <w:szCs w:val="20"/>
        </w:rPr>
      </w:pPr>
      <w:r w:rsidRPr="008518B4">
        <w:rPr>
          <w:rFonts w:cs="Arial"/>
          <w:sz w:val="20"/>
          <w:szCs w:val="20"/>
        </w:rPr>
        <w:t>Eliminate as far as practicable all alternative food sources.</w:t>
      </w:r>
    </w:p>
    <w:p w14:paraId="6E9EE06D" w14:textId="77777777" w:rsidR="008E67EA" w:rsidRPr="008518B4" w:rsidRDefault="008E67EA" w:rsidP="008E67EA">
      <w:pPr>
        <w:spacing w:line="280" w:lineRule="exact"/>
        <w:rPr>
          <w:rFonts w:eastAsia="Calibri" w:cs="Arial"/>
          <w:sz w:val="20"/>
          <w:szCs w:val="20"/>
          <w:bdr w:val="none" w:sz="0" w:space="0" w:color="auto" w:frame="1"/>
          <w:lang w:val="en-GB" w:eastAsia="en-AU"/>
        </w:rPr>
      </w:pPr>
      <w:r w:rsidRPr="008518B4">
        <w:rPr>
          <w:rFonts w:eastAsia="Calibri" w:cs="Arial"/>
          <w:sz w:val="20"/>
          <w:szCs w:val="20"/>
          <w:bdr w:val="none" w:sz="0" w:space="0" w:color="auto" w:frame="1"/>
          <w:lang w:val="en-GB" w:eastAsia="en-AU"/>
        </w:rPr>
        <w:t xml:space="preserve">Survey site prior to treatment, including assessment of the extent of infestation and identification of any indications of the presence of non-target animals. </w:t>
      </w:r>
    </w:p>
    <w:p w14:paraId="6014B7DC" w14:textId="04793F74" w:rsidR="008E67EA" w:rsidRPr="008518B4" w:rsidRDefault="008E67EA" w:rsidP="008E67EA">
      <w:pPr>
        <w:spacing w:line="280" w:lineRule="exact"/>
        <w:rPr>
          <w:rFonts w:eastAsia="Calibri" w:cs="Arial"/>
          <w:sz w:val="20"/>
          <w:szCs w:val="20"/>
          <w:bdr w:val="none" w:sz="0" w:space="0" w:color="auto" w:frame="1"/>
          <w:lang w:val="en-GB" w:eastAsia="en-AU"/>
        </w:rPr>
      </w:pPr>
      <w:r w:rsidRPr="008518B4">
        <w:rPr>
          <w:rFonts w:eastAsia="Calibri" w:cs="Arial"/>
          <w:sz w:val="20"/>
          <w:szCs w:val="20"/>
          <w:bdr w:val="none" w:sz="0" w:space="0" w:color="auto" w:frame="1"/>
          <w:lang w:val="en-GB" w:eastAsia="en-AU"/>
        </w:rPr>
        <w:t>Record the number and locations of bait stations for the purpose of inspection, replacement and later removal. Always use tamper-resistant bait stations that are secured in place in child accessible areas, outdoors and in animal or livestock housing. When used in food producing animal housing situations careful consideration is necessary regarding the placement of bait stations to ensure any rodenticide contamination of water, feed or livestock is prevented.</w:t>
      </w:r>
    </w:p>
    <w:p w14:paraId="15DE57B4" w14:textId="77777777" w:rsidR="008E67EA" w:rsidRPr="008518B4" w:rsidRDefault="008E67EA" w:rsidP="008E67EA">
      <w:pPr>
        <w:spacing w:line="280" w:lineRule="exact"/>
        <w:rPr>
          <w:rFonts w:cs="Arial"/>
          <w:sz w:val="20"/>
          <w:szCs w:val="20"/>
        </w:rPr>
      </w:pPr>
      <w:r w:rsidRPr="008518B4">
        <w:rPr>
          <w:rFonts w:cs="Arial"/>
          <w:sz w:val="20"/>
          <w:szCs w:val="20"/>
        </w:rPr>
        <w:t>Inspect baits daily. Replace eaten baits. If quickly eaten, increase number of baits. Continue observation and replenish until no more baits are taken. Most rodent deaths occur 4 to 7 days after consumption of bait. Baiting for at least two weeks is necessary to reduce rat/mouse numbers.</w:t>
      </w:r>
    </w:p>
    <w:p w14:paraId="0DD753A2" w14:textId="77777777" w:rsidR="008E67EA" w:rsidRPr="000559AD" w:rsidRDefault="008E67EA" w:rsidP="008E67EA">
      <w:pPr>
        <w:spacing w:line="280" w:lineRule="exact"/>
        <w:rPr>
          <w:rFonts w:eastAsia="Calibri" w:cs="Arial"/>
          <w:sz w:val="20"/>
          <w:szCs w:val="20"/>
          <w:bdr w:val="none" w:sz="0" w:space="0" w:color="auto" w:frame="1"/>
          <w:lang w:val="en-GB" w:eastAsia="en-AU"/>
        </w:rPr>
      </w:pPr>
      <w:r w:rsidRPr="008518B4">
        <w:rPr>
          <w:rFonts w:eastAsia="Calibri" w:cs="Arial"/>
          <w:sz w:val="20"/>
          <w:szCs w:val="20"/>
          <w:bdr w:val="none" w:sz="0" w:space="0" w:color="auto" w:frame="1"/>
          <w:lang w:val="en-GB" w:eastAsia="en-AU"/>
        </w:rPr>
        <w:t>DO NOT use the product beyond 35 days without an evaluation of the state of the infestation and of the efficacy of the treatment.</w:t>
      </w:r>
      <w:r w:rsidRPr="008518B4">
        <w:rPr>
          <w:rFonts w:cs="Arial"/>
          <w:sz w:val="20"/>
          <w:szCs w:val="20"/>
        </w:rPr>
        <w:t xml:space="preserve"> </w:t>
      </w:r>
      <w:r w:rsidRPr="008518B4">
        <w:rPr>
          <w:rFonts w:eastAsia="Calibri" w:cs="Arial"/>
          <w:sz w:val="20"/>
          <w:szCs w:val="20"/>
          <w:bdr w:val="none" w:sz="0" w:space="0" w:color="auto" w:frame="1"/>
          <w:lang w:val="en-GB" w:eastAsia="en-AU"/>
        </w:rPr>
        <w:t>Remove all uneaten bait at the end of treatment.</w:t>
      </w:r>
    </w:p>
    <w:p w14:paraId="7190769C" w14:textId="77777777" w:rsidR="00731415" w:rsidRDefault="008E67EA" w:rsidP="00731415">
      <w:pPr>
        <w:spacing w:line="280" w:lineRule="exact"/>
        <w:rPr>
          <w:rFonts w:cs="Arial"/>
          <w:b/>
          <w:bCs/>
          <w:sz w:val="20"/>
          <w:szCs w:val="20"/>
        </w:rPr>
        <w:sectPr w:rsidR="00731415" w:rsidSect="00CB73E0">
          <w:pgSz w:w="11906" w:h="16838"/>
          <w:pgMar w:top="1440" w:right="1134" w:bottom="1440" w:left="1134" w:header="794" w:footer="737" w:gutter="0"/>
          <w:cols w:space="708"/>
          <w:docGrid w:linePitch="360"/>
        </w:sectPr>
      </w:pPr>
      <w:r w:rsidRPr="00FF36BF">
        <w:rPr>
          <w:rFonts w:cs="Arial"/>
          <w:b/>
          <w:bCs/>
          <w:sz w:val="20"/>
          <w:szCs w:val="20"/>
        </w:rPr>
        <w:t>NOT TO BE USED FOR ANY PURPOSE, OR IN ANY MANNER, CONTRARY TO THIS LABEL UNLESS AUTHORISED UNDER APPROPRIATE LEGISLATION.</w:t>
      </w:r>
    </w:p>
    <w:p w14:paraId="566461DF" w14:textId="77777777" w:rsidR="008E67EA"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lastRenderedPageBreak/>
        <w:t xml:space="preserve">Template Label </w:t>
      </w:r>
      <w:r>
        <w:rPr>
          <w:rFonts w:cs="Arial"/>
          <w:b/>
          <w:bCs/>
          <w:sz w:val="20"/>
          <w:szCs w:val="20"/>
          <w:bdr w:val="none" w:sz="0" w:space="0" w:color="auto" w:frame="1"/>
          <w:lang w:val="en-GB" w:eastAsia="en-AU"/>
        </w:rPr>
        <w:t>1c</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2B5B5B" w14:paraId="7163A18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40B8DD6" w14:textId="77777777" w:rsidR="008E67EA" w:rsidRPr="00F5215F" w:rsidRDefault="008E67EA" w:rsidP="00B44A74">
            <w:pPr>
              <w:spacing w:line="280" w:lineRule="exact"/>
              <w:rPr>
                <w:rFonts w:cs="Arial"/>
                <w:sz w:val="20"/>
                <w:szCs w:val="20"/>
              </w:rPr>
            </w:pPr>
            <w:r w:rsidRPr="00F5215F">
              <w:rPr>
                <w:rFonts w:cs="Arial"/>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2A4D452D" w14:textId="77777777" w:rsidR="008E67EA" w:rsidRPr="0015462A" w:rsidRDefault="008E67EA" w:rsidP="00B44A74">
            <w:pPr>
              <w:spacing w:line="280" w:lineRule="exact"/>
              <w:rPr>
                <w:rFonts w:cs="Arial"/>
                <w:sz w:val="20"/>
                <w:szCs w:val="20"/>
              </w:rPr>
            </w:pPr>
            <w:r w:rsidRPr="0015462A">
              <w:rPr>
                <w:rFonts w:cs="Arial"/>
                <w:sz w:val="20"/>
                <w:szCs w:val="20"/>
              </w:rPr>
              <w:t>[INSERT LABEL NAME]</w:t>
            </w:r>
          </w:p>
        </w:tc>
      </w:tr>
      <w:tr w:rsidR="008E67EA" w:rsidRPr="002B5B5B" w14:paraId="4B7514DB" w14:textId="77777777" w:rsidTr="00B44A74">
        <w:trPr>
          <w:jc w:val="center"/>
        </w:trPr>
        <w:tc>
          <w:tcPr>
            <w:tcW w:w="2415" w:type="dxa"/>
            <w:tcBorders>
              <w:top w:val="single" w:sz="4" w:space="0" w:color="auto"/>
              <w:left w:val="nil"/>
              <w:bottom w:val="single" w:sz="4" w:space="0" w:color="auto"/>
              <w:right w:val="nil"/>
            </w:tcBorders>
          </w:tcPr>
          <w:p w14:paraId="1639354E"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BBEA2B7" w14:textId="77777777" w:rsidR="008E67EA" w:rsidRPr="0015462A" w:rsidRDefault="008E67EA" w:rsidP="00B44A74">
            <w:pPr>
              <w:spacing w:line="280" w:lineRule="exact"/>
              <w:rPr>
                <w:rFonts w:cs="Arial"/>
                <w:sz w:val="20"/>
                <w:szCs w:val="20"/>
              </w:rPr>
            </w:pPr>
          </w:p>
        </w:tc>
      </w:tr>
      <w:tr w:rsidR="008E67EA" w:rsidRPr="002B5B5B" w14:paraId="41251C3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5ADEF3F" w14:textId="77777777" w:rsidR="008E67EA" w:rsidRPr="00F5215F" w:rsidRDefault="008E67EA" w:rsidP="00B44A74">
            <w:pPr>
              <w:spacing w:line="280" w:lineRule="exact"/>
              <w:rPr>
                <w:rFonts w:cs="Arial"/>
                <w:sz w:val="20"/>
                <w:szCs w:val="20"/>
              </w:rPr>
            </w:pPr>
            <w:r w:rsidRPr="00F5215F">
              <w:rPr>
                <w:rFonts w:cs="Arial"/>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5CC02DFC" w14:textId="77777777" w:rsidR="008E67EA" w:rsidRPr="00794C95" w:rsidRDefault="008E67EA" w:rsidP="00B44A74">
            <w:pPr>
              <w:spacing w:line="280" w:lineRule="exact"/>
              <w:rPr>
                <w:rFonts w:cs="Arial"/>
                <w:sz w:val="20"/>
                <w:szCs w:val="20"/>
              </w:rPr>
            </w:pPr>
            <w:r w:rsidRPr="00794C95">
              <w:rPr>
                <w:rFonts w:cs="Arial"/>
                <w:sz w:val="20"/>
                <w:szCs w:val="20"/>
              </w:rPr>
              <w:t>POISON</w:t>
            </w:r>
          </w:p>
          <w:p w14:paraId="53B0FE2D" w14:textId="77777777" w:rsidR="008E67EA" w:rsidRPr="00794C95" w:rsidRDefault="008E67EA" w:rsidP="00B44A74">
            <w:pPr>
              <w:spacing w:line="280" w:lineRule="exact"/>
              <w:rPr>
                <w:rFonts w:cs="Arial"/>
                <w:sz w:val="20"/>
                <w:szCs w:val="20"/>
              </w:rPr>
            </w:pPr>
            <w:r w:rsidRPr="00794C95">
              <w:rPr>
                <w:rFonts w:cs="Arial"/>
                <w:sz w:val="20"/>
                <w:szCs w:val="20"/>
              </w:rPr>
              <w:t>KEEP OUT OF REACH OF CHILDREN</w:t>
            </w:r>
          </w:p>
          <w:p w14:paraId="4813F830" w14:textId="77777777" w:rsidR="008E67EA" w:rsidRPr="00AA242D" w:rsidRDefault="008E67EA" w:rsidP="00B44A74">
            <w:pPr>
              <w:spacing w:line="280" w:lineRule="exact"/>
              <w:rPr>
                <w:rFonts w:cs="Arial"/>
                <w:sz w:val="20"/>
                <w:szCs w:val="20"/>
              </w:rPr>
            </w:pPr>
            <w:r w:rsidRPr="00794C95">
              <w:rPr>
                <w:rFonts w:cs="Arial"/>
                <w:sz w:val="20"/>
                <w:szCs w:val="20"/>
              </w:rPr>
              <w:t>READ SAFETY DIRECTIONS BEFORE OPENING OR USING</w:t>
            </w:r>
          </w:p>
        </w:tc>
      </w:tr>
      <w:tr w:rsidR="008E67EA" w:rsidRPr="002B5B5B" w14:paraId="50F5F0ED" w14:textId="77777777" w:rsidTr="00B44A74">
        <w:trPr>
          <w:jc w:val="center"/>
        </w:trPr>
        <w:tc>
          <w:tcPr>
            <w:tcW w:w="2415" w:type="dxa"/>
            <w:tcBorders>
              <w:top w:val="single" w:sz="4" w:space="0" w:color="auto"/>
              <w:left w:val="nil"/>
              <w:bottom w:val="single" w:sz="4" w:space="0" w:color="auto"/>
              <w:right w:val="nil"/>
            </w:tcBorders>
          </w:tcPr>
          <w:p w14:paraId="47B8F89F"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E26C8E6" w14:textId="77777777" w:rsidR="008E67EA" w:rsidRPr="0015462A" w:rsidRDefault="008E67EA" w:rsidP="00B44A74">
            <w:pPr>
              <w:spacing w:line="280" w:lineRule="exact"/>
              <w:rPr>
                <w:rFonts w:cs="Arial"/>
                <w:sz w:val="20"/>
                <w:szCs w:val="20"/>
              </w:rPr>
            </w:pPr>
          </w:p>
        </w:tc>
      </w:tr>
      <w:tr w:rsidR="008E67EA" w:rsidRPr="002B5B5B" w14:paraId="6B619BA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62897FB" w14:textId="77777777" w:rsidR="008E67EA" w:rsidRPr="00F5215F" w:rsidRDefault="008E67EA" w:rsidP="00B44A74">
            <w:pPr>
              <w:spacing w:line="280" w:lineRule="exact"/>
              <w:rPr>
                <w:rFonts w:cs="Arial"/>
                <w:sz w:val="20"/>
                <w:szCs w:val="20"/>
              </w:rPr>
            </w:pPr>
            <w:r w:rsidRPr="00F5215F">
              <w:rPr>
                <w:rFonts w:cs="Arial"/>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5E5B3087" w14:textId="77777777" w:rsidR="008E67EA" w:rsidRPr="0015462A" w:rsidRDefault="008E67EA" w:rsidP="00B44A74">
            <w:pPr>
              <w:spacing w:line="280" w:lineRule="exact"/>
              <w:rPr>
                <w:rFonts w:cs="Arial"/>
                <w:sz w:val="20"/>
                <w:szCs w:val="20"/>
              </w:rPr>
            </w:pPr>
            <w:r w:rsidRPr="00794C95">
              <w:rPr>
                <w:rFonts w:cs="Arial"/>
                <w:sz w:val="20"/>
                <w:szCs w:val="20"/>
              </w:rPr>
              <w:t>ACTIVE CONSTITUENT: 0.05 g/kg BRODIFACOUM</w:t>
            </w:r>
          </w:p>
        </w:tc>
      </w:tr>
      <w:tr w:rsidR="008E67EA" w:rsidRPr="002B5B5B" w14:paraId="27D06166" w14:textId="77777777" w:rsidTr="00B44A74">
        <w:trPr>
          <w:jc w:val="center"/>
        </w:trPr>
        <w:tc>
          <w:tcPr>
            <w:tcW w:w="2415" w:type="dxa"/>
            <w:tcBorders>
              <w:top w:val="single" w:sz="4" w:space="0" w:color="auto"/>
              <w:left w:val="nil"/>
              <w:bottom w:val="single" w:sz="4" w:space="0" w:color="auto"/>
              <w:right w:val="nil"/>
            </w:tcBorders>
          </w:tcPr>
          <w:p w14:paraId="1A9D7C76"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6BC7B3C" w14:textId="77777777" w:rsidR="008E67EA" w:rsidRPr="0015462A" w:rsidRDefault="008E67EA" w:rsidP="00B44A74">
            <w:pPr>
              <w:spacing w:line="280" w:lineRule="exact"/>
              <w:rPr>
                <w:rFonts w:cs="Arial"/>
                <w:sz w:val="20"/>
                <w:szCs w:val="20"/>
              </w:rPr>
            </w:pPr>
          </w:p>
        </w:tc>
      </w:tr>
      <w:tr w:rsidR="008E67EA" w:rsidRPr="00994236" w14:paraId="3BA0800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0354D2A" w14:textId="77777777" w:rsidR="008E67EA" w:rsidRPr="00F5215F" w:rsidRDefault="008E67EA" w:rsidP="00B44A74">
            <w:pPr>
              <w:spacing w:line="280" w:lineRule="exact"/>
              <w:rPr>
                <w:rFonts w:cs="Arial"/>
                <w:sz w:val="20"/>
                <w:szCs w:val="20"/>
              </w:rPr>
            </w:pPr>
            <w:r w:rsidRPr="00F5215F">
              <w:rPr>
                <w:rFonts w:cs="Arial"/>
                <w:sz w:val="20"/>
                <w:szCs w:val="20"/>
              </w:rPr>
              <w:t>Mode of Action:</w:t>
            </w:r>
          </w:p>
        </w:tc>
        <w:tc>
          <w:tcPr>
            <w:tcW w:w="7755" w:type="dxa"/>
            <w:tcBorders>
              <w:top w:val="single" w:sz="4" w:space="0" w:color="auto"/>
              <w:left w:val="single" w:sz="4" w:space="0" w:color="auto"/>
              <w:bottom w:val="single" w:sz="4" w:space="0" w:color="auto"/>
              <w:right w:val="single" w:sz="4" w:space="0" w:color="auto"/>
            </w:tcBorders>
          </w:tcPr>
          <w:p w14:paraId="17DE0633" w14:textId="77777777" w:rsidR="008E67EA" w:rsidRPr="0015462A" w:rsidRDefault="008E67EA" w:rsidP="00B44A74">
            <w:pPr>
              <w:spacing w:line="280" w:lineRule="exact"/>
              <w:jc w:val="both"/>
              <w:rPr>
                <w:rFonts w:cs="Arial"/>
                <w:sz w:val="20"/>
                <w:szCs w:val="20"/>
              </w:rPr>
            </w:pPr>
          </w:p>
        </w:tc>
      </w:tr>
      <w:tr w:rsidR="008E67EA" w:rsidRPr="002B5B5B" w14:paraId="793919E6" w14:textId="77777777" w:rsidTr="00B44A74">
        <w:trPr>
          <w:jc w:val="center"/>
        </w:trPr>
        <w:tc>
          <w:tcPr>
            <w:tcW w:w="2415" w:type="dxa"/>
            <w:tcBorders>
              <w:top w:val="single" w:sz="4" w:space="0" w:color="auto"/>
              <w:left w:val="nil"/>
              <w:bottom w:val="single" w:sz="4" w:space="0" w:color="auto"/>
              <w:right w:val="nil"/>
            </w:tcBorders>
          </w:tcPr>
          <w:p w14:paraId="175BBEC0"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5B198A1" w14:textId="77777777" w:rsidR="008E67EA" w:rsidRPr="0015462A" w:rsidRDefault="008E67EA" w:rsidP="00B44A74">
            <w:pPr>
              <w:spacing w:line="280" w:lineRule="exact"/>
              <w:rPr>
                <w:rFonts w:cs="Arial"/>
                <w:sz w:val="20"/>
                <w:szCs w:val="20"/>
              </w:rPr>
            </w:pPr>
          </w:p>
        </w:tc>
      </w:tr>
      <w:tr w:rsidR="008E67EA" w:rsidRPr="002B5B5B" w14:paraId="1BAAB524" w14:textId="77777777" w:rsidTr="00B44A74">
        <w:trPr>
          <w:trHeight w:val="477"/>
          <w:jc w:val="center"/>
        </w:trPr>
        <w:tc>
          <w:tcPr>
            <w:tcW w:w="2415" w:type="dxa"/>
            <w:tcBorders>
              <w:top w:val="single" w:sz="4" w:space="0" w:color="auto"/>
              <w:left w:val="single" w:sz="4" w:space="0" w:color="auto"/>
              <w:bottom w:val="single" w:sz="4" w:space="0" w:color="auto"/>
              <w:right w:val="single" w:sz="4" w:space="0" w:color="auto"/>
            </w:tcBorders>
            <w:hideMark/>
          </w:tcPr>
          <w:p w14:paraId="1EA37C5A" w14:textId="77777777" w:rsidR="008E67EA" w:rsidRPr="00F5215F" w:rsidRDefault="008E67EA" w:rsidP="00B44A74">
            <w:pPr>
              <w:spacing w:line="280" w:lineRule="exact"/>
              <w:rPr>
                <w:rFonts w:cs="Arial"/>
                <w:sz w:val="20"/>
                <w:szCs w:val="20"/>
              </w:rPr>
            </w:pPr>
            <w:r w:rsidRPr="00F5215F">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00E63C7A" w14:textId="77777777" w:rsidR="008E67EA" w:rsidRPr="00F92F45" w:rsidRDefault="008E67EA" w:rsidP="00B44A74">
            <w:pPr>
              <w:spacing w:line="280" w:lineRule="exact"/>
              <w:rPr>
                <w:rFonts w:cs="Arial"/>
                <w:sz w:val="20"/>
                <w:szCs w:val="20"/>
              </w:rPr>
            </w:pPr>
            <w:r w:rsidRPr="00F92F45">
              <w:rPr>
                <w:rFonts w:cs="Arial"/>
                <w:sz w:val="20"/>
                <w:szCs w:val="20"/>
              </w:rPr>
              <w:t>For control of mice in industrial, commercial, agricultural and domestic buildings and rats in and around industrial, commercial, agricultural and domestic buildings.</w:t>
            </w:r>
          </w:p>
        </w:tc>
      </w:tr>
      <w:tr w:rsidR="008E67EA" w:rsidRPr="002B5B5B" w14:paraId="563DBC48" w14:textId="77777777" w:rsidTr="00B44A74">
        <w:trPr>
          <w:jc w:val="center"/>
        </w:trPr>
        <w:tc>
          <w:tcPr>
            <w:tcW w:w="2415" w:type="dxa"/>
            <w:tcBorders>
              <w:top w:val="single" w:sz="4" w:space="0" w:color="auto"/>
              <w:left w:val="nil"/>
              <w:bottom w:val="single" w:sz="4" w:space="0" w:color="auto"/>
              <w:right w:val="nil"/>
            </w:tcBorders>
          </w:tcPr>
          <w:p w14:paraId="7EF3EEFB"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F2414C5" w14:textId="77777777" w:rsidR="008E67EA" w:rsidRPr="00506DE6" w:rsidRDefault="008E67EA" w:rsidP="00B44A74">
            <w:pPr>
              <w:spacing w:line="280" w:lineRule="exact"/>
              <w:rPr>
                <w:rFonts w:cs="Arial"/>
                <w:sz w:val="20"/>
                <w:szCs w:val="20"/>
              </w:rPr>
            </w:pPr>
          </w:p>
        </w:tc>
      </w:tr>
      <w:tr w:rsidR="008E67EA" w:rsidRPr="002B5B5B" w14:paraId="710119D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96CF398" w14:textId="77777777" w:rsidR="008E67EA" w:rsidRPr="00F5215F" w:rsidRDefault="008E67EA" w:rsidP="00B44A74">
            <w:pPr>
              <w:spacing w:line="280" w:lineRule="exact"/>
              <w:rPr>
                <w:rFonts w:cs="Arial"/>
                <w:sz w:val="20"/>
                <w:szCs w:val="20"/>
              </w:rPr>
            </w:pPr>
            <w:r w:rsidRPr="00F5215F">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03C9D51B" w14:textId="77777777" w:rsidR="008E67EA" w:rsidRPr="00794C95" w:rsidRDefault="008E67EA" w:rsidP="00B44A74">
            <w:pPr>
              <w:spacing w:line="280" w:lineRule="exact"/>
              <w:rPr>
                <w:rFonts w:cs="Arial"/>
                <w:sz w:val="20"/>
                <w:szCs w:val="20"/>
              </w:rPr>
            </w:pPr>
            <w:r w:rsidRPr="00794C95">
              <w:rPr>
                <w:rFonts w:cs="Arial"/>
                <w:sz w:val="20"/>
                <w:szCs w:val="20"/>
              </w:rPr>
              <w:t>[INSERT NET CONTENTS]</w:t>
            </w:r>
          </w:p>
        </w:tc>
      </w:tr>
      <w:tr w:rsidR="008E67EA" w:rsidRPr="002B5B5B" w14:paraId="58F3F396" w14:textId="77777777" w:rsidTr="00B44A74">
        <w:trPr>
          <w:jc w:val="center"/>
        </w:trPr>
        <w:tc>
          <w:tcPr>
            <w:tcW w:w="2415" w:type="dxa"/>
            <w:tcBorders>
              <w:top w:val="single" w:sz="4" w:space="0" w:color="auto"/>
              <w:left w:val="nil"/>
              <w:bottom w:val="single" w:sz="4" w:space="0" w:color="auto"/>
              <w:right w:val="nil"/>
            </w:tcBorders>
          </w:tcPr>
          <w:p w14:paraId="52492D50"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C5C3898" w14:textId="77777777" w:rsidR="008E67EA" w:rsidRPr="002B5B5B" w:rsidRDefault="008E67EA" w:rsidP="00B44A74">
            <w:pPr>
              <w:spacing w:line="280" w:lineRule="exact"/>
              <w:rPr>
                <w:rFonts w:cs="Arial"/>
                <w:sz w:val="20"/>
                <w:szCs w:val="20"/>
              </w:rPr>
            </w:pPr>
          </w:p>
        </w:tc>
      </w:tr>
      <w:tr w:rsidR="008E67EA" w:rsidRPr="002B5B5B" w14:paraId="4D79BF4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1D4AF90" w14:textId="77777777" w:rsidR="008E67EA" w:rsidRPr="00F5215F" w:rsidRDefault="008E67EA" w:rsidP="00B44A74">
            <w:pPr>
              <w:spacing w:line="280" w:lineRule="exact"/>
              <w:rPr>
                <w:rFonts w:cs="Arial"/>
                <w:sz w:val="20"/>
                <w:szCs w:val="20"/>
              </w:rPr>
            </w:pPr>
            <w:r w:rsidRPr="00F5215F">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775FFAA1" w14:textId="77777777" w:rsidR="008E67EA" w:rsidRPr="00731415" w:rsidRDefault="008E67EA" w:rsidP="00B44A74">
            <w:pPr>
              <w:spacing w:line="280" w:lineRule="exact"/>
              <w:rPr>
                <w:rFonts w:cs="Arial"/>
                <w:sz w:val="20"/>
                <w:szCs w:val="20"/>
              </w:rPr>
            </w:pPr>
            <w:r w:rsidRPr="00731415">
              <w:rPr>
                <w:rFonts w:cs="Arial"/>
                <w:sz w:val="20"/>
                <w:szCs w:val="20"/>
              </w:rPr>
              <w:t>RESTRAINTS</w:t>
            </w:r>
          </w:p>
          <w:p w14:paraId="381EF218" w14:textId="77777777" w:rsidR="008E67EA" w:rsidRPr="00731415" w:rsidRDefault="008E67EA" w:rsidP="00B44A74">
            <w:pPr>
              <w:spacing w:line="280" w:lineRule="exact"/>
              <w:rPr>
                <w:rFonts w:cs="Arial"/>
                <w:sz w:val="20"/>
                <w:szCs w:val="20"/>
              </w:rPr>
            </w:pPr>
            <w:r w:rsidRPr="00731415">
              <w:rPr>
                <w:rFonts w:cs="Arial"/>
                <w:sz w:val="20"/>
                <w:szCs w:val="20"/>
              </w:rPr>
              <w:t>DO NOT use this product unless you have a current qualification in the nationally recognised training course for rodent pest management CPPUPM3006 - Manage pests by applying pesticides, or an equivalent unit of competency.</w:t>
            </w:r>
          </w:p>
          <w:p w14:paraId="163A4316" w14:textId="77777777" w:rsidR="008E67EA" w:rsidRPr="00731415" w:rsidRDefault="008E67EA" w:rsidP="00B44A74">
            <w:pPr>
              <w:spacing w:line="280" w:lineRule="exact"/>
              <w:rPr>
                <w:rFonts w:cs="Arial"/>
                <w:sz w:val="20"/>
                <w:szCs w:val="20"/>
              </w:rPr>
            </w:pPr>
            <w:r w:rsidRPr="00731415">
              <w:rPr>
                <w:rFonts w:cs="Arial"/>
                <w:sz w:val="20"/>
                <w:szCs w:val="20"/>
              </w:rPr>
              <w:t xml:space="preserve">DO NOT place baits in areas that are accessible to children. In child-accessible areas baits must be placed in tamper-resistant bait stations. If bait can be dislodged from bait station, bait station must be secured in place. </w:t>
            </w:r>
          </w:p>
          <w:p w14:paraId="542C5797" w14:textId="77777777" w:rsidR="008E67EA" w:rsidRPr="00731415" w:rsidRDefault="008E67EA" w:rsidP="00B44A74">
            <w:pPr>
              <w:spacing w:line="280" w:lineRule="exact"/>
              <w:rPr>
                <w:rFonts w:cs="Arial"/>
                <w:sz w:val="20"/>
                <w:szCs w:val="20"/>
              </w:rPr>
            </w:pPr>
            <w:r w:rsidRPr="00731415">
              <w:rPr>
                <w:rFonts w:cs="Arial"/>
                <w:sz w:val="20"/>
                <w:szCs w:val="20"/>
              </w:rPr>
              <w:t>DO NOT place bait outdoors unless it is in a tamper-resistant bait station which is secured in place.</w:t>
            </w:r>
          </w:p>
          <w:p w14:paraId="44292953" w14:textId="77777777" w:rsidR="008E67EA" w:rsidRPr="00731415" w:rsidRDefault="008E67EA" w:rsidP="00B44A74">
            <w:pPr>
              <w:spacing w:line="280" w:lineRule="exact"/>
              <w:rPr>
                <w:rFonts w:cs="Arial"/>
                <w:sz w:val="20"/>
                <w:szCs w:val="20"/>
              </w:rPr>
            </w:pPr>
            <w:r w:rsidRPr="00731415">
              <w:rPr>
                <w:rFonts w:cs="Arial"/>
                <w:sz w:val="20"/>
                <w:szCs w:val="20"/>
              </w:rPr>
              <w:t>DO NOT place bait stations more than 2 meters from buildings.</w:t>
            </w:r>
          </w:p>
          <w:p w14:paraId="7A233D73" w14:textId="77777777" w:rsidR="008E67EA" w:rsidRPr="00731415" w:rsidRDefault="008E67EA" w:rsidP="00B44A74">
            <w:pPr>
              <w:spacing w:line="280" w:lineRule="exact"/>
              <w:rPr>
                <w:rFonts w:cs="Arial"/>
                <w:sz w:val="20"/>
                <w:szCs w:val="20"/>
              </w:rPr>
            </w:pPr>
            <w:r w:rsidRPr="00731415">
              <w:rPr>
                <w:rFonts w:cs="Arial"/>
                <w:sz w:val="20"/>
                <w:szCs w:val="20"/>
              </w:rPr>
              <w:t>DO NOT place bait stations outdoors around buildings for control of mice.</w:t>
            </w:r>
          </w:p>
          <w:p w14:paraId="34F95EFD" w14:textId="77777777" w:rsidR="008E67EA" w:rsidRPr="00731415" w:rsidRDefault="008E67EA" w:rsidP="00B44A74">
            <w:pPr>
              <w:spacing w:line="280" w:lineRule="exact"/>
              <w:rPr>
                <w:rFonts w:cs="Arial"/>
                <w:sz w:val="20"/>
                <w:szCs w:val="20"/>
              </w:rPr>
            </w:pPr>
            <w:r w:rsidRPr="00731415">
              <w:rPr>
                <w:rFonts w:cs="Arial"/>
                <w:sz w:val="20"/>
                <w:szCs w:val="20"/>
              </w:rPr>
              <w:t>DO NOT bait in areas where wildlife may be collected for human consumption.</w:t>
            </w:r>
          </w:p>
          <w:p w14:paraId="5DBDCD46" w14:textId="77777777" w:rsidR="008E67EA" w:rsidRPr="00731415" w:rsidRDefault="008E67EA" w:rsidP="00B44A74">
            <w:pPr>
              <w:spacing w:line="280" w:lineRule="exact"/>
              <w:rPr>
                <w:rFonts w:cs="Arial"/>
                <w:sz w:val="20"/>
                <w:szCs w:val="20"/>
              </w:rPr>
            </w:pPr>
            <w:r w:rsidRPr="00731415">
              <w:rPr>
                <w:rFonts w:cs="Arial"/>
                <w:sz w:val="20"/>
                <w:szCs w:val="20"/>
              </w:rPr>
              <w:t>DO NOT place in animal or livestock housing unless used in tamper-resistant and weather-resistant bait stations fixed to the ground or other structures.</w:t>
            </w:r>
          </w:p>
          <w:p w14:paraId="5578ED91" w14:textId="77777777" w:rsidR="008E67EA" w:rsidRPr="00731415" w:rsidRDefault="008E67EA" w:rsidP="00B44A74">
            <w:pPr>
              <w:spacing w:line="280" w:lineRule="exact"/>
              <w:rPr>
                <w:rFonts w:cs="Arial"/>
                <w:sz w:val="20"/>
                <w:szCs w:val="20"/>
              </w:rPr>
            </w:pPr>
            <w:r w:rsidRPr="00731415">
              <w:rPr>
                <w:rFonts w:cs="Arial"/>
                <w:sz w:val="20"/>
                <w:szCs w:val="20"/>
              </w:rPr>
              <w:t>DO NOT place bait or bait stations above areas which would allow them to contaminate pig and poultry food or drinking water.</w:t>
            </w:r>
          </w:p>
          <w:p w14:paraId="1B3EA62D" w14:textId="77777777" w:rsidR="008E67EA" w:rsidRPr="00731415" w:rsidRDefault="008E67EA" w:rsidP="00B44A74">
            <w:pPr>
              <w:spacing w:line="280" w:lineRule="exact"/>
              <w:rPr>
                <w:rFonts w:cs="Arial"/>
                <w:sz w:val="20"/>
                <w:szCs w:val="20"/>
              </w:rPr>
            </w:pPr>
            <w:r w:rsidRPr="00731415">
              <w:rPr>
                <w:rFonts w:cs="Arial"/>
                <w:sz w:val="20"/>
                <w:szCs w:val="20"/>
              </w:rPr>
              <w:t>DO NOT apply this product directly into burrows.</w:t>
            </w:r>
          </w:p>
        </w:tc>
      </w:tr>
      <w:tr w:rsidR="008E67EA" w:rsidRPr="002B5B5B" w14:paraId="5F3DA14D" w14:textId="77777777" w:rsidTr="00B44A74">
        <w:trPr>
          <w:jc w:val="center"/>
        </w:trPr>
        <w:tc>
          <w:tcPr>
            <w:tcW w:w="2415" w:type="dxa"/>
            <w:tcBorders>
              <w:top w:val="single" w:sz="4" w:space="0" w:color="auto"/>
              <w:left w:val="nil"/>
              <w:bottom w:val="single" w:sz="4" w:space="0" w:color="auto"/>
              <w:right w:val="nil"/>
            </w:tcBorders>
          </w:tcPr>
          <w:p w14:paraId="52ACB43B"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68B0B4F" w14:textId="77777777" w:rsidR="008E67EA" w:rsidRPr="002B5B5B" w:rsidRDefault="008E67EA" w:rsidP="00B44A74">
            <w:pPr>
              <w:spacing w:line="280" w:lineRule="exact"/>
              <w:rPr>
                <w:rFonts w:cs="Arial"/>
                <w:sz w:val="20"/>
                <w:szCs w:val="20"/>
              </w:rPr>
            </w:pPr>
          </w:p>
        </w:tc>
      </w:tr>
      <w:tr w:rsidR="008E67EA" w:rsidRPr="002B5B5B" w14:paraId="179FF2C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A61EB60" w14:textId="77777777" w:rsidR="008E67EA" w:rsidRPr="00731415" w:rsidRDefault="008E67EA" w:rsidP="00B44A74">
            <w:pPr>
              <w:spacing w:line="280" w:lineRule="exact"/>
              <w:rPr>
                <w:rFonts w:cs="Arial"/>
                <w:sz w:val="20"/>
                <w:szCs w:val="20"/>
              </w:rPr>
            </w:pPr>
            <w:r w:rsidRPr="00731415">
              <w:rPr>
                <w:rFonts w:cs="Arial"/>
                <w:sz w:val="20"/>
                <w:szCs w:val="20"/>
              </w:rPr>
              <w:t>Directions for Use:</w:t>
            </w:r>
          </w:p>
        </w:tc>
        <w:tc>
          <w:tcPr>
            <w:tcW w:w="7755" w:type="dxa"/>
            <w:tcBorders>
              <w:top w:val="single" w:sz="4" w:space="0" w:color="auto"/>
              <w:left w:val="single" w:sz="4" w:space="0" w:color="auto"/>
              <w:bottom w:val="single" w:sz="4" w:space="0" w:color="auto"/>
              <w:right w:val="single" w:sz="4" w:space="0" w:color="auto"/>
            </w:tcBorders>
          </w:tcPr>
          <w:p w14:paraId="798FAAFF" w14:textId="77777777" w:rsidR="008E67EA" w:rsidRPr="00731415" w:rsidRDefault="008E67EA" w:rsidP="00B44A74">
            <w:pPr>
              <w:spacing w:line="280" w:lineRule="exact"/>
              <w:rPr>
                <w:rFonts w:cs="Arial"/>
                <w:b/>
                <w:bCs/>
                <w:sz w:val="20"/>
                <w:szCs w:val="20"/>
              </w:rPr>
            </w:pPr>
            <w:r w:rsidRPr="00731415">
              <w:rPr>
                <w:rFonts w:cs="Arial"/>
                <w:sz w:val="20"/>
                <w:szCs w:val="20"/>
              </w:rPr>
              <w:t>[This section contains an attachment below]</w:t>
            </w:r>
          </w:p>
        </w:tc>
      </w:tr>
      <w:tr w:rsidR="008E67EA" w:rsidRPr="002B5B5B" w14:paraId="4551834E" w14:textId="77777777" w:rsidTr="00B44A74">
        <w:trPr>
          <w:jc w:val="center"/>
        </w:trPr>
        <w:tc>
          <w:tcPr>
            <w:tcW w:w="2415" w:type="dxa"/>
            <w:tcBorders>
              <w:top w:val="single" w:sz="4" w:space="0" w:color="auto"/>
              <w:left w:val="nil"/>
              <w:bottom w:val="single" w:sz="4" w:space="0" w:color="auto"/>
              <w:right w:val="nil"/>
            </w:tcBorders>
          </w:tcPr>
          <w:p w14:paraId="6E314C66"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44CE747" w14:textId="77777777" w:rsidR="008E67EA" w:rsidRPr="002B5B5B" w:rsidRDefault="008E67EA" w:rsidP="00B44A74">
            <w:pPr>
              <w:spacing w:line="280" w:lineRule="exact"/>
              <w:rPr>
                <w:rFonts w:cs="Arial"/>
                <w:sz w:val="20"/>
                <w:szCs w:val="20"/>
              </w:rPr>
            </w:pPr>
          </w:p>
        </w:tc>
      </w:tr>
      <w:tr w:rsidR="008E67EA" w:rsidRPr="002B5B5B" w14:paraId="246EC8D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327328E" w14:textId="77777777" w:rsidR="008E67EA" w:rsidRPr="00731415" w:rsidRDefault="008E67EA" w:rsidP="00B44A74">
            <w:pPr>
              <w:spacing w:line="280" w:lineRule="exact"/>
              <w:rPr>
                <w:rFonts w:cs="Arial"/>
                <w:sz w:val="20"/>
                <w:szCs w:val="20"/>
              </w:rPr>
            </w:pPr>
            <w:r w:rsidRPr="00731415">
              <w:rPr>
                <w:rFonts w:cs="Arial"/>
                <w:sz w:val="20"/>
                <w:szCs w:val="20"/>
              </w:rPr>
              <w:t>Other Limitations:</w:t>
            </w:r>
          </w:p>
        </w:tc>
        <w:tc>
          <w:tcPr>
            <w:tcW w:w="7755" w:type="dxa"/>
            <w:tcBorders>
              <w:top w:val="single" w:sz="4" w:space="0" w:color="auto"/>
              <w:left w:val="single" w:sz="4" w:space="0" w:color="auto"/>
              <w:bottom w:val="single" w:sz="4" w:space="0" w:color="auto"/>
              <w:right w:val="single" w:sz="4" w:space="0" w:color="auto"/>
            </w:tcBorders>
          </w:tcPr>
          <w:p w14:paraId="71CB6F03" w14:textId="77777777" w:rsidR="008E67EA" w:rsidRPr="00731415" w:rsidRDefault="008E67EA" w:rsidP="00B44A74">
            <w:pPr>
              <w:spacing w:line="280" w:lineRule="exact"/>
              <w:rPr>
                <w:rFonts w:cs="Arial"/>
                <w:sz w:val="20"/>
                <w:szCs w:val="20"/>
              </w:rPr>
            </w:pPr>
          </w:p>
        </w:tc>
      </w:tr>
      <w:tr w:rsidR="008E67EA" w:rsidRPr="002B5B5B" w14:paraId="697BC3D9" w14:textId="77777777" w:rsidTr="00B44A74">
        <w:trPr>
          <w:jc w:val="center"/>
        </w:trPr>
        <w:tc>
          <w:tcPr>
            <w:tcW w:w="2415" w:type="dxa"/>
            <w:tcBorders>
              <w:top w:val="single" w:sz="4" w:space="0" w:color="auto"/>
              <w:left w:val="nil"/>
              <w:bottom w:val="single" w:sz="4" w:space="0" w:color="auto"/>
              <w:right w:val="nil"/>
            </w:tcBorders>
          </w:tcPr>
          <w:p w14:paraId="491BB898"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7858CEA" w14:textId="77777777" w:rsidR="008E67EA" w:rsidRPr="002B5B5B" w:rsidRDefault="008E67EA" w:rsidP="00B44A74">
            <w:pPr>
              <w:spacing w:line="280" w:lineRule="exact"/>
              <w:rPr>
                <w:rFonts w:cs="Arial"/>
                <w:sz w:val="20"/>
                <w:szCs w:val="20"/>
              </w:rPr>
            </w:pPr>
          </w:p>
        </w:tc>
      </w:tr>
      <w:tr w:rsidR="008E67EA" w:rsidRPr="002B5B5B" w14:paraId="25E01DB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C1549AD" w14:textId="77777777" w:rsidR="008E67EA" w:rsidRPr="00F5215F" w:rsidRDefault="008E67EA" w:rsidP="00B44A74">
            <w:pPr>
              <w:spacing w:line="280" w:lineRule="exact"/>
              <w:rPr>
                <w:rFonts w:cs="Arial"/>
                <w:sz w:val="20"/>
                <w:szCs w:val="20"/>
              </w:rPr>
            </w:pPr>
            <w:r w:rsidRPr="00F5215F">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67B856A0" w14:textId="77777777" w:rsidR="008E67EA" w:rsidRPr="002B5B5B" w:rsidRDefault="008E67EA" w:rsidP="00B44A74">
            <w:pPr>
              <w:spacing w:line="280" w:lineRule="exact"/>
              <w:rPr>
                <w:rFonts w:cs="Arial"/>
                <w:sz w:val="20"/>
                <w:szCs w:val="20"/>
              </w:rPr>
            </w:pPr>
          </w:p>
        </w:tc>
      </w:tr>
      <w:tr w:rsidR="008E67EA" w:rsidRPr="002B5B5B" w14:paraId="09F8BD43" w14:textId="77777777" w:rsidTr="00B44A74">
        <w:trPr>
          <w:jc w:val="center"/>
        </w:trPr>
        <w:tc>
          <w:tcPr>
            <w:tcW w:w="2415" w:type="dxa"/>
            <w:tcBorders>
              <w:top w:val="single" w:sz="4" w:space="0" w:color="auto"/>
              <w:left w:val="nil"/>
              <w:bottom w:val="single" w:sz="4" w:space="0" w:color="auto"/>
              <w:right w:val="nil"/>
            </w:tcBorders>
          </w:tcPr>
          <w:p w14:paraId="21E14E1A"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B7DF3A4" w14:textId="77777777" w:rsidR="008E67EA" w:rsidRPr="002B5B5B" w:rsidRDefault="008E67EA" w:rsidP="00B44A74">
            <w:pPr>
              <w:spacing w:line="280" w:lineRule="exact"/>
              <w:rPr>
                <w:rFonts w:cs="Arial"/>
                <w:sz w:val="20"/>
                <w:szCs w:val="20"/>
              </w:rPr>
            </w:pPr>
          </w:p>
        </w:tc>
      </w:tr>
      <w:tr w:rsidR="008E67EA" w:rsidRPr="002B5B5B" w14:paraId="125A519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6816F49" w14:textId="77777777" w:rsidR="008E67EA" w:rsidRPr="00F5215F" w:rsidRDefault="008E67EA" w:rsidP="00B44A74">
            <w:pPr>
              <w:spacing w:line="280" w:lineRule="exact"/>
              <w:rPr>
                <w:rFonts w:cs="Arial"/>
                <w:sz w:val="20"/>
                <w:szCs w:val="20"/>
              </w:rPr>
            </w:pPr>
            <w:r w:rsidRPr="00F5215F">
              <w:rPr>
                <w:rFonts w:cs="Arial"/>
                <w:sz w:val="20"/>
                <w:szCs w:val="20"/>
              </w:rPr>
              <w:t>Trade Advice:</w:t>
            </w:r>
          </w:p>
        </w:tc>
        <w:tc>
          <w:tcPr>
            <w:tcW w:w="7755" w:type="dxa"/>
            <w:tcBorders>
              <w:top w:val="single" w:sz="4" w:space="0" w:color="auto"/>
              <w:left w:val="single" w:sz="4" w:space="0" w:color="auto"/>
              <w:bottom w:val="single" w:sz="4" w:space="0" w:color="auto"/>
              <w:right w:val="single" w:sz="4" w:space="0" w:color="auto"/>
            </w:tcBorders>
          </w:tcPr>
          <w:p w14:paraId="4E9702FC" w14:textId="77777777" w:rsidR="008E67EA" w:rsidRPr="002B5B5B" w:rsidRDefault="008E67EA" w:rsidP="00B44A74">
            <w:pPr>
              <w:spacing w:line="280" w:lineRule="exact"/>
              <w:rPr>
                <w:rFonts w:cs="Arial"/>
                <w:sz w:val="20"/>
                <w:szCs w:val="20"/>
              </w:rPr>
            </w:pPr>
          </w:p>
        </w:tc>
      </w:tr>
      <w:tr w:rsidR="008E67EA" w:rsidRPr="002B5B5B" w14:paraId="72DB28EB" w14:textId="77777777" w:rsidTr="00B44A74">
        <w:trPr>
          <w:jc w:val="center"/>
        </w:trPr>
        <w:tc>
          <w:tcPr>
            <w:tcW w:w="2415" w:type="dxa"/>
            <w:tcBorders>
              <w:top w:val="single" w:sz="4" w:space="0" w:color="auto"/>
              <w:left w:val="nil"/>
              <w:bottom w:val="single" w:sz="4" w:space="0" w:color="auto"/>
              <w:right w:val="nil"/>
            </w:tcBorders>
          </w:tcPr>
          <w:p w14:paraId="2DF9EC99"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7F66705" w14:textId="77777777" w:rsidR="008E67EA" w:rsidRPr="002B5B5B" w:rsidRDefault="008E67EA" w:rsidP="00B44A74">
            <w:pPr>
              <w:spacing w:line="280" w:lineRule="exact"/>
              <w:rPr>
                <w:rFonts w:cs="Arial"/>
                <w:sz w:val="20"/>
                <w:szCs w:val="20"/>
              </w:rPr>
            </w:pPr>
          </w:p>
        </w:tc>
      </w:tr>
      <w:tr w:rsidR="008E67EA" w:rsidRPr="002B5B5B" w14:paraId="22DCF4C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CBDB41C" w14:textId="77777777" w:rsidR="008E67EA" w:rsidRPr="00731415" w:rsidRDefault="008E67EA" w:rsidP="00B44A74">
            <w:pPr>
              <w:spacing w:line="280" w:lineRule="exact"/>
              <w:rPr>
                <w:rFonts w:cs="Arial"/>
                <w:sz w:val="20"/>
                <w:szCs w:val="20"/>
              </w:rPr>
            </w:pPr>
            <w:r w:rsidRPr="00731415">
              <w:rPr>
                <w:rFonts w:cs="Arial"/>
                <w:sz w:val="20"/>
                <w:szCs w:val="20"/>
              </w:rPr>
              <w:t>General Directions:</w:t>
            </w:r>
          </w:p>
        </w:tc>
        <w:tc>
          <w:tcPr>
            <w:tcW w:w="7755" w:type="dxa"/>
            <w:tcBorders>
              <w:top w:val="single" w:sz="4" w:space="0" w:color="auto"/>
              <w:left w:val="single" w:sz="4" w:space="0" w:color="auto"/>
              <w:bottom w:val="single" w:sz="4" w:space="0" w:color="auto"/>
              <w:right w:val="single" w:sz="4" w:space="0" w:color="auto"/>
            </w:tcBorders>
          </w:tcPr>
          <w:p w14:paraId="74B37002" w14:textId="77777777" w:rsidR="008E67EA" w:rsidRPr="00731415" w:rsidRDefault="008E67EA" w:rsidP="00B44A74">
            <w:pPr>
              <w:spacing w:line="280" w:lineRule="exact"/>
              <w:rPr>
                <w:rFonts w:cs="Arial"/>
                <w:sz w:val="20"/>
                <w:szCs w:val="20"/>
              </w:rPr>
            </w:pPr>
          </w:p>
        </w:tc>
      </w:tr>
      <w:tr w:rsidR="008E67EA" w:rsidRPr="002B5B5B" w14:paraId="3F50C9EE" w14:textId="77777777" w:rsidTr="00B44A74">
        <w:trPr>
          <w:jc w:val="center"/>
        </w:trPr>
        <w:tc>
          <w:tcPr>
            <w:tcW w:w="2415" w:type="dxa"/>
            <w:tcBorders>
              <w:top w:val="single" w:sz="4" w:space="0" w:color="auto"/>
              <w:left w:val="nil"/>
              <w:bottom w:val="single" w:sz="4" w:space="0" w:color="auto"/>
              <w:right w:val="nil"/>
            </w:tcBorders>
          </w:tcPr>
          <w:p w14:paraId="11A6B662" w14:textId="77777777" w:rsidR="008E67EA" w:rsidRPr="0073141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3AF8366" w14:textId="77777777" w:rsidR="008E67EA" w:rsidRPr="00731415" w:rsidRDefault="008E67EA" w:rsidP="00B44A74">
            <w:pPr>
              <w:spacing w:line="280" w:lineRule="exact"/>
              <w:rPr>
                <w:rFonts w:cs="Arial"/>
                <w:sz w:val="20"/>
                <w:szCs w:val="20"/>
              </w:rPr>
            </w:pPr>
          </w:p>
        </w:tc>
      </w:tr>
      <w:tr w:rsidR="008E67EA" w:rsidRPr="002B5B5B" w14:paraId="5985D07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95F7C31" w14:textId="77777777" w:rsidR="008E67EA" w:rsidRPr="00731415" w:rsidRDefault="008E67EA" w:rsidP="00B44A74">
            <w:pPr>
              <w:spacing w:line="280" w:lineRule="exact"/>
              <w:rPr>
                <w:rFonts w:cs="Arial"/>
                <w:sz w:val="20"/>
                <w:szCs w:val="20"/>
              </w:rPr>
            </w:pPr>
            <w:r w:rsidRPr="00731415">
              <w:rPr>
                <w:rFonts w:cs="Arial"/>
                <w:sz w:val="20"/>
                <w:szCs w:val="20"/>
              </w:rPr>
              <w:t>Resistance Warning:</w:t>
            </w:r>
          </w:p>
        </w:tc>
        <w:tc>
          <w:tcPr>
            <w:tcW w:w="7755" w:type="dxa"/>
            <w:tcBorders>
              <w:top w:val="single" w:sz="4" w:space="0" w:color="auto"/>
              <w:left w:val="single" w:sz="4" w:space="0" w:color="auto"/>
              <w:bottom w:val="single" w:sz="4" w:space="0" w:color="auto"/>
              <w:right w:val="single" w:sz="4" w:space="0" w:color="auto"/>
            </w:tcBorders>
          </w:tcPr>
          <w:p w14:paraId="7F2C1746" w14:textId="77777777" w:rsidR="008E67EA" w:rsidRPr="00731415" w:rsidRDefault="008E67EA" w:rsidP="00B44A74">
            <w:pPr>
              <w:spacing w:line="280" w:lineRule="exact"/>
              <w:rPr>
                <w:rFonts w:cs="Arial"/>
                <w:sz w:val="20"/>
                <w:szCs w:val="20"/>
              </w:rPr>
            </w:pPr>
          </w:p>
        </w:tc>
      </w:tr>
      <w:tr w:rsidR="008E67EA" w:rsidRPr="002B5B5B" w14:paraId="419DB498" w14:textId="77777777" w:rsidTr="00B44A74">
        <w:trPr>
          <w:jc w:val="center"/>
        </w:trPr>
        <w:tc>
          <w:tcPr>
            <w:tcW w:w="2415" w:type="dxa"/>
            <w:tcBorders>
              <w:top w:val="single" w:sz="4" w:space="0" w:color="auto"/>
              <w:left w:val="nil"/>
              <w:bottom w:val="single" w:sz="4" w:space="0" w:color="auto"/>
              <w:right w:val="nil"/>
            </w:tcBorders>
          </w:tcPr>
          <w:p w14:paraId="7D9B3EC4" w14:textId="77777777" w:rsidR="008E67EA" w:rsidRPr="0073141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7C3E7BA" w14:textId="77777777" w:rsidR="008E67EA" w:rsidRPr="00731415" w:rsidRDefault="008E67EA" w:rsidP="00B44A74">
            <w:pPr>
              <w:spacing w:line="280" w:lineRule="exact"/>
              <w:rPr>
                <w:rFonts w:cs="Arial"/>
                <w:sz w:val="20"/>
                <w:szCs w:val="20"/>
              </w:rPr>
            </w:pPr>
          </w:p>
        </w:tc>
      </w:tr>
      <w:tr w:rsidR="008E67EA" w:rsidRPr="002B5B5B" w14:paraId="5FB0BA1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A2605E1" w14:textId="77777777" w:rsidR="008E67EA" w:rsidRPr="00F5215F" w:rsidRDefault="008E67EA" w:rsidP="00B44A74">
            <w:pPr>
              <w:spacing w:line="280" w:lineRule="exact"/>
              <w:rPr>
                <w:rFonts w:cs="Arial"/>
                <w:sz w:val="20"/>
                <w:szCs w:val="20"/>
              </w:rPr>
            </w:pPr>
            <w:r w:rsidRPr="00F5215F">
              <w:rPr>
                <w:rFonts w:cs="Arial"/>
                <w:sz w:val="20"/>
                <w:szCs w:val="20"/>
              </w:rPr>
              <w:t>Precautions:</w:t>
            </w:r>
          </w:p>
        </w:tc>
        <w:tc>
          <w:tcPr>
            <w:tcW w:w="7755" w:type="dxa"/>
            <w:tcBorders>
              <w:top w:val="single" w:sz="4" w:space="0" w:color="auto"/>
              <w:left w:val="single" w:sz="4" w:space="0" w:color="auto"/>
              <w:bottom w:val="single" w:sz="4" w:space="0" w:color="auto"/>
              <w:right w:val="single" w:sz="4" w:space="0" w:color="auto"/>
            </w:tcBorders>
          </w:tcPr>
          <w:p w14:paraId="7FBC80B2" w14:textId="77777777" w:rsidR="008E67EA" w:rsidRPr="00794C95" w:rsidRDefault="008E67EA" w:rsidP="00B44A74">
            <w:pPr>
              <w:spacing w:line="280" w:lineRule="exact"/>
              <w:rPr>
                <w:rFonts w:cs="Arial"/>
                <w:sz w:val="20"/>
                <w:szCs w:val="20"/>
              </w:rPr>
            </w:pPr>
            <w:r w:rsidRPr="00794C95">
              <w:rPr>
                <w:rFonts w:cs="Arial"/>
                <w:sz w:val="20"/>
                <w:szCs w:val="20"/>
              </w:rPr>
              <w:t>PRECAUTIONS</w:t>
            </w:r>
          </w:p>
          <w:p w14:paraId="7DA22572" w14:textId="77777777" w:rsidR="008E67EA" w:rsidRPr="00794C95" w:rsidRDefault="008E67EA" w:rsidP="00B44A74">
            <w:pPr>
              <w:spacing w:line="280" w:lineRule="exact"/>
              <w:rPr>
                <w:rFonts w:cs="Arial"/>
                <w:sz w:val="20"/>
                <w:szCs w:val="20"/>
              </w:rPr>
            </w:pPr>
            <w:r w:rsidRPr="00794C95">
              <w:rPr>
                <w:rFonts w:cs="Arial"/>
                <w:sz w:val="20"/>
                <w:szCs w:val="20"/>
              </w:rPr>
              <w:t>Caution should be used when baiting near areas where hunting of wildlife may occur. Careful consideration of bait placement is necessary to avoid secondary exposure from contaminated wildlife that may be consumed.</w:t>
            </w:r>
          </w:p>
          <w:p w14:paraId="50837F1F" w14:textId="77777777" w:rsidR="008E67EA" w:rsidRPr="00794C95" w:rsidRDefault="008E67EA" w:rsidP="00B44A74">
            <w:pPr>
              <w:spacing w:line="280" w:lineRule="exact"/>
              <w:rPr>
                <w:rFonts w:cs="Arial"/>
                <w:color w:val="7030A0"/>
                <w:sz w:val="20"/>
                <w:szCs w:val="20"/>
              </w:rPr>
            </w:pPr>
            <w:r w:rsidRPr="00794C95">
              <w:rPr>
                <w:rFonts w:cs="Arial"/>
                <w:sz w:val="20"/>
                <w:szCs w:val="20"/>
              </w:rPr>
              <w:t>DO NOT place bait in areas where there is a possibility of contaminating food, livestock feed or surfaces that come in direct contact with food or livestock feed.</w:t>
            </w:r>
          </w:p>
        </w:tc>
      </w:tr>
      <w:tr w:rsidR="008E67EA" w:rsidRPr="002B5B5B" w14:paraId="2616F6FF" w14:textId="77777777" w:rsidTr="00B44A74">
        <w:trPr>
          <w:jc w:val="center"/>
        </w:trPr>
        <w:tc>
          <w:tcPr>
            <w:tcW w:w="2415" w:type="dxa"/>
            <w:tcBorders>
              <w:top w:val="single" w:sz="4" w:space="0" w:color="auto"/>
              <w:left w:val="nil"/>
              <w:bottom w:val="single" w:sz="4" w:space="0" w:color="auto"/>
              <w:right w:val="nil"/>
            </w:tcBorders>
          </w:tcPr>
          <w:p w14:paraId="19DF67BC" w14:textId="77777777" w:rsidR="008E67EA" w:rsidRPr="0073141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A9B624D" w14:textId="77777777" w:rsidR="008E67EA" w:rsidRPr="00731415" w:rsidRDefault="008E67EA" w:rsidP="00B44A74">
            <w:pPr>
              <w:spacing w:line="280" w:lineRule="exact"/>
              <w:rPr>
                <w:rFonts w:cs="Arial"/>
                <w:sz w:val="20"/>
                <w:szCs w:val="20"/>
              </w:rPr>
            </w:pPr>
          </w:p>
        </w:tc>
      </w:tr>
      <w:tr w:rsidR="008E67EA" w:rsidRPr="002B5B5B" w14:paraId="3E51F1B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A0E5200" w14:textId="77777777" w:rsidR="008E67EA" w:rsidRPr="00F5215F" w:rsidRDefault="008E67EA" w:rsidP="00B44A74">
            <w:pPr>
              <w:spacing w:line="280" w:lineRule="exact"/>
              <w:rPr>
                <w:rFonts w:cs="Arial"/>
                <w:sz w:val="20"/>
                <w:szCs w:val="20"/>
              </w:rPr>
            </w:pPr>
            <w:r w:rsidRPr="00F5215F">
              <w:rPr>
                <w:rFonts w:cs="Arial"/>
                <w:sz w:val="20"/>
                <w:szCs w:val="20"/>
              </w:rPr>
              <w:t>Protection Statements:</w:t>
            </w:r>
          </w:p>
        </w:tc>
        <w:tc>
          <w:tcPr>
            <w:tcW w:w="7755" w:type="dxa"/>
            <w:tcBorders>
              <w:top w:val="single" w:sz="4" w:space="0" w:color="auto"/>
              <w:left w:val="single" w:sz="4" w:space="0" w:color="auto"/>
              <w:bottom w:val="single" w:sz="4" w:space="0" w:color="auto"/>
              <w:right w:val="single" w:sz="4" w:space="0" w:color="auto"/>
            </w:tcBorders>
          </w:tcPr>
          <w:p w14:paraId="726CC122" w14:textId="77777777" w:rsidR="008E67EA" w:rsidRDefault="008E67EA" w:rsidP="00B44A74">
            <w:pPr>
              <w:spacing w:line="280" w:lineRule="exact"/>
              <w:rPr>
                <w:rFonts w:cs="Arial"/>
                <w:sz w:val="20"/>
                <w:szCs w:val="20"/>
                <w:bdr w:val="none" w:sz="0" w:space="0" w:color="auto" w:frame="1"/>
                <w:lang w:val="en-GB" w:eastAsia="en-AU"/>
              </w:rPr>
            </w:pPr>
            <w:r w:rsidRPr="00794C95">
              <w:rPr>
                <w:rFonts w:cs="Arial"/>
                <w:sz w:val="20"/>
                <w:szCs w:val="20"/>
                <w:bdr w:val="none" w:sz="0" w:space="0" w:color="auto" w:frame="1"/>
                <w:lang w:val="en-GB" w:eastAsia="en-AU"/>
              </w:rPr>
              <w:t>PROTECTION OF LIVESTOCK AND WILDLIFE</w:t>
            </w:r>
          </w:p>
          <w:p w14:paraId="513A2E36" w14:textId="77777777" w:rsidR="008E67EA" w:rsidRPr="00794C95" w:rsidRDefault="008E67EA" w:rsidP="00B44A74">
            <w:pPr>
              <w:spacing w:line="280" w:lineRule="exact"/>
              <w:rPr>
                <w:rFonts w:cs="Arial"/>
                <w:sz w:val="20"/>
                <w:szCs w:val="20"/>
                <w:bdr w:val="none" w:sz="0" w:space="0" w:color="auto" w:frame="1"/>
                <w:lang w:val="en-GB" w:eastAsia="en-AU"/>
              </w:rPr>
            </w:pPr>
            <w:r w:rsidRPr="00794C95">
              <w:rPr>
                <w:rFonts w:cs="Arial"/>
                <w:sz w:val="20"/>
                <w:szCs w:val="20"/>
                <w:bdr w:val="none" w:sz="0" w:space="0" w:color="auto" w:frame="1"/>
                <w:lang w:val="en-GB" w:eastAsia="en-AU"/>
              </w:rPr>
              <w:t>Hazardous to livestock, poultry and wildlife. DO NOT place baits in locations that are accessible to domestic animals, livestock, non-target native animals or birds.</w:t>
            </w:r>
          </w:p>
          <w:p w14:paraId="400BA702" w14:textId="4E2344B8" w:rsidR="008E67EA" w:rsidRPr="00794C95" w:rsidRDefault="008E67EA" w:rsidP="00B44A74">
            <w:pPr>
              <w:spacing w:line="280" w:lineRule="exact"/>
              <w:rPr>
                <w:rFonts w:cs="Arial"/>
                <w:sz w:val="20"/>
                <w:szCs w:val="20"/>
                <w:bdr w:val="none" w:sz="0" w:space="0" w:color="auto" w:frame="1"/>
                <w:lang w:val="en-GB" w:eastAsia="en-AU"/>
              </w:rPr>
            </w:pPr>
            <w:r w:rsidRPr="00794C95">
              <w:rPr>
                <w:rFonts w:cs="Arial"/>
                <w:sz w:val="20"/>
                <w:szCs w:val="20"/>
                <w:bdr w:val="none" w:sz="0" w:space="0" w:color="auto" w:frame="1"/>
                <w:lang w:val="en-GB" w:eastAsia="en-AU"/>
              </w:rPr>
              <w:t>Search for and dispose of dead rodents and slugs/snails in the infested area at each visit to prevent secondary poisoning. In case slugs/snails are present, move bait station to another location within the rodent infested site, away from slugs/snails. Dispose of slugs/snails in a way non-target animals are not exposed. Dispose of dead rodents and uneaten bait in compliance with local, state or territory government regulations.</w:t>
            </w:r>
          </w:p>
          <w:p w14:paraId="1A12C5F4" w14:textId="77777777" w:rsidR="008E67EA" w:rsidRPr="00794C95" w:rsidRDefault="008E67EA" w:rsidP="00B44A74">
            <w:pPr>
              <w:spacing w:line="280" w:lineRule="exact"/>
              <w:rPr>
                <w:rFonts w:cs="Arial"/>
                <w:sz w:val="20"/>
                <w:szCs w:val="20"/>
                <w:bdr w:val="none" w:sz="0" w:space="0" w:color="auto" w:frame="1"/>
                <w:lang w:val="en-GB" w:eastAsia="en-AU"/>
              </w:rPr>
            </w:pPr>
            <w:r w:rsidRPr="00794C95">
              <w:rPr>
                <w:rFonts w:cs="Arial"/>
                <w:sz w:val="20"/>
                <w:szCs w:val="20"/>
                <w:bdr w:val="none" w:sz="0" w:space="0" w:color="auto" w:frame="1"/>
                <w:lang w:val="en-GB" w:eastAsia="en-AU"/>
              </w:rPr>
              <w:t>DO NOT allow livestock or poultry to consume dead or moribund mice and rats. All dead or moribund animals and rodent faeces from baited rodents MUST be removed from areas accessible to livestock or poultry.</w:t>
            </w:r>
          </w:p>
          <w:p w14:paraId="5D40ED64" w14:textId="77777777" w:rsidR="008E67EA" w:rsidRDefault="008E67EA" w:rsidP="00B44A74">
            <w:pPr>
              <w:spacing w:line="280" w:lineRule="exact"/>
              <w:rPr>
                <w:rFonts w:cs="Arial"/>
                <w:sz w:val="20"/>
                <w:szCs w:val="20"/>
                <w:bdr w:val="none" w:sz="0" w:space="0" w:color="auto" w:frame="1"/>
                <w:lang w:val="en-GB" w:eastAsia="en-AU"/>
              </w:rPr>
            </w:pPr>
            <w:r w:rsidRPr="00794C95">
              <w:rPr>
                <w:rFonts w:cs="Arial"/>
                <w:sz w:val="20"/>
                <w:szCs w:val="20"/>
                <w:bdr w:val="none" w:sz="0" w:space="0" w:color="auto" w:frame="1"/>
                <w:lang w:val="en-GB" w:eastAsia="en-AU"/>
              </w:rPr>
              <w:t>The use of this product for the control of protected native rodents and rodent like animals requires permission from wildlife authorities.</w:t>
            </w:r>
          </w:p>
          <w:p w14:paraId="1EE007AC" w14:textId="77777777" w:rsidR="008E67EA" w:rsidRPr="00794C95" w:rsidRDefault="008E67EA" w:rsidP="00B44A74">
            <w:pPr>
              <w:spacing w:line="280" w:lineRule="exact"/>
              <w:rPr>
                <w:rFonts w:cs="Arial"/>
                <w:sz w:val="20"/>
                <w:szCs w:val="20"/>
                <w:bdr w:val="none" w:sz="0" w:space="0" w:color="auto" w:frame="1"/>
                <w:lang w:val="en-GB" w:eastAsia="en-AU"/>
              </w:rPr>
            </w:pPr>
          </w:p>
          <w:p w14:paraId="13930C02" w14:textId="77777777" w:rsidR="008E67EA" w:rsidRPr="00794C95" w:rsidRDefault="008E67EA" w:rsidP="00B44A74">
            <w:pPr>
              <w:spacing w:line="280" w:lineRule="exact"/>
              <w:rPr>
                <w:rFonts w:cs="Arial"/>
                <w:sz w:val="20"/>
                <w:szCs w:val="20"/>
                <w:bdr w:val="none" w:sz="0" w:space="0" w:color="auto" w:frame="1"/>
                <w:lang w:val="en-GB" w:eastAsia="en-AU"/>
              </w:rPr>
            </w:pPr>
            <w:r w:rsidRPr="00794C95">
              <w:rPr>
                <w:rFonts w:cs="Arial"/>
                <w:sz w:val="20"/>
                <w:szCs w:val="20"/>
                <w:bdr w:val="none" w:sz="0" w:space="0" w:color="auto" w:frame="1"/>
                <w:lang w:val="en-GB" w:eastAsia="en-AU"/>
              </w:rPr>
              <w:t>PROTECTION OF FISH, CRUSTACEANS AND ENVIRONMENT</w:t>
            </w:r>
          </w:p>
          <w:p w14:paraId="0B4056E3" w14:textId="77777777" w:rsidR="008E67EA" w:rsidRPr="00794C95" w:rsidRDefault="008E67EA" w:rsidP="00B44A74">
            <w:pPr>
              <w:spacing w:line="280" w:lineRule="exact"/>
              <w:rPr>
                <w:rFonts w:cs="Arial"/>
                <w:sz w:val="20"/>
                <w:szCs w:val="20"/>
              </w:rPr>
            </w:pPr>
            <w:r w:rsidRPr="00794C95">
              <w:rPr>
                <w:rFonts w:cs="Arial"/>
                <w:sz w:val="20"/>
                <w:szCs w:val="20"/>
                <w:bdr w:val="none" w:sz="0" w:space="0" w:color="auto" w:frame="1"/>
                <w:lang w:val="en-GB" w:eastAsia="en-AU"/>
              </w:rPr>
              <w:t>Very toxic to aquatic life. DO NOT contaminate wetlands or watercourses with this product or used containers. Place the bait stations in areas not liable to flooding. When placing bait stations close to water drainage systems, ensure that bait contact with water is avoided.</w:t>
            </w:r>
          </w:p>
        </w:tc>
      </w:tr>
      <w:tr w:rsidR="008E67EA" w:rsidRPr="002B5B5B" w14:paraId="5EDCC5F3" w14:textId="77777777" w:rsidTr="00B44A74">
        <w:trPr>
          <w:jc w:val="center"/>
        </w:trPr>
        <w:tc>
          <w:tcPr>
            <w:tcW w:w="2415" w:type="dxa"/>
            <w:tcBorders>
              <w:top w:val="single" w:sz="4" w:space="0" w:color="auto"/>
              <w:left w:val="nil"/>
              <w:bottom w:val="single" w:sz="4" w:space="0" w:color="auto"/>
              <w:right w:val="nil"/>
            </w:tcBorders>
          </w:tcPr>
          <w:p w14:paraId="68B3F776" w14:textId="77777777" w:rsidR="008E67EA" w:rsidRPr="0073141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B296A38" w14:textId="77777777" w:rsidR="008E67EA" w:rsidRPr="00731415" w:rsidRDefault="008E67EA" w:rsidP="00B44A74">
            <w:pPr>
              <w:spacing w:line="280" w:lineRule="exact"/>
              <w:rPr>
                <w:rFonts w:cs="Arial"/>
                <w:sz w:val="20"/>
                <w:szCs w:val="20"/>
              </w:rPr>
            </w:pPr>
          </w:p>
        </w:tc>
      </w:tr>
      <w:tr w:rsidR="008E67EA" w:rsidRPr="002B5B5B" w14:paraId="2290845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6A2F2C9" w14:textId="77777777" w:rsidR="008E67EA" w:rsidRPr="00F5215F" w:rsidRDefault="008E67EA" w:rsidP="00B44A74">
            <w:pPr>
              <w:spacing w:line="280" w:lineRule="exact"/>
              <w:rPr>
                <w:rFonts w:cs="Arial"/>
                <w:sz w:val="20"/>
                <w:szCs w:val="20"/>
              </w:rPr>
            </w:pPr>
            <w:r w:rsidRPr="00F5215F">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4448FE5B" w14:textId="77777777" w:rsidR="008E67EA" w:rsidRPr="00526D62" w:rsidRDefault="008E67EA" w:rsidP="00B44A74">
            <w:pPr>
              <w:spacing w:line="280" w:lineRule="exact"/>
              <w:rPr>
                <w:rFonts w:cs="Arial"/>
                <w:sz w:val="20"/>
                <w:szCs w:val="20"/>
              </w:rPr>
            </w:pPr>
            <w:r w:rsidRPr="00526D62">
              <w:rPr>
                <w:rFonts w:cs="Arial"/>
                <w:sz w:val="20"/>
                <w:szCs w:val="20"/>
              </w:rPr>
              <w:t>STORAGE AND DISPOSAL</w:t>
            </w:r>
          </w:p>
          <w:p w14:paraId="3F52D422" w14:textId="3A101F09" w:rsidR="008E67EA" w:rsidRDefault="008E67EA" w:rsidP="00B44A74">
            <w:pPr>
              <w:spacing w:line="280" w:lineRule="exact"/>
              <w:rPr>
                <w:rFonts w:cs="Arial"/>
                <w:sz w:val="20"/>
                <w:szCs w:val="20"/>
              </w:rPr>
            </w:pPr>
            <w:r w:rsidRPr="00526D62">
              <w:rPr>
                <w:rFonts w:cs="Arial"/>
                <w:sz w:val="20"/>
                <w:szCs w:val="20"/>
              </w:rPr>
              <w:t>Store in the closed original container in a coo</w:t>
            </w:r>
            <w:r>
              <w:rPr>
                <w:rFonts w:cs="Arial"/>
                <w:sz w:val="20"/>
                <w:szCs w:val="20"/>
              </w:rPr>
              <w:t>l</w:t>
            </w:r>
            <w:r w:rsidRPr="00526D62">
              <w:rPr>
                <w:rFonts w:cs="Arial"/>
                <w:sz w:val="20"/>
                <w:szCs w:val="20"/>
              </w:rPr>
              <w:t>, well-ventilated area. DO NOT store for prolonged periods in direct sunlight.</w:t>
            </w:r>
          </w:p>
          <w:p w14:paraId="67A0E57B" w14:textId="77777777" w:rsidR="008E67EA" w:rsidRPr="00794C95" w:rsidRDefault="008E67EA" w:rsidP="00B44A74">
            <w:pPr>
              <w:spacing w:line="280" w:lineRule="exact"/>
              <w:rPr>
                <w:rFonts w:cs="Arial"/>
                <w:sz w:val="20"/>
                <w:szCs w:val="20"/>
              </w:rPr>
            </w:pPr>
            <w:r w:rsidRPr="00526D62">
              <w:rPr>
                <w:rFonts w:cs="Arial"/>
                <w:sz w:val="20"/>
                <w:szCs w:val="20"/>
              </w:rPr>
              <w:t>Triple rinse containers before disposal. Break, crush or puncture and deliver empty packaging to an approved waste management facility. If an approved waste management facility is not available, dispose of empty packaging in compliance with relevant local, state or territory government regulations. Dispose of unused product in compliance with relevant local, state or territory government regulations. DO NOT burn empty containers or product.</w:t>
            </w:r>
          </w:p>
        </w:tc>
      </w:tr>
      <w:tr w:rsidR="008E67EA" w:rsidRPr="002B5B5B" w14:paraId="2E4F686B" w14:textId="77777777" w:rsidTr="00B44A74">
        <w:trPr>
          <w:jc w:val="center"/>
        </w:trPr>
        <w:tc>
          <w:tcPr>
            <w:tcW w:w="2415" w:type="dxa"/>
            <w:tcBorders>
              <w:top w:val="single" w:sz="4" w:space="0" w:color="auto"/>
              <w:left w:val="nil"/>
              <w:bottom w:val="single" w:sz="4" w:space="0" w:color="auto"/>
              <w:right w:val="nil"/>
            </w:tcBorders>
          </w:tcPr>
          <w:p w14:paraId="1D30C8BB"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3917556" w14:textId="77777777" w:rsidR="008E67EA" w:rsidRPr="002B5B5B" w:rsidRDefault="008E67EA" w:rsidP="00B44A74">
            <w:pPr>
              <w:spacing w:line="280" w:lineRule="exact"/>
              <w:rPr>
                <w:rFonts w:cs="Arial"/>
                <w:sz w:val="20"/>
                <w:szCs w:val="20"/>
              </w:rPr>
            </w:pPr>
          </w:p>
        </w:tc>
      </w:tr>
      <w:tr w:rsidR="008E67EA" w:rsidRPr="002B5B5B" w14:paraId="3F47849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765943C" w14:textId="77777777" w:rsidR="008E67EA" w:rsidRPr="00F5215F" w:rsidRDefault="008E67EA" w:rsidP="00B44A74">
            <w:pPr>
              <w:spacing w:line="280" w:lineRule="exact"/>
              <w:rPr>
                <w:rFonts w:cs="Arial"/>
                <w:sz w:val="20"/>
                <w:szCs w:val="20"/>
              </w:rPr>
            </w:pPr>
            <w:r w:rsidRPr="00F5215F">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4EF48096" w14:textId="77777777" w:rsidR="008E67EA" w:rsidRDefault="008E67EA" w:rsidP="00B44A74">
            <w:pPr>
              <w:spacing w:line="280" w:lineRule="exact"/>
              <w:rPr>
                <w:rFonts w:cs="Arial"/>
                <w:sz w:val="20"/>
                <w:szCs w:val="20"/>
              </w:rPr>
            </w:pPr>
            <w:r w:rsidRPr="00794C95">
              <w:rPr>
                <w:rFonts w:cs="Arial"/>
                <w:sz w:val="20"/>
                <w:szCs w:val="20"/>
              </w:rPr>
              <w:t>SAFETY DIRECTION</w:t>
            </w:r>
          </w:p>
          <w:p w14:paraId="14F5DC94" w14:textId="77777777" w:rsidR="008E67EA" w:rsidRPr="00104AF0" w:rsidRDefault="008E67EA" w:rsidP="00B44A74">
            <w:pPr>
              <w:spacing w:line="280" w:lineRule="exact"/>
              <w:rPr>
                <w:rFonts w:cs="Arial"/>
                <w:sz w:val="20"/>
                <w:szCs w:val="20"/>
              </w:rPr>
            </w:pPr>
            <w:r w:rsidRPr="00104AF0">
              <w:rPr>
                <w:rFonts w:cs="Arial"/>
                <w:sz w:val="20"/>
                <w:szCs w:val="20"/>
              </w:rPr>
              <w:t>Repeated minor exposure may have a cumulative poisoning effect. Do not touch bait, use scoop or measure. When using the product wear disposable gloves. If on skin and after each baiting, wash thoroughly with soap and water.</w:t>
            </w:r>
          </w:p>
          <w:p w14:paraId="371BC453" w14:textId="17836E18" w:rsidR="008E67EA" w:rsidRPr="009A3B08" w:rsidRDefault="008E67EA" w:rsidP="00B44A74">
            <w:pPr>
              <w:spacing w:line="280" w:lineRule="exact"/>
              <w:rPr>
                <w:rFonts w:cs="Arial"/>
                <w:color w:val="7030A0"/>
                <w:sz w:val="20"/>
                <w:szCs w:val="20"/>
              </w:rPr>
            </w:pPr>
            <w:r w:rsidRPr="00104AF0">
              <w:rPr>
                <w:rFonts w:cs="Arial"/>
                <w:sz w:val="20"/>
                <w:szCs w:val="20"/>
              </w:rPr>
              <w:t>During cleanup and disposal operations of bait and bait stations, wear a single layer of clothing and disposable gloves. Wear disposable gloves when handling rodent carcasses. Wash clothes after performing re-handling activities.</w:t>
            </w:r>
          </w:p>
        </w:tc>
      </w:tr>
      <w:tr w:rsidR="008E67EA" w:rsidRPr="002B5B5B" w14:paraId="4F96B367" w14:textId="77777777" w:rsidTr="00B44A74">
        <w:trPr>
          <w:jc w:val="center"/>
        </w:trPr>
        <w:tc>
          <w:tcPr>
            <w:tcW w:w="2415" w:type="dxa"/>
            <w:tcBorders>
              <w:top w:val="single" w:sz="4" w:space="0" w:color="auto"/>
              <w:left w:val="nil"/>
              <w:bottom w:val="single" w:sz="4" w:space="0" w:color="auto"/>
              <w:right w:val="nil"/>
            </w:tcBorders>
          </w:tcPr>
          <w:p w14:paraId="35B63F91"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BB165AF" w14:textId="77777777" w:rsidR="008E67EA" w:rsidRPr="002B5B5B" w:rsidRDefault="008E67EA" w:rsidP="00B44A74">
            <w:pPr>
              <w:spacing w:line="280" w:lineRule="exact"/>
              <w:rPr>
                <w:rFonts w:cs="Arial"/>
                <w:sz w:val="20"/>
                <w:szCs w:val="20"/>
              </w:rPr>
            </w:pPr>
          </w:p>
        </w:tc>
      </w:tr>
      <w:tr w:rsidR="008E67EA" w:rsidRPr="002B5B5B" w14:paraId="1512568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36D6589" w14:textId="77777777" w:rsidR="008E67EA" w:rsidRPr="00F5215F" w:rsidRDefault="008E67EA" w:rsidP="00B44A74">
            <w:pPr>
              <w:spacing w:line="280" w:lineRule="exact"/>
              <w:rPr>
                <w:rFonts w:cs="Arial"/>
                <w:sz w:val="20"/>
                <w:szCs w:val="20"/>
              </w:rPr>
            </w:pPr>
            <w:r w:rsidRPr="00F5215F">
              <w:rPr>
                <w:rFonts w:cs="Arial"/>
                <w:sz w:val="20"/>
                <w:szCs w:val="20"/>
              </w:rPr>
              <w:t>First Aid Instructions:</w:t>
            </w:r>
          </w:p>
        </w:tc>
        <w:tc>
          <w:tcPr>
            <w:tcW w:w="7755" w:type="dxa"/>
            <w:tcBorders>
              <w:top w:val="single" w:sz="4" w:space="0" w:color="auto"/>
              <w:left w:val="single" w:sz="4" w:space="0" w:color="auto"/>
              <w:bottom w:val="single" w:sz="4" w:space="0" w:color="auto"/>
              <w:right w:val="single" w:sz="4" w:space="0" w:color="auto"/>
            </w:tcBorders>
          </w:tcPr>
          <w:p w14:paraId="76DD20EB" w14:textId="77777777" w:rsidR="008E67EA" w:rsidRDefault="008E67EA" w:rsidP="00B44A74">
            <w:pPr>
              <w:spacing w:line="280" w:lineRule="exact"/>
              <w:rPr>
                <w:rFonts w:cs="Arial"/>
                <w:sz w:val="20"/>
                <w:szCs w:val="20"/>
              </w:rPr>
            </w:pPr>
            <w:r>
              <w:rPr>
                <w:rFonts w:cs="Arial"/>
                <w:sz w:val="20"/>
                <w:szCs w:val="20"/>
              </w:rPr>
              <w:t>FIRST AID</w:t>
            </w:r>
          </w:p>
          <w:p w14:paraId="1C44C3A5" w14:textId="77777777" w:rsidR="008E67EA" w:rsidRPr="002B5B5B" w:rsidRDefault="008E67EA" w:rsidP="00B44A74">
            <w:pPr>
              <w:spacing w:line="280" w:lineRule="exact"/>
              <w:rPr>
                <w:rFonts w:cs="Arial"/>
                <w:sz w:val="20"/>
                <w:szCs w:val="20"/>
              </w:rPr>
            </w:pPr>
            <w:r w:rsidRPr="00794C95">
              <w:rPr>
                <w:rFonts w:cs="Arial"/>
                <w:sz w:val="20"/>
                <w:szCs w:val="20"/>
              </w:rPr>
              <w:lastRenderedPageBreak/>
              <w:t>If poisoning occurs, contact a doctor or Poisons Information Centre. Phone Australia 13 11 26, New Zealand 0800 764 766. Vitamin K1 (Phytomenadione) is antidotal.</w:t>
            </w:r>
          </w:p>
        </w:tc>
      </w:tr>
      <w:tr w:rsidR="008E67EA" w:rsidRPr="002B5B5B" w14:paraId="0B50FAD7" w14:textId="77777777" w:rsidTr="00B44A74">
        <w:trPr>
          <w:jc w:val="center"/>
        </w:trPr>
        <w:tc>
          <w:tcPr>
            <w:tcW w:w="2415" w:type="dxa"/>
            <w:tcBorders>
              <w:top w:val="single" w:sz="4" w:space="0" w:color="auto"/>
              <w:left w:val="nil"/>
              <w:bottom w:val="single" w:sz="4" w:space="0" w:color="auto"/>
              <w:right w:val="nil"/>
            </w:tcBorders>
          </w:tcPr>
          <w:p w14:paraId="7B8F2F3E"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F145D6D" w14:textId="77777777" w:rsidR="008E67EA" w:rsidRPr="002B5B5B" w:rsidRDefault="008E67EA" w:rsidP="00B44A74">
            <w:pPr>
              <w:spacing w:line="280" w:lineRule="exact"/>
              <w:rPr>
                <w:rFonts w:cs="Arial"/>
                <w:sz w:val="20"/>
                <w:szCs w:val="20"/>
              </w:rPr>
            </w:pPr>
          </w:p>
        </w:tc>
      </w:tr>
      <w:tr w:rsidR="008E67EA" w:rsidRPr="002B5B5B" w14:paraId="3EB39C4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CB3AE39" w14:textId="77777777" w:rsidR="008E67EA" w:rsidRPr="00F5215F" w:rsidRDefault="008E67EA" w:rsidP="00B44A74">
            <w:pPr>
              <w:spacing w:line="280" w:lineRule="exact"/>
              <w:rPr>
                <w:rFonts w:cs="Arial"/>
                <w:sz w:val="20"/>
                <w:szCs w:val="20"/>
              </w:rPr>
            </w:pPr>
            <w:r w:rsidRPr="00F5215F">
              <w:rPr>
                <w:rFonts w:cs="Arial"/>
                <w:sz w:val="20"/>
                <w:szCs w:val="20"/>
              </w:rPr>
              <w:t>First Aid Warnings:</w:t>
            </w:r>
          </w:p>
        </w:tc>
        <w:tc>
          <w:tcPr>
            <w:tcW w:w="7755" w:type="dxa"/>
            <w:tcBorders>
              <w:top w:val="single" w:sz="4" w:space="0" w:color="auto"/>
              <w:left w:val="single" w:sz="4" w:space="0" w:color="auto"/>
              <w:bottom w:val="single" w:sz="4" w:space="0" w:color="auto"/>
              <w:right w:val="single" w:sz="4" w:space="0" w:color="auto"/>
            </w:tcBorders>
          </w:tcPr>
          <w:p w14:paraId="542F8950" w14:textId="77777777" w:rsidR="008E67EA" w:rsidRPr="002B5B5B" w:rsidRDefault="008E67EA" w:rsidP="00B44A74">
            <w:pPr>
              <w:spacing w:line="280" w:lineRule="exact"/>
              <w:rPr>
                <w:rFonts w:cs="Arial"/>
                <w:sz w:val="20"/>
                <w:szCs w:val="20"/>
              </w:rPr>
            </w:pPr>
          </w:p>
        </w:tc>
      </w:tr>
    </w:tbl>
    <w:p w14:paraId="0B7F1DF2" w14:textId="77777777" w:rsidR="008E67EA" w:rsidRDefault="008E67EA" w:rsidP="008E67EA">
      <w:pPr>
        <w:spacing w:line="280" w:lineRule="exact"/>
        <w:rPr>
          <w:rFonts w:cs="Arial"/>
          <w:b/>
          <w:bCs/>
          <w:sz w:val="20"/>
          <w:szCs w:val="20"/>
        </w:rPr>
      </w:pPr>
    </w:p>
    <w:p w14:paraId="26AC91B3" w14:textId="77777777" w:rsidR="008E67EA" w:rsidRPr="00FF36BF" w:rsidRDefault="008E67EA" w:rsidP="008E67EA">
      <w:pPr>
        <w:spacing w:line="280" w:lineRule="exact"/>
        <w:rPr>
          <w:rFonts w:cs="Arial"/>
          <w:b/>
          <w:bCs/>
          <w:sz w:val="20"/>
          <w:szCs w:val="20"/>
        </w:rPr>
      </w:pPr>
      <w:r w:rsidRPr="00FF36BF">
        <w:rPr>
          <w:rFonts w:cs="Arial"/>
          <w:b/>
          <w:bCs/>
          <w:sz w:val="20"/>
          <w:szCs w:val="20"/>
        </w:rPr>
        <w:t>DIRECTIONS FOR USE</w:t>
      </w:r>
    </w:p>
    <w:tbl>
      <w:tblPr>
        <w:tblStyle w:val="TableGrid"/>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275"/>
        <w:gridCol w:w="1276"/>
        <w:gridCol w:w="4214"/>
      </w:tblGrid>
      <w:tr w:rsidR="008E67EA" w:rsidRPr="00A27FD2" w14:paraId="5596A0F8" w14:textId="77777777" w:rsidTr="00731415">
        <w:trPr>
          <w:trHeight w:val="340"/>
        </w:trPr>
        <w:tc>
          <w:tcPr>
            <w:tcW w:w="2235" w:type="dxa"/>
          </w:tcPr>
          <w:p w14:paraId="455E5020" w14:textId="77777777" w:rsidR="008E67EA" w:rsidRPr="00382A84" w:rsidRDefault="008E67EA" w:rsidP="00B44A74">
            <w:pPr>
              <w:spacing w:line="280" w:lineRule="exact"/>
              <w:rPr>
                <w:rFonts w:cs="Arial"/>
                <w:b/>
                <w:bCs/>
                <w:szCs w:val="18"/>
              </w:rPr>
            </w:pPr>
            <w:r w:rsidRPr="00382A84">
              <w:rPr>
                <w:rFonts w:cs="Arial"/>
                <w:b/>
                <w:bCs/>
                <w:szCs w:val="18"/>
              </w:rPr>
              <w:t>SITUATION</w:t>
            </w:r>
          </w:p>
        </w:tc>
        <w:tc>
          <w:tcPr>
            <w:tcW w:w="1275" w:type="dxa"/>
          </w:tcPr>
          <w:p w14:paraId="4E34BC22" w14:textId="77777777" w:rsidR="008E67EA" w:rsidRPr="00382A84" w:rsidRDefault="008E67EA" w:rsidP="00B44A74">
            <w:pPr>
              <w:spacing w:line="280" w:lineRule="exact"/>
              <w:rPr>
                <w:rFonts w:cs="Arial"/>
                <w:b/>
                <w:bCs/>
                <w:szCs w:val="18"/>
              </w:rPr>
            </w:pPr>
            <w:r w:rsidRPr="00382A84">
              <w:rPr>
                <w:rFonts w:cs="Arial"/>
                <w:b/>
                <w:bCs/>
                <w:szCs w:val="18"/>
              </w:rPr>
              <w:t>PEST</w:t>
            </w:r>
          </w:p>
        </w:tc>
        <w:tc>
          <w:tcPr>
            <w:tcW w:w="1276" w:type="dxa"/>
          </w:tcPr>
          <w:p w14:paraId="58223C64" w14:textId="77777777" w:rsidR="008E67EA" w:rsidRPr="00382A84" w:rsidRDefault="008E67EA" w:rsidP="00B44A74">
            <w:pPr>
              <w:spacing w:line="280" w:lineRule="exact"/>
              <w:rPr>
                <w:rFonts w:cs="Arial"/>
                <w:b/>
                <w:bCs/>
                <w:szCs w:val="18"/>
              </w:rPr>
            </w:pPr>
            <w:r w:rsidRPr="00382A84">
              <w:rPr>
                <w:rFonts w:cs="Arial"/>
                <w:b/>
                <w:bCs/>
                <w:szCs w:val="18"/>
              </w:rPr>
              <w:t>RATE</w:t>
            </w:r>
          </w:p>
        </w:tc>
        <w:tc>
          <w:tcPr>
            <w:tcW w:w="4214" w:type="dxa"/>
          </w:tcPr>
          <w:p w14:paraId="3473B294" w14:textId="77777777" w:rsidR="008E67EA" w:rsidRPr="00382A84" w:rsidRDefault="008E67EA" w:rsidP="00B44A74">
            <w:pPr>
              <w:spacing w:line="280" w:lineRule="exact"/>
              <w:rPr>
                <w:rFonts w:cs="Arial"/>
                <w:b/>
                <w:bCs/>
                <w:szCs w:val="18"/>
              </w:rPr>
            </w:pPr>
            <w:r w:rsidRPr="00382A84">
              <w:rPr>
                <w:rFonts w:cs="Arial"/>
                <w:b/>
                <w:bCs/>
                <w:szCs w:val="18"/>
              </w:rPr>
              <w:t>CRITICAL COMMENTS</w:t>
            </w:r>
          </w:p>
        </w:tc>
      </w:tr>
      <w:tr w:rsidR="008E67EA" w:rsidRPr="00A27FD2" w14:paraId="3274C3D2" w14:textId="77777777" w:rsidTr="00731415">
        <w:trPr>
          <w:trHeight w:val="1125"/>
        </w:trPr>
        <w:tc>
          <w:tcPr>
            <w:tcW w:w="2235" w:type="dxa"/>
          </w:tcPr>
          <w:p w14:paraId="0EAA35B2" w14:textId="77777777" w:rsidR="008E67EA" w:rsidRPr="006A3858" w:rsidRDefault="008E67EA" w:rsidP="00B44A74">
            <w:pPr>
              <w:spacing w:after="120" w:line="240" w:lineRule="exact"/>
              <w:rPr>
                <w:rFonts w:cs="Arial"/>
                <w:bCs/>
                <w:spacing w:val="-2"/>
                <w:w w:val="105"/>
                <w:szCs w:val="18"/>
              </w:rPr>
            </w:pPr>
            <w:r w:rsidRPr="006A3858">
              <w:rPr>
                <w:rFonts w:cs="Arial"/>
                <w:bCs/>
                <w:spacing w:val="-2"/>
                <w:w w:val="105"/>
                <w:szCs w:val="18"/>
              </w:rPr>
              <w:t xml:space="preserve">In and around (within 2 meters) industrial, commercial, public services, agricultural and domestic buildings. </w:t>
            </w:r>
          </w:p>
        </w:tc>
        <w:tc>
          <w:tcPr>
            <w:tcW w:w="1275" w:type="dxa"/>
          </w:tcPr>
          <w:p w14:paraId="32DA9AD9" w14:textId="77777777" w:rsidR="008E67EA" w:rsidRPr="006A3858" w:rsidRDefault="008E67EA" w:rsidP="00B44A74">
            <w:pPr>
              <w:spacing w:after="120" w:line="240" w:lineRule="exact"/>
              <w:rPr>
                <w:rFonts w:cs="Arial"/>
                <w:szCs w:val="18"/>
              </w:rPr>
            </w:pPr>
            <w:r w:rsidRPr="006A3858">
              <w:rPr>
                <w:rFonts w:cs="Arial"/>
                <w:bCs/>
                <w:spacing w:val="-2"/>
                <w:w w:val="105"/>
                <w:szCs w:val="18"/>
              </w:rPr>
              <w:t>Rats (</w:t>
            </w:r>
            <w:r w:rsidRPr="006A3858">
              <w:rPr>
                <w:rFonts w:cs="Arial"/>
                <w:bCs/>
                <w:i/>
                <w:iCs/>
                <w:spacing w:val="-2"/>
                <w:w w:val="105"/>
                <w:szCs w:val="18"/>
              </w:rPr>
              <w:t>Rattus norvegius, Rattus rattus</w:t>
            </w:r>
            <w:r w:rsidRPr="006A3858">
              <w:rPr>
                <w:rFonts w:cs="Arial"/>
                <w:bCs/>
                <w:spacing w:val="-2"/>
                <w:w w:val="105"/>
                <w:szCs w:val="18"/>
              </w:rPr>
              <w:t>)</w:t>
            </w:r>
          </w:p>
        </w:tc>
        <w:tc>
          <w:tcPr>
            <w:tcW w:w="1276" w:type="dxa"/>
            <w:vMerge w:val="restart"/>
          </w:tcPr>
          <w:p w14:paraId="6B35E752" w14:textId="28234FAF" w:rsidR="008E67EA" w:rsidRPr="006A3858" w:rsidRDefault="008E67EA" w:rsidP="00731415">
            <w:pPr>
              <w:spacing w:after="120" w:line="240" w:lineRule="exact"/>
              <w:rPr>
                <w:rFonts w:cs="Arial"/>
                <w:bCs/>
                <w:spacing w:val="-2"/>
                <w:w w:val="105"/>
                <w:szCs w:val="18"/>
              </w:rPr>
            </w:pPr>
            <w:r w:rsidRPr="00F92F45">
              <w:rPr>
                <w:rFonts w:cs="Arial"/>
                <w:bCs/>
                <w:spacing w:val="-2"/>
                <w:w w:val="105"/>
                <w:szCs w:val="18"/>
              </w:rPr>
              <w:t>1 or more</w:t>
            </w:r>
            <w:r>
              <w:rPr>
                <w:rFonts w:cs="Arial"/>
                <w:bCs/>
                <w:spacing w:val="-2"/>
                <w:w w:val="105"/>
                <w:szCs w:val="18"/>
              </w:rPr>
              <w:t xml:space="preserve"> </w:t>
            </w:r>
            <w:r w:rsidRPr="00F92F45">
              <w:rPr>
                <w:rFonts w:cs="Arial"/>
                <w:bCs/>
                <w:spacing w:val="-2"/>
                <w:w w:val="105"/>
                <w:szCs w:val="18"/>
              </w:rPr>
              <w:t>blocks per bait</w:t>
            </w:r>
            <w:r>
              <w:rPr>
                <w:rFonts w:cs="Arial"/>
                <w:bCs/>
                <w:spacing w:val="-2"/>
                <w:w w:val="105"/>
                <w:szCs w:val="18"/>
              </w:rPr>
              <w:t xml:space="preserve"> </w:t>
            </w:r>
            <w:r w:rsidRPr="00F92F45">
              <w:rPr>
                <w:rFonts w:cs="Arial"/>
                <w:bCs/>
                <w:spacing w:val="-2"/>
                <w:w w:val="105"/>
                <w:szCs w:val="18"/>
              </w:rPr>
              <w:t>station</w:t>
            </w:r>
            <w:r>
              <w:rPr>
                <w:rFonts w:cs="Arial"/>
                <w:bCs/>
                <w:spacing w:val="-2"/>
                <w:w w:val="105"/>
                <w:szCs w:val="18"/>
              </w:rPr>
              <w:t xml:space="preserve"> </w:t>
            </w:r>
            <w:r w:rsidRPr="00F92F45">
              <w:rPr>
                <w:rFonts w:cs="Arial"/>
                <w:bCs/>
                <w:spacing w:val="-2"/>
                <w:w w:val="105"/>
                <w:szCs w:val="18"/>
              </w:rPr>
              <w:t>depending on</w:t>
            </w:r>
            <w:r>
              <w:rPr>
                <w:rFonts w:cs="Arial"/>
                <w:bCs/>
                <w:spacing w:val="-2"/>
                <w:w w:val="105"/>
                <w:szCs w:val="18"/>
              </w:rPr>
              <w:t xml:space="preserve"> </w:t>
            </w:r>
            <w:r w:rsidRPr="00F92F45">
              <w:rPr>
                <w:rFonts w:cs="Arial"/>
                <w:bCs/>
                <w:spacing w:val="-2"/>
                <w:w w:val="105"/>
                <w:szCs w:val="18"/>
              </w:rPr>
              <w:t>level of</w:t>
            </w:r>
            <w:r>
              <w:rPr>
                <w:rFonts w:cs="Arial"/>
                <w:bCs/>
                <w:spacing w:val="-2"/>
                <w:w w:val="105"/>
                <w:szCs w:val="18"/>
              </w:rPr>
              <w:t xml:space="preserve"> </w:t>
            </w:r>
            <w:r w:rsidRPr="00F92F45">
              <w:rPr>
                <w:rFonts w:cs="Arial"/>
                <w:bCs/>
                <w:spacing w:val="-2"/>
                <w:w w:val="105"/>
                <w:szCs w:val="18"/>
              </w:rPr>
              <w:t>infestation</w:t>
            </w:r>
          </w:p>
        </w:tc>
        <w:tc>
          <w:tcPr>
            <w:tcW w:w="4214" w:type="dxa"/>
            <w:vMerge w:val="restart"/>
          </w:tcPr>
          <w:p w14:paraId="0DF83046" w14:textId="77777777" w:rsidR="008E67EA" w:rsidRPr="00F92F45" w:rsidRDefault="008E67EA" w:rsidP="00B44A74">
            <w:pPr>
              <w:spacing w:after="120" w:line="240" w:lineRule="exact"/>
              <w:rPr>
                <w:rFonts w:cs="Arial"/>
                <w:bCs/>
                <w:spacing w:val="-2"/>
                <w:w w:val="105"/>
                <w:szCs w:val="18"/>
              </w:rPr>
            </w:pPr>
            <w:r w:rsidRPr="00F92F45">
              <w:rPr>
                <w:rFonts w:cs="Arial"/>
                <w:bCs/>
                <w:spacing w:val="-2"/>
                <w:w w:val="105"/>
                <w:szCs w:val="18"/>
              </w:rPr>
              <w:t xml:space="preserve">Place bait stations </w:t>
            </w:r>
            <w:r w:rsidRPr="008916E2">
              <w:rPr>
                <w:rFonts w:cs="Arial"/>
                <w:bCs/>
                <w:spacing w:val="-2"/>
                <w:w w:val="105"/>
                <w:szCs w:val="18"/>
              </w:rPr>
              <w:t>Bait areas where evidence of rodents can</w:t>
            </w:r>
            <w:r>
              <w:rPr>
                <w:rFonts w:cs="Arial"/>
                <w:bCs/>
                <w:spacing w:val="-2"/>
                <w:w w:val="105"/>
                <w:szCs w:val="18"/>
              </w:rPr>
              <w:t xml:space="preserve"> </w:t>
            </w:r>
            <w:r w:rsidRPr="008916E2">
              <w:rPr>
                <w:rFonts w:cs="Arial"/>
                <w:bCs/>
                <w:spacing w:val="-2"/>
                <w:w w:val="105"/>
                <w:szCs w:val="18"/>
              </w:rPr>
              <w:t>be observed, and/or areas where conditions might encourage rodent activity.</w:t>
            </w:r>
          </w:p>
          <w:p w14:paraId="0560AE19" w14:textId="6DB4B28E" w:rsidR="008E67EA" w:rsidRPr="00F92F45" w:rsidRDefault="008E67EA" w:rsidP="00B44A74">
            <w:pPr>
              <w:spacing w:after="120" w:line="240" w:lineRule="exact"/>
              <w:rPr>
                <w:rFonts w:cs="Arial"/>
                <w:bCs/>
                <w:spacing w:val="-2"/>
                <w:w w:val="105"/>
                <w:szCs w:val="18"/>
              </w:rPr>
            </w:pPr>
            <w:r w:rsidRPr="00F92F45">
              <w:rPr>
                <w:rFonts w:cs="Arial"/>
                <w:bCs/>
                <w:spacing w:val="-2"/>
                <w:w w:val="105"/>
                <w:szCs w:val="18"/>
              </w:rPr>
              <w:t xml:space="preserve"> </w:t>
            </w:r>
            <w:r w:rsidRPr="00F92F45">
              <w:rPr>
                <w:rFonts w:cs="Arial"/>
                <w:b/>
                <w:i/>
                <w:iCs/>
                <w:spacing w:val="-2"/>
                <w:w w:val="105"/>
                <w:szCs w:val="18"/>
              </w:rPr>
              <w:t>For rats:</w:t>
            </w:r>
            <w:r w:rsidRPr="00F92F45">
              <w:rPr>
                <w:rFonts w:cs="Arial"/>
                <w:bCs/>
                <w:spacing w:val="-2"/>
                <w:w w:val="105"/>
                <w:szCs w:val="18"/>
              </w:rPr>
              <w:t xml:space="preserve"> Place bait stations at intervals of 5 to 9 m in infested areas. DO NOT exceed 9 m between bait stations.</w:t>
            </w:r>
          </w:p>
          <w:p w14:paraId="69039F31" w14:textId="4832E473" w:rsidR="008E67EA" w:rsidRPr="00F92F45" w:rsidRDefault="008E67EA" w:rsidP="00B44A74">
            <w:pPr>
              <w:spacing w:after="120" w:line="240" w:lineRule="exact"/>
              <w:rPr>
                <w:rFonts w:cs="Arial"/>
                <w:bCs/>
                <w:spacing w:val="-2"/>
                <w:w w:val="105"/>
                <w:szCs w:val="18"/>
              </w:rPr>
            </w:pPr>
            <w:r w:rsidRPr="00F92F45">
              <w:rPr>
                <w:rFonts w:cs="Arial"/>
                <w:b/>
                <w:i/>
                <w:iCs/>
                <w:spacing w:val="-2"/>
                <w:w w:val="105"/>
                <w:szCs w:val="18"/>
              </w:rPr>
              <w:t>For mice:</w:t>
            </w:r>
            <w:r w:rsidRPr="00F92F45">
              <w:rPr>
                <w:rFonts w:cs="Arial"/>
                <w:bCs/>
                <w:spacing w:val="-2"/>
                <w:w w:val="105"/>
                <w:szCs w:val="18"/>
              </w:rPr>
              <w:t xml:space="preserve"> Place bait stations at intervals of 2 to 3 m in infested areas. DO NOT exceed 3 m between bait stations.</w:t>
            </w:r>
          </w:p>
          <w:p w14:paraId="4AFEF7C9" w14:textId="77777777" w:rsidR="008E67EA" w:rsidRPr="006A3858" w:rsidRDefault="008E67EA" w:rsidP="00B44A74">
            <w:pPr>
              <w:spacing w:after="120" w:line="240" w:lineRule="exact"/>
              <w:rPr>
                <w:rFonts w:cs="Arial"/>
                <w:bCs/>
                <w:spacing w:val="-2"/>
                <w:w w:val="105"/>
                <w:szCs w:val="18"/>
                <w:highlight w:val="yellow"/>
              </w:rPr>
            </w:pPr>
            <w:r w:rsidRPr="00F92F45">
              <w:rPr>
                <w:rFonts w:cs="Arial"/>
                <w:bCs/>
                <w:spacing w:val="-2"/>
                <w:w w:val="105"/>
                <w:szCs w:val="18"/>
              </w:rPr>
              <w:t>For large infestations and when using larger bait stations, use more blocks per station and use a shorter distance between bait stations.</w:t>
            </w:r>
          </w:p>
        </w:tc>
      </w:tr>
      <w:tr w:rsidR="008E67EA" w:rsidRPr="00A27FD2" w14:paraId="2019B2C0" w14:textId="77777777" w:rsidTr="00731415">
        <w:trPr>
          <w:trHeight w:val="841"/>
        </w:trPr>
        <w:tc>
          <w:tcPr>
            <w:tcW w:w="2235" w:type="dxa"/>
          </w:tcPr>
          <w:p w14:paraId="4489150C" w14:textId="77777777" w:rsidR="008E67EA" w:rsidRPr="006A3858" w:rsidRDefault="008E67EA" w:rsidP="00B44A74">
            <w:pPr>
              <w:spacing w:after="120" w:line="240" w:lineRule="exact"/>
              <w:rPr>
                <w:rFonts w:cs="Arial"/>
                <w:bCs/>
                <w:spacing w:val="-2"/>
                <w:w w:val="105"/>
                <w:szCs w:val="18"/>
              </w:rPr>
            </w:pPr>
            <w:r w:rsidRPr="006A3858">
              <w:rPr>
                <w:rFonts w:cs="Arial"/>
                <w:bCs/>
                <w:spacing w:val="-2"/>
                <w:w w:val="105"/>
                <w:szCs w:val="18"/>
              </w:rPr>
              <w:t>In industrial, commercial, public services, agricultural and domestic buildings.</w:t>
            </w:r>
          </w:p>
        </w:tc>
        <w:tc>
          <w:tcPr>
            <w:tcW w:w="1275" w:type="dxa"/>
          </w:tcPr>
          <w:p w14:paraId="59F94B51" w14:textId="77777777" w:rsidR="008E67EA" w:rsidRPr="006A3858" w:rsidRDefault="008E67EA" w:rsidP="00B44A74">
            <w:pPr>
              <w:spacing w:after="120" w:line="240" w:lineRule="exact"/>
              <w:rPr>
                <w:rFonts w:cs="Arial"/>
                <w:bCs/>
                <w:i/>
                <w:iCs/>
                <w:spacing w:val="-2"/>
                <w:w w:val="105"/>
                <w:szCs w:val="18"/>
              </w:rPr>
            </w:pPr>
            <w:r w:rsidRPr="006A3858">
              <w:rPr>
                <w:rFonts w:cs="Arial"/>
                <w:bCs/>
                <w:spacing w:val="-2"/>
                <w:w w:val="105"/>
                <w:szCs w:val="18"/>
              </w:rPr>
              <w:t>Mice (</w:t>
            </w:r>
            <w:r w:rsidRPr="006A3858">
              <w:rPr>
                <w:rFonts w:cs="Arial"/>
                <w:bCs/>
                <w:i/>
                <w:iCs/>
                <w:spacing w:val="-2"/>
                <w:w w:val="105"/>
                <w:szCs w:val="18"/>
              </w:rPr>
              <w:t>Mus musculus</w:t>
            </w:r>
            <w:r w:rsidRPr="006A3858">
              <w:rPr>
                <w:rFonts w:cs="Arial"/>
                <w:bCs/>
                <w:spacing w:val="-2"/>
                <w:w w:val="105"/>
                <w:szCs w:val="18"/>
              </w:rPr>
              <w:t>)</w:t>
            </w:r>
          </w:p>
        </w:tc>
        <w:tc>
          <w:tcPr>
            <w:tcW w:w="1276" w:type="dxa"/>
            <w:vMerge/>
          </w:tcPr>
          <w:p w14:paraId="4BCB5A16" w14:textId="77777777" w:rsidR="008E67EA" w:rsidRPr="006A3858" w:rsidRDefault="008E67EA" w:rsidP="00B44A74">
            <w:pPr>
              <w:spacing w:after="120" w:line="240" w:lineRule="exact"/>
              <w:rPr>
                <w:rFonts w:cs="Arial"/>
                <w:bCs/>
                <w:spacing w:val="-2"/>
                <w:w w:val="105"/>
                <w:szCs w:val="18"/>
              </w:rPr>
            </w:pPr>
          </w:p>
        </w:tc>
        <w:tc>
          <w:tcPr>
            <w:tcW w:w="4214" w:type="dxa"/>
            <w:vMerge/>
          </w:tcPr>
          <w:p w14:paraId="534BDAE7" w14:textId="77777777" w:rsidR="008E67EA" w:rsidRPr="006A3858" w:rsidRDefault="008E67EA" w:rsidP="00B44A74">
            <w:pPr>
              <w:ind w:firstLine="720"/>
              <w:rPr>
                <w:rFonts w:cs="Arial"/>
                <w:bCs/>
                <w:spacing w:val="-2"/>
                <w:w w:val="105"/>
                <w:szCs w:val="18"/>
                <w:highlight w:val="yellow"/>
              </w:rPr>
            </w:pPr>
          </w:p>
        </w:tc>
      </w:tr>
    </w:tbl>
    <w:p w14:paraId="14EB39A2" w14:textId="77777777" w:rsidR="008E67EA" w:rsidRDefault="008E67EA" w:rsidP="008E67EA">
      <w:pPr>
        <w:spacing w:line="280" w:lineRule="exact"/>
        <w:rPr>
          <w:rFonts w:cs="Arial"/>
          <w:b/>
          <w:bCs/>
          <w:sz w:val="20"/>
          <w:szCs w:val="20"/>
        </w:rPr>
      </w:pPr>
    </w:p>
    <w:p w14:paraId="1F0EB313" w14:textId="77777777" w:rsidR="008E67EA" w:rsidRPr="00DC2C8B" w:rsidRDefault="008E67EA" w:rsidP="008E67EA">
      <w:pPr>
        <w:spacing w:line="280" w:lineRule="exact"/>
        <w:rPr>
          <w:rFonts w:cs="Arial"/>
          <w:b/>
          <w:bCs/>
          <w:color w:val="000000" w:themeColor="text1"/>
          <w:sz w:val="20"/>
          <w:szCs w:val="20"/>
        </w:rPr>
      </w:pPr>
      <w:r w:rsidRPr="00DC2C8B">
        <w:rPr>
          <w:rFonts w:cs="Arial"/>
          <w:b/>
          <w:bCs/>
          <w:color w:val="000000" w:themeColor="text1"/>
          <w:sz w:val="20"/>
          <w:szCs w:val="20"/>
        </w:rPr>
        <w:t>Baiting Strategy</w:t>
      </w:r>
    </w:p>
    <w:p w14:paraId="11F8B4B9" w14:textId="4D19C5CF" w:rsidR="008E67EA" w:rsidRPr="00E6656C" w:rsidRDefault="008E67EA" w:rsidP="008E67EA">
      <w:pPr>
        <w:spacing w:line="280" w:lineRule="exact"/>
        <w:rPr>
          <w:rFonts w:cs="Arial"/>
          <w:sz w:val="20"/>
          <w:szCs w:val="20"/>
        </w:rPr>
      </w:pPr>
      <w:r w:rsidRPr="00E6656C">
        <w:rPr>
          <w:rFonts w:cs="Arial"/>
          <w:sz w:val="20"/>
          <w:szCs w:val="20"/>
        </w:rPr>
        <w:t>Eliminate as far as practicable all alternative food sources.</w:t>
      </w:r>
    </w:p>
    <w:p w14:paraId="0D39E85D" w14:textId="06EA8B23" w:rsidR="008E67EA" w:rsidRPr="00E6656C" w:rsidRDefault="008E67EA" w:rsidP="008E67EA">
      <w:pPr>
        <w:spacing w:line="280" w:lineRule="exact"/>
        <w:rPr>
          <w:rFonts w:eastAsia="Calibri" w:cs="Arial"/>
          <w:sz w:val="20"/>
          <w:szCs w:val="20"/>
          <w:bdr w:val="none" w:sz="0" w:space="0" w:color="auto" w:frame="1"/>
          <w:lang w:val="en-GB" w:eastAsia="en-AU"/>
        </w:rPr>
      </w:pPr>
      <w:r w:rsidRPr="00E6656C">
        <w:rPr>
          <w:rFonts w:eastAsia="Calibri" w:cs="Arial"/>
          <w:sz w:val="20"/>
          <w:szCs w:val="20"/>
          <w:bdr w:val="none" w:sz="0" w:space="0" w:color="auto" w:frame="1"/>
          <w:lang w:val="en-GB" w:eastAsia="en-AU"/>
        </w:rPr>
        <w:t>Survey site prior to treatment, including assessment of the extent of infestation and identification of any indications of the presence of non-target animals.</w:t>
      </w:r>
    </w:p>
    <w:p w14:paraId="0193F262" w14:textId="70C66A57" w:rsidR="008E67EA" w:rsidRPr="00E6656C" w:rsidRDefault="008E67EA" w:rsidP="008E67EA">
      <w:pPr>
        <w:spacing w:line="280" w:lineRule="exact"/>
        <w:rPr>
          <w:rFonts w:eastAsia="Calibri" w:cs="Arial"/>
          <w:sz w:val="20"/>
          <w:szCs w:val="20"/>
          <w:bdr w:val="none" w:sz="0" w:space="0" w:color="auto" w:frame="1"/>
          <w:lang w:val="en-GB" w:eastAsia="en-AU"/>
        </w:rPr>
      </w:pPr>
      <w:r w:rsidRPr="00E6656C">
        <w:rPr>
          <w:rFonts w:eastAsia="Calibri" w:cs="Arial"/>
          <w:sz w:val="20"/>
          <w:szCs w:val="20"/>
          <w:bdr w:val="none" w:sz="0" w:space="0" w:color="auto" w:frame="1"/>
          <w:lang w:val="en-GB" w:eastAsia="en-AU"/>
        </w:rPr>
        <w:t>Record the number and locations of bait stations for the purpose of inspection, replacement and later removal. Always use tamper-resistant bait stations that are secured in place in child accessible areas, outdoors and in animal or livestock housing. When used in food producing animal housing situations careful consideration is necessary regarding the placement of bait stations to ensure any rodenticide contamination of water, feed or livestock is prevented.</w:t>
      </w:r>
    </w:p>
    <w:p w14:paraId="23C64EBA" w14:textId="6EE8772F" w:rsidR="008E67EA" w:rsidRDefault="008E67EA" w:rsidP="008E67EA">
      <w:pPr>
        <w:spacing w:line="280" w:lineRule="exact"/>
        <w:rPr>
          <w:rFonts w:eastAsia="Calibri" w:cs="Arial"/>
          <w:sz w:val="20"/>
          <w:szCs w:val="20"/>
          <w:bdr w:val="none" w:sz="0" w:space="0" w:color="auto" w:frame="1"/>
          <w:lang w:val="en-GB" w:eastAsia="en-AU"/>
        </w:rPr>
      </w:pPr>
      <w:r w:rsidRPr="008916E2">
        <w:rPr>
          <w:rFonts w:cs="Arial"/>
          <w:sz w:val="20"/>
          <w:szCs w:val="20"/>
        </w:rPr>
        <w:t xml:space="preserve">Inspect baits </w:t>
      </w:r>
      <w:r w:rsidRPr="008916E2">
        <w:rPr>
          <w:rFonts w:cs="Arial"/>
          <w:bCs/>
          <w:spacing w:val="-2"/>
          <w:w w:val="105"/>
          <w:szCs w:val="18"/>
        </w:rPr>
        <w:t>at intervals no more than 7 days apart</w:t>
      </w:r>
      <w:r w:rsidRPr="008916E2">
        <w:rPr>
          <w:rFonts w:cs="Arial"/>
          <w:sz w:val="20"/>
          <w:szCs w:val="20"/>
        </w:rPr>
        <w:t>, as determined by professional assessment. Replace eaten or old/deteriorated baits. If quickly eaten increase the number of baits in the bait station. Continue observation during routine inspections and replenish until no more baits are taken. Most deaths occur 4 to 7 days after consumption of bait. Baiting for at least two weeks is necessary to reduce rat/mouse numbers.</w:t>
      </w:r>
    </w:p>
    <w:p w14:paraId="09C70719" w14:textId="77777777" w:rsidR="008E67EA" w:rsidRPr="000559AD" w:rsidRDefault="008E67EA" w:rsidP="008E67EA">
      <w:pPr>
        <w:spacing w:line="280" w:lineRule="exact"/>
        <w:rPr>
          <w:rFonts w:eastAsia="Calibri" w:cs="Arial"/>
          <w:sz w:val="20"/>
          <w:szCs w:val="20"/>
          <w:bdr w:val="none" w:sz="0" w:space="0" w:color="auto" w:frame="1"/>
          <w:lang w:val="en-GB" w:eastAsia="en-AU"/>
        </w:rPr>
      </w:pPr>
      <w:r w:rsidRPr="00E6656C">
        <w:rPr>
          <w:rFonts w:eastAsia="Calibri" w:cs="Arial"/>
          <w:sz w:val="20"/>
          <w:szCs w:val="20"/>
          <w:bdr w:val="none" w:sz="0" w:space="0" w:color="auto" w:frame="1"/>
          <w:lang w:val="en-GB" w:eastAsia="en-AU"/>
        </w:rPr>
        <w:t>DO NOT use the product beyond 35 days without an evaluation of the state of the infestation and of the efficacy of the treatment.</w:t>
      </w:r>
      <w:r w:rsidRPr="00E6656C">
        <w:rPr>
          <w:rFonts w:cs="Arial"/>
          <w:sz w:val="20"/>
          <w:szCs w:val="20"/>
        </w:rPr>
        <w:t xml:space="preserve"> </w:t>
      </w:r>
      <w:r w:rsidRPr="00E6656C">
        <w:rPr>
          <w:rFonts w:eastAsia="Calibri" w:cs="Arial"/>
          <w:sz w:val="20"/>
          <w:szCs w:val="20"/>
          <w:bdr w:val="none" w:sz="0" w:space="0" w:color="auto" w:frame="1"/>
          <w:lang w:val="en-GB" w:eastAsia="en-AU"/>
        </w:rPr>
        <w:t>Remove all uneaten bait at the end of treatment.</w:t>
      </w:r>
    </w:p>
    <w:p w14:paraId="38678985" w14:textId="77777777" w:rsidR="00731415" w:rsidRDefault="008E67EA" w:rsidP="00731415">
      <w:pPr>
        <w:spacing w:line="280" w:lineRule="exact"/>
        <w:rPr>
          <w:rFonts w:cs="Arial"/>
          <w:b/>
          <w:bCs/>
          <w:sz w:val="20"/>
          <w:szCs w:val="20"/>
        </w:rPr>
        <w:sectPr w:rsidR="00731415" w:rsidSect="00CB73E0">
          <w:pgSz w:w="11906" w:h="16838"/>
          <w:pgMar w:top="1440" w:right="1134" w:bottom="1440" w:left="1134" w:header="794" w:footer="737" w:gutter="0"/>
          <w:cols w:space="708"/>
          <w:docGrid w:linePitch="360"/>
        </w:sectPr>
      </w:pPr>
      <w:r w:rsidRPr="00FF36BF">
        <w:rPr>
          <w:rFonts w:cs="Arial"/>
          <w:b/>
          <w:bCs/>
          <w:sz w:val="20"/>
          <w:szCs w:val="20"/>
        </w:rPr>
        <w:t>NOT TO BE USED FOR ANY PURPOSE, OR IN ANY MANNER, CONTRARY TO THIS LABEL UNLESS AUTHORISED UNDER APPROPRIATE LEGISLATION.</w:t>
      </w:r>
    </w:p>
    <w:p w14:paraId="5BC7485C" w14:textId="77777777" w:rsidR="008E67EA"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lastRenderedPageBreak/>
        <w:t xml:space="preserve">Template Label </w:t>
      </w:r>
      <w:r>
        <w:rPr>
          <w:rFonts w:cs="Arial"/>
          <w:b/>
          <w:bCs/>
          <w:sz w:val="20"/>
          <w:szCs w:val="20"/>
          <w:bdr w:val="none" w:sz="0" w:space="0" w:color="auto" w:frame="1"/>
          <w:lang w:val="en-GB" w:eastAsia="en-AU"/>
        </w:rPr>
        <w:t>1d</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2B5B5B" w14:paraId="4CCADB7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72FD7A1" w14:textId="77777777" w:rsidR="008E67EA" w:rsidRPr="00F5215F" w:rsidRDefault="008E67EA" w:rsidP="00B44A74">
            <w:pPr>
              <w:spacing w:line="280" w:lineRule="exact"/>
              <w:rPr>
                <w:rFonts w:cs="Arial"/>
                <w:sz w:val="20"/>
                <w:szCs w:val="20"/>
              </w:rPr>
            </w:pPr>
            <w:r w:rsidRPr="00F5215F">
              <w:rPr>
                <w:rFonts w:cs="Arial"/>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516FE5AC" w14:textId="77777777" w:rsidR="008E67EA" w:rsidRPr="0015462A" w:rsidRDefault="008E67EA" w:rsidP="00B44A74">
            <w:pPr>
              <w:spacing w:line="280" w:lineRule="exact"/>
              <w:rPr>
                <w:rFonts w:cs="Arial"/>
                <w:sz w:val="20"/>
                <w:szCs w:val="20"/>
              </w:rPr>
            </w:pPr>
            <w:r w:rsidRPr="0015462A">
              <w:rPr>
                <w:rFonts w:cs="Arial"/>
                <w:sz w:val="20"/>
                <w:szCs w:val="20"/>
              </w:rPr>
              <w:t>[INSERT LABEL NAME]</w:t>
            </w:r>
          </w:p>
        </w:tc>
      </w:tr>
      <w:tr w:rsidR="008E67EA" w:rsidRPr="002B5B5B" w14:paraId="72537598" w14:textId="77777777" w:rsidTr="00B44A74">
        <w:trPr>
          <w:jc w:val="center"/>
        </w:trPr>
        <w:tc>
          <w:tcPr>
            <w:tcW w:w="2415" w:type="dxa"/>
            <w:tcBorders>
              <w:top w:val="single" w:sz="4" w:space="0" w:color="auto"/>
              <w:left w:val="nil"/>
              <w:bottom w:val="single" w:sz="4" w:space="0" w:color="auto"/>
              <w:right w:val="nil"/>
            </w:tcBorders>
          </w:tcPr>
          <w:p w14:paraId="1D513D5E"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0AC0548" w14:textId="77777777" w:rsidR="008E67EA" w:rsidRPr="0015462A" w:rsidRDefault="008E67EA" w:rsidP="00B44A74">
            <w:pPr>
              <w:spacing w:line="280" w:lineRule="exact"/>
              <w:rPr>
                <w:rFonts w:cs="Arial"/>
                <w:sz w:val="20"/>
                <w:szCs w:val="20"/>
              </w:rPr>
            </w:pPr>
          </w:p>
        </w:tc>
      </w:tr>
      <w:tr w:rsidR="008E67EA" w:rsidRPr="002B5B5B" w14:paraId="0CAD007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6D32B47" w14:textId="77777777" w:rsidR="008E67EA" w:rsidRPr="00F5215F" w:rsidRDefault="008E67EA" w:rsidP="00B44A74">
            <w:pPr>
              <w:spacing w:line="280" w:lineRule="exact"/>
              <w:rPr>
                <w:rFonts w:cs="Arial"/>
                <w:sz w:val="20"/>
                <w:szCs w:val="20"/>
              </w:rPr>
            </w:pPr>
            <w:r w:rsidRPr="00F5215F">
              <w:rPr>
                <w:rFonts w:cs="Arial"/>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6E2FFB5D" w14:textId="77777777" w:rsidR="008E67EA" w:rsidRPr="00794C95" w:rsidRDefault="008E67EA" w:rsidP="00B44A74">
            <w:pPr>
              <w:spacing w:line="280" w:lineRule="exact"/>
              <w:rPr>
                <w:rFonts w:cs="Arial"/>
                <w:sz w:val="20"/>
                <w:szCs w:val="20"/>
              </w:rPr>
            </w:pPr>
            <w:r w:rsidRPr="00794C95">
              <w:rPr>
                <w:rFonts w:cs="Arial"/>
                <w:sz w:val="20"/>
                <w:szCs w:val="20"/>
              </w:rPr>
              <w:t>POISON</w:t>
            </w:r>
          </w:p>
          <w:p w14:paraId="41CAFDF2" w14:textId="77777777" w:rsidR="008E67EA" w:rsidRPr="00794C95" w:rsidRDefault="008E67EA" w:rsidP="00B44A74">
            <w:pPr>
              <w:spacing w:line="280" w:lineRule="exact"/>
              <w:rPr>
                <w:rFonts w:cs="Arial"/>
                <w:sz w:val="20"/>
                <w:szCs w:val="20"/>
              </w:rPr>
            </w:pPr>
            <w:r w:rsidRPr="00794C95">
              <w:rPr>
                <w:rFonts w:cs="Arial"/>
                <w:sz w:val="20"/>
                <w:szCs w:val="20"/>
              </w:rPr>
              <w:t>KEEP OUT OF REACH OF CHILDREN</w:t>
            </w:r>
          </w:p>
          <w:p w14:paraId="237CFAC4" w14:textId="77777777" w:rsidR="008E67EA" w:rsidRPr="00AA242D" w:rsidRDefault="008E67EA" w:rsidP="00B44A74">
            <w:pPr>
              <w:spacing w:line="280" w:lineRule="exact"/>
              <w:rPr>
                <w:rFonts w:cs="Arial"/>
                <w:sz w:val="20"/>
                <w:szCs w:val="20"/>
              </w:rPr>
            </w:pPr>
            <w:r w:rsidRPr="00794C95">
              <w:rPr>
                <w:rFonts w:cs="Arial"/>
                <w:sz w:val="20"/>
                <w:szCs w:val="20"/>
              </w:rPr>
              <w:t>READ SAFETY DIRECTIONS BEFORE OPENING OR USING</w:t>
            </w:r>
          </w:p>
        </w:tc>
      </w:tr>
      <w:tr w:rsidR="008E67EA" w:rsidRPr="002B5B5B" w14:paraId="1337DE3A" w14:textId="77777777" w:rsidTr="00B44A74">
        <w:trPr>
          <w:jc w:val="center"/>
        </w:trPr>
        <w:tc>
          <w:tcPr>
            <w:tcW w:w="2415" w:type="dxa"/>
            <w:tcBorders>
              <w:top w:val="single" w:sz="4" w:space="0" w:color="auto"/>
              <w:left w:val="nil"/>
              <w:bottom w:val="single" w:sz="4" w:space="0" w:color="auto"/>
              <w:right w:val="nil"/>
            </w:tcBorders>
          </w:tcPr>
          <w:p w14:paraId="63F828E7"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24604ED" w14:textId="77777777" w:rsidR="008E67EA" w:rsidRPr="0015462A" w:rsidRDefault="008E67EA" w:rsidP="00B44A74">
            <w:pPr>
              <w:spacing w:line="280" w:lineRule="exact"/>
              <w:rPr>
                <w:rFonts w:cs="Arial"/>
                <w:sz w:val="20"/>
                <w:szCs w:val="20"/>
              </w:rPr>
            </w:pPr>
          </w:p>
        </w:tc>
      </w:tr>
      <w:tr w:rsidR="008E67EA" w:rsidRPr="002B5B5B" w14:paraId="37FB368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15520A6" w14:textId="77777777" w:rsidR="008E67EA" w:rsidRPr="00F5215F" w:rsidRDefault="008E67EA" w:rsidP="00B44A74">
            <w:pPr>
              <w:spacing w:line="280" w:lineRule="exact"/>
              <w:rPr>
                <w:rFonts w:cs="Arial"/>
                <w:sz w:val="20"/>
                <w:szCs w:val="20"/>
              </w:rPr>
            </w:pPr>
            <w:r w:rsidRPr="00F5215F">
              <w:rPr>
                <w:rFonts w:cs="Arial"/>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19D26862" w14:textId="77777777" w:rsidR="008E67EA" w:rsidRPr="0015462A" w:rsidRDefault="008E67EA" w:rsidP="00B44A74">
            <w:pPr>
              <w:spacing w:line="280" w:lineRule="exact"/>
              <w:rPr>
                <w:rFonts w:cs="Arial"/>
                <w:sz w:val="20"/>
                <w:szCs w:val="20"/>
              </w:rPr>
            </w:pPr>
            <w:r w:rsidRPr="00794C95">
              <w:rPr>
                <w:rFonts w:cs="Arial"/>
                <w:sz w:val="20"/>
                <w:szCs w:val="20"/>
              </w:rPr>
              <w:t>ACTIVE CONSTITUENT: 0.05 g/kg BRODIFACOUM</w:t>
            </w:r>
          </w:p>
        </w:tc>
      </w:tr>
      <w:tr w:rsidR="008E67EA" w:rsidRPr="002B5B5B" w14:paraId="11D4A204" w14:textId="77777777" w:rsidTr="00B44A74">
        <w:trPr>
          <w:jc w:val="center"/>
        </w:trPr>
        <w:tc>
          <w:tcPr>
            <w:tcW w:w="2415" w:type="dxa"/>
            <w:tcBorders>
              <w:top w:val="single" w:sz="4" w:space="0" w:color="auto"/>
              <w:left w:val="nil"/>
              <w:bottom w:val="single" w:sz="4" w:space="0" w:color="auto"/>
              <w:right w:val="nil"/>
            </w:tcBorders>
          </w:tcPr>
          <w:p w14:paraId="3B683C27"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8D86CDA" w14:textId="77777777" w:rsidR="008E67EA" w:rsidRPr="0015462A" w:rsidRDefault="008E67EA" w:rsidP="00B44A74">
            <w:pPr>
              <w:spacing w:line="280" w:lineRule="exact"/>
              <w:rPr>
                <w:rFonts w:cs="Arial"/>
                <w:sz w:val="20"/>
                <w:szCs w:val="20"/>
              </w:rPr>
            </w:pPr>
          </w:p>
        </w:tc>
      </w:tr>
      <w:tr w:rsidR="008E67EA" w:rsidRPr="00994236" w14:paraId="172554D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5583D7C" w14:textId="77777777" w:rsidR="008E67EA" w:rsidRPr="00F5215F" w:rsidRDefault="008E67EA" w:rsidP="00B44A74">
            <w:pPr>
              <w:spacing w:line="280" w:lineRule="exact"/>
              <w:rPr>
                <w:rFonts w:cs="Arial"/>
                <w:sz w:val="20"/>
                <w:szCs w:val="20"/>
              </w:rPr>
            </w:pPr>
            <w:r w:rsidRPr="00F5215F">
              <w:rPr>
                <w:rFonts w:cs="Arial"/>
                <w:sz w:val="20"/>
                <w:szCs w:val="20"/>
              </w:rPr>
              <w:t>Mode of Action:</w:t>
            </w:r>
          </w:p>
        </w:tc>
        <w:tc>
          <w:tcPr>
            <w:tcW w:w="7755" w:type="dxa"/>
            <w:tcBorders>
              <w:top w:val="single" w:sz="4" w:space="0" w:color="auto"/>
              <w:left w:val="single" w:sz="4" w:space="0" w:color="auto"/>
              <w:bottom w:val="single" w:sz="4" w:space="0" w:color="auto"/>
              <w:right w:val="single" w:sz="4" w:space="0" w:color="auto"/>
            </w:tcBorders>
          </w:tcPr>
          <w:p w14:paraId="453B8335" w14:textId="77777777" w:rsidR="008E67EA" w:rsidRPr="0015462A" w:rsidRDefault="008E67EA" w:rsidP="00B44A74">
            <w:pPr>
              <w:spacing w:line="280" w:lineRule="exact"/>
              <w:jc w:val="both"/>
              <w:rPr>
                <w:rFonts w:cs="Arial"/>
                <w:sz w:val="20"/>
                <w:szCs w:val="20"/>
              </w:rPr>
            </w:pPr>
          </w:p>
        </w:tc>
      </w:tr>
      <w:tr w:rsidR="008E67EA" w:rsidRPr="002B5B5B" w14:paraId="308F722E" w14:textId="77777777" w:rsidTr="00B44A74">
        <w:trPr>
          <w:jc w:val="center"/>
        </w:trPr>
        <w:tc>
          <w:tcPr>
            <w:tcW w:w="2415" w:type="dxa"/>
            <w:tcBorders>
              <w:top w:val="single" w:sz="4" w:space="0" w:color="auto"/>
              <w:left w:val="nil"/>
              <w:bottom w:val="single" w:sz="4" w:space="0" w:color="auto"/>
              <w:right w:val="nil"/>
            </w:tcBorders>
          </w:tcPr>
          <w:p w14:paraId="0E343B49"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4D31313" w14:textId="77777777" w:rsidR="008E67EA" w:rsidRPr="0015462A" w:rsidRDefault="008E67EA" w:rsidP="00B44A74">
            <w:pPr>
              <w:spacing w:line="280" w:lineRule="exact"/>
              <w:rPr>
                <w:rFonts w:cs="Arial"/>
                <w:sz w:val="20"/>
                <w:szCs w:val="20"/>
              </w:rPr>
            </w:pPr>
          </w:p>
        </w:tc>
      </w:tr>
      <w:tr w:rsidR="008E67EA" w:rsidRPr="002B5B5B" w14:paraId="4B4C4140" w14:textId="77777777" w:rsidTr="00B44A74">
        <w:trPr>
          <w:trHeight w:val="477"/>
          <w:jc w:val="center"/>
        </w:trPr>
        <w:tc>
          <w:tcPr>
            <w:tcW w:w="2415" w:type="dxa"/>
            <w:tcBorders>
              <w:top w:val="single" w:sz="4" w:space="0" w:color="auto"/>
              <w:left w:val="single" w:sz="4" w:space="0" w:color="auto"/>
              <w:bottom w:val="single" w:sz="4" w:space="0" w:color="auto"/>
              <w:right w:val="single" w:sz="4" w:space="0" w:color="auto"/>
            </w:tcBorders>
            <w:hideMark/>
          </w:tcPr>
          <w:p w14:paraId="0A1C23FC" w14:textId="77777777" w:rsidR="008E67EA" w:rsidRPr="00F5215F" w:rsidRDefault="008E67EA" w:rsidP="00B44A74">
            <w:pPr>
              <w:spacing w:line="280" w:lineRule="exact"/>
              <w:rPr>
                <w:rFonts w:cs="Arial"/>
                <w:sz w:val="20"/>
                <w:szCs w:val="20"/>
              </w:rPr>
            </w:pPr>
            <w:r w:rsidRPr="00F5215F">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749D22C8" w14:textId="77777777" w:rsidR="008E67EA" w:rsidRPr="008F0B28" w:rsidRDefault="008E67EA" w:rsidP="00B44A74">
            <w:pPr>
              <w:spacing w:line="280" w:lineRule="exact"/>
              <w:rPr>
                <w:rFonts w:cs="Arial"/>
                <w:sz w:val="20"/>
                <w:szCs w:val="20"/>
              </w:rPr>
            </w:pPr>
            <w:r w:rsidRPr="008F0B28">
              <w:rPr>
                <w:rFonts w:cs="Arial"/>
                <w:sz w:val="20"/>
                <w:szCs w:val="20"/>
              </w:rPr>
              <w:t>For control of mice in industrial, commercial, public services and domestic buildings and rats in and around industrial, commercial, public services and domestic buildings.</w:t>
            </w:r>
          </w:p>
        </w:tc>
      </w:tr>
      <w:tr w:rsidR="008E67EA" w:rsidRPr="002B5B5B" w14:paraId="03AD1A40" w14:textId="77777777" w:rsidTr="00B44A74">
        <w:trPr>
          <w:jc w:val="center"/>
        </w:trPr>
        <w:tc>
          <w:tcPr>
            <w:tcW w:w="2415" w:type="dxa"/>
            <w:tcBorders>
              <w:top w:val="single" w:sz="4" w:space="0" w:color="auto"/>
              <w:left w:val="nil"/>
              <w:bottom w:val="single" w:sz="4" w:space="0" w:color="auto"/>
              <w:right w:val="nil"/>
            </w:tcBorders>
          </w:tcPr>
          <w:p w14:paraId="477011FC"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16ED34E" w14:textId="77777777" w:rsidR="008E67EA" w:rsidRPr="00506DE6" w:rsidRDefault="008E67EA" w:rsidP="00B44A74">
            <w:pPr>
              <w:spacing w:line="280" w:lineRule="exact"/>
              <w:rPr>
                <w:rFonts w:cs="Arial"/>
                <w:sz w:val="20"/>
                <w:szCs w:val="20"/>
              </w:rPr>
            </w:pPr>
          </w:p>
        </w:tc>
      </w:tr>
      <w:tr w:rsidR="008E67EA" w:rsidRPr="002B5B5B" w14:paraId="69D97B6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2D4C498" w14:textId="77777777" w:rsidR="008E67EA" w:rsidRPr="00F5215F" w:rsidRDefault="008E67EA" w:rsidP="00B44A74">
            <w:pPr>
              <w:spacing w:line="280" w:lineRule="exact"/>
              <w:rPr>
                <w:rFonts w:cs="Arial"/>
                <w:sz w:val="20"/>
                <w:szCs w:val="20"/>
              </w:rPr>
            </w:pPr>
            <w:r w:rsidRPr="00F5215F">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5786CFA9" w14:textId="77777777" w:rsidR="008E67EA" w:rsidRPr="00794C95" w:rsidRDefault="008E67EA" w:rsidP="00B44A74">
            <w:pPr>
              <w:spacing w:line="280" w:lineRule="exact"/>
              <w:rPr>
                <w:rFonts w:cs="Arial"/>
                <w:sz w:val="20"/>
                <w:szCs w:val="20"/>
              </w:rPr>
            </w:pPr>
            <w:r w:rsidRPr="00794C95">
              <w:rPr>
                <w:rFonts w:cs="Arial"/>
                <w:sz w:val="20"/>
                <w:szCs w:val="20"/>
              </w:rPr>
              <w:t>[INSERT NET CONTENTS]</w:t>
            </w:r>
          </w:p>
        </w:tc>
      </w:tr>
      <w:tr w:rsidR="008E67EA" w:rsidRPr="002B5B5B" w14:paraId="0944B661" w14:textId="77777777" w:rsidTr="00B44A74">
        <w:trPr>
          <w:jc w:val="center"/>
        </w:trPr>
        <w:tc>
          <w:tcPr>
            <w:tcW w:w="2415" w:type="dxa"/>
            <w:tcBorders>
              <w:top w:val="single" w:sz="4" w:space="0" w:color="auto"/>
              <w:left w:val="nil"/>
              <w:bottom w:val="single" w:sz="4" w:space="0" w:color="auto"/>
              <w:right w:val="nil"/>
            </w:tcBorders>
          </w:tcPr>
          <w:p w14:paraId="57612086"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4298E4B" w14:textId="77777777" w:rsidR="008E67EA" w:rsidRPr="002B5B5B" w:rsidRDefault="008E67EA" w:rsidP="00B44A74">
            <w:pPr>
              <w:spacing w:line="280" w:lineRule="exact"/>
              <w:rPr>
                <w:rFonts w:cs="Arial"/>
                <w:sz w:val="20"/>
                <w:szCs w:val="20"/>
              </w:rPr>
            </w:pPr>
          </w:p>
        </w:tc>
      </w:tr>
      <w:tr w:rsidR="008E67EA" w:rsidRPr="002B5B5B" w14:paraId="1B2CDA8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C1566A1" w14:textId="77777777" w:rsidR="008E67EA" w:rsidRPr="00731415" w:rsidRDefault="008E67EA" w:rsidP="00B44A74">
            <w:pPr>
              <w:spacing w:line="280" w:lineRule="exact"/>
              <w:rPr>
                <w:rFonts w:cs="Arial"/>
                <w:sz w:val="20"/>
                <w:szCs w:val="20"/>
              </w:rPr>
            </w:pPr>
            <w:r w:rsidRPr="00731415">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4C0EFB97" w14:textId="77777777" w:rsidR="008E67EA" w:rsidRPr="00731415" w:rsidRDefault="008E67EA" w:rsidP="00B44A74">
            <w:pPr>
              <w:spacing w:line="280" w:lineRule="exact"/>
              <w:rPr>
                <w:rFonts w:cs="Arial"/>
                <w:sz w:val="20"/>
                <w:szCs w:val="20"/>
              </w:rPr>
            </w:pPr>
            <w:r w:rsidRPr="00731415">
              <w:rPr>
                <w:rFonts w:cs="Arial"/>
                <w:sz w:val="20"/>
                <w:szCs w:val="20"/>
              </w:rPr>
              <w:t>RESTRAINTS</w:t>
            </w:r>
          </w:p>
          <w:p w14:paraId="75D6A62B" w14:textId="77777777" w:rsidR="008E67EA" w:rsidRPr="00731415" w:rsidRDefault="008E67EA" w:rsidP="00B44A74">
            <w:pPr>
              <w:spacing w:line="280" w:lineRule="exact"/>
              <w:rPr>
                <w:rFonts w:cs="Arial"/>
                <w:sz w:val="20"/>
                <w:szCs w:val="20"/>
              </w:rPr>
            </w:pPr>
            <w:r w:rsidRPr="00731415">
              <w:rPr>
                <w:rFonts w:cs="Arial"/>
                <w:sz w:val="20"/>
                <w:szCs w:val="20"/>
              </w:rPr>
              <w:t>DO NOT use this product unless you have a current qualification in the nationally recognised training course for rodent pest management CPPUPM3006 - Manage pests by applying pesticides, or an equivalent unit of competency.</w:t>
            </w:r>
          </w:p>
          <w:p w14:paraId="46B1C96A" w14:textId="77777777" w:rsidR="008E67EA" w:rsidRPr="00731415" w:rsidRDefault="008E67EA" w:rsidP="00B44A74">
            <w:pPr>
              <w:spacing w:line="280" w:lineRule="exact"/>
              <w:rPr>
                <w:rFonts w:cs="Arial"/>
                <w:sz w:val="20"/>
                <w:szCs w:val="20"/>
              </w:rPr>
            </w:pPr>
            <w:r w:rsidRPr="00731415">
              <w:rPr>
                <w:rFonts w:cs="Arial"/>
                <w:sz w:val="20"/>
                <w:szCs w:val="20"/>
              </w:rPr>
              <w:t xml:space="preserve">DO NOT place baits in areas that are accessible to children. In child-accessible areas baits must be placed in tamper-resistant bait stations. If bait can be dislodged from bait station, bait station must be secured in place. </w:t>
            </w:r>
          </w:p>
          <w:p w14:paraId="2D88C2D9" w14:textId="77777777" w:rsidR="008E67EA" w:rsidRPr="00731415" w:rsidRDefault="008E67EA" w:rsidP="00B44A74">
            <w:pPr>
              <w:spacing w:line="280" w:lineRule="exact"/>
              <w:rPr>
                <w:rFonts w:cs="Arial"/>
                <w:sz w:val="20"/>
                <w:szCs w:val="20"/>
              </w:rPr>
            </w:pPr>
            <w:r w:rsidRPr="00731415">
              <w:rPr>
                <w:rFonts w:cs="Arial"/>
                <w:sz w:val="20"/>
                <w:szCs w:val="20"/>
              </w:rPr>
              <w:t>DO NOT place bait outdoors unless it is in a tamper-resistant bait station which is secured in place.</w:t>
            </w:r>
          </w:p>
          <w:p w14:paraId="72A7C26A" w14:textId="77777777" w:rsidR="008E67EA" w:rsidRPr="00731415" w:rsidRDefault="008E67EA" w:rsidP="00B44A74">
            <w:pPr>
              <w:spacing w:line="280" w:lineRule="exact"/>
              <w:rPr>
                <w:rFonts w:cs="Arial"/>
                <w:sz w:val="20"/>
                <w:szCs w:val="20"/>
              </w:rPr>
            </w:pPr>
            <w:r w:rsidRPr="00731415">
              <w:rPr>
                <w:rFonts w:cs="Arial"/>
                <w:sz w:val="20"/>
                <w:szCs w:val="20"/>
              </w:rPr>
              <w:t>DO NOT place bait stations more than 2 meters from buildings.</w:t>
            </w:r>
          </w:p>
          <w:p w14:paraId="28DA5691" w14:textId="77777777" w:rsidR="008E67EA" w:rsidRPr="00731415" w:rsidRDefault="008E67EA" w:rsidP="00B44A74">
            <w:pPr>
              <w:spacing w:line="280" w:lineRule="exact"/>
              <w:rPr>
                <w:rFonts w:cs="Arial"/>
                <w:sz w:val="20"/>
                <w:szCs w:val="20"/>
              </w:rPr>
            </w:pPr>
            <w:r w:rsidRPr="00731415">
              <w:rPr>
                <w:rFonts w:cs="Arial"/>
                <w:sz w:val="20"/>
                <w:szCs w:val="20"/>
              </w:rPr>
              <w:t>DO NOT place bait stations outdoors around buildings for control of mice.</w:t>
            </w:r>
          </w:p>
          <w:p w14:paraId="5B37CE78" w14:textId="77777777" w:rsidR="008E67EA" w:rsidRPr="00731415" w:rsidRDefault="008E67EA" w:rsidP="00B44A74">
            <w:pPr>
              <w:spacing w:line="280" w:lineRule="exact"/>
              <w:rPr>
                <w:rFonts w:cs="Arial"/>
                <w:sz w:val="20"/>
                <w:szCs w:val="20"/>
              </w:rPr>
            </w:pPr>
            <w:r w:rsidRPr="00731415">
              <w:rPr>
                <w:rFonts w:cs="Arial"/>
                <w:sz w:val="20"/>
                <w:szCs w:val="20"/>
              </w:rPr>
              <w:t>DO NOT bait in areas where wildlife may be collected for human consumption.</w:t>
            </w:r>
          </w:p>
          <w:p w14:paraId="06F8AA9D" w14:textId="77777777" w:rsidR="008E67EA" w:rsidRPr="00731415" w:rsidRDefault="008E67EA" w:rsidP="00B44A74">
            <w:pPr>
              <w:spacing w:line="280" w:lineRule="exact"/>
              <w:rPr>
                <w:rFonts w:cs="Arial"/>
                <w:sz w:val="20"/>
                <w:szCs w:val="20"/>
              </w:rPr>
            </w:pPr>
            <w:r w:rsidRPr="00731415">
              <w:rPr>
                <w:rFonts w:cs="Arial"/>
                <w:sz w:val="20"/>
                <w:szCs w:val="20"/>
              </w:rPr>
              <w:t>DO NOT place in animal or livestock housing unless used in tamper-resistant and weather-resistant bait stations fixed to the ground or other structures.</w:t>
            </w:r>
          </w:p>
          <w:p w14:paraId="0CB5F46C" w14:textId="77777777" w:rsidR="008E67EA" w:rsidRPr="00731415" w:rsidRDefault="008E67EA" w:rsidP="00B44A74">
            <w:pPr>
              <w:spacing w:line="280" w:lineRule="exact"/>
              <w:rPr>
                <w:rFonts w:cs="Arial"/>
                <w:sz w:val="20"/>
                <w:szCs w:val="20"/>
              </w:rPr>
            </w:pPr>
            <w:r w:rsidRPr="00731415">
              <w:rPr>
                <w:rFonts w:cs="Arial"/>
                <w:sz w:val="20"/>
                <w:szCs w:val="20"/>
              </w:rPr>
              <w:t>DO NOT place bait or bait stations above areas which would allow them to contaminate pig and poultry food or drinking water.</w:t>
            </w:r>
          </w:p>
          <w:p w14:paraId="3B6E8D3B" w14:textId="77777777" w:rsidR="008E67EA" w:rsidRPr="00731415" w:rsidRDefault="008E67EA" w:rsidP="00B44A74">
            <w:pPr>
              <w:spacing w:line="280" w:lineRule="exact"/>
              <w:rPr>
                <w:rFonts w:cs="Arial"/>
                <w:sz w:val="20"/>
                <w:szCs w:val="20"/>
              </w:rPr>
            </w:pPr>
            <w:r w:rsidRPr="00731415">
              <w:rPr>
                <w:rFonts w:cs="Arial"/>
                <w:sz w:val="20"/>
                <w:szCs w:val="20"/>
              </w:rPr>
              <w:t>DO NOT apply this product directly into burrows.</w:t>
            </w:r>
          </w:p>
        </w:tc>
      </w:tr>
      <w:tr w:rsidR="008E67EA" w:rsidRPr="002B5B5B" w14:paraId="202CB463" w14:textId="77777777" w:rsidTr="00B44A74">
        <w:trPr>
          <w:jc w:val="center"/>
        </w:trPr>
        <w:tc>
          <w:tcPr>
            <w:tcW w:w="2415" w:type="dxa"/>
            <w:tcBorders>
              <w:top w:val="single" w:sz="4" w:space="0" w:color="auto"/>
              <w:left w:val="nil"/>
              <w:bottom w:val="single" w:sz="4" w:space="0" w:color="auto"/>
              <w:right w:val="nil"/>
            </w:tcBorders>
          </w:tcPr>
          <w:p w14:paraId="22C8AC43" w14:textId="77777777" w:rsidR="008E67EA" w:rsidRPr="0073141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7854ECD" w14:textId="77777777" w:rsidR="008E67EA" w:rsidRPr="00731415" w:rsidRDefault="008E67EA" w:rsidP="00B44A74">
            <w:pPr>
              <w:spacing w:line="280" w:lineRule="exact"/>
              <w:rPr>
                <w:rFonts w:cs="Arial"/>
                <w:sz w:val="20"/>
                <w:szCs w:val="20"/>
              </w:rPr>
            </w:pPr>
          </w:p>
        </w:tc>
      </w:tr>
      <w:tr w:rsidR="008E67EA" w:rsidRPr="002B5B5B" w14:paraId="58E728A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E11105B" w14:textId="77777777" w:rsidR="008E67EA" w:rsidRPr="00731415" w:rsidRDefault="008E67EA" w:rsidP="00B44A74">
            <w:pPr>
              <w:spacing w:line="280" w:lineRule="exact"/>
              <w:rPr>
                <w:rFonts w:cs="Arial"/>
                <w:sz w:val="20"/>
                <w:szCs w:val="20"/>
              </w:rPr>
            </w:pPr>
            <w:r w:rsidRPr="00731415">
              <w:rPr>
                <w:rFonts w:cs="Arial"/>
                <w:sz w:val="20"/>
                <w:szCs w:val="20"/>
              </w:rPr>
              <w:t>Directions for Use:</w:t>
            </w:r>
          </w:p>
        </w:tc>
        <w:tc>
          <w:tcPr>
            <w:tcW w:w="7755" w:type="dxa"/>
            <w:tcBorders>
              <w:top w:val="single" w:sz="4" w:space="0" w:color="auto"/>
              <w:left w:val="single" w:sz="4" w:space="0" w:color="auto"/>
              <w:bottom w:val="single" w:sz="4" w:space="0" w:color="auto"/>
              <w:right w:val="single" w:sz="4" w:space="0" w:color="auto"/>
            </w:tcBorders>
          </w:tcPr>
          <w:p w14:paraId="1FAD5D76" w14:textId="77777777" w:rsidR="008E67EA" w:rsidRPr="00731415" w:rsidRDefault="008E67EA" w:rsidP="00B44A74">
            <w:pPr>
              <w:spacing w:line="280" w:lineRule="exact"/>
              <w:rPr>
                <w:rFonts w:cs="Arial"/>
                <w:b/>
                <w:bCs/>
                <w:sz w:val="20"/>
                <w:szCs w:val="20"/>
              </w:rPr>
            </w:pPr>
            <w:r w:rsidRPr="00731415">
              <w:rPr>
                <w:rFonts w:cs="Arial"/>
                <w:sz w:val="20"/>
                <w:szCs w:val="20"/>
              </w:rPr>
              <w:t>[This section contains an attachment below]</w:t>
            </w:r>
          </w:p>
        </w:tc>
      </w:tr>
      <w:tr w:rsidR="008E67EA" w:rsidRPr="002B5B5B" w14:paraId="0F5A8D06" w14:textId="77777777" w:rsidTr="00B44A74">
        <w:trPr>
          <w:jc w:val="center"/>
        </w:trPr>
        <w:tc>
          <w:tcPr>
            <w:tcW w:w="2415" w:type="dxa"/>
            <w:tcBorders>
              <w:top w:val="single" w:sz="4" w:space="0" w:color="auto"/>
              <w:left w:val="nil"/>
              <w:bottom w:val="single" w:sz="4" w:space="0" w:color="auto"/>
              <w:right w:val="nil"/>
            </w:tcBorders>
          </w:tcPr>
          <w:p w14:paraId="370F254C"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B16A8E7" w14:textId="77777777" w:rsidR="008E67EA" w:rsidRPr="002B5B5B" w:rsidRDefault="008E67EA" w:rsidP="00B44A74">
            <w:pPr>
              <w:spacing w:line="280" w:lineRule="exact"/>
              <w:rPr>
                <w:rFonts w:cs="Arial"/>
                <w:sz w:val="20"/>
                <w:szCs w:val="20"/>
              </w:rPr>
            </w:pPr>
          </w:p>
        </w:tc>
      </w:tr>
      <w:tr w:rsidR="008E67EA" w:rsidRPr="002B5B5B" w14:paraId="036ABE4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FE0D043" w14:textId="77777777" w:rsidR="008E67EA" w:rsidRPr="00F5215F" w:rsidRDefault="008E67EA" w:rsidP="00B44A74">
            <w:pPr>
              <w:spacing w:line="280" w:lineRule="exact"/>
              <w:rPr>
                <w:rFonts w:cs="Arial"/>
                <w:sz w:val="20"/>
                <w:szCs w:val="20"/>
              </w:rPr>
            </w:pPr>
            <w:r w:rsidRPr="00F5215F">
              <w:rPr>
                <w:rFonts w:cs="Arial"/>
                <w:sz w:val="20"/>
                <w:szCs w:val="20"/>
              </w:rPr>
              <w:t>Other Limitations:</w:t>
            </w:r>
          </w:p>
        </w:tc>
        <w:tc>
          <w:tcPr>
            <w:tcW w:w="7755" w:type="dxa"/>
            <w:tcBorders>
              <w:top w:val="single" w:sz="4" w:space="0" w:color="auto"/>
              <w:left w:val="single" w:sz="4" w:space="0" w:color="auto"/>
              <w:bottom w:val="single" w:sz="4" w:space="0" w:color="auto"/>
              <w:right w:val="single" w:sz="4" w:space="0" w:color="auto"/>
            </w:tcBorders>
          </w:tcPr>
          <w:p w14:paraId="0EA24CD8" w14:textId="77777777" w:rsidR="008E67EA" w:rsidRPr="00BE74F6" w:rsidRDefault="008E67EA" w:rsidP="00B44A74">
            <w:pPr>
              <w:spacing w:line="280" w:lineRule="exact"/>
              <w:rPr>
                <w:rFonts w:cs="Arial"/>
                <w:color w:val="7030A0"/>
                <w:sz w:val="20"/>
                <w:szCs w:val="20"/>
              </w:rPr>
            </w:pPr>
          </w:p>
        </w:tc>
      </w:tr>
      <w:tr w:rsidR="008E67EA" w:rsidRPr="002B5B5B" w14:paraId="4499FD88" w14:textId="77777777" w:rsidTr="00B44A74">
        <w:trPr>
          <w:jc w:val="center"/>
        </w:trPr>
        <w:tc>
          <w:tcPr>
            <w:tcW w:w="2415" w:type="dxa"/>
            <w:tcBorders>
              <w:top w:val="single" w:sz="4" w:space="0" w:color="auto"/>
              <w:left w:val="nil"/>
              <w:bottom w:val="single" w:sz="4" w:space="0" w:color="auto"/>
              <w:right w:val="nil"/>
            </w:tcBorders>
          </w:tcPr>
          <w:p w14:paraId="31129265"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086F60C" w14:textId="77777777" w:rsidR="008E67EA" w:rsidRPr="002B5B5B" w:rsidRDefault="008E67EA" w:rsidP="00B44A74">
            <w:pPr>
              <w:spacing w:line="280" w:lineRule="exact"/>
              <w:rPr>
                <w:rFonts w:cs="Arial"/>
                <w:sz w:val="20"/>
                <w:szCs w:val="20"/>
              </w:rPr>
            </w:pPr>
          </w:p>
        </w:tc>
      </w:tr>
      <w:tr w:rsidR="008E67EA" w:rsidRPr="002B5B5B" w14:paraId="34F8468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2A015B5" w14:textId="77777777" w:rsidR="008E67EA" w:rsidRPr="00F5215F" w:rsidRDefault="008E67EA" w:rsidP="00B44A74">
            <w:pPr>
              <w:spacing w:line="280" w:lineRule="exact"/>
              <w:rPr>
                <w:rFonts w:cs="Arial"/>
                <w:sz w:val="20"/>
                <w:szCs w:val="20"/>
              </w:rPr>
            </w:pPr>
            <w:r w:rsidRPr="00F5215F">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326DAFA6" w14:textId="77777777" w:rsidR="008E67EA" w:rsidRPr="002B5B5B" w:rsidRDefault="008E67EA" w:rsidP="00B44A74">
            <w:pPr>
              <w:spacing w:line="280" w:lineRule="exact"/>
              <w:rPr>
                <w:rFonts w:cs="Arial"/>
                <w:sz w:val="20"/>
                <w:szCs w:val="20"/>
              </w:rPr>
            </w:pPr>
          </w:p>
        </w:tc>
      </w:tr>
      <w:tr w:rsidR="008E67EA" w:rsidRPr="002B5B5B" w14:paraId="0A8F137C" w14:textId="77777777" w:rsidTr="00B44A74">
        <w:trPr>
          <w:jc w:val="center"/>
        </w:trPr>
        <w:tc>
          <w:tcPr>
            <w:tcW w:w="2415" w:type="dxa"/>
            <w:tcBorders>
              <w:top w:val="single" w:sz="4" w:space="0" w:color="auto"/>
              <w:left w:val="nil"/>
              <w:bottom w:val="single" w:sz="4" w:space="0" w:color="auto"/>
              <w:right w:val="nil"/>
            </w:tcBorders>
          </w:tcPr>
          <w:p w14:paraId="33B7617F"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D24098C" w14:textId="77777777" w:rsidR="008E67EA" w:rsidRPr="002B5B5B" w:rsidRDefault="008E67EA" w:rsidP="00B44A74">
            <w:pPr>
              <w:spacing w:line="280" w:lineRule="exact"/>
              <w:rPr>
                <w:rFonts w:cs="Arial"/>
                <w:sz w:val="20"/>
                <w:szCs w:val="20"/>
              </w:rPr>
            </w:pPr>
          </w:p>
        </w:tc>
      </w:tr>
      <w:tr w:rsidR="008E67EA" w:rsidRPr="002B5B5B" w14:paraId="57D7934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DEB246F" w14:textId="77777777" w:rsidR="008E67EA" w:rsidRPr="00F5215F" w:rsidRDefault="008E67EA" w:rsidP="00B44A74">
            <w:pPr>
              <w:spacing w:line="280" w:lineRule="exact"/>
              <w:rPr>
                <w:rFonts w:cs="Arial"/>
                <w:sz w:val="20"/>
                <w:szCs w:val="20"/>
              </w:rPr>
            </w:pPr>
            <w:r w:rsidRPr="00F5215F">
              <w:rPr>
                <w:rFonts w:cs="Arial"/>
                <w:sz w:val="20"/>
                <w:szCs w:val="20"/>
              </w:rPr>
              <w:t>Trade Advice:</w:t>
            </w:r>
          </w:p>
        </w:tc>
        <w:tc>
          <w:tcPr>
            <w:tcW w:w="7755" w:type="dxa"/>
            <w:tcBorders>
              <w:top w:val="single" w:sz="4" w:space="0" w:color="auto"/>
              <w:left w:val="single" w:sz="4" w:space="0" w:color="auto"/>
              <w:bottom w:val="single" w:sz="4" w:space="0" w:color="auto"/>
              <w:right w:val="single" w:sz="4" w:space="0" w:color="auto"/>
            </w:tcBorders>
          </w:tcPr>
          <w:p w14:paraId="30E18C7E" w14:textId="77777777" w:rsidR="008E67EA" w:rsidRPr="002B5B5B" w:rsidRDefault="008E67EA" w:rsidP="00B44A74">
            <w:pPr>
              <w:spacing w:line="280" w:lineRule="exact"/>
              <w:rPr>
                <w:rFonts w:cs="Arial"/>
                <w:sz w:val="20"/>
                <w:szCs w:val="20"/>
              </w:rPr>
            </w:pPr>
          </w:p>
        </w:tc>
      </w:tr>
      <w:tr w:rsidR="008E67EA" w:rsidRPr="002B5B5B" w14:paraId="0EF2ADE9" w14:textId="77777777" w:rsidTr="00B44A74">
        <w:trPr>
          <w:jc w:val="center"/>
        </w:trPr>
        <w:tc>
          <w:tcPr>
            <w:tcW w:w="2415" w:type="dxa"/>
            <w:tcBorders>
              <w:top w:val="single" w:sz="4" w:space="0" w:color="auto"/>
              <w:left w:val="nil"/>
              <w:bottom w:val="single" w:sz="4" w:space="0" w:color="auto"/>
              <w:right w:val="nil"/>
            </w:tcBorders>
          </w:tcPr>
          <w:p w14:paraId="04397B36"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C38827D" w14:textId="77777777" w:rsidR="008E67EA" w:rsidRPr="002B5B5B" w:rsidRDefault="008E67EA" w:rsidP="00B44A74">
            <w:pPr>
              <w:spacing w:line="280" w:lineRule="exact"/>
              <w:rPr>
                <w:rFonts w:cs="Arial"/>
                <w:sz w:val="20"/>
                <w:szCs w:val="20"/>
              </w:rPr>
            </w:pPr>
          </w:p>
        </w:tc>
      </w:tr>
      <w:tr w:rsidR="008E67EA" w:rsidRPr="002B5B5B" w14:paraId="68EDDD9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F06757A" w14:textId="77777777" w:rsidR="008E67EA" w:rsidRPr="00731415" w:rsidRDefault="008E67EA" w:rsidP="00B44A74">
            <w:pPr>
              <w:spacing w:line="280" w:lineRule="exact"/>
              <w:rPr>
                <w:rFonts w:cs="Arial"/>
                <w:sz w:val="20"/>
                <w:szCs w:val="20"/>
              </w:rPr>
            </w:pPr>
            <w:r w:rsidRPr="00731415">
              <w:rPr>
                <w:rFonts w:cs="Arial"/>
                <w:sz w:val="20"/>
                <w:szCs w:val="20"/>
              </w:rPr>
              <w:t>General Directions:</w:t>
            </w:r>
          </w:p>
        </w:tc>
        <w:tc>
          <w:tcPr>
            <w:tcW w:w="7755" w:type="dxa"/>
            <w:tcBorders>
              <w:top w:val="single" w:sz="4" w:space="0" w:color="auto"/>
              <w:left w:val="single" w:sz="4" w:space="0" w:color="auto"/>
              <w:bottom w:val="single" w:sz="4" w:space="0" w:color="auto"/>
              <w:right w:val="single" w:sz="4" w:space="0" w:color="auto"/>
            </w:tcBorders>
          </w:tcPr>
          <w:p w14:paraId="05D574C8" w14:textId="77777777" w:rsidR="008E67EA" w:rsidRPr="00731415" w:rsidRDefault="008E67EA" w:rsidP="00B44A74">
            <w:pPr>
              <w:spacing w:line="280" w:lineRule="exact"/>
              <w:rPr>
                <w:rFonts w:cs="Arial"/>
                <w:sz w:val="20"/>
                <w:szCs w:val="20"/>
              </w:rPr>
            </w:pPr>
          </w:p>
        </w:tc>
      </w:tr>
      <w:tr w:rsidR="008E67EA" w:rsidRPr="002B5B5B" w14:paraId="231B40C4" w14:textId="77777777" w:rsidTr="00B44A74">
        <w:trPr>
          <w:jc w:val="center"/>
        </w:trPr>
        <w:tc>
          <w:tcPr>
            <w:tcW w:w="2415" w:type="dxa"/>
            <w:tcBorders>
              <w:top w:val="single" w:sz="4" w:space="0" w:color="auto"/>
              <w:left w:val="nil"/>
              <w:bottom w:val="single" w:sz="4" w:space="0" w:color="auto"/>
              <w:right w:val="nil"/>
            </w:tcBorders>
          </w:tcPr>
          <w:p w14:paraId="085BE2C0" w14:textId="77777777" w:rsidR="008E67EA" w:rsidRPr="0073141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81685E3" w14:textId="77777777" w:rsidR="008E67EA" w:rsidRPr="00731415" w:rsidRDefault="008E67EA" w:rsidP="00B44A74">
            <w:pPr>
              <w:spacing w:line="280" w:lineRule="exact"/>
              <w:rPr>
                <w:rFonts w:cs="Arial"/>
                <w:sz w:val="20"/>
                <w:szCs w:val="20"/>
              </w:rPr>
            </w:pPr>
          </w:p>
        </w:tc>
      </w:tr>
      <w:tr w:rsidR="008E67EA" w:rsidRPr="002B5B5B" w14:paraId="6869175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79056DF" w14:textId="77777777" w:rsidR="008E67EA" w:rsidRPr="00731415" w:rsidRDefault="008E67EA" w:rsidP="00B44A74">
            <w:pPr>
              <w:spacing w:line="280" w:lineRule="exact"/>
              <w:rPr>
                <w:rFonts w:cs="Arial"/>
                <w:sz w:val="20"/>
                <w:szCs w:val="20"/>
              </w:rPr>
            </w:pPr>
            <w:r w:rsidRPr="00731415">
              <w:rPr>
                <w:rFonts w:cs="Arial"/>
                <w:sz w:val="20"/>
                <w:szCs w:val="20"/>
              </w:rPr>
              <w:lastRenderedPageBreak/>
              <w:t>Resistance Warning:</w:t>
            </w:r>
          </w:p>
        </w:tc>
        <w:tc>
          <w:tcPr>
            <w:tcW w:w="7755" w:type="dxa"/>
            <w:tcBorders>
              <w:top w:val="single" w:sz="4" w:space="0" w:color="auto"/>
              <w:left w:val="single" w:sz="4" w:space="0" w:color="auto"/>
              <w:bottom w:val="single" w:sz="4" w:space="0" w:color="auto"/>
              <w:right w:val="single" w:sz="4" w:space="0" w:color="auto"/>
            </w:tcBorders>
          </w:tcPr>
          <w:p w14:paraId="2761A7A4" w14:textId="77777777" w:rsidR="008E67EA" w:rsidRPr="00731415" w:rsidRDefault="008E67EA" w:rsidP="00B44A74">
            <w:pPr>
              <w:spacing w:line="280" w:lineRule="exact"/>
              <w:rPr>
                <w:rFonts w:cs="Arial"/>
                <w:sz w:val="20"/>
                <w:szCs w:val="20"/>
              </w:rPr>
            </w:pPr>
          </w:p>
        </w:tc>
      </w:tr>
      <w:tr w:rsidR="008E67EA" w:rsidRPr="002B5B5B" w14:paraId="7152EAD9" w14:textId="77777777" w:rsidTr="00B44A74">
        <w:trPr>
          <w:jc w:val="center"/>
        </w:trPr>
        <w:tc>
          <w:tcPr>
            <w:tcW w:w="2415" w:type="dxa"/>
            <w:tcBorders>
              <w:top w:val="single" w:sz="4" w:space="0" w:color="auto"/>
              <w:left w:val="nil"/>
              <w:bottom w:val="single" w:sz="4" w:space="0" w:color="auto"/>
              <w:right w:val="nil"/>
            </w:tcBorders>
          </w:tcPr>
          <w:p w14:paraId="22B2545B" w14:textId="77777777" w:rsidR="008E67EA" w:rsidRPr="0073141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E5AED6B" w14:textId="77777777" w:rsidR="008E67EA" w:rsidRPr="00731415" w:rsidRDefault="008E67EA" w:rsidP="00B44A74">
            <w:pPr>
              <w:spacing w:line="280" w:lineRule="exact"/>
              <w:rPr>
                <w:rFonts w:cs="Arial"/>
                <w:sz w:val="20"/>
                <w:szCs w:val="20"/>
              </w:rPr>
            </w:pPr>
          </w:p>
        </w:tc>
      </w:tr>
      <w:tr w:rsidR="008E67EA" w:rsidRPr="002B5B5B" w14:paraId="65283DC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50883E4" w14:textId="77777777" w:rsidR="008E67EA" w:rsidRPr="00F5215F" w:rsidRDefault="008E67EA" w:rsidP="00B44A74">
            <w:pPr>
              <w:spacing w:line="280" w:lineRule="exact"/>
              <w:rPr>
                <w:rFonts w:cs="Arial"/>
                <w:sz w:val="20"/>
                <w:szCs w:val="20"/>
              </w:rPr>
            </w:pPr>
            <w:r w:rsidRPr="00F5215F">
              <w:rPr>
                <w:rFonts w:cs="Arial"/>
                <w:sz w:val="20"/>
                <w:szCs w:val="20"/>
              </w:rPr>
              <w:t>Precautions:</w:t>
            </w:r>
          </w:p>
        </w:tc>
        <w:tc>
          <w:tcPr>
            <w:tcW w:w="7755" w:type="dxa"/>
            <w:tcBorders>
              <w:top w:val="single" w:sz="4" w:space="0" w:color="auto"/>
              <w:left w:val="single" w:sz="4" w:space="0" w:color="auto"/>
              <w:bottom w:val="single" w:sz="4" w:space="0" w:color="auto"/>
              <w:right w:val="single" w:sz="4" w:space="0" w:color="auto"/>
            </w:tcBorders>
          </w:tcPr>
          <w:p w14:paraId="02B87B74" w14:textId="77777777" w:rsidR="008E67EA" w:rsidRPr="00794C95" w:rsidRDefault="008E67EA" w:rsidP="00B44A74">
            <w:pPr>
              <w:spacing w:line="280" w:lineRule="exact"/>
              <w:rPr>
                <w:rFonts w:cs="Arial"/>
                <w:sz w:val="20"/>
                <w:szCs w:val="20"/>
              </w:rPr>
            </w:pPr>
            <w:r w:rsidRPr="00794C95">
              <w:rPr>
                <w:rFonts w:cs="Arial"/>
                <w:sz w:val="20"/>
                <w:szCs w:val="20"/>
              </w:rPr>
              <w:t>PRECAUTIONS</w:t>
            </w:r>
          </w:p>
          <w:p w14:paraId="7A64B866" w14:textId="77777777" w:rsidR="008E67EA" w:rsidRPr="00794C95" w:rsidRDefault="008E67EA" w:rsidP="00B44A74">
            <w:pPr>
              <w:spacing w:line="280" w:lineRule="exact"/>
              <w:rPr>
                <w:rFonts w:cs="Arial"/>
                <w:sz w:val="20"/>
                <w:szCs w:val="20"/>
              </w:rPr>
            </w:pPr>
            <w:r w:rsidRPr="00794C95">
              <w:rPr>
                <w:rFonts w:cs="Arial"/>
                <w:sz w:val="20"/>
                <w:szCs w:val="20"/>
              </w:rPr>
              <w:t>Caution should be used when baiting near areas where hunting of wildlife may occur. Careful consideration of bait placement is necessary to avoid secondary exposure from contaminated wildlife that may be consumed.</w:t>
            </w:r>
          </w:p>
          <w:p w14:paraId="05032828" w14:textId="77777777" w:rsidR="008E67EA" w:rsidRPr="00794C95" w:rsidRDefault="008E67EA" w:rsidP="00B44A74">
            <w:pPr>
              <w:spacing w:line="280" w:lineRule="exact"/>
              <w:rPr>
                <w:rFonts w:cs="Arial"/>
                <w:color w:val="7030A0"/>
                <w:sz w:val="20"/>
                <w:szCs w:val="20"/>
              </w:rPr>
            </w:pPr>
            <w:r w:rsidRPr="00794C95">
              <w:rPr>
                <w:rFonts w:cs="Arial"/>
                <w:sz w:val="20"/>
                <w:szCs w:val="20"/>
              </w:rPr>
              <w:t>DO NOT place bait in areas where there is a possibility of contaminating food, livestock feed or surfaces that come in direct contact with food or livestock feed.</w:t>
            </w:r>
          </w:p>
        </w:tc>
      </w:tr>
      <w:tr w:rsidR="008E67EA" w:rsidRPr="002B5B5B" w14:paraId="49D597C7" w14:textId="77777777" w:rsidTr="00B44A74">
        <w:trPr>
          <w:jc w:val="center"/>
        </w:trPr>
        <w:tc>
          <w:tcPr>
            <w:tcW w:w="2415" w:type="dxa"/>
            <w:tcBorders>
              <w:top w:val="single" w:sz="4" w:space="0" w:color="auto"/>
              <w:left w:val="nil"/>
              <w:bottom w:val="single" w:sz="4" w:space="0" w:color="auto"/>
              <w:right w:val="nil"/>
            </w:tcBorders>
          </w:tcPr>
          <w:p w14:paraId="53D5E9EE" w14:textId="77777777" w:rsidR="008E67EA" w:rsidRPr="0073141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07C40FA" w14:textId="77777777" w:rsidR="008E67EA" w:rsidRPr="00731415" w:rsidRDefault="008E67EA" w:rsidP="00B44A74">
            <w:pPr>
              <w:spacing w:line="280" w:lineRule="exact"/>
              <w:rPr>
                <w:rFonts w:cs="Arial"/>
                <w:sz w:val="20"/>
                <w:szCs w:val="20"/>
              </w:rPr>
            </w:pPr>
          </w:p>
        </w:tc>
      </w:tr>
      <w:tr w:rsidR="008E67EA" w:rsidRPr="002B5B5B" w14:paraId="6921B76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22C88C8" w14:textId="77777777" w:rsidR="008E67EA" w:rsidRPr="00F5215F" w:rsidRDefault="008E67EA" w:rsidP="00B44A74">
            <w:pPr>
              <w:spacing w:line="280" w:lineRule="exact"/>
              <w:rPr>
                <w:rFonts w:cs="Arial"/>
                <w:sz w:val="20"/>
                <w:szCs w:val="20"/>
              </w:rPr>
            </w:pPr>
            <w:r w:rsidRPr="00F5215F">
              <w:rPr>
                <w:rFonts w:cs="Arial"/>
                <w:sz w:val="20"/>
                <w:szCs w:val="20"/>
              </w:rPr>
              <w:t>Protection Statements:</w:t>
            </w:r>
          </w:p>
        </w:tc>
        <w:tc>
          <w:tcPr>
            <w:tcW w:w="7755" w:type="dxa"/>
            <w:tcBorders>
              <w:top w:val="single" w:sz="4" w:space="0" w:color="auto"/>
              <w:left w:val="single" w:sz="4" w:space="0" w:color="auto"/>
              <w:bottom w:val="single" w:sz="4" w:space="0" w:color="auto"/>
              <w:right w:val="single" w:sz="4" w:space="0" w:color="auto"/>
            </w:tcBorders>
          </w:tcPr>
          <w:p w14:paraId="2188322E" w14:textId="77777777" w:rsidR="008E67EA" w:rsidRDefault="008E67EA" w:rsidP="00B44A74">
            <w:pPr>
              <w:spacing w:line="280" w:lineRule="exact"/>
              <w:rPr>
                <w:rFonts w:cs="Arial"/>
                <w:sz w:val="20"/>
                <w:szCs w:val="20"/>
                <w:bdr w:val="none" w:sz="0" w:space="0" w:color="auto" w:frame="1"/>
                <w:lang w:val="en-GB" w:eastAsia="en-AU"/>
              </w:rPr>
            </w:pPr>
            <w:r w:rsidRPr="00794C95">
              <w:rPr>
                <w:rFonts w:cs="Arial"/>
                <w:sz w:val="20"/>
                <w:szCs w:val="20"/>
                <w:bdr w:val="none" w:sz="0" w:space="0" w:color="auto" w:frame="1"/>
                <w:lang w:val="en-GB" w:eastAsia="en-AU"/>
              </w:rPr>
              <w:t>PROTECTION OF LIVESTOCK AND WILDLIFE</w:t>
            </w:r>
          </w:p>
          <w:p w14:paraId="00F9DA2B" w14:textId="77777777" w:rsidR="008E67EA" w:rsidRPr="00794C95" w:rsidRDefault="008E67EA" w:rsidP="00B44A74">
            <w:pPr>
              <w:spacing w:line="280" w:lineRule="exact"/>
              <w:rPr>
                <w:rFonts w:cs="Arial"/>
                <w:sz w:val="20"/>
                <w:szCs w:val="20"/>
                <w:bdr w:val="none" w:sz="0" w:space="0" w:color="auto" w:frame="1"/>
                <w:lang w:val="en-GB" w:eastAsia="en-AU"/>
              </w:rPr>
            </w:pPr>
            <w:r w:rsidRPr="00794C95">
              <w:rPr>
                <w:rFonts w:cs="Arial"/>
                <w:sz w:val="20"/>
                <w:szCs w:val="20"/>
                <w:bdr w:val="none" w:sz="0" w:space="0" w:color="auto" w:frame="1"/>
                <w:lang w:val="en-GB" w:eastAsia="en-AU"/>
              </w:rPr>
              <w:t>Hazardous to livestock, poultry and wildlife. DO NOT place baits in locations that are accessible to domestic animals, livestock, non-target native animals or birds.</w:t>
            </w:r>
          </w:p>
          <w:p w14:paraId="0C3353BB" w14:textId="77777777" w:rsidR="008E67EA" w:rsidRPr="00794C95" w:rsidRDefault="008E67EA" w:rsidP="00B44A74">
            <w:pPr>
              <w:spacing w:line="280" w:lineRule="exact"/>
              <w:rPr>
                <w:rFonts w:cs="Arial"/>
                <w:sz w:val="20"/>
                <w:szCs w:val="20"/>
                <w:bdr w:val="none" w:sz="0" w:space="0" w:color="auto" w:frame="1"/>
                <w:lang w:val="en-GB" w:eastAsia="en-AU"/>
              </w:rPr>
            </w:pPr>
            <w:r w:rsidRPr="00794C95">
              <w:rPr>
                <w:rFonts w:cs="Arial"/>
                <w:sz w:val="20"/>
                <w:szCs w:val="20"/>
                <w:bdr w:val="none" w:sz="0" w:space="0" w:color="auto" w:frame="1"/>
                <w:lang w:val="en-GB" w:eastAsia="en-AU"/>
              </w:rPr>
              <w:t xml:space="preserve">Search for and dispose of dead rodents and slugs/snails in the infested area at each visit to prevent secondary poisoning. In case slugs/snails are present, move bait station to another location within the rodent infested site, away from slugs/snails. Dispose of slugs/snails in a way non-target animals are not exposed. Dispose of dead rodents and uneaten bait in compliance with local, state or territory government regulations. </w:t>
            </w:r>
          </w:p>
          <w:p w14:paraId="281FD194" w14:textId="77777777" w:rsidR="008E67EA" w:rsidRPr="00794C95" w:rsidRDefault="008E67EA" w:rsidP="00B44A74">
            <w:pPr>
              <w:spacing w:line="280" w:lineRule="exact"/>
              <w:rPr>
                <w:rFonts w:cs="Arial"/>
                <w:sz w:val="20"/>
                <w:szCs w:val="20"/>
                <w:bdr w:val="none" w:sz="0" w:space="0" w:color="auto" w:frame="1"/>
                <w:lang w:val="en-GB" w:eastAsia="en-AU"/>
              </w:rPr>
            </w:pPr>
            <w:r w:rsidRPr="00794C95">
              <w:rPr>
                <w:rFonts w:cs="Arial"/>
                <w:sz w:val="20"/>
                <w:szCs w:val="20"/>
                <w:bdr w:val="none" w:sz="0" w:space="0" w:color="auto" w:frame="1"/>
                <w:lang w:val="en-GB" w:eastAsia="en-AU"/>
              </w:rPr>
              <w:t>DO NOT allow livestock or poultry to consume dead or moribund mice and rats. All dead or moribund animals and rodent faeces from baited rodents MUST be removed from areas accessible to livestock or poultry.</w:t>
            </w:r>
          </w:p>
          <w:p w14:paraId="67B7D2EC" w14:textId="77777777" w:rsidR="008E67EA" w:rsidRPr="00794C95" w:rsidRDefault="008E67EA" w:rsidP="00B44A74">
            <w:pPr>
              <w:spacing w:line="280" w:lineRule="exact"/>
              <w:rPr>
                <w:rFonts w:cs="Arial"/>
                <w:sz w:val="20"/>
                <w:szCs w:val="20"/>
                <w:bdr w:val="none" w:sz="0" w:space="0" w:color="auto" w:frame="1"/>
                <w:lang w:val="en-GB" w:eastAsia="en-AU"/>
              </w:rPr>
            </w:pPr>
          </w:p>
          <w:p w14:paraId="12239A1E" w14:textId="77777777" w:rsidR="008E67EA" w:rsidRPr="00794C95" w:rsidRDefault="008E67EA" w:rsidP="00B44A74">
            <w:pPr>
              <w:spacing w:line="280" w:lineRule="exact"/>
              <w:rPr>
                <w:rFonts w:cs="Arial"/>
                <w:sz w:val="20"/>
                <w:szCs w:val="20"/>
                <w:bdr w:val="none" w:sz="0" w:space="0" w:color="auto" w:frame="1"/>
                <w:lang w:val="en-GB" w:eastAsia="en-AU"/>
              </w:rPr>
            </w:pPr>
            <w:r w:rsidRPr="00794C95">
              <w:rPr>
                <w:rFonts w:cs="Arial"/>
                <w:sz w:val="20"/>
                <w:szCs w:val="20"/>
                <w:bdr w:val="none" w:sz="0" w:space="0" w:color="auto" w:frame="1"/>
                <w:lang w:val="en-GB" w:eastAsia="en-AU"/>
              </w:rPr>
              <w:t>PROTECTION OF FISH, CRUSTACEANS AND ENVIRONMENT</w:t>
            </w:r>
          </w:p>
          <w:p w14:paraId="7ADC1BC1" w14:textId="77777777" w:rsidR="008E67EA" w:rsidRPr="00794C95" w:rsidRDefault="008E67EA" w:rsidP="00B44A74">
            <w:pPr>
              <w:spacing w:line="280" w:lineRule="exact"/>
              <w:rPr>
                <w:rFonts w:cs="Arial"/>
                <w:sz w:val="20"/>
                <w:szCs w:val="20"/>
              </w:rPr>
            </w:pPr>
            <w:r w:rsidRPr="00794C95">
              <w:rPr>
                <w:rFonts w:cs="Arial"/>
                <w:sz w:val="20"/>
                <w:szCs w:val="20"/>
                <w:bdr w:val="none" w:sz="0" w:space="0" w:color="auto" w:frame="1"/>
                <w:lang w:val="en-GB" w:eastAsia="en-AU"/>
              </w:rPr>
              <w:t>Very toxic to aquatic life. DO NOT contaminate wetlands or watercourses with this product or used containers. Place the bait stations in areas not liable to flooding. When placing bait stations close to water drainage systems, ensure that bait contact with water is avoided.</w:t>
            </w:r>
          </w:p>
        </w:tc>
      </w:tr>
      <w:tr w:rsidR="008E67EA" w:rsidRPr="002B5B5B" w14:paraId="30B64B88" w14:textId="77777777" w:rsidTr="00B44A74">
        <w:trPr>
          <w:jc w:val="center"/>
        </w:trPr>
        <w:tc>
          <w:tcPr>
            <w:tcW w:w="2415" w:type="dxa"/>
            <w:tcBorders>
              <w:top w:val="single" w:sz="4" w:space="0" w:color="auto"/>
              <w:left w:val="nil"/>
              <w:bottom w:val="single" w:sz="4" w:space="0" w:color="auto"/>
              <w:right w:val="nil"/>
            </w:tcBorders>
          </w:tcPr>
          <w:p w14:paraId="4D866AE6" w14:textId="77777777" w:rsidR="008E67EA" w:rsidRPr="0073141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8BFCA07" w14:textId="77777777" w:rsidR="008E67EA" w:rsidRPr="00731415" w:rsidRDefault="008E67EA" w:rsidP="00B44A74">
            <w:pPr>
              <w:spacing w:line="280" w:lineRule="exact"/>
              <w:rPr>
                <w:rFonts w:cs="Arial"/>
                <w:sz w:val="20"/>
                <w:szCs w:val="20"/>
              </w:rPr>
            </w:pPr>
          </w:p>
        </w:tc>
      </w:tr>
      <w:tr w:rsidR="008E67EA" w:rsidRPr="002B5B5B" w14:paraId="48A7E9E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C7C63D7" w14:textId="77777777" w:rsidR="008E67EA" w:rsidRPr="00F5215F" w:rsidRDefault="008E67EA" w:rsidP="00B44A74">
            <w:pPr>
              <w:spacing w:line="280" w:lineRule="exact"/>
              <w:rPr>
                <w:rFonts w:cs="Arial"/>
                <w:sz w:val="20"/>
                <w:szCs w:val="20"/>
              </w:rPr>
            </w:pPr>
            <w:r w:rsidRPr="00F5215F">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2B0F1B3B" w14:textId="77777777" w:rsidR="008E67EA" w:rsidRPr="00526D62" w:rsidRDefault="008E67EA" w:rsidP="00B44A74">
            <w:pPr>
              <w:spacing w:line="280" w:lineRule="exact"/>
              <w:rPr>
                <w:rFonts w:cs="Arial"/>
                <w:sz w:val="20"/>
                <w:szCs w:val="20"/>
              </w:rPr>
            </w:pPr>
            <w:r w:rsidRPr="00526D62">
              <w:rPr>
                <w:rFonts w:cs="Arial"/>
                <w:sz w:val="20"/>
                <w:szCs w:val="20"/>
              </w:rPr>
              <w:t>STORAGE AND DISPOSAL</w:t>
            </w:r>
          </w:p>
          <w:p w14:paraId="7D945E07" w14:textId="77777777" w:rsidR="008E67EA" w:rsidRDefault="008E67EA" w:rsidP="00B44A74">
            <w:pPr>
              <w:spacing w:line="280" w:lineRule="exact"/>
              <w:rPr>
                <w:rFonts w:cs="Arial"/>
                <w:sz w:val="20"/>
                <w:szCs w:val="20"/>
              </w:rPr>
            </w:pPr>
            <w:r w:rsidRPr="00526D62">
              <w:rPr>
                <w:rFonts w:cs="Arial"/>
                <w:sz w:val="20"/>
                <w:szCs w:val="20"/>
              </w:rPr>
              <w:t>Store in the closed original container in a coo</w:t>
            </w:r>
            <w:r>
              <w:rPr>
                <w:rFonts w:cs="Arial"/>
                <w:sz w:val="20"/>
                <w:szCs w:val="20"/>
              </w:rPr>
              <w:t>l</w:t>
            </w:r>
            <w:r w:rsidRPr="00526D62">
              <w:rPr>
                <w:rFonts w:cs="Arial"/>
                <w:sz w:val="20"/>
                <w:szCs w:val="20"/>
              </w:rPr>
              <w:t>, well-ventilated area. DO NOT store for prolonged periods in direct sunlight.</w:t>
            </w:r>
            <w:r>
              <w:rPr>
                <w:rFonts w:cs="Arial"/>
                <w:sz w:val="20"/>
                <w:szCs w:val="20"/>
              </w:rPr>
              <w:t xml:space="preserve"> </w:t>
            </w:r>
          </w:p>
          <w:p w14:paraId="3FE82A34" w14:textId="77777777" w:rsidR="008E67EA" w:rsidRPr="00794C95" w:rsidRDefault="008E67EA" w:rsidP="00B44A74">
            <w:pPr>
              <w:spacing w:line="280" w:lineRule="exact"/>
              <w:rPr>
                <w:rFonts w:cs="Arial"/>
                <w:sz w:val="20"/>
                <w:szCs w:val="20"/>
              </w:rPr>
            </w:pPr>
            <w:r w:rsidRPr="00526D62">
              <w:rPr>
                <w:rFonts w:cs="Arial"/>
                <w:sz w:val="20"/>
                <w:szCs w:val="20"/>
              </w:rPr>
              <w:t>Triple rinse containers before disposal. Break, crush or puncture and deliver empty packaging to an approved waste management facility. If an approved waste management facility is not available, dispose of empty packaging in compliance with relevant local, state or territory government regulations. Dispose of unused product in compliance with relevant local, state or territory government regulations. DO NOT burn empty containers or product.</w:t>
            </w:r>
          </w:p>
        </w:tc>
      </w:tr>
      <w:tr w:rsidR="008E67EA" w:rsidRPr="002B5B5B" w14:paraId="685CFDD7" w14:textId="77777777" w:rsidTr="00B44A74">
        <w:trPr>
          <w:jc w:val="center"/>
        </w:trPr>
        <w:tc>
          <w:tcPr>
            <w:tcW w:w="2415" w:type="dxa"/>
            <w:tcBorders>
              <w:top w:val="single" w:sz="4" w:space="0" w:color="auto"/>
              <w:left w:val="nil"/>
              <w:bottom w:val="single" w:sz="4" w:space="0" w:color="auto"/>
              <w:right w:val="nil"/>
            </w:tcBorders>
          </w:tcPr>
          <w:p w14:paraId="6CC4202C"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B13241B" w14:textId="77777777" w:rsidR="008E67EA" w:rsidRPr="002B5B5B" w:rsidRDefault="008E67EA" w:rsidP="00B44A74">
            <w:pPr>
              <w:spacing w:line="280" w:lineRule="exact"/>
              <w:rPr>
                <w:rFonts w:cs="Arial"/>
                <w:sz w:val="20"/>
                <w:szCs w:val="20"/>
              </w:rPr>
            </w:pPr>
          </w:p>
        </w:tc>
      </w:tr>
      <w:tr w:rsidR="008E67EA" w:rsidRPr="002B5B5B" w14:paraId="6DF79E7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2831FBC" w14:textId="77777777" w:rsidR="008E67EA" w:rsidRPr="00F5215F" w:rsidRDefault="008E67EA" w:rsidP="00B44A74">
            <w:pPr>
              <w:spacing w:line="280" w:lineRule="exact"/>
              <w:rPr>
                <w:rFonts w:cs="Arial"/>
                <w:sz w:val="20"/>
                <w:szCs w:val="20"/>
              </w:rPr>
            </w:pPr>
            <w:r w:rsidRPr="00F5215F">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0B654817" w14:textId="77777777" w:rsidR="008E67EA" w:rsidRDefault="008E67EA" w:rsidP="00B44A74">
            <w:pPr>
              <w:spacing w:line="280" w:lineRule="exact"/>
              <w:rPr>
                <w:rFonts w:cs="Arial"/>
                <w:sz w:val="20"/>
                <w:szCs w:val="20"/>
              </w:rPr>
            </w:pPr>
            <w:r w:rsidRPr="00794C95">
              <w:rPr>
                <w:rFonts w:cs="Arial"/>
                <w:sz w:val="20"/>
                <w:szCs w:val="20"/>
              </w:rPr>
              <w:t>SAFETY DIRECTION</w:t>
            </w:r>
          </w:p>
          <w:p w14:paraId="478B5732" w14:textId="77777777" w:rsidR="008E67EA" w:rsidRPr="00104AF0" w:rsidRDefault="008E67EA" w:rsidP="00B44A74">
            <w:pPr>
              <w:spacing w:line="280" w:lineRule="exact"/>
              <w:rPr>
                <w:rFonts w:cs="Arial"/>
                <w:sz w:val="20"/>
                <w:szCs w:val="20"/>
              </w:rPr>
            </w:pPr>
            <w:r w:rsidRPr="00104AF0">
              <w:rPr>
                <w:rFonts w:cs="Arial"/>
                <w:sz w:val="20"/>
                <w:szCs w:val="20"/>
              </w:rPr>
              <w:t>Repeated minor exposure may have a cumulative poisoning effect. Do not touch bait, use scoop or measure. When using the product wear disposable gloves. If on skin and after each baiting, wash thoroughly with soap and water.</w:t>
            </w:r>
          </w:p>
          <w:p w14:paraId="479D05E3" w14:textId="476DC4C4" w:rsidR="008E67EA" w:rsidRPr="009A3B08" w:rsidRDefault="008E67EA" w:rsidP="00B44A74">
            <w:pPr>
              <w:spacing w:line="280" w:lineRule="exact"/>
              <w:rPr>
                <w:rFonts w:cs="Arial"/>
                <w:color w:val="7030A0"/>
                <w:sz w:val="20"/>
                <w:szCs w:val="20"/>
              </w:rPr>
            </w:pPr>
            <w:r w:rsidRPr="00104AF0">
              <w:rPr>
                <w:rFonts w:cs="Arial"/>
                <w:sz w:val="20"/>
                <w:szCs w:val="20"/>
              </w:rPr>
              <w:t>During cleanup and disposal operations of bait and bait stations, wear a single layer of clothing and disposable gloves. Wear disposable gloves when handling rodent carcasses. Wash clothes after performing re-handling activities.</w:t>
            </w:r>
          </w:p>
        </w:tc>
      </w:tr>
      <w:tr w:rsidR="008E67EA" w:rsidRPr="002B5B5B" w14:paraId="3C32FA5F" w14:textId="77777777" w:rsidTr="00B44A74">
        <w:trPr>
          <w:jc w:val="center"/>
        </w:trPr>
        <w:tc>
          <w:tcPr>
            <w:tcW w:w="2415" w:type="dxa"/>
            <w:tcBorders>
              <w:top w:val="single" w:sz="4" w:space="0" w:color="auto"/>
              <w:left w:val="nil"/>
              <w:bottom w:val="single" w:sz="4" w:space="0" w:color="auto"/>
              <w:right w:val="nil"/>
            </w:tcBorders>
          </w:tcPr>
          <w:p w14:paraId="4F86521B"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F08B5CA" w14:textId="77777777" w:rsidR="008E67EA" w:rsidRPr="002B5B5B" w:rsidRDefault="008E67EA" w:rsidP="00B44A74">
            <w:pPr>
              <w:spacing w:line="280" w:lineRule="exact"/>
              <w:rPr>
                <w:rFonts w:cs="Arial"/>
                <w:sz w:val="20"/>
                <w:szCs w:val="20"/>
              </w:rPr>
            </w:pPr>
          </w:p>
        </w:tc>
      </w:tr>
      <w:tr w:rsidR="008E67EA" w:rsidRPr="002B5B5B" w14:paraId="42F9E80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ABBEF3F" w14:textId="77777777" w:rsidR="008E67EA" w:rsidRPr="00F5215F" w:rsidRDefault="008E67EA" w:rsidP="00B44A74">
            <w:pPr>
              <w:spacing w:line="280" w:lineRule="exact"/>
              <w:rPr>
                <w:rFonts w:cs="Arial"/>
                <w:sz w:val="20"/>
                <w:szCs w:val="20"/>
              </w:rPr>
            </w:pPr>
            <w:r w:rsidRPr="00F5215F">
              <w:rPr>
                <w:rFonts w:cs="Arial"/>
                <w:sz w:val="20"/>
                <w:szCs w:val="20"/>
              </w:rPr>
              <w:t>First Aid Instructions:</w:t>
            </w:r>
          </w:p>
        </w:tc>
        <w:tc>
          <w:tcPr>
            <w:tcW w:w="7755" w:type="dxa"/>
            <w:tcBorders>
              <w:top w:val="single" w:sz="4" w:space="0" w:color="auto"/>
              <w:left w:val="single" w:sz="4" w:space="0" w:color="auto"/>
              <w:bottom w:val="single" w:sz="4" w:space="0" w:color="auto"/>
              <w:right w:val="single" w:sz="4" w:space="0" w:color="auto"/>
            </w:tcBorders>
          </w:tcPr>
          <w:p w14:paraId="66D60A78" w14:textId="77777777" w:rsidR="008E67EA" w:rsidRDefault="008E67EA" w:rsidP="00B44A74">
            <w:pPr>
              <w:spacing w:line="280" w:lineRule="exact"/>
              <w:rPr>
                <w:rFonts w:cs="Arial"/>
                <w:sz w:val="20"/>
                <w:szCs w:val="20"/>
              </w:rPr>
            </w:pPr>
            <w:r>
              <w:rPr>
                <w:rFonts w:cs="Arial"/>
                <w:sz w:val="20"/>
                <w:szCs w:val="20"/>
              </w:rPr>
              <w:t>FIRST AID</w:t>
            </w:r>
          </w:p>
          <w:p w14:paraId="3C5C7B7B" w14:textId="77777777" w:rsidR="008E67EA" w:rsidRPr="002B5B5B" w:rsidRDefault="008E67EA" w:rsidP="00B44A74">
            <w:pPr>
              <w:spacing w:line="280" w:lineRule="exact"/>
              <w:rPr>
                <w:rFonts w:cs="Arial"/>
                <w:sz w:val="20"/>
                <w:szCs w:val="20"/>
              </w:rPr>
            </w:pPr>
            <w:r w:rsidRPr="00794C95">
              <w:rPr>
                <w:rFonts w:cs="Arial"/>
                <w:sz w:val="20"/>
                <w:szCs w:val="20"/>
              </w:rPr>
              <w:t>If poisoning occurs, contact a doctor or Poisons Information Centre. Phone Australia 13 11 26, New Zealand 0800 764 766. Vitamin K1 (Phytomenadione) is antidotal.</w:t>
            </w:r>
          </w:p>
        </w:tc>
      </w:tr>
      <w:tr w:rsidR="008E67EA" w:rsidRPr="002B5B5B" w14:paraId="0F2CE73F" w14:textId="77777777" w:rsidTr="00B44A74">
        <w:trPr>
          <w:jc w:val="center"/>
        </w:trPr>
        <w:tc>
          <w:tcPr>
            <w:tcW w:w="2415" w:type="dxa"/>
            <w:tcBorders>
              <w:top w:val="single" w:sz="4" w:space="0" w:color="auto"/>
              <w:left w:val="nil"/>
              <w:bottom w:val="single" w:sz="4" w:space="0" w:color="auto"/>
              <w:right w:val="nil"/>
            </w:tcBorders>
          </w:tcPr>
          <w:p w14:paraId="08469C20"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7E033B8" w14:textId="77777777" w:rsidR="008E67EA" w:rsidRPr="002B5B5B" w:rsidRDefault="008E67EA" w:rsidP="00B44A74">
            <w:pPr>
              <w:spacing w:line="280" w:lineRule="exact"/>
              <w:rPr>
                <w:rFonts w:cs="Arial"/>
                <w:sz w:val="20"/>
                <w:szCs w:val="20"/>
              </w:rPr>
            </w:pPr>
          </w:p>
        </w:tc>
      </w:tr>
      <w:tr w:rsidR="008E67EA" w:rsidRPr="002B5B5B" w14:paraId="2A2FB45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8B027B7" w14:textId="77777777" w:rsidR="008E67EA" w:rsidRPr="00F5215F" w:rsidRDefault="008E67EA" w:rsidP="00B44A74">
            <w:pPr>
              <w:spacing w:line="280" w:lineRule="exact"/>
              <w:rPr>
                <w:rFonts w:cs="Arial"/>
                <w:sz w:val="20"/>
                <w:szCs w:val="20"/>
              </w:rPr>
            </w:pPr>
            <w:r w:rsidRPr="00F5215F">
              <w:rPr>
                <w:rFonts w:cs="Arial"/>
                <w:sz w:val="20"/>
                <w:szCs w:val="20"/>
              </w:rPr>
              <w:t>First Aid Warnings:</w:t>
            </w:r>
          </w:p>
        </w:tc>
        <w:tc>
          <w:tcPr>
            <w:tcW w:w="7755" w:type="dxa"/>
            <w:tcBorders>
              <w:top w:val="single" w:sz="4" w:space="0" w:color="auto"/>
              <w:left w:val="single" w:sz="4" w:space="0" w:color="auto"/>
              <w:bottom w:val="single" w:sz="4" w:space="0" w:color="auto"/>
              <w:right w:val="single" w:sz="4" w:space="0" w:color="auto"/>
            </w:tcBorders>
          </w:tcPr>
          <w:p w14:paraId="28F06A6E" w14:textId="77777777" w:rsidR="008E67EA" w:rsidRPr="002B5B5B" w:rsidRDefault="008E67EA" w:rsidP="00B44A74">
            <w:pPr>
              <w:spacing w:line="280" w:lineRule="exact"/>
              <w:rPr>
                <w:rFonts w:cs="Arial"/>
                <w:sz w:val="20"/>
                <w:szCs w:val="20"/>
              </w:rPr>
            </w:pPr>
          </w:p>
        </w:tc>
      </w:tr>
    </w:tbl>
    <w:p w14:paraId="03270252" w14:textId="77777777" w:rsidR="008E67EA" w:rsidRDefault="008E67EA" w:rsidP="008E67EA">
      <w:pPr>
        <w:spacing w:line="280" w:lineRule="exact"/>
        <w:rPr>
          <w:rFonts w:cs="Arial"/>
          <w:b/>
          <w:bCs/>
          <w:sz w:val="20"/>
          <w:szCs w:val="20"/>
        </w:rPr>
      </w:pPr>
    </w:p>
    <w:p w14:paraId="0A90AF8D" w14:textId="77777777" w:rsidR="008E67EA" w:rsidRPr="00FF36BF" w:rsidRDefault="008E67EA" w:rsidP="008E67EA">
      <w:pPr>
        <w:spacing w:line="280" w:lineRule="exact"/>
        <w:rPr>
          <w:rFonts w:cs="Arial"/>
          <w:b/>
          <w:bCs/>
          <w:sz w:val="20"/>
          <w:szCs w:val="20"/>
        </w:rPr>
      </w:pPr>
      <w:r w:rsidRPr="00FF36BF">
        <w:rPr>
          <w:rFonts w:cs="Arial"/>
          <w:b/>
          <w:bCs/>
          <w:sz w:val="20"/>
          <w:szCs w:val="20"/>
        </w:rPr>
        <w:t>DIRECTIONS FOR USE</w:t>
      </w:r>
    </w:p>
    <w:tbl>
      <w:tblPr>
        <w:tblStyle w:val="TableGrid"/>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163"/>
        <w:gridCol w:w="1531"/>
        <w:gridCol w:w="3930"/>
      </w:tblGrid>
      <w:tr w:rsidR="008E67EA" w:rsidRPr="00A27FD2" w14:paraId="08054A01" w14:textId="77777777" w:rsidTr="00731415">
        <w:trPr>
          <w:trHeight w:val="340"/>
        </w:trPr>
        <w:tc>
          <w:tcPr>
            <w:tcW w:w="2376" w:type="dxa"/>
          </w:tcPr>
          <w:p w14:paraId="6BAB6AB2" w14:textId="77777777" w:rsidR="008E67EA" w:rsidRPr="00382A84" w:rsidRDefault="008E67EA" w:rsidP="00B44A74">
            <w:pPr>
              <w:spacing w:line="280" w:lineRule="exact"/>
              <w:rPr>
                <w:rFonts w:cs="Arial"/>
                <w:b/>
                <w:bCs/>
                <w:szCs w:val="18"/>
              </w:rPr>
            </w:pPr>
            <w:r w:rsidRPr="00382A84">
              <w:rPr>
                <w:rFonts w:cs="Arial"/>
                <w:b/>
                <w:bCs/>
                <w:szCs w:val="18"/>
              </w:rPr>
              <w:t>SITUATION</w:t>
            </w:r>
          </w:p>
        </w:tc>
        <w:tc>
          <w:tcPr>
            <w:tcW w:w="1163" w:type="dxa"/>
          </w:tcPr>
          <w:p w14:paraId="2A292185" w14:textId="77777777" w:rsidR="008E67EA" w:rsidRPr="00382A84" w:rsidRDefault="008E67EA" w:rsidP="00B44A74">
            <w:pPr>
              <w:spacing w:line="280" w:lineRule="exact"/>
              <w:rPr>
                <w:rFonts w:cs="Arial"/>
                <w:b/>
                <w:bCs/>
                <w:szCs w:val="18"/>
              </w:rPr>
            </w:pPr>
            <w:r w:rsidRPr="00382A84">
              <w:rPr>
                <w:rFonts w:cs="Arial"/>
                <w:b/>
                <w:bCs/>
                <w:szCs w:val="18"/>
              </w:rPr>
              <w:t>PEST</w:t>
            </w:r>
          </w:p>
        </w:tc>
        <w:tc>
          <w:tcPr>
            <w:tcW w:w="1531" w:type="dxa"/>
          </w:tcPr>
          <w:p w14:paraId="06F7C768" w14:textId="77777777" w:rsidR="008E67EA" w:rsidRPr="00382A84" w:rsidRDefault="008E67EA" w:rsidP="00B44A74">
            <w:pPr>
              <w:spacing w:line="280" w:lineRule="exact"/>
              <w:rPr>
                <w:rFonts w:cs="Arial"/>
                <w:b/>
                <w:bCs/>
                <w:szCs w:val="18"/>
              </w:rPr>
            </w:pPr>
            <w:r w:rsidRPr="00382A84">
              <w:rPr>
                <w:rFonts w:cs="Arial"/>
                <w:b/>
                <w:bCs/>
                <w:szCs w:val="18"/>
              </w:rPr>
              <w:t>RATE</w:t>
            </w:r>
          </w:p>
        </w:tc>
        <w:tc>
          <w:tcPr>
            <w:tcW w:w="3930" w:type="dxa"/>
          </w:tcPr>
          <w:p w14:paraId="6AA99D52" w14:textId="77777777" w:rsidR="008E67EA" w:rsidRPr="00382A84" w:rsidRDefault="008E67EA" w:rsidP="00B44A74">
            <w:pPr>
              <w:spacing w:line="280" w:lineRule="exact"/>
              <w:rPr>
                <w:rFonts w:cs="Arial"/>
                <w:b/>
                <w:bCs/>
                <w:szCs w:val="18"/>
              </w:rPr>
            </w:pPr>
            <w:r w:rsidRPr="00382A84">
              <w:rPr>
                <w:rFonts w:cs="Arial"/>
                <w:b/>
                <w:bCs/>
                <w:szCs w:val="18"/>
              </w:rPr>
              <w:t>CRITICAL COMMENTS</w:t>
            </w:r>
          </w:p>
        </w:tc>
      </w:tr>
      <w:tr w:rsidR="008E67EA" w:rsidRPr="00A27FD2" w14:paraId="282C8E6E" w14:textId="77777777" w:rsidTr="00731415">
        <w:trPr>
          <w:trHeight w:val="1125"/>
        </w:trPr>
        <w:tc>
          <w:tcPr>
            <w:tcW w:w="2376" w:type="dxa"/>
          </w:tcPr>
          <w:p w14:paraId="4DF4BB77" w14:textId="4EA94430" w:rsidR="008E67EA" w:rsidRPr="006A3858" w:rsidRDefault="008E67EA" w:rsidP="00B44A74">
            <w:pPr>
              <w:spacing w:after="120" w:line="240" w:lineRule="exact"/>
              <w:rPr>
                <w:rFonts w:cs="Arial"/>
                <w:bCs/>
                <w:spacing w:val="-2"/>
                <w:w w:val="105"/>
                <w:szCs w:val="18"/>
              </w:rPr>
            </w:pPr>
            <w:r w:rsidRPr="006A3858">
              <w:rPr>
                <w:rFonts w:cs="Arial"/>
                <w:bCs/>
                <w:spacing w:val="-2"/>
                <w:w w:val="105"/>
                <w:szCs w:val="18"/>
              </w:rPr>
              <w:t>In and around (within 2 meters) industrial, commercial, public services</w:t>
            </w:r>
            <w:r>
              <w:rPr>
                <w:rFonts w:cs="Arial"/>
                <w:bCs/>
                <w:spacing w:val="-2"/>
                <w:w w:val="105"/>
                <w:szCs w:val="18"/>
              </w:rPr>
              <w:t xml:space="preserve"> </w:t>
            </w:r>
            <w:r w:rsidRPr="006A3858">
              <w:rPr>
                <w:rFonts w:cs="Arial"/>
                <w:bCs/>
                <w:spacing w:val="-2"/>
                <w:w w:val="105"/>
                <w:szCs w:val="18"/>
              </w:rPr>
              <w:t>and domestic buildings.</w:t>
            </w:r>
          </w:p>
        </w:tc>
        <w:tc>
          <w:tcPr>
            <w:tcW w:w="1163" w:type="dxa"/>
          </w:tcPr>
          <w:p w14:paraId="40C8996D" w14:textId="77777777" w:rsidR="008E67EA" w:rsidRPr="006A3858" w:rsidRDefault="008E67EA" w:rsidP="00B44A74">
            <w:pPr>
              <w:spacing w:after="120" w:line="240" w:lineRule="exact"/>
              <w:rPr>
                <w:rFonts w:cs="Arial"/>
                <w:szCs w:val="18"/>
              </w:rPr>
            </w:pPr>
            <w:r w:rsidRPr="006A3858">
              <w:rPr>
                <w:rFonts w:cs="Arial"/>
                <w:bCs/>
                <w:spacing w:val="-2"/>
                <w:w w:val="105"/>
                <w:szCs w:val="18"/>
              </w:rPr>
              <w:t>Rats (</w:t>
            </w:r>
            <w:r w:rsidRPr="006A3858">
              <w:rPr>
                <w:rFonts w:cs="Arial"/>
                <w:bCs/>
                <w:i/>
                <w:iCs/>
                <w:spacing w:val="-2"/>
                <w:w w:val="105"/>
                <w:szCs w:val="18"/>
              </w:rPr>
              <w:t>Rattus norvegius, Rattus rattus</w:t>
            </w:r>
            <w:r w:rsidRPr="006A3858">
              <w:rPr>
                <w:rFonts w:cs="Arial"/>
                <w:bCs/>
                <w:spacing w:val="-2"/>
                <w:w w:val="105"/>
                <w:szCs w:val="18"/>
              </w:rPr>
              <w:t>)</w:t>
            </w:r>
          </w:p>
        </w:tc>
        <w:tc>
          <w:tcPr>
            <w:tcW w:w="1531" w:type="dxa"/>
            <w:vMerge w:val="restart"/>
          </w:tcPr>
          <w:p w14:paraId="6AB2B23A" w14:textId="77777777" w:rsidR="008E67EA" w:rsidRPr="006A3858" w:rsidRDefault="008E67EA" w:rsidP="00B44A74">
            <w:pPr>
              <w:spacing w:after="120" w:line="240" w:lineRule="exact"/>
              <w:rPr>
                <w:rFonts w:cs="Arial"/>
                <w:bCs/>
                <w:spacing w:val="-2"/>
                <w:w w:val="105"/>
                <w:szCs w:val="18"/>
              </w:rPr>
            </w:pPr>
            <w:r>
              <w:rPr>
                <w:rFonts w:cs="Arial"/>
                <w:bCs/>
                <w:spacing w:val="-2"/>
                <w:w w:val="105"/>
                <w:szCs w:val="18"/>
              </w:rPr>
              <w:t>2 or more blocks per bait station</w:t>
            </w:r>
          </w:p>
        </w:tc>
        <w:tc>
          <w:tcPr>
            <w:tcW w:w="3930" w:type="dxa"/>
            <w:vMerge w:val="restart"/>
          </w:tcPr>
          <w:p w14:paraId="646C4DC9" w14:textId="592266E6" w:rsidR="008E67EA" w:rsidRDefault="008E67EA" w:rsidP="00B44A74">
            <w:pPr>
              <w:spacing w:after="120" w:line="240" w:lineRule="exact"/>
              <w:rPr>
                <w:rFonts w:cs="Arial"/>
                <w:bCs/>
                <w:color w:val="000000" w:themeColor="text1"/>
                <w:spacing w:val="-2"/>
                <w:w w:val="105"/>
                <w:szCs w:val="18"/>
              </w:rPr>
            </w:pPr>
            <w:r>
              <w:rPr>
                <w:rFonts w:cs="Arial"/>
                <w:bCs/>
                <w:color w:val="000000" w:themeColor="text1"/>
                <w:spacing w:val="-2"/>
                <w:w w:val="105"/>
                <w:szCs w:val="18"/>
              </w:rPr>
              <w:t>Apply w</w:t>
            </w:r>
            <w:r w:rsidRPr="00D2236A">
              <w:rPr>
                <w:rFonts w:cs="Arial"/>
                <w:bCs/>
                <w:color w:val="000000" w:themeColor="text1"/>
                <w:spacing w:val="-2"/>
                <w:w w:val="105"/>
                <w:szCs w:val="18"/>
              </w:rPr>
              <w:t>here pests</w:t>
            </w:r>
            <w:r>
              <w:rPr>
                <w:rFonts w:cs="Arial"/>
                <w:bCs/>
                <w:color w:val="000000" w:themeColor="text1"/>
                <w:spacing w:val="-2"/>
                <w:w w:val="105"/>
                <w:szCs w:val="18"/>
              </w:rPr>
              <w:t xml:space="preserve"> </w:t>
            </w:r>
            <w:r w:rsidRPr="00D2236A">
              <w:rPr>
                <w:rFonts w:cs="Arial"/>
                <w:bCs/>
                <w:color w:val="000000" w:themeColor="text1"/>
                <w:spacing w:val="-2"/>
                <w:w w:val="105"/>
                <w:szCs w:val="18"/>
              </w:rPr>
              <w:t>occur, e.g. food</w:t>
            </w:r>
            <w:r>
              <w:rPr>
                <w:rFonts w:cs="Arial"/>
                <w:bCs/>
                <w:color w:val="000000" w:themeColor="text1"/>
                <w:spacing w:val="-2"/>
                <w:w w:val="105"/>
                <w:szCs w:val="18"/>
              </w:rPr>
              <w:t xml:space="preserve"> </w:t>
            </w:r>
            <w:r w:rsidRPr="00D2236A">
              <w:rPr>
                <w:rFonts w:cs="Arial"/>
                <w:bCs/>
                <w:color w:val="000000" w:themeColor="text1"/>
                <w:spacing w:val="-2"/>
                <w:w w:val="105"/>
                <w:szCs w:val="18"/>
              </w:rPr>
              <w:t>processing</w:t>
            </w:r>
            <w:r>
              <w:rPr>
                <w:rFonts w:cs="Arial"/>
                <w:bCs/>
                <w:color w:val="000000" w:themeColor="text1"/>
                <w:spacing w:val="-2"/>
                <w:w w:val="105"/>
                <w:szCs w:val="18"/>
              </w:rPr>
              <w:t xml:space="preserve"> </w:t>
            </w:r>
            <w:r w:rsidRPr="00D2236A">
              <w:rPr>
                <w:rFonts w:cs="Arial"/>
                <w:bCs/>
                <w:color w:val="000000" w:themeColor="text1"/>
                <w:spacing w:val="-2"/>
                <w:w w:val="105"/>
                <w:szCs w:val="18"/>
              </w:rPr>
              <w:t>factories, or stores,</w:t>
            </w:r>
            <w:r>
              <w:rPr>
                <w:rFonts w:cs="Arial"/>
                <w:bCs/>
                <w:color w:val="000000" w:themeColor="text1"/>
                <w:spacing w:val="-2"/>
                <w:w w:val="105"/>
                <w:szCs w:val="18"/>
              </w:rPr>
              <w:t xml:space="preserve"> </w:t>
            </w:r>
            <w:r w:rsidRPr="00D2236A">
              <w:rPr>
                <w:rFonts w:cs="Arial"/>
                <w:bCs/>
                <w:color w:val="000000" w:themeColor="text1"/>
                <w:spacing w:val="-2"/>
                <w:w w:val="105"/>
                <w:szCs w:val="18"/>
              </w:rPr>
              <w:t>laundries,</w:t>
            </w:r>
            <w:r>
              <w:rPr>
                <w:rFonts w:cs="Arial"/>
                <w:bCs/>
                <w:color w:val="000000" w:themeColor="text1"/>
                <w:spacing w:val="-2"/>
                <w:w w:val="105"/>
                <w:szCs w:val="18"/>
              </w:rPr>
              <w:t xml:space="preserve"> </w:t>
            </w:r>
            <w:r w:rsidRPr="00D2236A">
              <w:rPr>
                <w:rFonts w:cs="Arial"/>
                <w:bCs/>
                <w:color w:val="000000" w:themeColor="text1"/>
                <w:spacing w:val="-2"/>
                <w:w w:val="105"/>
                <w:szCs w:val="18"/>
              </w:rPr>
              <w:t>restaurants, ships,</w:t>
            </w:r>
            <w:r>
              <w:rPr>
                <w:rFonts w:cs="Arial"/>
                <w:bCs/>
                <w:color w:val="000000" w:themeColor="text1"/>
                <w:spacing w:val="-2"/>
                <w:w w:val="105"/>
                <w:szCs w:val="18"/>
              </w:rPr>
              <w:t xml:space="preserve"> </w:t>
            </w:r>
            <w:r w:rsidRPr="00D2236A">
              <w:rPr>
                <w:rFonts w:cs="Arial"/>
                <w:bCs/>
                <w:color w:val="000000" w:themeColor="text1"/>
                <w:spacing w:val="-2"/>
                <w:w w:val="105"/>
                <w:szCs w:val="18"/>
              </w:rPr>
              <w:t>boiler houses,</w:t>
            </w:r>
            <w:r>
              <w:rPr>
                <w:rFonts w:cs="Arial"/>
                <w:bCs/>
                <w:color w:val="000000" w:themeColor="text1"/>
                <w:spacing w:val="-2"/>
                <w:w w:val="105"/>
                <w:szCs w:val="18"/>
              </w:rPr>
              <w:t xml:space="preserve"> </w:t>
            </w:r>
            <w:r w:rsidRPr="00D2236A">
              <w:rPr>
                <w:rFonts w:cs="Arial"/>
                <w:bCs/>
                <w:color w:val="000000" w:themeColor="text1"/>
                <w:spacing w:val="-2"/>
                <w:w w:val="105"/>
                <w:szCs w:val="18"/>
              </w:rPr>
              <w:t>hotels- motels.</w:t>
            </w:r>
          </w:p>
          <w:p w14:paraId="29F0F562" w14:textId="17D25B47" w:rsidR="008E67EA" w:rsidRDefault="008E67EA" w:rsidP="00B44A74">
            <w:pPr>
              <w:spacing w:after="120" w:line="240" w:lineRule="exact"/>
              <w:rPr>
                <w:rFonts w:cs="Arial"/>
                <w:bCs/>
                <w:color w:val="000000" w:themeColor="text1"/>
                <w:spacing w:val="-2"/>
                <w:w w:val="105"/>
                <w:szCs w:val="18"/>
              </w:rPr>
            </w:pPr>
            <w:r>
              <w:rPr>
                <w:rFonts w:cs="Arial"/>
                <w:bCs/>
                <w:color w:val="000000" w:themeColor="text1"/>
                <w:spacing w:val="-2"/>
                <w:w w:val="105"/>
                <w:szCs w:val="18"/>
              </w:rPr>
              <w:t>Place bait stations in infested areas, in sheltered positions near rodent entry points and other areas of rodent activity.</w:t>
            </w:r>
          </w:p>
          <w:p w14:paraId="1C027085" w14:textId="7C045E79" w:rsidR="008E67EA" w:rsidRPr="00C92346" w:rsidRDefault="008E67EA" w:rsidP="00B44A74">
            <w:pPr>
              <w:spacing w:after="120" w:line="240" w:lineRule="exact"/>
              <w:rPr>
                <w:rFonts w:cs="Arial"/>
                <w:bCs/>
                <w:color w:val="000000" w:themeColor="text1"/>
                <w:spacing w:val="-2"/>
                <w:w w:val="105"/>
                <w:szCs w:val="18"/>
              </w:rPr>
            </w:pPr>
            <w:r>
              <w:rPr>
                <w:rFonts w:cs="Arial"/>
                <w:bCs/>
                <w:color w:val="000000" w:themeColor="text1"/>
                <w:spacing w:val="-2"/>
                <w:w w:val="105"/>
                <w:szCs w:val="18"/>
              </w:rPr>
              <w:t>Mice require bait stations in several locations whereas rats require large quantities of bait in one or 2 locations.</w:t>
            </w:r>
          </w:p>
          <w:p w14:paraId="24A34F79" w14:textId="77777777" w:rsidR="008E67EA" w:rsidRPr="006A3858" w:rsidRDefault="008E67EA" w:rsidP="00B44A74">
            <w:pPr>
              <w:spacing w:after="120" w:line="240" w:lineRule="exact"/>
              <w:rPr>
                <w:rFonts w:cs="Arial"/>
                <w:bCs/>
                <w:spacing w:val="-2"/>
                <w:w w:val="105"/>
                <w:szCs w:val="18"/>
                <w:highlight w:val="yellow"/>
              </w:rPr>
            </w:pPr>
            <w:r w:rsidRPr="00C92346">
              <w:rPr>
                <w:rFonts w:cs="Arial"/>
                <w:bCs/>
                <w:color w:val="000000" w:themeColor="text1"/>
                <w:spacing w:val="-2"/>
                <w:w w:val="105"/>
                <w:szCs w:val="18"/>
              </w:rPr>
              <w:t>DO NOT exceed 3 m between bait stations for mice or 9 m for rats.</w:t>
            </w:r>
          </w:p>
        </w:tc>
      </w:tr>
      <w:tr w:rsidR="008E67EA" w:rsidRPr="00A27FD2" w14:paraId="4D2EB048" w14:textId="77777777" w:rsidTr="00731415">
        <w:trPr>
          <w:trHeight w:val="841"/>
        </w:trPr>
        <w:tc>
          <w:tcPr>
            <w:tcW w:w="2376" w:type="dxa"/>
          </w:tcPr>
          <w:p w14:paraId="5060D1A6" w14:textId="77777777" w:rsidR="008E67EA" w:rsidRPr="006A3858" w:rsidRDefault="008E67EA" w:rsidP="00B44A74">
            <w:pPr>
              <w:spacing w:after="120" w:line="240" w:lineRule="exact"/>
              <w:rPr>
                <w:rFonts w:cs="Arial"/>
                <w:bCs/>
                <w:spacing w:val="-2"/>
                <w:w w:val="105"/>
                <w:szCs w:val="18"/>
              </w:rPr>
            </w:pPr>
            <w:r w:rsidRPr="006A3858">
              <w:rPr>
                <w:rFonts w:cs="Arial"/>
                <w:bCs/>
                <w:spacing w:val="-2"/>
                <w:w w:val="105"/>
                <w:szCs w:val="18"/>
              </w:rPr>
              <w:t>In industrial, commercial, public services</w:t>
            </w:r>
            <w:r>
              <w:rPr>
                <w:rFonts w:cs="Arial"/>
                <w:bCs/>
                <w:spacing w:val="-2"/>
                <w:w w:val="105"/>
                <w:szCs w:val="18"/>
              </w:rPr>
              <w:t xml:space="preserve"> </w:t>
            </w:r>
            <w:r w:rsidRPr="006A3858">
              <w:rPr>
                <w:rFonts w:cs="Arial"/>
                <w:bCs/>
                <w:spacing w:val="-2"/>
                <w:w w:val="105"/>
                <w:szCs w:val="18"/>
              </w:rPr>
              <w:t>and domestic buildings.</w:t>
            </w:r>
          </w:p>
        </w:tc>
        <w:tc>
          <w:tcPr>
            <w:tcW w:w="1163" w:type="dxa"/>
          </w:tcPr>
          <w:p w14:paraId="2D57B648" w14:textId="77777777" w:rsidR="008E67EA" w:rsidRPr="006A3858" w:rsidRDefault="008E67EA" w:rsidP="00B44A74">
            <w:pPr>
              <w:spacing w:after="120" w:line="240" w:lineRule="exact"/>
              <w:rPr>
                <w:rFonts w:cs="Arial"/>
                <w:bCs/>
                <w:i/>
                <w:iCs/>
                <w:spacing w:val="-2"/>
                <w:w w:val="105"/>
                <w:szCs w:val="18"/>
              </w:rPr>
            </w:pPr>
            <w:r w:rsidRPr="006A3858">
              <w:rPr>
                <w:rFonts w:cs="Arial"/>
                <w:bCs/>
                <w:spacing w:val="-2"/>
                <w:w w:val="105"/>
                <w:szCs w:val="18"/>
              </w:rPr>
              <w:t>Mice (</w:t>
            </w:r>
            <w:r w:rsidRPr="006A3858">
              <w:rPr>
                <w:rFonts w:cs="Arial"/>
                <w:bCs/>
                <w:i/>
                <w:iCs/>
                <w:spacing w:val="-2"/>
                <w:w w:val="105"/>
                <w:szCs w:val="18"/>
              </w:rPr>
              <w:t>Mus musculus</w:t>
            </w:r>
            <w:r w:rsidRPr="006A3858">
              <w:rPr>
                <w:rFonts w:cs="Arial"/>
                <w:bCs/>
                <w:spacing w:val="-2"/>
                <w:w w:val="105"/>
                <w:szCs w:val="18"/>
              </w:rPr>
              <w:t>)</w:t>
            </w:r>
          </w:p>
        </w:tc>
        <w:tc>
          <w:tcPr>
            <w:tcW w:w="1531" w:type="dxa"/>
            <w:vMerge/>
          </w:tcPr>
          <w:p w14:paraId="18F8ADFE" w14:textId="77777777" w:rsidR="008E67EA" w:rsidRPr="006A3858" w:rsidRDefault="008E67EA" w:rsidP="00B44A74">
            <w:pPr>
              <w:spacing w:after="120" w:line="240" w:lineRule="exact"/>
              <w:rPr>
                <w:rFonts w:cs="Arial"/>
                <w:bCs/>
                <w:spacing w:val="-2"/>
                <w:w w:val="105"/>
                <w:szCs w:val="18"/>
              </w:rPr>
            </w:pPr>
          </w:p>
        </w:tc>
        <w:tc>
          <w:tcPr>
            <w:tcW w:w="3930" w:type="dxa"/>
            <w:vMerge/>
          </w:tcPr>
          <w:p w14:paraId="1737A7D7" w14:textId="77777777" w:rsidR="008E67EA" w:rsidRPr="006A3858" w:rsidRDefault="008E67EA" w:rsidP="00B44A74">
            <w:pPr>
              <w:ind w:firstLine="720"/>
              <w:rPr>
                <w:rFonts w:cs="Arial"/>
                <w:bCs/>
                <w:spacing w:val="-2"/>
                <w:w w:val="105"/>
                <w:szCs w:val="18"/>
                <w:highlight w:val="yellow"/>
              </w:rPr>
            </w:pPr>
          </w:p>
        </w:tc>
      </w:tr>
    </w:tbl>
    <w:p w14:paraId="132D9772" w14:textId="77777777" w:rsidR="008E67EA" w:rsidRDefault="008E67EA" w:rsidP="008E67EA">
      <w:pPr>
        <w:spacing w:line="280" w:lineRule="exact"/>
        <w:rPr>
          <w:rFonts w:cs="Arial"/>
          <w:b/>
          <w:bCs/>
          <w:sz w:val="20"/>
          <w:szCs w:val="20"/>
        </w:rPr>
      </w:pPr>
    </w:p>
    <w:p w14:paraId="5717A95C" w14:textId="77777777" w:rsidR="008E67EA" w:rsidRPr="00DC2C8B" w:rsidRDefault="008E67EA" w:rsidP="008E67EA">
      <w:pPr>
        <w:spacing w:line="280" w:lineRule="exact"/>
        <w:rPr>
          <w:rFonts w:cs="Arial"/>
          <w:b/>
          <w:bCs/>
          <w:color w:val="000000" w:themeColor="text1"/>
          <w:sz w:val="20"/>
          <w:szCs w:val="20"/>
        </w:rPr>
      </w:pPr>
      <w:r w:rsidRPr="00DC2C8B">
        <w:rPr>
          <w:rFonts w:cs="Arial"/>
          <w:b/>
          <w:bCs/>
          <w:color w:val="000000" w:themeColor="text1"/>
          <w:sz w:val="20"/>
          <w:szCs w:val="20"/>
        </w:rPr>
        <w:t>Baiting Strategy</w:t>
      </w:r>
    </w:p>
    <w:p w14:paraId="41C90A0F" w14:textId="620D4D9A" w:rsidR="008E67EA" w:rsidRPr="00E6656C" w:rsidRDefault="008E67EA" w:rsidP="008E67EA">
      <w:pPr>
        <w:spacing w:line="280" w:lineRule="exact"/>
        <w:rPr>
          <w:rFonts w:cs="Arial"/>
          <w:sz w:val="20"/>
          <w:szCs w:val="20"/>
        </w:rPr>
      </w:pPr>
      <w:r w:rsidRPr="00E6656C">
        <w:rPr>
          <w:rFonts w:cs="Arial"/>
          <w:sz w:val="20"/>
          <w:szCs w:val="20"/>
        </w:rPr>
        <w:t>Eliminate as far as practicable all alternative food sources.</w:t>
      </w:r>
    </w:p>
    <w:p w14:paraId="5893C0E8" w14:textId="3366E570" w:rsidR="008E67EA" w:rsidRPr="00E6656C" w:rsidRDefault="008E67EA" w:rsidP="008E67EA">
      <w:pPr>
        <w:spacing w:line="280" w:lineRule="exact"/>
        <w:rPr>
          <w:rFonts w:eastAsia="Calibri" w:cs="Arial"/>
          <w:sz w:val="20"/>
          <w:szCs w:val="20"/>
          <w:bdr w:val="none" w:sz="0" w:space="0" w:color="auto" w:frame="1"/>
          <w:lang w:val="en-GB" w:eastAsia="en-AU"/>
        </w:rPr>
      </w:pPr>
      <w:r w:rsidRPr="00E6656C">
        <w:rPr>
          <w:rFonts w:eastAsia="Calibri" w:cs="Arial"/>
          <w:sz w:val="20"/>
          <w:szCs w:val="20"/>
          <w:bdr w:val="none" w:sz="0" w:space="0" w:color="auto" w:frame="1"/>
          <w:lang w:val="en-GB" w:eastAsia="en-AU"/>
        </w:rPr>
        <w:t>Survey site prior to treatment, including assessment of the extent of infestation and identification of any indications of the presence of non-target animals.</w:t>
      </w:r>
    </w:p>
    <w:p w14:paraId="375C6DDB" w14:textId="0D7CC106" w:rsidR="008E67EA" w:rsidRPr="00E6656C" w:rsidRDefault="008E67EA" w:rsidP="008E67EA">
      <w:pPr>
        <w:spacing w:line="280" w:lineRule="exact"/>
        <w:rPr>
          <w:rFonts w:eastAsia="Calibri" w:cs="Arial"/>
          <w:sz w:val="20"/>
          <w:szCs w:val="20"/>
          <w:bdr w:val="none" w:sz="0" w:space="0" w:color="auto" w:frame="1"/>
          <w:lang w:val="en-GB" w:eastAsia="en-AU"/>
        </w:rPr>
      </w:pPr>
      <w:r w:rsidRPr="00E6656C">
        <w:rPr>
          <w:rFonts w:eastAsia="Calibri" w:cs="Arial"/>
          <w:sz w:val="20"/>
          <w:szCs w:val="20"/>
          <w:bdr w:val="none" w:sz="0" w:space="0" w:color="auto" w:frame="1"/>
          <w:lang w:val="en-GB" w:eastAsia="en-AU"/>
        </w:rPr>
        <w:t>Record the number and locations of bait stations for the purpose of inspection, replacement and later removal. Always use tamper-resistant bait stations that are secured in place in child accessible areas, outdoors and in animal or livestock housing. When used in food producing animal housing situations careful consideration is necessary regarding the placement of bait stations to ensure any rodenticide contamination of water, feed or livestock is prevented.</w:t>
      </w:r>
    </w:p>
    <w:p w14:paraId="6FEF41C6" w14:textId="77777777" w:rsidR="008E67EA" w:rsidRPr="00D2236A" w:rsidRDefault="008E67EA" w:rsidP="008E67EA">
      <w:pPr>
        <w:spacing w:line="280" w:lineRule="exact"/>
        <w:rPr>
          <w:rFonts w:cs="Arial"/>
          <w:sz w:val="20"/>
          <w:szCs w:val="20"/>
        </w:rPr>
      </w:pPr>
      <w:r w:rsidRPr="00D2236A">
        <w:rPr>
          <w:rFonts w:cs="Arial"/>
          <w:sz w:val="20"/>
          <w:szCs w:val="20"/>
        </w:rPr>
        <w:t xml:space="preserve">Inspect bait stations regularly </w:t>
      </w:r>
      <w:r w:rsidRPr="00D2236A">
        <w:rPr>
          <w:rFonts w:cs="Arial"/>
          <w:bCs/>
          <w:spacing w:val="-2"/>
          <w:w w:val="105"/>
          <w:szCs w:val="18"/>
        </w:rPr>
        <w:t>at intervals no more than 7 days apart</w:t>
      </w:r>
      <w:r>
        <w:rPr>
          <w:rFonts w:cs="Arial"/>
          <w:bCs/>
          <w:spacing w:val="-2"/>
          <w:w w:val="105"/>
          <w:szCs w:val="18"/>
        </w:rPr>
        <w:t>. E</w:t>
      </w:r>
      <w:r w:rsidRPr="00D2236A">
        <w:rPr>
          <w:rFonts w:cs="Arial"/>
          <w:sz w:val="20"/>
          <w:szCs w:val="20"/>
        </w:rPr>
        <w:t>nsure sufficient blocks are available. Continue observation and replenishment until no more baits are taken.</w:t>
      </w:r>
    </w:p>
    <w:p w14:paraId="48BB3341" w14:textId="77777777" w:rsidR="008E67EA" w:rsidRPr="000559AD" w:rsidRDefault="008E67EA" w:rsidP="008E67EA">
      <w:pPr>
        <w:spacing w:line="280" w:lineRule="exact"/>
        <w:rPr>
          <w:rFonts w:eastAsia="Calibri" w:cs="Arial"/>
          <w:sz w:val="20"/>
          <w:szCs w:val="20"/>
          <w:bdr w:val="none" w:sz="0" w:space="0" w:color="auto" w:frame="1"/>
          <w:lang w:val="en-GB" w:eastAsia="en-AU"/>
        </w:rPr>
      </w:pPr>
      <w:r w:rsidRPr="00E6656C">
        <w:rPr>
          <w:rFonts w:eastAsia="Calibri" w:cs="Arial"/>
          <w:sz w:val="20"/>
          <w:szCs w:val="20"/>
          <w:bdr w:val="none" w:sz="0" w:space="0" w:color="auto" w:frame="1"/>
          <w:lang w:val="en-GB" w:eastAsia="en-AU"/>
        </w:rPr>
        <w:t>DO NOT use the product beyond 35 days without an evaluation of the state of the infestation and of the efficacy of the treatment.</w:t>
      </w:r>
      <w:r w:rsidRPr="00E6656C">
        <w:rPr>
          <w:rFonts w:cs="Arial"/>
          <w:sz w:val="20"/>
          <w:szCs w:val="20"/>
        </w:rPr>
        <w:t xml:space="preserve"> </w:t>
      </w:r>
      <w:r w:rsidRPr="00E6656C">
        <w:rPr>
          <w:rFonts w:eastAsia="Calibri" w:cs="Arial"/>
          <w:sz w:val="20"/>
          <w:szCs w:val="20"/>
          <w:bdr w:val="none" w:sz="0" w:space="0" w:color="auto" w:frame="1"/>
          <w:lang w:val="en-GB" w:eastAsia="en-AU"/>
        </w:rPr>
        <w:t>Remove all uneaten bait at the end of treatment.</w:t>
      </w:r>
    </w:p>
    <w:p w14:paraId="538884C5" w14:textId="77777777" w:rsidR="00731415" w:rsidRDefault="008E67EA" w:rsidP="00731415">
      <w:pPr>
        <w:spacing w:line="280" w:lineRule="exact"/>
        <w:rPr>
          <w:rFonts w:cs="Arial"/>
          <w:b/>
          <w:bCs/>
          <w:sz w:val="20"/>
          <w:szCs w:val="20"/>
        </w:rPr>
        <w:sectPr w:rsidR="00731415" w:rsidSect="00CB73E0">
          <w:pgSz w:w="11906" w:h="16838"/>
          <w:pgMar w:top="1440" w:right="1134" w:bottom="1440" w:left="1134" w:header="794" w:footer="737" w:gutter="0"/>
          <w:cols w:space="708"/>
          <w:docGrid w:linePitch="360"/>
        </w:sectPr>
      </w:pPr>
      <w:r w:rsidRPr="00FF36BF">
        <w:rPr>
          <w:rFonts w:cs="Arial"/>
          <w:b/>
          <w:bCs/>
          <w:sz w:val="20"/>
          <w:szCs w:val="20"/>
        </w:rPr>
        <w:t>NOT TO BE USED FOR ANY PURPOSE, OR IN ANY MANNER, CONTRARY TO THIS LABEL UNLESS AUTHORISED UNDER APPROPRIATE LEGISLATION.</w:t>
      </w:r>
    </w:p>
    <w:p w14:paraId="34BE59EA" w14:textId="77777777" w:rsidR="008E67EA"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lastRenderedPageBreak/>
        <w:t xml:space="preserve">Template Label </w:t>
      </w:r>
      <w:r>
        <w:rPr>
          <w:rFonts w:cs="Arial"/>
          <w:b/>
          <w:bCs/>
          <w:sz w:val="20"/>
          <w:szCs w:val="20"/>
          <w:bdr w:val="none" w:sz="0" w:space="0" w:color="auto" w:frame="1"/>
          <w:lang w:val="en-GB" w:eastAsia="en-AU"/>
        </w:rPr>
        <w:t>1e</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2B5B5B" w14:paraId="7D122DC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58C282C" w14:textId="77777777" w:rsidR="008E67EA" w:rsidRPr="00445879" w:rsidRDefault="008E67EA" w:rsidP="00B44A74">
            <w:pPr>
              <w:spacing w:line="280" w:lineRule="exact"/>
              <w:rPr>
                <w:rFonts w:cs="Arial"/>
                <w:sz w:val="20"/>
                <w:szCs w:val="20"/>
              </w:rPr>
            </w:pPr>
            <w:r w:rsidRPr="00445879">
              <w:rPr>
                <w:rFonts w:cs="Arial"/>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6CEDE25E" w14:textId="77777777" w:rsidR="008E67EA" w:rsidRPr="00445879" w:rsidRDefault="008E67EA" w:rsidP="00B44A74">
            <w:pPr>
              <w:spacing w:line="280" w:lineRule="exact"/>
              <w:rPr>
                <w:rFonts w:cs="Arial"/>
                <w:sz w:val="20"/>
                <w:szCs w:val="20"/>
              </w:rPr>
            </w:pPr>
            <w:r w:rsidRPr="00445879">
              <w:rPr>
                <w:rFonts w:cs="Arial"/>
                <w:sz w:val="20"/>
                <w:szCs w:val="20"/>
              </w:rPr>
              <w:t>[INSERT LABEL NAME]</w:t>
            </w:r>
          </w:p>
        </w:tc>
      </w:tr>
      <w:tr w:rsidR="008E67EA" w:rsidRPr="002B5B5B" w14:paraId="0DA3203B" w14:textId="77777777" w:rsidTr="00B44A74">
        <w:trPr>
          <w:jc w:val="center"/>
        </w:trPr>
        <w:tc>
          <w:tcPr>
            <w:tcW w:w="2415" w:type="dxa"/>
            <w:tcBorders>
              <w:top w:val="single" w:sz="4" w:space="0" w:color="auto"/>
              <w:left w:val="nil"/>
              <w:bottom w:val="single" w:sz="4" w:space="0" w:color="auto"/>
              <w:right w:val="nil"/>
            </w:tcBorders>
          </w:tcPr>
          <w:p w14:paraId="3D7402D7" w14:textId="77777777" w:rsidR="008E67EA" w:rsidRPr="00445879"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69DC534" w14:textId="77777777" w:rsidR="008E67EA" w:rsidRPr="00445879" w:rsidRDefault="008E67EA" w:rsidP="00B44A74">
            <w:pPr>
              <w:spacing w:line="280" w:lineRule="exact"/>
              <w:rPr>
                <w:rFonts w:cs="Arial"/>
                <w:sz w:val="20"/>
                <w:szCs w:val="20"/>
              </w:rPr>
            </w:pPr>
          </w:p>
        </w:tc>
      </w:tr>
      <w:tr w:rsidR="008E67EA" w:rsidRPr="002B5B5B" w14:paraId="2E5F04F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6181DB9" w14:textId="77777777" w:rsidR="008E67EA" w:rsidRPr="00445879" w:rsidRDefault="008E67EA" w:rsidP="00B44A74">
            <w:pPr>
              <w:spacing w:line="280" w:lineRule="exact"/>
              <w:rPr>
                <w:rFonts w:cs="Arial"/>
                <w:sz w:val="20"/>
                <w:szCs w:val="20"/>
              </w:rPr>
            </w:pPr>
            <w:r w:rsidRPr="00445879">
              <w:rPr>
                <w:rFonts w:cs="Arial"/>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26391514" w14:textId="77777777" w:rsidR="008E67EA" w:rsidRPr="00445879" w:rsidRDefault="008E67EA" w:rsidP="00B44A74">
            <w:pPr>
              <w:spacing w:line="280" w:lineRule="exact"/>
              <w:rPr>
                <w:rFonts w:cs="Arial"/>
                <w:sz w:val="20"/>
                <w:szCs w:val="20"/>
              </w:rPr>
            </w:pPr>
            <w:r w:rsidRPr="00445879">
              <w:rPr>
                <w:rFonts w:cs="Arial"/>
                <w:sz w:val="20"/>
                <w:szCs w:val="20"/>
              </w:rPr>
              <w:t>POISON</w:t>
            </w:r>
          </w:p>
          <w:p w14:paraId="76EA760E" w14:textId="77777777" w:rsidR="008E67EA" w:rsidRPr="00445879" w:rsidRDefault="008E67EA" w:rsidP="00B44A74">
            <w:pPr>
              <w:spacing w:line="280" w:lineRule="exact"/>
              <w:rPr>
                <w:rFonts w:cs="Arial"/>
                <w:sz w:val="20"/>
                <w:szCs w:val="20"/>
              </w:rPr>
            </w:pPr>
            <w:r w:rsidRPr="00445879">
              <w:rPr>
                <w:rFonts w:cs="Arial"/>
                <w:sz w:val="20"/>
                <w:szCs w:val="20"/>
              </w:rPr>
              <w:t>KEEP OUT OF REACH OF CHILDREN</w:t>
            </w:r>
          </w:p>
          <w:p w14:paraId="1BBFF677" w14:textId="77777777" w:rsidR="008E67EA" w:rsidRPr="00445879" w:rsidRDefault="008E67EA" w:rsidP="00B44A74">
            <w:pPr>
              <w:spacing w:line="280" w:lineRule="exact"/>
              <w:rPr>
                <w:rFonts w:cs="Arial"/>
                <w:sz w:val="20"/>
                <w:szCs w:val="20"/>
              </w:rPr>
            </w:pPr>
            <w:r w:rsidRPr="00445879">
              <w:rPr>
                <w:rFonts w:cs="Arial"/>
                <w:sz w:val="20"/>
                <w:szCs w:val="20"/>
              </w:rPr>
              <w:t>READ SAFETY DIRECTIONS BEFORE OPENING OR USING</w:t>
            </w:r>
          </w:p>
        </w:tc>
      </w:tr>
      <w:tr w:rsidR="008E67EA" w:rsidRPr="002B5B5B" w14:paraId="39E2B70E" w14:textId="77777777" w:rsidTr="00B44A74">
        <w:trPr>
          <w:jc w:val="center"/>
        </w:trPr>
        <w:tc>
          <w:tcPr>
            <w:tcW w:w="2415" w:type="dxa"/>
            <w:tcBorders>
              <w:top w:val="single" w:sz="4" w:space="0" w:color="auto"/>
              <w:left w:val="nil"/>
              <w:bottom w:val="single" w:sz="4" w:space="0" w:color="auto"/>
              <w:right w:val="nil"/>
            </w:tcBorders>
          </w:tcPr>
          <w:p w14:paraId="0E4ECB2E" w14:textId="77777777" w:rsidR="008E67EA" w:rsidRPr="00445879"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FD56DD0" w14:textId="77777777" w:rsidR="008E67EA" w:rsidRPr="00445879" w:rsidRDefault="008E67EA" w:rsidP="00B44A74">
            <w:pPr>
              <w:spacing w:line="280" w:lineRule="exact"/>
              <w:rPr>
                <w:rFonts w:cs="Arial"/>
                <w:sz w:val="20"/>
                <w:szCs w:val="20"/>
              </w:rPr>
            </w:pPr>
          </w:p>
        </w:tc>
      </w:tr>
      <w:tr w:rsidR="008E67EA" w:rsidRPr="002B5B5B" w14:paraId="2352DE5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9955C8B" w14:textId="77777777" w:rsidR="008E67EA" w:rsidRPr="00445879" w:rsidRDefault="008E67EA" w:rsidP="00B44A74">
            <w:pPr>
              <w:spacing w:line="280" w:lineRule="exact"/>
              <w:rPr>
                <w:rFonts w:cs="Arial"/>
                <w:sz w:val="20"/>
                <w:szCs w:val="20"/>
              </w:rPr>
            </w:pPr>
            <w:r w:rsidRPr="00445879">
              <w:rPr>
                <w:rFonts w:cs="Arial"/>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020C0CC7" w14:textId="77777777" w:rsidR="008E67EA" w:rsidRPr="00445879" w:rsidRDefault="008E67EA" w:rsidP="00B44A74">
            <w:pPr>
              <w:spacing w:line="280" w:lineRule="exact"/>
              <w:rPr>
                <w:rFonts w:cs="Arial"/>
                <w:sz w:val="20"/>
                <w:szCs w:val="20"/>
              </w:rPr>
            </w:pPr>
            <w:r w:rsidRPr="00445879">
              <w:rPr>
                <w:rFonts w:cs="Arial"/>
                <w:sz w:val="20"/>
                <w:szCs w:val="20"/>
              </w:rPr>
              <w:t>0.025 g/kg BRODIFACOUM</w:t>
            </w:r>
          </w:p>
        </w:tc>
      </w:tr>
      <w:tr w:rsidR="008E67EA" w:rsidRPr="002B5B5B" w14:paraId="04489B6C" w14:textId="77777777" w:rsidTr="00B44A74">
        <w:trPr>
          <w:jc w:val="center"/>
        </w:trPr>
        <w:tc>
          <w:tcPr>
            <w:tcW w:w="2415" w:type="dxa"/>
            <w:tcBorders>
              <w:top w:val="single" w:sz="4" w:space="0" w:color="auto"/>
              <w:left w:val="nil"/>
              <w:bottom w:val="single" w:sz="4" w:space="0" w:color="auto"/>
              <w:right w:val="nil"/>
            </w:tcBorders>
          </w:tcPr>
          <w:p w14:paraId="3D27DA31" w14:textId="77777777" w:rsidR="008E67EA" w:rsidRPr="00445879"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CEA5195" w14:textId="77777777" w:rsidR="008E67EA" w:rsidRPr="00445879" w:rsidRDefault="008E67EA" w:rsidP="00B44A74">
            <w:pPr>
              <w:spacing w:line="280" w:lineRule="exact"/>
              <w:rPr>
                <w:rFonts w:cs="Arial"/>
                <w:sz w:val="20"/>
                <w:szCs w:val="20"/>
              </w:rPr>
            </w:pPr>
          </w:p>
        </w:tc>
      </w:tr>
      <w:tr w:rsidR="008E67EA" w:rsidRPr="00994236" w14:paraId="12DBE3B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07F2CFD" w14:textId="77777777" w:rsidR="008E67EA" w:rsidRPr="00445879" w:rsidRDefault="008E67EA" w:rsidP="00B44A74">
            <w:pPr>
              <w:spacing w:line="280" w:lineRule="exact"/>
              <w:rPr>
                <w:rFonts w:cs="Arial"/>
                <w:sz w:val="20"/>
                <w:szCs w:val="20"/>
              </w:rPr>
            </w:pPr>
            <w:r w:rsidRPr="00445879">
              <w:rPr>
                <w:rFonts w:cs="Arial"/>
                <w:sz w:val="20"/>
                <w:szCs w:val="20"/>
              </w:rPr>
              <w:t>Mode of Action:</w:t>
            </w:r>
          </w:p>
        </w:tc>
        <w:tc>
          <w:tcPr>
            <w:tcW w:w="7755" w:type="dxa"/>
            <w:tcBorders>
              <w:top w:val="single" w:sz="4" w:space="0" w:color="auto"/>
              <w:left w:val="single" w:sz="4" w:space="0" w:color="auto"/>
              <w:bottom w:val="single" w:sz="4" w:space="0" w:color="auto"/>
              <w:right w:val="single" w:sz="4" w:space="0" w:color="auto"/>
            </w:tcBorders>
          </w:tcPr>
          <w:p w14:paraId="59EDCCEF" w14:textId="77777777" w:rsidR="008E67EA" w:rsidRPr="00445879" w:rsidRDefault="008E67EA" w:rsidP="00B44A74">
            <w:pPr>
              <w:spacing w:line="280" w:lineRule="exact"/>
              <w:jc w:val="both"/>
              <w:rPr>
                <w:rFonts w:cs="Arial"/>
                <w:sz w:val="20"/>
                <w:szCs w:val="20"/>
              </w:rPr>
            </w:pPr>
          </w:p>
        </w:tc>
      </w:tr>
      <w:tr w:rsidR="008E67EA" w:rsidRPr="002B5B5B" w14:paraId="1D747B99" w14:textId="77777777" w:rsidTr="00B44A74">
        <w:trPr>
          <w:jc w:val="center"/>
        </w:trPr>
        <w:tc>
          <w:tcPr>
            <w:tcW w:w="2415" w:type="dxa"/>
            <w:tcBorders>
              <w:top w:val="single" w:sz="4" w:space="0" w:color="auto"/>
              <w:left w:val="nil"/>
              <w:bottom w:val="single" w:sz="4" w:space="0" w:color="auto"/>
              <w:right w:val="nil"/>
            </w:tcBorders>
          </w:tcPr>
          <w:p w14:paraId="18BC8741" w14:textId="77777777" w:rsidR="008E67EA" w:rsidRPr="00445879"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39D87EE" w14:textId="77777777" w:rsidR="008E67EA" w:rsidRPr="00445879" w:rsidRDefault="008E67EA" w:rsidP="00B44A74">
            <w:pPr>
              <w:spacing w:line="280" w:lineRule="exact"/>
              <w:rPr>
                <w:rFonts w:cs="Arial"/>
                <w:sz w:val="20"/>
                <w:szCs w:val="20"/>
              </w:rPr>
            </w:pPr>
          </w:p>
        </w:tc>
      </w:tr>
      <w:tr w:rsidR="008E67EA" w:rsidRPr="002B5B5B" w14:paraId="4E78CAC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8B650A9" w14:textId="77777777" w:rsidR="008E67EA" w:rsidRPr="00445879" w:rsidRDefault="008E67EA" w:rsidP="00B44A74">
            <w:pPr>
              <w:spacing w:line="280" w:lineRule="exact"/>
              <w:rPr>
                <w:rFonts w:cs="Arial"/>
                <w:sz w:val="20"/>
                <w:szCs w:val="20"/>
              </w:rPr>
            </w:pPr>
            <w:r w:rsidRPr="00445879">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25412017" w14:textId="77777777" w:rsidR="008E67EA" w:rsidRPr="00A41558" w:rsidRDefault="008E67EA" w:rsidP="00B44A74">
            <w:pPr>
              <w:spacing w:line="280" w:lineRule="exact"/>
              <w:rPr>
                <w:rFonts w:cs="Arial"/>
                <w:sz w:val="20"/>
                <w:szCs w:val="20"/>
              </w:rPr>
            </w:pPr>
            <w:r w:rsidRPr="00A41558">
              <w:rPr>
                <w:rFonts w:cs="Arial"/>
                <w:sz w:val="20"/>
                <w:szCs w:val="20"/>
              </w:rPr>
              <w:t>For control of mice in industrial, commercial, public services, agricultural and domestic buildings and rats in and around industrial, commercial, public services, agricultural and domestic buildings.</w:t>
            </w:r>
          </w:p>
        </w:tc>
      </w:tr>
      <w:tr w:rsidR="008E67EA" w:rsidRPr="002B5B5B" w14:paraId="1D532E25" w14:textId="77777777" w:rsidTr="00B44A74">
        <w:trPr>
          <w:jc w:val="center"/>
        </w:trPr>
        <w:tc>
          <w:tcPr>
            <w:tcW w:w="2415" w:type="dxa"/>
            <w:tcBorders>
              <w:top w:val="single" w:sz="4" w:space="0" w:color="auto"/>
              <w:left w:val="nil"/>
              <w:bottom w:val="single" w:sz="4" w:space="0" w:color="auto"/>
              <w:right w:val="nil"/>
            </w:tcBorders>
          </w:tcPr>
          <w:p w14:paraId="0B080585" w14:textId="77777777" w:rsidR="008E67EA" w:rsidRPr="00445879"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DC86EE5" w14:textId="77777777" w:rsidR="008E67EA" w:rsidRPr="00445879" w:rsidRDefault="008E67EA" w:rsidP="00B44A74">
            <w:pPr>
              <w:spacing w:line="280" w:lineRule="exact"/>
              <w:rPr>
                <w:rFonts w:cs="Arial"/>
                <w:sz w:val="20"/>
                <w:szCs w:val="20"/>
              </w:rPr>
            </w:pPr>
          </w:p>
        </w:tc>
      </w:tr>
      <w:tr w:rsidR="008E67EA" w:rsidRPr="002B5B5B" w14:paraId="355DF43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B1E0AF3" w14:textId="77777777" w:rsidR="008E67EA" w:rsidRPr="00731415" w:rsidRDefault="008E67EA" w:rsidP="00B44A74">
            <w:pPr>
              <w:spacing w:line="280" w:lineRule="exact"/>
              <w:rPr>
                <w:rFonts w:cs="Arial"/>
                <w:sz w:val="20"/>
                <w:szCs w:val="20"/>
              </w:rPr>
            </w:pPr>
            <w:r w:rsidRPr="00731415">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6A96C705" w14:textId="77777777" w:rsidR="008E67EA" w:rsidRPr="00731415" w:rsidRDefault="008E67EA" w:rsidP="00B44A74">
            <w:pPr>
              <w:spacing w:line="280" w:lineRule="exact"/>
              <w:rPr>
                <w:rFonts w:cs="Arial"/>
                <w:sz w:val="20"/>
                <w:szCs w:val="20"/>
              </w:rPr>
            </w:pPr>
            <w:r w:rsidRPr="00731415">
              <w:rPr>
                <w:rFonts w:cs="Arial"/>
                <w:sz w:val="20"/>
                <w:szCs w:val="20"/>
              </w:rPr>
              <w:t>[INSERT NET CONTENTS]</w:t>
            </w:r>
          </w:p>
        </w:tc>
      </w:tr>
      <w:tr w:rsidR="008E67EA" w:rsidRPr="002B5B5B" w14:paraId="401F1D22" w14:textId="77777777" w:rsidTr="00B44A74">
        <w:trPr>
          <w:jc w:val="center"/>
        </w:trPr>
        <w:tc>
          <w:tcPr>
            <w:tcW w:w="2415" w:type="dxa"/>
            <w:tcBorders>
              <w:top w:val="single" w:sz="4" w:space="0" w:color="auto"/>
              <w:left w:val="nil"/>
              <w:bottom w:val="single" w:sz="4" w:space="0" w:color="auto"/>
              <w:right w:val="nil"/>
            </w:tcBorders>
          </w:tcPr>
          <w:p w14:paraId="706FB7CD" w14:textId="77777777" w:rsidR="008E67EA" w:rsidRPr="00445879"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8EB260B" w14:textId="77777777" w:rsidR="008E67EA" w:rsidRPr="00445879" w:rsidRDefault="008E67EA" w:rsidP="00B44A74">
            <w:pPr>
              <w:spacing w:line="280" w:lineRule="exact"/>
              <w:rPr>
                <w:rFonts w:cs="Arial"/>
                <w:sz w:val="20"/>
                <w:szCs w:val="20"/>
              </w:rPr>
            </w:pPr>
          </w:p>
        </w:tc>
      </w:tr>
      <w:tr w:rsidR="008E67EA" w:rsidRPr="002B5B5B" w14:paraId="034D081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4AD707B" w14:textId="77777777" w:rsidR="008E67EA" w:rsidRPr="00445879" w:rsidRDefault="008E67EA" w:rsidP="00B44A74">
            <w:pPr>
              <w:spacing w:line="280" w:lineRule="exact"/>
              <w:rPr>
                <w:rFonts w:cs="Arial"/>
                <w:sz w:val="20"/>
                <w:szCs w:val="20"/>
              </w:rPr>
            </w:pPr>
            <w:r w:rsidRPr="00445879">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0CC0CAF8" w14:textId="77777777" w:rsidR="008E67EA" w:rsidRPr="00445879" w:rsidRDefault="008E67EA" w:rsidP="00B44A74">
            <w:pPr>
              <w:spacing w:line="280" w:lineRule="exact"/>
              <w:rPr>
                <w:rFonts w:cs="Arial"/>
                <w:sz w:val="20"/>
                <w:szCs w:val="20"/>
              </w:rPr>
            </w:pPr>
            <w:r w:rsidRPr="00445879">
              <w:rPr>
                <w:rFonts w:cs="Arial"/>
                <w:sz w:val="20"/>
                <w:szCs w:val="20"/>
              </w:rPr>
              <w:t xml:space="preserve">RESTRAINTS </w:t>
            </w:r>
          </w:p>
          <w:p w14:paraId="5B374CFB" w14:textId="77777777" w:rsidR="008E67EA" w:rsidRPr="00445879" w:rsidRDefault="008E67EA" w:rsidP="00B44A74">
            <w:pPr>
              <w:spacing w:line="280" w:lineRule="exact"/>
              <w:rPr>
                <w:rFonts w:cs="Arial"/>
                <w:sz w:val="20"/>
                <w:szCs w:val="20"/>
              </w:rPr>
            </w:pPr>
            <w:r w:rsidRPr="00445879">
              <w:rPr>
                <w:rFonts w:cs="Arial"/>
                <w:sz w:val="20"/>
                <w:szCs w:val="20"/>
              </w:rPr>
              <w:t>DO NOT use this product unless you have a current qualification in the nationally recognised training course for rodent pest management CPPUPM3006 - Manage pests by applying pesticides, or an equivalent unit of competency.</w:t>
            </w:r>
          </w:p>
          <w:p w14:paraId="73911E8F" w14:textId="77777777" w:rsidR="008E67EA" w:rsidRPr="00445879" w:rsidRDefault="008E67EA" w:rsidP="00B44A74">
            <w:pPr>
              <w:spacing w:line="280" w:lineRule="exact"/>
              <w:rPr>
                <w:rFonts w:cs="Arial"/>
                <w:sz w:val="20"/>
                <w:szCs w:val="20"/>
              </w:rPr>
            </w:pPr>
            <w:r w:rsidRPr="00445879">
              <w:rPr>
                <w:rFonts w:cs="Arial"/>
                <w:sz w:val="20"/>
                <w:szCs w:val="20"/>
              </w:rPr>
              <w:t>DO NOT place baits in areas that are accessible to children. In child-accessible areas baits must be placed in tamper-</w:t>
            </w:r>
            <w:r>
              <w:rPr>
                <w:rFonts w:cs="Arial"/>
                <w:sz w:val="20"/>
                <w:szCs w:val="20"/>
              </w:rPr>
              <w:t>resistant</w:t>
            </w:r>
            <w:r w:rsidRPr="00445879">
              <w:rPr>
                <w:rFonts w:cs="Arial"/>
                <w:sz w:val="20"/>
                <w:szCs w:val="20"/>
              </w:rPr>
              <w:t xml:space="preserve"> bait stations. If bait can be dislodged from bait station, bait station must be secured in place. </w:t>
            </w:r>
          </w:p>
          <w:p w14:paraId="214E4AF0" w14:textId="77777777" w:rsidR="008E67EA" w:rsidRPr="00445879" w:rsidRDefault="008E67EA" w:rsidP="00B44A74">
            <w:pPr>
              <w:spacing w:line="280" w:lineRule="exact"/>
              <w:rPr>
                <w:rFonts w:cs="Arial"/>
                <w:sz w:val="20"/>
                <w:szCs w:val="20"/>
              </w:rPr>
            </w:pPr>
            <w:r w:rsidRPr="00445879">
              <w:rPr>
                <w:rFonts w:cs="Arial"/>
                <w:sz w:val="20"/>
                <w:szCs w:val="20"/>
              </w:rPr>
              <w:t>DO NOT place bait outdoors unless it is in a tamper-resistant bait station which is secured in place.</w:t>
            </w:r>
          </w:p>
          <w:p w14:paraId="539D9DBF" w14:textId="77777777" w:rsidR="008E67EA" w:rsidRPr="00445879" w:rsidRDefault="008E67EA" w:rsidP="00B44A74">
            <w:pPr>
              <w:spacing w:line="280" w:lineRule="exact"/>
              <w:rPr>
                <w:rFonts w:cs="Arial"/>
                <w:sz w:val="20"/>
                <w:szCs w:val="20"/>
              </w:rPr>
            </w:pPr>
            <w:r w:rsidRPr="00445879">
              <w:rPr>
                <w:rFonts w:cs="Arial"/>
                <w:sz w:val="20"/>
                <w:szCs w:val="20"/>
              </w:rPr>
              <w:t>DO NOT place bait stations more than 2 meters from buildings.</w:t>
            </w:r>
          </w:p>
          <w:p w14:paraId="60B989F1" w14:textId="77777777" w:rsidR="008E67EA" w:rsidRPr="00445879" w:rsidRDefault="008E67EA" w:rsidP="00B44A74">
            <w:pPr>
              <w:spacing w:line="280" w:lineRule="exact"/>
              <w:rPr>
                <w:rFonts w:cs="Arial"/>
                <w:sz w:val="20"/>
                <w:szCs w:val="20"/>
              </w:rPr>
            </w:pPr>
            <w:r w:rsidRPr="00445879">
              <w:rPr>
                <w:rFonts w:cs="Arial"/>
                <w:sz w:val="20"/>
                <w:szCs w:val="20"/>
              </w:rPr>
              <w:t>DO NOT place bait stations outdoors around buildings for control of mice.</w:t>
            </w:r>
          </w:p>
          <w:p w14:paraId="48EDCF6C" w14:textId="77777777" w:rsidR="008E67EA" w:rsidRPr="00445879" w:rsidRDefault="008E67EA" w:rsidP="00B44A74">
            <w:pPr>
              <w:spacing w:line="280" w:lineRule="exact"/>
              <w:rPr>
                <w:rFonts w:cs="Arial"/>
                <w:sz w:val="20"/>
                <w:szCs w:val="20"/>
              </w:rPr>
            </w:pPr>
            <w:r w:rsidRPr="00445879">
              <w:rPr>
                <w:rFonts w:cs="Arial"/>
                <w:sz w:val="20"/>
                <w:szCs w:val="20"/>
              </w:rPr>
              <w:t>DO NOT bait in areas where wildlife may be collected for human consumption.</w:t>
            </w:r>
          </w:p>
          <w:p w14:paraId="663B3926" w14:textId="77777777" w:rsidR="008E67EA" w:rsidRPr="00445879" w:rsidRDefault="008E67EA" w:rsidP="00B44A74">
            <w:pPr>
              <w:spacing w:line="280" w:lineRule="exact"/>
              <w:rPr>
                <w:rFonts w:cs="Arial"/>
                <w:sz w:val="20"/>
                <w:szCs w:val="20"/>
              </w:rPr>
            </w:pPr>
            <w:r w:rsidRPr="00445879">
              <w:rPr>
                <w:rFonts w:cs="Arial"/>
                <w:sz w:val="20"/>
                <w:szCs w:val="20"/>
              </w:rPr>
              <w:t>DO NOT place in animal or livestock housing unless used in tamper-resistant and weather</w:t>
            </w:r>
            <w:r>
              <w:rPr>
                <w:rFonts w:cs="Arial"/>
                <w:sz w:val="20"/>
                <w:szCs w:val="20"/>
              </w:rPr>
              <w:t>-</w:t>
            </w:r>
            <w:r w:rsidRPr="00445879">
              <w:rPr>
                <w:rFonts w:cs="Arial"/>
                <w:sz w:val="20"/>
                <w:szCs w:val="20"/>
              </w:rPr>
              <w:t>resistant bait stations fixed to the ground or other structures.</w:t>
            </w:r>
          </w:p>
          <w:p w14:paraId="090C5B9F" w14:textId="77777777" w:rsidR="008E67EA" w:rsidRPr="00445879" w:rsidRDefault="008E67EA" w:rsidP="00B44A74">
            <w:pPr>
              <w:spacing w:line="280" w:lineRule="exact"/>
              <w:rPr>
                <w:rFonts w:cs="Arial"/>
                <w:sz w:val="20"/>
                <w:szCs w:val="20"/>
              </w:rPr>
            </w:pPr>
            <w:r w:rsidRPr="00445879">
              <w:rPr>
                <w:rFonts w:cs="Arial"/>
                <w:sz w:val="20"/>
                <w:szCs w:val="20"/>
              </w:rPr>
              <w:t>DO NOT place bait or bait stations above areas which would allow them to contaminate pig and poultry food or drinking water.</w:t>
            </w:r>
          </w:p>
          <w:p w14:paraId="3A239D0E" w14:textId="77777777" w:rsidR="008E67EA" w:rsidRPr="00445879" w:rsidRDefault="008E67EA" w:rsidP="00B44A74">
            <w:pPr>
              <w:spacing w:line="280" w:lineRule="exact"/>
              <w:rPr>
                <w:rFonts w:cs="Arial"/>
                <w:sz w:val="20"/>
                <w:szCs w:val="20"/>
              </w:rPr>
            </w:pPr>
            <w:r w:rsidRPr="00445879">
              <w:rPr>
                <w:rFonts w:cs="Arial"/>
                <w:sz w:val="20"/>
                <w:szCs w:val="20"/>
              </w:rPr>
              <w:t>DO NOT apply this product directly into burrows.</w:t>
            </w:r>
          </w:p>
        </w:tc>
      </w:tr>
      <w:tr w:rsidR="008E67EA" w:rsidRPr="002B5B5B" w14:paraId="62212714" w14:textId="77777777" w:rsidTr="00B44A74">
        <w:trPr>
          <w:jc w:val="center"/>
        </w:trPr>
        <w:tc>
          <w:tcPr>
            <w:tcW w:w="2415" w:type="dxa"/>
            <w:tcBorders>
              <w:top w:val="single" w:sz="4" w:space="0" w:color="auto"/>
              <w:left w:val="nil"/>
              <w:bottom w:val="single" w:sz="4" w:space="0" w:color="auto"/>
              <w:right w:val="nil"/>
            </w:tcBorders>
          </w:tcPr>
          <w:p w14:paraId="3D3B2FD2" w14:textId="77777777" w:rsidR="008E67EA" w:rsidRPr="00445879"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2A6553F" w14:textId="77777777" w:rsidR="008E67EA" w:rsidRPr="00445879" w:rsidRDefault="008E67EA" w:rsidP="00B44A74">
            <w:pPr>
              <w:spacing w:line="280" w:lineRule="exact"/>
              <w:rPr>
                <w:rFonts w:cs="Arial"/>
                <w:sz w:val="20"/>
                <w:szCs w:val="20"/>
              </w:rPr>
            </w:pPr>
          </w:p>
        </w:tc>
      </w:tr>
      <w:tr w:rsidR="008E67EA" w:rsidRPr="002B5B5B" w14:paraId="20CEF9A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CE51843" w14:textId="77777777" w:rsidR="008E67EA" w:rsidRPr="00445879" w:rsidRDefault="008E67EA" w:rsidP="00B44A74">
            <w:pPr>
              <w:spacing w:line="280" w:lineRule="exact"/>
              <w:rPr>
                <w:rFonts w:cs="Arial"/>
                <w:sz w:val="20"/>
                <w:szCs w:val="20"/>
              </w:rPr>
            </w:pPr>
            <w:r w:rsidRPr="00445879">
              <w:rPr>
                <w:rFonts w:cs="Arial"/>
                <w:sz w:val="20"/>
                <w:szCs w:val="20"/>
              </w:rPr>
              <w:t>Directions for Use:</w:t>
            </w:r>
          </w:p>
        </w:tc>
        <w:tc>
          <w:tcPr>
            <w:tcW w:w="7755" w:type="dxa"/>
            <w:tcBorders>
              <w:top w:val="single" w:sz="4" w:space="0" w:color="auto"/>
              <w:left w:val="single" w:sz="4" w:space="0" w:color="auto"/>
              <w:bottom w:val="single" w:sz="4" w:space="0" w:color="auto"/>
              <w:right w:val="single" w:sz="4" w:space="0" w:color="auto"/>
            </w:tcBorders>
          </w:tcPr>
          <w:p w14:paraId="6BE08EB0" w14:textId="77777777" w:rsidR="008E67EA" w:rsidRPr="00445879" w:rsidRDefault="008E67EA" w:rsidP="00B44A74">
            <w:pPr>
              <w:spacing w:line="280" w:lineRule="exact"/>
              <w:rPr>
                <w:rFonts w:cs="Arial"/>
                <w:sz w:val="20"/>
                <w:szCs w:val="20"/>
              </w:rPr>
            </w:pPr>
            <w:r w:rsidRPr="00B832BB">
              <w:rPr>
                <w:rFonts w:cs="Arial"/>
                <w:sz w:val="20"/>
                <w:szCs w:val="20"/>
              </w:rPr>
              <w:t>[This section contains an attachment below]</w:t>
            </w:r>
          </w:p>
        </w:tc>
      </w:tr>
      <w:tr w:rsidR="008E67EA" w:rsidRPr="002B5B5B" w14:paraId="31BFB79E" w14:textId="77777777" w:rsidTr="00B44A74">
        <w:trPr>
          <w:jc w:val="center"/>
        </w:trPr>
        <w:tc>
          <w:tcPr>
            <w:tcW w:w="2415" w:type="dxa"/>
            <w:tcBorders>
              <w:top w:val="single" w:sz="4" w:space="0" w:color="auto"/>
              <w:left w:val="nil"/>
              <w:bottom w:val="single" w:sz="4" w:space="0" w:color="auto"/>
              <w:right w:val="nil"/>
            </w:tcBorders>
          </w:tcPr>
          <w:p w14:paraId="3F4CAED2" w14:textId="77777777" w:rsidR="008E67EA" w:rsidRPr="00445879"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BDB93BD" w14:textId="77777777" w:rsidR="008E67EA" w:rsidRPr="00445879" w:rsidRDefault="008E67EA" w:rsidP="00B44A74">
            <w:pPr>
              <w:spacing w:line="280" w:lineRule="exact"/>
              <w:rPr>
                <w:rFonts w:cs="Arial"/>
                <w:sz w:val="20"/>
                <w:szCs w:val="20"/>
              </w:rPr>
            </w:pPr>
          </w:p>
        </w:tc>
      </w:tr>
      <w:tr w:rsidR="008E67EA" w:rsidRPr="002B5B5B" w14:paraId="309C88B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2F3E8EA" w14:textId="77777777" w:rsidR="008E67EA" w:rsidRPr="00731415" w:rsidRDefault="008E67EA" w:rsidP="00B44A74">
            <w:pPr>
              <w:spacing w:line="280" w:lineRule="exact"/>
              <w:rPr>
                <w:rFonts w:cs="Arial"/>
                <w:sz w:val="20"/>
                <w:szCs w:val="20"/>
              </w:rPr>
            </w:pPr>
            <w:r w:rsidRPr="00731415">
              <w:rPr>
                <w:rFonts w:cs="Arial"/>
                <w:sz w:val="20"/>
                <w:szCs w:val="20"/>
              </w:rPr>
              <w:t>Other Limitations:</w:t>
            </w:r>
          </w:p>
        </w:tc>
        <w:tc>
          <w:tcPr>
            <w:tcW w:w="7755" w:type="dxa"/>
            <w:tcBorders>
              <w:top w:val="single" w:sz="4" w:space="0" w:color="auto"/>
              <w:left w:val="single" w:sz="4" w:space="0" w:color="auto"/>
              <w:bottom w:val="single" w:sz="4" w:space="0" w:color="auto"/>
              <w:right w:val="single" w:sz="4" w:space="0" w:color="auto"/>
            </w:tcBorders>
          </w:tcPr>
          <w:p w14:paraId="023B1B8C" w14:textId="77777777" w:rsidR="008E67EA" w:rsidRPr="00731415" w:rsidRDefault="008E67EA" w:rsidP="00B44A74">
            <w:pPr>
              <w:spacing w:line="280" w:lineRule="exact"/>
              <w:rPr>
                <w:rFonts w:cs="Arial"/>
                <w:sz w:val="20"/>
                <w:szCs w:val="20"/>
              </w:rPr>
            </w:pPr>
            <w:r w:rsidRPr="00731415">
              <w:rPr>
                <w:rFonts w:cs="Arial"/>
                <w:sz w:val="20"/>
                <w:szCs w:val="20"/>
              </w:rPr>
              <w:t xml:space="preserve"> </w:t>
            </w:r>
          </w:p>
        </w:tc>
      </w:tr>
      <w:tr w:rsidR="008E67EA" w:rsidRPr="002B5B5B" w14:paraId="59CAF566" w14:textId="77777777" w:rsidTr="00B44A74">
        <w:trPr>
          <w:jc w:val="center"/>
        </w:trPr>
        <w:tc>
          <w:tcPr>
            <w:tcW w:w="2415" w:type="dxa"/>
            <w:tcBorders>
              <w:top w:val="single" w:sz="4" w:space="0" w:color="auto"/>
              <w:left w:val="nil"/>
              <w:bottom w:val="single" w:sz="4" w:space="0" w:color="auto"/>
              <w:right w:val="nil"/>
            </w:tcBorders>
          </w:tcPr>
          <w:p w14:paraId="00360A43" w14:textId="77777777" w:rsidR="008E67EA" w:rsidRPr="00445879"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43469C8" w14:textId="77777777" w:rsidR="008E67EA" w:rsidRPr="00445879" w:rsidRDefault="008E67EA" w:rsidP="00B44A74">
            <w:pPr>
              <w:spacing w:line="280" w:lineRule="exact"/>
              <w:rPr>
                <w:rFonts w:cs="Arial"/>
                <w:sz w:val="20"/>
                <w:szCs w:val="20"/>
              </w:rPr>
            </w:pPr>
          </w:p>
        </w:tc>
      </w:tr>
      <w:tr w:rsidR="008E67EA" w:rsidRPr="002B5B5B" w14:paraId="72A2EE6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A3526D1" w14:textId="77777777" w:rsidR="008E67EA" w:rsidRPr="00445879" w:rsidRDefault="008E67EA" w:rsidP="00B44A74">
            <w:pPr>
              <w:spacing w:line="280" w:lineRule="exact"/>
              <w:rPr>
                <w:rFonts w:cs="Arial"/>
                <w:sz w:val="20"/>
                <w:szCs w:val="20"/>
              </w:rPr>
            </w:pPr>
            <w:r w:rsidRPr="00445879">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441EF4D2" w14:textId="77777777" w:rsidR="008E67EA" w:rsidRPr="00445879" w:rsidRDefault="008E67EA" w:rsidP="00B44A74">
            <w:pPr>
              <w:spacing w:line="280" w:lineRule="exact"/>
              <w:rPr>
                <w:rFonts w:cs="Arial"/>
                <w:sz w:val="20"/>
                <w:szCs w:val="20"/>
              </w:rPr>
            </w:pPr>
          </w:p>
        </w:tc>
      </w:tr>
      <w:tr w:rsidR="008E67EA" w:rsidRPr="002B5B5B" w14:paraId="79276D4D" w14:textId="77777777" w:rsidTr="00B44A74">
        <w:trPr>
          <w:jc w:val="center"/>
        </w:trPr>
        <w:tc>
          <w:tcPr>
            <w:tcW w:w="2415" w:type="dxa"/>
            <w:tcBorders>
              <w:top w:val="single" w:sz="4" w:space="0" w:color="auto"/>
              <w:left w:val="nil"/>
              <w:bottom w:val="single" w:sz="4" w:space="0" w:color="auto"/>
              <w:right w:val="nil"/>
            </w:tcBorders>
          </w:tcPr>
          <w:p w14:paraId="6FA10EFA" w14:textId="77777777" w:rsidR="008E67EA" w:rsidRPr="00445879"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0C88F20" w14:textId="77777777" w:rsidR="008E67EA" w:rsidRPr="00445879" w:rsidRDefault="008E67EA" w:rsidP="00B44A74">
            <w:pPr>
              <w:spacing w:line="280" w:lineRule="exact"/>
              <w:rPr>
                <w:rFonts w:cs="Arial"/>
                <w:sz w:val="20"/>
                <w:szCs w:val="20"/>
              </w:rPr>
            </w:pPr>
          </w:p>
        </w:tc>
      </w:tr>
      <w:tr w:rsidR="008E67EA" w:rsidRPr="002B5B5B" w14:paraId="757678F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8992964" w14:textId="77777777" w:rsidR="008E67EA" w:rsidRPr="00445879" w:rsidRDefault="008E67EA" w:rsidP="00B44A74">
            <w:pPr>
              <w:spacing w:line="280" w:lineRule="exact"/>
              <w:rPr>
                <w:rFonts w:cs="Arial"/>
                <w:sz w:val="20"/>
                <w:szCs w:val="20"/>
              </w:rPr>
            </w:pPr>
            <w:r w:rsidRPr="00445879">
              <w:rPr>
                <w:rFonts w:cs="Arial"/>
                <w:sz w:val="20"/>
                <w:szCs w:val="20"/>
              </w:rPr>
              <w:t>Trade Advice:</w:t>
            </w:r>
          </w:p>
        </w:tc>
        <w:tc>
          <w:tcPr>
            <w:tcW w:w="7755" w:type="dxa"/>
            <w:tcBorders>
              <w:top w:val="single" w:sz="4" w:space="0" w:color="auto"/>
              <w:left w:val="single" w:sz="4" w:space="0" w:color="auto"/>
              <w:bottom w:val="single" w:sz="4" w:space="0" w:color="auto"/>
              <w:right w:val="single" w:sz="4" w:space="0" w:color="auto"/>
            </w:tcBorders>
          </w:tcPr>
          <w:p w14:paraId="26D5DC70" w14:textId="77777777" w:rsidR="008E67EA" w:rsidRPr="00445879" w:rsidRDefault="008E67EA" w:rsidP="00B44A74">
            <w:pPr>
              <w:spacing w:line="280" w:lineRule="exact"/>
              <w:rPr>
                <w:rFonts w:cs="Arial"/>
                <w:sz w:val="20"/>
                <w:szCs w:val="20"/>
              </w:rPr>
            </w:pPr>
          </w:p>
        </w:tc>
      </w:tr>
      <w:tr w:rsidR="008E67EA" w:rsidRPr="002B5B5B" w14:paraId="58480195" w14:textId="77777777" w:rsidTr="00B44A74">
        <w:trPr>
          <w:jc w:val="center"/>
        </w:trPr>
        <w:tc>
          <w:tcPr>
            <w:tcW w:w="2415" w:type="dxa"/>
            <w:tcBorders>
              <w:top w:val="single" w:sz="4" w:space="0" w:color="auto"/>
              <w:left w:val="nil"/>
              <w:bottom w:val="single" w:sz="4" w:space="0" w:color="auto"/>
              <w:right w:val="nil"/>
            </w:tcBorders>
          </w:tcPr>
          <w:p w14:paraId="5D0AC7F6" w14:textId="77777777" w:rsidR="008E67EA" w:rsidRPr="00445879"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1A5FF83" w14:textId="77777777" w:rsidR="008E67EA" w:rsidRPr="00445879" w:rsidRDefault="008E67EA" w:rsidP="00B44A74">
            <w:pPr>
              <w:spacing w:line="280" w:lineRule="exact"/>
              <w:rPr>
                <w:rFonts w:cs="Arial"/>
                <w:sz w:val="20"/>
                <w:szCs w:val="20"/>
              </w:rPr>
            </w:pPr>
          </w:p>
        </w:tc>
      </w:tr>
      <w:tr w:rsidR="008E67EA" w:rsidRPr="002B5B5B" w14:paraId="2FF8F1E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D71856C" w14:textId="77777777" w:rsidR="008E67EA" w:rsidRPr="00731415" w:rsidRDefault="008E67EA" w:rsidP="00B44A74">
            <w:pPr>
              <w:spacing w:line="280" w:lineRule="exact"/>
              <w:rPr>
                <w:rFonts w:cs="Arial"/>
                <w:sz w:val="20"/>
                <w:szCs w:val="20"/>
              </w:rPr>
            </w:pPr>
            <w:r w:rsidRPr="00731415">
              <w:rPr>
                <w:rFonts w:cs="Arial"/>
                <w:sz w:val="20"/>
                <w:szCs w:val="20"/>
              </w:rPr>
              <w:t>General Directions:</w:t>
            </w:r>
          </w:p>
        </w:tc>
        <w:tc>
          <w:tcPr>
            <w:tcW w:w="7755" w:type="dxa"/>
            <w:tcBorders>
              <w:top w:val="single" w:sz="4" w:space="0" w:color="auto"/>
              <w:left w:val="single" w:sz="4" w:space="0" w:color="auto"/>
              <w:bottom w:val="single" w:sz="4" w:space="0" w:color="auto"/>
              <w:right w:val="single" w:sz="4" w:space="0" w:color="auto"/>
            </w:tcBorders>
          </w:tcPr>
          <w:p w14:paraId="671872CC" w14:textId="77777777" w:rsidR="008E67EA" w:rsidRPr="00731415" w:rsidRDefault="008E67EA" w:rsidP="00B44A74">
            <w:pPr>
              <w:spacing w:line="280" w:lineRule="exact"/>
              <w:rPr>
                <w:rFonts w:cs="Arial"/>
                <w:sz w:val="20"/>
                <w:szCs w:val="20"/>
              </w:rPr>
            </w:pPr>
          </w:p>
        </w:tc>
      </w:tr>
      <w:tr w:rsidR="008E67EA" w:rsidRPr="002B5B5B" w14:paraId="36A91D21" w14:textId="77777777" w:rsidTr="00B44A74">
        <w:trPr>
          <w:jc w:val="center"/>
        </w:trPr>
        <w:tc>
          <w:tcPr>
            <w:tcW w:w="2415" w:type="dxa"/>
            <w:tcBorders>
              <w:top w:val="single" w:sz="4" w:space="0" w:color="auto"/>
              <w:left w:val="nil"/>
              <w:bottom w:val="single" w:sz="4" w:space="0" w:color="auto"/>
              <w:right w:val="nil"/>
            </w:tcBorders>
          </w:tcPr>
          <w:p w14:paraId="7C64CCB5" w14:textId="77777777" w:rsidR="008E67EA" w:rsidRPr="0073141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20E38E2" w14:textId="77777777" w:rsidR="008E67EA" w:rsidRPr="00731415" w:rsidRDefault="008E67EA" w:rsidP="00B44A74">
            <w:pPr>
              <w:spacing w:line="280" w:lineRule="exact"/>
              <w:rPr>
                <w:rFonts w:cs="Arial"/>
                <w:sz w:val="20"/>
                <w:szCs w:val="20"/>
              </w:rPr>
            </w:pPr>
          </w:p>
        </w:tc>
      </w:tr>
      <w:tr w:rsidR="008E67EA" w:rsidRPr="002B5B5B" w14:paraId="3008F6F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0CF4B77" w14:textId="77777777" w:rsidR="008E67EA" w:rsidRPr="00731415" w:rsidRDefault="008E67EA" w:rsidP="00B44A74">
            <w:pPr>
              <w:spacing w:line="280" w:lineRule="exact"/>
              <w:rPr>
                <w:rFonts w:cs="Arial"/>
                <w:sz w:val="20"/>
                <w:szCs w:val="20"/>
              </w:rPr>
            </w:pPr>
            <w:r w:rsidRPr="00731415">
              <w:rPr>
                <w:rFonts w:cs="Arial"/>
                <w:sz w:val="20"/>
                <w:szCs w:val="20"/>
              </w:rPr>
              <w:lastRenderedPageBreak/>
              <w:t>Resistance Warning:</w:t>
            </w:r>
          </w:p>
        </w:tc>
        <w:tc>
          <w:tcPr>
            <w:tcW w:w="7755" w:type="dxa"/>
            <w:tcBorders>
              <w:top w:val="single" w:sz="4" w:space="0" w:color="auto"/>
              <w:left w:val="single" w:sz="4" w:space="0" w:color="auto"/>
              <w:bottom w:val="single" w:sz="4" w:space="0" w:color="auto"/>
              <w:right w:val="single" w:sz="4" w:space="0" w:color="auto"/>
            </w:tcBorders>
          </w:tcPr>
          <w:p w14:paraId="7B8ECADA" w14:textId="77777777" w:rsidR="008E67EA" w:rsidRPr="00731415" w:rsidRDefault="008E67EA" w:rsidP="00B44A74">
            <w:pPr>
              <w:spacing w:line="280" w:lineRule="exact"/>
              <w:rPr>
                <w:rFonts w:cs="Arial"/>
                <w:sz w:val="20"/>
                <w:szCs w:val="20"/>
              </w:rPr>
            </w:pPr>
          </w:p>
        </w:tc>
      </w:tr>
      <w:tr w:rsidR="008E67EA" w:rsidRPr="002B5B5B" w14:paraId="51C281F7" w14:textId="77777777" w:rsidTr="00B44A74">
        <w:trPr>
          <w:jc w:val="center"/>
        </w:trPr>
        <w:tc>
          <w:tcPr>
            <w:tcW w:w="2415" w:type="dxa"/>
            <w:tcBorders>
              <w:top w:val="single" w:sz="4" w:space="0" w:color="auto"/>
              <w:left w:val="nil"/>
              <w:bottom w:val="single" w:sz="4" w:space="0" w:color="auto"/>
              <w:right w:val="nil"/>
            </w:tcBorders>
          </w:tcPr>
          <w:p w14:paraId="62F85A65" w14:textId="77777777" w:rsidR="008E67EA" w:rsidRPr="0073141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CB0B2A6" w14:textId="77777777" w:rsidR="008E67EA" w:rsidRPr="00731415" w:rsidRDefault="008E67EA" w:rsidP="00B44A74">
            <w:pPr>
              <w:spacing w:line="280" w:lineRule="exact"/>
              <w:rPr>
                <w:rFonts w:cs="Arial"/>
                <w:sz w:val="20"/>
                <w:szCs w:val="20"/>
              </w:rPr>
            </w:pPr>
          </w:p>
        </w:tc>
      </w:tr>
      <w:tr w:rsidR="008E67EA" w:rsidRPr="002B5B5B" w14:paraId="5BA3934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E00BDB8" w14:textId="77777777" w:rsidR="008E67EA" w:rsidRPr="00445879" w:rsidRDefault="008E67EA" w:rsidP="00B44A74">
            <w:pPr>
              <w:spacing w:line="280" w:lineRule="exact"/>
              <w:rPr>
                <w:rFonts w:cs="Arial"/>
                <w:sz w:val="20"/>
                <w:szCs w:val="20"/>
              </w:rPr>
            </w:pPr>
            <w:r w:rsidRPr="00445879">
              <w:rPr>
                <w:rFonts w:cs="Arial"/>
                <w:sz w:val="20"/>
                <w:szCs w:val="20"/>
              </w:rPr>
              <w:t>Precautions:</w:t>
            </w:r>
          </w:p>
        </w:tc>
        <w:tc>
          <w:tcPr>
            <w:tcW w:w="7755" w:type="dxa"/>
            <w:tcBorders>
              <w:top w:val="single" w:sz="4" w:space="0" w:color="auto"/>
              <w:left w:val="single" w:sz="4" w:space="0" w:color="auto"/>
              <w:bottom w:val="single" w:sz="4" w:space="0" w:color="auto"/>
              <w:right w:val="single" w:sz="4" w:space="0" w:color="auto"/>
            </w:tcBorders>
          </w:tcPr>
          <w:p w14:paraId="6D7AFF47" w14:textId="77777777" w:rsidR="008E67EA" w:rsidRPr="00445879" w:rsidRDefault="008E67EA" w:rsidP="00B44A74">
            <w:pPr>
              <w:spacing w:line="280" w:lineRule="exact"/>
              <w:rPr>
                <w:rFonts w:cs="Arial"/>
                <w:sz w:val="20"/>
                <w:szCs w:val="20"/>
              </w:rPr>
            </w:pPr>
            <w:r w:rsidRPr="00445879">
              <w:rPr>
                <w:rFonts w:cs="Arial"/>
                <w:sz w:val="20"/>
                <w:szCs w:val="20"/>
              </w:rPr>
              <w:t>PRECAUTIONS</w:t>
            </w:r>
          </w:p>
          <w:p w14:paraId="22A032EB" w14:textId="77777777" w:rsidR="008E67EA" w:rsidRPr="00445879" w:rsidRDefault="008E67EA" w:rsidP="00B44A74">
            <w:pPr>
              <w:spacing w:line="280" w:lineRule="exact"/>
              <w:rPr>
                <w:rFonts w:cs="Arial"/>
                <w:sz w:val="20"/>
                <w:szCs w:val="20"/>
              </w:rPr>
            </w:pPr>
            <w:r w:rsidRPr="00445879">
              <w:rPr>
                <w:rFonts w:cs="Arial"/>
                <w:sz w:val="20"/>
                <w:szCs w:val="20"/>
              </w:rPr>
              <w:t>Caution should be used when baiting near areas where hunting of wildlife may occur. Careful consideration of bait placement is necessary to avoid secondary exposure from contaminated wildlife that may be consumed.</w:t>
            </w:r>
          </w:p>
          <w:p w14:paraId="76CE190A" w14:textId="77777777" w:rsidR="008E67EA" w:rsidRPr="00445879" w:rsidRDefault="008E67EA" w:rsidP="00B44A74">
            <w:pPr>
              <w:spacing w:line="280" w:lineRule="exact"/>
              <w:rPr>
                <w:rFonts w:cs="Arial"/>
                <w:color w:val="7030A0"/>
                <w:sz w:val="20"/>
                <w:szCs w:val="20"/>
                <w:highlight w:val="yellow"/>
              </w:rPr>
            </w:pPr>
            <w:r w:rsidRPr="00445879">
              <w:rPr>
                <w:rFonts w:cs="Arial"/>
                <w:sz w:val="20"/>
                <w:szCs w:val="20"/>
              </w:rPr>
              <w:t>DO NOT place bait in areas where there is a possibility of contaminating food, livestock feed or surfaces that come in direct contact with food or livestock feed.</w:t>
            </w:r>
          </w:p>
        </w:tc>
      </w:tr>
      <w:tr w:rsidR="008E67EA" w:rsidRPr="002B5B5B" w14:paraId="3852934E" w14:textId="77777777" w:rsidTr="00B44A74">
        <w:trPr>
          <w:jc w:val="center"/>
        </w:trPr>
        <w:tc>
          <w:tcPr>
            <w:tcW w:w="2415" w:type="dxa"/>
            <w:tcBorders>
              <w:top w:val="single" w:sz="4" w:space="0" w:color="auto"/>
              <w:left w:val="nil"/>
              <w:bottom w:val="single" w:sz="4" w:space="0" w:color="auto"/>
              <w:right w:val="nil"/>
            </w:tcBorders>
          </w:tcPr>
          <w:p w14:paraId="2D554A48" w14:textId="77777777" w:rsidR="008E67EA" w:rsidRPr="00445879"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C0F76EF" w14:textId="77777777" w:rsidR="008E67EA" w:rsidRPr="00445879" w:rsidRDefault="008E67EA" w:rsidP="00B44A74">
            <w:pPr>
              <w:spacing w:line="280" w:lineRule="exact"/>
              <w:rPr>
                <w:rFonts w:cs="Arial"/>
                <w:color w:val="7030A0"/>
                <w:sz w:val="20"/>
                <w:szCs w:val="20"/>
              </w:rPr>
            </w:pPr>
          </w:p>
        </w:tc>
      </w:tr>
      <w:tr w:rsidR="008E67EA" w:rsidRPr="002B5B5B" w14:paraId="2DCB95B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2E9E111" w14:textId="77777777" w:rsidR="008E67EA" w:rsidRPr="00445879" w:rsidRDefault="008E67EA" w:rsidP="00B44A74">
            <w:pPr>
              <w:spacing w:line="280" w:lineRule="exact"/>
              <w:rPr>
                <w:rFonts w:cs="Arial"/>
                <w:sz w:val="20"/>
                <w:szCs w:val="20"/>
              </w:rPr>
            </w:pPr>
            <w:r w:rsidRPr="00445879">
              <w:rPr>
                <w:rFonts w:cs="Arial"/>
                <w:sz w:val="20"/>
                <w:szCs w:val="20"/>
              </w:rPr>
              <w:t>Protection Statements:</w:t>
            </w:r>
          </w:p>
        </w:tc>
        <w:tc>
          <w:tcPr>
            <w:tcW w:w="7755" w:type="dxa"/>
            <w:tcBorders>
              <w:top w:val="single" w:sz="4" w:space="0" w:color="auto"/>
              <w:left w:val="single" w:sz="4" w:space="0" w:color="auto"/>
              <w:bottom w:val="single" w:sz="4" w:space="0" w:color="auto"/>
              <w:right w:val="single" w:sz="4" w:space="0" w:color="auto"/>
            </w:tcBorders>
          </w:tcPr>
          <w:p w14:paraId="716C18D2" w14:textId="77777777" w:rsidR="008E67EA" w:rsidRPr="00493BD9" w:rsidRDefault="008E67EA" w:rsidP="00B44A74">
            <w:pPr>
              <w:spacing w:line="280" w:lineRule="exact"/>
              <w:rPr>
                <w:rFonts w:cs="Arial"/>
                <w:sz w:val="20"/>
                <w:szCs w:val="20"/>
              </w:rPr>
            </w:pPr>
            <w:r w:rsidRPr="00493BD9">
              <w:rPr>
                <w:rFonts w:cs="Arial"/>
                <w:sz w:val="20"/>
                <w:szCs w:val="20"/>
              </w:rPr>
              <w:t>PROTECTION OF LIVESTOCK AND WILDLIFE</w:t>
            </w:r>
          </w:p>
          <w:p w14:paraId="5B0133B6" w14:textId="77777777" w:rsidR="008E67EA" w:rsidRPr="00445879" w:rsidRDefault="008E67EA" w:rsidP="00B44A74">
            <w:pPr>
              <w:spacing w:line="280" w:lineRule="exact"/>
              <w:rPr>
                <w:rFonts w:cs="Arial"/>
                <w:sz w:val="20"/>
                <w:szCs w:val="20"/>
              </w:rPr>
            </w:pPr>
            <w:r w:rsidRPr="00445879">
              <w:rPr>
                <w:rFonts w:cs="Arial"/>
                <w:sz w:val="20"/>
                <w:szCs w:val="20"/>
              </w:rPr>
              <w:t>Hazardous to livestock, poultry and wildlife. DO NOT place baits in locations that are accessible to domestic animals, livestock, non-target native animals or birds.</w:t>
            </w:r>
          </w:p>
          <w:p w14:paraId="5829BE08" w14:textId="77777777" w:rsidR="008E67EA" w:rsidRPr="00445879" w:rsidRDefault="008E67EA" w:rsidP="00B44A74">
            <w:pPr>
              <w:spacing w:line="280" w:lineRule="exact"/>
              <w:rPr>
                <w:rFonts w:cs="Arial"/>
                <w:sz w:val="20"/>
                <w:szCs w:val="20"/>
              </w:rPr>
            </w:pPr>
            <w:r w:rsidRPr="00445879">
              <w:rPr>
                <w:rFonts w:cs="Arial"/>
                <w:sz w:val="20"/>
                <w:szCs w:val="20"/>
              </w:rPr>
              <w:t xml:space="preserve">Search for and dispose of dead rodents and slugs/snails in the infested area at each visit to prevent secondary poisoning. In case slugs/snails are present, move bait station to another location within the rodent infested site, away from slugs/snails. Dispose of slugs/snails in a way non-target animals are not exposed. Dispose of dead rodents and uneaten bait in compliance with local, state or territory government regulations. </w:t>
            </w:r>
          </w:p>
          <w:p w14:paraId="546C2ED8" w14:textId="77777777" w:rsidR="008E67EA" w:rsidRPr="00445879" w:rsidRDefault="008E67EA" w:rsidP="00B44A74">
            <w:pPr>
              <w:spacing w:line="280" w:lineRule="exact"/>
              <w:rPr>
                <w:rFonts w:cs="Arial"/>
                <w:sz w:val="20"/>
                <w:szCs w:val="20"/>
              </w:rPr>
            </w:pPr>
            <w:r w:rsidRPr="00445879">
              <w:rPr>
                <w:rFonts w:cs="Arial"/>
                <w:sz w:val="20"/>
                <w:szCs w:val="20"/>
              </w:rPr>
              <w:t>DO NOT allow livestock or poultry to consume dead or moribund mice and rats. All dead or moribund animals and rodent faeces from baited rodents MUST be removed from areas accessible to livestock or poultry.</w:t>
            </w:r>
          </w:p>
          <w:p w14:paraId="554DEA8F" w14:textId="77777777" w:rsidR="008E67EA" w:rsidRDefault="008E67EA" w:rsidP="00B44A74">
            <w:pPr>
              <w:spacing w:line="280" w:lineRule="exact"/>
              <w:rPr>
                <w:rFonts w:cs="Arial"/>
                <w:sz w:val="20"/>
                <w:szCs w:val="20"/>
              </w:rPr>
            </w:pPr>
            <w:r w:rsidRPr="00445879">
              <w:rPr>
                <w:rFonts w:cs="Arial"/>
                <w:sz w:val="20"/>
                <w:szCs w:val="20"/>
              </w:rPr>
              <w:t>The use of this product for the control of protected native rodents and rodent like animals requires permission from wildlife authorities.</w:t>
            </w:r>
          </w:p>
          <w:p w14:paraId="292C64D7" w14:textId="77777777" w:rsidR="008E67EA" w:rsidRPr="00445879" w:rsidRDefault="008E67EA" w:rsidP="00B44A74">
            <w:pPr>
              <w:spacing w:line="280" w:lineRule="exact"/>
              <w:rPr>
                <w:rFonts w:cs="Arial"/>
                <w:sz w:val="20"/>
                <w:szCs w:val="20"/>
              </w:rPr>
            </w:pPr>
          </w:p>
          <w:p w14:paraId="27254D5F" w14:textId="77777777" w:rsidR="008E67EA" w:rsidRPr="00445879" w:rsidRDefault="008E67EA" w:rsidP="00B44A74">
            <w:pPr>
              <w:spacing w:line="280" w:lineRule="exact"/>
              <w:rPr>
                <w:rFonts w:cs="Arial"/>
                <w:sz w:val="20"/>
                <w:szCs w:val="20"/>
              </w:rPr>
            </w:pPr>
            <w:r w:rsidRPr="00445879">
              <w:rPr>
                <w:rFonts w:cs="Arial"/>
                <w:sz w:val="20"/>
                <w:szCs w:val="20"/>
              </w:rPr>
              <w:t>PROTECTION OF FISH, CRUSTACEANS AND ENVIRONMENT</w:t>
            </w:r>
          </w:p>
          <w:p w14:paraId="5D15F101" w14:textId="77777777" w:rsidR="008E67EA" w:rsidRPr="00445879" w:rsidRDefault="008E67EA" w:rsidP="00B44A74">
            <w:pPr>
              <w:spacing w:line="280" w:lineRule="exact"/>
              <w:rPr>
                <w:rFonts w:cs="Arial"/>
                <w:color w:val="7030A0"/>
                <w:sz w:val="20"/>
                <w:szCs w:val="20"/>
              </w:rPr>
            </w:pPr>
            <w:r w:rsidRPr="00445879">
              <w:rPr>
                <w:rFonts w:cs="Arial"/>
                <w:sz w:val="20"/>
                <w:szCs w:val="20"/>
              </w:rPr>
              <w:t>Very toxic to aquatic life. DO NOT contaminate wetlands or watercourses with this product or used containers. Place the bait stations in areas not liable to flooding. When placing bait stations close to water drainage systems, ensure that bait contact with water is avoided.</w:t>
            </w:r>
          </w:p>
        </w:tc>
      </w:tr>
      <w:tr w:rsidR="008E67EA" w:rsidRPr="002B5B5B" w14:paraId="0B4F54CF" w14:textId="77777777" w:rsidTr="00B44A74">
        <w:trPr>
          <w:jc w:val="center"/>
        </w:trPr>
        <w:tc>
          <w:tcPr>
            <w:tcW w:w="2415" w:type="dxa"/>
            <w:tcBorders>
              <w:top w:val="single" w:sz="4" w:space="0" w:color="auto"/>
              <w:left w:val="nil"/>
              <w:bottom w:val="single" w:sz="4" w:space="0" w:color="auto"/>
              <w:right w:val="nil"/>
            </w:tcBorders>
          </w:tcPr>
          <w:p w14:paraId="763C86D1" w14:textId="77777777" w:rsidR="008E67EA" w:rsidRPr="00445879"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B0CF63E" w14:textId="77777777" w:rsidR="008E67EA" w:rsidRPr="00445879" w:rsidRDefault="008E67EA" w:rsidP="00B44A74">
            <w:pPr>
              <w:spacing w:line="280" w:lineRule="exact"/>
              <w:rPr>
                <w:rFonts w:cs="Arial"/>
                <w:color w:val="7030A0"/>
                <w:sz w:val="20"/>
                <w:szCs w:val="20"/>
              </w:rPr>
            </w:pPr>
          </w:p>
        </w:tc>
      </w:tr>
      <w:tr w:rsidR="008E67EA" w:rsidRPr="002B5B5B" w14:paraId="6D5173E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D754A15" w14:textId="77777777" w:rsidR="008E67EA" w:rsidRPr="00445879" w:rsidRDefault="008E67EA" w:rsidP="00B44A74">
            <w:pPr>
              <w:spacing w:line="280" w:lineRule="exact"/>
              <w:rPr>
                <w:rFonts w:cs="Arial"/>
                <w:sz w:val="20"/>
                <w:szCs w:val="20"/>
              </w:rPr>
            </w:pPr>
            <w:r w:rsidRPr="00445879">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17A8135F" w14:textId="77777777" w:rsidR="008E67EA" w:rsidRPr="00445879" w:rsidRDefault="008E67EA" w:rsidP="00B44A74">
            <w:pPr>
              <w:spacing w:line="280" w:lineRule="exact"/>
              <w:rPr>
                <w:rFonts w:cs="Arial"/>
                <w:sz w:val="20"/>
                <w:szCs w:val="20"/>
              </w:rPr>
            </w:pPr>
            <w:r w:rsidRPr="00445879">
              <w:rPr>
                <w:rFonts w:cs="Arial"/>
                <w:sz w:val="20"/>
                <w:szCs w:val="20"/>
              </w:rPr>
              <w:t>STORAGE AND DISPOSAL</w:t>
            </w:r>
          </w:p>
          <w:p w14:paraId="25FBF436" w14:textId="375A5F18" w:rsidR="008E67EA" w:rsidRDefault="008E67EA" w:rsidP="00B44A74">
            <w:pPr>
              <w:spacing w:line="280" w:lineRule="exact"/>
              <w:rPr>
                <w:rFonts w:cs="Arial"/>
                <w:sz w:val="20"/>
                <w:szCs w:val="20"/>
              </w:rPr>
            </w:pPr>
            <w:r w:rsidRPr="00445879">
              <w:rPr>
                <w:rFonts w:cs="Arial"/>
                <w:sz w:val="20"/>
                <w:szCs w:val="20"/>
              </w:rPr>
              <w:t>Store in the closed original container in a coo</w:t>
            </w:r>
            <w:r>
              <w:rPr>
                <w:rFonts w:cs="Arial"/>
                <w:sz w:val="20"/>
                <w:szCs w:val="20"/>
              </w:rPr>
              <w:t>l</w:t>
            </w:r>
            <w:r w:rsidRPr="00445879">
              <w:rPr>
                <w:rFonts w:cs="Arial"/>
                <w:sz w:val="20"/>
                <w:szCs w:val="20"/>
              </w:rPr>
              <w:t>, well-ventilated area. DO NOT store for prolonged periods in direct sunlight.</w:t>
            </w:r>
          </w:p>
          <w:p w14:paraId="4DD48725" w14:textId="77777777" w:rsidR="008E67EA" w:rsidRPr="00445879" w:rsidRDefault="008E67EA" w:rsidP="00B44A74">
            <w:pPr>
              <w:spacing w:line="280" w:lineRule="exact"/>
              <w:rPr>
                <w:rFonts w:cs="Arial"/>
                <w:color w:val="7030A0"/>
                <w:sz w:val="20"/>
                <w:szCs w:val="20"/>
              </w:rPr>
            </w:pPr>
            <w:r w:rsidRPr="00445879">
              <w:rPr>
                <w:rFonts w:cs="Arial"/>
                <w:sz w:val="20"/>
                <w:szCs w:val="20"/>
              </w:rPr>
              <w:t>Triple rinse containers before disposal. Break, crush or puncture and deliver empty packaging to an approved waste management facility. If an approved waste management facility is not available, dispose of empty packaging in compliance with relevant local, state or territory government regulations. Dispose of unused product in compliance with relevant local, state or territory government regulations. DO NOT burn empty containers or product.</w:t>
            </w:r>
          </w:p>
        </w:tc>
      </w:tr>
      <w:tr w:rsidR="008E67EA" w:rsidRPr="002B5B5B" w14:paraId="2229767C" w14:textId="77777777" w:rsidTr="00B44A74">
        <w:trPr>
          <w:jc w:val="center"/>
        </w:trPr>
        <w:tc>
          <w:tcPr>
            <w:tcW w:w="2415" w:type="dxa"/>
            <w:tcBorders>
              <w:top w:val="single" w:sz="4" w:space="0" w:color="auto"/>
              <w:left w:val="nil"/>
              <w:bottom w:val="single" w:sz="4" w:space="0" w:color="auto"/>
              <w:right w:val="nil"/>
            </w:tcBorders>
          </w:tcPr>
          <w:p w14:paraId="68D7459E" w14:textId="77777777" w:rsidR="008E67EA" w:rsidRPr="00445879"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596B84F" w14:textId="77777777" w:rsidR="008E67EA" w:rsidRPr="00445879" w:rsidRDefault="008E67EA" w:rsidP="00B44A74">
            <w:pPr>
              <w:spacing w:line="280" w:lineRule="exact"/>
              <w:rPr>
                <w:rFonts w:cs="Arial"/>
                <w:sz w:val="20"/>
                <w:szCs w:val="20"/>
              </w:rPr>
            </w:pPr>
          </w:p>
        </w:tc>
      </w:tr>
      <w:tr w:rsidR="008E67EA" w:rsidRPr="002B5B5B" w14:paraId="2D9BB85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BB326F9" w14:textId="77777777" w:rsidR="008E67EA" w:rsidRPr="00445879" w:rsidRDefault="008E67EA" w:rsidP="00B44A74">
            <w:pPr>
              <w:spacing w:line="280" w:lineRule="exact"/>
              <w:rPr>
                <w:rFonts w:cs="Arial"/>
                <w:sz w:val="20"/>
                <w:szCs w:val="20"/>
              </w:rPr>
            </w:pPr>
            <w:r w:rsidRPr="00445879">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12EAF394" w14:textId="77777777" w:rsidR="008E67EA" w:rsidRDefault="008E67EA" w:rsidP="00B44A74">
            <w:pPr>
              <w:spacing w:line="280" w:lineRule="exact"/>
              <w:rPr>
                <w:rFonts w:cs="Arial"/>
                <w:sz w:val="20"/>
                <w:szCs w:val="20"/>
              </w:rPr>
            </w:pPr>
            <w:r w:rsidRPr="00445879">
              <w:rPr>
                <w:rFonts w:cs="Arial"/>
                <w:sz w:val="20"/>
                <w:szCs w:val="20"/>
              </w:rPr>
              <w:t>SAFETY DIRECTIONS</w:t>
            </w:r>
          </w:p>
          <w:p w14:paraId="5A8F356D" w14:textId="77777777" w:rsidR="008E67EA" w:rsidRPr="00445879" w:rsidRDefault="008E67EA" w:rsidP="00B44A74">
            <w:pPr>
              <w:spacing w:line="280" w:lineRule="exact"/>
              <w:rPr>
                <w:rFonts w:cs="Arial"/>
                <w:sz w:val="20"/>
                <w:szCs w:val="20"/>
              </w:rPr>
            </w:pPr>
            <w:r w:rsidRPr="00445879">
              <w:rPr>
                <w:rFonts w:cs="Arial"/>
                <w:sz w:val="20"/>
                <w:szCs w:val="20"/>
              </w:rPr>
              <w:t>Repeated minor exposure may have a cumulative poisoning effect. Do not touch bait, use scoop or measure. When using the product wear disposable gloves. If on skin and after each baiting, wash thoroughly with soap and water.</w:t>
            </w:r>
          </w:p>
          <w:p w14:paraId="43018D6F" w14:textId="06FB9835" w:rsidR="008E67EA" w:rsidRPr="00445879" w:rsidRDefault="008E67EA" w:rsidP="00B44A74">
            <w:pPr>
              <w:spacing w:line="280" w:lineRule="exact"/>
              <w:rPr>
                <w:rFonts w:cs="Arial"/>
                <w:color w:val="7030A0"/>
                <w:sz w:val="20"/>
                <w:szCs w:val="20"/>
              </w:rPr>
            </w:pPr>
            <w:r w:rsidRPr="00445879">
              <w:rPr>
                <w:rFonts w:cs="Arial"/>
                <w:sz w:val="20"/>
                <w:szCs w:val="20"/>
              </w:rPr>
              <w:t>During cleanup and disposal operations of bait and bait stations, wear a single layer of clothing and disposable gloves. Wear disposable gloves when handling rodent carcasses. Wash clothes after performing re-handling activities.</w:t>
            </w:r>
          </w:p>
        </w:tc>
      </w:tr>
      <w:tr w:rsidR="008E67EA" w:rsidRPr="002B5B5B" w14:paraId="33E3BDF0" w14:textId="77777777" w:rsidTr="00B44A74">
        <w:trPr>
          <w:jc w:val="center"/>
        </w:trPr>
        <w:tc>
          <w:tcPr>
            <w:tcW w:w="2415" w:type="dxa"/>
            <w:tcBorders>
              <w:top w:val="single" w:sz="4" w:space="0" w:color="auto"/>
              <w:left w:val="nil"/>
              <w:bottom w:val="single" w:sz="4" w:space="0" w:color="auto"/>
              <w:right w:val="nil"/>
            </w:tcBorders>
          </w:tcPr>
          <w:p w14:paraId="49FA987F" w14:textId="77777777" w:rsidR="008E67EA" w:rsidRPr="00445879"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DB92C42" w14:textId="77777777" w:rsidR="008E67EA" w:rsidRPr="00445879" w:rsidRDefault="008E67EA" w:rsidP="00B44A74">
            <w:pPr>
              <w:spacing w:line="280" w:lineRule="exact"/>
              <w:rPr>
                <w:rFonts w:cs="Arial"/>
                <w:sz w:val="20"/>
                <w:szCs w:val="20"/>
              </w:rPr>
            </w:pPr>
          </w:p>
        </w:tc>
      </w:tr>
      <w:tr w:rsidR="008E67EA" w:rsidRPr="002B5B5B" w14:paraId="44305E9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2FA717C" w14:textId="77777777" w:rsidR="008E67EA" w:rsidRPr="00445879" w:rsidRDefault="008E67EA" w:rsidP="00B44A74">
            <w:pPr>
              <w:spacing w:line="280" w:lineRule="exact"/>
              <w:rPr>
                <w:rFonts w:cs="Arial"/>
                <w:sz w:val="20"/>
                <w:szCs w:val="20"/>
              </w:rPr>
            </w:pPr>
            <w:r w:rsidRPr="00445879">
              <w:rPr>
                <w:rFonts w:cs="Arial"/>
                <w:sz w:val="20"/>
                <w:szCs w:val="20"/>
              </w:rPr>
              <w:lastRenderedPageBreak/>
              <w:t>First Aid Instructions:</w:t>
            </w:r>
          </w:p>
        </w:tc>
        <w:tc>
          <w:tcPr>
            <w:tcW w:w="7755" w:type="dxa"/>
            <w:tcBorders>
              <w:top w:val="single" w:sz="4" w:space="0" w:color="auto"/>
              <w:left w:val="single" w:sz="4" w:space="0" w:color="auto"/>
              <w:bottom w:val="single" w:sz="4" w:space="0" w:color="auto"/>
              <w:right w:val="single" w:sz="4" w:space="0" w:color="auto"/>
            </w:tcBorders>
          </w:tcPr>
          <w:p w14:paraId="1CE07EF6" w14:textId="77777777" w:rsidR="008E67EA" w:rsidRPr="00445879" w:rsidRDefault="008E67EA" w:rsidP="00B44A74">
            <w:pPr>
              <w:spacing w:line="280" w:lineRule="exact"/>
              <w:rPr>
                <w:rFonts w:cs="Arial"/>
                <w:sz w:val="20"/>
                <w:szCs w:val="20"/>
              </w:rPr>
            </w:pPr>
            <w:r w:rsidRPr="00445879">
              <w:rPr>
                <w:rFonts w:cs="Arial"/>
                <w:sz w:val="20"/>
                <w:szCs w:val="20"/>
              </w:rPr>
              <w:t xml:space="preserve">FIRST AID </w:t>
            </w:r>
          </w:p>
          <w:p w14:paraId="6B735FD5" w14:textId="3E559D9D" w:rsidR="008E67EA" w:rsidRPr="00445879" w:rsidRDefault="008E67EA" w:rsidP="00B44A74">
            <w:pPr>
              <w:spacing w:line="280" w:lineRule="exact"/>
              <w:rPr>
                <w:rFonts w:cs="Arial"/>
                <w:sz w:val="20"/>
                <w:szCs w:val="20"/>
              </w:rPr>
            </w:pPr>
            <w:r w:rsidRPr="00445879">
              <w:rPr>
                <w:rFonts w:cs="Arial"/>
                <w:sz w:val="20"/>
                <w:szCs w:val="20"/>
              </w:rPr>
              <w:t>If poisoning occurs, contact a doctor or Poisons Information Centre. Phone Australia 13 11 26, New Zealand 0800 764 766. Vitamin K1 (Phytomenadione) is antidotal.</w:t>
            </w:r>
          </w:p>
        </w:tc>
      </w:tr>
      <w:tr w:rsidR="008E67EA" w:rsidRPr="002B5B5B" w14:paraId="4060E51A" w14:textId="77777777" w:rsidTr="00B44A74">
        <w:trPr>
          <w:jc w:val="center"/>
        </w:trPr>
        <w:tc>
          <w:tcPr>
            <w:tcW w:w="2415" w:type="dxa"/>
            <w:tcBorders>
              <w:top w:val="single" w:sz="4" w:space="0" w:color="auto"/>
              <w:left w:val="nil"/>
              <w:bottom w:val="single" w:sz="4" w:space="0" w:color="auto"/>
              <w:right w:val="nil"/>
            </w:tcBorders>
          </w:tcPr>
          <w:p w14:paraId="0EAAD780" w14:textId="77777777" w:rsidR="008E67EA" w:rsidRPr="00445879"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B1A05E4" w14:textId="77777777" w:rsidR="008E67EA" w:rsidRPr="00445879" w:rsidRDefault="008E67EA" w:rsidP="00B44A74">
            <w:pPr>
              <w:spacing w:line="280" w:lineRule="exact"/>
              <w:rPr>
                <w:rFonts w:cs="Arial"/>
                <w:sz w:val="20"/>
                <w:szCs w:val="20"/>
              </w:rPr>
            </w:pPr>
          </w:p>
        </w:tc>
      </w:tr>
      <w:tr w:rsidR="008E67EA" w:rsidRPr="002B5B5B" w14:paraId="065889B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041F826" w14:textId="77777777" w:rsidR="008E67EA" w:rsidRPr="00445879" w:rsidRDefault="008E67EA" w:rsidP="00B44A74">
            <w:pPr>
              <w:spacing w:line="280" w:lineRule="exact"/>
              <w:rPr>
                <w:rFonts w:cs="Arial"/>
                <w:sz w:val="20"/>
                <w:szCs w:val="20"/>
              </w:rPr>
            </w:pPr>
            <w:r w:rsidRPr="00445879">
              <w:rPr>
                <w:rFonts w:cs="Arial"/>
                <w:sz w:val="20"/>
                <w:szCs w:val="20"/>
              </w:rPr>
              <w:t>First Aid Warnings:</w:t>
            </w:r>
          </w:p>
        </w:tc>
        <w:tc>
          <w:tcPr>
            <w:tcW w:w="7755" w:type="dxa"/>
            <w:tcBorders>
              <w:top w:val="single" w:sz="4" w:space="0" w:color="auto"/>
              <w:left w:val="single" w:sz="4" w:space="0" w:color="auto"/>
              <w:bottom w:val="single" w:sz="4" w:space="0" w:color="auto"/>
              <w:right w:val="single" w:sz="4" w:space="0" w:color="auto"/>
            </w:tcBorders>
          </w:tcPr>
          <w:p w14:paraId="5DD9C49C" w14:textId="77777777" w:rsidR="008E67EA" w:rsidRPr="00445879" w:rsidRDefault="008E67EA" w:rsidP="00B44A74">
            <w:pPr>
              <w:spacing w:line="280" w:lineRule="exact"/>
              <w:rPr>
                <w:rFonts w:cs="Arial"/>
                <w:sz w:val="20"/>
                <w:szCs w:val="20"/>
              </w:rPr>
            </w:pPr>
          </w:p>
        </w:tc>
      </w:tr>
    </w:tbl>
    <w:p w14:paraId="0DA7DA52" w14:textId="77777777" w:rsidR="008E67EA" w:rsidRDefault="008E67EA" w:rsidP="008E67EA"/>
    <w:p w14:paraId="7B6F2F09" w14:textId="77777777" w:rsidR="008E67EA" w:rsidRPr="00FF36BF" w:rsidRDefault="008E67EA" w:rsidP="008E67EA">
      <w:pPr>
        <w:spacing w:line="280" w:lineRule="exact"/>
        <w:rPr>
          <w:rFonts w:cs="Arial"/>
          <w:b/>
          <w:bCs/>
          <w:sz w:val="20"/>
          <w:szCs w:val="20"/>
        </w:rPr>
      </w:pPr>
      <w:r w:rsidRPr="00FF36BF">
        <w:rPr>
          <w:rFonts w:cs="Arial"/>
          <w:b/>
          <w:bCs/>
          <w:sz w:val="20"/>
          <w:szCs w:val="20"/>
        </w:rPr>
        <w:t>DIRECTIONS FOR USE</w:t>
      </w:r>
    </w:p>
    <w:tbl>
      <w:tblPr>
        <w:tblStyle w:val="TableGrid"/>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276"/>
        <w:gridCol w:w="1418"/>
        <w:gridCol w:w="4043"/>
      </w:tblGrid>
      <w:tr w:rsidR="008E67EA" w:rsidRPr="00A27FD2" w14:paraId="46989855" w14:textId="77777777" w:rsidTr="00731415">
        <w:trPr>
          <w:trHeight w:val="340"/>
        </w:trPr>
        <w:tc>
          <w:tcPr>
            <w:tcW w:w="2263" w:type="dxa"/>
          </w:tcPr>
          <w:p w14:paraId="736C75C3" w14:textId="77777777" w:rsidR="008E67EA" w:rsidRPr="00382A84" w:rsidRDefault="008E67EA" w:rsidP="00B44A74">
            <w:pPr>
              <w:spacing w:line="280" w:lineRule="exact"/>
              <w:rPr>
                <w:rFonts w:cs="Arial"/>
                <w:b/>
                <w:bCs/>
                <w:szCs w:val="18"/>
              </w:rPr>
            </w:pPr>
            <w:r w:rsidRPr="00382A84">
              <w:rPr>
                <w:rFonts w:cs="Arial"/>
                <w:b/>
                <w:bCs/>
                <w:szCs w:val="18"/>
              </w:rPr>
              <w:t>SITUATION</w:t>
            </w:r>
          </w:p>
        </w:tc>
        <w:tc>
          <w:tcPr>
            <w:tcW w:w="1276" w:type="dxa"/>
          </w:tcPr>
          <w:p w14:paraId="22EE9FAB" w14:textId="77777777" w:rsidR="008E67EA" w:rsidRPr="00382A84" w:rsidRDefault="008E67EA" w:rsidP="00B44A74">
            <w:pPr>
              <w:spacing w:line="280" w:lineRule="exact"/>
              <w:rPr>
                <w:rFonts w:cs="Arial"/>
                <w:b/>
                <w:bCs/>
                <w:szCs w:val="18"/>
              </w:rPr>
            </w:pPr>
            <w:r w:rsidRPr="00382A84">
              <w:rPr>
                <w:rFonts w:cs="Arial"/>
                <w:b/>
                <w:bCs/>
                <w:szCs w:val="18"/>
              </w:rPr>
              <w:t>PEST</w:t>
            </w:r>
          </w:p>
        </w:tc>
        <w:tc>
          <w:tcPr>
            <w:tcW w:w="1418" w:type="dxa"/>
          </w:tcPr>
          <w:p w14:paraId="37703744" w14:textId="77777777" w:rsidR="008E67EA" w:rsidRPr="00382A84" w:rsidRDefault="008E67EA" w:rsidP="00B44A74">
            <w:pPr>
              <w:spacing w:line="280" w:lineRule="exact"/>
              <w:rPr>
                <w:rFonts w:cs="Arial"/>
                <w:b/>
                <w:bCs/>
                <w:szCs w:val="18"/>
              </w:rPr>
            </w:pPr>
            <w:r w:rsidRPr="00382A84">
              <w:rPr>
                <w:rFonts w:cs="Arial"/>
                <w:b/>
                <w:bCs/>
                <w:szCs w:val="18"/>
              </w:rPr>
              <w:t>RATE</w:t>
            </w:r>
          </w:p>
        </w:tc>
        <w:tc>
          <w:tcPr>
            <w:tcW w:w="4043" w:type="dxa"/>
          </w:tcPr>
          <w:p w14:paraId="670504DE" w14:textId="77777777" w:rsidR="008E67EA" w:rsidRPr="00382A84" w:rsidRDefault="008E67EA" w:rsidP="00B44A74">
            <w:pPr>
              <w:spacing w:line="280" w:lineRule="exact"/>
              <w:rPr>
                <w:rFonts w:cs="Arial"/>
                <w:b/>
                <w:bCs/>
                <w:szCs w:val="18"/>
              </w:rPr>
            </w:pPr>
            <w:r w:rsidRPr="00382A84">
              <w:rPr>
                <w:rFonts w:cs="Arial"/>
                <w:b/>
                <w:bCs/>
                <w:szCs w:val="18"/>
              </w:rPr>
              <w:t>CRITICAL COMMENTS</w:t>
            </w:r>
          </w:p>
        </w:tc>
      </w:tr>
      <w:tr w:rsidR="008E67EA" w:rsidRPr="00A27FD2" w14:paraId="5BEF74A9" w14:textId="77777777" w:rsidTr="00731415">
        <w:trPr>
          <w:trHeight w:val="1125"/>
        </w:trPr>
        <w:tc>
          <w:tcPr>
            <w:tcW w:w="2263" w:type="dxa"/>
          </w:tcPr>
          <w:p w14:paraId="6718CCFE" w14:textId="70D45879" w:rsidR="008E67EA" w:rsidRPr="006A3858" w:rsidRDefault="008E67EA" w:rsidP="00B44A74">
            <w:pPr>
              <w:spacing w:after="120" w:line="240" w:lineRule="exact"/>
              <w:rPr>
                <w:rFonts w:cs="Arial"/>
                <w:bCs/>
                <w:spacing w:val="-2"/>
                <w:w w:val="105"/>
                <w:szCs w:val="18"/>
              </w:rPr>
            </w:pPr>
            <w:r w:rsidRPr="006A3858">
              <w:rPr>
                <w:rFonts w:cs="Arial"/>
                <w:bCs/>
                <w:spacing w:val="-2"/>
                <w:w w:val="105"/>
                <w:szCs w:val="18"/>
              </w:rPr>
              <w:t>In and around (within 2 meters) industrial, commercial, public services, agricultural and domestic buildings.</w:t>
            </w:r>
          </w:p>
        </w:tc>
        <w:tc>
          <w:tcPr>
            <w:tcW w:w="1276" w:type="dxa"/>
          </w:tcPr>
          <w:p w14:paraId="3D7D1D7E" w14:textId="77777777" w:rsidR="008E67EA" w:rsidRPr="006A3858" w:rsidRDefault="008E67EA" w:rsidP="00B44A74">
            <w:pPr>
              <w:spacing w:after="120" w:line="240" w:lineRule="exact"/>
              <w:rPr>
                <w:rFonts w:cs="Arial"/>
                <w:szCs w:val="18"/>
              </w:rPr>
            </w:pPr>
            <w:r w:rsidRPr="006A3858">
              <w:rPr>
                <w:rFonts w:cs="Arial"/>
                <w:bCs/>
                <w:spacing w:val="-2"/>
                <w:w w:val="105"/>
                <w:szCs w:val="18"/>
              </w:rPr>
              <w:t>Rats (</w:t>
            </w:r>
            <w:r w:rsidRPr="006A3858">
              <w:rPr>
                <w:rFonts w:cs="Arial"/>
                <w:bCs/>
                <w:i/>
                <w:iCs/>
                <w:spacing w:val="-2"/>
                <w:w w:val="105"/>
                <w:szCs w:val="18"/>
              </w:rPr>
              <w:t>Rattus norvegius, Rattus rattus</w:t>
            </w:r>
            <w:r w:rsidRPr="006A3858">
              <w:rPr>
                <w:rFonts w:cs="Arial"/>
                <w:bCs/>
                <w:spacing w:val="-2"/>
                <w:w w:val="105"/>
                <w:szCs w:val="18"/>
              </w:rPr>
              <w:t>)</w:t>
            </w:r>
          </w:p>
        </w:tc>
        <w:tc>
          <w:tcPr>
            <w:tcW w:w="1418" w:type="dxa"/>
          </w:tcPr>
          <w:p w14:paraId="03E12FDC" w14:textId="77777777" w:rsidR="008E67EA" w:rsidRPr="006A3858" w:rsidRDefault="008E67EA" w:rsidP="00B44A74">
            <w:pPr>
              <w:spacing w:after="120" w:line="240" w:lineRule="exact"/>
              <w:rPr>
                <w:rFonts w:cs="Arial"/>
                <w:bCs/>
                <w:spacing w:val="-2"/>
                <w:w w:val="105"/>
                <w:szCs w:val="18"/>
              </w:rPr>
            </w:pPr>
            <w:r w:rsidRPr="006A3858">
              <w:rPr>
                <w:rFonts w:cs="Arial"/>
                <w:bCs/>
                <w:spacing w:val="-2"/>
                <w:w w:val="105"/>
                <w:szCs w:val="18"/>
              </w:rPr>
              <w:t>1-3 block/bait station</w:t>
            </w:r>
          </w:p>
        </w:tc>
        <w:tc>
          <w:tcPr>
            <w:tcW w:w="4043" w:type="dxa"/>
            <w:vMerge w:val="restart"/>
          </w:tcPr>
          <w:p w14:paraId="70F5D087" w14:textId="20FEFA48" w:rsidR="008E67EA" w:rsidRPr="008518B4" w:rsidRDefault="008E67EA" w:rsidP="00B44A74">
            <w:pPr>
              <w:spacing w:after="120" w:line="240" w:lineRule="exact"/>
              <w:rPr>
                <w:rFonts w:cs="Arial"/>
                <w:bCs/>
                <w:spacing w:val="-2"/>
                <w:w w:val="105"/>
                <w:szCs w:val="18"/>
              </w:rPr>
            </w:pPr>
            <w:r w:rsidRPr="008518B4">
              <w:rPr>
                <w:rFonts w:cs="Arial"/>
                <w:bCs/>
                <w:spacing w:val="-2"/>
                <w:w w:val="105"/>
                <w:szCs w:val="18"/>
              </w:rPr>
              <w:t>Place bait stations in infested area</w:t>
            </w:r>
            <w:r>
              <w:rPr>
                <w:rFonts w:cs="Arial"/>
                <w:bCs/>
                <w:spacing w:val="-2"/>
                <w:w w:val="105"/>
                <w:szCs w:val="18"/>
              </w:rPr>
              <w:t xml:space="preserve">, </w:t>
            </w:r>
            <w:r w:rsidRPr="008518B4">
              <w:rPr>
                <w:rFonts w:cs="Arial"/>
                <w:bCs/>
                <w:spacing w:val="-2"/>
                <w:w w:val="105"/>
                <w:szCs w:val="18"/>
              </w:rPr>
              <w:t>along walls or rafters and in dark sheltered spots where there are signs of rodent activity.</w:t>
            </w:r>
          </w:p>
          <w:p w14:paraId="214DC16F" w14:textId="1D52FC44" w:rsidR="008E67EA" w:rsidRPr="008518B4" w:rsidRDefault="008E67EA" w:rsidP="00B44A74">
            <w:pPr>
              <w:spacing w:after="120" w:line="240" w:lineRule="exact"/>
              <w:rPr>
                <w:rFonts w:cs="Arial"/>
                <w:bCs/>
                <w:spacing w:val="-2"/>
                <w:w w:val="105"/>
                <w:szCs w:val="18"/>
              </w:rPr>
            </w:pPr>
            <w:r w:rsidRPr="008518B4">
              <w:rPr>
                <w:rFonts w:cs="Arial"/>
                <w:b/>
                <w:i/>
                <w:iCs/>
                <w:spacing w:val="-2"/>
                <w:w w:val="105"/>
                <w:szCs w:val="18"/>
              </w:rPr>
              <w:t>For rats:</w:t>
            </w:r>
            <w:r w:rsidRPr="008518B4">
              <w:rPr>
                <w:rFonts w:cs="Arial"/>
                <w:bCs/>
                <w:spacing w:val="-2"/>
                <w:w w:val="105"/>
                <w:szCs w:val="18"/>
              </w:rPr>
              <w:t xml:space="preserve"> Place bait stations at intervals of 5 to 9 m in infested areas. DO NOT exceed 9 m between bait stations.</w:t>
            </w:r>
          </w:p>
          <w:p w14:paraId="3F027280" w14:textId="13A47C2C" w:rsidR="008E67EA" w:rsidRPr="006A3858" w:rsidRDefault="008E67EA" w:rsidP="00B44A74">
            <w:pPr>
              <w:spacing w:after="120" w:line="240" w:lineRule="exact"/>
              <w:rPr>
                <w:rFonts w:cs="Arial"/>
                <w:bCs/>
                <w:spacing w:val="-2"/>
                <w:w w:val="105"/>
                <w:szCs w:val="18"/>
                <w:highlight w:val="yellow"/>
              </w:rPr>
            </w:pPr>
            <w:r w:rsidRPr="008518B4">
              <w:rPr>
                <w:rFonts w:cs="Arial"/>
                <w:b/>
                <w:i/>
                <w:iCs/>
                <w:spacing w:val="-2"/>
                <w:w w:val="105"/>
                <w:szCs w:val="18"/>
              </w:rPr>
              <w:t>For mice:</w:t>
            </w:r>
            <w:r w:rsidRPr="008518B4">
              <w:rPr>
                <w:rFonts w:cs="Arial"/>
                <w:bCs/>
                <w:spacing w:val="-2"/>
                <w:w w:val="105"/>
                <w:szCs w:val="18"/>
              </w:rPr>
              <w:t xml:space="preserve"> Place bait stations at intervals of 2 to 3 m in infested areas. DO NOT exceed 3 m between bait stations.</w:t>
            </w:r>
          </w:p>
        </w:tc>
      </w:tr>
      <w:tr w:rsidR="008E67EA" w:rsidRPr="00A27FD2" w14:paraId="6484CDCC" w14:textId="77777777" w:rsidTr="00731415">
        <w:trPr>
          <w:trHeight w:val="841"/>
        </w:trPr>
        <w:tc>
          <w:tcPr>
            <w:tcW w:w="2263" w:type="dxa"/>
          </w:tcPr>
          <w:p w14:paraId="0C5B6146" w14:textId="77777777" w:rsidR="008E67EA" w:rsidRPr="006A3858" w:rsidRDefault="008E67EA" w:rsidP="00B44A74">
            <w:pPr>
              <w:spacing w:after="120" w:line="240" w:lineRule="exact"/>
              <w:rPr>
                <w:rFonts w:cs="Arial"/>
                <w:bCs/>
                <w:spacing w:val="-2"/>
                <w:w w:val="105"/>
                <w:szCs w:val="18"/>
              </w:rPr>
            </w:pPr>
            <w:r w:rsidRPr="006A3858">
              <w:rPr>
                <w:rFonts w:cs="Arial"/>
                <w:bCs/>
                <w:spacing w:val="-2"/>
                <w:w w:val="105"/>
                <w:szCs w:val="18"/>
              </w:rPr>
              <w:t>In industrial, commercial, public services, agricultural and domestic buildings.</w:t>
            </w:r>
          </w:p>
        </w:tc>
        <w:tc>
          <w:tcPr>
            <w:tcW w:w="1276" w:type="dxa"/>
          </w:tcPr>
          <w:p w14:paraId="28AF60CB" w14:textId="77777777" w:rsidR="008E67EA" w:rsidRPr="006A3858" w:rsidRDefault="008E67EA" w:rsidP="00B44A74">
            <w:pPr>
              <w:spacing w:after="120" w:line="240" w:lineRule="exact"/>
              <w:rPr>
                <w:rFonts w:cs="Arial"/>
                <w:bCs/>
                <w:i/>
                <w:iCs/>
                <w:spacing w:val="-2"/>
                <w:w w:val="105"/>
                <w:szCs w:val="18"/>
              </w:rPr>
            </w:pPr>
            <w:r w:rsidRPr="006A3858">
              <w:rPr>
                <w:rFonts w:cs="Arial"/>
                <w:bCs/>
                <w:spacing w:val="-2"/>
                <w:w w:val="105"/>
                <w:szCs w:val="18"/>
              </w:rPr>
              <w:t>Mice (</w:t>
            </w:r>
            <w:r w:rsidRPr="006A3858">
              <w:rPr>
                <w:rFonts w:cs="Arial"/>
                <w:bCs/>
                <w:i/>
                <w:iCs/>
                <w:spacing w:val="-2"/>
                <w:w w:val="105"/>
                <w:szCs w:val="18"/>
              </w:rPr>
              <w:t>Mus musculus</w:t>
            </w:r>
            <w:r w:rsidRPr="006A3858">
              <w:rPr>
                <w:rFonts w:cs="Arial"/>
                <w:bCs/>
                <w:spacing w:val="-2"/>
                <w:w w:val="105"/>
                <w:szCs w:val="18"/>
              </w:rPr>
              <w:t>)</w:t>
            </w:r>
          </w:p>
        </w:tc>
        <w:tc>
          <w:tcPr>
            <w:tcW w:w="1418" w:type="dxa"/>
          </w:tcPr>
          <w:p w14:paraId="6B212595" w14:textId="77777777" w:rsidR="008E67EA" w:rsidRPr="006A3858" w:rsidRDefault="008E67EA" w:rsidP="00B44A74">
            <w:pPr>
              <w:spacing w:after="120" w:line="240" w:lineRule="exact"/>
              <w:rPr>
                <w:rFonts w:cs="Arial"/>
                <w:bCs/>
                <w:spacing w:val="-2"/>
                <w:w w:val="105"/>
                <w:szCs w:val="18"/>
              </w:rPr>
            </w:pPr>
            <w:r w:rsidRPr="006A3858">
              <w:rPr>
                <w:rFonts w:cs="Arial"/>
                <w:bCs/>
                <w:spacing w:val="-2"/>
                <w:w w:val="105"/>
                <w:szCs w:val="18"/>
              </w:rPr>
              <w:t>1 block/bait station</w:t>
            </w:r>
          </w:p>
        </w:tc>
        <w:tc>
          <w:tcPr>
            <w:tcW w:w="4043" w:type="dxa"/>
            <w:vMerge/>
          </w:tcPr>
          <w:p w14:paraId="71ABBD29" w14:textId="77777777" w:rsidR="008E67EA" w:rsidRPr="006A3858" w:rsidRDefault="008E67EA" w:rsidP="00B44A74">
            <w:pPr>
              <w:ind w:firstLine="720"/>
              <w:rPr>
                <w:rFonts w:cs="Arial"/>
                <w:bCs/>
                <w:spacing w:val="-2"/>
                <w:w w:val="105"/>
                <w:szCs w:val="18"/>
                <w:highlight w:val="yellow"/>
              </w:rPr>
            </w:pPr>
          </w:p>
        </w:tc>
      </w:tr>
    </w:tbl>
    <w:p w14:paraId="55D7E758" w14:textId="77777777" w:rsidR="008E67EA" w:rsidRDefault="008E67EA" w:rsidP="008E67EA">
      <w:pPr>
        <w:spacing w:line="280" w:lineRule="exact"/>
        <w:rPr>
          <w:rFonts w:cs="Arial"/>
          <w:b/>
          <w:bCs/>
          <w:sz w:val="20"/>
          <w:szCs w:val="20"/>
        </w:rPr>
      </w:pPr>
    </w:p>
    <w:p w14:paraId="56D30BCF" w14:textId="77777777" w:rsidR="008E67EA" w:rsidRPr="00DC2C8B" w:rsidRDefault="008E67EA" w:rsidP="008E67EA">
      <w:pPr>
        <w:spacing w:line="280" w:lineRule="exact"/>
        <w:rPr>
          <w:rFonts w:cs="Arial"/>
          <w:b/>
          <w:bCs/>
          <w:color w:val="000000" w:themeColor="text1"/>
          <w:sz w:val="20"/>
          <w:szCs w:val="20"/>
        </w:rPr>
      </w:pPr>
      <w:r w:rsidRPr="00DC2C8B">
        <w:rPr>
          <w:rFonts w:cs="Arial"/>
          <w:b/>
          <w:bCs/>
          <w:color w:val="000000" w:themeColor="text1"/>
          <w:sz w:val="20"/>
          <w:szCs w:val="20"/>
        </w:rPr>
        <w:t>Baiting Strategy</w:t>
      </w:r>
    </w:p>
    <w:p w14:paraId="7978F32A" w14:textId="2D16C580" w:rsidR="008E67EA" w:rsidRPr="008518B4" w:rsidRDefault="008E67EA" w:rsidP="008E67EA">
      <w:pPr>
        <w:spacing w:line="280" w:lineRule="exact"/>
        <w:rPr>
          <w:rFonts w:cs="Arial"/>
          <w:sz w:val="20"/>
          <w:szCs w:val="20"/>
        </w:rPr>
      </w:pPr>
      <w:r w:rsidRPr="008518B4">
        <w:rPr>
          <w:rFonts w:cs="Arial"/>
          <w:sz w:val="20"/>
          <w:szCs w:val="20"/>
        </w:rPr>
        <w:t>Eliminate as far as practicable all alternative food sources.</w:t>
      </w:r>
    </w:p>
    <w:p w14:paraId="301592D6" w14:textId="5DA37CF1" w:rsidR="008E67EA" w:rsidRPr="008518B4" w:rsidRDefault="008E67EA" w:rsidP="008E67EA">
      <w:pPr>
        <w:spacing w:line="280" w:lineRule="exact"/>
        <w:rPr>
          <w:rFonts w:eastAsia="Calibri" w:cs="Arial"/>
          <w:sz w:val="20"/>
          <w:szCs w:val="20"/>
          <w:bdr w:val="none" w:sz="0" w:space="0" w:color="auto" w:frame="1"/>
          <w:lang w:val="en-GB" w:eastAsia="en-AU"/>
        </w:rPr>
      </w:pPr>
      <w:r w:rsidRPr="008518B4">
        <w:rPr>
          <w:rFonts w:eastAsia="Calibri" w:cs="Arial"/>
          <w:sz w:val="20"/>
          <w:szCs w:val="20"/>
          <w:bdr w:val="none" w:sz="0" w:space="0" w:color="auto" w:frame="1"/>
          <w:lang w:val="en-GB" w:eastAsia="en-AU"/>
        </w:rPr>
        <w:t>Survey site prior to treatment, including assessment of the extent of infestation and identification of any indications of the presence of non-target animals.</w:t>
      </w:r>
    </w:p>
    <w:p w14:paraId="46AEE9E4" w14:textId="63FD014A" w:rsidR="008E67EA" w:rsidRPr="008518B4" w:rsidRDefault="008E67EA" w:rsidP="008E67EA">
      <w:pPr>
        <w:spacing w:line="280" w:lineRule="exact"/>
        <w:rPr>
          <w:rFonts w:eastAsia="Calibri" w:cs="Arial"/>
          <w:sz w:val="20"/>
          <w:szCs w:val="20"/>
          <w:bdr w:val="none" w:sz="0" w:space="0" w:color="auto" w:frame="1"/>
          <w:lang w:val="en-GB" w:eastAsia="en-AU"/>
        </w:rPr>
      </w:pPr>
      <w:r w:rsidRPr="008518B4">
        <w:rPr>
          <w:rFonts w:eastAsia="Calibri" w:cs="Arial"/>
          <w:sz w:val="20"/>
          <w:szCs w:val="20"/>
          <w:bdr w:val="none" w:sz="0" w:space="0" w:color="auto" w:frame="1"/>
          <w:lang w:val="en-GB" w:eastAsia="en-AU"/>
        </w:rPr>
        <w:t>Record the number and locations of bait stations for the purpose of inspection, replacement and later removal. Always use tamper-resistant bait stations that are secured in place in child accessible areas, outdoors and in animal or livestock housing. When used in food producing animal housing situations careful consideration is necessary regarding the placement of bait stations to ensure any rodenticide contamination of water, feed or livestock is prevented.</w:t>
      </w:r>
    </w:p>
    <w:p w14:paraId="3F4FBAFA" w14:textId="77777777" w:rsidR="008E67EA" w:rsidRPr="008518B4" w:rsidRDefault="008E67EA" w:rsidP="008E67EA">
      <w:pPr>
        <w:spacing w:line="280" w:lineRule="exact"/>
        <w:rPr>
          <w:rFonts w:cs="Arial"/>
          <w:sz w:val="20"/>
          <w:szCs w:val="20"/>
        </w:rPr>
      </w:pPr>
      <w:r w:rsidRPr="008518B4">
        <w:rPr>
          <w:rFonts w:cs="Arial"/>
          <w:sz w:val="20"/>
          <w:szCs w:val="20"/>
        </w:rPr>
        <w:t>Inspect baits daily. Replace eaten baits to establish control of rodent populations. If quickly eaten, increase number of baits as multiple rodents may be consuming bait placements. Continue observation and replenish until no more baits are taken. Most rodent deaths occur 4 to 7 days after consumption of bait. Baiting for at least two weeks is necessary to reduce rat/mouse numbers.</w:t>
      </w:r>
    </w:p>
    <w:p w14:paraId="70C4D8EA" w14:textId="77777777" w:rsidR="008E67EA" w:rsidRPr="000559AD" w:rsidRDefault="008E67EA" w:rsidP="008E67EA">
      <w:pPr>
        <w:spacing w:line="280" w:lineRule="exact"/>
        <w:rPr>
          <w:rFonts w:eastAsia="Calibri" w:cs="Arial"/>
          <w:sz w:val="20"/>
          <w:szCs w:val="20"/>
          <w:bdr w:val="none" w:sz="0" w:space="0" w:color="auto" w:frame="1"/>
          <w:lang w:val="en-GB" w:eastAsia="en-AU"/>
        </w:rPr>
      </w:pPr>
      <w:r w:rsidRPr="008518B4">
        <w:rPr>
          <w:rFonts w:eastAsia="Calibri" w:cs="Arial"/>
          <w:sz w:val="20"/>
          <w:szCs w:val="20"/>
          <w:bdr w:val="none" w:sz="0" w:space="0" w:color="auto" w:frame="1"/>
          <w:lang w:val="en-GB" w:eastAsia="en-AU"/>
        </w:rPr>
        <w:t>DO NOT use the product beyond 35 days without an evaluation of the state of the infestation and of the efficacy of the treatment.</w:t>
      </w:r>
      <w:r w:rsidRPr="008518B4">
        <w:rPr>
          <w:rFonts w:cs="Arial"/>
          <w:sz w:val="20"/>
          <w:szCs w:val="20"/>
        </w:rPr>
        <w:t xml:space="preserve"> </w:t>
      </w:r>
      <w:r w:rsidRPr="008518B4">
        <w:rPr>
          <w:rFonts w:eastAsia="Calibri" w:cs="Arial"/>
          <w:sz w:val="20"/>
          <w:szCs w:val="20"/>
          <w:bdr w:val="none" w:sz="0" w:space="0" w:color="auto" w:frame="1"/>
          <w:lang w:val="en-GB" w:eastAsia="en-AU"/>
        </w:rPr>
        <w:t>Remove all uneaten bait at the end of treatment.</w:t>
      </w:r>
    </w:p>
    <w:p w14:paraId="13D7A6F4" w14:textId="77777777" w:rsidR="00731415" w:rsidRDefault="008E67EA" w:rsidP="00731415">
      <w:pPr>
        <w:spacing w:line="280" w:lineRule="exact"/>
        <w:rPr>
          <w:rFonts w:cs="Arial"/>
          <w:b/>
          <w:bCs/>
          <w:sz w:val="20"/>
          <w:szCs w:val="20"/>
        </w:rPr>
        <w:sectPr w:rsidR="00731415" w:rsidSect="00CB73E0">
          <w:pgSz w:w="11906" w:h="16838"/>
          <w:pgMar w:top="1440" w:right="1134" w:bottom="1440" w:left="1134" w:header="794" w:footer="737" w:gutter="0"/>
          <w:cols w:space="708"/>
          <w:docGrid w:linePitch="360"/>
        </w:sectPr>
      </w:pPr>
      <w:r w:rsidRPr="00FF36BF">
        <w:rPr>
          <w:rFonts w:cs="Arial"/>
          <w:b/>
          <w:bCs/>
          <w:sz w:val="20"/>
          <w:szCs w:val="20"/>
        </w:rPr>
        <w:t>NOT TO BE USED FOR ANY PURPOSE, OR IN ANY MANNER, CONTRARY TO THIS LABEL UNLESS AUTHORISED UNDER APPROPRIATE LEGISLATION.</w:t>
      </w:r>
    </w:p>
    <w:p w14:paraId="6BA3F68A" w14:textId="77777777" w:rsidR="008E67EA"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lastRenderedPageBreak/>
        <w:t xml:space="preserve">Template Label </w:t>
      </w:r>
      <w:r>
        <w:rPr>
          <w:rFonts w:cs="Arial"/>
          <w:b/>
          <w:bCs/>
          <w:sz w:val="20"/>
          <w:szCs w:val="20"/>
          <w:bdr w:val="none" w:sz="0" w:space="0" w:color="auto" w:frame="1"/>
          <w:lang w:val="en-GB" w:eastAsia="en-AU"/>
        </w:rPr>
        <w:t>1f</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2B5B5B" w14:paraId="147CC68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C35FBB4" w14:textId="77777777" w:rsidR="008E67EA" w:rsidRPr="00C37889" w:rsidRDefault="008E67EA" w:rsidP="00B44A74">
            <w:pPr>
              <w:spacing w:line="280" w:lineRule="exact"/>
              <w:rPr>
                <w:rFonts w:cs="Arial"/>
                <w:sz w:val="20"/>
                <w:szCs w:val="20"/>
              </w:rPr>
            </w:pPr>
            <w:r w:rsidRPr="00C37889">
              <w:rPr>
                <w:rFonts w:cs="Arial"/>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0E05EDB4" w14:textId="77777777" w:rsidR="008E67EA" w:rsidRPr="00C37889" w:rsidRDefault="008E67EA" w:rsidP="00B44A74">
            <w:pPr>
              <w:spacing w:line="280" w:lineRule="exact"/>
              <w:rPr>
                <w:rFonts w:cs="Arial"/>
                <w:sz w:val="20"/>
                <w:szCs w:val="20"/>
              </w:rPr>
            </w:pPr>
            <w:r w:rsidRPr="00C37889">
              <w:rPr>
                <w:rFonts w:cs="Arial"/>
                <w:sz w:val="20"/>
                <w:szCs w:val="20"/>
              </w:rPr>
              <w:t>[INSERT LABEL NAME]</w:t>
            </w:r>
          </w:p>
        </w:tc>
      </w:tr>
      <w:tr w:rsidR="008E67EA" w:rsidRPr="002B5B5B" w14:paraId="52DB5AC3" w14:textId="77777777" w:rsidTr="00B44A74">
        <w:trPr>
          <w:jc w:val="center"/>
        </w:trPr>
        <w:tc>
          <w:tcPr>
            <w:tcW w:w="2415" w:type="dxa"/>
            <w:tcBorders>
              <w:top w:val="single" w:sz="4" w:space="0" w:color="auto"/>
              <w:left w:val="nil"/>
              <w:bottom w:val="single" w:sz="4" w:space="0" w:color="auto"/>
              <w:right w:val="nil"/>
            </w:tcBorders>
          </w:tcPr>
          <w:p w14:paraId="11D98629" w14:textId="77777777" w:rsidR="008E67EA" w:rsidRPr="00C37889"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0FC8731" w14:textId="77777777" w:rsidR="008E67EA" w:rsidRPr="00C37889" w:rsidRDefault="008E67EA" w:rsidP="00B44A74">
            <w:pPr>
              <w:spacing w:line="280" w:lineRule="exact"/>
              <w:rPr>
                <w:rFonts w:cs="Arial"/>
                <w:sz w:val="20"/>
                <w:szCs w:val="20"/>
              </w:rPr>
            </w:pPr>
          </w:p>
        </w:tc>
      </w:tr>
      <w:tr w:rsidR="008E67EA" w:rsidRPr="002B5B5B" w14:paraId="1EE89939"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435BD43" w14:textId="77777777" w:rsidR="008E67EA" w:rsidRPr="00C37889" w:rsidRDefault="008E67EA" w:rsidP="00B44A74">
            <w:pPr>
              <w:spacing w:line="280" w:lineRule="exact"/>
              <w:rPr>
                <w:rFonts w:cs="Arial"/>
                <w:sz w:val="20"/>
                <w:szCs w:val="20"/>
              </w:rPr>
            </w:pPr>
            <w:r w:rsidRPr="00C37889">
              <w:rPr>
                <w:rFonts w:cs="Arial"/>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5CAA85AF" w14:textId="77777777" w:rsidR="008E67EA" w:rsidRPr="00C37889" w:rsidRDefault="008E67EA" w:rsidP="00B44A74">
            <w:pPr>
              <w:spacing w:line="280" w:lineRule="exact"/>
              <w:rPr>
                <w:rFonts w:cs="Arial"/>
                <w:sz w:val="20"/>
                <w:szCs w:val="20"/>
              </w:rPr>
            </w:pPr>
            <w:r w:rsidRPr="00C37889">
              <w:rPr>
                <w:rFonts w:cs="Arial"/>
                <w:sz w:val="20"/>
                <w:szCs w:val="20"/>
              </w:rPr>
              <w:t>POISON</w:t>
            </w:r>
          </w:p>
          <w:p w14:paraId="14D77C51" w14:textId="77777777" w:rsidR="008E67EA" w:rsidRPr="00C37889" w:rsidRDefault="008E67EA" w:rsidP="00B44A74">
            <w:pPr>
              <w:spacing w:line="280" w:lineRule="exact"/>
              <w:rPr>
                <w:rFonts w:cs="Arial"/>
                <w:sz w:val="20"/>
                <w:szCs w:val="20"/>
              </w:rPr>
            </w:pPr>
            <w:r w:rsidRPr="00C37889">
              <w:rPr>
                <w:rFonts w:cs="Arial"/>
                <w:sz w:val="20"/>
                <w:szCs w:val="20"/>
              </w:rPr>
              <w:t>KEEP OUT OF REACH OF CHILDREN</w:t>
            </w:r>
          </w:p>
          <w:p w14:paraId="29C8FEED" w14:textId="77777777" w:rsidR="008E67EA" w:rsidRPr="00C37889" w:rsidRDefault="008E67EA" w:rsidP="00B44A74">
            <w:pPr>
              <w:spacing w:line="280" w:lineRule="exact"/>
              <w:rPr>
                <w:rFonts w:cs="Arial"/>
                <w:sz w:val="20"/>
                <w:szCs w:val="20"/>
              </w:rPr>
            </w:pPr>
            <w:r w:rsidRPr="00C37889">
              <w:rPr>
                <w:rFonts w:cs="Arial"/>
                <w:sz w:val="20"/>
                <w:szCs w:val="20"/>
              </w:rPr>
              <w:t>READ SAFETY DIRECTIONS BEFORE OPENING OR USING</w:t>
            </w:r>
          </w:p>
        </w:tc>
      </w:tr>
      <w:tr w:rsidR="008E67EA" w:rsidRPr="002B5B5B" w14:paraId="37FB224B" w14:textId="77777777" w:rsidTr="00B44A74">
        <w:trPr>
          <w:jc w:val="center"/>
        </w:trPr>
        <w:tc>
          <w:tcPr>
            <w:tcW w:w="2415" w:type="dxa"/>
            <w:tcBorders>
              <w:top w:val="single" w:sz="4" w:space="0" w:color="auto"/>
              <w:left w:val="nil"/>
              <w:bottom w:val="single" w:sz="4" w:space="0" w:color="auto"/>
              <w:right w:val="nil"/>
            </w:tcBorders>
          </w:tcPr>
          <w:p w14:paraId="5C4AF25A" w14:textId="77777777" w:rsidR="008E67EA" w:rsidRPr="00C37889"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2404DF2" w14:textId="77777777" w:rsidR="008E67EA" w:rsidRPr="00C37889" w:rsidRDefault="008E67EA" w:rsidP="00B44A74">
            <w:pPr>
              <w:spacing w:line="280" w:lineRule="exact"/>
              <w:rPr>
                <w:rFonts w:cs="Arial"/>
                <w:sz w:val="20"/>
                <w:szCs w:val="20"/>
              </w:rPr>
            </w:pPr>
          </w:p>
        </w:tc>
      </w:tr>
      <w:tr w:rsidR="008E67EA" w:rsidRPr="002B5B5B" w14:paraId="60D6B49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85F67DF" w14:textId="77777777" w:rsidR="008E67EA" w:rsidRPr="00C37889" w:rsidRDefault="008E67EA" w:rsidP="00B44A74">
            <w:pPr>
              <w:spacing w:line="280" w:lineRule="exact"/>
              <w:rPr>
                <w:rFonts w:cs="Arial"/>
                <w:sz w:val="20"/>
                <w:szCs w:val="20"/>
              </w:rPr>
            </w:pPr>
            <w:r w:rsidRPr="00C37889">
              <w:rPr>
                <w:rFonts w:cs="Arial"/>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3F209A92" w14:textId="77777777" w:rsidR="008E67EA" w:rsidRPr="00C37889" w:rsidRDefault="008E67EA" w:rsidP="00B44A74">
            <w:pPr>
              <w:spacing w:line="280" w:lineRule="exact"/>
              <w:rPr>
                <w:rFonts w:cs="Arial"/>
                <w:sz w:val="20"/>
                <w:szCs w:val="20"/>
              </w:rPr>
            </w:pPr>
            <w:r w:rsidRPr="00C37889">
              <w:rPr>
                <w:rFonts w:cs="Arial"/>
                <w:sz w:val="20"/>
                <w:szCs w:val="20"/>
              </w:rPr>
              <w:t>0.025 g/kg BRODIFACOUM</w:t>
            </w:r>
          </w:p>
        </w:tc>
      </w:tr>
      <w:tr w:rsidR="008E67EA" w:rsidRPr="002B5B5B" w14:paraId="4E95A8E1" w14:textId="77777777" w:rsidTr="00B44A74">
        <w:trPr>
          <w:jc w:val="center"/>
        </w:trPr>
        <w:tc>
          <w:tcPr>
            <w:tcW w:w="2415" w:type="dxa"/>
            <w:tcBorders>
              <w:top w:val="single" w:sz="4" w:space="0" w:color="auto"/>
              <w:left w:val="nil"/>
              <w:bottom w:val="single" w:sz="4" w:space="0" w:color="auto"/>
              <w:right w:val="nil"/>
            </w:tcBorders>
          </w:tcPr>
          <w:p w14:paraId="27DB1817" w14:textId="77777777" w:rsidR="008E67EA" w:rsidRPr="00C37889"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B380146" w14:textId="77777777" w:rsidR="008E67EA" w:rsidRPr="00C37889" w:rsidRDefault="008E67EA" w:rsidP="00B44A74">
            <w:pPr>
              <w:spacing w:line="280" w:lineRule="exact"/>
              <w:rPr>
                <w:rFonts w:cs="Arial"/>
                <w:sz w:val="20"/>
                <w:szCs w:val="20"/>
              </w:rPr>
            </w:pPr>
          </w:p>
        </w:tc>
      </w:tr>
      <w:tr w:rsidR="008E67EA" w:rsidRPr="00994236" w14:paraId="2F7F0A2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E7CA065" w14:textId="77777777" w:rsidR="008E67EA" w:rsidRPr="00C37889" w:rsidRDefault="008E67EA" w:rsidP="00B44A74">
            <w:pPr>
              <w:spacing w:line="280" w:lineRule="exact"/>
              <w:rPr>
                <w:rFonts w:cs="Arial"/>
                <w:sz w:val="20"/>
                <w:szCs w:val="20"/>
              </w:rPr>
            </w:pPr>
            <w:r w:rsidRPr="00C37889">
              <w:rPr>
                <w:rFonts w:cs="Arial"/>
                <w:sz w:val="20"/>
                <w:szCs w:val="20"/>
              </w:rPr>
              <w:t>Mode of Action:</w:t>
            </w:r>
          </w:p>
        </w:tc>
        <w:tc>
          <w:tcPr>
            <w:tcW w:w="7755" w:type="dxa"/>
            <w:tcBorders>
              <w:top w:val="single" w:sz="4" w:space="0" w:color="auto"/>
              <w:left w:val="single" w:sz="4" w:space="0" w:color="auto"/>
              <w:bottom w:val="single" w:sz="4" w:space="0" w:color="auto"/>
              <w:right w:val="single" w:sz="4" w:space="0" w:color="auto"/>
            </w:tcBorders>
          </w:tcPr>
          <w:p w14:paraId="6E2228AB" w14:textId="77777777" w:rsidR="008E67EA" w:rsidRPr="00C37889" w:rsidRDefault="008E67EA" w:rsidP="00B44A74">
            <w:pPr>
              <w:spacing w:line="280" w:lineRule="exact"/>
              <w:jc w:val="both"/>
              <w:rPr>
                <w:rFonts w:cs="Arial"/>
                <w:sz w:val="20"/>
                <w:szCs w:val="20"/>
              </w:rPr>
            </w:pPr>
          </w:p>
        </w:tc>
      </w:tr>
      <w:tr w:rsidR="008E67EA" w:rsidRPr="002B5B5B" w14:paraId="0A709B83" w14:textId="77777777" w:rsidTr="00B44A74">
        <w:trPr>
          <w:jc w:val="center"/>
        </w:trPr>
        <w:tc>
          <w:tcPr>
            <w:tcW w:w="2415" w:type="dxa"/>
            <w:tcBorders>
              <w:top w:val="single" w:sz="4" w:space="0" w:color="auto"/>
              <w:left w:val="nil"/>
              <w:bottom w:val="single" w:sz="4" w:space="0" w:color="auto"/>
              <w:right w:val="nil"/>
            </w:tcBorders>
          </w:tcPr>
          <w:p w14:paraId="37B45DF1" w14:textId="77777777" w:rsidR="008E67EA" w:rsidRPr="00C37889"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D84CB1B" w14:textId="77777777" w:rsidR="008E67EA" w:rsidRPr="00C37889" w:rsidRDefault="008E67EA" w:rsidP="00B44A74">
            <w:pPr>
              <w:spacing w:line="280" w:lineRule="exact"/>
              <w:rPr>
                <w:rFonts w:cs="Arial"/>
                <w:sz w:val="20"/>
                <w:szCs w:val="20"/>
              </w:rPr>
            </w:pPr>
          </w:p>
        </w:tc>
      </w:tr>
      <w:tr w:rsidR="008E67EA" w:rsidRPr="002B5B5B" w14:paraId="7575EA1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D0A95C2" w14:textId="77777777" w:rsidR="008E67EA" w:rsidRPr="00C37889" w:rsidRDefault="008E67EA" w:rsidP="00B44A74">
            <w:pPr>
              <w:spacing w:line="280" w:lineRule="exact"/>
              <w:rPr>
                <w:rFonts w:cs="Arial"/>
                <w:sz w:val="20"/>
                <w:szCs w:val="20"/>
              </w:rPr>
            </w:pPr>
            <w:r w:rsidRPr="00C37889">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3A1FEA8D" w14:textId="77777777" w:rsidR="008E67EA" w:rsidRPr="005A4C9D" w:rsidRDefault="008E67EA" w:rsidP="00B44A74">
            <w:pPr>
              <w:spacing w:line="280" w:lineRule="exact"/>
              <w:rPr>
                <w:rFonts w:cs="Arial"/>
                <w:sz w:val="20"/>
                <w:szCs w:val="20"/>
              </w:rPr>
            </w:pPr>
            <w:r w:rsidRPr="005A4C9D">
              <w:rPr>
                <w:rFonts w:cs="Arial"/>
                <w:sz w:val="20"/>
                <w:szCs w:val="20"/>
              </w:rPr>
              <w:t>For control of mice in industrial, commercial, public service buildings, agricultural and domestic buildings and rats in and around industrial, commercial, public service buildings, agricultural and domestic buildings.</w:t>
            </w:r>
          </w:p>
        </w:tc>
      </w:tr>
      <w:tr w:rsidR="008E67EA" w:rsidRPr="002B5B5B" w14:paraId="60F7497B" w14:textId="77777777" w:rsidTr="00B44A74">
        <w:trPr>
          <w:jc w:val="center"/>
        </w:trPr>
        <w:tc>
          <w:tcPr>
            <w:tcW w:w="2415" w:type="dxa"/>
            <w:tcBorders>
              <w:top w:val="single" w:sz="4" w:space="0" w:color="auto"/>
              <w:left w:val="nil"/>
              <w:bottom w:val="single" w:sz="4" w:space="0" w:color="auto"/>
              <w:right w:val="nil"/>
            </w:tcBorders>
          </w:tcPr>
          <w:p w14:paraId="47A2E134" w14:textId="77777777" w:rsidR="008E67EA" w:rsidRPr="00C37889"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EA6682C" w14:textId="77777777" w:rsidR="008E67EA" w:rsidRPr="00C37889" w:rsidRDefault="008E67EA" w:rsidP="00B44A74">
            <w:pPr>
              <w:spacing w:line="280" w:lineRule="exact"/>
              <w:rPr>
                <w:rFonts w:cs="Arial"/>
                <w:sz w:val="20"/>
                <w:szCs w:val="20"/>
              </w:rPr>
            </w:pPr>
          </w:p>
        </w:tc>
      </w:tr>
      <w:tr w:rsidR="008E67EA" w:rsidRPr="002B5B5B" w14:paraId="1E64AF1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9CAEA4C" w14:textId="77777777" w:rsidR="008E67EA" w:rsidRPr="00C37889" w:rsidRDefault="008E67EA" w:rsidP="00B44A74">
            <w:pPr>
              <w:spacing w:line="280" w:lineRule="exact"/>
              <w:rPr>
                <w:rFonts w:cs="Arial"/>
                <w:sz w:val="20"/>
                <w:szCs w:val="20"/>
              </w:rPr>
            </w:pPr>
            <w:r w:rsidRPr="00C37889">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488B2DB1" w14:textId="77777777" w:rsidR="008E67EA" w:rsidRPr="00C37889" w:rsidRDefault="008E67EA" w:rsidP="00B44A74">
            <w:pPr>
              <w:spacing w:line="280" w:lineRule="exact"/>
              <w:rPr>
                <w:rFonts w:cs="Arial"/>
                <w:color w:val="7030A0"/>
                <w:sz w:val="20"/>
                <w:szCs w:val="20"/>
              </w:rPr>
            </w:pPr>
            <w:r w:rsidRPr="00C37889">
              <w:rPr>
                <w:rFonts w:cs="Arial"/>
                <w:sz w:val="20"/>
                <w:szCs w:val="20"/>
              </w:rPr>
              <w:t>[INSERT NET CONTENTS]</w:t>
            </w:r>
          </w:p>
        </w:tc>
      </w:tr>
      <w:tr w:rsidR="008E67EA" w:rsidRPr="002B5B5B" w14:paraId="2D82FE22" w14:textId="77777777" w:rsidTr="00B44A74">
        <w:trPr>
          <w:jc w:val="center"/>
        </w:trPr>
        <w:tc>
          <w:tcPr>
            <w:tcW w:w="2415" w:type="dxa"/>
            <w:tcBorders>
              <w:top w:val="single" w:sz="4" w:space="0" w:color="auto"/>
              <w:left w:val="nil"/>
              <w:bottom w:val="single" w:sz="4" w:space="0" w:color="auto"/>
              <w:right w:val="nil"/>
            </w:tcBorders>
          </w:tcPr>
          <w:p w14:paraId="179E3D15" w14:textId="77777777" w:rsidR="008E67EA" w:rsidRPr="00C37889"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C9A10CB" w14:textId="77777777" w:rsidR="008E67EA" w:rsidRPr="00C37889" w:rsidRDefault="008E67EA" w:rsidP="00B44A74">
            <w:pPr>
              <w:spacing w:line="280" w:lineRule="exact"/>
              <w:rPr>
                <w:rFonts w:cs="Arial"/>
                <w:sz w:val="20"/>
                <w:szCs w:val="20"/>
              </w:rPr>
            </w:pPr>
          </w:p>
        </w:tc>
      </w:tr>
      <w:tr w:rsidR="008E67EA" w:rsidRPr="002B5B5B" w14:paraId="6952F44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55C35A5" w14:textId="77777777" w:rsidR="008E67EA" w:rsidRPr="00C37889" w:rsidRDefault="008E67EA" w:rsidP="00B44A74">
            <w:pPr>
              <w:spacing w:line="280" w:lineRule="exact"/>
              <w:rPr>
                <w:rFonts w:cs="Arial"/>
                <w:sz w:val="20"/>
                <w:szCs w:val="20"/>
              </w:rPr>
            </w:pPr>
            <w:r w:rsidRPr="00C37889">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0D82C5E0" w14:textId="77777777" w:rsidR="008E67EA" w:rsidRDefault="008E67EA" w:rsidP="00B44A74">
            <w:pPr>
              <w:spacing w:line="280" w:lineRule="exact"/>
              <w:rPr>
                <w:rFonts w:cs="Arial"/>
                <w:sz w:val="20"/>
                <w:szCs w:val="20"/>
              </w:rPr>
            </w:pPr>
            <w:r>
              <w:rPr>
                <w:rFonts w:cs="Arial"/>
                <w:sz w:val="20"/>
                <w:szCs w:val="20"/>
              </w:rPr>
              <w:t>RESTRAINTS</w:t>
            </w:r>
          </w:p>
          <w:p w14:paraId="6CEDC810" w14:textId="77777777" w:rsidR="008E67EA" w:rsidRPr="00C37889" w:rsidRDefault="008E67EA" w:rsidP="00B44A74">
            <w:pPr>
              <w:spacing w:line="280" w:lineRule="exact"/>
              <w:rPr>
                <w:rFonts w:cs="Arial"/>
                <w:sz w:val="20"/>
                <w:szCs w:val="20"/>
              </w:rPr>
            </w:pPr>
            <w:r w:rsidRPr="00C37889">
              <w:rPr>
                <w:rFonts w:cs="Arial"/>
                <w:sz w:val="20"/>
                <w:szCs w:val="20"/>
              </w:rPr>
              <w:t>DO NOT use this product unless you have a current qualification in the nationally recognised training course for rodent pest management CPPUPM3006 - Manage pests by applying pesticides, or an equivalent unit of competency.</w:t>
            </w:r>
          </w:p>
          <w:p w14:paraId="7920F5A9" w14:textId="77777777" w:rsidR="008E67EA" w:rsidRPr="00C37889" w:rsidRDefault="008E67EA" w:rsidP="00B44A74">
            <w:pPr>
              <w:spacing w:line="280" w:lineRule="exact"/>
              <w:rPr>
                <w:rFonts w:cs="Arial"/>
                <w:sz w:val="20"/>
                <w:szCs w:val="20"/>
              </w:rPr>
            </w:pPr>
            <w:r w:rsidRPr="00C37889">
              <w:rPr>
                <w:rFonts w:cs="Arial"/>
                <w:sz w:val="20"/>
                <w:szCs w:val="20"/>
              </w:rPr>
              <w:t>DO NOT place baits in areas that are accessible to children. In child-accessible areas baits must be placed in tamper-</w:t>
            </w:r>
            <w:r>
              <w:rPr>
                <w:rFonts w:cs="Arial"/>
                <w:sz w:val="20"/>
                <w:szCs w:val="20"/>
              </w:rPr>
              <w:t>resistant</w:t>
            </w:r>
            <w:r w:rsidRPr="00C37889">
              <w:rPr>
                <w:rFonts w:cs="Arial"/>
                <w:sz w:val="20"/>
                <w:szCs w:val="20"/>
              </w:rPr>
              <w:t xml:space="preserve"> bait stations. If bait can be dislodged from bait station, bait station must be secured in place. </w:t>
            </w:r>
          </w:p>
          <w:p w14:paraId="007D4B4F" w14:textId="77777777" w:rsidR="008E67EA" w:rsidRPr="00C37889" w:rsidRDefault="008E67EA" w:rsidP="00B44A74">
            <w:pPr>
              <w:spacing w:line="280" w:lineRule="exact"/>
              <w:rPr>
                <w:rFonts w:cs="Arial"/>
                <w:sz w:val="20"/>
                <w:szCs w:val="20"/>
              </w:rPr>
            </w:pPr>
            <w:r w:rsidRPr="00C37889">
              <w:rPr>
                <w:rFonts w:cs="Arial"/>
                <w:sz w:val="20"/>
                <w:szCs w:val="20"/>
              </w:rPr>
              <w:t>DO NOT place bait outdoors unless it is in a tamper-resistant bait station which is secured in place.</w:t>
            </w:r>
          </w:p>
          <w:p w14:paraId="61BED35D" w14:textId="77777777" w:rsidR="008E67EA" w:rsidRPr="00C37889" w:rsidRDefault="008E67EA" w:rsidP="00B44A74">
            <w:pPr>
              <w:spacing w:line="280" w:lineRule="exact"/>
              <w:rPr>
                <w:rFonts w:cs="Arial"/>
                <w:sz w:val="20"/>
                <w:szCs w:val="20"/>
              </w:rPr>
            </w:pPr>
            <w:r w:rsidRPr="00C37889">
              <w:rPr>
                <w:rFonts w:cs="Arial"/>
                <w:sz w:val="20"/>
                <w:szCs w:val="20"/>
              </w:rPr>
              <w:t>DO NOT place bait stations more than 2 meters from buildings.</w:t>
            </w:r>
          </w:p>
          <w:p w14:paraId="70BF836E" w14:textId="77777777" w:rsidR="008E67EA" w:rsidRPr="00C37889" w:rsidRDefault="008E67EA" w:rsidP="00B44A74">
            <w:pPr>
              <w:spacing w:line="280" w:lineRule="exact"/>
              <w:rPr>
                <w:rFonts w:cs="Arial"/>
                <w:sz w:val="20"/>
                <w:szCs w:val="20"/>
              </w:rPr>
            </w:pPr>
            <w:r w:rsidRPr="00C37889">
              <w:rPr>
                <w:rFonts w:cs="Arial"/>
                <w:sz w:val="20"/>
                <w:szCs w:val="20"/>
              </w:rPr>
              <w:t>DO NOT place bait stations outdoors around buildings for control of mice.</w:t>
            </w:r>
          </w:p>
          <w:p w14:paraId="7E2206CC" w14:textId="77777777" w:rsidR="008E67EA" w:rsidRPr="00C37889" w:rsidRDefault="008E67EA" w:rsidP="00B44A74">
            <w:pPr>
              <w:spacing w:line="280" w:lineRule="exact"/>
              <w:rPr>
                <w:rFonts w:cs="Arial"/>
                <w:sz w:val="20"/>
                <w:szCs w:val="20"/>
              </w:rPr>
            </w:pPr>
            <w:r w:rsidRPr="00C37889">
              <w:rPr>
                <w:rFonts w:cs="Arial"/>
                <w:sz w:val="20"/>
                <w:szCs w:val="20"/>
              </w:rPr>
              <w:t>DO NOT bait in areas where wildlife may be collected for human consumption.</w:t>
            </w:r>
          </w:p>
          <w:p w14:paraId="7A6BB96A" w14:textId="77777777" w:rsidR="008E67EA" w:rsidRPr="00C37889" w:rsidRDefault="008E67EA" w:rsidP="00B44A74">
            <w:pPr>
              <w:spacing w:line="280" w:lineRule="exact"/>
              <w:rPr>
                <w:rFonts w:cs="Arial"/>
                <w:sz w:val="20"/>
                <w:szCs w:val="20"/>
              </w:rPr>
            </w:pPr>
            <w:r w:rsidRPr="00C37889">
              <w:rPr>
                <w:rFonts w:cs="Arial"/>
                <w:sz w:val="20"/>
                <w:szCs w:val="20"/>
              </w:rPr>
              <w:t>DO NOT place in animal or livestock housing unless used in tamper-resistant and weather</w:t>
            </w:r>
            <w:r>
              <w:rPr>
                <w:rFonts w:cs="Arial"/>
                <w:sz w:val="20"/>
                <w:szCs w:val="20"/>
              </w:rPr>
              <w:t>-</w:t>
            </w:r>
            <w:r w:rsidRPr="00C37889">
              <w:rPr>
                <w:rFonts w:cs="Arial"/>
                <w:sz w:val="20"/>
                <w:szCs w:val="20"/>
              </w:rPr>
              <w:t>resistant bait stations fixed to the ground or other structures.</w:t>
            </w:r>
          </w:p>
          <w:p w14:paraId="11B51AB6" w14:textId="77777777" w:rsidR="008E67EA" w:rsidRPr="00C37889" w:rsidRDefault="008E67EA" w:rsidP="00B44A74">
            <w:pPr>
              <w:spacing w:line="280" w:lineRule="exact"/>
              <w:rPr>
                <w:rFonts w:cs="Arial"/>
                <w:sz w:val="20"/>
                <w:szCs w:val="20"/>
              </w:rPr>
            </w:pPr>
            <w:r w:rsidRPr="00C37889">
              <w:rPr>
                <w:rFonts w:cs="Arial"/>
                <w:sz w:val="20"/>
                <w:szCs w:val="20"/>
              </w:rPr>
              <w:t>DO NOT place bait or bait stations above areas which would allow them to contaminate pig and poultry food or drinking water.</w:t>
            </w:r>
          </w:p>
          <w:p w14:paraId="6BCE6DB0" w14:textId="77777777" w:rsidR="008E67EA" w:rsidRPr="00C37889" w:rsidRDefault="008E67EA" w:rsidP="00B44A74">
            <w:pPr>
              <w:spacing w:line="280" w:lineRule="exact"/>
              <w:rPr>
                <w:rFonts w:cs="Arial"/>
                <w:sz w:val="20"/>
                <w:szCs w:val="20"/>
              </w:rPr>
            </w:pPr>
            <w:r w:rsidRPr="00C37889">
              <w:rPr>
                <w:rFonts w:cs="Arial"/>
                <w:sz w:val="20"/>
                <w:szCs w:val="20"/>
              </w:rPr>
              <w:t>DO NOT apply this product directly into burrows.</w:t>
            </w:r>
          </w:p>
        </w:tc>
      </w:tr>
      <w:tr w:rsidR="008E67EA" w:rsidRPr="002B5B5B" w14:paraId="4648AFE8" w14:textId="77777777" w:rsidTr="00B44A74">
        <w:trPr>
          <w:jc w:val="center"/>
        </w:trPr>
        <w:tc>
          <w:tcPr>
            <w:tcW w:w="2415" w:type="dxa"/>
            <w:tcBorders>
              <w:top w:val="single" w:sz="4" w:space="0" w:color="auto"/>
              <w:left w:val="nil"/>
              <w:bottom w:val="single" w:sz="4" w:space="0" w:color="auto"/>
              <w:right w:val="nil"/>
            </w:tcBorders>
          </w:tcPr>
          <w:p w14:paraId="2E71D44F" w14:textId="77777777" w:rsidR="008E67EA" w:rsidRPr="00C37889"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FEA9AFC" w14:textId="77777777" w:rsidR="008E67EA" w:rsidRPr="00C37889" w:rsidRDefault="008E67EA" w:rsidP="00B44A74">
            <w:pPr>
              <w:spacing w:line="280" w:lineRule="exact"/>
              <w:rPr>
                <w:rFonts w:cs="Arial"/>
                <w:sz w:val="20"/>
                <w:szCs w:val="20"/>
              </w:rPr>
            </w:pPr>
          </w:p>
        </w:tc>
      </w:tr>
      <w:tr w:rsidR="008E67EA" w:rsidRPr="002B5B5B" w14:paraId="4F96589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D912282" w14:textId="77777777" w:rsidR="008E67EA" w:rsidRPr="00C37889" w:rsidRDefault="008E67EA" w:rsidP="00B44A74">
            <w:pPr>
              <w:spacing w:line="280" w:lineRule="exact"/>
              <w:rPr>
                <w:rFonts w:cs="Arial"/>
                <w:sz w:val="20"/>
                <w:szCs w:val="20"/>
              </w:rPr>
            </w:pPr>
            <w:r w:rsidRPr="00C37889">
              <w:rPr>
                <w:rFonts w:cs="Arial"/>
                <w:sz w:val="20"/>
                <w:szCs w:val="20"/>
              </w:rPr>
              <w:t>Directions for Use:</w:t>
            </w:r>
          </w:p>
        </w:tc>
        <w:tc>
          <w:tcPr>
            <w:tcW w:w="7755" w:type="dxa"/>
            <w:tcBorders>
              <w:top w:val="single" w:sz="4" w:space="0" w:color="auto"/>
              <w:left w:val="single" w:sz="4" w:space="0" w:color="auto"/>
              <w:bottom w:val="single" w:sz="4" w:space="0" w:color="auto"/>
              <w:right w:val="single" w:sz="4" w:space="0" w:color="auto"/>
            </w:tcBorders>
          </w:tcPr>
          <w:p w14:paraId="73E5BD26" w14:textId="77777777" w:rsidR="008E67EA" w:rsidRPr="00C37889" w:rsidRDefault="008E67EA" w:rsidP="00B44A74">
            <w:pPr>
              <w:spacing w:line="280" w:lineRule="exact"/>
              <w:rPr>
                <w:rFonts w:cs="Arial"/>
                <w:sz w:val="20"/>
                <w:szCs w:val="20"/>
              </w:rPr>
            </w:pPr>
            <w:r w:rsidRPr="00B832BB">
              <w:rPr>
                <w:rFonts w:cs="Arial"/>
                <w:sz w:val="20"/>
                <w:szCs w:val="20"/>
              </w:rPr>
              <w:t>[This section contains an attachment below]</w:t>
            </w:r>
          </w:p>
        </w:tc>
      </w:tr>
      <w:tr w:rsidR="008E67EA" w:rsidRPr="002B5B5B" w14:paraId="7A98F60A" w14:textId="77777777" w:rsidTr="00B44A74">
        <w:trPr>
          <w:jc w:val="center"/>
        </w:trPr>
        <w:tc>
          <w:tcPr>
            <w:tcW w:w="2415" w:type="dxa"/>
            <w:tcBorders>
              <w:top w:val="single" w:sz="4" w:space="0" w:color="auto"/>
              <w:left w:val="nil"/>
              <w:bottom w:val="single" w:sz="4" w:space="0" w:color="auto"/>
              <w:right w:val="nil"/>
            </w:tcBorders>
          </w:tcPr>
          <w:p w14:paraId="55D2319C" w14:textId="77777777" w:rsidR="008E67EA" w:rsidRPr="00C37889"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BC61ECF" w14:textId="77777777" w:rsidR="008E67EA" w:rsidRPr="00C37889" w:rsidRDefault="008E67EA" w:rsidP="00B44A74">
            <w:pPr>
              <w:spacing w:line="280" w:lineRule="exact"/>
              <w:rPr>
                <w:rFonts w:cs="Arial"/>
                <w:sz w:val="20"/>
                <w:szCs w:val="20"/>
              </w:rPr>
            </w:pPr>
          </w:p>
        </w:tc>
      </w:tr>
      <w:tr w:rsidR="008E67EA" w:rsidRPr="002B5B5B" w14:paraId="4F95132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923CDCD" w14:textId="77777777" w:rsidR="008E67EA" w:rsidRPr="00731415" w:rsidRDefault="008E67EA" w:rsidP="00B44A74">
            <w:pPr>
              <w:spacing w:line="280" w:lineRule="exact"/>
              <w:rPr>
                <w:rFonts w:cs="Arial"/>
                <w:sz w:val="20"/>
                <w:szCs w:val="20"/>
              </w:rPr>
            </w:pPr>
            <w:r w:rsidRPr="00731415">
              <w:rPr>
                <w:rFonts w:cs="Arial"/>
                <w:sz w:val="20"/>
                <w:szCs w:val="20"/>
              </w:rPr>
              <w:t>Other Limitations:</w:t>
            </w:r>
          </w:p>
        </w:tc>
        <w:tc>
          <w:tcPr>
            <w:tcW w:w="7755" w:type="dxa"/>
            <w:tcBorders>
              <w:top w:val="single" w:sz="4" w:space="0" w:color="auto"/>
              <w:left w:val="single" w:sz="4" w:space="0" w:color="auto"/>
              <w:bottom w:val="single" w:sz="4" w:space="0" w:color="auto"/>
              <w:right w:val="single" w:sz="4" w:space="0" w:color="auto"/>
            </w:tcBorders>
          </w:tcPr>
          <w:p w14:paraId="4D9B082A" w14:textId="532CA0E0" w:rsidR="008E67EA" w:rsidRPr="00731415" w:rsidRDefault="008E67EA" w:rsidP="00B44A74">
            <w:pPr>
              <w:spacing w:line="280" w:lineRule="exact"/>
              <w:rPr>
                <w:rFonts w:cs="Arial"/>
                <w:sz w:val="20"/>
                <w:szCs w:val="20"/>
              </w:rPr>
            </w:pPr>
          </w:p>
        </w:tc>
      </w:tr>
      <w:tr w:rsidR="008E67EA" w:rsidRPr="002B5B5B" w14:paraId="59126583" w14:textId="77777777" w:rsidTr="00B44A74">
        <w:trPr>
          <w:jc w:val="center"/>
        </w:trPr>
        <w:tc>
          <w:tcPr>
            <w:tcW w:w="2415" w:type="dxa"/>
            <w:tcBorders>
              <w:top w:val="single" w:sz="4" w:space="0" w:color="auto"/>
              <w:left w:val="nil"/>
              <w:bottom w:val="single" w:sz="4" w:space="0" w:color="auto"/>
              <w:right w:val="nil"/>
            </w:tcBorders>
          </w:tcPr>
          <w:p w14:paraId="250D1F48" w14:textId="77777777" w:rsidR="008E67EA" w:rsidRPr="0073141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375CBA7" w14:textId="77777777" w:rsidR="008E67EA" w:rsidRPr="00731415" w:rsidRDefault="008E67EA" w:rsidP="00B44A74">
            <w:pPr>
              <w:spacing w:line="280" w:lineRule="exact"/>
              <w:rPr>
                <w:rFonts w:cs="Arial"/>
                <w:sz w:val="20"/>
                <w:szCs w:val="20"/>
              </w:rPr>
            </w:pPr>
          </w:p>
        </w:tc>
      </w:tr>
      <w:tr w:rsidR="008E67EA" w:rsidRPr="002B5B5B" w14:paraId="37936C3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1CD33FF" w14:textId="77777777" w:rsidR="008E67EA" w:rsidRPr="00C37889" w:rsidRDefault="008E67EA" w:rsidP="00B44A74">
            <w:pPr>
              <w:spacing w:line="280" w:lineRule="exact"/>
              <w:rPr>
                <w:rFonts w:cs="Arial"/>
                <w:sz w:val="20"/>
                <w:szCs w:val="20"/>
              </w:rPr>
            </w:pPr>
            <w:r w:rsidRPr="00C37889">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28509C93" w14:textId="77777777" w:rsidR="008E67EA" w:rsidRPr="00C37889" w:rsidRDefault="008E67EA" w:rsidP="00B44A74">
            <w:pPr>
              <w:spacing w:line="280" w:lineRule="exact"/>
              <w:rPr>
                <w:rFonts w:cs="Arial"/>
                <w:sz w:val="20"/>
                <w:szCs w:val="20"/>
              </w:rPr>
            </w:pPr>
          </w:p>
        </w:tc>
      </w:tr>
      <w:tr w:rsidR="008E67EA" w:rsidRPr="002B5B5B" w14:paraId="560B4464" w14:textId="77777777" w:rsidTr="00B44A74">
        <w:trPr>
          <w:jc w:val="center"/>
        </w:trPr>
        <w:tc>
          <w:tcPr>
            <w:tcW w:w="2415" w:type="dxa"/>
            <w:tcBorders>
              <w:top w:val="single" w:sz="4" w:space="0" w:color="auto"/>
              <w:left w:val="nil"/>
              <w:bottom w:val="single" w:sz="4" w:space="0" w:color="auto"/>
              <w:right w:val="nil"/>
            </w:tcBorders>
          </w:tcPr>
          <w:p w14:paraId="2DAAAE3B" w14:textId="77777777" w:rsidR="008E67EA" w:rsidRPr="00C37889"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7EACEC6" w14:textId="77777777" w:rsidR="008E67EA" w:rsidRPr="00C37889" w:rsidRDefault="008E67EA" w:rsidP="00B44A74">
            <w:pPr>
              <w:spacing w:line="280" w:lineRule="exact"/>
              <w:rPr>
                <w:rFonts w:cs="Arial"/>
                <w:sz w:val="20"/>
                <w:szCs w:val="20"/>
              </w:rPr>
            </w:pPr>
          </w:p>
        </w:tc>
      </w:tr>
      <w:tr w:rsidR="008E67EA" w:rsidRPr="002B5B5B" w14:paraId="3E752F2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94B8E97" w14:textId="77777777" w:rsidR="008E67EA" w:rsidRPr="00C37889" w:rsidRDefault="008E67EA" w:rsidP="00B44A74">
            <w:pPr>
              <w:spacing w:line="280" w:lineRule="exact"/>
              <w:rPr>
                <w:rFonts w:cs="Arial"/>
                <w:sz w:val="20"/>
                <w:szCs w:val="20"/>
              </w:rPr>
            </w:pPr>
            <w:r w:rsidRPr="00C37889">
              <w:rPr>
                <w:rFonts w:cs="Arial"/>
                <w:sz w:val="20"/>
                <w:szCs w:val="20"/>
              </w:rPr>
              <w:t>Trade Advice:</w:t>
            </w:r>
          </w:p>
        </w:tc>
        <w:tc>
          <w:tcPr>
            <w:tcW w:w="7755" w:type="dxa"/>
            <w:tcBorders>
              <w:top w:val="single" w:sz="4" w:space="0" w:color="auto"/>
              <w:left w:val="single" w:sz="4" w:space="0" w:color="auto"/>
              <w:bottom w:val="single" w:sz="4" w:space="0" w:color="auto"/>
              <w:right w:val="single" w:sz="4" w:space="0" w:color="auto"/>
            </w:tcBorders>
          </w:tcPr>
          <w:p w14:paraId="32A9FDAA" w14:textId="77777777" w:rsidR="008E67EA" w:rsidRPr="00C37889" w:rsidRDefault="008E67EA" w:rsidP="00B44A74">
            <w:pPr>
              <w:spacing w:line="280" w:lineRule="exact"/>
              <w:rPr>
                <w:rFonts w:cs="Arial"/>
                <w:sz w:val="20"/>
                <w:szCs w:val="20"/>
              </w:rPr>
            </w:pPr>
          </w:p>
        </w:tc>
      </w:tr>
      <w:tr w:rsidR="008E67EA" w:rsidRPr="002B5B5B" w14:paraId="758DDE4A" w14:textId="77777777" w:rsidTr="00B44A74">
        <w:trPr>
          <w:jc w:val="center"/>
        </w:trPr>
        <w:tc>
          <w:tcPr>
            <w:tcW w:w="2415" w:type="dxa"/>
            <w:tcBorders>
              <w:top w:val="single" w:sz="4" w:space="0" w:color="auto"/>
              <w:left w:val="nil"/>
              <w:bottom w:val="single" w:sz="4" w:space="0" w:color="auto"/>
              <w:right w:val="nil"/>
            </w:tcBorders>
          </w:tcPr>
          <w:p w14:paraId="30A00268" w14:textId="77777777" w:rsidR="008E67EA" w:rsidRPr="00C37889"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5890B94" w14:textId="77777777" w:rsidR="008E67EA" w:rsidRPr="00C37889" w:rsidRDefault="008E67EA" w:rsidP="00B44A74">
            <w:pPr>
              <w:spacing w:line="280" w:lineRule="exact"/>
              <w:rPr>
                <w:rFonts w:cs="Arial"/>
                <w:sz w:val="20"/>
                <w:szCs w:val="20"/>
              </w:rPr>
            </w:pPr>
          </w:p>
        </w:tc>
      </w:tr>
      <w:tr w:rsidR="008E67EA" w:rsidRPr="002B5B5B" w14:paraId="5E7CE78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E95BF8E" w14:textId="77777777" w:rsidR="008E67EA" w:rsidRPr="00C37889" w:rsidRDefault="008E67EA" w:rsidP="00B44A74">
            <w:pPr>
              <w:spacing w:line="280" w:lineRule="exact"/>
              <w:rPr>
                <w:rFonts w:cs="Arial"/>
                <w:sz w:val="20"/>
                <w:szCs w:val="20"/>
              </w:rPr>
            </w:pPr>
            <w:r w:rsidRPr="00C37889">
              <w:rPr>
                <w:rFonts w:cs="Arial"/>
                <w:sz w:val="20"/>
                <w:szCs w:val="20"/>
              </w:rPr>
              <w:t>General Directions:</w:t>
            </w:r>
          </w:p>
        </w:tc>
        <w:tc>
          <w:tcPr>
            <w:tcW w:w="7755" w:type="dxa"/>
            <w:tcBorders>
              <w:top w:val="single" w:sz="4" w:space="0" w:color="auto"/>
              <w:left w:val="single" w:sz="4" w:space="0" w:color="auto"/>
              <w:bottom w:val="single" w:sz="4" w:space="0" w:color="auto"/>
              <w:right w:val="single" w:sz="4" w:space="0" w:color="auto"/>
            </w:tcBorders>
          </w:tcPr>
          <w:p w14:paraId="31E2A266" w14:textId="77777777" w:rsidR="008E67EA" w:rsidRPr="00C37889" w:rsidRDefault="008E67EA" w:rsidP="00B44A74">
            <w:pPr>
              <w:spacing w:line="280" w:lineRule="exact"/>
              <w:rPr>
                <w:rFonts w:cs="Arial"/>
                <w:color w:val="7030A0"/>
                <w:sz w:val="20"/>
                <w:szCs w:val="20"/>
              </w:rPr>
            </w:pPr>
          </w:p>
        </w:tc>
      </w:tr>
      <w:tr w:rsidR="008E67EA" w:rsidRPr="002B5B5B" w14:paraId="54FACA49" w14:textId="77777777" w:rsidTr="00B44A74">
        <w:trPr>
          <w:jc w:val="center"/>
        </w:trPr>
        <w:tc>
          <w:tcPr>
            <w:tcW w:w="2415" w:type="dxa"/>
            <w:tcBorders>
              <w:top w:val="single" w:sz="4" w:space="0" w:color="auto"/>
              <w:left w:val="nil"/>
              <w:bottom w:val="single" w:sz="4" w:space="0" w:color="auto"/>
              <w:right w:val="nil"/>
            </w:tcBorders>
          </w:tcPr>
          <w:p w14:paraId="78CB73B8" w14:textId="77777777" w:rsidR="008E67EA" w:rsidRPr="00C37889"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0234AD6" w14:textId="77777777" w:rsidR="008E67EA" w:rsidRPr="00C37889" w:rsidRDefault="008E67EA" w:rsidP="00B44A74">
            <w:pPr>
              <w:spacing w:line="280" w:lineRule="exact"/>
              <w:rPr>
                <w:rFonts w:cs="Arial"/>
                <w:color w:val="7030A0"/>
                <w:sz w:val="20"/>
                <w:szCs w:val="20"/>
              </w:rPr>
            </w:pPr>
          </w:p>
        </w:tc>
      </w:tr>
      <w:tr w:rsidR="008E67EA" w:rsidRPr="002B5B5B" w14:paraId="4C60DE9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42F247E" w14:textId="77777777" w:rsidR="008E67EA" w:rsidRPr="00731415" w:rsidRDefault="008E67EA" w:rsidP="00B44A74">
            <w:pPr>
              <w:spacing w:line="280" w:lineRule="exact"/>
              <w:rPr>
                <w:rFonts w:cs="Arial"/>
                <w:sz w:val="20"/>
                <w:szCs w:val="20"/>
              </w:rPr>
            </w:pPr>
            <w:r w:rsidRPr="00731415">
              <w:rPr>
                <w:rFonts w:cs="Arial"/>
                <w:sz w:val="20"/>
                <w:szCs w:val="20"/>
              </w:rPr>
              <w:lastRenderedPageBreak/>
              <w:t>Resistance Warning:</w:t>
            </w:r>
          </w:p>
        </w:tc>
        <w:tc>
          <w:tcPr>
            <w:tcW w:w="7755" w:type="dxa"/>
            <w:tcBorders>
              <w:top w:val="single" w:sz="4" w:space="0" w:color="auto"/>
              <w:left w:val="single" w:sz="4" w:space="0" w:color="auto"/>
              <w:bottom w:val="single" w:sz="4" w:space="0" w:color="auto"/>
              <w:right w:val="single" w:sz="4" w:space="0" w:color="auto"/>
            </w:tcBorders>
          </w:tcPr>
          <w:p w14:paraId="0F97C4AD" w14:textId="77777777" w:rsidR="008E67EA" w:rsidRPr="00731415" w:rsidRDefault="008E67EA" w:rsidP="00B44A74">
            <w:pPr>
              <w:spacing w:line="280" w:lineRule="exact"/>
              <w:rPr>
                <w:rFonts w:cs="Arial"/>
                <w:sz w:val="20"/>
                <w:szCs w:val="20"/>
              </w:rPr>
            </w:pPr>
          </w:p>
        </w:tc>
      </w:tr>
      <w:tr w:rsidR="008E67EA" w:rsidRPr="002B5B5B" w14:paraId="22322501" w14:textId="77777777" w:rsidTr="00B44A74">
        <w:trPr>
          <w:jc w:val="center"/>
        </w:trPr>
        <w:tc>
          <w:tcPr>
            <w:tcW w:w="2415" w:type="dxa"/>
            <w:tcBorders>
              <w:top w:val="single" w:sz="4" w:space="0" w:color="auto"/>
              <w:left w:val="nil"/>
              <w:bottom w:val="single" w:sz="4" w:space="0" w:color="auto"/>
              <w:right w:val="nil"/>
            </w:tcBorders>
          </w:tcPr>
          <w:p w14:paraId="3B48141B" w14:textId="77777777" w:rsidR="008E67EA" w:rsidRPr="0073141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7383410" w14:textId="77777777" w:rsidR="008E67EA" w:rsidRPr="00731415" w:rsidRDefault="008E67EA" w:rsidP="00B44A74">
            <w:pPr>
              <w:spacing w:line="280" w:lineRule="exact"/>
              <w:rPr>
                <w:rFonts w:cs="Arial"/>
                <w:sz w:val="20"/>
                <w:szCs w:val="20"/>
              </w:rPr>
            </w:pPr>
          </w:p>
        </w:tc>
      </w:tr>
      <w:tr w:rsidR="008E67EA" w:rsidRPr="002B5B5B" w14:paraId="7FEEB8D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8C24D02" w14:textId="77777777" w:rsidR="008E67EA" w:rsidRPr="00C37889" w:rsidRDefault="008E67EA" w:rsidP="00B44A74">
            <w:pPr>
              <w:spacing w:line="280" w:lineRule="exact"/>
              <w:rPr>
                <w:rFonts w:cs="Arial"/>
                <w:sz w:val="20"/>
                <w:szCs w:val="20"/>
              </w:rPr>
            </w:pPr>
            <w:r w:rsidRPr="00C37889">
              <w:rPr>
                <w:rFonts w:cs="Arial"/>
                <w:sz w:val="20"/>
                <w:szCs w:val="20"/>
              </w:rPr>
              <w:t>Precautions:</w:t>
            </w:r>
          </w:p>
        </w:tc>
        <w:tc>
          <w:tcPr>
            <w:tcW w:w="7755" w:type="dxa"/>
            <w:tcBorders>
              <w:top w:val="single" w:sz="4" w:space="0" w:color="auto"/>
              <w:left w:val="single" w:sz="4" w:space="0" w:color="auto"/>
              <w:bottom w:val="single" w:sz="4" w:space="0" w:color="auto"/>
              <w:right w:val="single" w:sz="4" w:space="0" w:color="auto"/>
            </w:tcBorders>
          </w:tcPr>
          <w:p w14:paraId="51114807" w14:textId="77777777" w:rsidR="008E67EA" w:rsidRPr="00C37889" w:rsidRDefault="008E67EA" w:rsidP="00B44A74">
            <w:pPr>
              <w:spacing w:line="280" w:lineRule="exact"/>
              <w:rPr>
                <w:rFonts w:cs="Arial"/>
                <w:sz w:val="20"/>
                <w:szCs w:val="20"/>
              </w:rPr>
            </w:pPr>
            <w:r w:rsidRPr="00C37889">
              <w:rPr>
                <w:rFonts w:cs="Arial"/>
                <w:sz w:val="20"/>
                <w:szCs w:val="20"/>
              </w:rPr>
              <w:t>PRECAUTIONS</w:t>
            </w:r>
          </w:p>
          <w:p w14:paraId="1F050997" w14:textId="77777777" w:rsidR="008E67EA" w:rsidRPr="00C37889" w:rsidRDefault="008E67EA" w:rsidP="00B44A74">
            <w:pPr>
              <w:spacing w:line="280" w:lineRule="exact"/>
              <w:rPr>
                <w:rFonts w:cs="Arial"/>
                <w:sz w:val="20"/>
                <w:szCs w:val="20"/>
              </w:rPr>
            </w:pPr>
            <w:r w:rsidRPr="00C37889">
              <w:rPr>
                <w:rFonts w:cs="Arial"/>
                <w:sz w:val="20"/>
                <w:szCs w:val="20"/>
              </w:rPr>
              <w:t>Caution should be used when baiting near areas where hunting of wildlife may occur. Careful consideration of bait placement is necessary to avoid secondary exposure from contaminated wildlife that may be consumed.</w:t>
            </w:r>
          </w:p>
          <w:p w14:paraId="1F4D9F8D" w14:textId="77777777" w:rsidR="008E67EA" w:rsidRPr="00C37889" w:rsidRDefault="008E67EA" w:rsidP="00B44A74">
            <w:pPr>
              <w:spacing w:line="280" w:lineRule="exact"/>
              <w:rPr>
                <w:rFonts w:cs="Arial"/>
                <w:color w:val="7030A0"/>
                <w:sz w:val="20"/>
                <w:szCs w:val="20"/>
                <w:highlight w:val="yellow"/>
              </w:rPr>
            </w:pPr>
            <w:r w:rsidRPr="00C37889">
              <w:rPr>
                <w:rFonts w:cs="Arial"/>
                <w:sz w:val="20"/>
                <w:szCs w:val="20"/>
              </w:rPr>
              <w:t>DO NOT place bait in areas where there is a possibility of contaminating food, livestock feed or surfaces that come in direct contact with food or livestock feed.</w:t>
            </w:r>
          </w:p>
        </w:tc>
      </w:tr>
      <w:tr w:rsidR="008E67EA" w:rsidRPr="002B5B5B" w14:paraId="5AA583B8" w14:textId="77777777" w:rsidTr="00B44A74">
        <w:trPr>
          <w:jc w:val="center"/>
        </w:trPr>
        <w:tc>
          <w:tcPr>
            <w:tcW w:w="2415" w:type="dxa"/>
            <w:tcBorders>
              <w:top w:val="single" w:sz="4" w:space="0" w:color="auto"/>
              <w:left w:val="nil"/>
              <w:bottom w:val="single" w:sz="4" w:space="0" w:color="auto"/>
              <w:right w:val="nil"/>
            </w:tcBorders>
          </w:tcPr>
          <w:p w14:paraId="0435068B" w14:textId="77777777" w:rsidR="008E67EA" w:rsidRPr="0073141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148A318" w14:textId="77777777" w:rsidR="008E67EA" w:rsidRPr="00731415" w:rsidRDefault="008E67EA" w:rsidP="00B44A74">
            <w:pPr>
              <w:spacing w:line="280" w:lineRule="exact"/>
              <w:rPr>
                <w:rFonts w:cs="Arial"/>
                <w:sz w:val="20"/>
                <w:szCs w:val="20"/>
              </w:rPr>
            </w:pPr>
          </w:p>
        </w:tc>
      </w:tr>
      <w:tr w:rsidR="008E67EA" w:rsidRPr="002B5B5B" w14:paraId="3AB270B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ABB05EF" w14:textId="77777777" w:rsidR="008E67EA" w:rsidRPr="00731415" w:rsidRDefault="008E67EA" w:rsidP="00B44A74">
            <w:pPr>
              <w:spacing w:line="280" w:lineRule="exact"/>
              <w:rPr>
                <w:rFonts w:cs="Arial"/>
                <w:sz w:val="20"/>
                <w:szCs w:val="20"/>
              </w:rPr>
            </w:pPr>
            <w:r w:rsidRPr="00731415">
              <w:rPr>
                <w:rFonts w:cs="Arial"/>
                <w:sz w:val="20"/>
                <w:szCs w:val="20"/>
              </w:rPr>
              <w:t>Protection Statements:</w:t>
            </w:r>
          </w:p>
        </w:tc>
        <w:tc>
          <w:tcPr>
            <w:tcW w:w="7755" w:type="dxa"/>
            <w:tcBorders>
              <w:top w:val="single" w:sz="4" w:space="0" w:color="auto"/>
              <w:left w:val="single" w:sz="4" w:space="0" w:color="auto"/>
              <w:bottom w:val="single" w:sz="4" w:space="0" w:color="auto"/>
              <w:right w:val="single" w:sz="4" w:space="0" w:color="auto"/>
            </w:tcBorders>
          </w:tcPr>
          <w:p w14:paraId="13DF69D5" w14:textId="77777777" w:rsidR="008E67EA" w:rsidRPr="00731415" w:rsidRDefault="008E67EA" w:rsidP="00B44A74">
            <w:pPr>
              <w:spacing w:line="280" w:lineRule="exact"/>
              <w:rPr>
                <w:rFonts w:cs="Arial"/>
                <w:sz w:val="20"/>
                <w:szCs w:val="20"/>
              </w:rPr>
            </w:pPr>
            <w:r w:rsidRPr="00731415">
              <w:rPr>
                <w:rFonts w:cs="Arial"/>
                <w:sz w:val="20"/>
                <w:szCs w:val="20"/>
              </w:rPr>
              <w:t>PROTECTION OF LIVESTOCK AND WILDLIFE</w:t>
            </w:r>
          </w:p>
          <w:p w14:paraId="7CEBD935" w14:textId="77777777" w:rsidR="008E67EA" w:rsidRPr="00731415" w:rsidRDefault="008E67EA" w:rsidP="00B44A74">
            <w:pPr>
              <w:spacing w:line="280" w:lineRule="exact"/>
              <w:rPr>
                <w:rFonts w:cs="Arial"/>
                <w:sz w:val="20"/>
                <w:szCs w:val="20"/>
              </w:rPr>
            </w:pPr>
            <w:r w:rsidRPr="00731415">
              <w:rPr>
                <w:rFonts w:cs="Arial"/>
                <w:sz w:val="20"/>
                <w:szCs w:val="20"/>
              </w:rPr>
              <w:t>Hazardous to livestock, poultry and wildlife. DO NOT place baits in locations that are accessible to domestic animals, livestock, non-target native animals or birds.</w:t>
            </w:r>
          </w:p>
          <w:p w14:paraId="7EF8B55E" w14:textId="7224A117" w:rsidR="008E67EA" w:rsidRPr="00731415" w:rsidRDefault="008E67EA" w:rsidP="00B44A74">
            <w:pPr>
              <w:spacing w:line="280" w:lineRule="exact"/>
              <w:rPr>
                <w:rFonts w:cs="Arial"/>
                <w:sz w:val="20"/>
                <w:szCs w:val="20"/>
              </w:rPr>
            </w:pPr>
            <w:r w:rsidRPr="00731415">
              <w:rPr>
                <w:rFonts w:cs="Arial"/>
                <w:sz w:val="20"/>
                <w:szCs w:val="20"/>
              </w:rPr>
              <w:t>Search for and dispose of dead rodents and slugs/snails in the infested area at each visit to prevent secondary poisoning. In case slugs/snails are present, move bait station to another location within the rodent infested site, away from slugs/snails. Dispose of slugs/snails in a way non-target animals are not exposed. Dispose of dead rodents and uneaten bait in compliance with local, state or territory government regulations.</w:t>
            </w:r>
          </w:p>
          <w:p w14:paraId="2652E5BD" w14:textId="77777777" w:rsidR="008E67EA" w:rsidRPr="00731415" w:rsidRDefault="008E67EA" w:rsidP="00B44A74">
            <w:pPr>
              <w:spacing w:line="280" w:lineRule="exact"/>
              <w:rPr>
                <w:rFonts w:cs="Arial"/>
                <w:sz w:val="20"/>
                <w:szCs w:val="20"/>
              </w:rPr>
            </w:pPr>
            <w:r w:rsidRPr="00731415">
              <w:rPr>
                <w:rFonts w:cs="Arial"/>
                <w:sz w:val="20"/>
                <w:szCs w:val="20"/>
              </w:rPr>
              <w:t>DO NOT allow livestock or poultry to consume dead or moribund mice and rats. All dead or moribund animals and rodent faeces from baited rodents MUST be removed from areas accessible to livestock or poultry.</w:t>
            </w:r>
          </w:p>
          <w:p w14:paraId="5544509C" w14:textId="77777777" w:rsidR="008E67EA" w:rsidRPr="00731415" w:rsidRDefault="008E67EA" w:rsidP="00B44A74">
            <w:pPr>
              <w:spacing w:line="280" w:lineRule="exact"/>
              <w:rPr>
                <w:rFonts w:cs="Arial"/>
                <w:sz w:val="20"/>
                <w:szCs w:val="20"/>
              </w:rPr>
            </w:pPr>
            <w:r w:rsidRPr="00731415">
              <w:rPr>
                <w:rFonts w:cs="Arial"/>
                <w:sz w:val="20"/>
                <w:szCs w:val="20"/>
              </w:rPr>
              <w:t>The use of this product for the control of protected native rodents and rodent like animals requires permission from wildlife authorities.</w:t>
            </w:r>
          </w:p>
          <w:p w14:paraId="38D55F6B" w14:textId="77777777" w:rsidR="008E67EA" w:rsidRPr="00731415" w:rsidRDefault="008E67EA" w:rsidP="00B44A74">
            <w:pPr>
              <w:spacing w:line="280" w:lineRule="exact"/>
              <w:rPr>
                <w:rFonts w:cs="Arial"/>
                <w:sz w:val="20"/>
                <w:szCs w:val="20"/>
              </w:rPr>
            </w:pPr>
          </w:p>
          <w:p w14:paraId="6CBA512D" w14:textId="77777777" w:rsidR="008E67EA" w:rsidRPr="00731415" w:rsidRDefault="008E67EA" w:rsidP="00B44A74">
            <w:pPr>
              <w:spacing w:line="280" w:lineRule="exact"/>
              <w:rPr>
                <w:rFonts w:cs="Arial"/>
                <w:sz w:val="20"/>
                <w:szCs w:val="20"/>
              </w:rPr>
            </w:pPr>
            <w:r w:rsidRPr="00731415">
              <w:rPr>
                <w:rFonts w:cs="Arial"/>
                <w:sz w:val="20"/>
                <w:szCs w:val="20"/>
              </w:rPr>
              <w:t>PROTECTION OF FISH, CRUSTACEANS AND ENVIRONMENT</w:t>
            </w:r>
          </w:p>
          <w:p w14:paraId="42C92C39" w14:textId="77777777" w:rsidR="008E67EA" w:rsidRPr="00731415" w:rsidRDefault="008E67EA" w:rsidP="00B44A74">
            <w:pPr>
              <w:spacing w:line="280" w:lineRule="exact"/>
              <w:rPr>
                <w:rFonts w:cs="Arial"/>
                <w:sz w:val="20"/>
                <w:szCs w:val="20"/>
              </w:rPr>
            </w:pPr>
            <w:r w:rsidRPr="00731415">
              <w:rPr>
                <w:rFonts w:cs="Arial"/>
                <w:sz w:val="20"/>
                <w:szCs w:val="20"/>
              </w:rPr>
              <w:t>Very toxic to aquatic life. DO NOT contaminate wetlands or watercourses with this product or used containers. Place the bait stations in areas not liable to flooding. When placing bait stations close to water drainage systems, ensure that bait contact with water is avoided.</w:t>
            </w:r>
          </w:p>
        </w:tc>
      </w:tr>
      <w:tr w:rsidR="008E67EA" w:rsidRPr="002B5B5B" w14:paraId="42DE2A22" w14:textId="77777777" w:rsidTr="00B44A74">
        <w:trPr>
          <w:jc w:val="center"/>
        </w:trPr>
        <w:tc>
          <w:tcPr>
            <w:tcW w:w="2415" w:type="dxa"/>
            <w:tcBorders>
              <w:top w:val="single" w:sz="4" w:space="0" w:color="auto"/>
              <w:left w:val="nil"/>
              <w:bottom w:val="single" w:sz="4" w:space="0" w:color="auto"/>
              <w:right w:val="nil"/>
            </w:tcBorders>
          </w:tcPr>
          <w:p w14:paraId="6A9B9098" w14:textId="77777777" w:rsidR="008E67EA" w:rsidRPr="0073141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D070F2D" w14:textId="77777777" w:rsidR="008E67EA" w:rsidRPr="00731415" w:rsidRDefault="008E67EA" w:rsidP="00B44A74">
            <w:pPr>
              <w:spacing w:line="280" w:lineRule="exact"/>
              <w:rPr>
                <w:rFonts w:cs="Arial"/>
                <w:sz w:val="20"/>
                <w:szCs w:val="20"/>
              </w:rPr>
            </w:pPr>
          </w:p>
        </w:tc>
      </w:tr>
      <w:tr w:rsidR="008E67EA" w:rsidRPr="002B5B5B" w14:paraId="6CC060A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0032CB2" w14:textId="77777777" w:rsidR="008E67EA" w:rsidRPr="00731415" w:rsidRDefault="008E67EA" w:rsidP="00B44A74">
            <w:pPr>
              <w:spacing w:line="280" w:lineRule="exact"/>
              <w:rPr>
                <w:rFonts w:cs="Arial"/>
                <w:sz w:val="20"/>
                <w:szCs w:val="20"/>
              </w:rPr>
            </w:pPr>
            <w:r w:rsidRPr="00731415">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74D69A67" w14:textId="1A8FAA22" w:rsidR="008E67EA" w:rsidRPr="00731415" w:rsidRDefault="008E67EA" w:rsidP="00B44A74">
            <w:pPr>
              <w:spacing w:line="280" w:lineRule="exact"/>
              <w:rPr>
                <w:rFonts w:cs="Arial"/>
                <w:sz w:val="20"/>
                <w:szCs w:val="20"/>
              </w:rPr>
            </w:pPr>
            <w:r w:rsidRPr="00731415">
              <w:rPr>
                <w:rFonts w:cs="Arial"/>
                <w:sz w:val="20"/>
                <w:szCs w:val="20"/>
              </w:rPr>
              <w:t>STORAGE AND DISPOSAL</w:t>
            </w:r>
          </w:p>
          <w:p w14:paraId="67EE5747" w14:textId="77777777" w:rsidR="008E67EA" w:rsidRPr="00731415" w:rsidRDefault="008E67EA" w:rsidP="00B44A74">
            <w:pPr>
              <w:spacing w:line="280" w:lineRule="exact"/>
              <w:rPr>
                <w:rFonts w:cs="Arial"/>
                <w:sz w:val="20"/>
                <w:szCs w:val="20"/>
              </w:rPr>
            </w:pPr>
            <w:r w:rsidRPr="00731415">
              <w:rPr>
                <w:rFonts w:cs="Arial"/>
                <w:sz w:val="20"/>
                <w:szCs w:val="20"/>
              </w:rPr>
              <w:t>Store in the closed, original container in a well-ventilated area, as cool as possible. DO NOT store for prolonged periods in direct sunlight.</w:t>
            </w:r>
          </w:p>
          <w:p w14:paraId="3D97345B" w14:textId="77777777" w:rsidR="008E67EA" w:rsidRPr="00731415" w:rsidRDefault="008E67EA" w:rsidP="00B44A74">
            <w:pPr>
              <w:spacing w:line="280" w:lineRule="exact"/>
              <w:rPr>
                <w:rFonts w:cs="Arial"/>
                <w:sz w:val="20"/>
                <w:szCs w:val="20"/>
              </w:rPr>
            </w:pPr>
            <w:r w:rsidRPr="00731415">
              <w:rPr>
                <w:rFonts w:cs="Arial"/>
                <w:sz w:val="20"/>
                <w:szCs w:val="20"/>
              </w:rPr>
              <w:t>Triple rinse containers before disposal. Break, crush or puncture and deliver empty packaging to an approved waste management facility. If an approved waste management facility is not available, dispose of empty packaging in compliance with relevant local, state or territory government regulations. Dispose of unused product in compliance with relevant local, state or territory government regulations. DO NOT burn empty containers or product.</w:t>
            </w:r>
          </w:p>
        </w:tc>
      </w:tr>
      <w:tr w:rsidR="008E67EA" w:rsidRPr="002B5B5B" w14:paraId="5D52BF5A" w14:textId="77777777" w:rsidTr="00B44A74">
        <w:trPr>
          <w:jc w:val="center"/>
        </w:trPr>
        <w:tc>
          <w:tcPr>
            <w:tcW w:w="2415" w:type="dxa"/>
            <w:tcBorders>
              <w:top w:val="single" w:sz="4" w:space="0" w:color="auto"/>
              <w:left w:val="nil"/>
              <w:bottom w:val="single" w:sz="4" w:space="0" w:color="auto"/>
              <w:right w:val="nil"/>
            </w:tcBorders>
          </w:tcPr>
          <w:p w14:paraId="2B49899E" w14:textId="77777777" w:rsidR="008E67EA" w:rsidRPr="00C37889"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F3131DD" w14:textId="77777777" w:rsidR="008E67EA" w:rsidRPr="00C37889" w:rsidRDefault="008E67EA" w:rsidP="00B44A74">
            <w:pPr>
              <w:spacing w:line="280" w:lineRule="exact"/>
              <w:rPr>
                <w:rFonts w:cs="Arial"/>
                <w:sz w:val="20"/>
                <w:szCs w:val="20"/>
              </w:rPr>
            </w:pPr>
          </w:p>
        </w:tc>
      </w:tr>
      <w:tr w:rsidR="008E67EA" w:rsidRPr="002B5B5B" w14:paraId="60BDD3D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A83D841" w14:textId="77777777" w:rsidR="008E67EA" w:rsidRPr="00C37889" w:rsidRDefault="008E67EA" w:rsidP="00B44A74">
            <w:pPr>
              <w:spacing w:line="280" w:lineRule="exact"/>
              <w:rPr>
                <w:rFonts w:cs="Arial"/>
                <w:sz w:val="20"/>
                <w:szCs w:val="20"/>
              </w:rPr>
            </w:pPr>
            <w:r w:rsidRPr="00C37889">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3F0C196B" w14:textId="77777777" w:rsidR="008E67EA" w:rsidRPr="00C37889" w:rsidRDefault="008E67EA" w:rsidP="00B44A74">
            <w:pPr>
              <w:spacing w:line="280" w:lineRule="exact"/>
              <w:rPr>
                <w:rFonts w:cs="Arial"/>
                <w:sz w:val="20"/>
                <w:szCs w:val="20"/>
              </w:rPr>
            </w:pPr>
            <w:r w:rsidRPr="00C37889">
              <w:rPr>
                <w:rFonts w:cs="Arial"/>
                <w:sz w:val="20"/>
                <w:szCs w:val="20"/>
              </w:rPr>
              <w:t>SAFETY DIRECTIONS</w:t>
            </w:r>
          </w:p>
          <w:p w14:paraId="4E37F59D" w14:textId="77777777" w:rsidR="008E67EA" w:rsidRPr="00C37889" w:rsidRDefault="008E67EA" w:rsidP="00B44A74">
            <w:pPr>
              <w:spacing w:line="280" w:lineRule="exact"/>
              <w:rPr>
                <w:rFonts w:cs="Arial"/>
                <w:sz w:val="20"/>
                <w:szCs w:val="20"/>
              </w:rPr>
            </w:pPr>
            <w:r w:rsidRPr="00C37889">
              <w:rPr>
                <w:rFonts w:cs="Arial"/>
                <w:sz w:val="20"/>
                <w:szCs w:val="20"/>
              </w:rPr>
              <w:t>Repeated minor exposure may have a cumulative poisoning effect. Do not touch bait, use scoop or measure. When using the product wear disposable gloves. If on skin and after each baiting, wash thoroughly with soap and water.</w:t>
            </w:r>
          </w:p>
          <w:p w14:paraId="53D65669" w14:textId="460BF029" w:rsidR="008E67EA" w:rsidRPr="00C37889" w:rsidRDefault="008E67EA" w:rsidP="00B44A74">
            <w:pPr>
              <w:spacing w:line="280" w:lineRule="exact"/>
              <w:rPr>
                <w:rFonts w:cs="Arial"/>
                <w:color w:val="7030A0"/>
                <w:sz w:val="20"/>
                <w:szCs w:val="20"/>
              </w:rPr>
            </w:pPr>
            <w:r w:rsidRPr="00C37889">
              <w:rPr>
                <w:rFonts w:cs="Arial"/>
                <w:sz w:val="20"/>
                <w:szCs w:val="20"/>
              </w:rPr>
              <w:t>During cleanup and disposal operations of bait and bait stations, wear a single layer of clothing and disposable gloves. Wear disposable gloves when handling rodent carcasses. Wash clothes after performing re-handling activities.</w:t>
            </w:r>
          </w:p>
        </w:tc>
      </w:tr>
      <w:tr w:rsidR="008E67EA" w:rsidRPr="002B5B5B" w14:paraId="099A9F32" w14:textId="77777777" w:rsidTr="00B44A74">
        <w:trPr>
          <w:jc w:val="center"/>
        </w:trPr>
        <w:tc>
          <w:tcPr>
            <w:tcW w:w="2415" w:type="dxa"/>
            <w:tcBorders>
              <w:top w:val="single" w:sz="4" w:space="0" w:color="auto"/>
              <w:left w:val="nil"/>
              <w:bottom w:val="single" w:sz="4" w:space="0" w:color="auto"/>
              <w:right w:val="nil"/>
            </w:tcBorders>
          </w:tcPr>
          <w:p w14:paraId="6D747C7A" w14:textId="77777777" w:rsidR="008E67EA" w:rsidRPr="00C37889"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8D835F4" w14:textId="77777777" w:rsidR="008E67EA" w:rsidRPr="00C37889" w:rsidRDefault="008E67EA" w:rsidP="00B44A74">
            <w:pPr>
              <w:spacing w:line="280" w:lineRule="exact"/>
              <w:rPr>
                <w:rFonts w:cs="Arial"/>
                <w:sz w:val="20"/>
                <w:szCs w:val="20"/>
              </w:rPr>
            </w:pPr>
          </w:p>
        </w:tc>
      </w:tr>
      <w:tr w:rsidR="008E67EA" w:rsidRPr="002B5B5B" w14:paraId="286ED29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BD9F492" w14:textId="77777777" w:rsidR="008E67EA" w:rsidRPr="00C37889" w:rsidRDefault="008E67EA" w:rsidP="00B44A74">
            <w:pPr>
              <w:spacing w:line="280" w:lineRule="exact"/>
              <w:rPr>
                <w:rFonts w:cs="Arial"/>
                <w:sz w:val="20"/>
                <w:szCs w:val="20"/>
              </w:rPr>
            </w:pPr>
            <w:r w:rsidRPr="00C37889">
              <w:rPr>
                <w:rFonts w:cs="Arial"/>
                <w:sz w:val="20"/>
                <w:szCs w:val="20"/>
              </w:rPr>
              <w:lastRenderedPageBreak/>
              <w:t>First Aid Instructions:</w:t>
            </w:r>
          </w:p>
        </w:tc>
        <w:tc>
          <w:tcPr>
            <w:tcW w:w="7755" w:type="dxa"/>
            <w:tcBorders>
              <w:top w:val="single" w:sz="4" w:space="0" w:color="auto"/>
              <w:left w:val="single" w:sz="4" w:space="0" w:color="auto"/>
              <w:bottom w:val="single" w:sz="4" w:space="0" w:color="auto"/>
              <w:right w:val="single" w:sz="4" w:space="0" w:color="auto"/>
            </w:tcBorders>
          </w:tcPr>
          <w:p w14:paraId="43882961" w14:textId="77777777" w:rsidR="008E67EA" w:rsidRPr="00C37889" w:rsidRDefault="008E67EA" w:rsidP="00B44A74">
            <w:pPr>
              <w:spacing w:line="280" w:lineRule="exact"/>
              <w:rPr>
                <w:rFonts w:cs="Arial"/>
                <w:sz w:val="20"/>
                <w:szCs w:val="20"/>
              </w:rPr>
            </w:pPr>
            <w:r w:rsidRPr="00C37889">
              <w:rPr>
                <w:rFonts w:cs="Arial"/>
                <w:sz w:val="20"/>
                <w:szCs w:val="20"/>
              </w:rPr>
              <w:t>FIRST AID</w:t>
            </w:r>
          </w:p>
          <w:p w14:paraId="59A84BBF" w14:textId="674B6295" w:rsidR="008E67EA" w:rsidRPr="00C37889" w:rsidRDefault="008E67EA" w:rsidP="00B44A74">
            <w:pPr>
              <w:spacing w:line="280" w:lineRule="exact"/>
              <w:rPr>
                <w:rFonts w:cs="Arial"/>
                <w:sz w:val="20"/>
                <w:szCs w:val="20"/>
              </w:rPr>
            </w:pPr>
            <w:r w:rsidRPr="00C37889">
              <w:rPr>
                <w:rFonts w:cs="Arial"/>
                <w:sz w:val="20"/>
                <w:szCs w:val="20"/>
              </w:rPr>
              <w:t>If poisoning occurs, contact a doctor or Poisons Information Centre. Phone Australia 13 11 26, New Zealand 0800 764 766. Vitamin K1 (Phytomenadione) is antidotal.</w:t>
            </w:r>
          </w:p>
        </w:tc>
      </w:tr>
      <w:tr w:rsidR="008E67EA" w:rsidRPr="002B5B5B" w14:paraId="39006C1C" w14:textId="77777777" w:rsidTr="00B44A74">
        <w:trPr>
          <w:jc w:val="center"/>
        </w:trPr>
        <w:tc>
          <w:tcPr>
            <w:tcW w:w="2415" w:type="dxa"/>
            <w:tcBorders>
              <w:top w:val="single" w:sz="4" w:space="0" w:color="auto"/>
              <w:left w:val="nil"/>
              <w:bottom w:val="single" w:sz="4" w:space="0" w:color="auto"/>
              <w:right w:val="nil"/>
            </w:tcBorders>
          </w:tcPr>
          <w:p w14:paraId="3E922D38" w14:textId="77777777" w:rsidR="008E67EA" w:rsidRPr="00C37889"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8DD9DEE" w14:textId="77777777" w:rsidR="008E67EA" w:rsidRPr="00C37889" w:rsidRDefault="008E67EA" w:rsidP="00B44A74">
            <w:pPr>
              <w:spacing w:line="280" w:lineRule="exact"/>
              <w:rPr>
                <w:rFonts w:cs="Arial"/>
                <w:sz w:val="20"/>
                <w:szCs w:val="20"/>
              </w:rPr>
            </w:pPr>
          </w:p>
        </w:tc>
      </w:tr>
      <w:tr w:rsidR="008E67EA" w:rsidRPr="002B5B5B" w14:paraId="3EFC5C4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0402DEF" w14:textId="77777777" w:rsidR="008E67EA" w:rsidRPr="00C37889" w:rsidRDefault="008E67EA" w:rsidP="00B44A74">
            <w:pPr>
              <w:spacing w:line="280" w:lineRule="exact"/>
              <w:rPr>
                <w:rFonts w:cs="Arial"/>
                <w:sz w:val="20"/>
                <w:szCs w:val="20"/>
              </w:rPr>
            </w:pPr>
            <w:r w:rsidRPr="00C37889">
              <w:rPr>
                <w:rFonts w:cs="Arial"/>
                <w:sz w:val="20"/>
                <w:szCs w:val="20"/>
              </w:rPr>
              <w:t>First Aid Warnings:</w:t>
            </w:r>
          </w:p>
        </w:tc>
        <w:tc>
          <w:tcPr>
            <w:tcW w:w="7755" w:type="dxa"/>
            <w:tcBorders>
              <w:top w:val="single" w:sz="4" w:space="0" w:color="auto"/>
              <w:left w:val="single" w:sz="4" w:space="0" w:color="auto"/>
              <w:bottom w:val="single" w:sz="4" w:space="0" w:color="auto"/>
              <w:right w:val="single" w:sz="4" w:space="0" w:color="auto"/>
            </w:tcBorders>
          </w:tcPr>
          <w:p w14:paraId="192F19C5" w14:textId="77777777" w:rsidR="008E67EA" w:rsidRPr="00C37889" w:rsidRDefault="008E67EA" w:rsidP="00B44A74">
            <w:pPr>
              <w:spacing w:line="280" w:lineRule="exact"/>
              <w:rPr>
                <w:rFonts w:cs="Arial"/>
                <w:sz w:val="20"/>
                <w:szCs w:val="20"/>
              </w:rPr>
            </w:pPr>
          </w:p>
        </w:tc>
      </w:tr>
    </w:tbl>
    <w:p w14:paraId="726CF518" w14:textId="77777777" w:rsidR="008E67EA" w:rsidRDefault="008E67EA" w:rsidP="008E67EA"/>
    <w:p w14:paraId="590389BC" w14:textId="77777777" w:rsidR="008E67EA" w:rsidRDefault="008E67EA" w:rsidP="008E67EA">
      <w:pPr>
        <w:spacing w:line="280" w:lineRule="exact"/>
        <w:rPr>
          <w:rFonts w:cs="Arial"/>
          <w:b/>
          <w:bCs/>
          <w:sz w:val="20"/>
          <w:szCs w:val="20"/>
        </w:rPr>
      </w:pPr>
      <w:r w:rsidRPr="00FF36BF">
        <w:rPr>
          <w:rFonts w:cs="Arial"/>
          <w:b/>
          <w:bCs/>
          <w:sz w:val="20"/>
          <w:szCs w:val="20"/>
        </w:rPr>
        <w:t>DIRECTIONS FOR USE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1"/>
        <w:gridCol w:w="1161"/>
        <w:gridCol w:w="1110"/>
        <w:gridCol w:w="3634"/>
      </w:tblGrid>
      <w:tr w:rsidR="008E67EA" w:rsidRPr="00FF36BF" w14:paraId="4207FC00" w14:textId="77777777" w:rsidTr="00731415">
        <w:trPr>
          <w:trHeight w:val="340"/>
        </w:trPr>
        <w:tc>
          <w:tcPr>
            <w:tcW w:w="3111" w:type="dxa"/>
          </w:tcPr>
          <w:p w14:paraId="77C7E06A" w14:textId="77777777" w:rsidR="008E67EA" w:rsidRPr="00DB6BC4" w:rsidRDefault="008E67EA" w:rsidP="00B44A74">
            <w:pPr>
              <w:spacing w:line="280" w:lineRule="exact"/>
              <w:rPr>
                <w:rFonts w:cs="Arial"/>
                <w:b/>
                <w:bCs/>
                <w:szCs w:val="18"/>
              </w:rPr>
            </w:pPr>
            <w:r w:rsidRPr="00DB6BC4">
              <w:rPr>
                <w:rFonts w:cs="Arial"/>
                <w:b/>
                <w:bCs/>
                <w:szCs w:val="18"/>
              </w:rPr>
              <w:t>SITUATION</w:t>
            </w:r>
          </w:p>
        </w:tc>
        <w:tc>
          <w:tcPr>
            <w:tcW w:w="1161" w:type="dxa"/>
          </w:tcPr>
          <w:p w14:paraId="49F92AA8" w14:textId="77777777" w:rsidR="008E67EA" w:rsidRPr="00DB6BC4" w:rsidRDefault="008E67EA" w:rsidP="00B44A74">
            <w:pPr>
              <w:spacing w:line="280" w:lineRule="exact"/>
              <w:rPr>
                <w:rFonts w:cs="Arial"/>
                <w:b/>
                <w:bCs/>
                <w:szCs w:val="18"/>
              </w:rPr>
            </w:pPr>
            <w:r w:rsidRPr="00DB6BC4">
              <w:rPr>
                <w:rFonts w:cs="Arial"/>
                <w:b/>
                <w:bCs/>
                <w:szCs w:val="18"/>
              </w:rPr>
              <w:t>PEST</w:t>
            </w:r>
          </w:p>
        </w:tc>
        <w:tc>
          <w:tcPr>
            <w:tcW w:w="1110" w:type="dxa"/>
          </w:tcPr>
          <w:p w14:paraId="76E65B73" w14:textId="77777777" w:rsidR="008E67EA" w:rsidRPr="00DB6BC4" w:rsidRDefault="008E67EA" w:rsidP="00B44A74">
            <w:pPr>
              <w:spacing w:line="280" w:lineRule="exact"/>
              <w:rPr>
                <w:rFonts w:cs="Arial"/>
                <w:b/>
                <w:bCs/>
                <w:szCs w:val="18"/>
              </w:rPr>
            </w:pPr>
            <w:r w:rsidRPr="00DB6BC4">
              <w:rPr>
                <w:rFonts w:cs="Arial"/>
                <w:b/>
                <w:bCs/>
                <w:szCs w:val="18"/>
              </w:rPr>
              <w:t>RATE</w:t>
            </w:r>
          </w:p>
        </w:tc>
        <w:tc>
          <w:tcPr>
            <w:tcW w:w="3634" w:type="dxa"/>
          </w:tcPr>
          <w:p w14:paraId="7E4F449B" w14:textId="77777777" w:rsidR="008E67EA" w:rsidRPr="00DB6BC4" w:rsidRDefault="008E67EA" w:rsidP="00B44A74">
            <w:pPr>
              <w:spacing w:line="280" w:lineRule="exact"/>
              <w:rPr>
                <w:rFonts w:cs="Arial"/>
                <w:b/>
                <w:bCs/>
                <w:szCs w:val="18"/>
              </w:rPr>
            </w:pPr>
            <w:r w:rsidRPr="00DB6BC4">
              <w:rPr>
                <w:rFonts w:cs="Arial"/>
                <w:b/>
                <w:bCs/>
                <w:szCs w:val="18"/>
              </w:rPr>
              <w:t>CRITICAL COMMENTS</w:t>
            </w:r>
          </w:p>
        </w:tc>
      </w:tr>
      <w:tr w:rsidR="008E67EA" w:rsidRPr="00FF36BF" w14:paraId="3D653E03" w14:textId="77777777" w:rsidTr="00731415">
        <w:trPr>
          <w:trHeight w:val="841"/>
        </w:trPr>
        <w:tc>
          <w:tcPr>
            <w:tcW w:w="3111" w:type="dxa"/>
          </w:tcPr>
          <w:p w14:paraId="475B520F" w14:textId="77777777" w:rsidR="008E67EA" w:rsidRDefault="008E67EA" w:rsidP="00B44A74">
            <w:pPr>
              <w:spacing w:after="120" w:line="240" w:lineRule="exact"/>
              <w:rPr>
                <w:rFonts w:cs="Arial"/>
                <w:bCs/>
                <w:spacing w:val="-2"/>
                <w:w w:val="105"/>
                <w:szCs w:val="18"/>
              </w:rPr>
            </w:pPr>
            <w:r w:rsidRPr="00382A84">
              <w:rPr>
                <w:rFonts w:cs="Arial"/>
                <w:bCs/>
                <w:spacing w:val="-2"/>
                <w:w w:val="105"/>
                <w:szCs w:val="18"/>
              </w:rPr>
              <w:t xml:space="preserve">In </w:t>
            </w:r>
            <w:r>
              <w:rPr>
                <w:rFonts w:cs="Arial"/>
                <w:bCs/>
                <w:spacing w:val="-2"/>
                <w:w w:val="105"/>
                <w:szCs w:val="18"/>
              </w:rPr>
              <w:t>and around (within 2 meters) d</w:t>
            </w:r>
            <w:r w:rsidRPr="006469D5">
              <w:rPr>
                <w:rFonts w:cs="Arial"/>
                <w:bCs/>
                <w:spacing w:val="-2"/>
                <w:w w:val="105"/>
                <w:szCs w:val="18"/>
              </w:rPr>
              <w:t>omestic homes, agricultural, industrial and commercial buildings, animal</w:t>
            </w:r>
            <w:r>
              <w:rPr>
                <w:rFonts w:cs="Arial"/>
                <w:bCs/>
                <w:spacing w:val="-2"/>
                <w:w w:val="105"/>
                <w:szCs w:val="18"/>
              </w:rPr>
              <w:t xml:space="preserve"> </w:t>
            </w:r>
            <w:r w:rsidRPr="006469D5">
              <w:rPr>
                <w:rFonts w:cs="Arial"/>
                <w:bCs/>
                <w:spacing w:val="-2"/>
                <w:w w:val="105"/>
                <w:szCs w:val="18"/>
              </w:rPr>
              <w:t>houses, farms, wharves, public service buildings, food factories</w:t>
            </w:r>
            <w:r>
              <w:rPr>
                <w:rFonts w:cs="Arial"/>
                <w:bCs/>
                <w:spacing w:val="-2"/>
                <w:w w:val="105"/>
                <w:szCs w:val="18"/>
              </w:rPr>
              <w:t xml:space="preserve"> and</w:t>
            </w:r>
            <w:r w:rsidRPr="006469D5">
              <w:rPr>
                <w:rFonts w:cs="Arial"/>
                <w:bCs/>
                <w:spacing w:val="-2"/>
                <w:w w:val="105"/>
                <w:szCs w:val="18"/>
              </w:rPr>
              <w:t xml:space="preserve"> hospitals</w:t>
            </w:r>
            <w:r>
              <w:rPr>
                <w:rFonts w:cs="Arial"/>
                <w:bCs/>
                <w:spacing w:val="-2"/>
                <w:w w:val="105"/>
                <w:szCs w:val="18"/>
              </w:rPr>
              <w:t xml:space="preserve">. </w:t>
            </w:r>
          </w:p>
          <w:p w14:paraId="1567DCEC" w14:textId="77777777" w:rsidR="008E67EA" w:rsidRPr="00DB6BC4" w:rsidRDefault="008E67EA" w:rsidP="00B44A74">
            <w:pPr>
              <w:spacing w:after="120" w:line="240" w:lineRule="exact"/>
              <w:rPr>
                <w:rFonts w:cs="Arial"/>
                <w:bCs/>
                <w:spacing w:val="-2"/>
                <w:w w:val="105"/>
                <w:szCs w:val="18"/>
              </w:rPr>
            </w:pPr>
            <w:r>
              <w:rPr>
                <w:rFonts w:cs="Arial"/>
                <w:bCs/>
                <w:spacing w:val="-2"/>
                <w:w w:val="105"/>
                <w:szCs w:val="18"/>
              </w:rPr>
              <w:t>I</w:t>
            </w:r>
            <w:r w:rsidRPr="006469D5">
              <w:rPr>
                <w:rFonts w:cs="Arial"/>
                <w:bCs/>
                <w:spacing w:val="-2"/>
                <w:w w:val="105"/>
                <w:szCs w:val="18"/>
              </w:rPr>
              <w:t>nside transport</w:t>
            </w:r>
            <w:r>
              <w:rPr>
                <w:rFonts w:cs="Arial"/>
                <w:bCs/>
                <w:spacing w:val="-2"/>
                <w:w w:val="105"/>
                <w:szCs w:val="18"/>
              </w:rPr>
              <w:t xml:space="preserve"> </w:t>
            </w:r>
            <w:r w:rsidRPr="006469D5">
              <w:rPr>
                <w:rFonts w:cs="Arial"/>
                <w:bCs/>
                <w:spacing w:val="-2"/>
                <w:w w:val="105"/>
                <w:szCs w:val="18"/>
              </w:rPr>
              <w:t>vehicles (including ships)</w:t>
            </w:r>
            <w:r>
              <w:rPr>
                <w:rFonts w:cs="Arial"/>
                <w:bCs/>
                <w:spacing w:val="-2"/>
                <w:w w:val="105"/>
                <w:szCs w:val="18"/>
              </w:rPr>
              <w:t xml:space="preserve"> and around (within 2 meters) </w:t>
            </w:r>
            <w:r w:rsidRPr="006469D5">
              <w:rPr>
                <w:rFonts w:cs="Arial"/>
                <w:bCs/>
                <w:spacing w:val="-2"/>
                <w:w w:val="105"/>
                <w:szCs w:val="18"/>
              </w:rPr>
              <w:t>grain terminals</w:t>
            </w:r>
            <w:r>
              <w:rPr>
                <w:rFonts w:cs="Arial"/>
                <w:bCs/>
                <w:spacing w:val="-2"/>
                <w:w w:val="105"/>
                <w:szCs w:val="18"/>
              </w:rPr>
              <w:t>.</w:t>
            </w:r>
          </w:p>
        </w:tc>
        <w:tc>
          <w:tcPr>
            <w:tcW w:w="1161" w:type="dxa"/>
          </w:tcPr>
          <w:p w14:paraId="4C930A8C" w14:textId="77777777" w:rsidR="008E67EA" w:rsidRPr="00DB6BC4" w:rsidRDefault="008E67EA" w:rsidP="00B44A74">
            <w:pPr>
              <w:spacing w:after="120" w:line="240" w:lineRule="exact"/>
              <w:rPr>
                <w:rFonts w:cs="Arial"/>
                <w:bCs/>
                <w:spacing w:val="-2"/>
                <w:w w:val="105"/>
                <w:szCs w:val="18"/>
              </w:rPr>
            </w:pPr>
            <w:r w:rsidRPr="005A4C9D">
              <w:rPr>
                <w:rFonts w:cs="Arial"/>
                <w:bCs/>
                <w:spacing w:val="-2"/>
                <w:w w:val="105"/>
                <w:szCs w:val="18"/>
              </w:rPr>
              <w:t xml:space="preserve">Rats </w:t>
            </w:r>
            <w:r w:rsidRPr="005A4C9D">
              <w:rPr>
                <w:rFonts w:cs="Arial"/>
                <w:bCs/>
                <w:i/>
                <w:iCs/>
                <w:spacing w:val="-2"/>
                <w:w w:val="105"/>
                <w:szCs w:val="18"/>
              </w:rPr>
              <w:t>(Rattus norvegicus, Rattus rattus)</w:t>
            </w:r>
          </w:p>
        </w:tc>
        <w:tc>
          <w:tcPr>
            <w:tcW w:w="1110" w:type="dxa"/>
          </w:tcPr>
          <w:p w14:paraId="40087B45" w14:textId="77777777" w:rsidR="008E67EA" w:rsidRPr="00DB6BC4" w:rsidRDefault="008E67EA" w:rsidP="00B44A74">
            <w:pPr>
              <w:spacing w:after="120" w:line="240" w:lineRule="exact"/>
              <w:rPr>
                <w:rFonts w:cs="Arial"/>
                <w:bCs/>
                <w:spacing w:val="-2"/>
                <w:w w:val="105"/>
                <w:szCs w:val="18"/>
              </w:rPr>
            </w:pPr>
            <w:r>
              <w:rPr>
                <w:rFonts w:cs="Arial"/>
                <w:bCs/>
                <w:spacing w:val="-2"/>
                <w:w w:val="105"/>
                <w:szCs w:val="18"/>
              </w:rPr>
              <w:t>[As per current approved label]</w:t>
            </w:r>
          </w:p>
        </w:tc>
        <w:tc>
          <w:tcPr>
            <w:tcW w:w="3634" w:type="dxa"/>
            <w:vMerge w:val="restart"/>
          </w:tcPr>
          <w:p w14:paraId="206DDAD0" w14:textId="77777777" w:rsidR="008E67EA" w:rsidRDefault="008E67EA" w:rsidP="00B44A74">
            <w:pPr>
              <w:spacing w:after="120" w:line="240" w:lineRule="exact"/>
              <w:rPr>
                <w:rFonts w:cs="Arial"/>
                <w:bCs/>
                <w:spacing w:val="-2"/>
                <w:w w:val="105"/>
                <w:szCs w:val="18"/>
              </w:rPr>
            </w:pPr>
            <w:r w:rsidRPr="008518B4">
              <w:rPr>
                <w:rFonts w:cs="Arial"/>
                <w:bCs/>
                <w:spacing w:val="-2"/>
                <w:w w:val="105"/>
                <w:szCs w:val="18"/>
              </w:rPr>
              <w:t>Place bait stations in infested area</w:t>
            </w:r>
            <w:r>
              <w:rPr>
                <w:rFonts w:cs="Arial"/>
                <w:bCs/>
                <w:spacing w:val="-2"/>
                <w:w w:val="105"/>
                <w:szCs w:val="18"/>
              </w:rPr>
              <w:t xml:space="preserve">, </w:t>
            </w:r>
            <w:r w:rsidRPr="008518B4">
              <w:rPr>
                <w:rFonts w:cs="Arial"/>
                <w:bCs/>
                <w:spacing w:val="-2"/>
                <w:w w:val="105"/>
                <w:szCs w:val="18"/>
              </w:rPr>
              <w:t xml:space="preserve">along walls or rafters and in dark sheltered spots where there are signs of rodent activity. </w:t>
            </w:r>
            <w:r w:rsidRPr="00373A10">
              <w:rPr>
                <w:rFonts w:cs="Arial"/>
                <w:bCs/>
                <w:spacing w:val="-2"/>
                <w:w w:val="105"/>
                <w:szCs w:val="18"/>
              </w:rPr>
              <w:t>Bait areas where conditions might encourage rodent activity</w:t>
            </w:r>
            <w:r>
              <w:rPr>
                <w:rFonts w:cs="Arial"/>
                <w:bCs/>
                <w:spacing w:val="-2"/>
                <w:w w:val="105"/>
                <w:szCs w:val="18"/>
              </w:rPr>
              <w:t>.</w:t>
            </w:r>
          </w:p>
          <w:p w14:paraId="317021C0" w14:textId="77777777" w:rsidR="008E67EA" w:rsidRPr="008518B4" w:rsidRDefault="008E67EA" w:rsidP="00B44A74">
            <w:pPr>
              <w:spacing w:after="120" w:line="240" w:lineRule="exact"/>
              <w:rPr>
                <w:rFonts w:cs="Arial"/>
                <w:bCs/>
                <w:spacing w:val="-2"/>
                <w:w w:val="105"/>
                <w:szCs w:val="18"/>
              </w:rPr>
            </w:pPr>
            <w:r w:rsidRPr="008518B4">
              <w:rPr>
                <w:rFonts w:cs="Arial"/>
                <w:b/>
                <w:i/>
                <w:iCs/>
                <w:spacing w:val="-2"/>
                <w:w w:val="105"/>
                <w:szCs w:val="18"/>
              </w:rPr>
              <w:t>For rats:</w:t>
            </w:r>
            <w:r w:rsidRPr="008518B4">
              <w:rPr>
                <w:rFonts w:cs="Arial"/>
                <w:bCs/>
                <w:spacing w:val="-2"/>
                <w:w w:val="105"/>
                <w:szCs w:val="18"/>
              </w:rPr>
              <w:t xml:space="preserve"> Place bait stations at intervals of 5 to 9 m in infested areas. DO NOT exceed 9 m between bait stations. </w:t>
            </w:r>
          </w:p>
          <w:p w14:paraId="35CB8177" w14:textId="77777777" w:rsidR="008E67EA" w:rsidRDefault="008E67EA" w:rsidP="00B44A74">
            <w:pPr>
              <w:spacing w:after="120" w:line="240" w:lineRule="exact"/>
              <w:rPr>
                <w:rFonts w:cs="Arial"/>
                <w:bCs/>
                <w:spacing w:val="-2"/>
                <w:w w:val="105"/>
                <w:szCs w:val="18"/>
              </w:rPr>
            </w:pPr>
            <w:r w:rsidRPr="008518B4">
              <w:rPr>
                <w:rFonts w:cs="Arial"/>
                <w:b/>
                <w:i/>
                <w:iCs/>
                <w:spacing w:val="-2"/>
                <w:w w:val="105"/>
                <w:szCs w:val="18"/>
              </w:rPr>
              <w:t>For mice:</w:t>
            </w:r>
            <w:r w:rsidRPr="008518B4">
              <w:rPr>
                <w:rFonts w:cs="Arial"/>
                <w:bCs/>
                <w:spacing w:val="-2"/>
                <w:w w:val="105"/>
                <w:szCs w:val="18"/>
              </w:rPr>
              <w:t xml:space="preserve"> Place bait stations at intervals of 2 to 3 m in infested areas. DO NOT exceed 3 m between bait stations.</w:t>
            </w:r>
          </w:p>
          <w:p w14:paraId="5B328D58" w14:textId="77777777" w:rsidR="008E67EA" w:rsidRPr="005A4C9D" w:rsidRDefault="008E67EA" w:rsidP="00B44A74">
            <w:pPr>
              <w:spacing w:after="120" w:line="240" w:lineRule="exact"/>
              <w:rPr>
                <w:rFonts w:cs="Arial"/>
                <w:bCs/>
                <w:spacing w:val="-2"/>
                <w:w w:val="105"/>
                <w:szCs w:val="18"/>
              </w:rPr>
            </w:pPr>
            <w:r w:rsidRPr="005A4C9D">
              <w:rPr>
                <w:rFonts w:cs="Arial"/>
                <w:bCs/>
                <w:spacing w:val="-2"/>
                <w:w w:val="105"/>
                <w:szCs w:val="18"/>
              </w:rPr>
              <w:t>In very high infestations use</w:t>
            </w:r>
            <w:r>
              <w:rPr>
                <w:rFonts w:cs="Arial"/>
                <w:bCs/>
                <w:spacing w:val="-2"/>
                <w:w w:val="105"/>
                <w:szCs w:val="18"/>
              </w:rPr>
              <w:t xml:space="preserve"> </w:t>
            </w:r>
            <w:r w:rsidRPr="005A4C9D">
              <w:rPr>
                <w:rFonts w:cs="Arial"/>
                <w:bCs/>
                <w:spacing w:val="-2"/>
                <w:w w:val="105"/>
                <w:szCs w:val="18"/>
              </w:rPr>
              <w:t xml:space="preserve">more blocks per </w:t>
            </w:r>
            <w:r>
              <w:rPr>
                <w:rFonts w:cs="Arial"/>
                <w:bCs/>
                <w:spacing w:val="-2"/>
                <w:w w:val="105"/>
                <w:szCs w:val="18"/>
              </w:rPr>
              <w:t xml:space="preserve">bait </w:t>
            </w:r>
            <w:r w:rsidRPr="005A4C9D">
              <w:rPr>
                <w:rFonts w:cs="Arial"/>
                <w:bCs/>
                <w:spacing w:val="-2"/>
                <w:w w:val="105"/>
                <w:szCs w:val="18"/>
              </w:rPr>
              <w:t>station and use the shorter</w:t>
            </w:r>
            <w:r>
              <w:rPr>
                <w:rFonts w:cs="Arial"/>
                <w:bCs/>
                <w:spacing w:val="-2"/>
                <w:w w:val="105"/>
                <w:szCs w:val="18"/>
              </w:rPr>
              <w:t xml:space="preserve"> </w:t>
            </w:r>
            <w:r w:rsidRPr="005A4C9D">
              <w:rPr>
                <w:rFonts w:cs="Arial"/>
                <w:bCs/>
                <w:spacing w:val="-2"/>
                <w:w w:val="105"/>
                <w:szCs w:val="18"/>
              </w:rPr>
              <w:t>distance between bait stations</w:t>
            </w:r>
            <w:r>
              <w:rPr>
                <w:rFonts w:cs="Arial"/>
                <w:bCs/>
                <w:spacing w:val="-2"/>
                <w:w w:val="105"/>
                <w:szCs w:val="18"/>
              </w:rPr>
              <w:t>.</w:t>
            </w:r>
          </w:p>
        </w:tc>
      </w:tr>
      <w:tr w:rsidR="008E67EA" w:rsidRPr="00FF36BF" w14:paraId="5D928285" w14:textId="77777777" w:rsidTr="00731415">
        <w:trPr>
          <w:trHeight w:val="841"/>
        </w:trPr>
        <w:tc>
          <w:tcPr>
            <w:tcW w:w="3111" w:type="dxa"/>
          </w:tcPr>
          <w:p w14:paraId="7008D925" w14:textId="77777777" w:rsidR="008E67EA" w:rsidRPr="00DB6BC4" w:rsidRDefault="008E67EA" w:rsidP="00B44A74">
            <w:pPr>
              <w:spacing w:after="120" w:line="240" w:lineRule="exact"/>
              <w:rPr>
                <w:rFonts w:cs="Arial"/>
                <w:bCs/>
                <w:spacing w:val="-2"/>
                <w:w w:val="105"/>
                <w:szCs w:val="18"/>
              </w:rPr>
            </w:pPr>
            <w:r w:rsidRPr="00382A84">
              <w:rPr>
                <w:rFonts w:cs="Arial"/>
                <w:bCs/>
                <w:spacing w:val="-2"/>
                <w:w w:val="105"/>
                <w:szCs w:val="18"/>
              </w:rPr>
              <w:t xml:space="preserve">In </w:t>
            </w:r>
            <w:r>
              <w:rPr>
                <w:rFonts w:cs="Arial"/>
                <w:bCs/>
                <w:spacing w:val="-2"/>
                <w:w w:val="105"/>
                <w:szCs w:val="18"/>
              </w:rPr>
              <w:t>d</w:t>
            </w:r>
            <w:r w:rsidRPr="006469D5">
              <w:rPr>
                <w:rFonts w:cs="Arial"/>
                <w:bCs/>
                <w:spacing w:val="-2"/>
                <w:w w:val="105"/>
                <w:szCs w:val="18"/>
              </w:rPr>
              <w:t>omestic homes, agricultural, industrial and commercial buildings, animal</w:t>
            </w:r>
            <w:r>
              <w:rPr>
                <w:rFonts w:cs="Arial"/>
                <w:bCs/>
                <w:spacing w:val="-2"/>
                <w:w w:val="105"/>
                <w:szCs w:val="18"/>
              </w:rPr>
              <w:t xml:space="preserve"> </w:t>
            </w:r>
            <w:r w:rsidRPr="006469D5">
              <w:rPr>
                <w:rFonts w:cs="Arial"/>
                <w:bCs/>
                <w:spacing w:val="-2"/>
                <w:w w:val="105"/>
                <w:szCs w:val="18"/>
              </w:rPr>
              <w:t xml:space="preserve">houses, farms, wharves, public service buildings, food factories, hospitals, </w:t>
            </w:r>
            <w:r>
              <w:rPr>
                <w:rFonts w:cs="Arial"/>
                <w:bCs/>
                <w:spacing w:val="-2"/>
                <w:w w:val="105"/>
                <w:szCs w:val="18"/>
              </w:rPr>
              <w:t xml:space="preserve">and </w:t>
            </w:r>
            <w:r w:rsidRPr="006469D5">
              <w:rPr>
                <w:rFonts w:cs="Arial"/>
                <w:bCs/>
                <w:spacing w:val="-2"/>
                <w:w w:val="105"/>
                <w:szCs w:val="18"/>
              </w:rPr>
              <w:t>transport</w:t>
            </w:r>
            <w:r>
              <w:rPr>
                <w:rFonts w:cs="Arial"/>
                <w:bCs/>
                <w:spacing w:val="-2"/>
                <w:w w:val="105"/>
                <w:szCs w:val="18"/>
              </w:rPr>
              <w:t xml:space="preserve"> </w:t>
            </w:r>
            <w:r w:rsidRPr="006469D5">
              <w:rPr>
                <w:rFonts w:cs="Arial"/>
                <w:bCs/>
                <w:spacing w:val="-2"/>
                <w:w w:val="105"/>
                <w:szCs w:val="18"/>
              </w:rPr>
              <w:t>vehicles (including ships)</w:t>
            </w:r>
            <w:r>
              <w:rPr>
                <w:rFonts w:cs="Arial"/>
                <w:bCs/>
                <w:spacing w:val="-2"/>
                <w:w w:val="105"/>
                <w:szCs w:val="18"/>
              </w:rPr>
              <w:t>.</w:t>
            </w:r>
          </w:p>
        </w:tc>
        <w:tc>
          <w:tcPr>
            <w:tcW w:w="1161" w:type="dxa"/>
          </w:tcPr>
          <w:p w14:paraId="1E7F5B67" w14:textId="77777777" w:rsidR="008E67EA" w:rsidRPr="00DB6BC4" w:rsidRDefault="008E67EA" w:rsidP="00B44A74">
            <w:pPr>
              <w:spacing w:after="120" w:line="240" w:lineRule="exact"/>
              <w:rPr>
                <w:rFonts w:cs="Arial"/>
                <w:bCs/>
                <w:spacing w:val="-2"/>
                <w:w w:val="105"/>
                <w:szCs w:val="18"/>
              </w:rPr>
            </w:pPr>
            <w:r w:rsidRPr="005A4C9D">
              <w:rPr>
                <w:rFonts w:cs="Arial"/>
                <w:bCs/>
                <w:spacing w:val="-2"/>
                <w:w w:val="105"/>
                <w:szCs w:val="18"/>
              </w:rPr>
              <w:t xml:space="preserve">Mice </w:t>
            </w:r>
            <w:r w:rsidRPr="005A4C9D">
              <w:rPr>
                <w:rFonts w:cs="Arial"/>
                <w:bCs/>
                <w:i/>
                <w:iCs/>
                <w:spacing w:val="-2"/>
                <w:w w:val="105"/>
                <w:szCs w:val="18"/>
              </w:rPr>
              <w:t>(Mus musculus)</w:t>
            </w:r>
          </w:p>
        </w:tc>
        <w:tc>
          <w:tcPr>
            <w:tcW w:w="1110" w:type="dxa"/>
          </w:tcPr>
          <w:p w14:paraId="16E234BE" w14:textId="77777777" w:rsidR="008E67EA" w:rsidRPr="00DB6BC4" w:rsidRDefault="008E67EA" w:rsidP="00B44A74">
            <w:pPr>
              <w:spacing w:after="120" w:line="240" w:lineRule="exact"/>
              <w:rPr>
                <w:rFonts w:cs="Arial"/>
                <w:bCs/>
                <w:spacing w:val="-2"/>
                <w:w w:val="105"/>
                <w:szCs w:val="18"/>
              </w:rPr>
            </w:pPr>
            <w:r>
              <w:rPr>
                <w:rFonts w:cs="Arial"/>
                <w:bCs/>
                <w:spacing w:val="-2"/>
                <w:w w:val="105"/>
                <w:szCs w:val="18"/>
              </w:rPr>
              <w:t>[As per current approved label]</w:t>
            </w:r>
          </w:p>
        </w:tc>
        <w:tc>
          <w:tcPr>
            <w:tcW w:w="3634" w:type="dxa"/>
            <w:vMerge/>
          </w:tcPr>
          <w:p w14:paraId="7F0E2AF2" w14:textId="77777777" w:rsidR="008E67EA" w:rsidRPr="005A4C9D" w:rsidRDefault="008E67EA" w:rsidP="00B44A74">
            <w:pPr>
              <w:spacing w:after="120" w:line="240" w:lineRule="exact"/>
              <w:rPr>
                <w:rFonts w:cs="Arial"/>
                <w:bCs/>
                <w:spacing w:val="-2"/>
                <w:w w:val="105"/>
                <w:szCs w:val="18"/>
                <w:highlight w:val="yellow"/>
              </w:rPr>
            </w:pPr>
          </w:p>
        </w:tc>
      </w:tr>
    </w:tbl>
    <w:p w14:paraId="58A604DA" w14:textId="77777777" w:rsidR="008E67EA" w:rsidRDefault="008E67EA" w:rsidP="008E67EA">
      <w:pPr>
        <w:spacing w:line="280" w:lineRule="exact"/>
        <w:rPr>
          <w:rFonts w:cs="Arial"/>
          <w:b/>
          <w:bCs/>
          <w:sz w:val="20"/>
          <w:szCs w:val="20"/>
        </w:rPr>
      </w:pPr>
    </w:p>
    <w:p w14:paraId="7415058B" w14:textId="77777777" w:rsidR="008E67EA" w:rsidRPr="00867EDB" w:rsidRDefault="008E67EA" w:rsidP="008E67EA">
      <w:pPr>
        <w:spacing w:line="280" w:lineRule="exact"/>
        <w:rPr>
          <w:rFonts w:cs="Arial"/>
          <w:b/>
          <w:bCs/>
          <w:color w:val="000000" w:themeColor="text1"/>
          <w:sz w:val="20"/>
          <w:szCs w:val="20"/>
        </w:rPr>
      </w:pPr>
      <w:r w:rsidRPr="00867EDB">
        <w:rPr>
          <w:rFonts w:cs="Arial"/>
          <w:b/>
          <w:bCs/>
          <w:color w:val="000000" w:themeColor="text1"/>
          <w:sz w:val="20"/>
          <w:szCs w:val="20"/>
        </w:rPr>
        <w:t>Baiting Strategy</w:t>
      </w:r>
    </w:p>
    <w:p w14:paraId="6582AA58" w14:textId="77777777" w:rsidR="008E67EA" w:rsidRPr="00E106B6" w:rsidRDefault="008E67EA" w:rsidP="008E67EA">
      <w:pPr>
        <w:spacing w:after="120" w:line="280" w:lineRule="exact"/>
        <w:rPr>
          <w:rFonts w:eastAsia="Calibri" w:cs="Arial"/>
          <w:sz w:val="20"/>
          <w:szCs w:val="20"/>
          <w:bdr w:val="none" w:sz="0" w:space="0" w:color="auto" w:frame="1"/>
          <w:lang w:val="en-GB" w:eastAsia="en-AU"/>
        </w:rPr>
      </w:pPr>
      <w:r w:rsidRPr="00E106B6">
        <w:rPr>
          <w:rFonts w:eastAsia="Calibri" w:cs="Arial"/>
          <w:sz w:val="20"/>
          <w:szCs w:val="20"/>
          <w:bdr w:val="none" w:sz="0" w:space="0" w:color="auto" w:frame="1"/>
          <w:lang w:eastAsia="en-AU"/>
        </w:rPr>
        <w:t>Eliminate, as far as practicable, all alternative food sources.</w:t>
      </w:r>
    </w:p>
    <w:p w14:paraId="60CDCDC1" w14:textId="597228E3" w:rsidR="008E67EA" w:rsidRPr="00E106B6" w:rsidRDefault="008E67EA" w:rsidP="008E67EA">
      <w:pPr>
        <w:spacing w:after="120" w:line="280" w:lineRule="exact"/>
        <w:rPr>
          <w:rFonts w:eastAsia="Calibri" w:cs="Arial"/>
          <w:sz w:val="20"/>
          <w:szCs w:val="20"/>
          <w:bdr w:val="none" w:sz="0" w:space="0" w:color="auto" w:frame="1"/>
          <w:lang w:val="en-GB" w:eastAsia="en-AU"/>
        </w:rPr>
      </w:pPr>
      <w:r w:rsidRPr="00E106B6">
        <w:rPr>
          <w:rFonts w:eastAsia="Calibri" w:cs="Arial"/>
          <w:sz w:val="20"/>
          <w:szCs w:val="20"/>
          <w:bdr w:val="none" w:sz="0" w:space="0" w:color="auto" w:frame="1"/>
          <w:lang w:val="en-GB" w:eastAsia="en-AU"/>
        </w:rPr>
        <w:t>Survey site prior to treatment, including assessment of the extent of infestation and identification of any indications of the presence of non-target animals.</w:t>
      </w:r>
    </w:p>
    <w:p w14:paraId="525B5282" w14:textId="147EA44F" w:rsidR="008E67EA" w:rsidRDefault="008E67EA" w:rsidP="008E67EA">
      <w:pPr>
        <w:spacing w:after="120" w:line="280" w:lineRule="exact"/>
        <w:rPr>
          <w:rFonts w:eastAsia="Calibri" w:cs="Arial"/>
          <w:sz w:val="20"/>
          <w:szCs w:val="20"/>
          <w:bdr w:val="none" w:sz="0" w:space="0" w:color="auto" w:frame="1"/>
          <w:lang w:val="en-GB" w:eastAsia="en-AU"/>
        </w:rPr>
      </w:pPr>
      <w:r w:rsidRPr="00E106B6">
        <w:rPr>
          <w:rFonts w:eastAsia="Calibri" w:cs="Arial"/>
          <w:sz w:val="20"/>
          <w:szCs w:val="20"/>
          <w:bdr w:val="none" w:sz="0" w:space="0" w:color="auto" w:frame="1"/>
          <w:lang w:val="en-GB" w:eastAsia="en-AU"/>
        </w:rPr>
        <w:t>Record the number and locations of bait stations for the purpose of inspection, replacement and later removal. Always use tamper-resistant bait stations that are secured in place in child accessible areas, outdoors and in animal or livestock housing. When used in food producing animal housing situations careful consideration is necessary regarding the placement of bait stations to ensure any rodenticide contamination of water, feed or livestock is prevented.</w:t>
      </w:r>
    </w:p>
    <w:p w14:paraId="14792690" w14:textId="77777777" w:rsidR="008E67EA" w:rsidRDefault="008E67EA" w:rsidP="008E67EA">
      <w:pPr>
        <w:spacing w:after="120" w:line="280" w:lineRule="exact"/>
        <w:rPr>
          <w:rFonts w:eastAsia="Calibri" w:cs="Arial"/>
          <w:sz w:val="20"/>
          <w:szCs w:val="20"/>
          <w:bdr w:val="none" w:sz="0" w:space="0" w:color="auto" w:frame="1"/>
          <w:lang w:val="en-GB" w:eastAsia="en-AU"/>
        </w:rPr>
      </w:pPr>
      <w:r w:rsidRPr="00E106B6">
        <w:rPr>
          <w:rFonts w:eastAsia="Calibri" w:cs="Arial"/>
          <w:sz w:val="20"/>
          <w:szCs w:val="20"/>
          <w:bdr w:val="none" w:sz="0" w:space="0" w:color="auto" w:frame="1"/>
          <w:lang w:val="en-GB" w:eastAsia="en-AU"/>
        </w:rPr>
        <w:t>Inspect bait</w:t>
      </w:r>
      <w:r>
        <w:rPr>
          <w:rFonts w:eastAsia="Calibri" w:cs="Arial"/>
          <w:sz w:val="20"/>
          <w:szCs w:val="20"/>
          <w:bdr w:val="none" w:sz="0" w:space="0" w:color="auto" w:frame="1"/>
          <w:lang w:val="en-GB" w:eastAsia="en-AU"/>
        </w:rPr>
        <w:t xml:space="preserve"> </w:t>
      </w:r>
      <w:r w:rsidRPr="00E106B6">
        <w:rPr>
          <w:rFonts w:eastAsia="Calibri" w:cs="Arial"/>
          <w:sz w:val="20"/>
          <w:szCs w:val="20"/>
          <w:bdr w:val="none" w:sz="0" w:space="0" w:color="auto" w:frame="1"/>
          <w:lang w:val="en-GB" w:eastAsia="en-AU"/>
        </w:rPr>
        <w:t>stations on a regular basis</w:t>
      </w:r>
      <w:r>
        <w:rPr>
          <w:rFonts w:eastAsia="Calibri" w:cs="Arial"/>
          <w:sz w:val="20"/>
          <w:szCs w:val="20"/>
          <w:bdr w:val="none" w:sz="0" w:space="0" w:color="auto" w:frame="1"/>
          <w:lang w:val="en-GB" w:eastAsia="en-AU"/>
        </w:rPr>
        <w:t xml:space="preserve"> at intervals of no more than 7 days apart</w:t>
      </w:r>
      <w:r w:rsidRPr="00E106B6">
        <w:rPr>
          <w:rFonts w:eastAsia="Calibri" w:cs="Arial"/>
          <w:sz w:val="20"/>
          <w:szCs w:val="20"/>
          <w:bdr w:val="none" w:sz="0" w:space="0" w:color="auto" w:frame="1"/>
          <w:lang w:val="en-GB" w:eastAsia="en-AU"/>
        </w:rPr>
        <w:t>. Replace eaten or old/deteriorated baits. If eaten</w:t>
      </w:r>
      <w:r>
        <w:rPr>
          <w:rFonts w:eastAsia="Calibri" w:cs="Arial"/>
          <w:sz w:val="20"/>
          <w:szCs w:val="20"/>
          <w:bdr w:val="none" w:sz="0" w:space="0" w:color="auto" w:frame="1"/>
          <w:lang w:val="en-GB" w:eastAsia="en-AU"/>
        </w:rPr>
        <w:t xml:space="preserve"> </w:t>
      </w:r>
      <w:r w:rsidRPr="00E106B6">
        <w:rPr>
          <w:rFonts w:eastAsia="Calibri" w:cs="Arial"/>
          <w:sz w:val="20"/>
          <w:szCs w:val="20"/>
          <w:bdr w:val="none" w:sz="0" w:space="0" w:color="auto" w:frame="1"/>
          <w:lang w:val="en-GB" w:eastAsia="en-AU"/>
        </w:rPr>
        <w:t>quickly, increase the number of placements. Continue observation and replenish until no</w:t>
      </w:r>
      <w:r>
        <w:rPr>
          <w:rFonts w:eastAsia="Calibri" w:cs="Arial"/>
          <w:sz w:val="20"/>
          <w:szCs w:val="20"/>
          <w:bdr w:val="none" w:sz="0" w:space="0" w:color="auto" w:frame="1"/>
          <w:lang w:val="en-GB" w:eastAsia="en-AU"/>
        </w:rPr>
        <w:t xml:space="preserve"> </w:t>
      </w:r>
      <w:r w:rsidRPr="00E106B6">
        <w:rPr>
          <w:rFonts w:eastAsia="Calibri" w:cs="Arial"/>
          <w:sz w:val="20"/>
          <w:szCs w:val="20"/>
          <w:bdr w:val="none" w:sz="0" w:space="0" w:color="auto" w:frame="1"/>
          <w:lang w:val="en-GB" w:eastAsia="en-AU"/>
        </w:rPr>
        <w:t xml:space="preserve">more baits are taken. </w:t>
      </w:r>
      <w:r w:rsidRPr="00E106B6">
        <w:rPr>
          <w:rFonts w:eastAsia="Calibri" w:cs="Arial"/>
          <w:sz w:val="20"/>
          <w:szCs w:val="20"/>
          <w:bdr w:val="none" w:sz="0" w:space="0" w:color="auto" w:frame="1"/>
          <w:lang w:eastAsia="en-AU"/>
        </w:rPr>
        <w:t>Most deaths occur 4 to 7 days after consumption of bait.</w:t>
      </w:r>
      <w:r>
        <w:rPr>
          <w:rFonts w:eastAsia="Calibri" w:cs="Arial"/>
          <w:sz w:val="20"/>
          <w:szCs w:val="20"/>
          <w:bdr w:val="none" w:sz="0" w:space="0" w:color="auto" w:frame="1"/>
          <w:lang w:eastAsia="en-AU"/>
        </w:rPr>
        <w:t xml:space="preserve"> </w:t>
      </w:r>
      <w:r w:rsidRPr="00E106B6">
        <w:rPr>
          <w:rFonts w:eastAsia="Calibri" w:cs="Arial"/>
          <w:sz w:val="20"/>
          <w:szCs w:val="20"/>
          <w:bdr w:val="none" w:sz="0" w:space="0" w:color="auto" w:frame="1"/>
          <w:lang w:val="en-GB" w:eastAsia="en-AU"/>
        </w:rPr>
        <w:t>Baiting for at least two weeks is necessary to reduce rat/mouse</w:t>
      </w:r>
      <w:r>
        <w:rPr>
          <w:rFonts w:eastAsia="Calibri" w:cs="Arial"/>
          <w:sz w:val="20"/>
          <w:szCs w:val="20"/>
          <w:bdr w:val="none" w:sz="0" w:space="0" w:color="auto" w:frame="1"/>
          <w:lang w:val="en-GB" w:eastAsia="en-AU"/>
        </w:rPr>
        <w:t xml:space="preserve"> </w:t>
      </w:r>
      <w:r w:rsidRPr="00E106B6">
        <w:rPr>
          <w:rFonts w:eastAsia="Calibri" w:cs="Arial"/>
          <w:sz w:val="20"/>
          <w:szCs w:val="20"/>
          <w:bdr w:val="none" w:sz="0" w:space="0" w:color="auto" w:frame="1"/>
          <w:lang w:val="en-GB" w:eastAsia="en-AU"/>
        </w:rPr>
        <w:t>numbers.</w:t>
      </w:r>
    </w:p>
    <w:p w14:paraId="06C913EB" w14:textId="77777777" w:rsidR="008E67EA" w:rsidRDefault="008E67EA" w:rsidP="008E67EA">
      <w:pPr>
        <w:spacing w:after="120" w:line="280" w:lineRule="exact"/>
        <w:rPr>
          <w:rFonts w:eastAsia="Calibri" w:cs="Arial"/>
          <w:sz w:val="20"/>
          <w:szCs w:val="20"/>
          <w:bdr w:val="none" w:sz="0" w:space="0" w:color="auto" w:frame="1"/>
          <w:lang w:val="en-GB" w:eastAsia="en-AU"/>
        </w:rPr>
      </w:pPr>
      <w:r w:rsidRPr="00E106B6">
        <w:rPr>
          <w:rFonts w:eastAsia="Calibri" w:cs="Arial"/>
          <w:sz w:val="20"/>
          <w:szCs w:val="20"/>
          <w:bdr w:val="none" w:sz="0" w:space="0" w:color="auto" w:frame="1"/>
          <w:lang w:val="en-GB" w:eastAsia="en-AU"/>
        </w:rPr>
        <w:t>DO NOT use the product beyond 35 days without an evaluation of the state of the infestation and of the efficacy of the treatment. Remove all uneaten bait at the end of treatment.</w:t>
      </w:r>
    </w:p>
    <w:p w14:paraId="5A7D1A2C" w14:textId="77777777" w:rsidR="00731415" w:rsidRDefault="008E67EA" w:rsidP="00731415">
      <w:pPr>
        <w:spacing w:line="280" w:lineRule="exact"/>
        <w:rPr>
          <w:rFonts w:cs="Arial"/>
          <w:b/>
          <w:bCs/>
          <w:sz w:val="20"/>
          <w:szCs w:val="20"/>
        </w:rPr>
        <w:sectPr w:rsidR="00731415" w:rsidSect="00CB73E0">
          <w:pgSz w:w="11906" w:h="16838"/>
          <w:pgMar w:top="1440" w:right="1134" w:bottom="1440" w:left="1134" w:header="794" w:footer="737" w:gutter="0"/>
          <w:cols w:space="708"/>
          <w:docGrid w:linePitch="360"/>
        </w:sectPr>
      </w:pPr>
      <w:r w:rsidRPr="00FF36BF">
        <w:rPr>
          <w:rFonts w:cs="Arial"/>
          <w:b/>
          <w:bCs/>
          <w:sz w:val="20"/>
          <w:szCs w:val="20"/>
        </w:rPr>
        <w:t>NOT TO BE USED FOR ANY PURPOSE, OR IN ANY MANNER, CONTRARY TO THIS LABEL UNLESS AUTHORISED UNDER APPROPRIATE LEGISLATION.</w:t>
      </w:r>
    </w:p>
    <w:p w14:paraId="2C2AA37A" w14:textId="77777777" w:rsidR="008E67EA" w:rsidRPr="000A0365" w:rsidRDefault="008E67EA" w:rsidP="008E67EA">
      <w:pPr>
        <w:keepNext/>
        <w:keepLines/>
        <w:spacing w:before="400" w:after="240" w:line="280" w:lineRule="exact"/>
        <w:outlineLvl w:val="1"/>
        <w:rPr>
          <w:rFonts w:ascii="Franklin Gothic Medium" w:eastAsia="Arial Unicode MS" w:hAnsi="Franklin Gothic Medium"/>
          <w:bCs/>
          <w:iCs/>
          <w:bdr w:val="none" w:sz="0" w:space="0" w:color="auto" w:frame="1"/>
          <w:lang w:val="en-GB" w:eastAsia="en-AU"/>
        </w:rPr>
      </w:pPr>
      <w:r w:rsidRPr="00FF36BF">
        <w:rPr>
          <w:rFonts w:ascii="Franklin Gothic Medium" w:eastAsia="Arial Unicode MS" w:hAnsi="Franklin Gothic Medium"/>
          <w:bCs/>
          <w:iCs/>
          <w:bdr w:val="none" w:sz="0" w:space="0" w:color="auto" w:frame="1"/>
          <w:lang w:val="en-GB" w:eastAsia="en-AU"/>
        </w:rPr>
        <w:lastRenderedPageBreak/>
        <w:t>Commercial</w:t>
      </w:r>
      <w:r>
        <w:rPr>
          <w:rFonts w:ascii="Franklin Gothic Medium" w:eastAsia="Arial Unicode MS" w:hAnsi="Franklin Gothic Medium"/>
          <w:bCs/>
          <w:iCs/>
          <w:bdr w:val="none" w:sz="0" w:space="0" w:color="auto" w:frame="1"/>
          <w:lang w:val="en-GB" w:eastAsia="en-AU"/>
        </w:rPr>
        <w:t xml:space="preserve"> pest-control product:</w:t>
      </w:r>
      <w:r w:rsidRPr="000A0365">
        <w:rPr>
          <w:rFonts w:ascii="Franklin Gothic Medium" w:eastAsia="Arial Unicode MS" w:hAnsi="Franklin Gothic Medium"/>
          <w:bCs/>
          <w:iCs/>
          <w:bdr w:val="none" w:sz="0" w:space="0" w:color="auto" w:frame="1"/>
          <w:lang w:val="en-GB" w:eastAsia="en-AU"/>
        </w:rPr>
        <w:t xml:space="preserve"> </w:t>
      </w:r>
      <w:r w:rsidRPr="00B73CCC">
        <w:rPr>
          <w:rFonts w:ascii="Franklin Gothic Medium" w:eastAsia="Arial Unicode MS" w:hAnsi="Franklin Gothic Medium"/>
          <w:bCs/>
          <w:iCs/>
          <w:bdr w:val="none" w:sz="0" w:space="0" w:color="auto" w:frame="1"/>
          <w:lang w:val="en-GB" w:eastAsia="en-AU"/>
        </w:rPr>
        <w:t>RB 0.05 g/kg or less as a paste in caulking gun</w:t>
      </w:r>
    </w:p>
    <w:p w14:paraId="7ACE5662" w14:textId="77777777" w:rsidR="008E67EA"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t xml:space="preserve">Template Label </w:t>
      </w:r>
      <w:r>
        <w:rPr>
          <w:rFonts w:cs="Arial"/>
          <w:b/>
          <w:bCs/>
          <w:sz w:val="20"/>
          <w:szCs w:val="20"/>
          <w:bdr w:val="none" w:sz="0" w:space="0" w:color="auto" w:frame="1"/>
          <w:lang w:val="en-GB" w:eastAsia="en-AU"/>
        </w:rPr>
        <w:t>2a</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7B63B7" w14:paraId="60A349C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8D4F05A" w14:textId="77777777" w:rsidR="008E67EA" w:rsidRPr="007B63B7" w:rsidRDefault="008E67EA" w:rsidP="00B44A74">
            <w:pPr>
              <w:spacing w:line="280" w:lineRule="exact"/>
              <w:rPr>
                <w:rFonts w:cs="Arial"/>
                <w:sz w:val="20"/>
                <w:szCs w:val="20"/>
              </w:rPr>
            </w:pPr>
            <w:r w:rsidRPr="007B63B7">
              <w:rPr>
                <w:rFonts w:cs="Arial"/>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7C15852F" w14:textId="77777777" w:rsidR="008E67EA" w:rsidRPr="007B63B7" w:rsidRDefault="008E67EA" w:rsidP="00B44A74">
            <w:pPr>
              <w:spacing w:line="280" w:lineRule="exact"/>
              <w:rPr>
                <w:rFonts w:cs="Arial"/>
                <w:sz w:val="20"/>
                <w:szCs w:val="20"/>
              </w:rPr>
            </w:pPr>
            <w:r>
              <w:rPr>
                <w:rFonts w:cs="Arial"/>
                <w:sz w:val="20"/>
                <w:szCs w:val="20"/>
              </w:rPr>
              <w:t xml:space="preserve"> [INSERT LABEL NAME]</w:t>
            </w:r>
          </w:p>
        </w:tc>
      </w:tr>
      <w:tr w:rsidR="008E67EA" w:rsidRPr="007B63B7" w14:paraId="0D591F0F" w14:textId="77777777" w:rsidTr="00B44A74">
        <w:trPr>
          <w:jc w:val="center"/>
        </w:trPr>
        <w:tc>
          <w:tcPr>
            <w:tcW w:w="2415" w:type="dxa"/>
            <w:tcBorders>
              <w:top w:val="single" w:sz="4" w:space="0" w:color="auto"/>
              <w:left w:val="nil"/>
              <w:bottom w:val="single" w:sz="4" w:space="0" w:color="auto"/>
              <w:right w:val="nil"/>
            </w:tcBorders>
          </w:tcPr>
          <w:p w14:paraId="7351E168" w14:textId="77777777" w:rsidR="008E67EA" w:rsidRPr="007B63B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74140A1" w14:textId="77777777" w:rsidR="008E67EA" w:rsidRPr="007B63B7" w:rsidRDefault="008E67EA" w:rsidP="00B44A74">
            <w:pPr>
              <w:spacing w:line="280" w:lineRule="exact"/>
              <w:rPr>
                <w:rFonts w:cs="Arial"/>
                <w:sz w:val="20"/>
                <w:szCs w:val="20"/>
              </w:rPr>
            </w:pPr>
          </w:p>
        </w:tc>
      </w:tr>
      <w:tr w:rsidR="008E67EA" w:rsidRPr="007B63B7" w14:paraId="477D82D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F092943" w14:textId="77777777" w:rsidR="008E67EA" w:rsidRPr="007B63B7" w:rsidRDefault="008E67EA" w:rsidP="00B44A74">
            <w:pPr>
              <w:spacing w:line="280" w:lineRule="exact"/>
              <w:rPr>
                <w:rFonts w:cs="Arial"/>
                <w:sz w:val="20"/>
                <w:szCs w:val="20"/>
              </w:rPr>
            </w:pPr>
            <w:r w:rsidRPr="007B63B7">
              <w:rPr>
                <w:rFonts w:cs="Arial"/>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0D80CCA1" w14:textId="77777777" w:rsidR="008E67EA" w:rsidRPr="007B63B7" w:rsidRDefault="008E67EA" w:rsidP="00B44A74">
            <w:pPr>
              <w:spacing w:line="280" w:lineRule="exact"/>
              <w:rPr>
                <w:rFonts w:cs="Arial"/>
                <w:sz w:val="20"/>
                <w:szCs w:val="20"/>
              </w:rPr>
            </w:pPr>
            <w:r w:rsidRPr="007B63B7">
              <w:rPr>
                <w:rFonts w:cs="Arial"/>
                <w:sz w:val="20"/>
                <w:szCs w:val="20"/>
              </w:rPr>
              <w:t>POISON</w:t>
            </w:r>
          </w:p>
          <w:p w14:paraId="2136F570" w14:textId="77777777" w:rsidR="008E67EA" w:rsidRPr="007B63B7" w:rsidRDefault="008E67EA" w:rsidP="00B44A74">
            <w:pPr>
              <w:spacing w:line="280" w:lineRule="exact"/>
              <w:rPr>
                <w:rFonts w:cs="Arial"/>
                <w:sz w:val="20"/>
                <w:szCs w:val="20"/>
              </w:rPr>
            </w:pPr>
            <w:r w:rsidRPr="007B63B7">
              <w:rPr>
                <w:rFonts w:cs="Arial"/>
                <w:sz w:val="20"/>
                <w:szCs w:val="20"/>
              </w:rPr>
              <w:t>KEEP OUT OF REACH OF CHILDREN</w:t>
            </w:r>
          </w:p>
          <w:p w14:paraId="54727EF6" w14:textId="77777777" w:rsidR="008E67EA" w:rsidRPr="007B63B7" w:rsidRDefault="008E67EA" w:rsidP="00B44A74">
            <w:pPr>
              <w:spacing w:line="280" w:lineRule="exact"/>
              <w:rPr>
                <w:rFonts w:cs="Arial"/>
                <w:sz w:val="20"/>
                <w:szCs w:val="20"/>
              </w:rPr>
            </w:pPr>
            <w:r w:rsidRPr="007B63B7">
              <w:rPr>
                <w:rFonts w:cs="Arial"/>
                <w:sz w:val="20"/>
                <w:szCs w:val="20"/>
              </w:rPr>
              <w:t>READ SAFETY DIRECTIONS BEFORE OPENING OR USING</w:t>
            </w:r>
          </w:p>
        </w:tc>
      </w:tr>
      <w:tr w:rsidR="008E67EA" w:rsidRPr="007B63B7" w14:paraId="6B7C94D7" w14:textId="77777777" w:rsidTr="00B44A74">
        <w:trPr>
          <w:jc w:val="center"/>
        </w:trPr>
        <w:tc>
          <w:tcPr>
            <w:tcW w:w="2415" w:type="dxa"/>
            <w:tcBorders>
              <w:top w:val="single" w:sz="4" w:space="0" w:color="auto"/>
              <w:left w:val="nil"/>
              <w:bottom w:val="single" w:sz="4" w:space="0" w:color="auto"/>
              <w:right w:val="nil"/>
            </w:tcBorders>
          </w:tcPr>
          <w:p w14:paraId="3510C23A" w14:textId="77777777" w:rsidR="008E67EA" w:rsidRPr="007B63B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EF80249" w14:textId="77777777" w:rsidR="008E67EA" w:rsidRPr="007B63B7" w:rsidRDefault="008E67EA" w:rsidP="00B44A74">
            <w:pPr>
              <w:spacing w:line="280" w:lineRule="exact"/>
              <w:rPr>
                <w:rFonts w:cs="Arial"/>
                <w:sz w:val="20"/>
                <w:szCs w:val="20"/>
              </w:rPr>
            </w:pPr>
          </w:p>
        </w:tc>
      </w:tr>
      <w:tr w:rsidR="008E67EA" w:rsidRPr="007B63B7" w14:paraId="74725DB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566F2A5" w14:textId="77777777" w:rsidR="008E67EA" w:rsidRPr="007B63B7" w:rsidRDefault="008E67EA" w:rsidP="00B44A74">
            <w:pPr>
              <w:spacing w:line="280" w:lineRule="exact"/>
              <w:rPr>
                <w:rFonts w:cs="Arial"/>
                <w:sz w:val="20"/>
                <w:szCs w:val="20"/>
              </w:rPr>
            </w:pPr>
            <w:r w:rsidRPr="007B63B7">
              <w:rPr>
                <w:rFonts w:cs="Arial"/>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79776533" w14:textId="77777777" w:rsidR="008E67EA" w:rsidRPr="007B63B7" w:rsidRDefault="008E67EA" w:rsidP="00B44A74">
            <w:pPr>
              <w:spacing w:line="280" w:lineRule="exact"/>
              <w:rPr>
                <w:rFonts w:cs="Arial"/>
                <w:sz w:val="20"/>
                <w:szCs w:val="20"/>
              </w:rPr>
            </w:pPr>
            <w:r w:rsidRPr="007B63B7">
              <w:rPr>
                <w:rFonts w:cs="Arial"/>
                <w:sz w:val="20"/>
                <w:szCs w:val="20"/>
              </w:rPr>
              <w:t>ACTIVE CONSTITUENT: 0.05 g/kg BRODIFACOUM</w:t>
            </w:r>
          </w:p>
        </w:tc>
      </w:tr>
      <w:tr w:rsidR="008E67EA" w:rsidRPr="007B63B7" w14:paraId="19F9399A" w14:textId="77777777" w:rsidTr="00B44A74">
        <w:trPr>
          <w:jc w:val="center"/>
        </w:trPr>
        <w:tc>
          <w:tcPr>
            <w:tcW w:w="2415" w:type="dxa"/>
            <w:tcBorders>
              <w:top w:val="single" w:sz="4" w:space="0" w:color="auto"/>
              <w:left w:val="nil"/>
              <w:bottom w:val="single" w:sz="4" w:space="0" w:color="auto"/>
              <w:right w:val="nil"/>
            </w:tcBorders>
          </w:tcPr>
          <w:p w14:paraId="62834AEA" w14:textId="77777777" w:rsidR="008E67EA" w:rsidRPr="007B63B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1DDEDD0" w14:textId="77777777" w:rsidR="008E67EA" w:rsidRPr="007B63B7" w:rsidRDefault="008E67EA" w:rsidP="00B44A74">
            <w:pPr>
              <w:spacing w:line="280" w:lineRule="exact"/>
              <w:rPr>
                <w:rFonts w:cs="Arial"/>
                <w:sz w:val="20"/>
                <w:szCs w:val="20"/>
              </w:rPr>
            </w:pPr>
          </w:p>
        </w:tc>
      </w:tr>
      <w:tr w:rsidR="008E67EA" w:rsidRPr="007B63B7" w14:paraId="07E6053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9239826" w14:textId="77777777" w:rsidR="008E67EA" w:rsidRPr="007B63B7" w:rsidRDefault="008E67EA" w:rsidP="00B44A74">
            <w:pPr>
              <w:spacing w:line="280" w:lineRule="exact"/>
              <w:rPr>
                <w:rFonts w:cs="Arial"/>
                <w:sz w:val="20"/>
                <w:szCs w:val="20"/>
              </w:rPr>
            </w:pPr>
            <w:r w:rsidRPr="007B63B7">
              <w:rPr>
                <w:rFonts w:cs="Arial"/>
                <w:sz w:val="20"/>
                <w:szCs w:val="20"/>
              </w:rPr>
              <w:t>Mode of Action:</w:t>
            </w:r>
          </w:p>
        </w:tc>
        <w:tc>
          <w:tcPr>
            <w:tcW w:w="7755" w:type="dxa"/>
            <w:tcBorders>
              <w:top w:val="single" w:sz="4" w:space="0" w:color="auto"/>
              <w:left w:val="single" w:sz="4" w:space="0" w:color="auto"/>
              <w:bottom w:val="single" w:sz="4" w:space="0" w:color="auto"/>
              <w:right w:val="single" w:sz="4" w:space="0" w:color="auto"/>
            </w:tcBorders>
          </w:tcPr>
          <w:p w14:paraId="35909D0E" w14:textId="77777777" w:rsidR="008E67EA" w:rsidRPr="007B63B7" w:rsidRDefault="008E67EA" w:rsidP="00B44A74">
            <w:pPr>
              <w:spacing w:line="280" w:lineRule="exact"/>
              <w:jc w:val="both"/>
              <w:rPr>
                <w:rFonts w:cs="Arial"/>
                <w:sz w:val="20"/>
                <w:szCs w:val="20"/>
              </w:rPr>
            </w:pPr>
          </w:p>
        </w:tc>
      </w:tr>
      <w:tr w:rsidR="008E67EA" w:rsidRPr="007B63B7" w14:paraId="03CA2860" w14:textId="77777777" w:rsidTr="00B44A74">
        <w:trPr>
          <w:jc w:val="center"/>
        </w:trPr>
        <w:tc>
          <w:tcPr>
            <w:tcW w:w="2415" w:type="dxa"/>
            <w:tcBorders>
              <w:top w:val="single" w:sz="4" w:space="0" w:color="auto"/>
              <w:left w:val="nil"/>
              <w:bottom w:val="single" w:sz="4" w:space="0" w:color="auto"/>
              <w:right w:val="nil"/>
            </w:tcBorders>
          </w:tcPr>
          <w:p w14:paraId="1E62F4BC" w14:textId="77777777" w:rsidR="008E67EA" w:rsidRPr="007B63B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5539D66" w14:textId="77777777" w:rsidR="008E67EA" w:rsidRPr="007B63B7" w:rsidRDefault="008E67EA" w:rsidP="00B44A74">
            <w:pPr>
              <w:spacing w:line="280" w:lineRule="exact"/>
              <w:rPr>
                <w:rFonts w:cs="Arial"/>
                <w:sz w:val="20"/>
                <w:szCs w:val="20"/>
              </w:rPr>
            </w:pPr>
          </w:p>
        </w:tc>
      </w:tr>
      <w:tr w:rsidR="008E67EA" w:rsidRPr="007B63B7" w14:paraId="2A2745B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D7BA7F0" w14:textId="77777777" w:rsidR="008E67EA" w:rsidRPr="007B63B7" w:rsidRDefault="008E67EA" w:rsidP="00B44A74">
            <w:pPr>
              <w:spacing w:line="280" w:lineRule="exact"/>
              <w:rPr>
                <w:rFonts w:cs="Arial"/>
                <w:sz w:val="20"/>
                <w:szCs w:val="20"/>
              </w:rPr>
            </w:pPr>
            <w:r w:rsidRPr="007B63B7">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0BE6A3D1" w14:textId="77777777" w:rsidR="008E67EA" w:rsidRPr="00076450" w:rsidRDefault="008E67EA" w:rsidP="00B44A74">
            <w:pPr>
              <w:spacing w:line="280" w:lineRule="exact"/>
              <w:rPr>
                <w:rFonts w:cs="Arial"/>
                <w:sz w:val="20"/>
                <w:szCs w:val="20"/>
              </w:rPr>
            </w:pPr>
            <w:r w:rsidRPr="00076450">
              <w:rPr>
                <w:rFonts w:cs="Arial"/>
                <w:sz w:val="20"/>
                <w:szCs w:val="20"/>
              </w:rPr>
              <w:t>For control of mice in industrial, commercial, public services, agricultural and domestic buildings and rats in and around industrial, commercial, public services, agricultural and domestic buildings.</w:t>
            </w:r>
          </w:p>
        </w:tc>
      </w:tr>
      <w:tr w:rsidR="008E67EA" w:rsidRPr="007B63B7" w14:paraId="05FDBAC2" w14:textId="77777777" w:rsidTr="00B44A74">
        <w:trPr>
          <w:jc w:val="center"/>
        </w:trPr>
        <w:tc>
          <w:tcPr>
            <w:tcW w:w="2415" w:type="dxa"/>
            <w:tcBorders>
              <w:top w:val="single" w:sz="4" w:space="0" w:color="auto"/>
              <w:left w:val="nil"/>
              <w:bottom w:val="single" w:sz="4" w:space="0" w:color="auto"/>
              <w:right w:val="nil"/>
            </w:tcBorders>
          </w:tcPr>
          <w:p w14:paraId="3FA97D0E" w14:textId="77777777" w:rsidR="008E67EA" w:rsidRPr="007B63B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42F4F2F" w14:textId="77777777" w:rsidR="008E67EA" w:rsidRPr="007B63B7" w:rsidRDefault="008E67EA" w:rsidP="00B44A74">
            <w:pPr>
              <w:spacing w:line="280" w:lineRule="exact"/>
              <w:rPr>
                <w:rFonts w:cs="Arial"/>
                <w:sz w:val="20"/>
                <w:szCs w:val="20"/>
              </w:rPr>
            </w:pPr>
          </w:p>
        </w:tc>
      </w:tr>
      <w:tr w:rsidR="008E67EA" w:rsidRPr="007B63B7" w14:paraId="3E4BB19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1F2618A" w14:textId="77777777" w:rsidR="008E67EA" w:rsidRPr="007B63B7" w:rsidRDefault="008E67EA" w:rsidP="00B44A74">
            <w:pPr>
              <w:spacing w:line="280" w:lineRule="exact"/>
              <w:rPr>
                <w:rFonts w:cs="Arial"/>
                <w:sz w:val="20"/>
                <w:szCs w:val="20"/>
              </w:rPr>
            </w:pPr>
            <w:r w:rsidRPr="007B63B7">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7A94ECC1" w14:textId="77777777" w:rsidR="008E67EA" w:rsidRPr="007B63B7" w:rsidRDefault="008E67EA" w:rsidP="00B44A74">
            <w:pPr>
              <w:spacing w:line="280" w:lineRule="exact"/>
              <w:rPr>
                <w:rFonts w:cs="Arial"/>
                <w:sz w:val="20"/>
                <w:szCs w:val="20"/>
              </w:rPr>
            </w:pPr>
            <w:r w:rsidRPr="00EC291B">
              <w:rPr>
                <w:rFonts w:cs="Arial"/>
                <w:sz w:val="20"/>
                <w:szCs w:val="20"/>
              </w:rPr>
              <w:t xml:space="preserve">[INSERT </w:t>
            </w:r>
            <w:r>
              <w:rPr>
                <w:rFonts w:cs="Arial"/>
                <w:sz w:val="20"/>
                <w:szCs w:val="20"/>
              </w:rPr>
              <w:t>NET CONTENTS</w:t>
            </w:r>
            <w:r w:rsidRPr="00EC291B">
              <w:rPr>
                <w:rFonts w:cs="Arial"/>
                <w:sz w:val="20"/>
                <w:szCs w:val="20"/>
              </w:rPr>
              <w:t>]</w:t>
            </w:r>
          </w:p>
        </w:tc>
      </w:tr>
      <w:tr w:rsidR="008E67EA" w:rsidRPr="007B63B7" w14:paraId="3727105E" w14:textId="77777777" w:rsidTr="00B44A74">
        <w:trPr>
          <w:jc w:val="center"/>
        </w:trPr>
        <w:tc>
          <w:tcPr>
            <w:tcW w:w="2415" w:type="dxa"/>
            <w:tcBorders>
              <w:top w:val="single" w:sz="4" w:space="0" w:color="auto"/>
              <w:left w:val="nil"/>
              <w:bottom w:val="single" w:sz="4" w:space="0" w:color="auto"/>
              <w:right w:val="nil"/>
            </w:tcBorders>
          </w:tcPr>
          <w:p w14:paraId="78E96D22" w14:textId="77777777" w:rsidR="008E67EA" w:rsidRPr="007B63B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E0CABC9" w14:textId="77777777" w:rsidR="008E67EA" w:rsidRPr="007B63B7" w:rsidRDefault="008E67EA" w:rsidP="00B44A74">
            <w:pPr>
              <w:spacing w:line="280" w:lineRule="exact"/>
              <w:rPr>
                <w:rFonts w:cs="Arial"/>
                <w:sz w:val="20"/>
                <w:szCs w:val="20"/>
              </w:rPr>
            </w:pPr>
          </w:p>
        </w:tc>
      </w:tr>
      <w:tr w:rsidR="008E67EA" w:rsidRPr="007B63B7" w14:paraId="3EE99FA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0ABB186" w14:textId="77777777" w:rsidR="008E67EA" w:rsidRPr="007B63B7" w:rsidRDefault="008E67EA" w:rsidP="00B44A74">
            <w:pPr>
              <w:spacing w:line="280" w:lineRule="exact"/>
              <w:rPr>
                <w:rFonts w:cs="Arial"/>
                <w:sz w:val="20"/>
                <w:szCs w:val="20"/>
              </w:rPr>
            </w:pPr>
            <w:r w:rsidRPr="007B63B7">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05C6578C" w14:textId="77777777" w:rsidR="008E67EA" w:rsidRPr="00D70F10" w:rsidRDefault="008E67EA" w:rsidP="00B44A74">
            <w:pPr>
              <w:spacing w:line="280" w:lineRule="exact"/>
              <w:rPr>
                <w:rFonts w:cs="Arial"/>
                <w:sz w:val="20"/>
                <w:szCs w:val="20"/>
              </w:rPr>
            </w:pPr>
            <w:r w:rsidRPr="00D70F10">
              <w:rPr>
                <w:rFonts w:cs="Arial"/>
                <w:sz w:val="20"/>
                <w:szCs w:val="20"/>
              </w:rPr>
              <w:t>RESTRAINTS</w:t>
            </w:r>
          </w:p>
          <w:p w14:paraId="25193EB3" w14:textId="77777777" w:rsidR="008E67EA" w:rsidRPr="00D70F10" w:rsidRDefault="008E67EA" w:rsidP="00B44A74">
            <w:pPr>
              <w:spacing w:line="280" w:lineRule="exact"/>
              <w:rPr>
                <w:rFonts w:cs="Arial"/>
                <w:sz w:val="20"/>
                <w:szCs w:val="20"/>
              </w:rPr>
            </w:pPr>
            <w:r w:rsidRPr="00D70F10">
              <w:rPr>
                <w:rFonts w:cs="Arial"/>
                <w:sz w:val="20"/>
                <w:szCs w:val="20"/>
              </w:rPr>
              <w:t>DO NOT use this product unless you have a current qualification in the nationally recognised training course for rodent pest management CPPUPM3006 - Manage pests by applying pesticides, or an equivalent unit of competency.</w:t>
            </w:r>
          </w:p>
          <w:p w14:paraId="54870C47" w14:textId="77777777" w:rsidR="008E67EA" w:rsidRPr="00D70F10" w:rsidRDefault="008E67EA" w:rsidP="00B44A74">
            <w:pPr>
              <w:spacing w:line="280" w:lineRule="exact"/>
              <w:rPr>
                <w:rFonts w:cs="Arial"/>
                <w:sz w:val="20"/>
                <w:szCs w:val="20"/>
              </w:rPr>
            </w:pPr>
            <w:r w:rsidRPr="00D70F10">
              <w:rPr>
                <w:rFonts w:cs="Arial"/>
                <w:sz w:val="20"/>
                <w:szCs w:val="20"/>
              </w:rPr>
              <w:t>DO NOT place baits in areas that are accessible to children. In child-accessible areas baits must be placed in tamper-</w:t>
            </w:r>
            <w:r>
              <w:rPr>
                <w:rFonts w:cs="Arial"/>
                <w:sz w:val="20"/>
                <w:szCs w:val="20"/>
                <w:bdr w:val="none" w:sz="0" w:space="0" w:color="auto" w:frame="1"/>
                <w:lang w:val="en-GB" w:eastAsia="en-AU"/>
              </w:rPr>
              <w:t>resistant</w:t>
            </w:r>
            <w:r w:rsidRPr="00D42DB3">
              <w:rPr>
                <w:rFonts w:cs="Arial"/>
                <w:sz w:val="20"/>
                <w:szCs w:val="20"/>
                <w:bdr w:val="none" w:sz="0" w:space="0" w:color="auto" w:frame="1"/>
                <w:lang w:val="en-GB" w:eastAsia="en-AU"/>
              </w:rPr>
              <w:t xml:space="preserve"> </w:t>
            </w:r>
            <w:r w:rsidRPr="00D70F10">
              <w:rPr>
                <w:rFonts w:cs="Arial"/>
                <w:sz w:val="20"/>
                <w:szCs w:val="20"/>
              </w:rPr>
              <w:t xml:space="preserve">bait stations. If bait can be dislodged from bait station, bait station must be secured in place. </w:t>
            </w:r>
          </w:p>
          <w:p w14:paraId="5BEEE2EC" w14:textId="77777777" w:rsidR="008E67EA" w:rsidRPr="00D70F10" w:rsidRDefault="008E67EA" w:rsidP="00B44A74">
            <w:pPr>
              <w:spacing w:line="280" w:lineRule="exact"/>
              <w:rPr>
                <w:rFonts w:cs="Arial"/>
                <w:sz w:val="20"/>
                <w:szCs w:val="20"/>
              </w:rPr>
            </w:pPr>
            <w:r w:rsidRPr="00D70F10">
              <w:rPr>
                <w:rFonts w:cs="Arial"/>
                <w:sz w:val="20"/>
                <w:szCs w:val="20"/>
              </w:rPr>
              <w:t>DO NOT place bait outdoors unless it is in a tamper</w:t>
            </w:r>
            <w:r>
              <w:rPr>
                <w:rFonts w:cs="Arial"/>
                <w:sz w:val="20"/>
                <w:szCs w:val="20"/>
              </w:rPr>
              <w:t>-</w:t>
            </w:r>
            <w:r>
              <w:rPr>
                <w:rFonts w:cs="Arial"/>
                <w:sz w:val="20"/>
                <w:szCs w:val="20"/>
                <w:bdr w:val="none" w:sz="0" w:space="0" w:color="auto" w:frame="1"/>
                <w:lang w:val="en-GB" w:eastAsia="en-AU"/>
              </w:rPr>
              <w:t>resistant</w:t>
            </w:r>
            <w:r w:rsidRPr="00D42DB3">
              <w:rPr>
                <w:rFonts w:cs="Arial"/>
                <w:sz w:val="20"/>
                <w:szCs w:val="20"/>
                <w:bdr w:val="none" w:sz="0" w:space="0" w:color="auto" w:frame="1"/>
                <w:lang w:val="en-GB" w:eastAsia="en-AU"/>
              </w:rPr>
              <w:t xml:space="preserve"> </w:t>
            </w:r>
            <w:r w:rsidRPr="00D70F10">
              <w:rPr>
                <w:rFonts w:cs="Arial"/>
                <w:sz w:val="20"/>
                <w:szCs w:val="20"/>
              </w:rPr>
              <w:t>bait station which is secured in place.</w:t>
            </w:r>
          </w:p>
          <w:p w14:paraId="76845D7C" w14:textId="77777777" w:rsidR="008E67EA" w:rsidRPr="00D70F10" w:rsidRDefault="008E67EA" w:rsidP="00B44A74">
            <w:pPr>
              <w:spacing w:line="280" w:lineRule="exact"/>
              <w:rPr>
                <w:rFonts w:cs="Arial"/>
                <w:sz w:val="20"/>
                <w:szCs w:val="20"/>
              </w:rPr>
            </w:pPr>
            <w:r w:rsidRPr="00D70F10">
              <w:rPr>
                <w:rFonts w:cs="Arial"/>
                <w:sz w:val="20"/>
                <w:szCs w:val="20"/>
              </w:rPr>
              <w:t>DO NOT place bait stations more than 2 meters from buildings.</w:t>
            </w:r>
          </w:p>
          <w:p w14:paraId="4F035183" w14:textId="77777777" w:rsidR="008E67EA" w:rsidRPr="00D70F10" w:rsidRDefault="008E67EA" w:rsidP="00B44A74">
            <w:pPr>
              <w:spacing w:line="280" w:lineRule="exact"/>
              <w:rPr>
                <w:rFonts w:cs="Arial"/>
                <w:sz w:val="20"/>
                <w:szCs w:val="20"/>
              </w:rPr>
            </w:pPr>
            <w:r w:rsidRPr="00D70F10">
              <w:rPr>
                <w:rFonts w:cs="Arial"/>
                <w:sz w:val="20"/>
                <w:szCs w:val="20"/>
              </w:rPr>
              <w:t>DO NOT place bait stations outdoors around buildings for control of mice.</w:t>
            </w:r>
          </w:p>
          <w:p w14:paraId="4D5AE4FB" w14:textId="77777777" w:rsidR="008E67EA" w:rsidRPr="00D70F10" w:rsidRDefault="008E67EA" w:rsidP="00B44A74">
            <w:pPr>
              <w:spacing w:line="280" w:lineRule="exact"/>
              <w:rPr>
                <w:rFonts w:cs="Arial"/>
                <w:sz w:val="20"/>
                <w:szCs w:val="20"/>
              </w:rPr>
            </w:pPr>
            <w:r w:rsidRPr="00D70F10">
              <w:rPr>
                <w:rFonts w:cs="Arial"/>
                <w:sz w:val="20"/>
                <w:szCs w:val="20"/>
              </w:rPr>
              <w:t>DO NOT bait in areas where wildlife may be collected for human consumption.</w:t>
            </w:r>
          </w:p>
          <w:p w14:paraId="330F5B95" w14:textId="77777777" w:rsidR="008E67EA" w:rsidRPr="00D70F10" w:rsidRDefault="008E67EA" w:rsidP="00B44A74">
            <w:pPr>
              <w:spacing w:line="280" w:lineRule="exact"/>
              <w:rPr>
                <w:rFonts w:cs="Arial"/>
                <w:sz w:val="20"/>
                <w:szCs w:val="20"/>
              </w:rPr>
            </w:pPr>
            <w:r w:rsidRPr="00D70F10">
              <w:rPr>
                <w:rFonts w:cs="Arial"/>
                <w:sz w:val="20"/>
                <w:szCs w:val="20"/>
              </w:rPr>
              <w:t>DO NOT place in animal or livestock housing unless used in tamper</w:t>
            </w:r>
            <w:r>
              <w:rPr>
                <w:rFonts w:cs="Arial"/>
                <w:sz w:val="20"/>
                <w:szCs w:val="20"/>
              </w:rPr>
              <w:t>-</w:t>
            </w:r>
            <w:r>
              <w:rPr>
                <w:rFonts w:cs="Arial"/>
                <w:sz w:val="20"/>
                <w:szCs w:val="20"/>
                <w:bdr w:val="none" w:sz="0" w:space="0" w:color="auto" w:frame="1"/>
                <w:lang w:val="en-GB" w:eastAsia="en-AU"/>
              </w:rPr>
              <w:t>resistant</w:t>
            </w:r>
            <w:r w:rsidRPr="00D42DB3">
              <w:rPr>
                <w:rFonts w:cs="Arial"/>
                <w:sz w:val="20"/>
                <w:szCs w:val="20"/>
                <w:bdr w:val="none" w:sz="0" w:space="0" w:color="auto" w:frame="1"/>
                <w:lang w:val="en-GB" w:eastAsia="en-AU"/>
              </w:rPr>
              <w:t xml:space="preserve"> </w:t>
            </w:r>
            <w:r w:rsidRPr="00D70F10">
              <w:rPr>
                <w:rFonts w:cs="Arial"/>
                <w:sz w:val="20"/>
                <w:szCs w:val="20"/>
              </w:rPr>
              <w:t>and weather</w:t>
            </w:r>
            <w:r>
              <w:rPr>
                <w:rFonts w:cs="Arial"/>
                <w:sz w:val="20"/>
                <w:szCs w:val="20"/>
              </w:rPr>
              <w:t>-</w:t>
            </w:r>
            <w:r w:rsidRPr="00D70F10">
              <w:rPr>
                <w:rFonts w:cs="Arial"/>
                <w:sz w:val="20"/>
                <w:szCs w:val="20"/>
              </w:rPr>
              <w:t>resistant bait stations fixed to the ground or other structures.</w:t>
            </w:r>
          </w:p>
          <w:p w14:paraId="6F393A45" w14:textId="77777777" w:rsidR="008E67EA" w:rsidRPr="00D70F10" w:rsidRDefault="008E67EA" w:rsidP="00B44A74">
            <w:pPr>
              <w:spacing w:line="280" w:lineRule="exact"/>
              <w:rPr>
                <w:rFonts w:cs="Arial"/>
                <w:sz w:val="20"/>
                <w:szCs w:val="20"/>
              </w:rPr>
            </w:pPr>
            <w:r w:rsidRPr="00D70F10">
              <w:rPr>
                <w:rFonts w:cs="Arial"/>
                <w:sz w:val="20"/>
                <w:szCs w:val="20"/>
              </w:rPr>
              <w:t>DO NOT place bait or bait stations above areas which would allow them to contaminate pig and poultry food or drinking water.</w:t>
            </w:r>
          </w:p>
          <w:p w14:paraId="017D4C6D" w14:textId="77777777" w:rsidR="008E67EA" w:rsidRPr="007B63B7" w:rsidRDefault="008E67EA" w:rsidP="00B44A74">
            <w:pPr>
              <w:spacing w:line="280" w:lineRule="exact"/>
              <w:rPr>
                <w:rFonts w:cs="Arial"/>
                <w:sz w:val="20"/>
                <w:szCs w:val="20"/>
              </w:rPr>
            </w:pPr>
            <w:r w:rsidRPr="00D70F10">
              <w:rPr>
                <w:rFonts w:cs="Arial"/>
                <w:sz w:val="20"/>
                <w:szCs w:val="20"/>
              </w:rPr>
              <w:t>DO NOT apply this product directly into burrows.</w:t>
            </w:r>
          </w:p>
        </w:tc>
      </w:tr>
      <w:tr w:rsidR="008E67EA" w:rsidRPr="007B63B7" w14:paraId="209E8A96" w14:textId="77777777" w:rsidTr="00B44A74">
        <w:trPr>
          <w:jc w:val="center"/>
        </w:trPr>
        <w:tc>
          <w:tcPr>
            <w:tcW w:w="2415" w:type="dxa"/>
            <w:tcBorders>
              <w:top w:val="single" w:sz="4" w:space="0" w:color="auto"/>
              <w:left w:val="nil"/>
              <w:bottom w:val="single" w:sz="4" w:space="0" w:color="auto"/>
              <w:right w:val="nil"/>
            </w:tcBorders>
          </w:tcPr>
          <w:p w14:paraId="239FA4E4" w14:textId="77777777" w:rsidR="008E67EA" w:rsidRPr="007B63B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E857321" w14:textId="77777777" w:rsidR="008E67EA" w:rsidRPr="007B63B7" w:rsidRDefault="008E67EA" w:rsidP="00B44A74">
            <w:pPr>
              <w:spacing w:line="280" w:lineRule="exact"/>
              <w:rPr>
                <w:rFonts w:cs="Arial"/>
                <w:sz w:val="20"/>
                <w:szCs w:val="20"/>
              </w:rPr>
            </w:pPr>
          </w:p>
        </w:tc>
      </w:tr>
      <w:tr w:rsidR="008E67EA" w:rsidRPr="007B63B7" w14:paraId="65ED438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D376EE9" w14:textId="77777777" w:rsidR="008E67EA" w:rsidRPr="007B63B7" w:rsidRDefault="008E67EA" w:rsidP="00B44A74">
            <w:pPr>
              <w:spacing w:line="280" w:lineRule="exact"/>
              <w:rPr>
                <w:rFonts w:cs="Arial"/>
                <w:sz w:val="20"/>
                <w:szCs w:val="20"/>
              </w:rPr>
            </w:pPr>
            <w:r w:rsidRPr="007B63B7">
              <w:rPr>
                <w:rFonts w:cs="Arial"/>
                <w:sz w:val="20"/>
                <w:szCs w:val="20"/>
              </w:rPr>
              <w:t>Directions for Use:</w:t>
            </w:r>
          </w:p>
        </w:tc>
        <w:tc>
          <w:tcPr>
            <w:tcW w:w="7755" w:type="dxa"/>
            <w:tcBorders>
              <w:top w:val="single" w:sz="4" w:space="0" w:color="auto"/>
              <w:left w:val="single" w:sz="4" w:space="0" w:color="auto"/>
              <w:bottom w:val="single" w:sz="4" w:space="0" w:color="auto"/>
              <w:right w:val="single" w:sz="4" w:space="0" w:color="auto"/>
            </w:tcBorders>
          </w:tcPr>
          <w:p w14:paraId="52A6D95A" w14:textId="77777777" w:rsidR="008E67EA" w:rsidRPr="00493BD9" w:rsidRDefault="008E67EA" w:rsidP="00B44A74">
            <w:pPr>
              <w:spacing w:line="280" w:lineRule="exact"/>
              <w:rPr>
                <w:rFonts w:cs="Arial"/>
                <w:color w:val="4472C4" w:themeColor="accent5"/>
                <w:sz w:val="20"/>
                <w:szCs w:val="20"/>
              </w:rPr>
            </w:pPr>
            <w:r w:rsidRPr="00B832BB">
              <w:rPr>
                <w:rFonts w:cs="Arial"/>
                <w:sz w:val="20"/>
                <w:szCs w:val="20"/>
              </w:rPr>
              <w:t>[This section contains an attachment below]</w:t>
            </w:r>
          </w:p>
        </w:tc>
      </w:tr>
      <w:tr w:rsidR="008E67EA" w:rsidRPr="007B63B7" w14:paraId="0B215E2A" w14:textId="77777777" w:rsidTr="00B44A74">
        <w:trPr>
          <w:jc w:val="center"/>
        </w:trPr>
        <w:tc>
          <w:tcPr>
            <w:tcW w:w="2415" w:type="dxa"/>
            <w:tcBorders>
              <w:top w:val="single" w:sz="4" w:space="0" w:color="auto"/>
              <w:left w:val="nil"/>
              <w:bottom w:val="single" w:sz="4" w:space="0" w:color="auto"/>
              <w:right w:val="nil"/>
            </w:tcBorders>
          </w:tcPr>
          <w:p w14:paraId="5A43CF0E" w14:textId="77777777" w:rsidR="008E67EA" w:rsidRPr="007B63B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66B3D73" w14:textId="77777777" w:rsidR="008E67EA" w:rsidRPr="007B63B7" w:rsidRDefault="008E67EA" w:rsidP="00B44A74">
            <w:pPr>
              <w:spacing w:line="280" w:lineRule="exact"/>
              <w:rPr>
                <w:rFonts w:cs="Arial"/>
                <w:sz w:val="20"/>
                <w:szCs w:val="20"/>
              </w:rPr>
            </w:pPr>
          </w:p>
        </w:tc>
      </w:tr>
      <w:tr w:rsidR="008E67EA" w:rsidRPr="007B63B7" w14:paraId="7778CA0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A262EA0" w14:textId="77777777" w:rsidR="008E67EA" w:rsidRPr="007B63B7" w:rsidRDefault="008E67EA" w:rsidP="00B44A74">
            <w:pPr>
              <w:spacing w:line="280" w:lineRule="exact"/>
              <w:rPr>
                <w:rFonts w:cs="Arial"/>
                <w:sz w:val="20"/>
                <w:szCs w:val="20"/>
              </w:rPr>
            </w:pPr>
            <w:r w:rsidRPr="007B63B7">
              <w:rPr>
                <w:rFonts w:cs="Arial"/>
                <w:sz w:val="20"/>
                <w:szCs w:val="20"/>
              </w:rPr>
              <w:t>Other Limitations:</w:t>
            </w:r>
          </w:p>
        </w:tc>
        <w:tc>
          <w:tcPr>
            <w:tcW w:w="7755" w:type="dxa"/>
            <w:tcBorders>
              <w:top w:val="single" w:sz="4" w:space="0" w:color="auto"/>
              <w:left w:val="single" w:sz="4" w:space="0" w:color="auto"/>
              <w:bottom w:val="single" w:sz="4" w:space="0" w:color="auto"/>
              <w:right w:val="single" w:sz="4" w:space="0" w:color="auto"/>
            </w:tcBorders>
          </w:tcPr>
          <w:p w14:paraId="45D780E6" w14:textId="77777777" w:rsidR="008E67EA" w:rsidRPr="007B63B7" w:rsidRDefault="008E67EA" w:rsidP="00B44A74">
            <w:pPr>
              <w:spacing w:line="280" w:lineRule="exact"/>
              <w:rPr>
                <w:rFonts w:cs="Arial"/>
                <w:sz w:val="20"/>
                <w:szCs w:val="20"/>
              </w:rPr>
            </w:pPr>
          </w:p>
        </w:tc>
      </w:tr>
      <w:tr w:rsidR="008E67EA" w:rsidRPr="007B63B7" w14:paraId="1E2886C7" w14:textId="77777777" w:rsidTr="00B44A74">
        <w:trPr>
          <w:jc w:val="center"/>
        </w:trPr>
        <w:tc>
          <w:tcPr>
            <w:tcW w:w="2415" w:type="dxa"/>
            <w:tcBorders>
              <w:top w:val="single" w:sz="4" w:space="0" w:color="auto"/>
              <w:left w:val="nil"/>
              <w:bottom w:val="single" w:sz="4" w:space="0" w:color="auto"/>
              <w:right w:val="nil"/>
            </w:tcBorders>
          </w:tcPr>
          <w:p w14:paraId="6FEC2E09" w14:textId="77777777" w:rsidR="008E67EA" w:rsidRPr="007B63B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2AEFCE4" w14:textId="77777777" w:rsidR="008E67EA" w:rsidRPr="007B63B7" w:rsidRDefault="008E67EA" w:rsidP="00B44A74">
            <w:pPr>
              <w:spacing w:line="280" w:lineRule="exact"/>
              <w:rPr>
                <w:rFonts w:cs="Arial"/>
                <w:sz w:val="20"/>
                <w:szCs w:val="20"/>
              </w:rPr>
            </w:pPr>
          </w:p>
        </w:tc>
      </w:tr>
      <w:tr w:rsidR="008E67EA" w:rsidRPr="007B63B7" w14:paraId="2B954C2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3C752DE" w14:textId="77777777" w:rsidR="008E67EA" w:rsidRPr="007B63B7" w:rsidRDefault="008E67EA" w:rsidP="00B44A74">
            <w:pPr>
              <w:spacing w:line="280" w:lineRule="exact"/>
              <w:rPr>
                <w:rFonts w:cs="Arial"/>
                <w:sz w:val="20"/>
                <w:szCs w:val="20"/>
              </w:rPr>
            </w:pPr>
            <w:r w:rsidRPr="007B63B7">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60C2C891" w14:textId="77777777" w:rsidR="008E67EA" w:rsidRPr="007B63B7" w:rsidRDefault="008E67EA" w:rsidP="00B44A74">
            <w:pPr>
              <w:spacing w:line="280" w:lineRule="exact"/>
              <w:rPr>
                <w:rFonts w:cs="Arial"/>
                <w:sz w:val="20"/>
                <w:szCs w:val="20"/>
              </w:rPr>
            </w:pPr>
          </w:p>
        </w:tc>
      </w:tr>
      <w:tr w:rsidR="008E67EA" w:rsidRPr="007B63B7" w14:paraId="0978048F" w14:textId="77777777" w:rsidTr="00B44A74">
        <w:trPr>
          <w:jc w:val="center"/>
        </w:trPr>
        <w:tc>
          <w:tcPr>
            <w:tcW w:w="2415" w:type="dxa"/>
            <w:tcBorders>
              <w:top w:val="single" w:sz="4" w:space="0" w:color="auto"/>
              <w:left w:val="nil"/>
              <w:bottom w:val="single" w:sz="4" w:space="0" w:color="auto"/>
              <w:right w:val="nil"/>
            </w:tcBorders>
          </w:tcPr>
          <w:p w14:paraId="19982A99" w14:textId="77777777" w:rsidR="008E67EA" w:rsidRPr="007B63B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DA6F7A9" w14:textId="77777777" w:rsidR="008E67EA" w:rsidRPr="007B63B7" w:rsidRDefault="008E67EA" w:rsidP="00B44A74">
            <w:pPr>
              <w:spacing w:line="280" w:lineRule="exact"/>
              <w:rPr>
                <w:rFonts w:cs="Arial"/>
                <w:sz w:val="20"/>
                <w:szCs w:val="20"/>
              </w:rPr>
            </w:pPr>
          </w:p>
        </w:tc>
      </w:tr>
      <w:tr w:rsidR="008E67EA" w:rsidRPr="007B63B7" w14:paraId="395C7B4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C53A6A8" w14:textId="77777777" w:rsidR="008E67EA" w:rsidRPr="007B63B7" w:rsidRDefault="008E67EA" w:rsidP="00B44A74">
            <w:pPr>
              <w:spacing w:line="280" w:lineRule="exact"/>
              <w:rPr>
                <w:rFonts w:cs="Arial"/>
                <w:sz w:val="20"/>
                <w:szCs w:val="20"/>
              </w:rPr>
            </w:pPr>
            <w:r w:rsidRPr="007B63B7">
              <w:rPr>
                <w:rFonts w:cs="Arial"/>
                <w:sz w:val="20"/>
                <w:szCs w:val="20"/>
              </w:rPr>
              <w:t>Trade Advice:</w:t>
            </w:r>
          </w:p>
        </w:tc>
        <w:tc>
          <w:tcPr>
            <w:tcW w:w="7755" w:type="dxa"/>
            <w:tcBorders>
              <w:top w:val="single" w:sz="4" w:space="0" w:color="auto"/>
              <w:left w:val="single" w:sz="4" w:space="0" w:color="auto"/>
              <w:bottom w:val="single" w:sz="4" w:space="0" w:color="auto"/>
              <w:right w:val="single" w:sz="4" w:space="0" w:color="auto"/>
            </w:tcBorders>
          </w:tcPr>
          <w:p w14:paraId="102D6A87" w14:textId="77777777" w:rsidR="008E67EA" w:rsidRPr="007B63B7" w:rsidRDefault="008E67EA" w:rsidP="00B44A74">
            <w:pPr>
              <w:spacing w:line="280" w:lineRule="exact"/>
              <w:rPr>
                <w:rFonts w:cs="Arial"/>
                <w:sz w:val="20"/>
                <w:szCs w:val="20"/>
              </w:rPr>
            </w:pPr>
          </w:p>
        </w:tc>
      </w:tr>
      <w:tr w:rsidR="008E67EA" w:rsidRPr="007B63B7" w14:paraId="016F7366" w14:textId="77777777" w:rsidTr="00B44A74">
        <w:trPr>
          <w:jc w:val="center"/>
        </w:trPr>
        <w:tc>
          <w:tcPr>
            <w:tcW w:w="2415" w:type="dxa"/>
            <w:tcBorders>
              <w:top w:val="single" w:sz="4" w:space="0" w:color="auto"/>
              <w:left w:val="nil"/>
              <w:bottom w:val="single" w:sz="4" w:space="0" w:color="auto"/>
              <w:right w:val="nil"/>
            </w:tcBorders>
          </w:tcPr>
          <w:p w14:paraId="2BF35D5E" w14:textId="77777777" w:rsidR="008E67EA" w:rsidRPr="007B63B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251A68E" w14:textId="77777777" w:rsidR="008E67EA" w:rsidRPr="007B63B7" w:rsidRDefault="008E67EA" w:rsidP="00B44A74">
            <w:pPr>
              <w:spacing w:line="280" w:lineRule="exact"/>
              <w:rPr>
                <w:rFonts w:cs="Arial"/>
                <w:sz w:val="20"/>
                <w:szCs w:val="20"/>
              </w:rPr>
            </w:pPr>
          </w:p>
        </w:tc>
      </w:tr>
      <w:tr w:rsidR="008E67EA" w:rsidRPr="007B63B7" w14:paraId="0CD5F11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BAAD36B" w14:textId="77777777" w:rsidR="008E67EA" w:rsidRPr="007B63B7" w:rsidRDefault="008E67EA" w:rsidP="00B44A74">
            <w:pPr>
              <w:spacing w:line="280" w:lineRule="exact"/>
              <w:rPr>
                <w:rFonts w:cs="Arial"/>
                <w:sz w:val="20"/>
                <w:szCs w:val="20"/>
              </w:rPr>
            </w:pPr>
            <w:r w:rsidRPr="007B63B7">
              <w:rPr>
                <w:rFonts w:cs="Arial"/>
                <w:sz w:val="20"/>
                <w:szCs w:val="20"/>
              </w:rPr>
              <w:lastRenderedPageBreak/>
              <w:t>General Directions:</w:t>
            </w:r>
          </w:p>
        </w:tc>
        <w:tc>
          <w:tcPr>
            <w:tcW w:w="7755" w:type="dxa"/>
            <w:tcBorders>
              <w:top w:val="single" w:sz="4" w:space="0" w:color="auto"/>
              <w:left w:val="single" w:sz="4" w:space="0" w:color="auto"/>
              <w:bottom w:val="single" w:sz="4" w:space="0" w:color="auto"/>
              <w:right w:val="single" w:sz="4" w:space="0" w:color="auto"/>
            </w:tcBorders>
          </w:tcPr>
          <w:p w14:paraId="537D6EA9" w14:textId="77777777" w:rsidR="008E67EA" w:rsidRPr="00076450" w:rsidRDefault="008E67EA" w:rsidP="00B44A74">
            <w:pPr>
              <w:spacing w:line="280" w:lineRule="exact"/>
              <w:rPr>
                <w:rFonts w:cs="Arial"/>
                <w:color w:val="000000" w:themeColor="text1"/>
                <w:sz w:val="20"/>
                <w:szCs w:val="20"/>
              </w:rPr>
            </w:pPr>
            <w:r w:rsidRPr="00076450">
              <w:rPr>
                <w:rFonts w:cs="Arial"/>
                <w:color w:val="000000" w:themeColor="text1"/>
                <w:sz w:val="20"/>
                <w:szCs w:val="20"/>
              </w:rPr>
              <w:t>GENERAL INSTRUCTIONS</w:t>
            </w:r>
          </w:p>
          <w:p w14:paraId="0E0B36FB" w14:textId="77777777" w:rsidR="008E67EA" w:rsidRPr="00076450" w:rsidRDefault="008E67EA" w:rsidP="00B44A74">
            <w:pPr>
              <w:spacing w:line="280" w:lineRule="exact"/>
              <w:rPr>
                <w:rFonts w:cs="Arial"/>
                <w:color w:val="000000" w:themeColor="text1"/>
                <w:sz w:val="20"/>
                <w:szCs w:val="20"/>
              </w:rPr>
            </w:pPr>
            <w:r w:rsidRPr="00076450">
              <w:rPr>
                <w:rFonts w:cs="Arial"/>
                <w:color w:val="000000" w:themeColor="text1"/>
                <w:sz w:val="20"/>
                <w:szCs w:val="20"/>
              </w:rPr>
              <w:t>This product is intended for use only in rodent bait stations. DO NOT apply the gel out in the open.</w:t>
            </w:r>
          </w:p>
          <w:p w14:paraId="5F48F46D" w14:textId="77777777" w:rsidR="008E67EA" w:rsidRPr="00493BD9" w:rsidRDefault="008E67EA" w:rsidP="00B44A74">
            <w:pPr>
              <w:spacing w:line="280" w:lineRule="exact"/>
              <w:rPr>
                <w:rFonts w:cs="Arial"/>
                <w:color w:val="4472C4" w:themeColor="accent5"/>
                <w:sz w:val="20"/>
                <w:szCs w:val="20"/>
              </w:rPr>
            </w:pPr>
            <w:r w:rsidRPr="00076450">
              <w:rPr>
                <w:rFonts w:cs="Arial"/>
                <w:color w:val="000000" w:themeColor="text1"/>
                <w:sz w:val="20"/>
                <w:szCs w:val="20"/>
              </w:rPr>
              <w:t>Insert the tube inside the caulking gun; cut a hole in the conical tip of the tube and insert the nozzle. Cut the nozzle above the screw thread taking care not to damage the thread itself, then dispense the product. Once finished, screw on the protecting cap and release the pressure of the caulking gun in order to prevent loss of the product. Keep the tube upside down.</w:t>
            </w:r>
          </w:p>
        </w:tc>
      </w:tr>
      <w:tr w:rsidR="008E67EA" w:rsidRPr="007B63B7" w14:paraId="42E5ED15" w14:textId="77777777" w:rsidTr="00B44A74">
        <w:trPr>
          <w:jc w:val="center"/>
        </w:trPr>
        <w:tc>
          <w:tcPr>
            <w:tcW w:w="2415" w:type="dxa"/>
            <w:tcBorders>
              <w:top w:val="single" w:sz="4" w:space="0" w:color="auto"/>
              <w:left w:val="nil"/>
              <w:bottom w:val="single" w:sz="4" w:space="0" w:color="auto"/>
              <w:right w:val="nil"/>
            </w:tcBorders>
          </w:tcPr>
          <w:p w14:paraId="068F8E26" w14:textId="77777777" w:rsidR="008E67EA" w:rsidRPr="007B63B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C4D0C83" w14:textId="77777777" w:rsidR="008E67EA" w:rsidRPr="007B63B7" w:rsidRDefault="008E67EA" w:rsidP="00B44A74">
            <w:pPr>
              <w:spacing w:line="280" w:lineRule="exact"/>
              <w:rPr>
                <w:rFonts w:cs="Arial"/>
                <w:sz w:val="20"/>
                <w:szCs w:val="20"/>
              </w:rPr>
            </w:pPr>
          </w:p>
        </w:tc>
      </w:tr>
      <w:tr w:rsidR="008E67EA" w:rsidRPr="007B63B7" w14:paraId="25C8EB5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9C52343" w14:textId="77777777" w:rsidR="008E67EA" w:rsidRPr="007B63B7" w:rsidRDefault="008E67EA" w:rsidP="00B44A74">
            <w:pPr>
              <w:spacing w:line="280" w:lineRule="exact"/>
              <w:rPr>
                <w:rFonts w:cs="Arial"/>
                <w:sz w:val="20"/>
                <w:szCs w:val="20"/>
              </w:rPr>
            </w:pPr>
            <w:r w:rsidRPr="007B63B7">
              <w:rPr>
                <w:rFonts w:cs="Arial"/>
                <w:sz w:val="20"/>
                <w:szCs w:val="20"/>
              </w:rPr>
              <w:t>Resistance Warning:</w:t>
            </w:r>
          </w:p>
        </w:tc>
        <w:tc>
          <w:tcPr>
            <w:tcW w:w="7755" w:type="dxa"/>
            <w:tcBorders>
              <w:top w:val="single" w:sz="4" w:space="0" w:color="auto"/>
              <w:left w:val="single" w:sz="4" w:space="0" w:color="auto"/>
              <w:bottom w:val="single" w:sz="4" w:space="0" w:color="auto"/>
              <w:right w:val="single" w:sz="4" w:space="0" w:color="auto"/>
            </w:tcBorders>
          </w:tcPr>
          <w:p w14:paraId="6AE672A4" w14:textId="77777777" w:rsidR="008E67EA" w:rsidRPr="007B63B7" w:rsidRDefault="008E67EA" w:rsidP="00B44A74">
            <w:pPr>
              <w:spacing w:line="280" w:lineRule="exact"/>
              <w:rPr>
                <w:rFonts w:cs="Arial"/>
                <w:sz w:val="20"/>
                <w:szCs w:val="20"/>
              </w:rPr>
            </w:pPr>
          </w:p>
        </w:tc>
      </w:tr>
      <w:tr w:rsidR="008E67EA" w:rsidRPr="007B63B7" w14:paraId="6827C884" w14:textId="77777777" w:rsidTr="00B44A74">
        <w:trPr>
          <w:jc w:val="center"/>
        </w:trPr>
        <w:tc>
          <w:tcPr>
            <w:tcW w:w="2415" w:type="dxa"/>
            <w:tcBorders>
              <w:top w:val="single" w:sz="4" w:space="0" w:color="auto"/>
              <w:left w:val="nil"/>
              <w:bottom w:val="single" w:sz="4" w:space="0" w:color="auto"/>
              <w:right w:val="nil"/>
            </w:tcBorders>
          </w:tcPr>
          <w:p w14:paraId="27F99338" w14:textId="77777777" w:rsidR="008E67EA" w:rsidRPr="007B63B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C9195AD" w14:textId="77777777" w:rsidR="008E67EA" w:rsidRPr="007B63B7" w:rsidRDefault="008E67EA" w:rsidP="00B44A74">
            <w:pPr>
              <w:spacing w:line="280" w:lineRule="exact"/>
              <w:rPr>
                <w:rFonts w:cs="Arial"/>
                <w:sz w:val="20"/>
                <w:szCs w:val="20"/>
              </w:rPr>
            </w:pPr>
          </w:p>
        </w:tc>
      </w:tr>
      <w:tr w:rsidR="008E67EA" w:rsidRPr="007B63B7" w14:paraId="1BE5F9D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9445268" w14:textId="77777777" w:rsidR="008E67EA" w:rsidRPr="007B63B7" w:rsidRDefault="008E67EA" w:rsidP="00B44A74">
            <w:pPr>
              <w:spacing w:line="280" w:lineRule="exact"/>
              <w:rPr>
                <w:rFonts w:cs="Arial"/>
                <w:sz w:val="20"/>
                <w:szCs w:val="20"/>
              </w:rPr>
            </w:pPr>
            <w:r w:rsidRPr="007B63B7">
              <w:rPr>
                <w:rFonts w:cs="Arial"/>
                <w:sz w:val="20"/>
                <w:szCs w:val="20"/>
              </w:rPr>
              <w:t>Precautions:</w:t>
            </w:r>
          </w:p>
        </w:tc>
        <w:tc>
          <w:tcPr>
            <w:tcW w:w="7755" w:type="dxa"/>
            <w:tcBorders>
              <w:top w:val="single" w:sz="4" w:space="0" w:color="auto"/>
              <w:left w:val="single" w:sz="4" w:space="0" w:color="auto"/>
              <w:bottom w:val="single" w:sz="4" w:space="0" w:color="auto"/>
              <w:right w:val="single" w:sz="4" w:space="0" w:color="auto"/>
            </w:tcBorders>
          </w:tcPr>
          <w:p w14:paraId="2D1A538C" w14:textId="77777777" w:rsidR="008E67EA" w:rsidRPr="00EC291B" w:rsidRDefault="008E67EA" w:rsidP="00B44A74">
            <w:pPr>
              <w:spacing w:line="280" w:lineRule="exact"/>
              <w:rPr>
                <w:rFonts w:cs="Arial"/>
                <w:sz w:val="20"/>
                <w:szCs w:val="20"/>
              </w:rPr>
            </w:pPr>
            <w:r w:rsidRPr="00EC291B">
              <w:rPr>
                <w:rFonts w:cs="Arial"/>
                <w:sz w:val="20"/>
                <w:szCs w:val="20"/>
              </w:rPr>
              <w:t>PRECAUTIONS</w:t>
            </w:r>
          </w:p>
          <w:p w14:paraId="6603EDAF" w14:textId="77777777" w:rsidR="008E67EA" w:rsidRPr="00EC291B" w:rsidRDefault="008E67EA" w:rsidP="00B44A74">
            <w:pPr>
              <w:spacing w:line="280" w:lineRule="exact"/>
              <w:rPr>
                <w:rFonts w:cs="Arial"/>
                <w:sz w:val="20"/>
                <w:szCs w:val="20"/>
              </w:rPr>
            </w:pPr>
            <w:r w:rsidRPr="00EC291B">
              <w:rPr>
                <w:rFonts w:cs="Arial"/>
                <w:sz w:val="20"/>
                <w:szCs w:val="20"/>
              </w:rPr>
              <w:t>Caution should be used when baiting near areas where hunting of wildlife may occur. Careful consideration of bait placement is necessary to avoid secondary exposure from contaminated wildlife that may be consumed.</w:t>
            </w:r>
          </w:p>
          <w:p w14:paraId="3FC24BE2" w14:textId="77777777" w:rsidR="008E67EA" w:rsidRPr="007B63B7" w:rsidRDefault="008E67EA" w:rsidP="00B44A74">
            <w:pPr>
              <w:spacing w:line="280" w:lineRule="exact"/>
              <w:rPr>
                <w:rFonts w:cs="Arial"/>
                <w:sz w:val="20"/>
                <w:szCs w:val="20"/>
              </w:rPr>
            </w:pPr>
            <w:r w:rsidRPr="00EC291B">
              <w:rPr>
                <w:rFonts w:cs="Arial"/>
                <w:sz w:val="20"/>
                <w:szCs w:val="20"/>
              </w:rPr>
              <w:t>DO NOT place bait in areas where there is a possibility of contaminating food, livestock feed or surfaces that come in direct contact with food or livestock feed.</w:t>
            </w:r>
          </w:p>
        </w:tc>
      </w:tr>
      <w:tr w:rsidR="008E67EA" w:rsidRPr="007B63B7" w14:paraId="5FDA8E37" w14:textId="77777777" w:rsidTr="00B44A74">
        <w:trPr>
          <w:jc w:val="center"/>
        </w:trPr>
        <w:tc>
          <w:tcPr>
            <w:tcW w:w="2415" w:type="dxa"/>
            <w:tcBorders>
              <w:top w:val="single" w:sz="4" w:space="0" w:color="auto"/>
              <w:left w:val="nil"/>
              <w:bottom w:val="single" w:sz="4" w:space="0" w:color="auto"/>
              <w:right w:val="nil"/>
            </w:tcBorders>
          </w:tcPr>
          <w:p w14:paraId="60AF682D" w14:textId="77777777" w:rsidR="008E67EA" w:rsidRPr="007B63B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43C7ED5" w14:textId="77777777" w:rsidR="008E67EA" w:rsidRPr="007B63B7" w:rsidRDefault="008E67EA" w:rsidP="00B44A74">
            <w:pPr>
              <w:spacing w:line="280" w:lineRule="exact"/>
              <w:rPr>
                <w:rFonts w:cs="Arial"/>
                <w:sz w:val="20"/>
                <w:szCs w:val="20"/>
              </w:rPr>
            </w:pPr>
          </w:p>
        </w:tc>
      </w:tr>
      <w:tr w:rsidR="008E67EA" w:rsidRPr="007B63B7" w14:paraId="363D821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E8EAFD7" w14:textId="77777777" w:rsidR="008E67EA" w:rsidRPr="007B63B7" w:rsidRDefault="008E67EA" w:rsidP="00B44A74">
            <w:pPr>
              <w:spacing w:line="280" w:lineRule="exact"/>
              <w:rPr>
                <w:rFonts w:cs="Arial"/>
                <w:sz w:val="20"/>
                <w:szCs w:val="20"/>
              </w:rPr>
            </w:pPr>
            <w:r w:rsidRPr="007B63B7">
              <w:rPr>
                <w:rFonts w:cs="Arial"/>
                <w:sz w:val="20"/>
                <w:szCs w:val="20"/>
              </w:rPr>
              <w:t>Protection Statements:</w:t>
            </w:r>
          </w:p>
        </w:tc>
        <w:tc>
          <w:tcPr>
            <w:tcW w:w="7755" w:type="dxa"/>
            <w:tcBorders>
              <w:top w:val="single" w:sz="4" w:space="0" w:color="auto"/>
              <w:left w:val="single" w:sz="4" w:space="0" w:color="auto"/>
              <w:bottom w:val="single" w:sz="4" w:space="0" w:color="auto"/>
              <w:right w:val="single" w:sz="4" w:space="0" w:color="auto"/>
            </w:tcBorders>
          </w:tcPr>
          <w:p w14:paraId="22FCBF79" w14:textId="77777777" w:rsidR="008E67EA" w:rsidRPr="00493BD9" w:rsidRDefault="008E67EA" w:rsidP="00B44A74">
            <w:pPr>
              <w:spacing w:line="280" w:lineRule="exact"/>
              <w:rPr>
                <w:rFonts w:cs="Arial"/>
                <w:sz w:val="20"/>
                <w:szCs w:val="20"/>
              </w:rPr>
            </w:pPr>
            <w:r w:rsidRPr="00493BD9">
              <w:rPr>
                <w:rFonts w:cs="Arial"/>
                <w:sz w:val="20"/>
                <w:szCs w:val="20"/>
              </w:rPr>
              <w:t>PROTECTION OF LIVESTOCK AND WILDLIFE</w:t>
            </w:r>
          </w:p>
          <w:p w14:paraId="554A3BCE" w14:textId="77777777" w:rsidR="008E67EA" w:rsidRPr="00493BD9" w:rsidRDefault="008E67EA" w:rsidP="00B44A74">
            <w:pPr>
              <w:spacing w:line="280" w:lineRule="exact"/>
              <w:rPr>
                <w:rFonts w:cs="Arial"/>
                <w:sz w:val="20"/>
                <w:szCs w:val="20"/>
              </w:rPr>
            </w:pPr>
            <w:r w:rsidRPr="00493BD9">
              <w:rPr>
                <w:rFonts w:cs="Arial"/>
                <w:sz w:val="20"/>
                <w:szCs w:val="20"/>
              </w:rPr>
              <w:t>Hazardous to livestock, poultry and wildlife. DO NOT place baits in locations that are accessible to domestic animals, livestock, non-target native animals or birds.</w:t>
            </w:r>
          </w:p>
          <w:p w14:paraId="1BE5262E" w14:textId="77777777" w:rsidR="008E67EA" w:rsidRPr="00493BD9" w:rsidRDefault="008E67EA" w:rsidP="00B44A74">
            <w:pPr>
              <w:spacing w:line="280" w:lineRule="exact"/>
              <w:rPr>
                <w:rFonts w:cs="Arial"/>
                <w:sz w:val="20"/>
                <w:szCs w:val="20"/>
              </w:rPr>
            </w:pPr>
            <w:r w:rsidRPr="00493BD9">
              <w:rPr>
                <w:rFonts w:cs="Arial"/>
                <w:sz w:val="20"/>
                <w:szCs w:val="20"/>
              </w:rPr>
              <w:t xml:space="preserve">Search for and dispose of dead rodents and slugs/snails in the infested area at each visit to prevent secondary poisoning. In case slugs/snails are present, move bait station to another location within the rodent infested site, away from slugs/snails. Dispose of slugs/snails in a way non-target animals are not exposed. Dispose of dead rodents and uneaten bait in compliance with local, state or territory government regulations. </w:t>
            </w:r>
          </w:p>
          <w:p w14:paraId="40F66C1B" w14:textId="77777777" w:rsidR="008E67EA" w:rsidRPr="00493BD9" w:rsidRDefault="008E67EA" w:rsidP="00B44A74">
            <w:pPr>
              <w:spacing w:line="280" w:lineRule="exact"/>
              <w:rPr>
                <w:rFonts w:cs="Arial"/>
                <w:sz w:val="20"/>
                <w:szCs w:val="20"/>
              </w:rPr>
            </w:pPr>
            <w:r w:rsidRPr="00493BD9">
              <w:rPr>
                <w:rFonts w:cs="Arial"/>
                <w:sz w:val="20"/>
                <w:szCs w:val="20"/>
              </w:rPr>
              <w:t>DO NOT allow livestock or poultry to consume dead or moribund mice and rats. All dead or moribund animals and rodent faeces from baited rodents MUST be removed from areas accessible to livestock or poultry.</w:t>
            </w:r>
          </w:p>
          <w:p w14:paraId="489E26E4" w14:textId="77777777" w:rsidR="008E67EA" w:rsidRPr="00493BD9" w:rsidRDefault="008E67EA" w:rsidP="00B44A74">
            <w:pPr>
              <w:spacing w:line="280" w:lineRule="exact"/>
              <w:rPr>
                <w:rFonts w:cs="Arial"/>
                <w:sz w:val="20"/>
                <w:szCs w:val="20"/>
              </w:rPr>
            </w:pPr>
          </w:p>
          <w:p w14:paraId="7646E5EC" w14:textId="77777777" w:rsidR="008E67EA" w:rsidRPr="00493BD9" w:rsidRDefault="008E67EA" w:rsidP="00B44A74">
            <w:pPr>
              <w:spacing w:line="280" w:lineRule="exact"/>
              <w:rPr>
                <w:rFonts w:cs="Arial"/>
                <w:sz w:val="20"/>
                <w:szCs w:val="20"/>
              </w:rPr>
            </w:pPr>
            <w:r w:rsidRPr="00493BD9">
              <w:rPr>
                <w:rFonts w:cs="Arial"/>
                <w:sz w:val="20"/>
                <w:szCs w:val="20"/>
              </w:rPr>
              <w:t>PROTECTION OF FISH, CRUSTACEANS AND ENVIRONMENT</w:t>
            </w:r>
          </w:p>
          <w:p w14:paraId="18EF7A8F" w14:textId="5C560694" w:rsidR="008E67EA" w:rsidRPr="00D70F10" w:rsidRDefault="008E67EA" w:rsidP="00B44A74">
            <w:pPr>
              <w:spacing w:line="280" w:lineRule="exact"/>
              <w:rPr>
                <w:rFonts w:cs="Arial"/>
                <w:sz w:val="20"/>
                <w:szCs w:val="20"/>
              </w:rPr>
            </w:pPr>
            <w:r w:rsidRPr="00493BD9">
              <w:rPr>
                <w:rFonts w:cs="Arial"/>
                <w:sz w:val="20"/>
                <w:szCs w:val="20"/>
              </w:rPr>
              <w:t>Very toxic to aquatic life. DO NOT contaminate wetlands or watercourses with this product or used containers. Place the bait stations in areas not liable to flooding. When placing bait stations close to water drainage systems, ensure that bait contact with water is avoided.</w:t>
            </w:r>
          </w:p>
        </w:tc>
      </w:tr>
      <w:tr w:rsidR="008E67EA" w:rsidRPr="007B63B7" w14:paraId="2CD20C8C" w14:textId="77777777" w:rsidTr="00B44A74">
        <w:trPr>
          <w:jc w:val="center"/>
        </w:trPr>
        <w:tc>
          <w:tcPr>
            <w:tcW w:w="2415" w:type="dxa"/>
            <w:tcBorders>
              <w:top w:val="single" w:sz="4" w:space="0" w:color="auto"/>
              <w:left w:val="nil"/>
              <w:bottom w:val="single" w:sz="4" w:space="0" w:color="auto"/>
              <w:right w:val="nil"/>
            </w:tcBorders>
          </w:tcPr>
          <w:p w14:paraId="70B554EB" w14:textId="77777777" w:rsidR="008E67EA" w:rsidRPr="007B63B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787B906" w14:textId="77777777" w:rsidR="008E67EA" w:rsidRPr="007B63B7" w:rsidRDefault="008E67EA" w:rsidP="00B44A74">
            <w:pPr>
              <w:spacing w:line="280" w:lineRule="exact"/>
              <w:rPr>
                <w:rFonts w:cs="Arial"/>
                <w:sz w:val="20"/>
                <w:szCs w:val="20"/>
              </w:rPr>
            </w:pPr>
          </w:p>
        </w:tc>
      </w:tr>
      <w:tr w:rsidR="008E67EA" w:rsidRPr="007B63B7" w14:paraId="66B2B64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13829F5" w14:textId="77777777" w:rsidR="008E67EA" w:rsidRPr="007B63B7" w:rsidRDefault="008E67EA" w:rsidP="00B44A74">
            <w:pPr>
              <w:spacing w:line="280" w:lineRule="exact"/>
              <w:rPr>
                <w:rFonts w:cs="Arial"/>
                <w:sz w:val="20"/>
                <w:szCs w:val="20"/>
              </w:rPr>
            </w:pPr>
            <w:r w:rsidRPr="007B63B7">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32AE6057" w14:textId="3729D521" w:rsidR="008E67EA" w:rsidRPr="007B63B7" w:rsidRDefault="008E67EA" w:rsidP="00B44A74">
            <w:pPr>
              <w:spacing w:line="280" w:lineRule="exact"/>
              <w:rPr>
                <w:rFonts w:cs="Arial"/>
                <w:sz w:val="20"/>
                <w:szCs w:val="20"/>
              </w:rPr>
            </w:pPr>
            <w:r w:rsidRPr="00EC291B">
              <w:rPr>
                <w:rFonts w:cs="Arial"/>
                <w:sz w:val="20"/>
                <w:szCs w:val="20"/>
              </w:rPr>
              <w:t>STORAGE AND DISPOSAL</w:t>
            </w:r>
            <w:r w:rsidR="00A34D88">
              <w:rPr>
                <w:rFonts w:cs="Arial"/>
                <w:sz w:val="20"/>
                <w:szCs w:val="20"/>
              </w:rPr>
              <w:br/>
            </w:r>
            <w:r w:rsidRPr="00EC291B">
              <w:rPr>
                <w:rFonts w:cs="Arial"/>
                <w:sz w:val="20"/>
                <w:szCs w:val="20"/>
              </w:rPr>
              <w:t>Store in the closed, original container in a cool dry place out of reach of children.</w:t>
            </w:r>
            <w:r w:rsidR="00A34D88">
              <w:rPr>
                <w:rFonts w:cs="Arial"/>
                <w:sz w:val="20"/>
                <w:szCs w:val="20"/>
              </w:rPr>
              <w:br/>
            </w:r>
            <w:r w:rsidRPr="00EC291B">
              <w:rPr>
                <w:rFonts w:cs="Arial"/>
                <w:sz w:val="20"/>
                <w:szCs w:val="20"/>
              </w:rPr>
              <w:t>DO NOT store in direct sunlight. Triple rinse containers before disposal. Break, crush or puncture and deliver empty packaging to an approved waste management facility. If an approved waste management facility is not available, dispose of empty packaging in compliance with relevant local, state or territory government regulations. Dispose of unused product in compliance with relevant local, state or territory government regulations. DO NOT burn empty containers or product.</w:t>
            </w:r>
          </w:p>
        </w:tc>
      </w:tr>
      <w:tr w:rsidR="008E67EA" w:rsidRPr="007B63B7" w14:paraId="2ADAF937" w14:textId="77777777" w:rsidTr="00B44A74">
        <w:trPr>
          <w:jc w:val="center"/>
        </w:trPr>
        <w:tc>
          <w:tcPr>
            <w:tcW w:w="2415" w:type="dxa"/>
            <w:tcBorders>
              <w:top w:val="single" w:sz="4" w:space="0" w:color="auto"/>
              <w:left w:val="nil"/>
              <w:bottom w:val="single" w:sz="4" w:space="0" w:color="auto"/>
              <w:right w:val="nil"/>
            </w:tcBorders>
          </w:tcPr>
          <w:p w14:paraId="7106D4D8" w14:textId="77777777" w:rsidR="008E67EA" w:rsidRPr="007B63B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E205EA0" w14:textId="77777777" w:rsidR="008E67EA" w:rsidRPr="007B63B7" w:rsidRDefault="008E67EA" w:rsidP="00B44A74">
            <w:pPr>
              <w:spacing w:line="280" w:lineRule="exact"/>
              <w:rPr>
                <w:rFonts w:cs="Arial"/>
                <w:sz w:val="20"/>
                <w:szCs w:val="20"/>
              </w:rPr>
            </w:pPr>
          </w:p>
        </w:tc>
      </w:tr>
      <w:tr w:rsidR="008E67EA" w:rsidRPr="007B63B7" w14:paraId="228A259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D978BB2" w14:textId="77777777" w:rsidR="008E67EA" w:rsidRPr="007B63B7" w:rsidRDefault="008E67EA" w:rsidP="00B44A74">
            <w:pPr>
              <w:spacing w:line="280" w:lineRule="exact"/>
              <w:rPr>
                <w:rFonts w:cs="Arial"/>
                <w:sz w:val="20"/>
                <w:szCs w:val="20"/>
              </w:rPr>
            </w:pPr>
            <w:r w:rsidRPr="007B63B7">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29D707E7" w14:textId="77777777" w:rsidR="008E67EA" w:rsidRPr="007B63B7" w:rsidRDefault="008E67EA" w:rsidP="00B44A74">
            <w:pPr>
              <w:spacing w:line="280" w:lineRule="exact"/>
              <w:rPr>
                <w:rFonts w:cs="Arial"/>
                <w:sz w:val="20"/>
                <w:szCs w:val="20"/>
              </w:rPr>
            </w:pPr>
            <w:r w:rsidRPr="007B63B7">
              <w:rPr>
                <w:rFonts w:cs="Arial"/>
                <w:sz w:val="20"/>
                <w:szCs w:val="20"/>
              </w:rPr>
              <w:t>SAFETY DIRECTIONS</w:t>
            </w:r>
          </w:p>
          <w:p w14:paraId="3956F366" w14:textId="77777777" w:rsidR="008E67EA" w:rsidRPr="00D70F10" w:rsidRDefault="008E67EA" w:rsidP="00B44A74">
            <w:pPr>
              <w:spacing w:line="280" w:lineRule="exact"/>
              <w:rPr>
                <w:rFonts w:cs="Arial"/>
                <w:sz w:val="20"/>
                <w:szCs w:val="20"/>
              </w:rPr>
            </w:pPr>
            <w:r w:rsidRPr="00D70F10">
              <w:rPr>
                <w:rFonts w:cs="Arial"/>
                <w:sz w:val="20"/>
                <w:szCs w:val="20"/>
              </w:rPr>
              <w:lastRenderedPageBreak/>
              <w:t>Repeated minor exposure may have a cumulative poisoning effect. Do not touch bait. When using the product wear disposable gloves. If on skin and after each baiting, wash thoroughly with soap and water.</w:t>
            </w:r>
          </w:p>
          <w:p w14:paraId="57C458A9" w14:textId="5A2C7806" w:rsidR="008E67EA" w:rsidRPr="007B63B7" w:rsidRDefault="008E67EA" w:rsidP="00B44A74">
            <w:pPr>
              <w:spacing w:line="280" w:lineRule="exact"/>
              <w:rPr>
                <w:rFonts w:cs="Arial"/>
                <w:sz w:val="20"/>
                <w:szCs w:val="20"/>
              </w:rPr>
            </w:pPr>
            <w:r w:rsidRPr="00D70F10">
              <w:rPr>
                <w:rFonts w:cs="Arial"/>
                <w:sz w:val="20"/>
                <w:szCs w:val="20"/>
              </w:rPr>
              <w:t>During cleanup and disposal operations of bait and bait stations, wear a single layer of clothing and disposable gloves. Wear disposable gloves when handling rodent carcasses. Wash clothes after performing re-handling activities.</w:t>
            </w:r>
          </w:p>
        </w:tc>
      </w:tr>
      <w:tr w:rsidR="008E67EA" w:rsidRPr="007B63B7" w14:paraId="00E866CA" w14:textId="77777777" w:rsidTr="00B44A74">
        <w:trPr>
          <w:jc w:val="center"/>
        </w:trPr>
        <w:tc>
          <w:tcPr>
            <w:tcW w:w="2415" w:type="dxa"/>
            <w:tcBorders>
              <w:top w:val="single" w:sz="4" w:space="0" w:color="auto"/>
              <w:left w:val="nil"/>
              <w:bottom w:val="single" w:sz="4" w:space="0" w:color="auto"/>
              <w:right w:val="nil"/>
            </w:tcBorders>
          </w:tcPr>
          <w:p w14:paraId="28D19FD3" w14:textId="77777777" w:rsidR="008E67EA" w:rsidRPr="007B63B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CED2671" w14:textId="77777777" w:rsidR="008E67EA" w:rsidRPr="007B63B7" w:rsidRDefault="008E67EA" w:rsidP="00B44A74">
            <w:pPr>
              <w:spacing w:line="280" w:lineRule="exact"/>
              <w:rPr>
                <w:rFonts w:cs="Arial"/>
                <w:sz w:val="20"/>
                <w:szCs w:val="20"/>
              </w:rPr>
            </w:pPr>
          </w:p>
        </w:tc>
      </w:tr>
      <w:tr w:rsidR="008E67EA" w:rsidRPr="007B63B7" w14:paraId="03CEABE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EBC0D86" w14:textId="77777777" w:rsidR="008E67EA" w:rsidRPr="007B63B7" w:rsidRDefault="008E67EA" w:rsidP="00B44A74">
            <w:pPr>
              <w:spacing w:line="280" w:lineRule="exact"/>
              <w:rPr>
                <w:rFonts w:cs="Arial"/>
                <w:sz w:val="20"/>
                <w:szCs w:val="20"/>
              </w:rPr>
            </w:pPr>
            <w:r w:rsidRPr="007B63B7">
              <w:rPr>
                <w:rFonts w:cs="Arial"/>
                <w:sz w:val="20"/>
                <w:szCs w:val="20"/>
              </w:rPr>
              <w:t>First Aid Instructions:</w:t>
            </w:r>
          </w:p>
        </w:tc>
        <w:tc>
          <w:tcPr>
            <w:tcW w:w="7755" w:type="dxa"/>
            <w:tcBorders>
              <w:top w:val="single" w:sz="4" w:space="0" w:color="auto"/>
              <w:left w:val="single" w:sz="4" w:space="0" w:color="auto"/>
              <w:bottom w:val="single" w:sz="4" w:space="0" w:color="auto"/>
              <w:right w:val="single" w:sz="4" w:space="0" w:color="auto"/>
            </w:tcBorders>
          </w:tcPr>
          <w:p w14:paraId="3F5FCC16" w14:textId="77777777" w:rsidR="008E67EA" w:rsidRPr="007B63B7" w:rsidRDefault="008E67EA" w:rsidP="00B44A74">
            <w:pPr>
              <w:spacing w:line="280" w:lineRule="exact"/>
              <w:rPr>
                <w:rFonts w:cs="Arial"/>
                <w:sz w:val="20"/>
                <w:szCs w:val="20"/>
              </w:rPr>
            </w:pPr>
            <w:r w:rsidRPr="007B63B7">
              <w:rPr>
                <w:rFonts w:cs="Arial"/>
                <w:sz w:val="20"/>
                <w:szCs w:val="20"/>
              </w:rPr>
              <w:t>FIRST AID</w:t>
            </w:r>
          </w:p>
          <w:p w14:paraId="5925377D" w14:textId="77777777" w:rsidR="008E67EA" w:rsidRPr="007B63B7" w:rsidRDefault="008E67EA" w:rsidP="00B44A74">
            <w:pPr>
              <w:spacing w:line="280" w:lineRule="exact"/>
              <w:rPr>
                <w:rFonts w:cs="Arial"/>
                <w:sz w:val="20"/>
                <w:szCs w:val="20"/>
              </w:rPr>
            </w:pPr>
            <w:r w:rsidRPr="007B63B7">
              <w:rPr>
                <w:rFonts w:cs="Arial"/>
                <w:sz w:val="20"/>
                <w:szCs w:val="20"/>
              </w:rPr>
              <w:t>If poisoning occurs, contact a doctor or Poisons Information Centre. Phone Australia 13 11 26, New Zealand 0800 764 766. Vitamin K1 (Phytomenadione) is antidotal.</w:t>
            </w:r>
          </w:p>
        </w:tc>
      </w:tr>
      <w:tr w:rsidR="008E67EA" w:rsidRPr="007B63B7" w14:paraId="6FA7A7AB" w14:textId="77777777" w:rsidTr="00B44A74">
        <w:trPr>
          <w:jc w:val="center"/>
        </w:trPr>
        <w:tc>
          <w:tcPr>
            <w:tcW w:w="2415" w:type="dxa"/>
            <w:tcBorders>
              <w:top w:val="single" w:sz="4" w:space="0" w:color="auto"/>
              <w:left w:val="nil"/>
              <w:bottom w:val="single" w:sz="4" w:space="0" w:color="auto"/>
              <w:right w:val="nil"/>
            </w:tcBorders>
          </w:tcPr>
          <w:p w14:paraId="2AA56934" w14:textId="77777777" w:rsidR="008E67EA" w:rsidRPr="007B63B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6C1B0C8" w14:textId="77777777" w:rsidR="008E67EA" w:rsidRPr="007B63B7" w:rsidRDefault="008E67EA" w:rsidP="00B44A74">
            <w:pPr>
              <w:spacing w:line="280" w:lineRule="exact"/>
              <w:rPr>
                <w:rFonts w:cs="Arial"/>
                <w:sz w:val="20"/>
                <w:szCs w:val="20"/>
              </w:rPr>
            </w:pPr>
          </w:p>
        </w:tc>
      </w:tr>
      <w:tr w:rsidR="008E67EA" w:rsidRPr="007B63B7" w14:paraId="3A5C177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DD8421C" w14:textId="77777777" w:rsidR="008E67EA" w:rsidRPr="007B63B7" w:rsidRDefault="008E67EA" w:rsidP="00B44A74">
            <w:pPr>
              <w:spacing w:line="280" w:lineRule="exact"/>
              <w:rPr>
                <w:rFonts w:cs="Arial"/>
                <w:sz w:val="20"/>
                <w:szCs w:val="20"/>
              </w:rPr>
            </w:pPr>
            <w:r w:rsidRPr="007B63B7">
              <w:rPr>
                <w:rFonts w:cs="Arial"/>
                <w:sz w:val="20"/>
                <w:szCs w:val="20"/>
              </w:rPr>
              <w:t>First Aid Warnings:</w:t>
            </w:r>
          </w:p>
        </w:tc>
        <w:tc>
          <w:tcPr>
            <w:tcW w:w="7755" w:type="dxa"/>
            <w:tcBorders>
              <w:top w:val="single" w:sz="4" w:space="0" w:color="auto"/>
              <w:left w:val="single" w:sz="4" w:space="0" w:color="auto"/>
              <w:bottom w:val="single" w:sz="4" w:space="0" w:color="auto"/>
              <w:right w:val="single" w:sz="4" w:space="0" w:color="auto"/>
            </w:tcBorders>
          </w:tcPr>
          <w:p w14:paraId="3C6CF0BB" w14:textId="77777777" w:rsidR="008E67EA" w:rsidRPr="007B63B7" w:rsidRDefault="008E67EA" w:rsidP="00B44A74">
            <w:pPr>
              <w:spacing w:line="280" w:lineRule="exact"/>
              <w:rPr>
                <w:rFonts w:cs="Arial"/>
                <w:sz w:val="20"/>
                <w:szCs w:val="20"/>
              </w:rPr>
            </w:pPr>
          </w:p>
        </w:tc>
      </w:tr>
    </w:tbl>
    <w:p w14:paraId="79FE0347" w14:textId="77777777" w:rsidR="008E67EA" w:rsidRPr="00493BD9" w:rsidRDefault="008E67EA" w:rsidP="008E67EA">
      <w:pPr>
        <w:spacing w:line="240" w:lineRule="exact"/>
        <w:rPr>
          <w:rFonts w:cs="Arial"/>
          <w:sz w:val="20"/>
          <w:szCs w:val="20"/>
        </w:rPr>
      </w:pPr>
    </w:p>
    <w:p w14:paraId="20D0B813" w14:textId="77777777" w:rsidR="008E67EA" w:rsidRPr="00867EDB" w:rsidRDefault="008E67EA" w:rsidP="008E67EA">
      <w:pPr>
        <w:spacing w:line="280" w:lineRule="exact"/>
        <w:rPr>
          <w:rFonts w:cs="Arial"/>
          <w:b/>
          <w:bCs/>
          <w:sz w:val="20"/>
          <w:szCs w:val="20"/>
        </w:rPr>
      </w:pPr>
      <w:r w:rsidRPr="00867EDB">
        <w:rPr>
          <w:rFonts w:cs="Arial"/>
          <w:b/>
          <w:bCs/>
          <w:sz w:val="20"/>
          <w:szCs w:val="20"/>
        </w:rPr>
        <w:t>DIRECTIONS FOR USE</w:t>
      </w:r>
    </w:p>
    <w:tbl>
      <w:tblPr>
        <w:tblStyle w:val="TableGrid"/>
        <w:tblW w:w="48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1"/>
        <w:gridCol w:w="1515"/>
        <w:gridCol w:w="1431"/>
        <w:gridCol w:w="3559"/>
      </w:tblGrid>
      <w:tr w:rsidR="008E67EA" w:rsidRPr="00C118CC" w14:paraId="5C1C9E06" w14:textId="77777777" w:rsidTr="00731415">
        <w:trPr>
          <w:trHeight w:val="340"/>
        </w:trPr>
        <w:tc>
          <w:tcPr>
            <w:tcW w:w="1531" w:type="pct"/>
          </w:tcPr>
          <w:p w14:paraId="02327F5B" w14:textId="77777777" w:rsidR="008E67EA" w:rsidRPr="002F6425" w:rsidRDefault="008E67EA" w:rsidP="00B44A74">
            <w:pPr>
              <w:spacing w:line="280" w:lineRule="exact"/>
              <w:rPr>
                <w:rFonts w:cs="Arial"/>
                <w:b/>
                <w:bCs/>
                <w:spacing w:val="-2"/>
                <w:w w:val="105"/>
                <w:szCs w:val="18"/>
              </w:rPr>
            </w:pPr>
            <w:r w:rsidRPr="002F6425">
              <w:rPr>
                <w:rFonts w:cs="Arial"/>
                <w:b/>
                <w:bCs/>
                <w:szCs w:val="18"/>
              </w:rPr>
              <w:t>SITUATION</w:t>
            </w:r>
          </w:p>
        </w:tc>
        <w:tc>
          <w:tcPr>
            <w:tcW w:w="808" w:type="pct"/>
          </w:tcPr>
          <w:p w14:paraId="664C805A" w14:textId="77777777" w:rsidR="008E67EA" w:rsidRPr="002F6425" w:rsidRDefault="008E67EA" w:rsidP="00B44A74">
            <w:pPr>
              <w:pStyle w:val="TableParagraph"/>
              <w:spacing w:before="61"/>
              <w:rPr>
                <w:b/>
                <w:bCs/>
                <w:spacing w:val="-4"/>
                <w:sz w:val="18"/>
                <w:szCs w:val="18"/>
              </w:rPr>
            </w:pPr>
            <w:r w:rsidRPr="002F6425">
              <w:rPr>
                <w:b/>
                <w:bCs/>
                <w:sz w:val="18"/>
                <w:szCs w:val="18"/>
              </w:rPr>
              <w:t>PEST</w:t>
            </w:r>
          </w:p>
        </w:tc>
        <w:tc>
          <w:tcPr>
            <w:tcW w:w="763" w:type="pct"/>
          </w:tcPr>
          <w:p w14:paraId="1FE4E2AD" w14:textId="77777777" w:rsidR="008E67EA" w:rsidRPr="002F6425" w:rsidRDefault="008E67EA" w:rsidP="00B44A74">
            <w:pPr>
              <w:pStyle w:val="TableParagraph"/>
              <w:spacing w:before="61"/>
              <w:rPr>
                <w:b/>
                <w:bCs/>
                <w:sz w:val="18"/>
                <w:szCs w:val="18"/>
              </w:rPr>
            </w:pPr>
            <w:r w:rsidRPr="002F6425">
              <w:rPr>
                <w:b/>
                <w:bCs/>
                <w:sz w:val="18"/>
                <w:szCs w:val="18"/>
              </w:rPr>
              <w:t>RATE</w:t>
            </w:r>
          </w:p>
        </w:tc>
        <w:tc>
          <w:tcPr>
            <w:tcW w:w="1899" w:type="pct"/>
          </w:tcPr>
          <w:p w14:paraId="2AD8D97F" w14:textId="77777777" w:rsidR="008E67EA" w:rsidRPr="002F6425" w:rsidRDefault="008E67EA" w:rsidP="00B44A74">
            <w:pPr>
              <w:pStyle w:val="TableParagraph"/>
              <w:spacing w:before="61"/>
              <w:rPr>
                <w:b/>
                <w:bCs/>
                <w:color w:val="7030A0"/>
                <w:sz w:val="18"/>
                <w:szCs w:val="18"/>
              </w:rPr>
            </w:pPr>
            <w:r w:rsidRPr="002F6425">
              <w:rPr>
                <w:b/>
                <w:bCs/>
                <w:sz w:val="18"/>
                <w:szCs w:val="18"/>
              </w:rPr>
              <w:t>CRITICAL COMMENTS</w:t>
            </w:r>
          </w:p>
        </w:tc>
      </w:tr>
      <w:tr w:rsidR="008E67EA" w:rsidRPr="00C118CC" w14:paraId="3118CBEF" w14:textId="77777777" w:rsidTr="00731415">
        <w:trPr>
          <w:trHeight w:val="1050"/>
        </w:trPr>
        <w:tc>
          <w:tcPr>
            <w:tcW w:w="1531" w:type="pct"/>
          </w:tcPr>
          <w:p w14:paraId="50E7318F" w14:textId="77777777" w:rsidR="008E67EA" w:rsidRPr="00582001" w:rsidRDefault="008E67EA" w:rsidP="00B44A74">
            <w:pPr>
              <w:spacing w:line="240" w:lineRule="exact"/>
              <w:rPr>
                <w:rFonts w:cs="Arial"/>
                <w:b/>
                <w:spacing w:val="-2"/>
                <w:w w:val="105"/>
                <w:szCs w:val="18"/>
              </w:rPr>
            </w:pPr>
            <w:r w:rsidRPr="00582001">
              <w:rPr>
                <w:rFonts w:cs="Arial"/>
                <w:b/>
                <w:spacing w:val="-2"/>
                <w:w w:val="105"/>
                <w:szCs w:val="18"/>
              </w:rPr>
              <w:t xml:space="preserve">Clean Out Treatments </w:t>
            </w:r>
          </w:p>
          <w:p w14:paraId="50650B92" w14:textId="77777777" w:rsidR="008E67EA" w:rsidRPr="00582001" w:rsidRDefault="008E67EA" w:rsidP="00B44A74">
            <w:pPr>
              <w:spacing w:line="240" w:lineRule="exact"/>
              <w:rPr>
                <w:rFonts w:cs="Arial"/>
                <w:bCs/>
                <w:spacing w:val="-2"/>
                <w:w w:val="105"/>
                <w:szCs w:val="18"/>
              </w:rPr>
            </w:pPr>
            <w:r w:rsidRPr="00582001">
              <w:rPr>
                <w:rFonts w:cs="Arial"/>
                <w:bCs/>
                <w:spacing w:val="-2"/>
                <w:w w:val="105"/>
                <w:szCs w:val="18"/>
              </w:rPr>
              <w:t xml:space="preserve">In and around (within 2 m) </w:t>
            </w:r>
            <w:r w:rsidRPr="00076450">
              <w:rPr>
                <w:rFonts w:cs="Arial"/>
                <w:szCs w:val="18"/>
              </w:rPr>
              <w:t>industrial, commercial, public services, agricultural and domestic buildings</w:t>
            </w:r>
          </w:p>
        </w:tc>
        <w:tc>
          <w:tcPr>
            <w:tcW w:w="808" w:type="pct"/>
          </w:tcPr>
          <w:p w14:paraId="4F79CAF6" w14:textId="77777777" w:rsidR="008E67EA" w:rsidRPr="00867EDB" w:rsidRDefault="008E67EA" w:rsidP="00B44A74">
            <w:pPr>
              <w:spacing w:line="240" w:lineRule="exact"/>
              <w:rPr>
                <w:rFonts w:cs="Arial"/>
                <w:bCs/>
                <w:spacing w:val="-2"/>
                <w:w w:val="105"/>
                <w:szCs w:val="18"/>
              </w:rPr>
            </w:pPr>
            <w:r w:rsidRPr="00867EDB">
              <w:rPr>
                <w:rFonts w:cs="Arial"/>
                <w:bCs/>
                <w:spacing w:val="-2"/>
                <w:w w:val="105"/>
                <w:szCs w:val="18"/>
              </w:rPr>
              <w:t>Rats</w:t>
            </w:r>
          </w:p>
          <w:p w14:paraId="0E6C20ED" w14:textId="77777777" w:rsidR="008E67EA" w:rsidRPr="00641519" w:rsidRDefault="008E67EA" w:rsidP="00B44A74">
            <w:pPr>
              <w:spacing w:line="240" w:lineRule="exact"/>
              <w:rPr>
                <w:rFonts w:cs="Arial"/>
                <w:bCs/>
                <w:i/>
                <w:iCs/>
                <w:spacing w:val="-2"/>
                <w:w w:val="105"/>
                <w:szCs w:val="18"/>
              </w:rPr>
            </w:pPr>
            <w:r w:rsidRPr="00867EDB">
              <w:rPr>
                <w:rFonts w:cs="Arial"/>
                <w:bCs/>
                <w:spacing w:val="-2"/>
                <w:w w:val="105"/>
                <w:szCs w:val="18"/>
              </w:rPr>
              <w:t>(</w:t>
            </w:r>
            <w:r w:rsidRPr="002F6425">
              <w:rPr>
                <w:rFonts w:cs="Arial"/>
                <w:bCs/>
                <w:i/>
                <w:iCs/>
                <w:spacing w:val="-2"/>
                <w:w w:val="105"/>
                <w:szCs w:val="18"/>
              </w:rPr>
              <w:t>Rattus rattus, R. norvegicus)</w:t>
            </w:r>
          </w:p>
        </w:tc>
        <w:tc>
          <w:tcPr>
            <w:tcW w:w="763" w:type="pct"/>
          </w:tcPr>
          <w:p w14:paraId="6537EA9A" w14:textId="77777777" w:rsidR="008E67EA" w:rsidRPr="00076450" w:rsidRDefault="008E67EA" w:rsidP="00B44A74">
            <w:pPr>
              <w:spacing w:line="240" w:lineRule="exact"/>
              <w:rPr>
                <w:rFonts w:cs="Arial"/>
                <w:bCs/>
                <w:spacing w:val="-2"/>
                <w:w w:val="105"/>
                <w:szCs w:val="18"/>
              </w:rPr>
            </w:pPr>
            <w:r w:rsidRPr="00076450">
              <w:rPr>
                <w:rFonts w:cs="Arial"/>
                <w:bCs/>
                <w:spacing w:val="-2"/>
                <w:w w:val="105"/>
                <w:szCs w:val="18"/>
              </w:rPr>
              <w:t>15 g to 30 g</w:t>
            </w:r>
          </w:p>
          <w:p w14:paraId="2D30133A" w14:textId="77777777" w:rsidR="008E67EA" w:rsidRPr="00867EDB" w:rsidRDefault="008E67EA" w:rsidP="00B44A74">
            <w:pPr>
              <w:spacing w:line="240" w:lineRule="exact"/>
              <w:rPr>
                <w:rFonts w:cs="Arial"/>
                <w:bCs/>
                <w:spacing w:val="-2"/>
                <w:w w:val="105"/>
                <w:szCs w:val="18"/>
              </w:rPr>
            </w:pPr>
            <w:r w:rsidRPr="00076450">
              <w:rPr>
                <w:rFonts w:cs="Arial"/>
                <w:bCs/>
                <w:spacing w:val="-2"/>
                <w:w w:val="105"/>
                <w:szCs w:val="18"/>
              </w:rPr>
              <w:t>(15 to 30 mL)</w:t>
            </w:r>
            <w:r>
              <w:rPr>
                <w:rFonts w:cs="Arial"/>
                <w:bCs/>
                <w:spacing w:val="-2"/>
                <w:w w:val="105"/>
                <w:szCs w:val="18"/>
              </w:rPr>
              <w:t xml:space="preserve"> </w:t>
            </w:r>
            <w:r w:rsidRPr="00076450">
              <w:rPr>
                <w:rFonts w:cs="Arial"/>
                <w:bCs/>
                <w:spacing w:val="-2"/>
                <w:w w:val="105"/>
                <w:szCs w:val="18"/>
              </w:rPr>
              <w:t>bait gel per</w:t>
            </w:r>
            <w:r>
              <w:rPr>
                <w:rFonts w:cs="Arial"/>
                <w:bCs/>
                <w:spacing w:val="-2"/>
                <w:w w:val="105"/>
                <w:szCs w:val="18"/>
              </w:rPr>
              <w:t xml:space="preserve"> </w:t>
            </w:r>
            <w:r w:rsidRPr="00076450">
              <w:rPr>
                <w:rFonts w:cs="Arial"/>
                <w:bCs/>
                <w:spacing w:val="-2"/>
                <w:w w:val="105"/>
                <w:szCs w:val="18"/>
              </w:rPr>
              <w:t xml:space="preserve">bait station </w:t>
            </w:r>
          </w:p>
        </w:tc>
        <w:tc>
          <w:tcPr>
            <w:tcW w:w="1899" w:type="pct"/>
            <w:vMerge w:val="restart"/>
          </w:tcPr>
          <w:p w14:paraId="285E6686" w14:textId="77777777" w:rsidR="008E67EA" w:rsidRPr="00076450" w:rsidRDefault="008E67EA" w:rsidP="00B44A74">
            <w:pPr>
              <w:spacing w:after="120" w:line="240" w:lineRule="exact"/>
              <w:rPr>
                <w:rFonts w:cs="Arial"/>
                <w:bCs/>
                <w:spacing w:val="-2"/>
                <w:w w:val="105"/>
                <w:szCs w:val="18"/>
              </w:rPr>
            </w:pPr>
            <w:r w:rsidRPr="00076450">
              <w:rPr>
                <w:rFonts w:cs="Arial"/>
                <w:bCs/>
                <w:spacing w:val="-2"/>
                <w:w w:val="105"/>
                <w:szCs w:val="18"/>
              </w:rPr>
              <w:t>Use only in caulking gun and apply directly into bait station.</w:t>
            </w:r>
          </w:p>
          <w:p w14:paraId="488FDCF9" w14:textId="77777777" w:rsidR="008E67EA" w:rsidRPr="00076450" w:rsidRDefault="008E67EA" w:rsidP="00B44A74">
            <w:pPr>
              <w:spacing w:after="120" w:line="240" w:lineRule="exact"/>
              <w:rPr>
                <w:rFonts w:cs="Arial"/>
                <w:bCs/>
                <w:spacing w:val="-2"/>
                <w:w w:val="105"/>
                <w:szCs w:val="18"/>
              </w:rPr>
            </w:pPr>
            <w:r w:rsidRPr="00076450">
              <w:rPr>
                <w:rFonts w:cs="Arial"/>
                <w:b/>
                <w:i/>
                <w:iCs/>
                <w:spacing w:val="-2"/>
                <w:w w:val="105"/>
                <w:szCs w:val="18"/>
              </w:rPr>
              <w:t>For rats:</w:t>
            </w:r>
            <w:r w:rsidRPr="00076450">
              <w:rPr>
                <w:rFonts w:cs="Arial"/>
                <w:bCs/>
                <w:spacing w:val="-2"/>
                <w:w w:val="105"/>
                <w:szCs w:val="18"/>
              </w:rPr>
              <w:t xml:space="preserve"> Place bait stations at intervals of 5 to 9 m in infested areas. DO NOT exceed 9 m between bait stations. </w:t>
            </w:r>
          </w:p>
          <w:p w14:paraId="521D226F" w14:textId="77777777" w:rsidR="008E67EA" w:rsidRPr="00076450" w:rsidRDefault="008E67EA" w:rsidP="00B44A74">
            <w:pPr>
              <w:spacing w:after="120" w:line="240" w:lineRule="exact"/>
              <w:rPr>
                <w:rFonts w:cs="Arial"/>
                <w:bCs/>
                <w:spacing w:val="-2"/>
                <w:w w:val="105"/>
                <w:szCs w:val="18"/>
              </w:rPr>
            </w:pPr>
            <w:r w:rsidRPr="00076450">
              <w:rPr>
                <w:rFonts w:cs="Arial"/>
                <w:b/>
                <w:i/>
                <w:iCs/>
                <w:spacing w:val="-2"/>
                <w:w w:val="105"/>
                <w:szCs w:val="18"/>
              </w:rPr>
              <w:t>For mice:</w:t>
            </w:r>
            <w:r w:rsidRPr="00076450">
              <w:rPr>
                <w:rFonts w:cs="Arial"/>
                <w:bCs/>
                <w:spacing w:val="-2"/>
                <w:w w:val="105"/>
                <w:szCs w:val="18"/>
              </w:rPr>
              <w:t xml:space="preserve"> Place bait stations at intervals of 2 to 3 m in infested areas. DO NOT exceed 3 m between bait stations. </w:t>
            </w:r>
          </w:p>
          <w:p w14:paraId="42BEDE55" w14:textId="77777777" w:rsidR="008E67EA" w:rsidRPr="00076450" w:rsidRDefault="008E67EA" w:rsidP="00B44A74">
            <w:pPr>
              <w:spacing w:after="120" w:line="240" w:lineRule="exact"/>
              <w:rPr>
                <w:rFonts w:cs="Arial"/>
                <w:bCs/>
                <w:spacing w:val="-2"/>
                <w:w w:val="105"/>
                <w:szCs w:val="18"/>
              </w:rPr>
            </w:pPr>
            <w:r w:rsidRPr="00076450">
              <w:rPr>
                <w:rFonts w:cs="Arial"/>
                <w:bCs/>
                <w:spacing w:val="-2"/>
                <w:w w:val="105"/>
                <w:szCs w:val="18"/>
              </w:rPr>
              <w:t>Use the greater number of baits and shorter distance between bait placements when infestations are heavy.</w:t>
            </w:r>
            <w:r w:rsidRPr="00076450" w:rsidDel="004D121A">
              <w:rPr>
                <w:rFonts w:cs="Arial"/>
                <w:bCs/>
                <w:spacing w:val="-2"/>
                <w:w w:val="105"/>
                <w:szCs w:val="18"/>
              </w:rPr>
              <w:t xml:space="preserve"> </w:t>
            </w:r>
          </w:p>
          <w:p w14:paraId="2F642CD6" w14:textId="77777777" w:rsidR="008E67EA" w:rsidRPr="00076450" w:rsidRDefault="008E67EA" w:rsidP="00B44A74">
            <w:pPr>
              <w:spacing w:after="120" w:line="240" w:lineRule="exact"/>
              <w:rPr>
                <w:rFonts w:cs="Arial"/>
                <w:bCs/>
                <w:spacing w:val="-2"/>
                <w:w w:val="105"/>
                <w:szCs w:val="18"/>
              </w:rPr>
            </w:pPr>
            <w:r w:rsidRPr="00076450">
              <w:rPr>
                <w:rFonts w:cs="Arial"/>
                <w:bCs/>
                <w:spacing w:val="-2"/>
                <w:w w:val="105"/>
                <w:szCs w:val="18"/>
              </w:rPr>
              <w:t xml:space="preserve">See also baiting strategy for clean-out treatments. </w:t>
            </w:r>
          </w:p>
        </w:tc>
      </w:tr>
      <w:tr w:rsidR="008E67EA" w:rsidRPr="00C118CC" w14:paraId="7245D52C" w14:textId="77777777" w:rsidTr="00731415">
        <w:trPr>
          <w:trHeight w:val="402"/>
        </w:trPr>
        <w:tc>
          <w:tcPr>
            <w:tcW w:w="1531" w:type="pct"/>
          </w:tcPr>
          <w:p w14:paraId="1F546086" w14:textId="77777777" w:rsidR="008E67EA" w:rsidRPr="00582001" w:rsidRDefault="008E67EA" w:rsidP="00B44A74">
            <w:pPr>
              <w:spacing w:line="240" w:lineRule="exact"/>
              <w:rPr>
                <w:rFonts w:cs="Arial"/>
                <w:bCs/>
                <w:spacing w:val="-2"/>
                <w:w w:val="105"/>
                <w:szCs w:val="18"/>
              </w:rPr>
            </w:pPr>
            <w:r w:rsidRPr="00582001">
              <w:rPr>
                <w:rFonts w:cs="Arial"/>
                <w:b/>
                <w:spacing w:val="-2"/>
                <w:w w:val="105"/>
                <w:szCs w:val="18"/>
              </w:rPr>
              <w:t>Clean Out Treatments</w:t>
            </w:r>
          </w:p>
          <w:p w14:paraId="0307C036" w14:textId="77777777" w:rsidR="008E67EA" w:rsidRPr="00582001" w:rsidRDefault="008E67EA" w:rsidP="00B44A74">
            <w:pPr>
              <w:spacing w:line="240" w:lineRule="exact"/>
              <w:rPr>
                <w:rFonts w:cs="Arial"/>
                <w:bCs/>
                <w:spacing w:val="-2"/>
                <w:w w:val="105"/>
                <w:szCs w:val="18"/>
              </w:rPr>
            </w:pPr>
            <w:r w:rsidRPr="00582001">
              <w:rPr>
                <w:rFonts w:cs="Arial"/>
                <w:bCs/>
                <w:spacing w:val="-2"/>
                <w:w w:val="105"/>
                <w:szCs w:val="18"/>
              </w:rPr>
              <w:t xml:space="preserve">In </w:t>
            </w:r>
            <w:r w:rsidRPr="00582001">
              <w:rPr>
                <w:rFonts w:cs="Arial"/>
                <w:szCs w:val="18"/>
              </w:rPr>
              <w:t>industrial, commercial, public services, agricultural and domestic buildings</w:t>
            </w:r>
          </w:p>
        </w:tc>
        <w:tc>
          <w:tcPr>
            <w:tcW w:w="808" w:type="pct"/>
          </w:tcPr>
          <w:p w14:paraId="5B658EB0" w14:textId="77777777" w:rsidR="008E67EA" w:rsidRPr="00867EDB" w:rsidRDefault="008E67EA" w:rsidP="00B44A74">
            <w:pPr>
              <w:spacing w:line="240" w:lineRule="exact"/>
              <w:rPr>
                <w:rFonts w:cs="Arial"/>
                <w:bCs/>
                <w:spacing w:val="-2"/>
                <w:w w:val="105"/>
                <w:szCs w:val="18"/>
              </w:rPr>
            </w:pPr>
            <w:r w:rsidRPr="00867EDB">
              <w:rPr>
                <w:rFonts w:cs="Arial"/>
                <w:bCs/>
                <w:spacing w:val="-2"/>
                <w:w w:val="105"/>
                <w:szCs w:val="18"/>
              </w:rPr>
              <w:t>Mice</w:t>
            </w:r>
          </w:p>
          <w:p w14:paraId="7C5B6C78" w14:textId="0C61E33A" w:rsidR="008E67EA" w:rsidRPr="00867EDB" w:rsidRDefault="008E67EA" w:rsidP="00731415">
            <w:pPr>
              <w:spacing w:line="240" w:lineRule="exact"/>
              <w:rPr>
                <w:rFonts w:cs="Arial"/>
                <w:bCs/>
                <w:spacing w:val="-2"/>
                <w:w w:val="105"/>
                <w:szCs w:val="18"/>
              </w:rPr>
            </w:pPr>
            <w:r w:rsidRPr="002F6425">
              <w:rPr>
                <w:rFonts w:cs="Arial"/>
                <w:bCs/>
                <w:i/>
                <w:iCs/>
                <w:spacing w:val="-2"/>
                <w:w w:val="105"/>
                <w:szCs w:val="18"/>
              </w:rPr>
              <w:t>(Mus domesticus)</w:t>
            </w:r>
          </w:p>
        </w:tc>
        <w:tc>
          <w:tcPr>
            <w:tcW w:w="763" w:type="pct"/>
          </w:tcPr>
          <w:p w14:paraId="5A5D3519" w14:textId="77777777" w:rsidR="008E67EA" w:rsidRPr="00076450" w:rsidRDefault="008E67EA" w:rsidP="00B44A74">
            <w:pPr>
              <w:spacing w:line="240" w:lineRule="exact"/>
              <w:rPr>
                <w:rFonts w:cs="Arial"/>
                <w:bCs/>
                <w:spacing w:val="-2"/>
                <w:w w:val="105"/>
                <w:szCs w:val="18"/>
              </w:rPr>
            </w:pPr>
            <w:r>
              <w:rPr>
                <w:rFonts w:cs="Arial"/>
                <w:bCs/>
                <w:spacing w:val="-2"/>
                <w:w w:val="105"/>
                <w:szCs w:val="18"/>
              </w:rPr>
              <w:t>3</w:t>
            </w:r>
            <w:r w:rsidRPr="00076450">
              <w:rPr>
                <w:rFonts w:cs="Arial"/>
                <w:bCs/>
                <w:spacing w:val="-2"/>
                <w:w w:val="105"/>
                <w:szCs w:val="18"/>
              </w:rPr>
              <w:t xml:space="preserve"> g to </w:t>
            </w:r>
            <w:r>
              <w:rPr>
                <w:rFonts w:cs="Arial"/>
                <w:bCs/>
                <w:spacing w:val="-2"/>
                <w:w w:val="105"/>
                <w:szCs w:val="18"/>
              </w:rPr>
              <w:t xml:space="preserve">4 </w:t>
            </w:r>
            <w:r w:rsidRPr="00076450">
              <w:rPr>
                <w:rFonts w:cs="Arial"/>
                <w:bCs/>
                <w:spacing w:val="-2"/>
                <w:w w:val="105"/>
                <w:szCs w:val="18"/>
              </w:rPr>
              <w:t>g</w:t>
            </w:r>
          </w:p>
          <w:p w14:paraId="44CAE383" w14:textId="77777777" w:rsidR="008E67EA" w:rsidRPr="00867EDB" w:rsidRDefault="008E67EA" w:rsidP="00B44A74">
            <w:pPr>
              <w:spacing w:line="240" w:lineRule="exact"/>
              <w:rPr>
                <w:rFonts w:cs="Arial"/>
                <w:bCs/>
                <w:spacing w:val="-2"/>
                <w:w w:val="105"/>
                <w:szCs w:val="18"/>
              </w:rPr>
            </w:pPr>
            <w:r w:rsidRPr="00076450">
              <w:rPr>
                <w:rFonts w:cs="Arial"/>
                <w:bCs/>
                <w:spacing w:val="-2"/>
                <w:w w:val="105"/>
                <w:szCs w:val="18"/>
              </w:rPr>
              <w:t>(</w:t>
            </w:r>
            <w:r>
              <w:rPr>
                <w:rFonts w:cs="Arial"/>
                <w:bCs/>
                <w:spacing w:val="-2"/>
                <w:w w:val="105"/>
                <w:szCs w:val="18"/>
              </w:rPr>
              <w:t>3</w:t>
            </w:r>
            <w:r w:rsidRPr="00076450">
              <w:rPr>
                <w:rFonts w:cs="Arial"/>
                <w:bCs/>
                <w:spacing w:val="-2"/>
                <w:w w:val="105"/>
                <w:szCs w:val="18"/>
              </w:rPr>
              <w:t xml:space="preserve"> to </w:t>
            </w:r>
            <w:r>
              <w:rPr>
                <w:rFonts w:cs="Arial"/>
                <w:bCs/>
                <w:spacing w:val="-2"/>
                <w:w w:val="105"/>
                <w:szCs w:val="18"/>
              </w:rPr>
              <w:t>4</w:t>
            </w:r>
            <w:r w:rsidRPr="00076450">
              <w:rPr>
                <w:rFonts w:cs="Arial"/>
                <w:bCs/>
                <w:spacing w:val="-2"/>
                <w:w w:val="105"/>
                <w:szCs w:val="18"/>
              </w:rPr>
              <w:t xml:space="preserve"> mL)</w:t>
            </w:r>
            <w:r>
              <w:rPr>
                <w:rFonts w:cs="Arial"/>
                <w:bCs/>
                <w:spacing w:val="-2"/>
                <w:w w:val="105"/>
                <w:szCs w:val="18"/>
              </w:rPr>
              <w:t xml:space="preserve"> </w:t>
            </w:r>
            <w:r w:rsidRPr="00076450">
              <w:rPr>
                <w:rFonts w:cs="Arial"/>
                <w:bCs/>
                <w:spacing w:val="-2"/>
                <w:w w:val="105"/>
                <w:szCs w:val="18"/>
              </w:rPr>
              <w:t>bait gel per</w:t>
            </w:r>
            <w:r>
              <w:rPr>
                <w:rFonts w:cs="Arial"/>
                <w:bCs/>
                <w:spacing w:val="-2"/>
                <w:w w:val="105"/>
                <w:szCs w:val="18"/>
              </w:rPr>
              <w:t xml:space="preserve"> </w:t>
            </w:r>
            <w:r w:rsidRPr="00076450">
              <w:rPr>
                <w:rFonts w:cs="Arial"/>
                <w:bCs/>
                <w:spacing w:val="-2"/>
                <w:w w:val="105"/>
                <w:szCs w:val="18"/>
              </w:rPr>
              <w:t>bait station</w:t>
            </w:r>
          </w:p>
        </w:tc>
        <w:tc>
          <w:tcPr>
            <w:tcW w:w="1899" w:type="pct"/>
            <w:vMerge/>
          </w:tcPr>
          <w:p w14:paraId="3686F3DA" w14:textId="77777777" w:rsidR="008E67EA" w:rsidRPr="00076450" w:rsidRDefault="008E67EA" w:rsidP="00B44A74">
            <w:pPr>
              <w:spacing w:line="240" w:lineRule="exact"/>
              <w:rPr>
                <w:rFonts w:cs="Arial"/>
                <w:bCs/>
                <w:spacing w:val="-2"/>
                <w:w w:val="105"/>
                <w:szCs w:val="18"/>
                <w:highlight w:val="yellow"/>
              </w:rPr>
            </w:pPr>
          </w:p>
        </w:tc>
      </w:tr>
      <w:tr w:rsidR="008E67EA" w:rsidRPr="00C118CC" w14:paraId="09D09D34" w14:textId="77777777" w:rsidTr="00731415">
        <w:trPr>
          <w:trHeight w:val="1247"/>
        </w:trPr>
        <w:tc>
          <w:tcPr>
            <w:tcW w:w="1531" w:type="pct"/>
          </w:tcPr>
          <w:p w14:paraId="7C0FF729" w14:textId="77777777" w:rsidR="008E67EA" w:rsidRPr="00582001" w:rsidRDefault="008E67EA" w:rsidP="00B44A74">
            <w:pPr>
              <w:spacing w:line="240" w:lineRule="exact"/>
              <w:rPr>
                <w:rFonts w:cs="Arial"/>
                <w:b/>
                <w:spacing w:val="-2"/>
                <w:w w:val="105"/>
                <w:szCs w:val="18"/>
              </w:rPr>
            </w:pPr>
            <w:r w:rsidRPr="00582001">
              <w:rPr>
                <w:rFonts w:cs="Arial"/>
                <w:b/>
                <w:spacing w:val="-2"/>
                <w:w w:val="105"/>
                <w:szCs w:val="18"/>
              </w:rPr>
              <w:t xml:space="preserve">Monitoring and/or Maintenance Treatments </w:t>
            </w:r>
          </w:p>
          <w:p w14:paraId="0B89DB9B" w14:textId="77777777" w:rsidR="008E67EA" w:rsidRPr="00582001" w:rsidRDefault="008E67EA" w:rsidP="00B44A74">
            <w:pPr>
              <w:spacing w:line="240" w:lineRule="exact"/>
              <w:rPr>
                <w:rFonts w:cs="Arial"/>
                <w:bCs/>
                <w:spacing w:val="-2"/>
                <w:w w:val="105"/>
                <w:szCs w:val="18"/>
              </w:rPr>
            </w:pPr>
            <w:r w:rsidRPr="00582001">
              <w:rPr>
                <w:rFonts w:cs="Arial"/>
                <w:bCs/>
                <w:spacing w:val="-2"/>
                <w:w w:val="105"/>
                <w:szCs w:val="18"/>
              </w:rPr>
              <w:t xml:space="preserve">In and around (within 2 m) </w:t>
            </w:r>
            <w:r w:rsidRPr="00582001">
              <w:rPr>
                <w:rFonts w:cs="Arial"/>
                <w:szCs w:val="18"/>
              </w:rPr>
              <w:t>industrial, commercial, public services, agricultural and domestic buildings</w:t>
            </w:r>
          </w:p>
        </w:tc>
        <w:tc>
          <w:tcPr>
            <w:tcW w:w="808" w:type="pct"/>
          </w:tcPr>
          <w:p w14:paraId="42BA7897" w14:textId="77777777" w:rsidR="008E67EA" w:rsidRPr="00867EDB" w:rsidRDefault="008E67EA" w:rsidP="00B44A74">
            <w:pPr>
              <w:spacing w:line="240" w:lineRule="exact"/>
              <w:rPr>
                <w:rFonts w:cs="Arial"/>
                <w:bCs/>
                <w:spacing w:val="-2"/>
                <w:w w:val="105"/>
                <w:szCs w:val="18"/>
              </w:rPr>
            </w:pPr>
            <w:r w:rsidRPr="00867EDB">
              <w:rPr>
                <w:rFonts w:cs="Arial"/>
                <w:bCs/>
                <w:spacing w:val="-2"/>
                <w:w w:val="105"/>
                <w:szCs w:val="18"/>
              </w:rPr>
              <w:t>Rats</w:t>
            </w:r>
          </w:p>
          <w:p w14:paraId="4FF0C1D0" w14:textId="2256E85C" w:rsidR="008E67EA" w:rsidRPr="00867EDB" w:rsidRDefault="008E67EA" w:rsidP="00731415">
            <w:pPr>
              <w:spacing w:line="240" w:lineRule="exact"/>
              <w:rPr>
                <w:rFonts w:cs="Arial"/>
                <w:bCs/>
                <w:spacing w:val="-2"/>
                <w:w w:val="105"/>
                <w:szCs w:val="18"/>
              </w:rPr>
            </w:pPr>
            <w:r w:rsidRPr="002F6425">
              <w:rPr>
                <w:rFonts w:cs="Arial"/>
                <w:bCs/>
                <w:i/>
                <w:iCs/>
                <w:spacing w:val="-2"/>
                <w:w w:val="105"/>
                <w:szCs w:val="18"/>
              </w:rPr>
              <w:t>(Rattus rattus, R. norvegicus)</w:t>
            </w:r>
          </w:p>
        </w:tc>
        <w:tc>
          <w:tcPr>
            <w:tcW w:w="763" w:type="pct"/>
            <w:vMerge w:val="restart"/>
          </w:tcPr>
          <w:p w14:paraId="6248282B" w14:textId="77777777" w:rsidR="008E67EA" w:rsidRPr="00867EDB" w:rsidRDefault="008E67EA" w:rsidP="00B44A74">
            <w:pPr>
              <w:spacing w:line="240" w:lineRule="exact"/>
              <w:rPr>
                <w:rFonts w:cs="Arial"/>
                <w:bCs/>
                <w:spacing w:val="-2"/>
                <w:w w:val="105"/>
                <w:szCs w:val="18"/>
              </w:rPr>
            </w:pPr>
            <w:r>
              <w:rPr>
                <w:rFonts w:cs="Arial"/>
                <w:bCs/>
                <w:spacing w:val="-2"/>
                <w:w w:val="105"/>
                <w:szCs w:val="18"/>
              </w:rPr>
              <w:t xml:space="preserve">Up to </w:t>
            </w:r>
            <w:r w:rsidRPr="00076450">
              <w:rPr>
                <w:rFonts w:cs="Arial"/>
                <w:bCs/>
                <w:spacing w:val="-2"/>
                <w:w w:val="105"/>
                <w:szCs w:val="18"/>
              </w:rPr>
              <w:t>15 g (15 mL)</w:t>
            </w:r>
            <w:r>
              <w:rPr>
                <w:rFonts w:cs="Arial"/>
                <w:bCs/>
                <w:spacing w:val="-2"/>
                <w:w w:val="105"/>
                <w:szCs w:val="18"/>
              </w:rPr>
              <w:t xml:space="preserve"> </w:t>
            </w:r>
            <w:r w:rsidRPr="00076450">
              <w:rPr>
                <w:rFonts w:cs="Arial"/>
                <w:bCs/>
                <w:spacing w:val="-2"/>
                <w:w w:val="105"/>
                <w:szCs w:val="18"/>
              </w:rPr>
              <w:t>bait gel per</w:t>
            </w:r>
            <w:r>
              <w:rPr>
                <w:rFonts w:cs="Arial"/>
                <w:bCs/>
                <w:spacing w:val="-2"/>
                <w:w w:val="105"/>
                <w:szCs w:val="18"/>
              </w:rPr>
              <w:t xml:space="preserve"> </w:t>
            </w:r>
            <w:r w:rsidRPr="00076450">
              <w:rPr>
                <w:rFonts w:cs="Arial"/>
                <w:bCs/>
                <w:spacing w:val="-2"/>
                <w:w w:val="105"/>
                <w:szCs w:val="18"/>
              </w:rPr>
              <w:t>bait station</w:t>
            </w:r>
          </w:p>
        </w:tc>
        <w:tc>
          <w:tcPr>
            <w:tcW w:w="1899" w:type="pct"/>
            <w:vMerge w:val="restart"/>
          </w:tcPr>
          <w:p w14:paraId="0539F123" w14:textId="77777777" w:rsidR="008E67EA" w:rsidRDefault="008E67EA" w:rsidP="00B44A74">
            <w:pPr>
              <w:spacing w:after="120" w:line="240" w:lineRule="exact"/>
              <w:rPr>
                <w:rFonts w:cs="Arial"/>
                <w:bCs/>
                <w:spacing w:val="-2"/>
                <w:w w:val="105"/>
                <w:szCs w:val="18"/>
              </w:rPr>
            </w:pPr>
            <w:r w:rsidRPr="00076450">
              <w:rPr>
                <w:rFonts w:cs="Arial"/>
                <w:bCs/>
                <w:spacing w:val="-2"/>
                <w:w w:val="105"/>
                <w:szCs w:val="18"/>
              </w:rPr>
              <w:t>Use only in caulking gun and apply directly into bait station.</w:t>
            </w:r>
          </w:p>
          <w:p w14:paraId="1AE47454" w14:textId="77777777" w:rsidR="008E67EA" w:rsidRPr="00076450" w:rsidRDefault="008E67EA" w:rsidP="00B44A74">
            <w:pPr>
              <w:spacing w:after="120" w:line="240" w:lineRule="exact"/>
              <w:rPr>
                <w:rFonts w:cs="Arial"/>
                <w:bCs/>
                <w:spacing w:val="-2"/>
                <w:w w:val="105"/>
                <w:szCs w:val="18"/>
              </w:rPr>
            </w:pPr>
            <w:r w:rsidRPr="00076450">
              <w:rPr>
                <w:rFonts w:cs="Arial"/>
                <w:bCs/>
                <w:spacing w:val="-2"/>
                <w:w w:val="105"/>
                <w:szCs w:val="18"/>
              </w:rPr>
              <w:t>Place bait stations in areas prone to rodent infestation at intervals of between 15 and 30 m.</w:t>
            </w:r>
          </w:p>
          <w:p w14:paraId="494F7F3A" w14:textId="77777777" w:rsidR="008E67EA" w:rsidRPr="00076450" w:rsidRDefault="008E67EA" w:rsidP="00B44A74">
            <w:pPr>
              <w:spacing w:after="120" w:line="240" w:lineRule="exact"/>
              <w:rPr>
                <w:rFonts w:cs="Arial"/>
                <w:bCs/>
                <w:spacing w:val="-2"/>
                <w:w w:val="105"/>
                <w:szCs w:val="18"/>
                <w:highlight w:val="yellow"/>
              </w:rPr>
            </w:pPr>
            <w:r w:rsidRPr="00076450">
              <w:rPr>
                <w:rFonts w:cs="Arial"/>
                <w:bCs/>
                <w:spacing w:val="-2"/>
                <w:w w:val="105"/>
                <w:szCs w:val="18"/>
              </w:rPr>
              <w:t>See also baiting strategy for monitoring and/or maintenance treatments.</w:t>
            </w:r>
          </w:p>
        </w:tc>
      </w:tr>
      <w:tr w:rsidR="008E67EA" w:rsidRPr="00C118CC" w14:paraId="211F4EDD" w14:textId="77777777" w:rsidTr="00731415">
        <w:trPr>
          <w:trHeight w:val="1020"/>
        </w:trPr>
        <w:tc>
          <w:tcPr>
            <w:tcW w:w="1531" w:type="pct"/>
          </w:tcPr>
          <w:p w14:paraId="232B9228" w14:textId="77777777" w:rsidR="008E67EA" w:rsidRPr="00582001" w:rsidRDefault="008E67EA" w:rsidP="00B44A74">
            <w:pPr>
              <w:spacing w:line="240" w:lineRule="exact"/>
              <w:rPr>
                <w:rFonts w:cs="Arial"/>
                <w:b/>
                <w:spacing w:val="-2"/>
                <w:w w:val="105"/>
                <w:szCs w:val="18"/>
              </w:rPr>
            </w:pPr>
            <w:r w:rsidRPr="00582001">
              <w:rPr>
                <w:rFonts w:cs="Arial"/>
                <w:b/>
                <w:spacing w:val="-2"/>
                <w:w w:val="105"/>
                <w:szCs w:val="18"/>
              </w:rPr>
              <w:t xml:space="preserve">Monitoring and/or Maintenance Treatments </w:t>
            </w:r>
          </w:p>
          <w:p w14:paraId="5992E032" w14:textId="77777777" w:rsidR="008E67EA" w:rsidRPr="00582001" w:rsidRDefault="008E67EA" w:rsidP="00B44A74">
            <w:pPr>
              <w:spacing w:line="240" w:lineRule="exact"/>
              <w:rPr>
                <w:rFonts w:cs="Arial"/>
                <w:bCs/>
                <w:spacing w:val="-2"/>
                <w:w w:val="105"/>
                <w:szCs w:val="18"/>
              </w:rPr>
            </w:pPr>
            <w:r w:rsidRPr="00582001">
              <w:rPr>
                <w:rFonts w:cs="Arial"/>
                <w:bCs/>
                <w:spacing w:val="-2"/>
                <w:w w:val="105"/>
                <w:szCs w:val="18"/>
              </w:rPr>
              <w:t>In industrial, commercial, public services, agricultural and domestic buildings</w:t>
            </w:r>
          </w:p>
        </w:tc>
        <w:tc>
          <w:tcPr>
            <w:tcW w:w="808" w:type="pct"/>
          </w:tcPr>
          <w:p w14:paraId="72AFCBEE" w14:textId="77777777" w:rsidR="008E67EA" w:rsidRPr="00867EDB" w:rsidRDefault="008E67EA" w:rsidP="00B44A74">
            <w:pPr>
              <w:spacing w:line="240" w:lineRule="exact"/>
              <w:rPr>
                <w:rFonts w:cs="Arial"/>
                <w:bCs/>
                <w:spacing w:val="-2"/>
                <w:w w:val="105"/>
                <w:szCs w:val="18"/>
              </w:rPr>
            </w:pPr>
            <w:r w:rsidRPr="00867EDB">
              <w:rPr>
                <w:rFonts w:cs="Arial"/>
                <w:bCs/>
                <w:spacing w:val="-2"/>
                <w:w w:val="105"/>
                <w:szCs w:val="18"/>
              </w:rPr>
              <w:t>Mice</w:t>
            </w:r>
          </w:p>
          <w:p w14:paraId="7F8DC992" w14:textId="7B1CE56A" w:rsidR="008E67EA" w:rsidRPr="00867EDB" w:rsidRDefault="008E67EA" w:rsidP="00731415">
            <w:pPr>
              <w:spacing w:line="240" w:lineRule="exact"/>
              <w:rPr>
                <w:rFonts w:cs="Arial"/>
                <w:bCs/>
                <w:spacing w:val="-2"/>
                <w:w w:val="105"/>
                <w:szCs w:val="18"/>
              </w:rPr>
            </w:pPr>
            <w:r w:rsidRPr="002F6425">
              <w:rPr>
                <w:rFonts w:cs="Arial"/>
                <w:bCs/>
                <w:i/>
                <w:iCs/>
                <w:spacing w:val="-2"/>
                <w:w w:val="105"/>
                <w:szCs w:val="18"/>
              </w:rPr>
              <w:t>(Mus domesticus)</w:t>
            </w:r>
          </w:p>
        </w:tc>
        <w:tc>
          <w:tcPr>
            <w:tcW w:w="763" w:type="pct"/>
            <w:vMerge/>
          </w:tcPr>
          <w:p w14:paraId="7D7AF18D" w14:textId="77777777" w:rsidR="008E67EA" w:rsidRPr="00867EDB" w:rsidRDefault="008E67EA" w:rsidP="00B44A74">
            <w:pPr>
              <w:spacing w:line="240" w:lineRule="exact"/>
              <w:rPr>
                <w:rFonts w:cs="Arial"/>
                <w:bCs/>
                <w:spacing w:val="-2"/>
                <w:w w:val="105"/>
                <w:szCs w:val="18"/>
              </w:rPr>
            </w:pPr>
          </w:p>
        </w:tc>
        <w:tc>
          <w:tcPr>
            <w:tcW w:w="1899" w:type="pct"/>
            <w:vMerge/>
          </w:tcPr>
          <w:p w14:paraId="7091B6D0" w14:textId="77777777" w:rsidR="008E67EA" w:rsidRPr="00867EDB" w:rsidRDefault="008E67EA" w:rsidP="00B44A74">
            <w:pPr>
              <w:spacing w:line="240" w:lineRule="exact"/>
              <w:rPr>
                <w:rFonts w:cs="Arial"/>
                <w:bCs/>
                <w:spacing w:val="-2"/>
                <w:w w:val="105"/>
                <w:szCs w:val="18"/>
              </w:rPr>
            </w:pPr>
          </w:p>
        </w:tc>
      </w:tr>
    </w:tbl>
    <w:p w14:paraId="49212D28" w14:textId="77777777" w:rsidR="008E67EA" w:rsidRPr="00992A39" w:rsidRDefault="008E67EA" w:rsidP="008E67EA">
      <w:pPr>
        <w:rPr>
          <w:rFonts w:cs="Arial"/>
          <w:sz w:val="20"/>
          <w:szCs w:val="20"/>
        </w:rPr>
      </w:pPr>
    </w:p>
    <w:p w14:paraId="18CE2C34" w14:textId="77777777" w:rsidR="008E67EA" w:rsidRPr="00076450" w:rsidRDefault="008E67EA" w:rsidP="008E67EA">
      <w:pPr>
        <w:spacing w:line="280" w:lineRule="exact"/>
        <w:rPr>
          <w:rFonts w:cs="Arial"/>
          <w:b/>
          <w:bCs/>
          <w:color w:val="000000" w:themeColor="text1"/>
          <w:sz w:val="20"/>
          <w:szCs w:val="20"/>
        </w:rPr>
      </w:pPr>
      <w:r w:rsidRPr="00076450">
        <w:rPr>
          <w:rFonts w:cs="Arial"/>
          <w:b/>
          <w:bCs/>
          <w:color w:val="000000" w:themeColor="text1"/>
          <w:sz w:val="20"/>
          <w:szCs w:val="20"/>
        </w:rPr>
        <w:t>Baiting Strategy</w:t>
      </w:r>
    </w:p>
    <w:p w14:paraId="3882841C" w14:textId="77777777" w:rsidR="008E67EA" w:rsidRPr="00076450"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076450">
        <w:rPr>
          <w:rFonts w:eastAsia="Calibri" w:cs="Arial"/>
          <w:sz w:val="20"/>
          <w:szCs w:val="20"/>
          <w:bdr w:val="none" w:sz="0" w:space="0" w:color="auto" w:frame="1"/>
          <w:lang w:val="en-GB" w:eastAsia="en-AU"/>
        </w:rPr>
        <w:t>Eliminate all alternative food sources as far as practical.</w:t>
      </w:r>
    </w:p>
    <w:p w14:paraId="0212E903" w14:textId="77777777" w:rsidR="008E67EA" w:rsidRPr="00076450"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076450">
        <w:rPr>
          <w:rFonts w:eastAsia="Calibri" w:cs="Arial"/>
          <w:sz w:val="20"/>
          <w:szCs w:val="20"/>
          <w:bdr w:val="none" w:sz="0" w:space="0" w:color="auto" w:frame="1"/>
          <w:lang w:val="en-GB" w:eastAsia="en-AU"/>
        </w:rPr>
        <w:t>When used in food producing animal housing situations careful consideration is necessary regarding the placement of bait stations to ensure any rodenticide contamination of water, feed or livestock is prevented.</w:t>
      </w:r>
    </w:p>
    <w:p w14:paraId="2A81CC77" w14:textId="1E9A051A" w:rsidR="008E67EA" w:rsidRPr="00076450" w:rsidRDefault="008E67EA" w:rsidP="008E67EA">
      <w:pPr>
        <w:spacing w:line="280" w:lineRule="exact"/>
        <w:rPr>
          <w:rFonts w:cs="Arial"/>
          <w:b/>
          <w:bCs/>
          <w:i/>
          <w:iCs/>
          <w:color w:val="000000" w:themeColor="text1"/>
          <w:sz w:val="20"/>
          <w:szCs w:val="20"/>
        </w:rPr>
      </w:pPr>
      <w:r w:rsidRPr="00076450">
        <w:rPr>
          <w:rFonts w:cs="Arial"/>
          <w:b/>
          <w:bCs/>
          <w:i/>
          <w:iCs/>
          <w:color w:val="000000" w:themeColor="text1"/>
          <w:sz w:val="20"/>
          <w:szCs w:val="20"/>
        </w:rPr>
        <w:t>Clean-Out Treatments (Pulse Baiting)</w:t>
      </w:r>
    </w:p>
    <w:p w14:paraId="508DC9CC" w14:textId="77777777" w:rsidR="008E67EA" w:rsidRPr="00076450"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076450">
        <w:rPr>
          <w:rFonts w:eastAsia="Calibri" w:cs="Arial"/>
          <w:sz w:val="20"/>
          <w:szCs w:val="20"/>
          <w:bdr w:val="none" w:sz="0" w:space="0" w:color="auto" w:frame="1"/>
          <w:lang w:val="en-GB" w:eastAsia="en-AU"/>
        </w:rPr>
        <w:t>Clean-out treatments are used to remove existing infestations of rats and mice</w:t>
      </w:r>
    </w:p>
    <w:p w14:paraId="6A837C69" w14:textId="77777777" w:rsidR="008E67EA" w:rsidRPr="00076450"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076450">
        <w:rPr>
          <w:rFonts w:eastAsia="Calibri" w:cs="Arial"/>
          <w:sz w:val="20"/>
          <w:szCs w:val="20"/>
          <w:bdr w:val="none" w:sz="0" w:space="0" w:color="auto" w:frame="1"/>
          <w:lang w:val="en-GB" w:eastAsia="en-AU"/>
        </w:rPr>
        <w:t>Survey site prior to treatment, including assessment of the extent of infestation and identification of any indications of the presence of non-target animals.</w:t>
      </w:r>
    </w:p>
    <w:p w14:paraId="5148B829" w14:textId="15C27803" w:rsidR="008E67EA" w:rsidRPr="00076450"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076450">
        <w:rPr>
          <w:rFonts w:eastAsia="Calibri" w:cs="Arial"/>
          <w:sz w:val="20"/>
          <w:szCs w:val="20"/>
          <w:bdr w:val="none" w:sz="0" w:space="0" w:color="auto" w:frame="1"/>
          <w:lang w:val="en-GB" w:eastAsia="en-AU"/>
        </w:rPr>
        <w:lastRenderedPageBreak/>
        <w:t xml:space="preserve">Always use </w:t>
      </w:r>
      <w:r w:rsidRPr="00076450">
        <w:rPr>
          <w:rFonts w:cs="Arial"/>
          <w:sz w:val="20"/>
          <w:szCs w:val="20"/>
          <w:bdr w:val="none" w:sz="0" w:space="0" w:color="auto" w:frame="1"/>
          <w:lang w:val="en-GB" w:eastAsia="en-AU"/>
        </w:rPr>
        <w:t>tamper-resistant bait stations that are secured in place in child accessible areas, outdoors and in animal or livestock housing.</w:t>
      </w:r>
    </w:p>
    <w:p w14:paraId="6DCDEBF0" w14:textId="77777777" w:rsidR="008E67EA" w:rsidRPr="00076450"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076450">
        <w:rPr>
          <w:rFonts w:eastAsia="Calibri" w:cs="Arial"/>
          <w:sz w:val="20"/>
          <w:szCs w:val="20"/>
          <w:bdr w:val="none" w:sz="0" w:space="0" w:color="auto" w:frame="1"/>
          <w:lang w:val="en-GB" w:eastAsia="en-AU"/>
        </w:rPr>
        <w:t>Place baits so as to prevent access to non-target animals.</w:t>
      </w:r>
    </w:p>
    <w:p w14:paraId="0FE1375F" w14:textId="77777777" w:rsidR="008E67EA" w:rsidRPr="00076450"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076450">
        <w:rPr>
          <w:rFonts w:eastAsia="Calibri" w:cs="Arial"/>
          <w:sz w:val="20"/>
          <w:szCs w:val="20"/>
          <w:bdr w:val="none" w:sz="0" w:space="0" w:color="auto" w:frame="1"/>
          <w:lang w:val="en-GB" w:eastAsia="en-AU"/>
        </w:rPr>
        <w:t>Record the number and locations of bait stations for the purpose of inspection, replacement and later removal.</w:t>
      </w:r>
    </w:p>
    <w:p w14:paraId="4E16019E" w14:textId="6082BC17" w:rsidR="008E67EA" w:rsidRPr="00076450"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076450">
        <w:rPr>
          <w:rFonts w:eastAsia="Calibri" w:cs="Arial"/>
          <w:sz w:val="20"/>
          <w:szCs w:val="20"/>
          <w:bdr w:val="none" w:sz="0" w:space="0" w:color="auto" w:frame="1"/>
          <w:lang w:val="en-GB" w:eastAsia="en-AU"/>
        </w:rPr>
        <w:t>Conduct initial inspection of bait stations after 3 or 4 days. Replace any bait that has been consumed. Repeat approximately 4 days later and then weekly. Replace contaminated or spoiled baits.</w:t>
      </w:r>
    </w:p>
    <w:p w14:paraId="3D48D687" w14:textId="77777777" w:rsidR="008E67EA" w:rsidRPr="00076450"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076450">
        <w:rPr>
          <w:rFonts w:eastAsia="Calibri" w:cs="Arial"/>
          <w:sz w:val="20"/>
          <w:szCs w:val="20"/>
          <w:bdr w:val="none" w:sz="0" w:space="0" w:color="auto" w:frame="1"/>
          <w:lang w:val="en-GB" w:eastAsia="en-AU"/>
        </w:rPr>
        <w:t xml:space="preserve">Baiting for at least 2 weeks (3 to 4 pulses) will be necessary to reduce rat/mouse numbers to a low level. Although heavy infestations may require longer treatments to achieve complete eradication. </w:t>
      </w:r>
    </w:p>
    <w:p w14:paraId="2E5AC180" w14:textId="77777777" w:rsidR="008E67EA" w:rsidRPr="00076450"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076450">
        <w:rPr>
          <w:rFonts w:eastAsia="Calibri" w:cs="Arial"/>
          <w:sz w:val="20"/>
          <w:szCs w:val="20"/>
          <w:bdr w:val="none" w:sz="0" w:space="0" w:color="auto" w:frame="1"/>
          <w:lang w:val="en-GB" w:eastAsia="en-AU"/>
        </w:rPr>
        <w:t>Discontinue the treatment when effective control has been achieved and remove all bait and bait stations unless a maintenance treatment is to be undertaken.</w:t>
      </w:r>
    </w:p>
    <w:p w14:paraId="6ABE17C6" w14:textId="77777777" w:rsidR="008E67EA" w:rsidRPr="00076450"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076450">
        <w:rPr>
          <w:rFonts w:eastAsia="Calibri" w:cs="Arial"/>
          <w:sz w:val="20"/>
          <w:szCs w:val="20"/>
          <w:bdr w:val="none" w:sz="0" w:space="0" w:color="auto" w:frame="1"/>
          <w:lang w:val="en-GB" w:eastAsia="en-AU"/>
        </w:rPr>
        <w:t>DO NOT use the product beyond 35 days without an evaluation of the state of the infestation and of the efficacy of the treatment.</w:t>
      </w:r>
    </w:p>
    <w:p w14:paraId="19A303B0" w14:textId="77777777" w:rsidR="008E67EA" w:rsidRPr="00076450"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076450">
        <w:rPr>
          <w:rFonts w:eastAsia="Calibri" w:cs="Arial"/>
          <w:sz w:val="20"/>
          <w:szCs w:val="20"/>
          <w:bdr w:val="none" w:sz="0" w:space="0" w:color="auto" w:frame="1"/>
          <w:lang w:val="en-GB" w:eastAsia="en-AU"/>
        </w:rPr>
        <w:t>Remove all uneaten bait at the end of treatment.</w:t>
      </w:r>
    </w:p>
    <w:p w14:paraId="1DD13AFA" w14:textId="1276B69E" w:rsidR="008E67EA" w:rsidRPr="00076450" w:rsidRDefault="008E67EA" w:rsidP="008E67EA">
      <w:pPr>
        <w:spacing w:line="280" w:lineRule="exact"/>
        <w:rPr>
          <w:rFonts w:cs="Arial"/>
          <w:b/>
          <w:bCs/>
          <w:i/>
          <w:iCs/>
          <w:color w:val="000000" w:themeColor="text1"/>
          <w:sz w:val="20"/>
          <w:szCs w:val="20"/>
        </w:rPr>
      </w:pPr>
      <w:r w:rsidRPr="00076450">
        <w:rPr>
          <w:rFonts w:cs="Arial"/>
          <w:b/>
          <w:bCs/>
          <w:i/>
          <w:iCs/>
          <w:color w:val="000000" w:themeColor="text1"/>
          <w:sz w:val="20"/>
          <w:szCs w:val="20"/>
        </w:rPr>
        <w:t>Monitoring and/or Maintenance Treatments</w:t>
      </w:r>
    </w:p>
    <w:p w14:paraId="7ED03998" w14:textId="77777777" w:rsidR="008E67EA" w:rsidRPr="00076450"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076450">
        <w:rPr>
          <w:rFonts w:eastAsia="Calibri" w:cs="Arial"/>
          <w:sz w:val="20"/>
          <w:szCs w:val="20"/>
          <w:bdr w:val="none" w:sz="0" w:space="0" w:color="auto" w:frame="1"/>
          <w:lang w:val="en-GB" w:eastAsia="en-AU"/>
        </w:rPr>
        <w:t>Monitoring and maintenance treatments are required at sensitive sites where there is no current rodent infestation but where the prevention of such infestation is essential to prevent significant risks to human health. Such treatments may be a condition for audit approval within food safety guidelines. However, use of this product must comply with the conditions of this label.</w:t>
      </w:r>
    </w:p>
    <w:p w14:paraId="153E85F1" w14:textId="77777777" w:rsidR="008E67EA" w:rsidRPr="00076450"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076450">
        <w:rPr>
          <w:rFonts w:eastAsia="Calibri" w:cs="Arial"/>
          <w:sz w:val="20"/>
          <w:szCs w:val="20"/>
          <w:bdr w:val="none" w:sz="0" w:space="0" w:color="auto" w:frame="1"/>
          <w:lang w:val="en-GB" w:eastAsia="en-AU"/>
        </w:rPr>
        <w:t xml:space="preserve">Always use </w:t>
      </w:r>
      <w:r w:rsidRPr="00076450">
        <w:rPr>
          <w:rFonts w:cs="Arial"/>
          <w:sz w:val="20"/>
          <w:szCs w:val="20"/>
          <w:bdr w:val="none" w:sz="0" w:space="0" w:color="auto" w:frame="1"/>
          <w:lang w:val="en-GB" w:eastAsia="en-AU"/>
        </w:rPr>
        <w:t xml:space="preserve">tamper-resistant bait stations for monitoring and maintenance treatments and fix the stations securely to the substrate. </w:t>
      </w:r>
    </w:p>
    <w:p w14:paraId="1AA51CA2" w14:textId="77777777" w:rsidR="008E67EA" w:rsidRPr="00076450"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076450">
        <w:rPr>
          <w:rFonts w:eastAsia="Calibri" w:cs="Arial"/>
          <w:sz w:val="20"/>
          <w:szCs w:val="20"/>
          <w:bdr w:val="none" w:sz="0" w:space="0" w:color="auto" w:frame="1"/>
          <w:lang w:val="en-GB" w:eastAsia="en-AU"/>
        </w:rPr>
        <w:t>Place bait stations so as to prevent access to non-target animals.</w:t>
      </w:r>
    </w:p>
    <w:p w14:paraId="4B484187" w14:textId="77777777" w:rsidR="008E67EA" w:rsidRPr="00076450"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076450">
        <w:rPr>
          <w:rFonts w:eastAsia="Calibri" w:cs="Arial"/>
          <w:sz w:val="20"/>
          <w:szCs w:val="20"/>
          <w:bdr w:val="none" w:sz="0" w:space="0" w:color="auto" w:frame="1"/>
          <w:lang w:val="en-GB" w:eastAsia="en-AU"/>
        </w:rPr>
        <w:t>Use placebo or unpoisoned bait if the placement of the bait presents a hazard to non-target animals.</w:t>
      </w:r>
    </w:p>
    <w:p w14:paraId="2E06A73E" w14:textId="77777777" w:rsidR="008E67EA" w:rsidRPr="00076450"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076450">
        <w:rPr>
          <w:rFonts w:eastAsia="Calibri" w:cs="Arial"/>
          <w:sz w:val="20"/>
          <w:szCs w:val="20"/>
          <w:bdr w:val="none" w:sz="0" w:space="0" w:color="auto" w:frame="1"/>
          <w:lang w:val="en-GB" w:eastAsia="en-AU"/>
        </w:rPr>
        <w:t>Always record the number and locations of bait stations for the purpose of bait replacement and later removal.</w:t>
      </w:r>
    </w:p>
    <w:p w14:paraId="504ACF23" w14:textId="77777777" w:rsidR="008E67EA" w:rsidRPr="00076450"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076450">
        <w:rPr>
          <w:rFonts w:eastAsia="Calibri" w:cs="Arial"/>
          <w:sz w:val="20"/>
          <w:szCs w:val="20"/>
          <w:bdr w:val="none" w:sz="0" w:space="0" w:color="auto" w:frame="1"/>
          <w:lang w:val="en-GB" w:eastAsia="en-AU"/>
        </w:rPr>
        <w:t>Bait stations should be inspected at regular intervals no more than 7 days apart according to an agreed and documented schedule.</w:t>
      </w:r>
    </w:p>
    <w:p w14:paraId="60F954D8" w14:textId="77777777" w:rsidR="008E67EA" w:rsidRPr="00076450"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076450">
        <w:rPr>
          <w:rFonts w:eastAsia="Calibri" w:cs="Arial"/>
          <w:sz w:val="20"/>
          <w:szCs w:val="20"/>
          <w:bdr w:val="none" w:sz="0" w:space="0" w:color="auto" w:frame="1"/>
          <w:lang w:eastAsia="en-AU"/>
        </w:rPr>
        <w:t>When a rodent infestation is detected revert to the directions for Clean Out Treatments.</w:t>
      </w:r>
    </w:p>
    <w:p w14:paraId="3097559E" w14:textId="77777777" w:rsidR="002C5418" w:rsidRDefault="008E67EA" w:rsidP="002C5418">
      <w:pPr>
        <w:spacing w:line="280" w:lineRule="exact"/>
        <w:rPr>
          <w:rFonts w:cs="Arial"/>
          <w:b/>
          <w:bCs/>
          <w:color w:val="000000" w:themeColor="text1"/>
          <w:sz w:val="20"/>
          <w:szCs w:val="20"/>
        </w:rPr>
        <w:sectPr w:rsidR="002C5418" w:rsidSect="00CB73E0">
          <w:pgSz w:w="11906" w:h="16838"/>
          <w:pgMar w:top="1440" w:right="1134" w:bottom="1440" w:left="1134" w:header="794" w:footer="737" w:gutter="0"/>
          <w:cols w:space="708"/>
          <w:docGrid w:linePitch="360"/>
        </w:sectPr>
      </w:pPr>
      <w:r w:rsidRPr="00076450">
        <w:rPr>
          <w:rFonts w:cs="Arial"/>
          <w:b/>
          <w:bCs/>
          <w:color w:val="000000" w:themeColor="text1"/>
          <w:sz w:val="20"/>
          <w:szCs w:val="20"/>
        </w:rPr>
        <w:t>NOT TO BE USED FOR ANY PURPOSE, OR IN ANY MANNER, CONTRARY TO THIS LABEL UNLESS AUTHORISED UNDER APPROPRIATE LEGISLATION</w:t>
      </w:r>
    </w:p>
    <w:p w14:paraId="57E97162" w14:textId="77777777" w:rsidR="008E67EA"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lastRenderedPageBreak/>
        <w:t xml:space="preserve">Template Label </w:t>
      </w:r>
      <w:r>
        <w:rPr>
          <w:rFonts w:cs="Arial"/>
          <w:b/>
          <w:bCs/>
          <w:sz w:val="20"/>
          <w:szCs w:val="20"/>
          <w:bdr w:val="none" w:sz="0" w:space="0" w:color="auto" w:frame="1"/>
          <w:lang w:val="en-GB" w:eastAsia="en-AU"/>
        </w:rPr>
        <w:t>2b</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BA6A0C" w14:paraId="1D4BF48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1AF97DE" w14:textId="77777777" w:rsidR="008E67EA" w:rsidRPr="00BA6A0C" w:rsidRDefault="008E67EA" w:rsidP="00B44A74">
            <w:pPr>
              <w:spacing w:line="280" w:lineRule="exact"/>
              <w:rPr>
                <w:rFonts w:cs="Arial"/>
                <w:sz w:val="20"/>
                <w:szCs w:val="20"/>
              </w:rPr>
            </w:pPr>
            <w:r w:rsidRPr="00BA6A0C">
              <w:rPr>
                <w:rFonts w:cs="Arial"/>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3861DC44" w14:textId="77777777" w:rsidR="008E67EA" w:rsidRPr="00BA6A0C" w:rsidRDefault="008E67EA" w:rsidP="00B44A74">
            <w:pPr>
              <w:spacing w:line="280" w:lineRule="exact"/>
              <w:rPr>
                <w:rFonts w:cs="Arial"/>
                <w:sz w:val="20"/>
                <w:szCs w:val="20"/>
              </w:rPr>
            </w:pPr>
            <w:r w:rsidRPr="00BA6A0C">
              <w:rPr>
                <w:rFonts w:cs="Arial"/>
                <w:sz w:val="20"/>
                <w:szCs w:val="20"/>
              </w:rPr>
              <w:t>[INSERT LABEL NAME]</w:t>
            </w:r>
          </w:p>
        </w:tc>
      </w:tr>
      <w:tr w:rsidR="008E67EA" w:rsidRPr="00BA6A0C" w14:paraId="20CA2ED8" w14:textId="77777777" w:rsidTr="00B44A74">
        <w:trPr>
          <w:jc w:val="center"/>
        </w:trPr>
        <w:tc>
          <w:tcPr>
            <w:tcW w:w="2415" w:type="dxa"/>
            <w:tcBorders>
              <w:top w:val="single" w:sz="4" w:space="0" w:color="auto"/>
              <w:left w:val="nil"/>
              <w:bottom w:val="single" w:sz="4" w:space="0" w:color="auto"/>
              <w:right w:val="nil"/>
            </w:tcBorders>
          </w:tcPr>
          <w:p w14:paraId="05F067AA" w14:textId="77777777" w:rsidR="008E67EA" w:rsidRPr="00BA6A0C"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2C593F6" w14:textId="77777777" w:rsidR="008E67EA" w:rsidRPr="00BA6A0C" w:rsidRDefault="008E67EA" w:rsidP="00B44A74">
            <w:pPr>
              <w:spacing w:line="280" w:lineRule="exact"/>
              <w:rPr>
                <w:rFonts w:cs="Arial"/>
                <w:sz w:val="20"/>
                <w:szCs w:val="20"/>
              </w:rPr>
            </w:pPr>
          </w:p>
        </w:tc>
      </w:tr>
      <w:tr w:rsidR="008E67EA" w:rsidRPr="00BA6A0C" w14:paraId="72FDC02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773CC4B" w14:textId="77777777" w:rsidR="008E67EA" w:rsidRPr="00BA6A0C" w:rsidRDefault="008E67EA" w:rsidP="00B44A74">
            <w:pPr>
              <w:spacing w:line="280" w:lineRule="exact"/>
              <w:rPr>
                <w:rFonts w:cs="Arial"/>
                <w:sz w:val="20"/>
                <w:szCs w:val="20"/>
              </w:rPr>
            </w:pPr>
            <w:r w:rsidRPr="00BA6A0C">
              <w:rPr>
                <w:rFonts w:cs="Arial"/>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00711917" w14:textId="77777777" w:rsidR="008E67EA" w:rsidRPr="00BA6A0C" w:rsidRDefault="008E67EA" w:rsidP="00B44A74">
            <w:pPr>
              <w:spacing w:line="280" w:lineRule="exact"/>
              <w:rPr>
                <w:rFonts w:cs="Arial"/>
                <w:sz w:val="20"/>
                <w:szCs w:val="20"/>
              </w:rPr>
            </w:pPr>
            <w:r w:rsidRPr="00BA6A0C">
              <w:rPr>
                <w:rFonts w:cs="Arial"/>
                <w:sz w:val="20"/>
                <w:szCs w:val="20"/>
              </w:rPr>
              <w:t>POISON</w:t>
            </w:r>
          </w:p>
          <w:p w14:paraId="0DDC318B" w14:textId="77777777" w:rsidR="008E67EA" w:rsidRPr="00BA6A0C" w:rsidRDefault="008E67EA" w:rsidP="00B44A74">
            <w:pPr>
              <w:spacing w:line="280" w:lineRule="exact"/>
              <w:rPr>
                <w:rFonts w:cs="Arial"/>
                <w:sz w:val="20"/>
                <w:szCs w:val="20"/>
              </w:rPr>
            </w:pPr>
            <w:r w:rsidRPr="00BA6A0C">
              <w:rPr>
                <w:rFonts w:cs="Arial"/>
                <w:sz w:val="20"/>
                <w:szCs w:val="20"/>
              </w:rPr>
              <w:t>KEEP OUT OF REACH OF CHILDREN</w:t>
            </w:r>
          </w:p>
          <w:p w14:paraId="53655F16" w14:textId="77777777" w:rsidR="008E67EA" w:rsidRPr="00BA6A0C" w:rsidRDefault="008E67EA" w:rsidP="00B44A74">
            <w:pPr>
              <w:spacing w:line="280" w:lineRule="exact"/>
              <w:rPr>
                <w:rFonts w:cs="Arial"/>
                <w:sz w:val="20"/>
                <w:szCs w:val="20"/>
              </w:rPr>
            </w:pPr>
            <w:r w:rsidRPr="00BA6A0C">
              <w:rPr>
                <w:rFonts w:cs="Arial"/>
                <w:sz w:val="20"/>
                <w:szCs w:val="20"/>
              </w:rPr>
              <w:t>READ SAFETY DIRECTIONS BEFORE OPENING OR USING</w:t>
            </w:r>
          </w:p>
        </w:tc>
      </w:tr>
      <w:tr w:rsidR="008E67EA" w:rsidRPr="00BA6A0C" w14:paraId="5F15BBDE" w14:textId="77777777" w:rsidTr="00B44A74">
        <w:trPr>
          <w:jc w:val="center"/>
        </w:trPr>
        <w:tc>
          <w:tcPr>
            <w:tcW w:w="2415" w:type="dxa"/>
            <w:tcBorders>
              <w:top w:val="single" w:sz="4" w:space="0" w:color="auto"/>
              <w:left w:val="nil"/>
              <w:bottom w:val="single" w:sz="4" w:space="0" w:color="auto"/>
              <w:right w:val="nil"/>
            </w:tcBorders>
          </w:tcPr>
          <w:p w14:paraId="0BC22CCF" w14:textId="77777777" w:rsidR="008E67EA" w:rsidRPr="00BA6A0C"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33DA5FD" w14:textId="77777777" w:rsidR="008E67EA" w:rsidRPr="00BA6A0C" w:rsidRDefault="008E67EA" w:rsidP="00B44A74">
            <w:pPr>
              <w:spacing w:line="280" w:lineRule="exact"/>
              <w:rPr>
                <w:rFonts w:cs="Arial"/>
                <w:sz w:val="20"/>
                <w:szCs w:val="20"/>
              </w:rPr>
            </w:pPr>
          </w:p>
        </w:tc>
      </w:tr>
      <w:tr w:rsidR="008E67EA" w:rsidRPr="00BA6A0C" w14:paraId="5A61869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FD50F22" w14:textId="77777777" w:rsidR="008E67EA" w:rsidRPr="00BA6A0C" w:rsidRDefault="008E67EA" w:rsidP="00B44A74">
            <w:pPr>
              <w:spacing w:line="280" w:lineRule="exact"/>
              <w:rPr>
                <w:rFonts w:cs="Arial"/>
                <w:sz w:val="20"/>
                <w:szCs w:val="20"/>
              </w:rPr>
            </w:pPr>
            <w:r w:rsidRPr="00BA6A0C">
              <w:rPr>
                <w:rFonts w:cs="Arial"/>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0BB2833E" w14:textId="77777777" w:rsidR="008E67EA" w:rsidRPr="00BA6A0C" w:rsidRDefault="008E67EA" w:rsidP="00B44A74">
            <w:pPr>
              <w:spacing w:line="280" w:lineRule="exact"/>
              <w:rPr>
                <w:rFonts w:cs="Arial"/>
                <w:sz w:val="20"/>
                <w:szCs w:val="20"/>
              </w:rPr>
            </w:pPr>
            <w:r w:rsidRPr="00BA6A0C">
              <w:rPr>
                <w:rFonts w:cs="Arial"/>
                <w:sz w:val="20"/>
                <w:szCs w:val="20"/>
              </w:rPr>
              <w:t>ACTIVE CONSTITUENT: 0.05 g/kg BRODIFACOUM</w:t>
            </w:r>
          </w:p>
        </w:tc>
      </w:tr>
      <w:tr w:rsidR="008E67EA" w:rsidRPr="00BA6A0C" w14:paraId="2C40FDAC" w14:textId="77777777" w:rsidTr="00B44A74">
        <w:trPr>
          <w:jc w:val="center"/>
        </w:trPr>
        <w:tc>
          <w:tcPr>
            <w:tcW w:w="2415" w:type="dxa"/>
            <w:tcBorders>
              <w:top w:val="single" w:sz="4" w:space="0" w:color="auto"/>
              <w:left w:val="nil"/>
              <w:bottom w:val="single" w:sz="4" w:space="0" w:color="auto"/>
              <w:right w:val="nil"/>
            </w:tcBorders>
          </w:tcPr>
          <w:p w14:paraId="6A760B80" w14:textId="77777777" w:rsidR="008E67EA" w:rsidRPr="00BA6A0C"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DA41EDE" w14:textId="77777777" w:rsidR="008E67EA" w:rsidRPr="00BA6A0C" w:rsidRDefault="008E67EA" w:rsidP="00B44A74">
            <w:pPr>
              <w:spacing w:line="280" w:lineRule="exact"/>
              <w:rPr>
                <w:rFonts w:cs="Arial"/>
                <w:sz w:val="20"/>
                <w:szCs w:val="20"/>
              </w:rPr>
            </w:pPr>
          </w:p>
        </w:tc>
      </w:tr>
      <w:tr w:rsidR="008E67EA" w:rsidRPr="00BA6A0C" w14:paraId="61DA779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4506CDA" w14:textId="77777777" w:rsidR="008E67EA" w:rsidRPr="00BA6A0C" w:rsidRDefault="008E67EA" w:rsidP="00B44A74">
            <w:pPr>
              <w:spacing w:line="280" w:lineRule="exact"/>
              <w:rPr>
                <w:rFonts w:cs="Arial"/>
                <w:sz w:val="20"/>
                <w:szCs w:val="20"/>
              </w:rPr>
            </w:pPr>
            <w:r w:rsidRPr="00BA6A0C">
              <w:rPr>
                <w:rFonts w:cs="Arial"/>
                <w:sz w:val="20"/>
                <w:szCs w:val="20"/>
              </w:rPr>
              <w:t>Mode of Action:</w:t>
            </w:r>
          </w:p>
        </w:tc>
        <w:tc>
          <w:tcPr>
            <w:tcW w:w="7755" w:type="dxa"/>
            <w:tcBorders>
              <w:top w:val="single" w:sz="4" w:space="0" w:color="auto"/>
              <w:left w:val="single" w:sz="4" w:space="0" w:color="auto"/>
              <w:bottom w:val="single" w:sz="4" w:space="0" w:color="auto"/>
              <w:right w:val="single" w:sz="4" w:space="0" w:color="auto"/>
            </w:tcBorders>
          </w:tcPr>
          <w:p w14:paraId="2C6CB7F8" w14:textId="77777777" w:rsidR="008E67EA" w:rsidRPr="00BA6A0C" w:rsidRDefault="008E67EA" w:rsidP="00B44A74">
            <w:pPr>
              <w:spacing w:line="280" w:lineRule="exact"/>
              <w:jc w:val="both"/>
              <w:rPr>
                <w:rFonts w:cs="Arial"/>
                <w:sz w:val="20"/>
                <w:szCs w:val="20"/>
              </w:rPr>
            </w:pPr>
          </w:p>
        </w:tc>
      </w:tr>
      <w:tr w:rsidR="008E67EA" w:rsidRPr="00BA6A0C" w14:paraId="0262BA67" w14:textId="77777777" w:rsidTr="00B44A74">
        <w:trPr>
          <w:jc w:val="center"/>
        </w:trPr>
        <w:tc>
          <w:tcPr>
            <w:tcW w:w="2415" w:type="dxa"/>
            <w:tcBorders>
              <w:top w:val="single" w:sz="4" w:space="0" w:color="auto"/>
              <w:left w:val="nil"/>
              <w:bottom w:val="single" w:sz="4" w:space="0" w:color="auto"/>
              <w:right w:val="nil"/>
            </w:tcBorders>
          </w:tcPr>
          <w:p w14:paraId="152AB52C" w14:textId="77777777" w:rsidR="008E67EA" w:rsidRPr="00BA6A0C"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275203E" w14:textId="77777777" w:rsidR="008E67EA" w:rsidRPr="00BA6A0C" w:rsidRDefault="008E67EA" w:rsidP="00B44A74">
            <w:pPr>
              <w:spacing w:line="280" w:lineRule="exact"/>
              <w:rPr>
                <w:rFonts w:cs="Arial"/>
                <w:sz w:val="20"/>
                <w:szCs w:val="20"/>
              </w:rPr>
            </w:pPr>
          </w:p>
        </w:tc>
      </w:tr>
      <w:tr w:rsidR="008E67EA" w:rsidRPr="00BA6A0C" w14:paraId="0985257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095A6A9" w14:textId="77777777" w:rsidR="008E67EA" w:rsidRPr="00BA6A0C" w:rsidRDefault="008E67EA" w:rsidP="00B44A74">
            <w:pPr>
              <w:spacing w:line="280" w:lineRule="exact"/>
              <w:rPr>
                <w:rFonts w:cs="Arial"/>
                <w:sz w:val="20"/>
                <w:szCs w:val="20"/>
              </w:rPr>
            </w:pPr>
            <w:r w:rsidRPr="00BA6A0C">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28275F70" w14:textId="77777777" w:rsidR="008E67EA" w:rsidRPr="003D65B8" w:rsidRDefault="008E67EA" w:rsidP="00B44A74">
            <w:pPr>
              <w:spacing w:line="280" w:lineRule="exact"/>
              <w:rPr>
                <w:rFonts w:cs="Arial"/>
                <w:sz w:val="20"/>
                <w:szCs w:val="20"/>
              </w:rPr>
            </w:pPr>
            <w:r w:rsidRPr="003D65B8">
              <w:rPr>
                <w:rFonts w:cs="Arial"/>
                <w:sz w:val="20"/>
                <w:szCs w:val="20"/>
              </w:rPr>
              <w:t>For control of mice in industrial, commercial, public services and domestic buildings</w:t>
            </w:r>
            <w:r>
              <w:rPr>
                <w:rFonts w:cs="Arial"/>
                <w:sz w:val="20"/>
                <w:szCs w:val="20"/>
              </w:rPr>
              <w:t>.</w:t>
            </w:r>
          </w:p>
        </w:tc>
      </w:tr>
      <w:tr w:rsidR="008E67EA" w:rsidRPr="00BA6A0C" w14:paraId="4A111F09" w14:textId="77777777" w:rsidTr="00B44A74">
        <w:trPr>
          <w:jc w:val="center"/>
        </w:trPr>
        <w:tc>
          <w:tcPr>
            <w:tcW w:w="2415" w:type="dxa"/>
            <w:tcBorders>
              <w:top w:val="single" w:sz="4" w:space="0" w:color="auto"/>
              <w:left w:val="nil"/>
              <w:bottom w:val="single" w:sz="4" w:space="0" w:color="auto"/>
              <w:right w:val="nil"/>
            </w:tcBorders>
          </w:tcPr>
          <w:p w14:paraId="53FA9DD8" w14:textId="77777777" w:rsidR="008E67EA" w:rsidRPr="00BA6A0C"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08644FB" w14:textId="77777777" w:rsidR="008E67EA" w:rsidRPr="00BA6A0C" w:rsidRDefault="008E67EA" w:rsidP="00B44A74">
            <w:pPr>
              <w:spacing w:line="280" w:lineRule="exact"/>
              <w:rPr>
                <w:rFonts w:cs="Arial"/>
                <w:sz w:val="20"/>
                <w:szCs w:val="20"/>
              </w:rPr>
            </w:pPr>
          </w:p>
        </w:tc>
      </w:tr>
      <w:tr w:rsidR="008E67EA" w:rsidRPr="00BA6A0C" w14:paraId="605FA24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DE06B8C" w14:textId="77777777" w:rsidR="008E67EA" w:rsidRPr="00BA6A0C" w:rsidRDefault="008E67EA" w:rsidP="00B44A74">
            <w:pPr>
              <w:spacing w:line="280" w:lineRule="exact"/>
              <w:rPr>
                <w:rFonts w:cs="Arial"/>
                <w:sz w:val="20"/>
                <w:szCs w:val="20"/>
              </w:rPr>
            </w:pPr>
            <w:r w:rsidRPr="00BA6A0C">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758A9413" w14:textId="77777777" w:rsidR="008E67EA" w:rsidRPr="00BA6A0C" w:rsidRDefault="008E67EA" w:rsidP="00B44A74">
            <w:pPr>
              <w:spacing w:line="280" w:lineRule="exact"/>
              <w:rPr>
                <w:rFonts w:cs="Arial"/>
                <w:sz w:val="20"/>
                <w:szCs w:val="20"/>
              </w:rPr>
            </w:pPr>
            <w:r w:rsidRPr="00BA6A0C">
              <w:rPr>
                <w:rFonts w:cs="Arial"/>
                <w:sz w:val="20"/>
                <w:szCs w:val="20"/>
              </w:rPr>
              <w:t>[INSERT NET CONTENTS]</w:t>
            </w:r>
          </w:p>
        </w:tc>
      </w:tr>
      <w:tr w:rsidR="008E67EA" w:rsidRPr="00BA6A0C" w14:paraId="0F9B031F" w14:textId="77777777" w:rsidTr="00B44A74">
        <w:trPr>
          <w:jc w:val="center"/>
        </w:trPr>
        <w:tc>
          <w:tcPr>
            <w:tcW w:w="2415" w:type="dxa"/>
            <w:tcBorders>
              <w:top w:val="single" w:sz="4" w:space="0" w:color="auto"/>
              <w:left w:val="nil"/>
              <w:bottom w:val="single" w:sz="4" w:space="0" w:color="auto"/>
              <w:right w:val="nil"/>
            </w:tcBorders>
          </w:tcPr>
          <w:p w14:paraId="4FE13D8E" w14:textId="77777777" w:rsidR="008E67EA" w:rsidRPr="00BA6A0C"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F036088" w14:textId="77777777" w:rsidR="008E67EA" w:rsidRPr="00BA6A0C" w:rsidRDefault="008E67EA" w:rsidP="00B44A74">
            <w:pPr>
              <w:spacing w:line="280" w:lineRule="exact"/>
              <w:rPr>
                <w:rFonts w:cs="Arial"/>
                <w:sz w:val="20"/>
                <w:szCs w:val="20"/>
              </w:rPr>
            </w:pPr>
          </w:p>
        </w:tc>
      </w:tr>
      <w:tr w:rsidR="008E67EA" w:rsidRPr="00BA6A0C" w14:paraId="7D525F2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8D37B34" w14:textId="77777777" w:rsidR="008E67EA" w:rsidRPr="00BA6A0C" w:rsidRDefault="008E67EA" w:rsidP="00B44A74">
            <w:pPr>
              <w:spacing w:line="280" w:lineRule="exact"/>
              <w:rPr>
                <w:rFonts w:cs="Arial"/>
                <w:sz w:val="20"/>
                <w:szCs w:val="20"/>
              </w:rPr>
            </w:pPr>
            <w:r w:rsidRPr="00BA6A0C">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742A438B" w14:textId="77777777" w:rsidR="008E67EA" w:rsidRPr="00BA6A0C" w:rsidRDefault="008E67EA" w:rsidP="00B44A74">
            <w:pPr>
              <w:spacing w:line="280" w:lineRule="exact"/>
              <w:rPr>
                <w:rFonts w:cs="Arial"/>
                <w:sz w:val="20"/>
                <w:szCs w:val="20"/>
              </w:rPr>
            </w:pPr>
            <w:r w:rsidRPr="00BA6A0C">
              <w:rPr>
                <w:rFonts w:cs="Arial"/>
                <w:sz w:val="20"/>
                <w:szCs w:val="20"/>
              </w:rPr>
              <w:t>RESTRAINTS</w:t>
            </w:r>
          </w:p>
          <w:p w14:paraId="146E1A8B" w14:textId="77777777" w:rsidR="008E67EA" w:rsidRPr="00BA6A0C" w:rsidRDefault="008E67EA" w:rsidP="00B44A74">
            <w:pPr>
              <w:spacing w:line="280" w:lineRule="exact"/>
              <w:rPr>
                <w:rFonts w:cs="Arial"/>
                <w:sz w:val="20"/>
                <w:szCs w:val="20"/>
              </w:rPr>
            </w:pPr>
            <w:r w:rsidRPr="00BA6A0C">
              <w:rPr>
                <w:rFonts w:cs="Arial"/>
                <w:sz w:val="20"/>
                <w:szCs w:val="20"/>
              </w:rPr>
              <w:t>DO NOT use this product unless you have a current qualification in the nationally recognised training course for rodent pest management CPPUPM3006 - Manage pests by applying pesticides, or an equivalent unit of competency.</w:t>
            </w:r>
          </w:p>
          <w:p w14:paraId="5EFD0177" w14:textId="38BC66AA" w:rsidR="008E67EA" w:rsidRPr="00BA6A0C" w:rsidRDefault="008E67EA" w:rsidP="00B44A74">
            <w:pPr>
              <w:spacing w:line="280" w:lineRule="exact"/>
              <w:rPr>
                <w:rFonts w:cs="Arial"/>
                <w:sz w:val="20"/>
                <w:szCs w:val="20"/>
              </w:rPr>
            </w:pPr>
            <w:r w:rsidRPr="00BA6A0C">
              <w:rPr>
                <w:rFonts w:cs="Arial"/>
                <w:sz w:val="20"/>
                <w:szCs w:val="20"/>
              </w:rPr>
              <w:t>DO NOT place baits in areas that are accessible to children. In child-accessible areas baits must be placed in tamper-</w:t>
            </w:r>
            <w:r>
              <w:rPr>
                <w:rFonts w:cs="Arial"/>
                <w:sz w:val="20"/>
                <w:szCs w:val="20"/>
              </w:rPr>
              <w:t>resistant</w:t>
            </w:r>
            <w:r w:rsidRPr="00BA6A0C">
              <w:rPr>
                <w:rFonts w:cs="Arial"/>
                <w:sz w:val="20"/>
                <w:szCs w:val="20"/>
              </w:rPr>
              <w:t xml:space="preserve"> bait stations. If bait can be dislodged from bait station, bait station must be secured in place.</w:t>
            </w:r>
          </w:p>
          <w:p w14:paraId="2B2E0A33" w14:textId="77777777" w:rsidR="008E67EA" w:rsidRPr="00BA6A0C" w:rsidRDefault="008E67EA" w:rsidP="00B44A74">
            <w:pPr>
              <w:spacing w:line="280" w:lineRule="exact"/>
              <w:rPr>
                <w:rFonts w:cs="Arial"/>
                <w:sz w:val="20"/>
                <w:szCs w:val="20"/>
              </w:rPr>
            </w:pPr>
            <w:r w:rsidRPr="00BA6A0C">
              <w:rPr>
                <w:rFonts w:cs="Arial"/>
                <w:sz w:val="20"/>
                <w:szCs w:val="20"/>
              </w:rPr>
              <w:t>DO NOT place bait stations outdoors around buildings for control of mice.</w:t>
            </w:r>
          </w:p>
          <w:p w14:paraId="204A0372" w14:textId="77777777" w:rsidR="008E67EA" w:rsidRPr="00BA6A0C" w:rsidRDefault="008E67EA" w:rsidP="00B44A74">
            <w:pPr>
              <w:spacing w:line="280" w:lineRule="exact"/>
              <w:rPr>
                <w:rFonts w:cs="Arial"/>
                <w:sz w:val="20"/>
                <w:szCs w:val="20"/>
              </w:rPr>
            </w:pPr>
            <w:r w:rsidRPr="00BA6A0C">
              <w:rPr>
                <w:rFonts w:cs="Arial"/>
                <w:sz w:val="20"/>
                <w:szCs w:val="20"/>
              </w:rPr>
              <w:t>DO NOT bait in areas where wildlife may be collected for human consumption.</w:t>
            </w:r>
          </w:p>
          <w:p w14:paraId="5272F9BD" w14:textId="77777777" w:rsidR="008E67EA" w:rsidRPr="00BA6A0C" w:rsidRDefault="008E67EA" w:rsidP="00B44A74">
            <w:pPr>
              <w:spacing w:line="280" w:lineRule="exact"/>
              <w:rPr>
                <w:rFonts w:cs="Arial"/>
                <w:sz w:val="20"/>
                <w:szCs w:val="20"/>
              </w:rPr>
            </w:pPr>
            <w:r w:rsidRPr="00BA6A0C">
              <w:rPr>
                <w:rFonts w:cs="Arial"/>
                <w:sz w:val="20"/>
                <w:szCs w:val="20"/>
              </w:rPr>
              <w:t>DO NOT place in animal or livestock housing unless used in tamper-</w:t>
            </w:r>
            <w:r>
              <w:rPr>
                <w:rFonts w:cs="Arial"/>
                <w:sz w:val="20"/>
                <w:szCs w:val="20"/>
              </w:rPr>
              <w:t>resistant</w:t>
            </w:r>
            <w:r w:rsidRPr="00BA6A0C">
              <w:rPr>
                <w:rFonts w:cs="Arial"/>
                <w:sz w:val="20"/>
                <w:szCs w:val="20"/>
              </w:rPr>
              <w:t xml:space="preserve"> and weather resistant bait stations fixed to the ground or other structures.</w:t>
            </w:r>
          </w:p>
          <w:p w14:paraId="1FE3B2E3" w14:textId="77777777" w:rsidR="008E67EA" w:rsidRPr="00BA6A0C" w:rsidRDefault="008E67EA" w:rsidP="00B44A74">
            <w:pPr>
              <w:spacing w:line="280" w:lineRule="exact"/>
              <w:rPr>
                <w:rFonts w:cs="Arial"/>
                <w:sz w:val="20"/>
                <w:szCs w:val="20"/>
              </w:rPr>
            </w:pPr>
            <w:r w:rsidRPr="00BA6A0C">
              <w:rPr>
                <w:rFonts w:cs="Arial"/>
                <w:sz w:val="20"/>
                <w:szCs w:val="20"/>
              </w:rPr>
              <w:t>DO NOT place bait or bait stations above areas which would allow them to contaminate pig and poultry food or drinking water.</w:t>
            </w:r>
          </w:p>
        </w:tc>
      </w:tr>
      <w:tr w:rsidR="008E67EA" w:rsidRPr="00BA6A0C" w14:paraId="30EBB5AD" w14:textId="77777777" w:rsidTr="00B44A74">
        <w:trPr>
          <w:jc w:val="center"/>
        </w:trPr>
        <w:tc>
          <w:tcPr>
            <w:tcW w:w="2415" w:type="dxa"/>
            <w:tcBorders>
              <w:top w:val="single" w:sz="4" w:space="0" w:color="auto"/>
              <w:left w:val="nil"/>
              <w:bottom w:val="single" w:sz="4" w:space="0" w:color="auto"/>
              <w:right w:val="nil"/>
            </w:tcBorders>
          </w:tcPr>
          <w:p w14:paraId="5C19D102" w14:textId="77777777" w:rsidR="008E67EA" w:rsidRPr="00BA6A0C"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5741237" w14:textId="77777777" w:rsidR="008E67EA" w:rsidRPr="00BA6A0C" w:rsidRDefault="008E67EA" w:rsidP="00B44A74">
            <w:pPr>
              <w:spacing w:line="280" w:lineRule="exact"/>
              <w:rPr>
                <w:rFonts w:cs="Arial"/>
                <w:sz w:val="20"/>
                <w:szCs w:val="20"/>
              </w:rPr>
            </w:pPr>
          </w:p>
        </w:tc>
      </w:tr>
      <w:tr w:rsidR="008E67EA" w:rsidRPr="00BA6A0C" w14:paraId="03487A7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DA584B0" w14:textId="77777777" w:rsidR="008E67EA" w:rsidRPr="00BA6A0C" w:rsidRDefault="008E67EA" w:rsidP="00B44A74">
            <w:pPr>
              <w:spacing w:line="280" w:lineRule="exact"/>
              <w:rPr>
                <w:rFonts w:cs="Arial"/>
                <w:sz w:val="20"/>
                <w:szCs w:val="20"/>
              </w:rPr>
            </w:pPr>
            <w:r w:rsidRPr="00BA6A0C">
              <w:rPr>
                <w:rFonts w:cs="Arial"/>
                <w:sz w:val="20"/>
                <w:szCs w:val="20"/>
              </w:rPr>
              <w:t>Directions for Use:</w:t>
            </w:r>
          </w:p>
        </w:tc>
        <w:tc>
          <w:tcPr>
            <w:tcW w:w="7755" w:type="dxa"/>
            <w:tcBorders>
              <w:top w:val="single" w:sz="4" w:space="0" w:color="auto"/>
              <w:left w:val="single" w:sz="4" w:space="0" w:color="auto"/>
              <w:bottom w:val="single" w:sz="4" w:space="0" w:color="auto"/>
              <w:right w:val="single" w:sz="4" w:space="0" w:color="auto"/>
            </w:tcBorders>
          </w:tcPr>
          <w:p w14:paraId="31E041C9" w14:textId="77777777" w:rsidR="008E67EA" w:rsidRPr="00BA6A0C" w:rsidRDefault="008E67EA" w:rsidP="00B44A74">
            <w:pPr>
              <w:spacing w:line="280" w:lineRule="exact"/>
              <w:rPr>
                <w:rFonts w:cs="Arial"/>
                <w:sz w:val="20"/>
                <w:szCs w:val="20"/>
              </w:rPr>
            </w:pPr>
            <w:r w:rsidRPr="00B832BB">
              <w:rPr>
                <w:rFonts w:cs="Arial"/>
                <w:sz w:val="20"/>
                <w:szCs w:val="20"/>
              </w:rPr>
              <w:t>[This section contains an attachment below]</w:t>
            </w:r>
          </w:p>
        </w:tc>
      </w:tr>
      <w:tr w:rsidR="008E67EA" w:rsidRPr="00BA6A0C" w14:paraId="38E575B0" w14:textId="77777777" w:rsidTr="00B44A74">
        <w:trPr>
          <w:jc w:val="center"/>
        </w:trPr>
        <w:tc>
          <w:tcPr>
            <w:tcW w:w="2415" w:type="dxa"/>
            <w:tcBorders>
              <w:top w:val="single" w:sz="4" w:space="0" w:color="auto"/>
              <w:left w:val="nil"/>
              <w:bottom w:val="single" w:sz="4" w:space="0" w:color="auto"/>
              <w:right w:val="nil"/>
            </w:tcBorders>
          </w:tcPr>
          <w:p w14:paraId="0E8DD9EE" w14:textId="77777777" w:rsidR="008E67EA" w:rsidRPr="00BA6A0C"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2EE3EA0" w14:textId="77777777" w:rsidR="008E67EA" w:rsidRPr="00BA6A0C" w:rsidRDefault="008E67EA" w:rsidP="00B44A74">
            <w:pPr>
              <w:spacing w:line="280" w:lineRule="exact"/>
              <w:rPr>
                <w:rFonts w:cs="Arial"/>
                <w:sz w:val="20"/>
                <w:szCs w:val="20"/>
              </w:rPr>
            </w:pPr>
          </w:p>
        </w:tc>
      </w:tr>
      <w:tr w:rsidR="008E67EA" w:rsidRPr="00BA6A0C" w14:paraId="0E184A5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5E0BAA0" w14:textId="77777777" w:rsidR="008E67EA" w:rsidRPr="00BA6A0C" w:rsidRDefault="008E67EA" w:rsidP="00B44A74">
            <w:pPr>
              <w:spacing w:line="280" w:lineRule="exact"/>
              <w:rPr>
                <w:rFonts w:cs="Arial"/>
                <w:sz w:val="20"/>
                <w:szCs w:val="20"/>
              </w:rPr>
            </w:pPr>
            <w:r w:rsidRPr="00BA6A0C">
              <w:rPr>
                <w:rFonts w:cs="Arial"/>
                <w:sz w:val="20"/>
                <w:szCs w:val="20"/>
              </w:rPr>
              <w:t>Other Limitations:</w:t>
            </w:r>
          </w:p>
        </w:tc>
        <w:tc>
          <w:tcPr>
            <w:tcW w:w="7755" w:type="dxa"/>
            <w:tcBorders>
              <w:top w:val="single" w:sz="4" w:space="0" w:color="auto"/>
              <w:left w:val="single" w:sz="4" w:space="0" w:color="auto"/>
              <w:bottom w:val="single" w:sz="4" w:space="0" w:color="auto"/>
              <w:right w:val="single" w:sz="4" w:space="0" w:color="auto"/>
            </w:tcBorders>
          </w:tcPr>
          <w:p w14:paraId="2964763A" w14:textId="77777777" w:rsidR="008E67EA" w:rsidRPr="00BA6A0C" w:rsidRDefault="008E67EA" w:rsidP="00B44A74">
            <w:pPr>
              <w:spacing w:line="280" w:lineRule="exact"/>
              <w:rPr>
                <w:rFonts w:cs="Arial"/>
                <w:sz w:val="20"/>
                <w:szCs w:val="20"/>
              </w:rPr>
            </w:pPr>
          </w:p>
        </w:tc>
      </w:tr>
      <w:tr w:rsidR="008E67EA" w:rsidRPr="00BA6A0C" w14:paraId="51087D6C" w14:textId="77777777" w:rsidTr="00B44A74">
        <w:trPr>
          <w:jc w:val="center"/>
        </w:trPr>
        <w:tc>
          <w:tcPr>
            <w:tcW w:w="2415" w:type="dxa"/>
            <w:tcBorders>
              <w:top w:val="single" w:sz="4" w:space="0" w:color="auto"/>
              <w:left w:val="nil"/>
              <w:bottom w:val="single" w:sz="4" w:space="0" w:color="auto"/>
              <w:right w:val="nil"/>
            </w:tcBorders>
          </w:tcPr>
          <w:p w14:paraId="54E8B915" w14:textId="77777777" w:rsidR="008E67EA" w:rsidRPr="00BA6A0C"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F112D6C" w14:textId="77777777" w:rsidR="008E67EA" w:rsidRPr="00BA6A0C" w:rsidRDefault="008E67EA" w:rsidP="00B44A74">
            <w:pPr>
              <w:spacing w:line="280" w:lineRule="exact"/>
              <w:rPr>
                <w:rFonts w:cs="Arial"/>
                <w:sz w:val="20"/>
                <w:szCs w:val="20"/>
              </w:rPr>
            </w:pPr>
          </w:p>
        </w:tc>
      </w:tr>
      <w:tr w:rsidR="008E67EA" w:rsidRPr="00BA6A0C" w14:paraId="656D57F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DC0755F" w14:textId="77777777" w:rsidR="008E67EA" w:rsidRPr="00BA6A0C" w:rsidRDefault="008E67EA" w:rsidP="00B44A74">
            <w:pPr>
              <w:spacing w:line="280" w:lineRule="exact"/>
              <w:rPr>
                <w:rFonts w:cs="Arial"/>
                <w:sz w:val="20"/>
                <w:szCs w:val="20"/>
              </w:rPr>
            </w:pPr>
            <w:r w:rsidRPr="00BA6A0C">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6B638EE2" w14:textId="77777777" w:rsidR="008E67EA" w:rsidRPr="00BA6A0C" w:rsidRDefault="008E67EA" w:rsidP="00B44A74">
            <w:pPr>
              <w:spacing w:line="280" w:lineRule="exact"/>
              <w:rPr>
                <w:rFonts w:cs="Arial"/>
                <w:sz w:val="20"/>
                <w:szCs w:val="20"/>
              </w:rPr>
            </w:pPr>
          </w:p>
        </w:tc>
      </w:tr>
      <w:tr w:rsidR="008E67EA" w:rsidRPr="00BA6A0C" w14:paraId="680F6E5E" w14:textId="77777777" w:rsidTr="00B44A74">
        <w:trPr>
          <w:jc w:val="center"/>
        </w:trPr>
        <w:tc>
          <w:tcPr>
            <w:tcW w:w="2415" w:type="dxa"/>
            <w:tcBorders>
              <w:top w:val="single" w:sz="4" w:space="0" w:color="auto"/>
              <w:left w:val="nil"/>
              <w:bottom w:val="single" w:sz="4" w:space="0" w:color="auto"/>
              <w:right w:val="nil"/>
            </w:tcBorders>
          </w:tcPr>
          <w:p w14:paraId="2ED516F8" w14:textId="77777777" w:rsidR="008E67EA" w:rsidRPr="00BA6A0C"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FDEF951" w14:textId="77777777" w:rsidR="008E67EA" w:rsidRPr="00BA6A0C" w:rsidRDefault="008E67EA" w:rsidP="00B44A74">
            <w:pPr>
              <w:spacing w:line="280" w:lineRule="exact"/>
              <w:rPr>
                <w:rFonts w:cs="Arial"/>
                <w:sz w:val="20"/>
                <w:szCs w:val="20"/>
              </w:rPr>
            </w:pPr>
          </w:p>
        </w:tc>
      </w:tr>
      <w:tr w:rsidR="008E67EA" w:rsidRPr="00BA6A0C" w14:paraId="224B4C6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309F31A" w14:textId="77777777" w:rsidR="008E67EA" w:rsidRPr="00BA6A0C" w:rsidRDefault="008E67EA" w:rsidP="00B44A74">
            <w:pPr>
              <w:spacing w:line="280" w:lineRule="exact"/>
              <w:rPr>
                <w:rFonts w:cs="Arial"/>
                <w:sz w:val="20"/>
                <w:szCs w:val="20"/>
              </w:rPr>
            </w:pPr>
            <w:r w:rsidRPr="00BA6A0C">
              <w:rPr>
                <w:rFonts w:cs="Arial"/>
                <w:sz w:val="20"/>
                <w:szCs w:val="20"/>
              </w:rPr>
              <w:t>Trade Advice:</w:t>
            </w:r>
          </w:p>
        </w:tc>
        <w:tc>
          <w:tcPr>
            <w:tcW w:w="7755" w:type="dxa"/>
            <w:tcBorders>
              <w:top w:val="single" w:sz="4" w:space="0" w:color="auto"/>
              <w:left w:val="single" w:sz="4" w:space="0" w:color="auto"/>
              <w:bottom w:val="single" w:sz="4" w:space="0" w:color="auto"/>
              <w:right w:val="single" w:sz="4" w:space="0" w:color="auto"/>
            </w:tcBorders>
          </w:tcPr>
          <w:p w14:paraId="1FBFF5F4" w14:textId="77777777" w:rsidR="008E67EA" w:rsidRPr="00BA6A0C" w:rsidRDefault="008E67EA" w:rsidP="00B44A74">
            <w:pPr>
              <w:spacing w:line="280" w:lineRule="exact"/>
              <w:rPr>
                <w:rFonts w:cs="Arial"/>
                <w:sz w:val="20"/>
                <w:szCs w:val="20"/>
              </w:rPr>
            </w:pPr>
          </w:p>
        </w:tc>
      </w:tr>
      <w:tr w:rsidR="008E67EA" w:rsidRPr="00BA6A0C" w14:paraId="6F4968DA" w14:textId="77777777" w:rsidTr="00B44A74">
        <w:trPr>
          <w:jc w:val="center"/>
        </w:trPr>
        <w:tc>
          <w:tcPr>
            <w:tcW w:w="2415" w:type="dxa"/>
            <w:tcBorders>
              <w:top w:val="single" w:sz="4" w:space="0" w:color="auto"/>
              <w:left w:val="nil"/>
              <w:bottom w:val="single" w:sz="4" w:space="0" w:color="auto"/>
              <w:right w:val="nil"/>
            </w:tcBorders>
          </w:tcPr>
          <w:p w14:paraId="3DBE3507" w14:textId="77777777" w:rsidR="008E67EA" w:rsidRPr="00BA6A0C"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50516D3" w14:textId="77777777" w:rsidR="008E67EA" w:rsidRPr="00BA6A0C" w:rsidRDefault="008E67EA" w:rsidP="00B44A74">
            <w:pPr>
              <w:spacing w:line="280" w:lineRule="exact"/>
              <w:rPr>
                <w:rFonts w:cs="Arial"/>
                <w:sz w:val="20"/>
                <w:szCs w:val="20"/>
              </w:rPr>
            </w:pPr>
          </w:p>
        </w:tc>
      </w:tr>
      <w:tr w:rsidR="008E67EA" w:rsidRPr="00BA6A0C" w14:paraId="20C7F73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E4868FB" w14:textId="77777777" w:rsidR="008E67EA" w:rsidRPr="00BA6A0C" w:rsidRDefault="008E67EA" w:rsidP="00B44A74">
            <w:pPr>
              <w:spacing w:line="280" w:lineRule="exact"/>
              <w:rPr>
                <w:rFonts w:cs="Arial"/>
                <w:sz w:val="20"/>
                <w:szCs w:val="20"/>
              </w:rPr>
            </w:pPr>
            <w:r w:rsidRPr="00BA6A0C">
              <w:rPr>
                <w:rFonts w:cs="Arial"/>
                <w:sz w:val="20"/>
                <w:szCs w:val="20"/>
              </w:rPr>
              <w:t>General Directions:</w:t>
            </w:r>
          </w:p>
        </w:tc>
        <w:tc>
          <w:tcPr>
            <w:tcW w:w="7755" w:type="dxa"/>
            <w:tcBorders>
              <w:top w:val="single" w:sz="4" w:space="0" w:color="auto"/>
              <w:left w:val="single" w:sz="4" w:space="0" w:color="auto"/>
              <w:bottom w:val="single" w:sz="4" w:space="0" w:color="auto"/>
              <w:right w:val="single" w:sz="4" w:space="0" w:color="auto"/>
            </w:tcBorders>
          </w:tcPr>
          <w:p w14:paraId="6AF053B3" w14:textId="77777777" w:rsidR="008E67EA" w:rsidRPr="00BA6A0C" w:rsidRDefault="008E67EA" w:rsidP="00B44A74">
            <w:pPr>
              <w:spacing w:line="280" w:lineRule="exact"/>
              <w:rPr>
                <w:rFonts w:cs="Arial"/>
                <w:sz w:val="20"/>
                <w:szCs w:val="20"/>
              </w:rPr>
            </w:pPr>
          </w:p>
        </w:tc>
      </w:tr>
      <w:tr w:rsidR="008E67EA" w:rsidRPr="00BA6A0C" w14:paraId="228E1889" w14:textId="77777777" w:rsidTr="00B44A74">
        <w:trPr>
          <w:jc w:val="center"/>
        </w:trPr>
        <w:tc>
          <w:tcPr>
            <w:tcW w:w="2415" w:type="dxa"/>
            <w:tcBorders>
              <w:top w:val="single" w:sz="4" w:space="0" w:color="auto"/>
              <w:left w:val="nil"/>
              <w:bottom w:val="single" w:sz="4" w:space="0" w:color="auto"/>
              <w:right w:val="nil"/>
            </w:tcBorders>
          </w:tcPr>
          <w:p w14:paraId="3264805B" w14:textId="77777777" w:rsidR="008E67EA" w:rsidRPr="00BA6A0C"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49CE871" w14:textId="77777777" w:rsidR="008E67EA" w:rsidRPr="00BA6A0C" w:rsidRDefault="008E67EA" w:rsidP="00B44A74">
            <w:pPr>
              <w:spacing w:line="280" w:lineRule="exact"/>
              <w:rPr>
                <w:rFonts w:cs="Arial"/>
                <w:sz w:val="20"/>
                <w:szCs w:val="20"/>
              </w:rPr>
            </w:pPr>
          </w:p>
        </w:tc>
      </w:tr>
      <w:tr w:rsidR="008E67EA" w:rsidRPr="00BA6A0C" w14:paraId="6C79A4B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04FFF4F" w14:textId="77777777" w:rsidR="008E67EA" w:rsidRPr="00BA6A0C" w:rsidRDefault="008E67EA" w:rsidP="00B44A74">
            <w:pPr>
              <w:spacing w:line="280" w:lineRule="exact"/>
              <w:rPr>
                <w:rFonts w:cs="Arial"/>
                <w:sz w:val="20"/>
                <w:szCs w:val="20"/>
              </w:rPr>
            </w:pPr>
            <w:r w:rsidRPr="00BA6A0C">
              <w:rPr>
                <w:rFonts w:cs="Arial"/>
                <w:sz w:val="20"/>
                <w:szCs w:val="20"/>
              </w:rPr>
              <w:t>Resistance Warning:</w:t>
            </w:r>
          </w:p>
        </w:tc>
        <w:tc>
          <w:tcPr>
            <w:tcW w:w="7755" w:type="dxa"/>
            <w:tcBorders>
              <w:top w:val="single" w:sz="4" w:space="0" w:color="auto"/>
              <w:left w:val="single" w:sz="4" w:space="0" w:color="auto"/>
              <w:bottom w:val="single" w:sz="4" w:space="0" w:color="auto"/>
              <w:right w:val="single" w:sz="4" w:space="0" w:color="auto"/>
            </w:tcBorders>
          </w:tcPr>
          <w:p w14:paraId="580254BC" w14:textId="77777777" w:rsidR="008E67EA" w:rsidRPr="00BA6A0C" w:rsidRDefault="008E67EA" w:rsidP="00B44A74">
            <w:pPr>
              <w:spacing w:line="280" w:lineRule="exact"/>
              <w:rPr>
                <w:rFonts w:cs="Arial"/>
                <w:sz w:val="20"/>
                <w:szCs w:val="20"/>
              </w:rPr>
            </w:pPr>
          </w:p>
        </w:tc>
      </w:tr>
      <w:tr w:rsidR="008E67EA" w:rsidRPr="00BA6A0C" w14:paraId="7A275E22" w14:textId="77777777" w:rsidTr="00B44A74">
        <w:trPr>
          <w:jc w:val="center"/>
        </w:trPr>
        <w:tc>
          <w:tcPr>
            <w:tcW w:w="2415" w:type="dxa"/>
            <w:tcBorders>
              <w:top w:val="single" w:sz="4" w:space="0" w:color="auto"/>
              <w:left w:val="nil"/>
              <w:bottom w:val="single" w:sz="4" w:space="0" w:color="auto"/>
              <w:right w:val="nil"/>
            </w:tcBorders>
          </w:tcPr>
          <w:p w14:paraId="11B1A47B" w14:textId="77777777" w:rsidR="008E67EA" w:rsidRPr="00BA6A0C"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6FFB09D" w14:textId="77777777" w:rsidR="008E67EA" w:rsidRPr="00BA6A0C" w:rsidRDefault="008E67EA" w:rsidP="00B44A74">
            <w:pPr>
              <w:spacing w:line="280" w:lineRule="exact"/>
              <w:rPr>
                <w:rFonts w:cs="Arial"/>
                <w:sz w:val="20"/>
                <w:szCs w:val="20"/>
              </w:rPr>
            </w:pPr>
          </w:p>
        </w:tc>
      </w:tr>
      <w:tr w:rsidR="008E67EA" w:rsidRPr="00BA6A0C" w14:paraId="3D66E70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3533C28" w14:textId="77777777" w:rsidR="008E67EA" w:rsidRPr="00BA6A0C" w:rsidRDefault="008E67EA" w:rsidP="00B44A74">
            <w:pPr>
              <w:spacing w:line="280" w:lineRule="exact"/>
              <w:rPr>
                <w:rFonts w:cs="Arial"/>
                <w:sz w:val="20"/>
                <w:szCs w:val="20"/>
              </w:rPr>
            </w:pPr>
            <w:r w:rsidRPr="00BA6A0C">
              <w:rPr>
                <w:rFonts w:cs="Arial"/>
                <w:sz w:val="20"/>
                <w:szCs w:val="20"/>
              </w:rPr>
              <w:t>Precautions:</w:t>
            </w:r>
          </w:p>
        </w:tc>
        <w:tc>
          <w:tcPr>
            <w:tcW w:w="7755" w:type="dxa"/>
            <w:tcBorders>
              <w:top w:val="single" w:sz="4" w:space="0" w:color="auto"/>
              <w:left w:val="single" w:sz="4" w:space="0" w:color="auto"/>
              <w:bottom w:val="single" w:sz="4" w:space="0" w:color="auto"/>
              <w:right w:val="single" w:sz="4" w:space="0" w:color="auto"/>
            </w:tcBorders>
          </w:tcPr>
          <w:p w14:paraId="3B37A379" w14:textId="77777777" w:rsidR="008E67EA" w:rsidRPr="00BA6A0C" w:rsidRDefault="008E67EA" w:rsidP="00B44A74">
            <w:pPr>
              <w:spacing w:line="280" w:lineRule="exact"/>
              <w:rPr>
                <w:rFonts w:cs="Arial"/>
                <w:sz w:val="20"/>
                <w:szCs w:val="20"/>
              </w:rPr>
            </w:pPr>
            <w:r w:rsidRPr="00BA6A0C">
              <w:rPr>
                <w:rFonts w:cs="Arial"/>
                <w:sz w:val="20"/>
                <w:szCs w:val="20"/>
              </w:rPr>
              <w:t>PRECAUTIONS</w:t>
            </w:r>
          </w:p>
          <w:p w14:paraId="608723BC" w14:textId="77777777" w:rsidR="008E67EA" w:rsidRPr="00BA6A0C" w:rsidRDefault="008E67EA" w:rsidP="00B44A74">
            <w:pPr>
              <w:spacing w:line="280" w:lineRule="exact"/>
              <w:rPr>
                <w:rFonts w:cs="Arial"/>
                <w:sz w:val="20"/>
                <w:szCs w:val="20"/>
              </w:rPr>
            </w:pPr>
            <w:r w:rsidRPr="00BA6A0C">
              <w:rPr>
                <w:rFonts w:cs="Arial"/>
                <w:sz w:val="20"/>
                <w:szCs w:val="20"/>
              </w:rPr>
              <w:lastRenderedPageBreak/>
              <w:t>Caution should be used when baiting near areas where hunting of wildlife may occur. Careful consideration of bait placement is necessary to avoid secondary exposure from contaminated wildlife that may be consumed.</w:t>
            </w:r>
          </w:p>
          <w:p w14:paraId="3B72C7C7" w14:textId="77777777" w:rsidR="008E67EA" w:rsidRPr="00BA6A0C" w:rsidRDefault="008E67EA" w:rsidP="00B44A74">
            <w:pPr>
              <w:spacing w:line="280" w:lineRule="exact"/>
              <w:rPr>
                <w:rFonts w:cs="Arial"/>
                <w:sz w:val="20"/>
                <w:szCs w:val="20"/>
              </w:rPr>
            </w:pPr>
            <w:r w:rsidRPr="00BA6A0C">
              <w:rPr>
                <w:rFonts w:cs="Arial"/>
                <w:sz w:val="20"/>
                <w:szCs w:val="20"/>
              </w:rPr>
              <w:t>DO NOT place bait in areas where there is a possibility of contaminating food, livestock feed or surfaces that come in direct contact with food or livestock feed.</w:t>
            </w:r>
          </w:p>
        </w:tc>
      </w:tr>
      <w:tr w:rsidR="008E67EA" w:rsidRPr="00BA6A0C" w14:paraId="7E3143AA" w14:textId="77777777" w:rsidTr="00B44A74">
        <w:trPr>
          <w:jc w:val="center"/>
        </w:trPr>
        <w:tc>
          <w:tcPr>
            <w:tcW w:w="2415" w:type="dxa"/>
            <w:tcBorders>
              <w:top w:val="single" w:sz="4" w:space="0" w:color="auto"/>
              <w:left w:val="nil"/>
              <w:bottom w:val="single" w:sz="4" w:space="0" w:color="auto"/>
              <w:right w:val="nil"/>
            </w:tcBorders>
          </w:tcPr>
          <w:p w14:paraId="2FB9A0D4" w14:textId="77777777" w:rsidR="008E67EA" w:rsidRPr="00BA6A0C"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F5BC213" w14:textId="77777777" w:rsidR="008E67EA" w:rsidRPr="00BA6A0C" w:rsidRDefault="008E67EA" w:rsidP="00B44A74">
            <w:pPr>
              <w:spacing w:line="280" w:lineRule="exact"/>
              <w:rPr>
                <w:rFonts w:cs="Arial"/>
                <w:sz w:val="20"/>
                <w:szCs w:val="20"/>
              </w:rPr>
            </w:pPr>
          </w:p>
        </w:tc>
      </w:tr>
      <w:tr w:rsidR="008E67EA" w:rsidRPr="00BA6A0C" w14:paraId="46B014E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2FDDF32" w14:textId="77777777" w:rsidR="008E67EA" w:rsidRPr="00BA6A0C" w:rsidRDefault="008E67EA" w:rsidP="00B44A74">
            <w:pPr>
              <w:spacing w:line="280" w:lineRule="exact"/>
              <w:rPr>
                <w:rFonts w:cs="Arial"/>
                <w:sz w:val="20"/>
                <w:szCs w:val="20"/>
              </w:rPr>
            </w:pPr>
            <w:r w:rsidRPr="00BA6A0C">
              <w:rPr>
                <w:rFonts w:cs="Arial"/>
                <w:sz w:val="20"/>
                <w:szCs w:val="20"/>
              </w:rPr>
              <w:t>Protection Statements:</w:t>
            </w:r>
          </w:p>
        </w:tc>
        <w:tc>
          <w:tcPr>
            <w:tcW w:w="7755" w:type="dxa"/>
            <w:tcBorders>
              <w:top w:val="single" w:sz="4" w:space="0" w:color="auto"/>
              <w:left w:val="single" w:sz="4" w:space="0" w:color="auto"/>
              <w:bottom w:val="single" w:sz="4" w:space="0" w:color="auto"/>
              <w:right w:val="single" w:sz="4" w:space="0" w:color="auto"/>
            </w:tcBorders>
          </w:tcPr>
          <w:p w14:paraId="2068668B" w14:textId="77777777" w:rsidR="008E67EA" w:rsidRPr="00BA6A0C" w:rsidRDefault="008E67EA" w:rsidP="00B44A74">
            <w:pPr>
              <w:spacing w:line="280" w:lineRule="exact"/>
              <w:rPr>
                <w:rFonts w:cs="Arial"/>
                <w:sz w:val="20"/>
                <w:szCs w:val="20"/>
              </w:rPr>
            </w:pPr>
            <w:r w:rsidRPr="00BA6A0C">
              <w:rPr>
                <w:rFonts w:cs="Arial"/>
                <w:sz w:val="20"/>
                <w:szCs w:val="20"/>
              </w:rPr>
              <w:t>PROTECTION OF LIVESTOCK AND WILDLIFE</w:t>
            </w:r>
          </w:p>
          <w:p w14:paraId="6032B31E" w14:textId="77777777" w:rsidR="008E67EA" w:rsidRPr="00BA6A0C" w:rsidRDefault="008E67EA" w:rsidP="00B44A74">
            <w:pPr>
              <w:spacing w:line="280" w:lineRule="exact"/>
              <w:rPr>
                <w:rFonts w:cs="Arial"/>
                <w:sz w:val="20"/>
                <w:szCs w:val="20"/>
              </w:rPr>
            </w:pPr>
            <w:r w:rsidRPr="00BA6A0C">
              <w:rPr>
                <w:rFonts w:cs="Arial"/>
                <w:sz w:val="20"/>
                <w:szCs w:val="20"/>
              </w:rPr>
              <w:t>Hazardous to livestock, poultry and wildlife. DO NOT place baits in locations that are accessible to domestic animals, livestock, non-target native animals or birds.</w:t>
            </w:r>
          </w:p>
          <w:p w14:paraId="140E70D3" w14:textId="2EBB608D" w:rsidR="008E67EA" w:rsidRPr="00BA6A0C" w:rsidRDefault="008E67EA" w:rsidP="00B44A74">
            <w:pPr>
              <w:spacing w:line="280" w:lineRule="exact"/>
              <w:rPr>
                <w:rFonts w:cs="Arial"/>
                <w:sz w:val="20"/>
                <w:szCs w:val="20"/>
              </w:rPr>
            </w:pPr>
            <w:r w:rsidRPr="00BA6A0C">
              <w:rPr>
                <w:rFonts w:cs="Arial"/>
                <w:sz w:val="20"/>
                <w:szCs w:val="20"/>
              </w:rPr>
              <w:t>Search for and dispose of dead rodents and slugs/snails in the infested area at each visit to prevent secondary poisoning. In case slugs/snails are present, move bait station to another location within the rodent infested site, away from slugs/snails. Dispose of slugs/snails in a way non-target animals are not exposed. Dispose of dead rodents and uneaten bait in compliance with local, state or territory government regulations.</w:t>
            </w:r>
          </w:p>
          <w:p w14:paraId="090B09D9" w14:textId="77777777" w:rsidR="008E67EA" w:rsidRDefault="008E67EA" w:rsidP="00B44A74">
            <w:pPr>
              <w:spacing w:line="280" w:lineRule="exact"/>
              <w:rPr>
                <w:rFonts w:cs="Arial"/>
                <w:sz w:val="20"/>
                <w:szCs w:val="20"/>
              </w:rPr>
            </w:pPr>
            <w:r w:rsidRPr="00BA6A0C">
              <w:rPr>
                <w:rFonts w:cs="Arial"/>
                <w:sz w:val="20"/>
                <w:szCs w:val="20"/>
              </w:rPr>
              <w:t>DO NOT allow livestock or poultry to consume dead or moribund mice and rats. All dead or moribund animals and rodent faeces from baited rodents MUST be removed from areas accessible to livestock or poultry.</w:t>
            </w:r>
          </w:p>
          <w:p w14:paraId="07859058" w14:textId="6573BE10" w:rsidR="008E67EA" w:rsidRPr="00BA6A0C" w:rsidRDefault="008E67EA" w:rsidP="00B44A74">
            <w:pPr>
              <w:spacing w:line="280" w:lineRule="exact"/>
              <w:rPr>
                <w:rFonts w:cs="Arial"/>
                <w:sz w:val="20"/>
                <w:szCs w:val="20"/>
              </w:rPr>
            </w:pPr>
            <w:r>
              <w:rPr>
                <w:rFonts w:cs="Arial"/>
                <w:sz w:val="20"/>
                <w:szCs w:val="20"/>
              </w:rPr>
              <w:t>The use of this product for the control of protected native rodents requires permission from wildlife authorities.</w:t>
            </w:r>
          </w:p>
          <w:p w14:paraId="29FF3086" w14:textId="77777777" w:rsidR="008E67EA" w:rsidRPr="00BA6A0C" w:rsidRDefault="008E67EA" w:rsidP="00B44A74">
            <w:pPr>
              <w:spacing w:line="280" w:lineRule="exact"/>
              <w:rPr>
                <w:rFonts w:cs="Arial"/>
                <w:sz w:val="20"/>
                <w:szCs w:val="20"/>
              </w:rPr>
            </w:pPr>
          </w:p>
          <w:p w14:paraId="3DF55321" w14:textId="77777777" w:rsidR="008E67EA" w:rsidRPr="00BA6A0C" w:rsidRDefault="008E67EA" w:rsidP="00B44A74">
            <w:pPr>
              <w:spacing w:line="280" w:lineRule="exact"/>
              <w:rPr>
                <w:rFonts w:cs="Arial"/>
                <w:sz w:val="20"/>
                <w:szCs w:val="20"/>
              </w:rPr>
            </w:pPr>
            <w:r w:rsidRPr="00BA6A0C">
              <w:rPr>
                <w:rFonts w:cs="Arial"/>
                <w:sz w:val="20"/>
                <w:szCs w:val="20"/>
              </w:rPr>
              <w:t>PROTECTION OF FISH, CRUSTACEANS AND ENVIRONMENT</w:t>
            </w:r>
          </w:p>
          <w:p w14:paraId="0782F9A6" w14:textId="737E1DDD" w:rsidR="008E67EA" w:rsidRPr="00BA6A0C" w:rsidRDefault="008E67EA" w:rsidP="00B44A74">
            <w:pPr>
              <w:spacing w:line="280" w:lineRule="exact"/>
              <w:rPr>
                <w:rFonts w:cs="Arial"/>
                <w:sz w:val="20"/>
                <w:szCs w:val="20"/>
              </w:rPr>
            </w:pPr>
            <w:r w:rsidRPr="00BA6A0C">
              <w:rPr>
                <w:rFonts w:cs="Arial"/>
                <w:sz w:val="20"/>
                <w:szCs w:val="20"/>
              </w:rPr>
              <w:t>Very toxic to aquatic life. DO NOT contaminate wetlands or watercourses with this product or used containers. Place the bait stations in areas not liable to flooding. When placing bait stations close to water drainage systems, ensure that bait contact with water is avoided.</w:t>
            </w:r>
          </w:p>
        </w:tc>
      </w:tr>
      <w:tr w:rsidR="008E67EA" w:rsidRPr="00BA6A0C" w14:paraId="719C686D" w14:textId="77777777" w:rsidTr="00B44A74">
        <w:trPr>
          <w:jc w:val="center"/>
        </w:trPr>
        <w:tc>
          <w:tcPr>
            <w:tcW w:w="2415" w:type="dxa"/>
            <w:tcBorders>
              <w:top w:val="single" w:sz="4" w:space="0" w:color="auto"/>
              <w:left w:val="nil"/>
              <w:bottom w:val="single" w:sz="4" w:space="0" w:color="auto"/>
              <w:right w:val="nil"/>
            </w:tcBorders>
          </w:tcPr>
          <w:p w14:paraId="6C1F5D60" w14:textId="77777777" w:rsidR="008E67EA" w:rsidRPr="00BA6A0C"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A4E1C32" w14:textId="77777777" w:rsidR="008E67EA" w:rsidRPr="00BA6A0C" w:rsidRDefault="008E67EA" w:rsidP="00B44A74">
            <w:pPr>
              <w:spacing w:line="280" w:lineRule="exact"/>
              <w:rPr>
                <w:rFonts w:cs="Arial"/>
                <w:sz w:val="20"/>
                <w:szCs w:val="20"/>
              </w:rPr>
            </w:pPr>
          </w:p>
        </w:tc>
      </w:tr>
      <w:tr w:rsidR="008E67EA" w:rsidRPr="00BA6A0C" w14:paraId="482FB68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85F1BA1" w14:textId="77777777" w:rsidR="008E67EA" w:rsidRPr="00BA6A0C" w:rsidRDefault="008E67EA" w:rsidP="00B44A74">
            <w:pPr>
              <w:spacing w:line="280" w:lineRule="exact"/>
              <w:rPr>
                <w:rFonts w:cs="Arial"/>
                <w:sz w:val="20"/>
                <w:szCs w:val="20"/>
              </w:rPr>
            </w:pPr>
            <w:r w:rsidRPr="00BA6A0C">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13B3B70C" w14:textId="77777777" w:rsidR="008E67EA" w:rsidRPr="00BA6A0C" w:rsidRDefault="008E67EA" w:rsidP="00B44A74">
            <w:pPr>
              <w:spacing w:line="280" w:lineRule="exact"/>
              <w:rPr>
                <w:rFonts w:cs="Arial"/>
                <w:sz w:val="20"/>
                <w:szCs w:val="20"/>
              </w:rPr>
            </w:pPr>
            <w:r w:rsidRPr="00BA6A0C">
              <w:rPr>
                <w:rFonts w:cs="Arial"/>
                <w:sz w:val="20"/>
                <w:szCs w:val="20"/>
              </w:rPr>
              <w:t>STORAGE AND DISPOSAL</w:t>
            </w:r>
          </w:p>
          <w:p w14:paraId="70820CBE" w14:textId="77777777" w:rsidR="008E67EA" w:rsidRPr="00BA6A0C" w:rsidRDefault="008E67EA" w:rsidP="00B44A74">
            <w:pPr>
              <w:spacing w:line="280" w:lineRule="exact"/>
              <w:rPr>
                <w:rFonts w:cs="Arial"/>
                <w:sz w:val="20"/>
                <w:szCs w:val="20"/>
              </w:rPr>
            </w:pPr>
            <w:r w:rsidRPr="00BA6A0C">
              <w:rPr>
                <w:rFonts w:cs="Arial"/>
                <w:sz w:val="20"/>
                <w:szCs w:val="20"/>
              </w:rPr>
              <w:t>Store in the closed, original container in a cool, well-ventilated area. Do not store for prolong periods in direct sunlight.</w:t>
            </w:r>
            <w:r>
              <w:rPr>
                <w:rFonts w:cs="Arial"/>
                <w:sz w:val="20"/>
                <w:szCs w:val="20"/>
              </w:rPr>
              <w:t xml:space="preserve"> </w:t>
            </w:r>
            <w:r w:rsidRPr="00BA6A0C">
              <w:rPr>
                <w:rFonts w:cs="Arial"/>
                <w:sz w:val="20"/>
                <w:szCs w:val="20"/>
              </w:rPr>
              <w:t>Triple rinse containers before disposal. Break, crush or puncture and deliver empty packaging to an approved waste management facility. If an approved waste management facility is not available, dispose of empty packaging in compliance with relevant local, state or territory government regulations. Dispose of unused product in compliance with relevant local, state or territory government regulations. DO NOT burn empty containers or product.</w:t>
            </w:r>
          </w:p>
        </w:tc>
      </w:tr>
      <w:tr w:rsidR="008E67EA" w:rsidRPr="00BA6A0C" w14:paraId="3A8DAC7D" w14:textId="77777777" w:rsidTr="00B44A74">
        <w:trPr>
          <w:jc w:val="center"/>
        </w:trPr>
        <w:tc>
          <w:tcPr>
            <w:tcW w:w="2415" w:type="dxa"/>
            <w:tcBorders>
              <w:top w:val="single" w:sz="4" w:space="0" w:color="auto"/>
              <w:left w:val="nil"/>
              <w:bottom w:val="single" w:sz="4" w:space="0" w:color="auto"/>
              <w:right w:val="nil"/>
            </w:tcBorders>
          </w:tcPr>
          <w:p w14:paraId="697958D7" w14:textId="77777777" w:rsidR="008E67EA" w:rsidRPr="00BA6A0C"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F52121C" w14:textId="77777777" w:rsidR="008E67EA" w:rsidRPr="00BA6A0C" w:rsidRDefault="008E67EA" w:rsidP="00B44A74">
            <w:pPr>
              <w:spacing w:line="280" w:lineRule="exact"/>
              <w:rPr>
                <w:rFonts w:cs="Arial"/>
                <w:sz w:val="20"/>
                <w:szCs w:val="20"/>
              </w:rPr>
            </w:pPr>
          </w:p>
        </w:tc>
      </w:tr>
      <w:tr w:rsidR="008E67EA" w:rsidRPr="00BA6A0C" w14:paraId="241B491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81F1C09" w14:textId="77777777" w:rsidR="008E67EA" w:rsidRPr="00BA6A0C" w:rsidRDefault="008E67EA" w:rsidP="00B44A74">
            <w:pPr>
              <w:spacing w:line="280" w:lineRule="exact"/>
              <w:rPr>
                <w:rFonts w:cs="Arial"/>
                <w:sz w:val="20"/>
                <w:szCs w:val="20"/>
              </w:rPr>
            </w:pPr>
            <w:r w:rsidRPr="00BA6A0C">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0C83834D" w14:textId="77777777" w:rsidR="008E67EA" w:rsidRPr="00BA6A0C" w:rsidRDefault="008E67EA" w:rsidP="00B44A74">
            <w:pPr>
              <w:spacing w:line="280" w:lineRule="exact"/>
              <w:rPr>
                <w:rFonts w:cs="Arial"/>
                <w:sz w:val="20"/>
                <w:szCs w:val="20"/>
              </w:rPr>
            </w:pPr>
            <w:r w:rsidRPr="00BA6A0C">
              <w:rPr>
                <w:rFonts w:cs="Arial"/>
                <w:sz w:val="20"/>
                <w:szCs w:val="20"/>
              </w:rPr>
              <w:t>SAFETY DIRECTIONS</w:t>
            </w:r>
          </w:p>
          <w:p w14:paraId="2C50E861" w14:textId="77777777" w:rsidR="008E67EA" w:rsidRPr="00BA6A0C" w:rsidRDefault="008E67EA" w:rsidP="00B44A74">
            <w:pPr>
              <w:spacing w:line="280" w:lineRule="exact"/>
              <w:rPr>
                <w:rFonts w:cs="Arial"/>
                <w:sz w:val="20"/>
                <w:szCs w:val="20"/>
              </w:rPr>
            </w:pPr>
            <w:r w:rsidRPr="00BA6A0C">
              <w:rPr>
                <w:rFonts w:cs="Arial"/>
                <w:sz w:val="20"/>
                <w:szCs w:val="20"/>
              </w:rPr>
              <w:t>Repeated minor exposure may have a cumulative poisoning effect. Do not touch bait. When using the product wear disposable gloves. If on skin and after each baiting, wash thoroughly with soap and water.</w:t>
            </w:r>
          </w:p>
          <w:p w14:paraId="36EFAF0D" w14:textId="6B25C22F" w:rsidR="008E67EA" w:rsidRPr="00BA6A0C" w:rsidRDefault="008E67EA" w:rsidP="00B44A74">
            <w:pPr>
              <w:spacing w:line="280" w:lineRule="exact"/>
              <w:rPr>
                <w:rFonts w:cs="Arial"/>
                <w:sz w:val="20"/>
                <w:szCs w:val="20"/>
              </w:rPr>
            </w:pPr>
            <w:r w:rsidRPr="00BA6A0C">
              <w:rPr>
                <w:rFonts w:cs="Arial"/>
                <w:sz w:val="20"/>
                <w:szCs w:val="20"/>
              </w:rPr>
              <w:t>During cleanup and disposal operations of bait and bait stations, wear a single layer of clothing and disposable gloves. Wear disposable gloves when handling rodent carcasses. Wash clothes after performing re-handling activities.</w:t>
            </w:r>
          </w:p>
        </w:tc>
      </w:tr>
      <w:tr w:rsidR="008E67EA" w:rsidRPr="00BA6A0C" w14:paraId="13A09C96" w14:textId="77777777" w:rsidTr="00B44A74">
        <w:trPr>
          <w:jc w:val="center"/>
        </w:trPr>
        <w:tc>
          <w:tcPr>
            <w:tcW w:w="2415" w:type="dxa"/>
            <w:tcBorders>
              <w:top w:val="single" w:sz="4" w:space="0" w:color="auto"/>
              <w:left w:val="nil"/>
              <w:bottom w:val="single" w:sz="4" w:space="0" w:color="auto"/>
              <w:right w:val="nil"/>
            </w:tcBorders>
          </w:tcPr>
          <w:p w14:paraId="45CF8FC8" w14:textId="77777777" w:rsidR="008E67EA" w:rsidRPr="00BA6A0C"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6CBCDBD" w14:textId="77777777" w:rsidR="008E67EA" w:rsidRPr="00BA6A0C" w:rsidRDefault="008E67EA" w:rsidP="00B44A74">
            <w:pPr>
              <w:spacing w:line="280" w:lineRule="exact"/>
              <w:rPr>
                <w:rFonts w:cs="Arial"/>
                <w:sz w:val="20"/>
                <w:szCs w:val="20"/>
              </w:rPr>
            </w:pPr>
          </w:p>
        </w:tc>
      </w:tr>
      <w:tr w:rsidR="008E67EA" w:rsidRPr="00BA6A0C" w14:paraId="244DCF4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3A3E091" w14:textId="77777777" w:rsidR="008E67EA" w:rsidRPr="00BA6A0C" w:rsidRDefault="008E67EA" w:rsidP="00B44A74">
            <w:pPr>
              <w:spacing w:line="280" w:lineRule="exact"/>
              <w:rPr>
                <w:rFonts w:cs="Arial"/>
                <w:sz w:val="20"/>
                <w:szCs w:val="20"/>
              </w:rPr>
            </w:pPr>
            <w:r w:rsidRPr="00BA6A0C">
              <w:rPr>
                <w:rFonts w:cs="Arial"/>
                <w:sz w:val="20"/>
                <w:szCs w:val="20"/>
              </w:rPr>
              <w:t>First Aid Instructions:</w:t>
            </w:r>
          </w:p>
        </w:tc>
        <w:tc>
          <w:tcPr>
            <w:tcW w:w="7755" w:type="dxa"/>
            <w:tcBorders>
              <w:top w:val="single" w:sz="4" w:space="0" w:color="auto"/>
              <w:left w:val="single" w:sz="4" w:space="0" w:color="auto"/>
              <w:bottom w:val="single" w:sz="4" w:space="0" w:color="auto"/>
              <w:right w:val="single" w:sz="4" w:space="0" w:color="auto"/>
            </w:tcBorders>
          </w:tcPr>
          <w:p w14:paraId="10EAC563" w14:textId="77777777" w:rsidR="008E67EA" w:rsidRPr="00BA6A0C" w:rsidRDefault="008E67EA" w:rsidP="00B44A74">
            <w:pPr>
              <w:spacing w:line="280" w:lineRule="exact"/>
              <w:rPr>
                <w:rFonts w:cs="Arial"/>
                <w:sz w:val="20"/>
                <w:szCs w:val="20"/>
              </w:rPr>
            </w:pPr>
            <w:r w:rsidRPr="00BA6A0C">
              <w:rPr>
                <w:rFonts w:cs="Arial"/>
                <w:sz w:val="20"/>
                <w:szCs w:val="20"/>
              </w:rPr>
              <w:t>FIRST AID</w:t>
            </w:r>
          </w:p>
          <w:p w14:paraId="19A32EF9" w14:textId="77777777" w:rsidR="008E67EA" w:rsidRPr="00BA6A0C" w:rsidRDefault="008E67EA" w:rsidP="00B44A74">
            <w:pPr>
              <w:spacing w:line="280" w:lineRule="exact"/>
              <w:rPr>
                <w:rFonts w:cs="Arial"/>
                <w:sz w:val="20"/>
                <w:szCs w:val="20"/>
              </w:rPr>
            </w:pPr>
            <w:r w:rsidRPr="00BA6A0C">
              <w:rPr>
                <w:rFonts w:cs="Arial"/>
                <w:sz w:val="20"/>
                <w:szCs w:val="20"/>
              </w:rPr>
              <w:t>If poisoning occurs, contact a doctor or Poisons Information Centre. Phone Australia 13 11 26, New Zealand 0800 764 766. Vitamin K1 (Phytomenadione) is antidotal.</w:t>
            </w:r>
          </w:p>
        </w:tc>
      </w:tr>
      <w:tr w:rsidR="008E67EA" w:rsidRPr="00BA6A0C" w14:paraId="64E6DF0E" w14:textId="77777777" w:rsidTr="00B44A74">
        <w:trPr>
          <w:jc w:val="center"/>
        </w:trPr>
        <w:tc>
          <w:tcPr>
            <w:tcW w:w="2415" w:type="dxa"/>
            <w:tcBorders>
              <w:top w:val="single" w:sz="4" w:space="0" w:color="auto"/>
              <w:left w:val="nil"/>
              <w:bottom w:val="single" w:sz="4" w:space="0" w:color="auto"/>
              <w:right w:val="nil"/>
            </w:tcBorders>
          </w:tcPr>
          <w:p w14:paraId="581612A3" w14:textId="77777777" w:rsidR="008E67EA" w:rsidRPr="00BA6A0C"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1D5DF5D" w14:textId="77777777" w:rsidR="008E67EA" w:rsidRPr="00BA6A0C" w:rsidRDefault="008E67EA" w:rsidP="00B44A74">
            <w:pPr>
              <w:spacing w:line="280" w:lineRule="exact"/>
              <w:rPr>
                <w:rFonts w:cs="Arial"/>
                <w:sz w:val="20"/>
                <w:szCs w:val="20"/>
              </w:rPr>
            </w:pPr>
          </w:p>
        </w:tc>
      </w:tr>
      <w:tr w:rsidR="008E67EA" w:rsidRPr="00BA6A0C" w14:paraId="71C14C9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80807FD" w14:textId="77777777" w:rsidR="008E67EA" w:rsidRPr="00BA6A0C" w:rsidRDefault="008E67EA" w:rsidP="00B44A74">
            <w:pPr>
              <w:spacing w:line="280" w:lineRule="exact"/>
              <w:rPr>
                <w:rFonts w:cs="Arial"/>
                <w:sz w:val="20"/>
                <w:szCs w:val="20"/>
              </w:rPr>
            </w:pPr>
            <w:r w:rsidRPr="00BA6A0C">
              <w:rPr>
                <w:rFonts w:cs="Arial"/>
                <w:sz w:val="20"/>
                <w:szCs w:val="20"/>
              </w:rPr>
              <w:t>First Aid Warnings:</w:t>
            </w:r>
          </w:p>
        </w:tc>
        <w:tc>
          <w:tcPr>
            <w:tcW w:w="7755" w:type="dxa"/>
            <w:tcBorders>
              <w:top w:val="single" w:sz="4" w:space="0" w:color="auto"/>
              <w:left w:val="single" w:sz="4" w:space="0" w:color="auto"/>
              <w:bottom w:val="single" w:sz="4" w:space="0" w:color="auto"/>
              <w:right w:val="single" w:sz="4" w:space="0" w:color="auto"/>
            </w:tcBorders>
          </w:tcPr>
          <w:p w14:paraId="3727179A" w14:textId="77777777" w:rsidR="008E67EA" w:rsidRPr="00BA6A0C" w:rsidRDefault="008E67EA" w:rsidP="00B44A74">
            <w:pPr>
              <w:spacing w:line="280" w:lineRule="exact"/>
              <w:rPr>
                <w:rFonts w:cs="Arial"/>
                <w:sz w:val="20"/>
                <w:szCs w:val="20"/>
              </w:rPr>
            </w:pPr>
          </w:p>
        </w:tc>
      </w:tr>
    </w:tbl>
    <w:p w14:paraId="21B289BD" w14:textId="77777777" w:rsidR="008E67EA" w:rsidRPr="00867EDB" w:rsidRDefault="008E67EA" w:rsidP="008E67EA">
      <w:pPr>
        <w:spacing w:line="280" w:lineRule="exact"/>
        <w:rPr>
          <w:rFonts w:cs="Arial"/>
          <w:b/>
          <w:bCs/>
          <w:sz w:val="20"/>
          <w:szCs w:val="20"/>
        </w:rPr>
      </w:pPr>
      <w:r w:rsidRPr="00867EDB">
        <w:rPr>
          <w:rFonts w:cs="Arial"/>
          <w:b/>
          <w:bCs/>
          <w:sz w:val="20"/>
          <w:szCs w:val="20"/>
        </w:rPr>
        <w:lastRenderedPageBreak/>
        <w:t>DIRECTIONS FOR USE</w:t>
      </w:r>
    </w:p>
    <w:tbl>
      <w:tblPr>
        <w:tblStyle w:val="TableGrid"/>
        <w:tblW w:w="48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1211"/>
        <w:gridCol w:w="2038"/>
        <w:gridCol w:w="3557"/>
      </w:tblGrid>
      <w:tr w:rsidR="008E67EA" w:rsidRPr="002F6425" w14:paraId="087AAAAF" w14:textId="77777777" w:rsidTr="002C5418">
        <w:trPr>
          <w:trHeight w:val="340"/>
        </w:trPr>
        <w:tc>
          <w:tcPr>
            <w:tcW w:w="1370" w:type="pct"/>
          </w:tcPr>
          <w:p w14:paraId="595AEB81" w14:textId="77777777" w:rsidR="008E67EA" w:rsidRPr="002F6425" w:rsidRDefault="008E67EA" w:rsidP="00B44A74">
            <w:pPr>
              <w:spacing w:line="280" w:lineRule="exact"/>
              <w:rPr>
                <w:rFonts w:cs="Arial"/>
                <w:b/>
                <w:bCs/>
                <w:spacing w:val="-2"/>
                <w:w w:val="105"/>
                <w:szCs w:val="18"/>
              </w:rPr>
            </w:pPr>
            <w:r w:rsidRPr="002F6425">
              <w:rPr>
                <w:rFonts w:cs="Arial"/>
                <w:b/>
                <w:bCs/>
                <w:szCs w:val="18"/>
              </w:rPr>
              <w:t>SITUATION</w:t>
            </w:r>
          </w:p>
        </w:tc>
        <w:tc>
          <w:tcPr>
            <w:tcW w:w="646" w:type="pct"/>
          </w:tcPr>
          <w:p w14:paraId="10099785" w14:textId="77777777" w:rsidR="008E67EA" w:rsidRPr="002F6425" w:rsidRDefault="008E67EA" w:rsidP="00B44A74">
            <w:pPr>
              <w:pStyle w:val="TableParagraph"/>
              <w:spacing w:before="61"/>
              <w:rPr>
                <w:b/>
                <w:bCs/>
                <w:spacing w:val="-4"/>
                <w:sz w:val="18"/>
                <w:szCs w:val="18"/>
              </w:rPr>
            </w:pPr>
            <w:r w:rsidRPr="002F6425">
              <w:rPr>
                <w:b/>
                <w:bCs/>
                <w:sz w:val="18"/>
                <w:szCs w:val="18"/>
              </w:rPr>
              <w:t>PEST</w:t>
            </w:r>
          </w:p>
        </w:tc>
        <w:tc>
          <w:tcPr>
            <w:tcW w:w="1087" w:type="pct"/>
          </w:tcPr>
          <w:p w14:paraId="5B06931F" w14:textId="77777777" w:rsidR="008E67EA" w:rsidRPr="002F6425" w:rsidRDefault="008E67EA" w:rsidP="00B44A74">
            <w:pPr>
              <w:pStyle w:val="TableParagraph"/>
              <w:spacing w:before="61"/>
              <w:rPr>
                <w:b/>
                <w:bCs/>
                <w:sz w:val="18"/>
                <w:szCs w:val="18"/>
              </w:rPr>
            </w:pPr>
            <w:r w:rsidRPr="002F6425">
              <w:rPr>
                <w:b/>
                <w:bCs/>
                <w:sz w:val="18"/>
                <w:szCs w:val="18"/>
              </w:rPr>
              <w:t>RATE</w:t>
            </w:r>
          </w:p>
        </w:tc>
        <w:tc>
          <w:tcPr>
            <w:tcW w:w="1898" w:type="pct"/>
          </w:tcPr>
          <w:p w14:paraId="2646E2E1" w14:textId="77777777" w:rsidR="008E67EA" w:rsidRPr="002F6425" w:rsidRDefault="008E67EA" w:rsidP="00B44A74">
            <w:pPr>
              <w:pStyle w:val="TableParagraph"/>
              <w:spacing w:before="61"/>
              <w:rPr>
                <w:b/>
                <w:bCs/>
                <w:color w:val="7030A0"/>
                <w:sz w:val="18"/>
                <w:szCs w:val="18"/>
              </w:rPr>
            </w:pPr>
            <w:r w:rsidRPr="002F6425">
              <w:rPr>
                <w:b/>
                <w:bCs/>
                <w:sz w:val="18"/>
                <w:szCs w:val="18"/>
              </w:rPr>
              <w:t>CRITICAL COMMENTS</w:t>
            </w:r>
          </w:p>
        </w:tc>
      </w:tr>
      <w:tr w:rsidR="008E67EA" w:rsidRPr="00076450" w14:paraId="7A2107D8" w14:textId="77777777" w:rsidTr="002C5418">
        <w:trPr>
          <w:trHeight w:val="1050"/>
        </w:trPr>
        <w:tc>
          <w:tcPr>
            <w:tcW w:w="1370" w:type="pct"/>
          </w:tcPr>
          <w:p w14:paraId="64F29FFD" w14:textId="77777777" w:rsidR="008E67EA" w:rsidRPr="003D65B8" w:rsidRDefault="008E67EA" w:rsidP="00B44A74">
            <w:pPr>
              <w:spacing w:line="240" w:lineRule="exact"/>
              <w:rPr>
                <w:rFonts w:cs="Arial"/>
                <w:bCs/>
                <w:spacing w:val="-2"/>
                <w:w w:val="105"/>
                <w:szCs w:val="18"/>
              </w:rPr>
            </w:pPr>
            <w:r w:rsidRPr="003D65B8">
              <w:rPr>
                <w:rFonts w:cs="Arial"/>
                <w:bCs/>
                <w:spacing w:val="-2"/>
                <w:w w:val="105"/>
                <w:szCs w:val="18"/>
              </w:rPr>
              <w:t>In industrial, commercial, public services and domestic buildings.</w:t>
            </w:r>
          </w:p>
        </w:tc>
        <w:tc>
          <w:tcPr>
            <w:tcW w:w="646" w:type="pct"/>
          </w:tcPr>
          <w:p w14:paraId="4AF09163" w14:textId="77777777" w:rsidR="008E67EA" w:rsidRPr="00641519" w:rsidRDefault="008E67EA" w:rsidP="00B44A74">
            <w:pPr>
              <w:spacing w:line="240" w:lineRule="exact"/>
              <w:rPr>
                <w:rFonts w:cs="Arial"/>
                <w:bCs/>
                <w:i/>
                <w:iCs/>
                <w:spacing w:val="-2"/>
                <w:w w:val="105"/>
                <w:szCs w:val="18"/>
              </w:rPr>
            </w:pPr>
            <w:r>
              <w:rPr>
                <w:rFonts w:cs="Arial"/>
                <w:bCs/>
                <w:spacing w:val="-2"/>
                <w:w w:val="105"/>
                <w:szCs w:val="18"/>
              </w:rPr>
              <w:t>Mice</w:t>
            </w:r>
          </w:p>
        </w:tc>
        <w:tc>
          <w:tcPr>
            <w:tcW w:w="1087" w:type="pct"/>
          </w:tcPr>
          <w:p w14:paraId="0A067310" w14:textId="77777777" w:rsidR="008E67EA" w:rsidRPr="00867EDB" w:rsidRDefault="008E67EA" w:rsidP="00B44A74">
            <w:pPr>
              <w:spacing w:line="240" w:lineRule="exact"/>
              <w:rPr>
                <w:rFonts w:cs="Arial"/>
                <w:bCs/>
                <w:spacing w:val="-2"/>
                <w:w w:val="105"/>
                <w:szCs w:val="18"/>
              </w:rPr>
            </w:pPr>
            <w:r>
              <w:rPr>
                <w:rFonts w:cs="Arial"/>
                <w:bCs/>
                <w:spacing w:val="-2"/>
                <w:w w:val="105"/>
                <w:szCs w:val="18"/>
              </w:rPr>
              <w:t>3</w:t>
            </w:r>
            <w:r w:rsidRPr="00076450">
              <w:rPr>
                <w:rFonts w:cs="Arial"/>
                <w:bCs/>
                <w:spacing w:val="-2"/>
                <w:w w:val="105"/>
                <w:szCs w:val="18"/>
              </w:rPr>
              <w:t xml:space="preserve"> g to </w:t>
            </w:r>
            <w:r>
              <w:rPr>
                <w:rFonts w:cs="Arial"/>
                <w:bCs/>
                <w:spacing w:val="-2"/>
                <w:w w:val="105"/>
                <w:szCs w:val="18"/>
              </w:rPr>
              <w:t xml:space="preserve">4 </w:t>
            </w:r>
            <w:r w:rsidRPr="00076450">
              <w:rPr>
                <w:rFonts w:cs="Arial"/>
                <w:bCs/>
                <w:spacing w:val="-2"/>
                <w:w w:val="105"/>
                <w:szCs w:val="18"/>
              </w:rPr>
              <w:t>g</w:t>
            </w:r>
            <w:r>
              <w:rPr>
                <w:rFonts w:cs="Arial"/>
                <w:bCs/>
                <w:spacing w:val="-2"/>
                <w:w w:val="105"/>
                <w:szCs w:val="18"/>
              </w:rPr>
              <w:t xml:space="preserve"> of </w:t>
            </w:r>
            <w:r w:rsidRPr="00076450">
              <w:rPr>
                <w:rFonts w:cs="Arial"/>
                <w:bCs/>
                <w:spacing w:val="-2"/>
                <w:w w:val="105"/>
                <w:szCs w:val="18"/>
              </w:rPr>
              <w:t>bait</w:t>
            </w:r>
            <w:r>
              <w:rPr>
                <w:rFonts w:cs="Arial"/>
                <w:bCs/>
                <w:spacing w:val="-2"/>
                <w:w w:val="105"/>
                <w:szCs w:val="18"/>
              </w:rPr>
              <w:t xml:space="preserve"> (2 pumps of the gun)</w:t>
            </w:r>
            <w:r w:rsidRPr="00076450">
              <w:rPr>
                <w:rFonts w:cs="Arial"/>
                <w:bCs/>
                <w:spacing w:val="-2"/>
                <w:w w:val="105"/>
                <w:szCs w:val="18"/>
              </w:rPr>
              <w:t xml:space="preserve"> per</w:t>
            </w:r>
            <w:r>
              <w:rPr>
                <w:rFonts w:cs="Arial"/>
                <w:bCs/>
                <w:spacing w:val="-2"/>
                <w:w w:val="105"/>
                <w:szCs w:val="18"/>
              </w:rPr>
              <w:t xml:space="preserve"> </w:t>
            </w:r>
            <w:r w:rsidRPr="00076450">
              <w:rPr>
                <w:rFonts w:cs="Arial"/>
                <w:bCs/>
                <w:spacing w:val="-2"/>
                <w:w w:val="105"/>
                <w:szCs w:val="18"/>
              </w:rPr>
              <w:t>bait station</w:t>
            </w:r>
          </w:p>
        </w:tc>
        <w:tc>
          <w:tcPr>
            <w:tcW w:w="1898" w:type="pct"/>
          </w:tcPr>
          <w:p w14:paraId="3478D619" w14:textId="77777777" w:rsidR="008E67EA" w:rsidRDefault="008E67EA" w:rsidP="00B44A74">
            <w:pPr>
              <w:spacing w:after="120" w:line="240" w:lineRule="exact"/>
              <w:rPr>
                <w:rFonts w:cs="Arial"/>
                <w:bCs/>
                <w:spacing w:val="-2"/>
                <w:w w:val="105"/>
                <w:szCs w:val="18"/>
              </w:rPr>
            </w:pPr>
            <w:r w:rsidRPr="00076450">
              <w:rPr>
                <w:rFonts w:cs="Arial"/>
                <w:bCs/>
                <w:spacing w:val="-2"/>
                <w:w w:val="105"/>
                <w:szCs w:val="18"/>
              </w:rPr>
              <w:t>Use only in caulking gun and apply</w:t>
            </w:r>
            <w:r>
              <w:rPr>
                <w:rFonts w:cs="Arial"/>
                <w:bCs/>
                <w:spacing w:val="-2"/>
                <w:w w:val="105"/>
                <w:szCs w:val="18"/>
              </w:rPr>
              <w:t xml:space="preserve"> bait </w:t>
            </w:r>
            <w:r w:rsidRPr="00076450">
              <w:rPr>
                <w:rFonts w:cs="Arial"/>
                <w:bCs/>
                <w:spacing w:val="-2"/>
                <w:w w:val="105"/>
                <w:szCs w:val="18"/>
              </w:rPr>
              <w:t>directly into bait station.</w:t>
            </w:r>
          </w:p>
          <w:p w14:paraId="1ABA5A25" w14:textId="77777777" w:rsidR="008E67EA" w:rsidRPr="00076450" w:rsidRDefault="008E67EA" w:rsidP="00B44A74">
            <w:pPr>
              <w:spacing w:after="120" w:line="240" w:lineRule="exact"/>
              <w:rPr>
                <w:rFonts w:cs="Arial"/>
                <w:bCs/>
                <w:spacing w:val="-2"/>
                <w:w w:val="105"/>
                <w:szCs w:val="18"/>
              </w:rPr>
            </w:pPr>
            <w:r w:rsidRPr="00076450">
              <w:rPr>
                <w:rFonts w:cs="Arial"/>
                <w:bCs/>
                <w:spacing w:val="-2"/>
                <w:w w:val="105"/>
                <w:szCs w:val="18"/>
              </w:rPr>
              <w:t>DO NOT exceed 3 m between bait stations</w:t>
            </w:r>
            <w:r>
              <w:rPr>
                <w:rFonts w:cs="Arial"/>
                <w:bCs/>
                <w:spacing w:val="-2"/>
                <w:w w:val="105"/>
                <w:szCs w:val="18"/>
              </w:rPr>
              <w:t xml:space="preserve"> for mice. </w:t>
            </w:r>
          </w:p>
        </w:tc>
      </w:tr>
    </w:tbl>
    <w:p w14:paraId="6036D178" w14:textId="77777777" w:rsidR="008E67EA" w:rsidRPr="002C5418" w:rsidRDefault="008E67EA" w:rsidP="008E67EA">
      <w:pPr>
        <w:spacing w:line="280" w:lineRule="exact"/>
        <w:rPr>
          <w:rFonts w:cs="Arial"/>
          <w:sz w:val="20"/>
          <w:szCs w:val="20"/>
        </w:rPr>
      </w:pPr>
    </w:p>
    <w:p w14:paraId="320EC6EE" w14:textId="77777777" w:rsidR="008E67EA" w:rsidRPr="003D65B8" w:rsidRDefault="008E67EA" w:rsidP="008E67EA">
      <w:pPr>
        <w:spacing w:line="280" w:lineRule="exact"/>
        <w:rPr>
          <w:rFonts w:cs="Arial"/>
          <w:b/>
          <w:bCs/>
          <w:color w:val="000000" w:themeColor="text1"/>
          <w:sz w:val="20"/>
          <w:szCs w:val="20"/>
        </w:rPr>
      </w:pPr>
      <w:r w:rsidRPr="003D65B8">
        <w:rPr>
          <w:rFonts w:cs="Arial"/>
          <w:b/>
          <w:bCs/>
          <w:color w:val="000000" w:themeColor="text1"/>
          <w:sz w:val="20"/>
          <w:szCs w:val="20"/>
        </w:rPr>
        <w:t>BAITING STRATEGY:</w:t>
      </w:r>
    </w:p>
    <w:p w14:paraId="7BF2663C" w14:textId="77777777" w:rsidR="008E67EA" w:rsidRPr="003D65B8" w:rsidRDefault="008E67EA" w:rsidP="008E67EA">
      <w:pPr>
        <w:spacing w:line="280" w:lineRule="exact"/>
        <w:rPr>
          <w:rFonts w:cs="Arial"/>
          <w:color w:val="000000" w:themeColor="text1"/>
          <w:sz w:val="20"/>
          <w:szCs w:val="20"/>
        </w:rPr>
      </w:pPr>
      <w:r w:rsidRPr="003D65B8">
        <w:rPr>
          <w:rFonts w:cs="Arial"/>
          <w:color w:val="000000" w:themeColor="text1"/>
          <w:sz w:val="20"/>
          <w:szCs w:val="20"/>
        </w:rPr>
        <w:t>Eliminate as far as practicable, all alternative food sources.</w:t>
      </w:r>
    </w:p>
    <w:p w14:paraId="1D48FA78" w14:textId="77777777" w:rsidR="008E67EA" w:rsidRPr="003D65B8" w:rsidRDefault="008E67EA" w:rsidP="008E67EA">
      <w:pPr>
        <w:spacing w:line="280" w:lineRule="exact"/>
        <w:rPr>
          <w:rFonts w:cs="Arial"/>
          <w:color w:val="000000" w:themeColor="text1"/>
          <w:sz w:val="20"/>
          <w:szCs w:val="20"/>
        </w:rPr>
      </w:pPr>
      <w:r w:rsidRPr="003D65B8">
        <w:rPr>
          <w:rFonts w:cs="Arial"/>
          <w:color w:val="000000" w:themeColor="text1"/>
          <w:sz w:val="20"/>
          <w:szCs w:val="20"/>
        </w:rPr>
        <w:t>Survey site prior to treatment, including assessment of the extent of infestation and identification of any indications of the presence of non-target animals.</w:t>
      </w:r>
    </w:p>
    <w:p w14:paraId="13BD8C03" w14:textId="2F240F9E" w:rsidR="008E67EA" w:rsidRPr="000559AD" w:rsidRDefault="008E67EA" w:rsidP="008E67EA">
      <w:pPr>
        <w:spacing w:line="280" w:lineRule="exact"/>
        <w:rPr>
          <w:rFonts w:eastAsia="Calibri" w:cs="Arial"/>
          <w:sz w:val="20"/>
          <w:szCs w:val="20"/>
          <w:bdr w:val="none" w:sz="0" w:space="0" w:color="auto" w:frame="1"/>
          <w:lang w:val="en-GB" w:eastAsia="en-AU"/>
        </w:rPr>
      </w:pPr>
      <w:r w:rsidRPr="000559AD">
        <w:rPr>
          <w:rFonts w:eastAsia="Calibri" w:cs="Arial"/>
          <w:sz w:val="20"/>
          <w:szCs w:val="20"/>
          <w:bdr w:val="none" w:sz="0" w:space="0" w:color="auto" w:frame="1"/>
          <w:lang w:val="en-GB" w:eastAsia="en-AU"/>
        </w:rPr>
        <w:t>Record the number and locations of bait stations for the purpose of inspection, replacement and later removal. Always use tamper-resistant bait stations that are secured in place in child accessible areas, outdoors and in animal or livestock housing. When used in food producing animal housing situations careful consideration is necessary regarding the placement of bait stations to ensure any rodenticide contamination of water, feed or livestock is prevented.</w:t>
      </w:r>
    </w:p>
    <w:p w14:paraId="69B10E54" w14:textId="77777777" w:rsidR="008E67EA" w:rsidRPr="003D65B8" w:rsidRDefault="008E67EA" w:rsidP="008E67EA">
      <w:pPr>
        <w:spacing w:line="280" w:lineRule="exact"/>
        <w:rPr>
          <w:rFonts w:cs="Arial"/>
          <w:color w:val="000000" w:themeColor="text1"/>
          <w:sz w:val="20"/>
          <w:szCs w:val="20"/>
        </w:rPr>
      </w:pPr>
      <w:r w:rsidRPr="003D65B8">
        <w:rPr>
          <w:rFonts w:cs="Arial"/>
          <w:color w:val="000000" w:themeColor="text1"/>
          <w:sz w:val="20"/>
          <w:szCs w:val="20"/>
        </w:rPr>
        <w:t>Inspect baits daily. Replace eaten baits. If eaten quickly, increase number of baits. Continue observation and replenishment until no more baits are taken. Baiting for at least 2 weeks is necessary to reduce mouse numbers.</w:t>
      </w:r>
    </w:p>
    <w:p w14:paraId="487F920B" w14:textId="77777777" w:rsidR="008E67EA" w:rsidRPr="003D65B8" w:rsidRDefault="008E67EA" w:rsidP="008E67EA">
      <w:pPr>
        <w:spacing w:line="280" w:lineRule="exact"/>
        <w:rPr>
          <w:rFonts w:cs="Arial"/>
          <w:b/>
          <w:bCs/>
          <w:color w:val="000000" w:themeColor="text1"/>
          <w:sz w:val="20"/>
          <w:szCs w:val="20"/>
        </w:rPr>
      </w:pPr>
      <w:r w:rsidRPr="003D65B8">
        <w:rPr>
          <w:rFonts w:cs="Arial"/>
          <w:color w:val="000000" w:themeColor="text1"/>
          <w:sz w:val="20"/>
          <w:szCs w:val="20"/>
        </w:rPr>
        <w:t>DO NOT use the product beyond 35 days without an evaluation of the state of the infestation and of the efficacy of the treatment. Remove all uneaten bait at the end of treatment.</w:t>
      </w:r>
    </w:p>
    <w:p w14:paraId="1B5E41CA" w14:textId="77777777" w:rsidR="002C5418" w:rsidRDefault="008E67EA" w:rsidP="002C5418">
      <w:pPr>
        <w:spacing w:line="240" w:lineRule="exact"/>
        <w:rPr>
          <w:rFonts w:cs="Arial"/>
          <w:b/>
          <w:bCs/>
          <w:sz w:val="20"/>
          <w:szCs w:val="20"/>
        </w:rPr>
        <w:sectPr w:rsidR="002C5418" w:rsidSect="00CB73E0">
          <w:pgSz w:w="11906" w:h="16838"/>
          <w:pgMar w:top="1440" w:right="1134" w:bottom="1440" w:left="1134" w:header="794" w:footer="737" w:gutter="0"/>
          <w:cols w:space="708"/>
          <w:docGrid w:linePitch="360"/>
        </w:sectPr>
      </w:pPr>
      <w:r w:rsidRPr="00905739">
        <w:rPr>
          <w:rFonts w:cs="Arial"/>
          <w:b/>
          <w:bCs/>
          <w:sz w:val="20"/>
          <w:szCs w:val="20"/>
        </w:rPr>
        <w:t>NOT TO BE USED FOR ANY PURPOSE, OR IN ANY MANNER, CONTRARY TO THIS LABEL UNLESS AUTHORISED UNDER APPROPRIATE LEGISLATION.</w:t>
      </w:r>
    </w:p>
    <w:p w14:paraId="6523D302" w14:textId="77777777" w:rsidR="008E67EA" w:rsidRPr="000A0365" w:rsidRDefault="008E67EA" w:rsidP="008E67EA">
      <w:pPr>
        <w:keepNext/>
        <w:keepLines/>
        <w:spacing w:before="400" w:after="240" w:line="280" w:lineRule="exact"/>
        <w:outlineLvl w:val="1"/>
        <w:rPr>
          <w:rFonts w:ascii="Franklin Gothic Medium" w:eastAsia="Arial Unicode MS" w:hAnsi="Franklin Gothic Medium"/>
          <w:bCs/>
          <w:iCs/>
          <w:bdr w:val="none" w:sz="0" w:space="0" w:color="auto" w:frame="1"/>
          <w:lang w:val="en-GB" w:eastAsia="en-AU"/>
        </w:rPr>
      </w:pPr>
      <w:r w:rsidRPr="00FF36BF">
        <w:rPr>
          <w:rFonts w:ascii="Franklin Gothic Medium" w:eastAsia="Arial Unicode MS" w:hAnsi="Franklin Gothic Medium"/>
          <w:bCs/>
          <w:iCs/>
          <w:bdr w:val="none" w:sz="0" w:space="0" w:color="auto" w:frame="1"/>
          <w:lang w:val="en-GB" w:eastAsia="en-AU"/>
        </w:rPr>
        <w:lastRenderedPageBreak/>
        <w:t>Commercial</w:t>
      </w:r>
      <w:r>
        <w:rPr>
          <w:rFonts w:ascii="Franklin Gothic Medium" w:eastAsia="Arial Unicode MS" w:hAnsi="Franklin Gothic Medium"/>
          <w:bCs/>
          <w:iCs/>
          <w:bdr w:val="none" w:sz="0" w:space="0" w:color="auto" w:frame="1"/>
          <w:lang w:val="en-GB" w:eastAsia="en-AU"/>
        </w:rPr>
        <w:t xml:space="preserve"> pest-control product:</w:t>
      </w:r>
      <w:r w:rsidRPr="000A0365">
        <w:rPr>
          <w:rFonts w:ascii="Franklin Gothic Medium" w:eastAsia="Arial Unicode MS" w:hAnsi="Franklin Gothic Medium"/>
          <w:bCs/>
          <w:iCs/>
          <w:bdr w:val="none" w:sz="0" w:space="0" w:color="auto" w:frame="1"/>
          <w:lang w:val="en-GB" w:eastAsia="en-AU"/>
        </w:rPr>
        <w:t xml:space="preserve"> </w:t>
      </w:r>
      <w:r w:rsidRPr="00B73CCC">
        <w:rPr>
          <w:rFonts w:ascii="Franklin Gothic Medium" w:eastAsia="Arial Unicode MS" w:hAnsi="Franklin Gothic Medium"/>
          <w:bCs/>
          <w:iCs/>
          <w:bdr w:val="none" w:sz="0" w:space="0" w:color="auto" w:frame="1"/>
          <w:lang w:val="en-GB" w:eastAsia="en-AU"/>
        </w:rPr>
        <w:t>RB 0.05 g/kg or less in pellet formulation</w:t>
      </w:r>
    </w:p>
    <w:p w14:paraId="2A62D98E" w14:textId="77777777" w:rsidR="008E67EA"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t xml:space="preserve">Template Label </w:t>
      </w:r>
      <w:r>
        <w:rPr>
          <w:rFonts w:cs="Arial"/>
          <w:b/>
          <w:bCs/>
          <w:sz w:val="20"/>
          <w:szCs w:val="20"/>
          <w:bdr w:val="none" w:sz="0" w:space="0" w:color="auto" w:frame="1"/>
          <w:lang w:val="en-GB" w:eastAsia="en-AU"/>
        </w:rPr>
        <w:t>3a</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552527" w14:paraId="24E9A7E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D40F0A8" w14:textId="77777777" w:rsidR="008E67EA" w:rsidRPr="00552527" w:rsidRDefault="008E67EA" w:rsidP="00B44A74">
            <w:pPr>
              <w:spacing w:line="280" w:lineRule="exact"/>
              <w:rPr>
                <w:rFonts w:cs="Arial"/>
                <w:sz w:val="20"/>
                <w:szCs w:val="20"/>
              </w:rPr>
            </w:pPr>
            <w:r w:rsidRPr="00552527">
              <w:rPr>
                <w:rFonts w:cs="Arial"/>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2F5D2F3B" w14:textId="77777777" w:rsidR="008E67EA" w:rsidRPr="00552527" w:rsidRDefault="008E67EA" w:rsidP="00B44A74">
            <w:pPr>
              <w:spacing w:line="280" w:lineRule="exact"/>
              <w:rPr>
                <w:rFonts w:cs="Arial"/>
                <w:sz w:val="20"/>
                <w:szCs w:val="20"/>
              </w:rPr>
            </w:pPr>
            <w:r w:rsidRPr="00552527">
              <w:rPr>
                <w:rFonts w:cs="Arial"/>
                <w:sz w:val="20"/>
                <w:szCs w:val="20"/>
              </w:rPr>
              <w:t>[INSERT LABEL NAME]</w:t>
            </w:r>
          </w:p>
        </w:tc>
      </w:tr>
      <w:tr w:rsidR="008E67EA" w:rsidRPr="00552527" w14:paraId="5BCC041E" w14:textId="77777777" w:rsidTr="00B44A74">
        <w:trPr>
          <w:jc w:val="center"/>
        </w:trPr>
        <w:tc>
          <w:tcPr>
            <w:tcW w:w="2415" w:type="dxa"/>
            <w:tcBorders>
              <w:top w:val="single" w:sz="4" w:space="0" w:color="auto"/>
              <w:left w:val="nil"/>
              <w:bottom w:val="single" w:sz="4" w:space="0" w:color="auto"/>
              <w:right w:val="nil"/>
            </w:tcBorders>
          </w:tcPr>
          <w:p w14:paraId="32DA141E" w14:textId="77777777" w:rsidR="008E67EA" w:rsidRPr="0055252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3429145" w14:textId="77777777" w:rsidR="008E67EA" w:rsidRPr="00552527" w:rsidRDefault="008E67EA" w:rsidP="00B44A74">
            <w:pPr>
              <w:spacing w:line="280" w:lineRule="exact"/>
              <w:rPr>
                <w:rFonts w:cs="Arial"/>
                <w:sz w:val="20"/>
                <w:szCs w:val="20"/>
              </w:rPr>
            </w:pPr>
          </w:p>
        </w:tc>
      </w:tr>
      <w:tr w:rsidR="008E67EA" w:rsidRPr="00552527" w14:paraId="0E18E67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CC6DD13" w14:textId="77777777" w:rsidR="008E67EA" w:rsidRPr="00552527" w:rsidRDefault="008E67EA" w:rsidP="00B44A74">
            <w:pPr>
              <w:spacing w:line="280" w:lineRule="exact"/>
              <w:rPr>
                <w:rFonts w:cs="Arial"/>
                <w:sz w:val="20"/>
                <w:szCs w:val="20"/>
              </w:rPr>
            </w:pPr>
            <w:r w:rsidRPr="00552527">
              <w:rPr>
                <w:rFonts w:cs="Arial"/>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341BE424" w14:textId="77777777" w:rsidR="008E67EA" w:rsidRPr="00C64FCC" w:rsidRDefault="008E67EA" w:rsidP="00B44A74">
            <w:pPr>
              <w:spacing w:line="280" w:lineRule="exact"/>
              <w:rPr>
                <w:rFonts w:cs="Arial"/>
                <w:sz w:val="20"/>
                <w:szCs w:val="20"/>
              </w:rPr>
            </w:pPr>
            <w:r w:rsidRPr="00C64FCC">
              <w:rPr>
                <w:rFonts w:cs="Arial"/>
                <w:sz w:val="20"/>
                <w:szCs w:val="20"/>
              </w:rPr>
              <w:t>PO</w:t>
            </w:r>
            <w:r>
              <w:rPr>
                <w:rFonts w:cs="Arial"/>
                <w:sz w:val="20"/>
                <w:szCs w:val="20"/>
              </w:rPr>
              <w:t>I</w:t>
            </w:r>
            <w:r w:rsidRPr="00C64FCC">
              <w:rPr>
                <w:rFonts w:cs="Arial"/>
                <w:sz w:val="20"/>
                <w:szCs w:val="20"/>
              </w:rPr>
              <w:t>SON</w:t>
            </w:r>
          </w:p>
          <w:p w14:paraId="2D0C026F" w14:textId="77777777" w:rsidR="008E67EA" w:rsidRPr="00552527" w:rsidRDefault="008E67EA" w:rsidP="00B44A74">
            <w:pPr>
              <w:spacing w:line="280" w:lineRule="exact"/>
              <w:rPr>
                <w:rFonts w:cs="Arial"/>
                <w:sz w:val="20"/>
                <w:szCs w:val="20"/>
              </w:rPr>
            </w:pPr>
            <w:r w:rsidRPr="00552527">
              <w:rPr>
                <w:rFonts w:cs="Arial"/>
                <w:sz w:val="20"/>
                <w:szCs w:val="20"/>
              </w:rPr>
              <w:t>KEEP OUT OF REACH OF CHILDREN</w:t>
            </w:r>
          </w:p>
          <w:p w14:paraId="40C62F7F" w14:textId="77777777" w:rsidR="008E67EA" w:rsidRPr="00552527" w:rsidRDefault="008E67EA" w:rsidP="00B44A74">
            <w:pPr>
              <w:spacing w:line="280" w:lineRule="exact"/>
              <w:rPr>
                <w:rFonts w:cs="Arial"/>
                <w:sz w:val="20"/>
                <w:szCs w:val="20"/>
              </w:rPr>
            </w:pPr>
            <w:r w:rsidRPr="00552527">
              <w:rPr>
                <w:rFonts w:cs="Arial"/>
                <w:sz w:val="20"/>
                <w:szCs w:val="20"/>
              </w:rPr>
              <w:t>READ SAFETY DIRECIONS BEFORE OPENING OR USING</w:t>
            </w:r>
          </w:p>
        </w:tc>
      </w:tr>
      <w:tr w:rsidR="008E67EA" w:rsidRPr="00552527" w14:paraId="3E468D39" w14:textId="77777777" w:rsidTr="00B44A74">
        <w:trPr>
          <w:jc w:val="center"/>
        </w:trPr>
        <w:tc>
          <w:tcPr>
            <w:tcW w:w="2415" w:type="dxa"/>
            <w:tcBorders>
              <w:top w:val="single" w:sz="4" w:space="0" w:color="auto"/>
              <w:left w:val="nil"/>
              <w:bottom w:val="single" w:sz="4" w:space="0" w:color="auto"/>
              <w:right w:val="nil"/>
            </w:tcBorders>
          </w:tcPr>
          <w:p w14:paraId="6C4D4594" w14:textId="77777777" w:rsidR="008E67EA" w:rsidRPr="0055252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B73385F" w14:textId="77777777" w:rsidR="008E67EA" w:rsidRPr="00552527" w:rsidRDefault="008E67EA" w:rsidP="00B44A74">
            <w:pPr>
              <w:spacing w:line="280" w:lineRule="exact"/>
              <w:rPr>
                <w:rFonts w:cs="Arial"/>
                <w:sz w:val="20"/>
                <w:szCs w:val="20"/>
              </w:rPr>
            </w:pPr>
          </w:p>
        </w:tc>
      </w:tr>
      <w:tr w:rsidR="008E67EA" w:rsidRPr="00552527" w14:paraId="7D0930C9"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3A48F29" w14:textId="77777777" w:rsidR="008E67EA" w:rsidRPr="00552527" w:rsidRDefault="008E67EA" w:rsidP="00B44A74">
            <w:pPr>
              <w:spacing w:line="280" w:lineRule="exact"/>
              <w:rPr>
                <w:rFonts w:cs="Arial"/>
                <w:sz w:val="20"/>
                <w:szCs w:val="20"/>
              </w:rPr>
            </w:pPr>
            <w:r w:rsidRPr="00552527">
              <w:rPr>
                <w:rFonts w:cs="Arial"/>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4B14EE5D" w14:textId="77777777" w:rsidR="008E67EA" w:rsidRPr="00552527" w:rsidRDefault="008E67EA" w:rsidP="00B44A74">
            <w:pPr>
              <w:spacing w:line="280" w:lineRule="exact"/>
              <w:rPr>
                <w:rFonts w:cs="Arial"/>
                <w:sz w:val="20"/>
                <w:szCs w:val="20"/>
              </w:rPr>
            </w:pPr>
            <w:r w:rsidRPr="00552527">
              <w:rPr>
                <w:rFonts w:cs="Arial"/>
                <w:sz w:val="20"/>
                <w:szCs w:val="20"/>
              </w:rPr>
              <w:t>ACTIVE CONSTITUENT: 0.05 g/kg BRODIFACOUM</w:t>
            </w:r>
          </w:p>
        </w:tc>
      </w:tr>
      <w:tr w:rsidR="008E67EA" w:rsidRPr="00552527" w14:paraId="64EA7193" w14:textId="77777777" w:rsidTr="00B44A74">
        <w:trPr>
          <w:jc w:val="center"/>
        </w:trPr>
        <w:tc>
          <w:tcPr>
            <w:tcW w:w="2415" w:type="dxa"/>
            <w:tcBorders>
              <w:top w:val="single" w:sz="4" w:space="0" w:color="auto"/>
              <w:left w:val="nil"/>
              <w:bottom w:val="single" w:sz="4" w:space="0" w:color="auto"/>
              <w:right w:val="nil"/>
            </w:tcBorders>
          </w:tcPr>
          <w:p w14:paraId="64A18867" w14:textId="77777777" w:rsidR="008E67EA" w:rsidRPr="0055252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3FABB26" w14:textId="77777777" w:rsidR="008E67EA" w:rsidRPr="00552527" w:rsidRDefault="008E67EA" w:rsidP="00B44A74">
            <w:pPr>
              <w:spacing w:line="280" w:lineRule="exact"/>
              <w:rPr>
                <w:rFonts w:cs="Arial"/>
                <w:sz w:val="20"/>
                <w:szCs w:val="20"/>
              </w:rPr>
            </w:pPr>
          </w:p>
        </w:tc>
      </w:tr>
      <w:tr w:rsidR="008E67EA" w:rsidRPr="00552527" w14:paraId="417FA04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1140D44" w14:textId="77777777" w:rsidR="008E67EA" w:rsidRPr="00552527" w:rsidRDefault="008E67EA" w:rsidP="00B44A74">
            <w:pPr>
              <w:spacing w:line="280" w:lineRule="exact"/>
              <w:rPr>
                <w:rFonts w:cs="Arial"/>
                <w:sz w:val="20"/>
                <w:szCs w:val="20"/>
              </w:rPr>
            </w:pPr>
            <w:r w:rsidRPr="00552527">
              <w:rPr>
                <w:rFonts w:cs="Arial"/>
                <w:sz w:val="20"/>
                <w:szCs w:val="20"/>
              </w:rPr>
              <w:t>Mode of Action:</w:t>
            </w:r>
          </w:p>
        </w:tc>
        <w:tc>
          <w:tcPr>
            <w:tcW w:w="7755" w:type="dxa"/>
            <w:tcBorders>
              <w:top w:val="single" w:sz="4" w:space="0" w:color="auto"/>
              <w:left w:val="single" w:sz="4" w:space="0" w:color="auto"/>
              <w:bottom w:val="single" w:sz="4" w:space="0" w:color="auto"/>
              <w:right w:val="single" w:sz="4" w:space="0" w:color="auto"/>
            </w:tcBorders>
          </w:tcPr>
          <w:p w14:paraId="494D9CA7" w14:textId="77777777" w:rsidR="008E67EA" w:rsidRPr="00552527" w:rsidRDefault="008E67EA" w:rsidP="00B44A74">
            <w:pPr>
              <w:spacing w:line="280" w:lineRule="exact"/>
              <w:jc w:val="both"/>
              <w:rPr>
                <w:rFonts w:cs="Arial"/>
                <w:sz w:val="20"/>
                <w:szCs w:val="20"/>
              </w:rPr>
            </w:pPr>
          </w:p>
        </w:tc>
      </w:tr>
      <w:tr w:rsidR="008E67EA" w:rsidRPr="00552527" w14:paraId="11493FAC" w14:textId="77777777" w:rsidTr="00B44A74">
        <w:trPr>
          <w:jc w:val="center"/>
        </w:trPr>
        <w:tc>
          <w:tcPr>
            <w:tcW w:w="2415" w:type="dxa"/>
            <w:tcBorders>
              <w:top w:val="single" w:sz="4" w:space="0" w:color="auto"/>
              <w:left w:val="nil"/>
              <w:bottom w:val="single" w:sz="4" w:space="0" w:color="auto"/>
              <w:right w:val="nil"/>
            </w:tcBorders>
          </w:tcPr>
          <w:p w14:paraId="583506C1" w14:textId="77777777" w:rsidR="008E67EA" w:rsidRPr="0055252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5510C15" w14:textId="77777777" w:rsidR="008E67EA" w:rsidRPr="00552527" w:rsidRDefault="008E67EA" w:rsidP="00B44A74">
            <w:pPr>
              <w:spacing w:line="280" w:lineRule="exact"/>
              <w:rPr>
                <w:rFonts w:cs="Arial"/>
                <w:sz w:val="20"/>
                <w:szCs w:val="20"/>
              </w:rPr>
            </w:pPr>
          </w:p>
        </w:tc>
      </w:tr>
      <w:tr w:rsidR="008E67EA" w:rsidRPr="00552527" w14:paraId="386189B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21C6C3F" w14:textId="77777777" w:rsidR="008E67EA" w:rsidRPr="00552527" w:rsidRDefault="008E67EA" w:rsidP="00B44A74">
            <w:pPr>
              <w:spacing w:line="280" w:lineRule="exact"/>
              <w:rPr>
                <w:rFonts w:cs="Arial"/>
                <w:sz w:val="20"/>
                <w:szCs w:val="20"/>
              </w:rPr>
            </w:pPr>
            <w:r w:rsidRPr="00552527">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577180A8" w14:textId="77777777" w:rsidR="008E67EA" w:rsidRPr="00A869D1" w:rsidRDefault="008E67EA" w:rsidP="00B44A74">
            <w:pPr>
              <w:spacing w:line="280" w:lineRule="exact"/>
              <w:rPr>
                <w:rFonts w:cs="Arial"/>
                <w:sz w:val="20"/>
                <w:szCs w:val="20"/>
              </w:rPr>
            </w:pPr>
            <w:r>
              <w:rPr>
                <w:rFonts w:cs="Arial"/>
                <w:sz w:val="20"/>
                <w:szCs w:val="20"/>
              </w:rPr>
              <w:t>F</w:t>
            </w:r>
            <w:r w:rsidRPr="00A869D1">
              <w:rPr>
                <w:rFonts w:cs="Arial"/>
                <w:sz w:val="20"/>
                <w:szCs w:val="20"/>
              </w:rPr>
              <w:t>or the control of mice in agricultural, commercial, domestic, industrial and public service buildings and rats in and around agricultural, commercial, domestic, industrial and public service buildings.</w:t>
            </w:r>
          </w:p>
        </w:tc>
      </w:tr>
      <w:tr w:rsidR="008E67EA" w:rsidRPr="00552527" w14:paraId="3C93FDA9" w14:textId="77777777" w:rsidTr="00B44A74">
        <w:trPr>
          <w:jc w:val="center"/>
        </w:trPr>
        <w:tc>
          <w:tcPr>
            <w:tcW w:w="2415" w:type="dxa"/>
            <w:tcBorders>
              <w:top w:val="single" w:sz="4" w:space="0" w:color="auto"/>
              <w:left w:val="nil"/>
              <w:bottom w:val="single" w:sz="4" w:space="0" w:color="auto"/>
              <w:right w:val="nil"/>
            </w:tcBorders>
          </w:tcPr>
          <w:p w14:paraId="10ED25C6" w14:textId="77777777" w:rsidR="008E67EA" w:rsidRPr="0055252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4CECCCE" w14:textId="77777777" w:rsidR="008E67EA" w:rsidRPr="00552527" w:rsidRDefault="008E67EA" w:rsidP="00B44A74">
            <w:pPr>
              <w:spacing w:line="280" w:lineRule="exact"/>
              <w:rPr>
                <w:rFonts w:cs="Arial"/>
                <w:sz w:val="20"/>
                <w:szCs w:val="20"/>
              </w:rPr>
            </w:pPr>
          </w:p>
        </w:tc>
      </w:tr>
      <w:tr w:rsidR="008E67EA" w:rsidRPr="00552527" w14:paraId="526ABDA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4771BEE" w14:textId="77777777" w:rsidR="008E67EA" w:rsidRPr="00552527" w:rsidRDefault="008E67EA" w:rsidP="00B44A74">
            <w:pPr>
              <w:spacing w:line="280" w:lineRule="exact"/>
              <w:rPr>
                <w:rFonts w:cs="Arial"/>
                <w:sz w:val="20"/>
                <w:szCs w:val="20"/>
              </w:rPr>
            </w:pPr>
            <w:r w:rsidRPr="00552527">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387743A4" w14:textId="77777777" w:rsidR="008E67EA" w:rsidRPr="00552527" w:rsidRDefault="008E67EA" w:rsidP="00B44A74">
            <w:pPr>
              <w:spacing w:line="280" w:lineRule="exact"/>
              <w:rPr>
                <w:rFonts w:cs="Arial"/>
                <w:sz w:val="20"/>
                <w:szCs w:val="20"/>
              </w:rPr>
            </w:pPr>
            <w:r w:rsidRPr="00552527">
              <w:rPr>
                <w:rFonts w:cs="Arial"/>
                <w:sz w:val="20"/>
                <w:szCs w:val="20"/>
              </w:rPr>
              <w:t>[INSERT NET CONTENTS]</w:t>
            </w:r>
          </w:p>
        </w:tc>
      </w:tr>
      <w:tr w:rsidR="008E67EA" w:rsidRPr="00552527" w14:paraId="1B137772" w14:textId="77777777" w:rsidTr="00B44A74">
        <w:trPr>
          <w:jc w:val="center"/>
        </w:trPr>
        <w:tc>
          <w:tcPr>
            <w:tcW w:w="2415" w:type="dxa"/>
            <w:tcBorders>
              <w:top w:val="single" w:sz="4" w:space="0" w:color="auto"/>
              <w:left w:val="nil"/>
              <w:bottom w:val="single" w:sz="4" w:space="0" w:color="auto"/>
              <w:right w:val="nil"/>
            </w:tcBorders>
          </w:tcPr>
          <w:p w14:paraId="63FB5A2E" w14:textId="77777777" w:rsidR="008E67EA" w:rsidRPr="0055252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CBF89BA" w14:textId="77777777" w:rsidR="008E67EA" w:rsidRPr="00552527" w:rsidRDefault="008E67EA" w:rsidP="00B44A74">
            <w:pPr>
              <w:spacing w:line="280" w:lineRule="exact"/>
              <w:rPr>
                <w:rFonts w:cs="Arial"/>
                <w:sz w:val="20"/>
                <w:szCs w:val="20"/>
              </w:rPr>
            </w:pPr>
          </w:p>
        </w:tc>
      </w:tr>
      <w:tr w:rsidR="008E67EA" w:rsidRPr="00552527" w14:paraId="1C4A86F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4D9FFD8" w14:textId="77777777" w:rsidR="008E67EA" w:rsidRPr="00552527" w:rsidRDefault="008E67EA" w:rsidP="00B44A74">
            <w:pPr>
              <w:spacing w:line="280" w:lineRule="exact"/>
              <w:rPr>
                <w:rFonts w:cs="Arial"/>
                <w:sz w:val="20"/>
                <w:szCs w:val="20"/>
              </w:rPr>
            </w:pPr>
            <w:r w:rsidRPr="00552527">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4A38DA7C" w14:textId="77777777" w:rsidR="008E67EA" w:rsidRPr="00B76E79" w:rsidRDefault="008E67EA" w:rsidP="00B44A74">
            <w:pPr>
              <w:spacing w:line="280" w:lineRule="exact"/>
              <w:rPr>
                <w:rFonts w:cs="Arial"/>
                <w:sz w:val="20"/>
                <w:szCs w:val="20"/>
              </w:rPr>
            </w:pPr>
            <w:r w:rsidRPr="00B76E79">
              <w:rPr>
                <w:rFonts w:cs="Arial"/>
                <w:sz w:val="20"/>
                <w:szCs w:val="20"/>
              </w:rPr>
              <w:t>RESTRAINTS</w:t>
            </w:r>
          </w:p>
          <w:p w14:paraId="022298CC" w14:textId="77777777" w:rsidR="008E67EA" w:rsidRPr="00B76E79" w:rsidRDefault="008E67EA" w:rsidP="00B44A74">
            <w:pPr>
              <w:spacing w:line="280" w:lineRule="exact"/>
              <w:rPr>
                <w:rFonts w:cs="Arial"/>
                <w:sz w:val="20"/>
                <w:szCs w:val="20"/>
              </w:rPr>
            </w:pPr>
            <w:r w:rsidRPr="00B76E79">
              <w:rPr>
                <w:rFonts w:cs="Arial"/>
                <w:sz w:val="20"/>
                <w:szCs w:val="20"/>
              </w:rPr>
              <w:t>DO NOT use this product unless you have a current qualification in the nationally recognised training course for rodent pest management CPPUPM3006 - Manage pests by applying pesticides, or an equivalent unit of competency.</w:t>
            </w:r>
          </w:p>
          <w:p w14:paraId="044C841C" w14:textId="77777777" w:rsidR="008E67EA" w:rsidRPr="00B76E79" w:rsidRDefault="008E67EA" w:rsidP="00B44A74">
            <w:pPr>
              <w:spacing w:line="280" w:lineRule="exact"/>
              <w:rPr>
                <w:rFonts w:cs="Arial"/>
                <w:sz w:val="20"/>
                <w:szCs w:val="20"/>
              </w:rPr>
            </w:pPr>
            <w:r w:rsidRPr="00B76E79">
              <w:rPr>
                <w:rFonts w:cs="Arial"/>
                <w:sz w:val="20"/>
                <w:szCs w:val="20"/>
              </w:rPr>
              <w:t>DO NOT place baits in areas that are accessible to children. In child-accessible areas baits must be placed in tamper-</w:t>
            </w:r>
            <w:r>
              <w:rPr>
                <w:rFonts w:cs="Arial"/>
                <w:sz w:val="20"/>
                <w:szCs w:val="20"/>
              </w:rPr>
              <w:t>resistant</w:t>
            </w:r>
            <w:r w:rsidRPr="00B76E79">
              <w:rPr>
                <w:rFonts w:cs="Arial"/>
                <w:sz w:val="20"/>
                <w:szCs w:val="20"/>
              </w:rPr>
              <w:t xml:space="preserve"> bait stations. If bait can be dislodged from bait station, bait station must be secured in place. </w:t>
            </w:r>
          </w:p>
          <w:p w14:paraId="0674C9EB" w14:textId="77777777" w:rsidR="008E67EA" w:rsidRPr="00B76E79" w:rsidRDefault="008E67EA" w:rsidP="00B44A74">
            <w:pPr>
              <w:spacing w:line="280" w:lineRule="exact"/>
              <w:rPr>
                <w:rFonts w:cs="Arial"/>
                <w:sz w:val="20"/>
                <w:szCs w:val="20"/>
              </w:rPr>
            </w:pPr>
            <w:r w:rsidRPr="00B76E79">
              <w:rPr>
                <w:rFonts w:cs="Arial"/>
                <w:sz w:val="20"/>
                <w:szCs w:val="20"/>
              </w:rPr>
              <w:t>DO NOT place bait outdoors unless it is in a tamper-</w:t>
            </w:r>
            <w:r>
              <w:rPr>
                <w:rFonts w:cs="Arial"/>
                <w:sz w:val="20"/>
                <w:szCs w:val="20"/>
              </w:rPr>
              <w:t>resistant</w:t>
            </w:r>
            <w:r w:rsidRPr="00B76E79">
              <w:rPr>
                <w:rFonts w:cs="Arial"/>
                <w:sz w:val="20"/>
                <w:szCs w:val="20"/>
              </w:rPr>
              <w:t xml:space="preserve"> bait station which is secured in place.</w:t>
            </w:r>
          </w:p>
          <w:p w14:paraId="4972F921" w14:textId="77777777" w:rsidR="008E67EA" w:rsidRPr="00B76E79" w:rsidRDefault="008E67EA" w:rsidP="00B44A74">
            <w:pPr>
              <w:spacing w:line="280" w:lineRule="exact"/>
              <w:rPr>
                <w:rFonts w:cs="Arial"/>
                <w:sz w:val="20"/>
                <w:szCs w:val="20"/>
              </w:rPr>
            </w:pPr>
            <w:r w:rsidRPr="00B76E79">
              <w:rPr>
                <w:rFonts w:cs="Arial"/>
                <w:sz w:val="20"/>
                <w:szCs w:val="20"/>
              </w:rPr>
              <w:t>DO NOT place bait stations more than 2 meters from buildings.</w:t>
            </w:r>
          </w:p>
          <w:p w14:paraId="5ACC3D7B" w14:textId="77777777" w:rsidR="008E67EA" w:rsidRPr="00B76E79" w:rsidRDefault="008E67EA" w:rsidP="00B44A74">
            <w:pPr>
              <w:spacing w:line="280" w:lineRule="exact"/>
              <w:rPr>
                <w:rFonts w:cs="Arial"/>
                <w:sz w:val="20"/>
                <w:szCs w:val="20"/>
              </w:rPr>
            </w:pPr>
            <w:r w:rsidRPr="00B76E79">
              <w:rPr>
                <w:rFonts w:cs="Arial"/>
                <w:sz w:val="20"/>
                <w:szCs w:val="20"/>
              </w:rPr>
              <w:t>DO NOT place bait stations outdoors around buildings for control of mice.</w:t>
            </w:r>
          </w:p>
          <w:p w14:paraId="685F9077" w14:textId="77777777" w:rsidR="008E67EA" w:rsidRPr="00B76E79" w:rsidRDefault="008E67EA" w:rsidP="00B44A74">
            <w:pPr>
              <w:spacing w:line="280" w:lineRule="exact"/>
              <w:rPr>
                <w:rFonts w:cs="Arial"/>
                <w:sz w:val="20"/>
                <w:szCs w:val="20"/>
              </w:rPr>
            </w:pPr>
            <w:r w:rsidRPr="00B76E79">
              <w:rPr>
                <w:rFonts w:cs="Arial"/>
                <w:sz w:val="20"/>
                <w:szCs w:val="20"/>
              </w:rPr>
              <w:t>DO NOT bait in areas where wildlife may be collected for human consumption.</w:t>
            </w:r>
          </w:p>
          <w:p w14:paraId="35361DF1" w14:textId="77777777" w:rsidR="008E67EA" w:rsidRPr="00B76E79" w:rsidRDefault="008E67EA" w:rsidP="00B44A74">
            <w:pPr>
              <w:spacing w:line="280" w:lineRule="exact"/>
              <w:rPr>
                <w:rFonts w:cs="Arial"/>
                <w:sz w:val="20"/>
                <w:szCs w:val="20"/>
              </w:rPr>
            </w:pPr>
            <w:r w:rsidRPr="00B76E79">
              <w:rPr>
                <w:rFonts w:cs="Arial"/>
                <w:sz w:val="20"/>
                <w:szCs w:val="20"/>
              </w:rPr>
              <w:t>DO NOT place baits in and around animal, livestock and poultry houses, associated equipment, and food and feed processing areas.</w:t>
            </w:r>
          </w:p>
          <w:p w14:paraId="782771ED" w14:textId="77777777" w:rsidR="008E67EA" w:rsidRPr="00552527" w:rsidRDefault="008E67EA" w:rsidP="00B44A74">
            <w:pPr>
              <w:spacing w:line="280" w:lineRule="exact"/>
              <w:rPr>
                <w:rFonts w:cs="Arial"/>
                <w:sz w:val="20"/>
                <w:szCs w:val="20"/>
              </w:rPr>
            </w:pPr>
            <w:r w:rsidRPr="00B76E79">
              <w:rPr>
                <w:rFonts w:cs="Arial"/>
                <w:sz w:val="20"/>
                <w:szCs w:val="20"/>
              </w:rPr>
              <w:t>DO NOT apply this product directly into burrows.</w:t>
            </w:r>
          </w:p>
        </w:tc>
      </w:tr>
      <w:tr w:rsidR="008E67EA" w:rsidRPr="00552527" w14:paraId="2AC06804" w14:textId="77777777" w:rsidTr="00B44A74">
        <w:trPr>
          <w:jc w:val="center"/>
        </w:trPr>
        <w:tc>
          <w:tcPr>
            <w:tcW w:w="2415" w:type="dxa"/>
            <w:tcBorders>
              <w:top w:val="single" w:sz="4" w:space="0" w:color="auto"/>
              <w:left w:val="nil"/>
              <w:bottom w:val="single" w:sz="4" w:space="0" w:color="auto"/>
              <w:right w:val="nil"/>
            </w:tcBorders>
          </w:tcPr>
          <w:p w14:paraId="72285A90" w14:textId="77777777" w:rsidR="008E67EA" w:rsidRPr="0055252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127464B" w14:textId="77777777" w:rsidR="008E67EA" w:rsidRPr="00552527" w:rsidRDefault="008E67EA" w:rsidP="00B44A74">
            <w:pPr>
              <w:spacing w:line="280" w:lineRule="exact"/>
              <w:rPr>
                <w:rFonts w:cs="Arial"/>
                <w:sz w:val="20"/>
                <w:szCs w:val="20"/>
              </w:rPr>
            </w:pPr>
          </w:p>
        </w:tc>
      </w:tr>
      <w:tr w:rsidR="008E67EA" w:rsidRPr="00552527" w14:paraId="4D61765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26320D8" w14:textId="77777777" w:rsidR="008E67EA" w:rsidRPr="00552527" w:rsidRDefault="008E67EA" w:rsidP="00B44A74">
            <w:pPr>
              <w:spacing w:line="280" w:lineRule="exact"/>
              <w:rPr>
                <w:rFonts w:cs="Arial"/>
                <w:sz w:val="20"/>
                <w:szCs w:val="20"/>
              </w:rPr>
            </w:pPr>
            <w:r w:rsidRPr="00552527">
              <w:rPr>
                <w:rFonts w:cs="Arial"/>
                <w:sz w:val="20"/>
                <w:szCs w:val="20"/>
              </w:rPr>
              <w:t>Directions for Use:</w:t>
            </w:r>
          </w:p>
        </w:tc>
        <w:tc>
          <w:tcPr>
            <w:tcW w:w="7755" w:type="dxa"/>
            <w:tcBorders>
              <w:top w:val="single" w:sz="4" w:space="0" w:color="auto"/>
              <w:left w:val="single" w:sz="4" w:space="0" w:color="auto"/>
              <w:bottom w:val="single" w:sz="4" w:space="0" w:color="auto"/>
              <w:right w:val="single" w:sz="4" w:space="0" w:color="auto"/>
            </w:tcBorders>
          </w:tcPr>
          <w:p w14:paraId="1FEFCB92" w14:textId="77777777" w:rsidR="008E67EA" w:rsidRPr="00C64FCC" w:rsidRDefault="008E67EA" w:rsidP="00B44A74">
            <w:pPr>
              <w:spacing w:line="280" w:lineRule="exact"/>
              <w:rPr>
                <w:rFonts w:cs="Arial"/>
                <w:sz w:val="20"/>
                <w:szCs w:val="20"/>
              </w:rPr>
            </w:pPr>
            <w:r w:rsidRPr="00B832BB">
              <w:rPr>
                <w:rFonts w:cs="Arial"/>
                <w:sz w:val="20"/>
                <w:szCs w:val="20"/>
              </w:rPr>
              <w:t>[This section contains an attachment below]</w:t>
            </w:r>
          </w:p>
        </w:tc>
      </w:tr>
      <w:tr w:rsidR="008E67EA" w:rsidRPr="00552527" w14:paraId="65BCAB76" w14:textId="77777777" w:rsidTr="00B44A74">
        <w:trPr>
          <w:jc w:val="center"/>
        </w:trPr>
        <w:tc>
          <w:tcPr>
            <w:tcW w:w="2415" w:type="dxa"/>
            <w:tcBorders>
              <w:top w:val="single" w:sz="4" w:space="0" w:color="auto"/>
              <w:left w:val="nil"/>
              <w:bottom w:val="single" w:sz="4" w:space="0" w:color="auto"/>
              <w:right w:val="nil"/>
            </w:tcBorders>
          </w:tcPr>
          <w:p w14:paraId="2F06647D" w14:textId="77777777" w:rsidR="008E67EA" w:rsidRPr="0055252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349EAAD" w14:textId="77777777" w:rsidR="008E67EA" w:rsidRPr="00552527" w:rsidRDefault="008E67EA" w:rsidP="00B44A74">
            <w:pPr>
              <w:spacing w:line="280" w:lineRule="exact"/>
              <w:rPr>
                <w:rFonts w:cs="Arial"/>
                <w:sz w:val="20"/>
                <w:szCs w:val="20"/>
              </w:rPr>
            </w:pPr>
          </w:p>
        </w:tc>
      </w:tr>
      <w:tr w:rsidR="008E67EA" w:rsidRPr="00552527" w14:paraId="727477F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20ACC0D" w14:textId="77777777" w:rsidR="008E67EA" w:rsidRPr="00552527" w:rsidRDefault="008E67EA" w:rsidP="00B44A74">
            <w:pPr>
              <w:spacing w:line="280" w:lineRule="exact"/>
              <w:rPr>
                <w:rFonts w:cs="Arial"/>
                <w:sz w:val="20"/>
                <w:szCs w:val="20"/>
              </w:rPr>
            </w:pPr>
            <w:r w:rsidRPr="00552527">
              <w:rPr>
                <w:rFonts w:cs="Arial"/>
                <w:sz w:val="20"/>
                <w:szCs w:val="20"/>
              </w:rPr>
              <w:t>Other Limitations:</w:t>
            </w:r>
          </w:p>
        </w:tc>
        <w:tc>
          <w:tcPr>
            <w:tcW w:w="7755" w:type="dxa"/>
            <w:tcBorders>
              <w:top w:val="single" w:sz="4" w:space="0" w:color="auto"/>
              <w:left w:val="single" w:sz="4" w:space="0" w:color="auto"/>
              <w:bottom w:val="single" w:sz="4" w:space="0" w:color="auto"/>
              <w:right w:val="single" w:sz="4" w:space="0" w:color="auto"/>
            </w:tcBorders>
          </w:tcPr>
          <w:p w14:paraId="4342BDB4" w14:textId="77777777" w:rsidR="008E67EA" w:rsidRPr="00552527" w:rsidRDefault="008E67EA" w:rsidP="00B44A74">
            <w:pPr>
              <w:spacing w:line="280" w:lineRule="exact"/>
              <w:rPr>
                <w:rFonts w:cs="Arial"/>
                <w:sz w:val="20"/>
                <w:szCs w:val="20"/>
              </w:rPr>
            </w:pPr>
          </w:p>
        </w:tc>
      </w:tr>
      <w:tr w:rsidR="008E67EA" w:rsidRPr="00552527" w14:paraId="0027C525" w14:textId="77777777" w:rsidTr="00B44A74">
        <w:trPr>
          <w:jc w:val="center"/>
        </w:trPr>
        <w:tc>
          <w:tcPr>
            <w:tcW w:w="2415" w:type="dxa"/>
            <w:tcBorders>
              <w:top w:val="single" w:sz="4" w:space="0" w:color="auto"/>
              <w:left w:val="nil"/>
              <w:bottom w:val="single" w:sz="4" w:space="0" w:color="auto"/>
              <w:right w:val="nil"/>
            </w:tcBorders>
          </w:tcPr>
          <w:p w14:paraId="792ADC79" w14:textId="77777777" w:rsidR="008E67EA" w:rsidRPr="0055252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C591280" w14:textId="77777777" w:rsidR="008E67EA" w:rsidRPr="00552527" w:rsidRDefault="008E67EA" w:rsidP="00B44A74">
            <w:pPr>
              <w:spacing w:line="280" w:lineRule="exact"/>
              <w:rPr>
                <w:rFonts w:cs="Arial"/>
                <w:sz w:val="20"/>
                <w:szCs w:val="20"/>
              </w:rPr>
            </w:pPr>
          </w:p>
        </w:tc>
      </w:tr>
      <w:tr w:rsidR="008E67EA" w:rsidRPr="00552527" w14:paraId="1D5EF109"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0C2CDAC" w14:textId="77777777" w:rsidR="008E67EA" w:rsidRPr="00552527" w:rsidRDefault="008E67EA" w:rsidP="00B44A74">
            <w:pPr>
              <w:spacing w:line="280" w:lineRule="exact"/>
              <w:rPr>
                <w:rFonts w:cs="Arial"/>
                <w:sz w:val="20"/>
                <w:szCs w:val="20"/>
              </w:rPr>
            </w:pPr>
            <w:r w:rsidRPr="00552527">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1C58FFED" w14:textId="77777777" w:rsidR="008E67EA" w:rsidRPr="00552527" w:rsidRDefault="008E67EA" w:rsidP="00B44A74">
            <w:pPr>
              <w:spacing w:line="280" w:lineRule="exact"/>
              <w:rPr>
                <w:rFonts w:cs="Arial"/>
                <w:sz w:val="20"/>
                <w:szCs w:val="20"/>
              </w:rPr>
            </w:pPr>
          </w:p>
        </w:tc>
      </w:tr>
      <w:tr w:rsidR="008E67EA" w:rsidRPr="00552527" w14:paraId="671FDBB9" w14:textId="77777777" w:rsidTr="00B44A74">
        <w:trPr>
          <w:jc w:val="center"/>
        </w:trPr>
        <w:tc>
          <w:tcPr>
            <w:tcW w:w="2415" w:type="dxa"/>
            <w:tcBorders>
              <w:top w:val="single" w:sz="4" w:space="0" w:color="auto"/>
              <w:left w:val="nil"/>
              <w:bottom w:val="single" w:sz="4" w:space="0" w:color="auto"/>
              <w:right w:val="nil"/>
            </w:tcBorders>
          </w:tcPr>
          <w:p w14:paraId="5E51AC53" w14:textId="77777777" w:rsidR="008E67EA" w:rsidRPr="0055252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E4CE5FB" w14:textId="77777777" w:rsidR="008E67EA" w:rsidRPr="00552527" w:rsidRDefault="008E67EA" w:rsidP="00B44A74">
            <w:pPr>
              <w:spacing w:line="280" w:lineRule="exact"/>
              <w:rPr>
                <w:rFonts w:cs="Arial"/>
                <w:sz w:val="20"/>
                <w:szCs w:val="20"/>
              </w:rPr>
            </w:pPr>
          </w:p>
        </w:tc>
      </w:tr>
      <w:tr w:rsidR="008E67EA" w:rsidRPr="00552527" w14:paraId="2BF8C98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C3D26B1" w14:textId="77777777" w:rsidR="008E67EA" w:rsidRPr="00552527" w:rsidRDefault="008E67EA" w:rsidP="00B44A74">
            <w:pPr>
              <w:spacing w:line="280" w:lineRule="exact"/>
              <w:rPr>
                <w:rFonts w:cs="Arial"/>
                <w:sz w:val="20"/>
                <w:szCs w:val="20"/>
              </w:rPr>
            </w:pPr>
            <w:r w:rsidRPr="00552527">
              <w:rPr>
                <w:rFonts w:cs="Arial"/>
                <w:sz w:val="20"/>
                <w:szCs w:val="20"/>
              </w:rPr>
              <w:t>Trade Advice:</w:t>
            </w:r>
          </w:p>
        </w:tc>
        <w:tc>
          <w:tcPr>
            <w:tcW w:w="7755" w:type="dxa"/>
            <w:tcBorders>
              <w:top w:val="single" w:sz="4" w:space="0" w:color="auto"/>
              <w:left w:val="single" w:sz="4" w:space="0" w:color="auto"/>
              <w:bottom w:val="single" w:sz="4" w:space="0" w:color="auto"/>
              <w:right w:val="single" w:sz="4" w:space="0" w:color="auto"/>
            </w:tcBorders>
          </w:tcPr>
          <w:p w14:paraId="61023003" w14:textId="77777777" w:rsidR="008E67EA" w:rsidRPr="00552527" w:rsidRDefault="008E67EA" w:rsidP="00B44A74">
            <w:pPr>
              <w:spacing w:line="280" w:lineRule="exact"/>
              <w:rPr>
                <w:rFonts w:cs="Arial"/>
                <w:sz w:val="20"/>
                <w:szCs w:val="20"/>
              </w:rPr>
            </w:pPr>
          </w:p>
        </w:tc>
      </w:tr>
      <w:tr w:rsidR="008E67EA" w:rsidRPr="00552527" w14:paraId="0FE17E52" w14:textId="77777777" w:rsidTr="00B44A74">
        <w:trPr>
          <w:jc w:val="center"/>
        </w:trPr>
        <w:tc>
          <w:tcPr>
            <w:tcW w:w="2415" w:type="dxa"/>
            <w:tcBorders>
              <w:top w:val="single" w:sz="4" w:space="0" w:color="auto"/>
              <w:left w:val="nil"/>
              <w:bottom w:val="single" w:sz="4" w:space="0" w:color="auto"/>
              <w:right w:val="nil"/>
            </w:tcBorders>
          </w:tcPr>
          <w:p w14:paraId="0257B269" w14:textId="77777777" w:rsidR="008E67EA" w:rsidRPr="0055252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964175F" w14:textId="77777777" w:rsidR="008E67EA" w:rsidRPr="00552527" w:rsidRDefault="008E67EA" w:rsidP="00B44A74">
            <w:pPr>
              <w:spacing w:line="280" w:lineRule="exact"/>
              <w:rPr>
                <w:rFonts w:cs="Arial"/>
                <w:sz w:val="20"/>
                <w:szCs w:val="20"/>
              </w:rPr>
            </w:pPr>
          </w:p>
        </w:tc>
      </w:tr>
      <w:tr w:rsidR="008E67EA" w:rsidRPr="00552527" w14:paraId="529A5BC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8B7BC12" w14:textId="77777777" w:rsidR="008E67EA" w:rsidRPr="00552527" w:rsidRDefault="008E67EA" w:rsidP="00B44A74">
            <w:pPr>
              <w:spacing w:line="280" w:lineRule="exact"/>
              <w:rPr>
                <w:rFonts w:cs="Arial"/>
                <w:sz w:val="20"/>
                <w:szCs w:val="20"/>
              </w:rPr>
            </w:pPr>
            <w:r w:rsidRPr="00552527">
              <w:rPr>
                <w:rFonts w:cs="Arial"/>
                <w:sz w:val="20"/>
                <w:szCs w:val="20"/>
              </w:rPr>
              <w:t>General Directions:</w:t>
            </w:r>
          </w:p>
        </w:tc>
        <w:tc>
          <w:tcPr>
            <w:tcW w:w="7755" w:type="dxa"/>
            <w:tcBorders>
              <w:top w:val="single" w:sz="4" w:space="0" w:color="auto"/>
              <w:left w:val="single" w:sz="4" w:space="0" w:color="auto"/>
              <w:bottom w:val="single" w:sz="4" w:space="0" w:color="auto"/>
              <w:right w:val="single" w:sz="4" w:space="0" w:color="auto"/>
            </w:tcBorders>
          </w:tcPr>
          <w:p w14:paraId="1BB6E5CB" w14:textId="77777777" w:rsidR="008E67EA" w:rsidRPr="00552527" w:rsidRDefault="008E67EA" w:rsidP="00B44A74">
            <w:pPr>
              <w:spacing w:line="280" w:lineRule="exact"/>
              <w:rPr>
                <w:rFonts w:cs="Arial"/>
                <w:sz w:val="20"/>
                <w:szCs w:val="20"/>
              </w:rPr>
            </w:pPr>
          </w:p>
        </w:tc>
      </w:tr>
      <w:tr w:rsidR="008E67EA" w:rsidRPr="00552527" w14:paraId="48C093F0" w14:textId="77777777" w:rsidTr="00B44A74">
        <w:trPr>
          <w:jc w:val="center"/>
        </w:trPr>
        <w:tc>
          <w:tcPr>
            <w:tcW w:w="2415" w:type="dxa"/>
            <w:tcBorders>
              <w:top w:val="single" w:sz="4" w:space="0" w:color="auto"/>
              <w:left w:val="nil"/>
              <w:bottom w:val="single" w:sz="4" w:space="0" w:color="auto"/>
              <w:right w:val="nil"/>
            </w:tcBorders>
          </w:tcPr>
          <w:p w14:paraId="06BF1877" w14:textId="77777777" w:rsidR="008E67EA" w:rsidRPr="0055252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C1A51CA" w14:textId="77777777" w:rsidR="008E67EA" w:rsidRPr="00552527" w:rsidRDefault="008E67EA" w:rsidP="00B44A74">
            <w:pPr>
              <w:spacing w:line="280" w:lineRule="exact"/>
              <w:rPr>
                <w:rFonts w:cs="Arial"/>
                <w:sz w:val="20"/>
                <w:szCs w:val="20"/>
              </w:rPr>
            </w:pPr>
          </w:p>
        </w:tc>
      </w:tr>
      <w:tr w:rsidR="008E67EA" w:rsidRPr="00552527" w14:paraId="1EB8996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EF84B36" w14:textId="77777777" w:rsidR="008E67EA" w:rsidRPr="00552527" w:rsidRDefault="008E67EA" w:rsidP="00B44A74">
            <w:pPr>
              <w:spacing w:line="280" w:lineRule="exact"/>
              <w:rPr>
                <w:rFonts w:cs="Arial"/>
                <w:sz w:val="20"/>
                <w:szCs w:val="20"/>
              </w:rPr>
            </w:pPr>
            <w:r w:rsidRPr="00552527">
              <w:rPr>
                <w:rFonts w:cs="Arial"/>
                <w:sz w:val="20"/>
                <w:szCs w:val="20"/>
              </w:rPr>
              <w:lastRenderedPageBreak/>
              <w:t>Resistance Warning:</w:t>
            </w:r>
          </w:p>
        </w:tc>
        <w:tc>
          <w:tcPr>
            <w:tcW w:w="7755" w:type="dxa"/>
            <w:tcBorders>
              <w:top w:val="single" w:sz="4" w:space="0" w:color="auto"/>
              <w:left w:val="single" w:sz="4" w:space="0" w:color="auto"/>
              <w:bottom w:val="single" w:sz="4" w:space="0" w:color="auto"/>
              <w:right w:val="single" w:sz="4" w:space="0" w:color="auto"/>
            </w:tcBorders>
          </w:tcPr>
          <w:p w14:paraId="366A151C" w14:textId="77777777" w:rsidR="008E67EA" w:rsidRPr="00552527" w:rsidRDefault="008E67EA" w:rsidP="00B44A74">
            <w:pPr>
              <w:spacing w:line="280" w:lineRule="exact"/>
              <w:rPr>
                <w:rFonts w:cs="Arial"/>
                <w:sz w:val="20"/>
                <w:szCs w:val="20"/>
              </w:rPr>
            </w:pPr>
          </w:p>
        </w:tc>
      </w:tr>
      <w:tr w:rsidR="008E67EA" w:rsidRPr="00552527" w14:paraId="1451DF89" w14:textId="77777777" w:rsidTr="00B44A74">
        <w:trPr>
          <w:jc w:val="center"/>
        </w:trPr>
        <w:tc>
          <w:tcPr>
            <w:tcW w:w="2415" w:type="dxa"/>
            <w:tcBorders>
              <w:top w:val="single" w:sz="4" w:space="0" w:color="auto"/>
              <w:left w:val="nil"/>
              <w:bottom w:val="single" w:sz="4" w:space="0" w:color="auto"/>
              <w:right w:val="nil"/>
            </w:tcBorders>
          </w:tcPr>
          <w:p w14:paraId="2AE0FFA6" w14:textId="77777777" w:rsidR="008E67EA" w:rsidRPr="0055252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4BC3BE1" w14:textId="77777777" w:rsidR="008E67EA" w:rsidRPr="00552527" w:rsidRDefault="008E67EA" w:rsidP="00B44A74">
            <w:pPr>
              <w:spacing w:line="280" w:lineRule="exact"/>
              <w:rPr>
                <w:rFonts w:cs="Arial"/>
                <w:sz w:val="20"/>
                <w:szCs w:val="20"/>
              </w:rPr>
            </w:pPr>
          </w:p>
        </w:tc>
      </w:tr>
      <w:tr w:rsidR="008E67EA" w:rsidRPr="00552527" w14:paraId="2621EC4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3F95879" w14:textId="77777777" w:rsidR="008E67EA" w:rsidRPr="00552527" w:rsidRDefault="008E67EA" w:rsidP="00B44A74">
            <w:pPr>
              <w:spacing w:line="280" w:lineRule="exact"/>
              <w:rPr>
                <w:rFonts w:cs="Arial"/>
                <w:sz w:val="20"/>
                <w:szCs w:val="20"/>
              </w:rPr>
            </w:pPr>
            <w:r w:rsidRPr="00552527">
              <w:rPr>
                <w:rFonts w:cs="Arial"/>
                <w:sz w:val="20"/>
                <w:szCs w:val="20"/>
              </w:rPr>
              <w:t>Precautions:</w:t>
            </w:r>
          </w:p>
        </w:tc>
        <w:tc>
          <w:tcPr>
            <w:tcW w:w="7755" w:type="dxa"/>
            <w:tcBorders>
              <w:top w:val="single" w:sz="4" w:space="0" w:color="auto"/>
              <w:left w:val="single" w:sz="4" w:space="0" w:color="auto"/>
              <w:bottom w:val="single" w:sz="4" w:space="0" w:color="auto"/>
              <w:right w:val="single" w:sz="4" w:space="0" w:color="auto"/>
            </w:tcBorders>
          </w:tcPr>
          <w:p w14:paraId="2FC3DB4C" w14:textId="77777777" w:rsidR="008E67EA" w:rsidRPr="00B76E79" w:rsidRDefault="008E67EA" w:rsidP="00B44A74">
            <w:pPr>
              <w:spacing w:line="280" w:lineRule="exact"/>
              <w:rPr>
                <w:rFonts w:cs="Arial"/>
                <w:sz w:val="20"/>
                <w:szCs w:val="20"/>
              </w:rPr>
            </w:pPr>
            <w:r w:rsidRPr="00B76E79">
              <w:rPr>
                <w:rFonts w:cs="Arial"/>
                <w:sz w:val="20"/>
                <w:szCs w:val="20"/>
              </w:rPr>
              <w:t>PRECAUTIONS</w:t>
            </w:r>
          </w:p>
          <w:p w14:paraId="07C0B513" w14:textId="77777777" w:rsidR="008E67EA" w:rsidRPr="00B76E79" w:rsidRDefault="008E67EA" w:rsidP="00B44A74">
            <w:pPr>
              <w:spacing w:line="280" w:lineRule="exact"/>
              <w:rPr>
                <w:rFonts w:cs="Arial"/>
                <w:sz w:val="20"/>
                <w:szCs w:val="20"/>
              </w:rPr>
            </w:pPr>
            <w:r w:rsidRPr="00B76E79">
              <w:rPr>
                <w:rFonts w:cs="Arial"/>
                <w:sz w:val="20"/>
                <w:szCs w:val="20"/>
              </w:rPr>
              <w:t>Caution should be used when baiting near areas where hunting of wildlife may occur. Careful consideration of bait placement is necessary to avoid secondary exposure from contaminated wildlife that may be consumed.</w:t>
            </w:r>
          </w:p>
          <w:p w14:paraId="06EF51CD" w14:textId="77777777" w:rsidR="008E67EA" w:rsidRPr="00552527" w:rsidRDefault="008E67EA" w:rsidP="00B44A74">
            <w:pPr>
              <w:spacing w:line="280" w:lineRule="exact"/>
              <w:rPr>
                <w:rFonts w:cs="Arial"/>
                <w:sz w:val="20"/>
                <w:szCs w:val="20"/>
              </w:rPr>
            </w:pPr>
            <w:r w:rsidRPr="00B76E79">
              <w:rPr>
                <w:rFonts w:cs="Arial"/>
                <w:sz w:val="20"/>
                <w:szCs w:val="20"/>
              </w:rPr>
              <w:t>DO NOT place bait in areas where there is a possibility of contaminating food, livestock feed or surfaces that come in direct contact with food or livestock feed.</w:t>
            </w:r>
          </w:p>
        </w:tc>
      </w:tr>
      <w:tr w:rsidR="008E67EA" w:rsidRPr="00552527" w14:paraId="0D8624BD" w14:textId="77777777" w:rsidTr="00B44A74">
        <w:trPr>
          <w:jc w:val="center"/>
        </w:trPr>
        <w:tc>
          <w:tcPr>
            <w:tcW w:w="2415" w:type="dxa"/>
            <w:tcBorders>
              <w:top w:val="single" w:sz="4" w:space="0" w:color="auto"/>
              <w:left w:val="nil"/>
              <w:bottom w:val="single" w:sz="4" w:space="0" w:color="auto"/>
              <w:right w:val="nil"/>
            </w:tcBorders>
          </w:tcPr>
          <w:p w14:paraId="7E725294" w14:textId="77777777" w:rsidR="008E67EA" w:rsidRPr="0055252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2D70276" w14:textId="77777777" w:rsidR="008E67EA" w:rsidRPr="00552527" w:rsidRDefault="008E67EA" w:rsidP="00B44A74">
            <w:pPr>
              <w:spacing w:line="280" w:lineRule="exact"/>
              <w:rPr>
                <w:rFonts w:cs="Arial"/>
                <w:sz w:val="20"/>
                <w:szCs w:val="20"/>
              </w:rPr>
            </w:pPr>
          </w:p>
        </w:tc>
      </w:tr>
      <w:tr w:rsidR="008E67EA" w:rsidRPr="00552527" w14:paraId="4FAAF78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E3C1F28" w14:textId="77777777" w:rsidR="008E67EA" w:rsidRPr="00552527" w:rsidRDefault="008E67EA" w:rsidP="00B44A74">
            <w:pPr>
              <w:spacing w:line="280" w:lineRule="exact"/>
              <w:rPr>
                <w:rFonts w:cs="Arial"/>
                <w:sz w:val="20"/>
                <w:szCs w:val="20"/>
              </w:rPr>
            </w:pPr>
            <w:r w:rsidRPr="00552527">
              <w:rPr>
                <w:rFonts w:cs="Arial"/>
                <w:sz w:val="20"/>
                <w:szCs w:val="20"/>
              </w:rPr>
              <w:t>Protection Statements:</w:t>
            </w:r>
          </w:p>
        </w:tc>
        <w:tc>
          <w:tcPr>
            <w:tcW w:w="7755" w:type="dxa"/>
            <w:tcBorders>
              <w:top w:val="single" w:sz="4" w:space="0" w:color="auto"/>
              <w:left w:val="single" w:sz="4" w:space="0" w:color="auto"/>
              <w:bottom w:val="single" w:sz="4" w:space="0" w:color="auto"/>
              <w:right w:val="single" w:sz="4" w:space="0" w:color="auto"/>
            </w:tcBorders>
          </w:tcPr>
          <w:p w14:paraId="138430BA" w14:textId="77777777" w:rsidR="008E67EA" w:rsidRPr="00B76E79" w:rsidRDefault="008E67EA" w:rsidP="00B44A74">
            <w:pPr>
              <w:spacing w:line="280" w:lineRule="exact"/>
              <w:rPr>
                <w:rFonts w:cs="Arial"/>
                <w:sz w:val="20"/>
                <w:szCs w:val="20"/>
              </w:rPr>
            </w:pPr>
            <w:r w:rsidRPr="00B76E79">
              <w:rPr>
                <w:rFonts w:cs="Arial"/>
                <w:sz w:val="20"/>
                <w:szCs w:val="20"/>
              </w:rPr>
              <w:t>PROTECTION OF LIVESTOCK AND WILDLIFE</w:t>
            </w:r>
          </w:p>
          <w:p w14:paraId="514E1853" w14:textId="77777777" w:rsidR="008E67EA" w:rsidRPr="00B76E79" w:rsidRDefault="008E67EA" w:rsidP="00B44A74">
            <w:pPr>
              <w:spacing w:line="280" w:lineRule="exact"/>
              <w:rPr>
                <w:rFonts w:cs="Arial"/>
                <w:sz w:val="20"/>
                <w:szCs w:val="20"/>
              </w:rPr>
            </w:pPr>
            <w:r w:rsidRPr="00B76E79">
              <w:rPr>
                <w:rFonts w:cs="Arial"/>
                <w:sz w:val="20"/>
                <w:szCs w:val="20"/>
              </w:rPr>
              <w:t>Hazardous to livestock, poultry and wildlife. DO NOT place baits in locations that are accessible to domestic animals, livestock, non-target native animals or birds.</w:t>
            </w:r>
          </w:p>
          <w:p w14:paraId="3C08104E" w14:textId="77777777" w:rsidR="008E67EA" w:rsidRPr="00B76E79" w:rsidRDefault="008E67EA" w:rsidP="00B44A74">
            <w:pPr>
              <w:spacing w:line="280" w:lineRule="exact"/>
              <w:rPr>
                <w:rFonts w:cs="Arial"/>
                <w:sz w:val="20"/>
                <w:szCs w:val="20"/>
              </w:rPr>
            </w:pPr>
            <w:r w:rsidRPr="00B76E79">
              <w:rPr>
                <w:rFonts w:cs="Arial"/>
                <w:sz w:val="20"/>
                <w:szCs w:val="20"/>
              </w:rPr>
              <w:t xml:space="preserve">Search for and dispose of dead rodents and slugs/snails in the infested area at each visit to prevent secondary poisoning. In case slugs/snails are present, move bait station to another location within the rodent infested site, away from slugs/snails. Dispose of slugs/snails in a way non-target animals are not exposed. Dispose of dead rodents and uneaten bait in compliance with local, state or territory government regulations. </w:t>
            </w:r>
          </w:p>
          <w:p w14:paraId="1C66463F" w14:textId="77777777" w:rsidR="008E67EA" w:rsidRPr="00B76E79" w:rsidRDefault="008E67EA" w:rsidP="00B44A74">
            <w:pPr>
              <w:spacing w:line="280" w:lineRule="exact"/>
              <w:rPr>
                <w:rFonts w:cs="Arial"/>
                <w:sz w:val="20"/>
                <w:szCs w:val="20"/>
              </w:rPr>
            </w:pPr>
            <w:r w:rsidRPr="00B76E79">
              <w:rPr>
                <w:rFonts w:cs="Arial"/>
                <w:sz w:val="20"/>
                <w:szCs w:val="20"/>
              </w:rPr>
              <w:t>DO NOT allow livestock or poultry to consume dead or moribund mice and rats. All dead or moribund animals and rodent faeces from baited rodents MUST be removed from areas accessible to livestock or poultry.</w:t>
            </w:r>
          </w:p>
          <w:p w14:paraId="1AA1A46C" w14:textId="77777777" w:rsidR="008E67EA" w:rsidRDefault="008E67EA" w:rsidP="00B44A74">
            <w:pPr>
              <w:spacing w:line="280" w:lineRule="exact"/>
              <w:rPr>
                <w:rFonts w:cs="Arial"/>
                <w:sz w:val="20"/>
                <w:szCs w:val="20"/>
              </w:rPr>
            </w:pPr>
            <w:r w:rsidRPr="00B76E79">
              <w:rPr>
                <w:rFonts w:cs="Arial"/>
                <w:sz w:val="20"/>
                <w:szCs w:val="20"/>
              </w:rPr>
              <w:t>The use of this product for the control of protected native rodents requires permission from wildlife authorities.</w:t>
            </w:r>
          </w:p>
          <w:p w14:paraId="462D8C4A" w14:textId="77777777" w:rsidR="008E67EA" w:rsidRPr="00B76E79" w:rsidRDefault="008E67EA" w:rsidP="00B44A74">
            <w:pPr>
              <w:spacing w:line="280" w:lineRule="exact"/>
              <w:rPr>
                <w:rFonts w:cs="Arial"/>
                <w:sz w:val="20"/>
                <w:szCs w:val="20"/>
              </w:rPr>
            </w:pPr>
          </w:p>
          <w:p w14:paraId="5C6BD08B" w14:textId="77777777" w:rsidR="008E67EA" w:rsidRPr="00B76E79" w:rsidRDefault="008E67EA" w:rsidP="00B44A74">
            <w:pPr>
              <w:spacing w:line="280" w:lineRule="exact"/>
              <w:rPr>
                <w:rFonts w:cs="Arial"/>
                <w:sz w:val="20"/>
                <w:szCs w:val="20"/>
              </w:rPr>
            </w:pPr>
            <w:r w:rsidRPr="00B76E79">
              <w:rPr>
                <w:rFonts w:cs="Arial"/>
                <w:sz w:val="20"/>
                <w:szCs w:val="20"/>
              </w:rPr>
              <w:t>PROTECTION OF FISH, CRUSTACEANS AND ENVIRONMENT</w:t>
            </w:r>
          </w:p>
          <w:p w14:paraId="2F2C4049" w14:textId="0EDD8BEF" w:rsidR="008E67EA" w:rsidRPr="00552527" w:rsidRDefault="008E67EA" w:rsidP="00B44A74">
            <w:pPr>
              <w:spacing w:line="280" w:lineRule="exact"/>
              <w:rPr>
                <w:rFonts w:cs="Arial"/>
                <w:sz w:val="20"/>
                <w:szCs w:val="20"/>
              </w:rPr>
            </w:pPr>
            <w:r w:rsidRPr="00B76E79">
              <w:rPr>
                <w:rFonts w:cs="Arial"/>
                <w:sz w:val="20"/>
                <w:szCs w:val="20"/>
              </w:rPr>
              <w:t>Very toxic to aquatic life. DO NOT contaminate wetlands or watercourses with this product or used containers. Place the bait stations in areas not liable to flooding. When placing bait stations close to water drainage systems, ensure that bait contact with water is avoided.</w:t>
            </w:r>
          </w:p>
        </w:tc>
      </w:tr>
      <w:tr w:rsidR="008E67EA" w:rsidRPr="00552527" w14:paraId="229DACA8" w14:textId="77777777" w:rsidTr="00B44A74">
        <w:trPr>
          <w:jc w:val="center"/>
        </w:trPr>
        <w:tc>
          <w:tcPr>
            <w:tcW w:w="2415" w:type="dxa"/>
            <w:tcBorders>
              <w:top w:val="single" w:sz="4" w:space="0" w:color="auto"/>
              <w:left w:val="nil"/>
              <w:bottom w:val="single" w:sz="4" w:space="0" w:color="auto"/>
              <w:right w:val="nil"/>
            </w:tcBorders>
          </w:tcPr>
          <w:p w14:paraId="6CE7BD8D" w14:textId="77777777" w:rsidR="008E67EA" w:rsidRPr="0055252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15FC88E" w14:textId="77777777" w:rsidR="008E67EA" w:rsidRPr="00552527" w:rsidRDefault="008E67EA" w:rsidP="00B44A74">
            <w:pPr>
              <w:spacing w:line="280" w:lineRule="exact"/>
              <w:rPr>
                <w:rFonts w:cs="Arial"/>
                <w:sz w:val="20"/>
                <w:szCs w:val="20"/>
              </w:rPr>
            </w:pPr>
          </w:p>
        </w:tc>
      </w:tr>
      <w:tr w:rsidR="008E67EA" w:rsidRPr="00552527" w14:paraId="0A0D8DF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5F55DEF" w14:textId="77777777" w:rsidR="008E67EA" w:rsidRPr="00552527" w:rsidRDefault="008E67EA" w:rsidP="00B44A74">
            <w:pPr>
              <w:spacing w:line="280" w:lineRule="exact"/>
              <w:rPr>
                <w:rFonts w:cs="Arial"/>
                <w:sz w:val="20"/>
                <w:szCs w:val="20"/>
              </w:rPr>
            </w:pPr>
            <w:r w:rsidRPr="00552527">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01215672" w14:textId="77777777" w:rsidR="008E67EA" w:rsidRDefault="008E67EA" w:rsidP="00B44A74">
            <w:pPr>
              <w:spacing w:line="280" w:lineRule="exact"/>
              <w:rPr>
                <w:rFonts w:cs="Arial"/>
                <w:sz w:val="20"/>
                <w:szCs w:val="20"/>
              </w:rPr>
            </w:pPr>
            <w:bookmarkStart w:id="339" w:name="_Hlk208501294"/>
            <w:r w:rsidRPr="00552527">
              <w:rPr>
                <w:rFonts w:cs="Arial"/>
                <w:sz w:val="20"/>
                <w:szCs w:val="20"/>
              </w:rPr>
              <w:t xml:space="preserve">STORAGE AND DISPOSAL </w:t>
            </w:r>
          </w:p>
          <w:p w14:paraId="76FE04DD" w14:textId="77777777" w:rsidR="008E67EA" w:rsidRPr="00552527" w:rsidRDefault="008E67EA" w:rsidP="00B44A74">
            <w:pPr>
              <w:spacing w:line="280" w:lineRule="exact"/>
              <w:rPr>
                <w:rFonts w:cs="Arial"/>
                <w:sz w:val="20"/>
                <w:szCs w:val="20"/>
              </w:rPr>
            </w:pPr>
            <w:r w:rsidRPr="00552527">
              <w:rPr>
                <w:rFonts w:cs="Arial"/>
                <w:sz w:val="20"/>
                <w:szCs w:val="20"/>
              </w:rPr>
              <w:t xml:space="preserve">Store in a tightly closed, original container in a dry, well-ventilated area as cool as possible out of direct sunlight. </w:t>
            </w:r>
            <w:bookmarkEnd w:id="339"/>
            <w:r w:rsidRPr="000F4CB3">
              <w:rPr>
                <w:rFonts w:cs="Arial"/>
                <w:sz w:val="20"/>
                <w:szCs w:val="20"/>
              </w:rPr>
              <w:t>Triple rinse containers before disposal. Break, crush or puncture and deliver empty packaging to an approved waste management facility. If an approved waste management facility is not available, dispose of empty packaging in compliance with relevant local, state or territory government regulations. Dispose of unused product in compliance with relevant local, state or territory government regulations. DO NOT burn empty containers or product.</w:t>
            </w:r>
          </w:p>
        </w:tc>
      </w:tr>
      <w:tr w:rsidR="008E67EA" w:rsidRPr="00552527" w14:paraId="3AA910EE" w14:textId="77777777" w:rsidTr="00B44A74">
        <w:trPr>
          <w:jc w:val="center"/>
        </w:trPr>
        <w:tc>
          <w:tcPr>
            <w:tcW w:w="2415" w:type="dxa"/>
            <w:tcBorders>
              <w:top w:val="single" w:sz="4" w:space="0" w:color="auto"/>
              <w:left w:val="nil"/>
              <w:bottom w:val="single" w:sz="4" w:space="0" w:color="auto"/>
              <w:right w:val="nil"/>
            </w:tcBorders>
          </w:tcPr>
          <w:p w14:paraId="450D2A75" w14:textId="77777777" w:rsidR="008E67EA" w:rsidRPr="0055252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5229489" w14:textId="77777777" w:rsidR="008E67EA" w:rsidRPr="00552527" w:rsidRDefault="008E67EA" w:rsidP="00B44A74">
            <w:pPr>
              <w:spacing w:line="280" w:lineRule="exact"/>
              <w:rPr>
                <w:rFonts w:cs="Arial"/>
                <w:sz w:val="20"/>
                <w:szCs w:val="20"/>
              </w:rPr>
            </w:pPr>
          </w:p>
        </w:tc>
      </w:tr>
      <w:tr w:rsidR="008E67EA" w:rsidRPr="00552527" w14:paraId="04CF8C6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2FB470B" w14:textId="77777777" w:rsidR="008E67EA" w:rsidRPr="00552527" w:rsidRDefault="008E67EA" w:rsidP="00B44A74">
            <w:pPr>
              <w:spacing w:line="280" w:lineRule="exact"/>
              <w:rPr>
                <w:rFonts w:cs="Arial"/>
                <w:sz w:val="20"/>
                <w:szCs w:val="20"/>
              </w:rPr>
            </w:pPr>
            <w:r w:rsidRPr="00552527">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7CE11688" w14:textId="77777777" w:rsidR="008E67EA" w:rsidRPr="000F4CB3" w:rsidRDefault="008E67EA" w:rsidP="00B44A74">
            <w:pPr>
              <w:spacing w:line="280" w:lineRule="exact"/>
              <w:rPr>
                <w:rFonts w:cs="Arial"/>
                <w:sz w:val="20"/>
                <w:szCs w:val="20"/>
              </w:rPr>
            </w:pPr>
            <w:r w:rsidRPr="00552527">
              <w:rPr>
                <w:rFonts w:cs="Arial"/>
                <w:sz w:val="20"/>
                <w:szCs w:val="20"/>
              </w:rPr>
              <w:t>SAFETY DIRECTIONS</w:t>
            </w:r>
          </w:p>
          <w:p w14:paraId="622A5FAF" w14:textId="77777777" w:rsidR="008E67EA" w:rsidRPr="000F4CB3" w:rsidRDefault="008E67EA" w:rsidP="00B44A74">
            <w:pPr>
              <w:spacing w:line="280" w:lineRule="exact"/>
              <w:rPr>
                <w:rFonts w:cs="Arial"/>
                <w:sz w:val="20"/>
                <w:szCs w:val="20"/>
              </w:rPr>
            </w:pPr>
            <w:r w:rsidRPr="000F4CB3">
              <w:rPr>
                <w:rFonts w:cs="Arial"/>
                <w:sz w:val="20"/>
                <w:szCs w:val="20"/>
              </w:rPr>
              <w:t>Repeated minor exposure may have a cumulative poisoning effect. Avoid contact with eyes and skin. Do not inhale dust. Do not touch bait, use scoop or measure. When using the product wear disposable gloves. If on skin and after each baiting, wash thoroughly with soap and water.</w:t>
            </w:r>
          </w:p>
          <w:p w14:paraId="0EA5AC4C" w14:textId="0DA72D42" w:rsidR="008E67EA" w:rsidRPr="00552527" w:rsidRDefault="008E67EA" w:rsidP="00B44A74">
            <w:pPr>
              <w:spacing w:line="280" w:lineRule="exact"/>
              <w:rPr>
                <w:rFonts w:cs="Arial"/>
                <w:sz w:val="20"/>
                <w:szCs w:val="20"/>
              </w:rPr>
            </w:pPr>
            <w:r w:rsidRPr="000F4CB3">
              <w:rPr>
                <w:rFonts w:cs="Arial"/>
                <w:sz w:val="20"/>
                <w:szCs w:val="20"/>
              </w:rPr>
              <w:t>During cleanup and disposal operations of bait and bait stations, wear a single layer of clothing and disposable gloves. Wear disposable gloves when handling rodent carcasses. Wash clothes after performing re-handling activities.</w:t>
            </w:r>
          </w:p>
        </w:tc>
      </w:tr>
      <w:tr w:rsidR="008E67EA" w:rsidRPr="00552527" w14:paraId="36BE68FC" w14:textId="77777777" w:rsidTr="00B44A74">
        <w:trPr>
          <w:jc w:val="center"/>
        </w:trPr>
        <w:tc>
          <w:tcPr>
            <w:tcW w:w="2415" w:type="dxa"/>
            <w:tcBorders>
              <w:top w:val="single" w:sz="4" w:space="0" w:color="auto"/>
              <w:left w:val="nil"/>
              <w:bottom w:val="single" w:sz="4" w:space="0" w:color="auto"/>
              <w:right w:val="nil"/>
            </w:tcBorders>
          </w:tcPr>
          <w:p w14:paraId="294AB02D" w14:textId="77777777" w:rsidR="008E67EA" w:rsidRPr="0055252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15576E1" w14:textId="77777777" w:rsidR="008E67EA" w:rsidRPr="00552527" w:rsidRDefault="008E67EA" w:rsidP="00B44A74">
            <w:pPr>
              <w:spacing w:line="280" w:lineRule="exact"/>
              <w:rPr>
                <w:rFonts w:cs="Arial"/>
                <w:sz w:val="20"/>
                <w:szCs w:val="20"/>
              </w:rPr>
            </w:pPr>
          </w:p>
        </w:tc>
      </w:tr>
      <w:tr w:rsidR="008E67EA" w:rsidRPr="00552527" w14:paraId="45E7EA0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1CE5DD1" w14:textId="77777777" w:rsidR="008E67EA" w:rsidRPr="00552527" w:rsidRDefault="008E67EA" w:rsidP="00B44A74">
            <w:pPr>
              <w:spacing w:line="280" w:lineRule="exact"/>
              <w:rPr>
                <w:rFonts w:cs="Arial"/>
                <w:sz w:val="20"/>
                <w:szCs w:val="20"/>
              </w:rPr>
            </w:pPr>
            <w:r w:rsidRPr="00552527">
              <w:rPr>
                <w:rFonts w:cs="Arial"/>
                <w:sz w:val="20"/>
                <w:szCs w:val="20"/>
              </w:rPr>
              <w:lastRenderedPageBreak/>
              <w:t>First Aid Instructions:</w:t>
            </w:r>
          </w:p>
        </w:tc>
        <w:tc>
          <w:tcPr>
            <w:tcW w:w="7755" w:type="dxa"/>
            <w:tcBorders>
              <w:top w:val="single" w:sz="4" w:space="0" w:color="auto"/>
              <w:left w:val="single" w:sz="4" w:space="0" w:color="auto"/>
              <w:bottom w:val="single" w:sz="4" w:space="0" w:color="auto"/>
              <w:right w:val="single" w:sz="4" w:space="0" w:color="auto"/>
            </w:tcBorders>
          </w:tcPr>
          <w:p w14:paraId="24F205B3" w14:textId="77777777" w:rsidR="008E67EA" w:rsidRPr="00552527" w:rsidRDefault="008E67EA" w:rsidP="00B44A74">
            <w:pPr>
              <w:spacing w:line="280" w:lineRule="exact"/>
              <w:rPr>
                <w:rFonts w:cs="Arial"/>
                <w:sz w:val="20"/>
                <w:szCs w:val="20"/>
              </w:rPr>
            </w:pPr>
            <w:r w:rsidRPr="00552527">
              <w:rPr>
                <w:rFonts w:cs="Arial"/>
                <w:sz w:val="20"/>
                <w:szCs w:val="20"/>
              </w:rPr>
              <w:t>FIRST AID</w:t>
            </w:r>
          </w:p>
          <w:p w14:paraId="73D177A5" w14:textId="77777777" w:rsidR="008E67EA" w:rsidRPr="00552527" w:rsidRDefault="008E67EA" w:rsidP="00B44A74">
            <w:pPr>
              <w:spacing w:line="280" w:lineRule="exact"/>
              <w:rPr>
                <w:rFonts w:cs="Arial"/>
                <w:sz w:val="20"/>
                <w:szCs w:val="20"/>
              </w:rPr>
            </w:pPr>
            <w:r w:rsidRPr="00552527">
              <w:rPr>
                <w:rFonts w:cs="Arial"/>
                <w:sz w:val="20"/>
                <w:szCs w:val="20"/>
              </w:rPr>
              <w:t>If poisoning occurs, contact a doctor or Poisons Information Centre. Phone Australia 13 11 26, New Zealand 0800 764 766. Vitamin K1 (Phytomenadione) is antidotal.</w:t>
            </w:r>
          </w:p>
        </w:tc>
      </w:tr>
      <w:tr w:rsidR="008E67EA" w:rsidRPr="00552527" w14:paraId="3AE0F95B" w14:textId="77777777" w:rsidTr="00B44A74">
        <w:trPr>
          <w:jc w:val="center"/>
        </w:trPr>
        <w:tc>
          <w:tcPr>
            <w:tcW w:w="2415" w:type="dxa"/>
            <w:tcBorders>
              <w:top w:val="single" w:sz="4" w:space="0" w:color="auto"/>
              <w:left w:val="nil"/>
              <w:bottom w:val="single" w:sz="4" w:space="0" w:color="auto"/>
              <w:right w:val="nil"/>
            </w:tcBorders>
          </w:tcPr>
          <w:p w14:paraId="6D0AF153" w14:textId="77777777" w:rsidR="008E67EA" w:rsidRPr="0055252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7D8FFFA" w14:textId="77777777" w:rsidR="008E67EA" w:rsidRPr="00552527" w:rsidRDefault="008E67EA" w:rsidP="00B44A74">
            <w:pPr>
              <w:spacing w:line="280" w:lineRule="exact"/>
              <w:rPr>
                <w:rFonts w:cs="Arial"/>
                <w:sz w:val="20"/>
                <w:szCs w:val="20"/>
              </w:rPr>
            </w:pPr>
          </w:p>
        </w:tc>
      </w:tr>
      <w:tr w:rsidR="008E67EA" w:rsidRPr="00552527" w14:paraId="75E0D54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3CAE23C" w14:textId="77777777" w:rsidR="008E67EA" w:rsidRPr="00552527" w:rsidRDefault="008E67EA" w:rsidP="00B44A74">
            <w:pPr>
              <w:spacing w:line="280" w:lineRule="exact"/>
              <w:rPr>
                <w:rFonts w:cs="Arial"/>
                <w:sz w:val="20"/>
                <w:szCs w:val="20"/>
              </w:rPr>
            </w:pPr>
            <w:r w:rsidRPr="00552527">
              <w:rPr>
                <w:rFonts w:cs="Arial"/>
                <w:sz w:val="20"/>
                <w:szCs w:val="20"/>
              </w:rPr>
              <w:t>First Aid Warnings:</w:t>
            </w:r>
          </w:p>
        </w:tc>
        <w:tc>
          <w:tcPr>
            <w:tcW w:w="7755" w:type="dxa"/>
            <w:tcBorders>
              <w:top w:val="single" w:sz="4" w:space="0" w:color="auto"/>
              <w:left w:val="single" w:sz="4" w:space="0" w:color="auto"/>
              <w:bottom w:val="single" w:sz="4" w:space="0" w:color="auto"/>
              <w:right w:val="single" w:sz="4" w:space="0" w:color="auto"/>
            </w:tcBorders>
          </w:tcPr>
          <w:p w14:paraId="79561141" w14:textId="77777777" w:rsidR="008E67EA" w:rsidRPr="00552527" w:rsidRDefault="008E67EA" w:rsidP="00B44A74">
            <w:pPr>
              <w:spacing w:line="280" w:lineRule="exact"/>
              <w:rPr>
                <w:rFonts w:cs="Arial"/>
                <w:sz w:val="20"/>
                <w:szCs w:val="20"/>
              </w:rPr>
            </w:pPr>
          </w:p>
        </w:tc>
      </w:tr>
    </w:tbl>
    <w:p w14:paraId="4D642AB7" w14:textId="77777777" w:rsidR="008E67EA" w:rsidRPr="00C64FCC" w:rsidRDefault="008E67EA" w:rsidP="008E67EA"/>
    <w:p w14:paraId="16C7816E" w14:textId="77777777" w:rsidR="008E67EA" w:rsidRDefault="008E67EA" w:rsidP="008E67EA">
      <w:pPr>
        <w:spacing w:line="280" w:lineRule="exact"/>
        <w:rPr>
          <w:rFonts w:cs="Arial"/>
          <w:b/>
          <w:bCs/>
          <w:sz w:val="20"/>
          <w:szCs w:val="20"/>
        </w:rPr>
      </w:pPr>
      <w:r w:rsidRPr="00C64FCC">
        <w:rPr>
          <w:rFonts w:cs="Arial"/>
          <w:b/>
          <w:bCs/>
          <w:sz w:val="20"/>
          <w:szCs w:val="20"/>
        </w:rPr>
        <w:t>DIRECTIONS FOR USE</w:t>
      </w:r>
    </w:p>
    <w:tbl>
      <w:tblPr>
        <w:tblStyle w:val="TableGrid"/>
        <w:tblW w:w="48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1"/>
        <w:gridCol w:w="1631"/>
        <w:gridCol w:w="1313"/>
        <w:gridCol w:w="3561"/>
      </w:tblGrid>
      <w:tr w:rsidR="008E67EA" w:rsidRPr="00C118CC" w14:paraId="5F73BF6A" w14:textId="77777777" w:rsidTr="002C5418">
        <w:trPr>
          <w:trHeight w:val="340"/>
        </w:trPr>
        <w:tc>
          <w:tcPr>
            <w:tcW w:w="1531" w:type="pct"/>
          </w:tcPr>
          <w:p w14:paraId="7EBD0F5B" w14:textId="77777777" w:rsidR="008E67EA" w:rsidRPr="002F6425" w:rsidRDefault="008E67EA" w:rsidP="00B44A74">
            <w:pPr>
              <w:spacing w:line="280" w:lineRule="exact"/>
              <w:rPr>
                <w:rFonts w:cs="Arial"/>
                <w:b/>
                <w:bCs/>
                <w:spacing w:val="-2"/>
                <w:w w:val="105"/>
                <w:szCs w:val="18"/>
              </w:rPr>
            </w:pPr>
            <w:r w:rsidRPr="002F6425">
              <w:rPr>
                <w:rFonts w:cs="Arial"/>
                <w:b/>
                <w:bCs/>
                <w:szCs w:val="18"/>
              </w:rPr>
              <w:t>SITUATION</w:t>
            </w:r>
          </w:p>
        </w:tc>
        <w:tc>
          <w:tcPr>
            <w:tcW w:w="870" w:type="pct"/>
          </w:tcPr>
          <w:p w14:paraId="36031151" w14:textId="77777777" w:rsidR="008E67EA" w:rsidRPr="002F6425" w:rsidRDefault="008E67EA" w:rsidP="00B44A74">
            <w:pPr>
              <w:pStyle w:val="TableParagraph"/>
              <w:spacing w:before="61"/>
              <w:rPr>
                <w:b/>
                <w:bCs/>
                <w:spacing w:val="-4"/>
                <w:sz w:val="18"/>
                <w:szCs w:val="18"/>
              </w:rPr>
            </w:pPr>
            <w:r w:rsidRPr="002F6425">
              <w:rPr>
                <w:b/>
                <w:bCs/>
                <w:sz w:val="18"/>
                <w:szCs w:val="18"/>
              </w:rPr>
              <w:t>PEST</w:t>
            </w:r>
          </w:p>
        </w:tc>
        <w:tc>
          <w:tcPr>
            <w:tcW w:w="700" w:type="pct"/>
          </w:tcPr>
          <w:p w14:paraId="2EBC22A0" w14:textId="77777777" w:rsidR="008E67EA" w:rsidRPr="002F6425" w:rsidRDefault="008E67EA" w:rsidP="00B44A74">
            <w:pPr>
              <w:pStyle w:val="TableParagraph"/>
              <w:spacing w:before="61"/>
              <w:rPr>
                <w:b/>
                <w:bCs/>
                <w:sz w:val="18"/>
                <w:szCs w:val="18"/>
              </w:rPr>
            </w:pPr>
            <w:r w:rsidRPr="002F6425">
              <w:rPr>
                <w:b/>
                <w:bCs/>
                <w:sz w:val="18"/>
                <w:szCs w:val="18"/>
              </w:rPr>
              <w:t>RATE</w:t>
            </w:r>
          </w:p>
        </w:tc>
        <w:tc>
          <w:tcPr>
            <w:tcW w:w="1899" w:type="pct"/>
          </w:tcPr>
          <w:p w14:paraId="02891192" w14:textId="77777777" w:rsidR="008E67EA" w:rsidRPr="002F6425" w:rsidRDefault="008E67EA" w:rsidP="00B44A74">
            <w:pPr>
              <w:pStyle w:val="TableParagraph"/>
              <w:spacing w:before="61"/>
              <w:rPr>
                <w:b/>
                <w:bCs/>
                <w:color w:val="7030A0"/>
                <w:sz w:val="18"/>
                <w:szCs w:val="18"/>
              </w:rPr>
            </w:pPr>
            <w:r w:rsidRPr="002F6425">
              <w:rPr>
                <w:b/>
                <w:bCs/>
                <w:sz w:val="18"/>
                <w:szCs w:val="18"/>
              </w:rPr>
              <w:t>CRITICAL COMMENTS</w:t>
            </w:r>
          </w:p>
        </w:tc>
      </w:tr>
      <w:tr w:rsidR="008E67EA" w:rsidRPr="00C118CC" w14:paraId="2B652AEC" w14:textId="77777777" w:rsidTr="002C5418">
        <w:trPr>
          <w:trHeight w:val="1050"/>
        </w:trPr>
        <w:tc>
          <w:tcPr>
            <w:tcW w:w="1531" w:type="pct"/>
          </w:tcPr>
          <w:p w14:paraId="76833A3F" w14:textId="77777777" w:rsidR="008E67EA" w:rsidRPr="00582001" w:rsidRDefault="008E67EA" w:rsidP="00B44A74">
            <w:pPr>
              <w:spacing w:line="240" w:lineRule="exact"/>
              <w:rPr>
                <w:rFonts w:cs="Arial"/>
                <w:b/>
                <w:spacing w:val="-2"/>
                <w:w w:val="105"/>
                <w:szCs w:val="18"/>
              </w:rPr>
            </w:pPr>
            <w:r w:rsidRPr="00582001">
              <w:rPr>
                <w:rFonts w:cs="Arial"/>
                <w:b/>
                <w:spacing w:val="-2"/>
                <w:w w:val="105"/>
                <w:szCs w:val="18"/>
              </w:rPr>
              <w:t xml:space="preserve">Clean Out Treatments </w:t>
            </w:r>
          </w:p>
          <w:p w14:paraId="235E7395" w14:textId="77777777" w:rsidR="008E67EA" w:rsidRPr="00582001" w:rsidRDefault="008E67EA" w:rsidP="00B44A74">
            <w:pPr>
              <w:spacing w:line="240" w:lineRule="exact"/>
              <w:rPr>
                <w:rFonts w:cs="Arial"/>
                <w:bCs/>
                <w:spacing w:val="-2"/>
                <w:w w:val="105"/>
                <w:szCs w:val="18"/>
              </w:rPr>
            </w:pPr>
            <w:r w:rsidRPr="00582001">
              <w:rPr>
                <w:rFonts w:cs="Arial"/>
                <w:bCs/>
                <w:spacing w:val="-2"/>
                <w:w w:val="105"/>
                <w:szCs w:val="18"/>
              </w:rPr>
              <w:t xml:space="preserve">In and around (within 2 m) </w:t>
            </w:r>
            <w:r w:rsidRPr="00A869D1">
              <w:rPr>
                <w:rFonts w:cs="Arial"/>
                <w:szCs w:val="18"/>
              </w:rPr>
              <w:t>agricultural, commercial, domestic, industrial and public service buildings</w:t>
            </w:r>
          </w:p>
        </w:tc>
        <w:tc>
          <w:tcPr>
            <w:tcW w:w="870" w:type="pct"/>
          </w:tcPr>
          <w:p w14:paraId="7984D5CB" w14:textId="77777777" w:rsidR="008E67EA" w:rsidRPr="00867EDB" w:rsidRDefault="008E67EA" w:rsidP="00B44A74">
            <w:pPr>
              <w:spacing w:line="240" w:lineRule="exact"/>
              <w:rPr>
                <w:rFonts w:cs="Arial"/>
                <w:bCs/>
                <w:spacing w:val="-2"/>
                <w:w w:val="105"/>
                <w:szCs w:val="18"/>
              </w:rPr>
            </w:pPr>
            <w:r w:rsidRPr="00867EDB">
              <w:rPr>
                <w:rFonts w:cs="Arial"/>
                <w:bCs/>
                <w:spacing w:val="-2"/>
                <w:w w:val="105"/>
                <w:szCs w:val="18"/>
              </w:rPr>
              <w:t>Rats</w:t>
            </w:r>
          </w:p>
          <w:p w14:paraId="780AD590" w14:textId="77777777" w:rsidR="008E67EA" w:rsidRPr="00641519" w:rsidRDefault="008E67EA" w:rsidP="00B44A74">
            <w:pPr>
              <w:spacing w:line="240" w:lineRule="exact"/>
              <w:rPr>
                <w:rFonts w:cs="Arial"/>
                <w:bCs/>
                <w:i/>
                <w:iCs/>
                <w:spacing w:val="-2"/>
                <w:w w:val="105"/>
                <w:szCs w:val="18"/>
              </w:rPr>
            </w:pPr>
            <w:r w:rsidRPr="00867EDB">
              <w:rPr>
                <w:rFonts w:cs="Arial"/>
                <w:bCs/>
                <w:spacing w:val="-2"/>
                <w:w w:val="105"/>
                <w:szCs w:val="18"/>
              </w:rPr>
              <w:t>(</w:t>
            </w:r>
            <w:r w:rsidRPr="002F6425">
              <w:rPr>
                <w:rFonts w:cs="Arial"/>
                <w:bCs/>
                <w:i/>
                <w:iCs/>
                <w:spacing w:val="-2"/>
                <w:w w:val="105"/>
                <w:szCs w:val="18"/>
              </w:rPr>
              <w:t>Rattus rattus, R. norvegicus)</w:t>
            </w:r>
          </w:p>
        </w:tc>
        <w:tc>
          <w:tcPr>
            <w:tcW w:w="700" w:type="pct"/>
          </w:tcPr>
          <w:p w14:paraId="52AFE93A" w14:textId="77777777" w:rsidR="008E67EA" w:rsidRPr="00867EDB" w:rsidRDefault="008E67EA" w:rsidP="00B44A74">
            <w:pPr>
              <w:spacing w:line="240" w:lineRule="exact"/>
              <w:rPr>
                <w:rFonts w:cs="Arial"/>
                <w:bCs/>
                <w:spacing w:val="-2"/>
                <w:w w:val="105"/>
                <w:szCs w:val="18"/>
              </w:rPr>
            </w:pPr>
            <w:r>
              <w:rPr>
                <w:rFonts w:cs="Arial"/>
                <w:bCs/>
                <w:spacing w:val="-2"/>
                <w:w w:val="105"/>
                <w:szCs w:val="18"/>
              </w:rPr>
              <w:t>(As per current approved label)</w:t>
            </w:r>
          </w:p>
        </w:tc>
        <w:tc>
          <w:tcPr>
            <w:tcW w:w="1899" w:type="pct"/>
            <w:vMerge w:val="restart"/>
          </w:tcPr>
          <w:p w14:paraId="41932FE9" w14:textId="77777777" w:rsidR="008E67EA" w:rsidRPr="00A869D1" w:rsidRDefault="008E67EA" w:rsidP="00B44A74">
            <w:pPr>
              <w:spacing w:after="120" w:line="240" w:lineRule="exact"/>
              <w:rPr>
                <w:rFonts w:cs="Arial"/>
                <w:bCs/>
                <w:spacing w:val="-2"/>
                <w:w w:val="105"/>
                <w:szCs w:val="18"/>
              </w:rPr>
            </w:pPr>
            <w:r w:rsidRPr="00A869D1">
              <w:rPr>
                <w:rFonts w:cs="Arial"/>
                <w:b/>
                <w:i/>
                <w:iCs/>
                <w:spacing w:val="-2"/>
                <w:w w:val="105"/>
                <w:szCs w:val="18"/>
              </w:rPr>
              <w:t>For rats:</w:t>
            </w:r>
            <w:r w:rsidRPr="00A869D1">
              <w:rPr>
                <w:rFonts w:cs="Arial"/>
                <w:bCs/>
                <w:spacing w:val="-2"/>
                <w:w w:val="105"/>
                <w:szCs w:val="18"/>
              </w:rPr>
              <w:t xml:space="preserve"> Place bait stations at intervals of 5 to 9 m in infested areas. DO NOT exceed 9 m between bait stations. </w:t>
            </w:r>
          </w:p>
          <w:p w14:paraId="46A1CF51" w14:textId="77777777" w:rsidR="008E67EA" w:rsidRPr="00A869D1" w:rsidRDefault="008E67EA" w:rsidP="00B44A74">
            <w:pPr>
              <w:spacing w:after="120" w:line="240" w:lineRule="exact"/>
              <w:rPr>
                <w:rFonts w:cs="Arial"/>
                <w:bCs/>
                <w:spacing w:val="-2"/>
                <w:w w:val="105"/>
                <w:szCs w:val="18"/>
              </w:rPr>
            </w:pPr>
            <w:r w:rsidRPr="00A869D1">
              <w:rPr>
                <w:rFonts w:cs="Arial"/>
                <w:b/>
                <w:i/>
                <w:iCs/>
                <w:spacing w:val="-2"/>
                <w:w w:val="105"/>
                <w:szCs w:val="18"/>
              </w:rPr>
              <w:t>For mice:</w:t>
            </w:r>
            <w:r w:rsidRPr="00A869D1">
              <w:rPr>
                <w:rFonts w:cs="Arial"/>
                <w:bCs/>
                <w:spacing w:val="-2"/>
                <w:w w:val="105"/>
                <w:szCs w:val="18"/>
              </w:rPr>
              <w:t xml:space="preserve"> Place bait stations at intervals of 2 to 3 m in infested areas. DO NOT exceed 3 m between bait stations. </w:t>
            </w:r>
          </w:p>
          <w:p w14:paraId="489B2FD1" w14:textId="77777777" w:rsidR="008E67EA" w:rsidRPr="00A869D1" w:rsidRDefault="008E67EA" w:rsidP="00B44A74">
            <w:pPr>
              <w:spacing w:after="120" w:line="240" w:lineRule="exact"/>
              <w:rPr>
                <w:rFonts w:cs="Arial"/>
                <w:bCs/>
                <w:spacing w:val="-2"/>
                <w:w w:val="105"/>
                <w:szCs w:val="18"/>
              </w:rPr>
            </w:pPr>
            <w:r w:rsidRPr="00A869D1">
              <w:rPr>
                <w:rFonts w:cs="Arial"/>
                <w:bCs/>
                <w:spacing w:val="-2"/>
                <w:w w:val="105"/>
                <w:szCs w:val="18"/>
              </w:rPr>
              <w:t>Use the greater number of bait stations and shorter distance between bait placements when infestations are heavy</w:t>
            </w:r>
            <w:r w:rsidRPr="00A869D1" w:rsidDel="004D121A">
              <w:rPr>
                <w:rFonts w:cs="Arial"/>
                <w:bCs/>
                <w:spacing w:val="-2"/>
                <w:w w:val="105"/>
                <w:szCs w:val="18"/>
              </w:rPr>
              <w:t xml:space="preserve"> </w:t>
            </w:r>
          </w:p>
          <w:p w14:paraId="04863328" w14:textId="77777777" w:rsidR="008E67EA" w:rsidRPr="00A869D1" w:rsidRDefault="008E67EA" w:rsidP="00B44A74">
            <w:pPr>
              <w:spacing w:after="120" w:line="240" w:lineRule="exact"/>
              <w:rPr>
                <w:rFonts w:cs="Arial"/>
                <w:bCs/>
                <w:spacing w:val="-2"/>
                <w:w w:val="105"/>
                <w:szCs w:val="18"/>
              </w:rPr>
            </w:pPr>
            <w:r w:rsidRPr="00A869D1">
              <w:rPr>
                <w:rFonts w:cs="Arial"/>
                <w:bCs/>
                <w:spacing w:val="-2"/>
                <w:w w:val="105"/>
                <w:szCs w:val="18"/>
              </w:rPr>
              <w:t xml:space="preserve">See also baiting strategy for clean-out treatments. </w:t>
            </w:r>
          </w:p>
        </w:tc>
      </w:tr>
      <w:tr w:rsidR="008E67EA" w:rsidRPr="00C118CC" w14:paraId="4F989CB5" w14:textId="77777777" w:rsidTr="002C5418">
        <w:trPr>
          <w:trHeight w:val="402"/>
        </w:trPr>
        <w:tc>
          <w:tcPr>
            <w:tcW w:w="1531" w:type="pct"/>
          </w:tcPr>
          <w:p w14:paraId="632C6BB6" w14:textId="77777777" w:rsidR="008E67EA" w:rsidRPr="00582001" w:rsidRDefault="008E67EA" w:rsidP="00B44A74">
            <w:pPr>
              <w:spacing w:line="240" w:lineRule="exact"/>
              <w:rPr>
                <w:rFonts w:cs="Arial"/>
                <w:bCs/>
                <w:spacing w:val="-2"/>
                <w:w w:val="105"/>
                <w:szCs w:val="18"/>
              </w:rPr>
            </w:pPr>
            <w:r w:rsidRPr="00582001">
              <w:rPr>
                <w:rFonts w:cs="Arial"/>
                <w:b/>
                <w:spacing w:val="-2"/>
                <w:w w:val="105"/>
                <w:szCs w:val="18"/>
              </w:rPr>
              <w:t>Clean Out Treatments</w:t>
            </w:r>
          </w:p>
          <w:p w14:paraId="3A2D0600" w14:textId="77777777" w:rsidR="008E67EA" w:rsidRPr="00582001" w:rsidRDefault="008E67EA" w:rsidP="00B44A74">
            <w:pPr>
              <w:spacing w:line="240" w:lineRule="exact"/>
              <w:rPr>
                <w:rFonts w:cs="Arial"/>
                <w:bCs/>
                <w:spacing w:val="-2"/>
                <w:w w:val="105"/>
                <w:szCs w:val="18"/>
              </w:rPr>
            </w:pPr>
            <w:r w:rsidRPr="00582001">
              <w:rPr>
                <w:rFonts w:cs="Arial"/>
                <w:bCs/>
                <w:spacing w:val="-2"/>
                <w:w w:val="105"/>
                <w:szCs w:val="18"/>
              </w:rPr>
              <w:t xml:space="preserve">In </w:t>
            </w:r>
            <w:r w:rsidRPr="00A869D1">
              <w:rPr>
                <w:rFonts w:cs="Arial"/>
                <w:szCs w:val="18"/>
              </w:rPr>
              <w:t>agricultural, commercial, domestic, industrial and public service buildings</w:t>
            </w:r>
          </w:p>
        </w:tc>
        <w:tc>
          <w:tcPr>
            <w:tcW w:w="870" w:type="pct"/>
          </w:tcPr>
          <w:p w14:paraId="6C4C0284" w14:textId="77777777" w:rsidR="008E67EA" w:rsidRPr="00867EDB" w:rsidRDefault="008E67EA" w:rsidP="00B44A74">
            <w:pPr>
              <w:spacing w:line="240" w:lineRule="exact"/>
              <w:rPr>
                <w:rFonts w:cs="Arial"/>
                <w:bCs/>
                <w:spacing w:val="-2"/>
                <w:w w:val="105"/>
                <w:szCs w:val="18"/>
              </w:rPr>
            </w:pPr>
            <w:r w:rsidRPr="00867EDB">
              <w:rPr>
                <w:rFonts w:cs="Arial"/>
                <w:bCs/>
                <w:spacing w:val="-2"/>
                <w:w w:val="105"/>
                <w:szCs w:val="18"/>
              </w:rPr>
              <w:t>Mice</w:t>
            </w:r>
          </w:p>
          <w:p w14:paraId="3B097DF6" w14:textId="77777777" w:rsidR="008E67EA" w:rsidRPr="002F6425" w:rsidRDefault="008E67EA" w:rsidP="00B44A74">
            <w:pPr>
              <w:spacing w:line="240" w:lineRule="exact"/>
              <w:rPr>
                <w:rFonts w:cs="Arial"/>
                <w:bCs/>
                <w:i/>
                <w:iCs/>
                <w:spacing w:val="-2"/>
                <w:w w:val="105"/>
                <w:szCs w:val="18"/>
              </w:rPr>
            </w:pPr>
            <w:r w:rsidRPr="002F6425">
              <w:rPr>
                <w:rFonts w:cs="Arial"/>
                <w:bCs/>
                <w:i/>
                <w:iCs/>
                <w:spacing w:val="-2"/>
                <w:w w:val="105"/>
                <w:szCs w:val="18"/>
              </w:rPr>
              <w:t>(Mus domesticus)</w:t>
            </w:r>
          </w:p>
          <w:p w14:paraId="76321184" w14:textId="77777777" w:rsidR="008E67EA" w:rsidRPr="00867EDB" w:rsidRDefault="008E67EA" w:rsidP="00B44A74">
            <w:pPr>
              <w:spacing w:line="240" w:lineRule="exact"/>
              <w:rPr>
                <w:rFonts w:cs="Arial"/>
                <w:bCs/>
                <w:spacing w:val="-2"/>
                <w:w w:val="105"/>
                <w:szCs w:val="18"/>
              </w:rPr>
            </w:pPr>
          </w:p>
        </w:tc>
        <w:tc>
          <w:tcPr>
            <w:tcW w:w="700" w:type="pct"/>
          </w:tcPr>
          <w:p w14:paraId="79D6FC45" w14:textId="77777777" w:rsidR="008E67EA" w:rsidRPr="00867EDB" w:rsidRDefault="008E67EA" w:rsidP="00B44A74">
            <w:pPr>
              <w:spacing w:line="240" w:lineRule="exact"/>
              <w:rPr>
                <w:rFonts w:cs="Arial"/>
                <w:bCs/>
                <w:spacing w:val="-2"/>
                <w:w w:val="105"/>
                <w:szCs w:val="18"/>
              </w:rPr>
            </w:pPr>
            <w:r>
              <w:rPr>
                <w:rFonts w:cs="Arial"/>
                <w:bCs/>
                <w:spacing w:val="-2"/>
                <w:w w:val="105"/>
                <w:szCs w:val="18"/>
              </w:rPr>
              <w:t>(As per current approved label)</w:t>
            </w:r>
          </w:p>
        </w:tc>
        <w:tc>
          <w:tcPr>
            <w:tcW w:w="1899" w:type="pct"/>
            <w:vMerge/>
          </w:tcPr>
          <w:p w14:paraId="4798E511" w14:textId="77777777" w:rsidR="008E67EA" w:rsidRPr="00A869D1" w:rsidRDefault="008E67EA" w:rsidP="00B44A74">
            <w:pPr>
              <w:spacing w:line="240" w:lineRule="exact"/>
              <w:rPr>
                <w:rFonts w:cs="Arial"/>
                <w:bCs/>
                <w:spacing w:val="-2"/>
                <w:w w:val="105"/>
                <w:szCs w:val="18"/>
              </w:rPr>
            </w:pPr>
          </w:p>
        </w:tc>
      </w:tr>
      <w:tr w:rsidR="008E67EA" w:rsidRPr="00C118CC" w14:paraId="6EB725C2" w14:textId="77777777" w:rsidTr="002C5418">
        <w:trPr>
          <w:trHeight w:val="1247"/>
        </w:trPr>
        <w:tc>
          <w:tcPr>
            <w:tcW w:w="1531" w:type="pct"/>
          </w:tcPr>
          <w:p w14:paraId="2CC0BC4C" w14:textId="77777777" w:rsidR="008E67EA" w:rsidRPr="00582001" w:rsidRDefault="008E67EA" w:rsidP="00B44A74">
            <w:pPr>
              <w:spacing w:line="240" w:lineRule="exact"/>
              <w:rPr>
                <w:rFonts w:cs="Arial"/>
                <w:b/>
                <w:spacing w:val="-2"/>
                <w:w w:val="105"/>
                <w:szCs w:val="18"/>
              </w:rPr>
            </w:pPr>
            <w:r w:rsidRPr="00582001">
              <w:rPr>
                <w:rFonts w:cs="Arial"/>
                <w:b/>
                <w:spacing w:val="-2"/>
                <w:w w:val="105"/>
                <w:szCs w:val="18"/>
              </w:rPr>
              <w:t xml:space="preserve">Monitoring and/or Maintenance Treatments </w:t>
            </w:r>
          </w:p>
          <w:p w14:paraId="790482B4" w14:textId="77777777" w:rsidR="008E67EA" w:rsidRPr="00582001" w:rsidRDefault="008E67EA" w:rsidP="00B44A74">
            <w:pPr>
              <w:spacing w:line="240" w:lineRule="exact"/>
              <w:rPr>
                <w:rFonts w:cs="Arial"/>
                <w:bCs/>
                <w:spacing w:val="-2"/>
                <w:w w:val="105"/>
                <w:szCs w:val="18"/>
              </w:rPr>
            </w:pPr>
            <w:r w:rsidRPr="00582001">
              <w:rPr>
                <w:rFonts w:cs="Arial"/>
                <w:bCs/>
                <w:spacing w:val="-2"/>
                <w:w w:val="105"/>
                <w:szCs w:val="18"/>
              </w:rPr>
              <w:t xml:space="preserve">In and around (within 2 m) </w:t>
            </w:r>
            <w:r w:rsidRPr="00A869D1">
              <w:rPr>
                <w:rFonts w:cs="Arial"/>
                <w:szCs w:val="18"/>
              </w:rPr>
              <w:t>agricultural, commercial, domestic, industrial and public service buildings</w:t>
            </w:r>
          </w:p>
        </w:tc>
        <w:tc>
          <w:tcPr>
            <w:tcW w:w="870" w:type="pct"/>
          </w:tcPr>
          <w:p w14:paraId="3D171E17" w14:textId="77777777" w:rsidR="008E67EA" w:rsidRPr="00867EDB" w:rsidRDefault="008E67EA" w:rsidP="00B44A74">
            <w:pPr>
              <w:spacing w:line="240" w:lineRule="exact"/>
              <w:rPr>
                <w:rFonts w:cs="Arial"/>
                <w:bCs/>
                <w:spacing w:val="-2"/>
                <w:w w:val="105"/>
                <w:szCs w:val="18"/>
              </w:rPr>
            </w:pPr>
            <w:r w:rsidRPr="00867EDB">
              <w:rPr>
                <w:rFonts w:cs="Arial"/>
                <w:bCs/>
                <w:spacing w:val="-2"/>
                <w:w w:val="105"/>
                <w:szCs w:val="18"/>
              </w:rPr>
              <w:t>Rats</w:t>
            </w:r>
          </w:p>
          <w:p w14:paraId="3AEA2502" w14:textId="77777777" w:rsidR="008E67EA" w:rsidRPr="002F6425" w:rsidRDefault="008E67EA" w:rsidP="00B44A74">
            <w:pPr>
              <w:spacing w:line="240" w:lineRule="exact"/>
              <w:rPr>
                <w:rFonts w:cs="Arial"/>
                <w:bCs/>
                <w:i/>
                <w:iCs/>
                <w:spacing w:val="-2"/>
                <w:w w:val="105"/>
                <w:szCs w:val="18"/>
              </w:rPr>
            </w:pPr>
            <w:r w:rsidRPr="002F6425">
              <w:rPr>
                <w:rFonts w:cs="Arial"/>
                <w:bCs/>
                <w:i/>
                <w:iCs/>
                <w:spacing w:val="-2"/>
                <w:w w:val="105"/>
                <w:szCs w:val="18"/>
              </w:rPr>
              <w:t>(Rattus rattus, R. norvegicus)</w:t>
            </w:r>
          </w:p>
          <w:p w14:paraId="439A9099" w14:textId="77777777" w:rsidR="008E67EA" w:rsidRPr="00867EDB" w:rsidRDefault="008E67EA" w:rsidP="00B44A74">
            <w:pPr>
              <w:spacing w:line="240" w:lineRule="exact"/>
              <w:rPr>
                <w:rFonts w:cs="Arial"/>
                <w:bCs/>
                <w:spacing w:val="-2"/>
                <w:w w:val="105"/>
                <w:szCs w:val="18"/>
              </w:rPr>
            </w:pPr>
          </w:p>
        </w:tc>
        <w:tc>
          <w:tcPr>
            <w:tcW w:w="700" w:type="pct"/>
            <w:vMerge w:val="restart"/>
          </w:tcPr>
          <w:p w14:paraId="1BAA1361" w14:textId="77777777" w:rsidR="008E67EA" w:rsidRPr="00867EDB" w:rsidRDefault="008E67EA" w:rsidP="00B44A74">
            <w:pPr>
              <w:spacing w:line="240" w:lineRule="exact"/>
              <w:rPr>
                <w:rFonts w:cs="Arial"/>
                <w:bCs/>
                <w:spacing w:val="-2"/>
                <w:w w:val="105"/>
                <w:szCs w:val="18"/>
              </w:rPr>
            </w:pPr>
            <w:r>
              <w:rPr>
                <w:rFonts w:cs="Arial"/>
                <w:bCs/>
                <w:spacing w:val="-2"/>
                <w:w w:val="105"/>
                <w:szCs w:val="18"/>
              </w:rPr>
              <w:t>(As per current approved label)</w:t>
            </w:r>
          </w:p>
        </w:tc>
        <w:tc>
          <w:tcPr>
            <w:tcW w:w="1899" w:type="pct"/>
            <w:vMerge w:val="restart"/>
          </w:tcPr>
          <w:p w14:paraId="66B622E3" w14:textId="77777777" w:rsidR="008E67EA" w:rsidRPr="00A869D1" w:rsidRDefault="008E67EA" w:rsidP="00B44A74">
            <w:pPr>
              <w:spacing w:after="120" w:line="240" w:lineRule="exact"/>
              <w:rPr>
                <w:rFonts w:cs="Arial"/>
                <w:bCs/>
                <w:spacing w:val="-2"/>
                <w:w w:val="105"/>
                <w:szCs w:val="18"/>
              </w:rPr>
            </w:pPr>
            <w:r w:rsidRPr="00A869D1">
              <w:rPr>
                <w:rFonts w:cs="Arial"/>
                <w:bCs/>
                <w:spacing w:val="-2"/>
                <w:w w:val="105"/>
                <w:szCs w:val="18"/>
              </w:rPr>
              <w:t>Place bait stations in areas prone to rodent infestation at intervals of between 15 and 30 m.</w:t>
            </w:r>
          </w:p>
          <w:p w14:paraId="74655692" w14:textId="77777777" w:rsidR="008E67EA" w:rsidRPr="00A869D1" w:rsidRDefault="008E67EA" w:rsidP="00B44A74">
            <w:pPr>
              <w:spacing w:after="120" w:line="240" w:lineRule="exact"/>
              <w:rPr>
                <w:rFonts w:cs="Arial"/>
                <w:bCs/>
                <w:spacing w:val="-2"/>
                <w:w w:val="105"/>
                <w:szCs w:val="18"/>
              </w:rPr>
            </w:pPr>
            <w:r w:rsidRPr="00A869D1">
              <w:rPr>
                <w:rFonts w:cs="Arial"/>
                <w:bCs/>
                <w:spacing w:val="-2"/>
                <w:w w:val="105"/>
                <w:szCs w:val="18"/>
              </w:rPr>
              <w:t>See also baiting strategy for monitoring and/or maintenance treatments.</w:t>
            </w:r>
          </w:p>
        </w:tc>
      </w:tr>
      <w:tr w:rsidR="008E67EA" w:rsidRPr="00C118CC" w14:paraId="426915FA" w14:textId="77777777" w:rsidTr="002C5418">
        <w:trPr>
          <w:trHeight w:val="1020"/>
        </w:trPr>
        <w:tc>
          <w:tcPr>
            <w:tcW w:w="1531" w:type="pct"/>
          </w:tcPr>
          <w:p w14:paraId="03307419" w14:textId="77777777" w:rsidR="008E67EA" w:rsidRPr="00582001" w:rsidRDefault="008E67EA" w:rsidP="00B44A74">
            <w:pPr>
              <w:spacing w:line="240" w:lineRule="exact"/>
              <w:rPr>
                <w:rFonts w:cs="Arial"/>
                <w:b/>
                <w:spacing w:val="-2"/>
                <w:w w:val="105"/>
                <w:szCs w:val="18"/>
              </w:rPr>
            </w:pPr>
            <w:r w:rsidRPr="00582001">
              <w:rPr>
                <w:rFonts w:cs="Arial"/>
                <w:b/>
                <w:spacing w:val="-2"/>
                <w:w w:val="105"/>
                <w:szCs w:val="18"/>
              </w:rPr>
              <w:t xml:space="preserve">Monitoring and/or Maintenance Treatments </w:t>
            </w:r>
          </w:p>
          <w:p w14:paraId="74E296DB" w14:textId="77777777" w:rsidR="008E67EA" w:rsidRPr="00582001" w:rsidRDefault="008E67EA" w:rsidP="00B44A74">
            <w:pPr>
              <w:spacing w:line="240" w:lineRule="exact"/>
              <w:rPr>
                <w:rFonts w:cs="Arial"/>
                <w:bCs/>
                <w:spacing w:val="-2"/>
                <w:w w:val="105"/>
                <w:szCs w:val="18"/>
              </w:rPr>
            </w:pPr>
            <w:r w:rsidRPr="00582001">
              <w:rPr>
                <w:rFonts w:cs="Arial"/>
                <w:bCs/>
                <w:spacing w:val="-2"/>
                <w:w w:val="105"/>
                <w:szCs w:val="18"/>
              </w:rPr>
              <w:t xml:space="preserve">In </w:t>
            </w:r>
            <w:r w:rsidRPr="00A869D1">
              <w:rPr>
                <w:rFonts w:cs="Arial"/>
                <w:szCs w:val="18"/>
              </w:rPr>
              <w:t>agricultural, commercial, domestic, industrial and public service buildings</w:t>
            </w:r>
          </w:p>
        </w:tc>
        <w:tc>
          <w:tcPr>
            <w:tcW w:w="870" w:type="pct"/>
          </w:tcPr>
          <w:p w14:paraId="33C23D1B" w14:textId="77777777" w:rsidR="008E67EA" w:rsidRPr="00867EDB" w:rsidRDefault="008E67EA" w:rsidP="00B44A74">
            <w:pPr>
              <w:spacing w:line="240" w:lineRule="exact"/>
              <w:rPr>
                <w:rFonts w:cs="Arial"/>
                <w:bCs/>
                <w:spacing w:val="-2"/>
                <w:w w:val="105"/>
                <w:szCs w:val="18"/>
              </w:rPr>
            </w:pPr>
            <w:r w:rsidRPr="00867EDB">
              <w:rPr>
                <w:rFonts w:cs="Arial"/>
                <w:bCs/>
                <w:spacing w:val="-2"/>
                <w:w w:val="105"/>
                <w:szCs w:val="18"/>
              </w:rPr>
              <w:t>Mice</w:t>
            </w:r>
          </w:p>
          <w:p w14:paraId="3DAF14CB" w14:textId="77777777" w:rsidR="008E67EA" w:rsidRPr="002F6425" w:rsidRDefault="008E67EA" w:rsidP="00B44A74">
            <w:pPr>
              <w:spacing w:line="240" w:lineRule="exact"/>
              <w:rPr>
                <w:rFonts w:cs="Arial"/>
                <w:bCs/>
                <w:i/>
                <w:iCs/>
                <w:spacing w:val="-2"/>
                <w:w w:val="105"/>
                <w:szCs w:val="18"/>
              </w:rPr>
            </w:pPr>
            <w:r w:rsidRPr="002F6425">
              <w:rPr>
                <w:rFonts w:cs="Arial"/>
                <w:bCs/>
                <w:i/>
                <w:iCs/>
                <w:spacing w:val="-2"/>
                <w:w w:val="105"/>
                <w:szCs w:val="18"/>
              </w:rPr>
              <w:t>(Mus domesticus)</w:t>
            </w:r>
          </w:p>
          <w:p w14:paraId="00BD7D60" w14:textId="77777777" w:rsidR="008E67EA" w:rsidRPr="00867EDB" w:rsidRDefault="008E67EA" w:rsidP="00B44A74">
            <w:pPr>
              <w:spacing w:line="240" w:lineRule="exact"/>
              <w:rPr>
                <w:rFonts w:cs="Arial"/>
                <w:bCs/>
                <w:spacing w:val="-2"/>
                <w:w w:val="105"/>
                <w:szCs w:val="18"/>
              </w:rPr>
            </w:pPr>
          </w:p>
        </w:tc>
        <w:tc>
          <w:tcPr>
            <w:tcW w:w="700" w:type="pct"/>
            <w:vMerge/>
          </w:tcPr>
          <w:p w14:paraId="007F8640" w14:textId="77777777" w:rsidR="008E67EA" w:rsidRPr="00867EDB" w:rsidRDefault="008E67EA" w:rsidP="00B44A74">
            <w:pPr>
              <w:spacing w:line="240" w:lineRule="exact"/>
              <w:rPr>
                <w:rFonts w:cs="Arial"/>
                <w:bCs/>
                <w:spacing w:val="-2"/>
                <w:w w:val="105"/>
                <w:szCs w:val="18"/>
              </w:rPr>
            </w:pPr>
          </w:p>
        </w:tc>
        <w:tc>
          <w:tcPr>
            <w:tcW w:w="1899" w:type="pct"/>
            <w:vMerge/>
          </w:tcPr>
          <w:p w14:paraId="374DE579" w14:textId="77777777" w:rsidR="008E67EA" w:rsidRPr="00867EDB" w:rsidRDefault="008E67EA" w:rsidP="00B44A74">
            <w:pPr>
              <w:spacing w:line="240" w:lineRule="exact"/>
              <w:rPr>
                <w:rFonts w:cs="Arial"/>
                <w:bCs/>
                <w:spacing w:val="-2"/>
                <w:w w:val="105"/>
                <w:szCs w:val="18"/>
              </w:rPr>
            </w:pPr>
          </w:p>
        </w:tc>
      </w:tr>
    </w:tbl>
    <w:p w14:paraId="547D0032" w14:textId="77777777" w:rsidR="008E67EA" w:rsidRPr="00992A39" w:rsidRDefault="008E67EA" w:rsidP="008E67EA">
      <w:pPr>
        <w:rPr>
          <w:rFonts w:cs="Arial"/>
          <w:sz w:val="20"/>
          <w:szCs w:val="20"/>
        </w:rPr>
      </w:pPr>
    </w:p>
    <w:p w14:paraId="5A7D58FA" w14:textId="77777777" w:rsidR="008E67EA" w:rsidRPr="00DC2C8B" w:rsidRDefault="008E67EA" w:rsidP="008E67EA">
      <w:pPr>
        <w:spacing w:line="280" w:lineRule="exact"/>
        <w:rPr>
          <w:rFonts w:cs="Arial"/>
          <w:b/>
          <w:bCs/>
          <w:color w:val="000000" w:themeColor="text1"/>
          <w:sz w:val="20"/>
          <w:szCs w:val="20"/>
        </w:rPr>
      </w:pPr>
      <w:r w:rsidRPr="00DC2C8B">
        <w:rPr>
          <w:rFonts w:cs="Arial"/>
          <w:b/>
          <w:bCs/>
          <w:color w:val="000000" w:themeColor="text1"/>
          <w:sz w:val="20"/>
          <w:szCs w:val="20"/>
        </w:rPr>
        <w:t>Baiting Strategy</w:t>
      </w:r>
    </w:p>
    <w:p w14:paraId="15CB4E5B" w14:textId="77777777" w:rsidR="008E67EA" w:rsidRPr="00DC2C8B"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DC2C8B">
        <w:rPr>
          <w:rFonts w:eastAsia="Calibri" w:cs="Arial"/>
          <w:sz w:val="20"/>
          <w:szCs w:val="20"/>
          <w:bdr w:val="none" w:sz="0" w:space="0" w:color="auto" w:frame="1"/>
          <w:lang w:val="en-GB" w:eastAsia="en-AU"/>
        </w:rPr>
        <w:t>Eliminate all alternative food sources as far as practical.</w:t>
      </w:r>
    </w:p>
    <w:p w14:paraId="3389C33D" w14:textId="77777777" w:rsidR="008E67EA" w:rsidRPr="00DC2C8B" w:rsidRDefault="008E67EA" w:rsidP="008E67EA">
      <w:pPr>
        <w:spacing w:line="280" w:lineRule="exact"/>
        <w:rPr>
          <w:rFonts w:cs="Arial"/>
          <w:b/>
          <w:bCs/>
          <w:i/>
          <w:iCs/>
          <w:color w:val="000000" w:themeColor="text1"/>
          <w:sz w:val="20"/>
          <w:szCs w:val="20"/>
        </w:rPr>
      </w:pPr>
      <w:r w:rsidRPr="00DC2C8B">
        <w:rPr>
          <w:rFonts w:cs="Arial"/>
          <w:b/>
          <w:bCs/>
          <w:i/>
          <w:iCs/>
          <w:color w:val="000000" w:themeColor="text1"/>
          <w:sz w:val="20"/>
          <w:szCs w:val="20"/>
        </w:rPr>
        <w:t>Clean</w:t>
      </w:r>
      <w:r>
        <w:rPr>
          <w:rFonts w:cs="Arial"/>
          <w:b/>
          <w:bCs/>
          <w:i/>
          <w:iCs/>
          <w:color w:val="000000" w:themeColor="text1"/>
          <w:sz w:val="20"/>
          <w:szCs w:val="20"/>
        </w:rPr>
        <w:t xml:space="preserve"> </w:t>
      </w:r>
      <w:r w:rsidRPr="00DC2C8B">
        <w:rPr>
          <w:rFonts w:cs="Arial"/>
          <w:b/>
          <w:bCs/>
          <w:i/>
          <w:iCs/>
          <w:color w:val="000000" w:themeColor="text1"/>
          <w:sz w:val="20"/>
          <w:szCs w:val="20"/>
        </w:rPr>
        <w:t xml:space="preserve">Out Treatments (Pulse Baiting) </w:t>
      </w:r>
    </w:p>
    <w:p w14:paraId="4713CE41" w14:textId="77777777" w:rsidR="008E67EA" w:rsidRPr="00A869D1"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A869D1">
        <w:rPr>
          <w:rFonts w:eastAsia="Calibri" w:cs="Arial"/>
          <w:sz w:val="20"/>
          <w:szCs w:val="20"/>
          <w:bdr w:val="none" w:sz="0" w:space="0" w:color="auto" w:frame="1"/>
          <w:lang w:val="en-GB" w:eastAsia="en-AU"/>
        </w:rPr>
        <w:t>Clean out treatments are used to remove existing infestations of rats and mice</w:t>
      </w:r>
    </w:p>
    <w:p w14:paraId="5DDC7E4F" w14:textId="77777777" w:rsidR="008E67EA" w:rsidRPr="00A869D1"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A869D1">
        <w:rPr>
          <w:rFonts w:eastAsia="Calibri" w:cs="Arial"/>
          <w:sz w:val="20"/>
          <w:szCs w:val="20"/>
          <w:bdr w:val="none" w:sz="0" w:space="0" w:color="auto" w:frame="1"/>
          <w:lang w:val="en-GB" w:eastAsia="en-AU"/>
        </w:rPr>
        <w:t>Survey site prior to treatment, including assessment of the extent of infestation and identification of any indications of the presence of non-target animals.</w:t>
      </w:r>
    </w:p>
    <w:p w14:paraId="6EE68FB6" w14:textId="77777777" w:rsidR="008E67EA" w:rsidRPr="00A869D1"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A869D1">
        <w:rPr>
          <w:rFonts w:eastAsia="Calibri" w:cs="Arial"/>
          <w:sz w:val="20"/>
          <w:szCs w:val="20"/>
          <w:bdr w:val="none" w:sz="0" w:space="0" w:color="auto" w:frame="1"/>
          <w:lang w:val="en-GB" w:eastAsia="en-AU"/>
        </w:rPr>
        <w:t xml:space="preserve">Place baits so as to prevent access to non-target animals. Always use </w:t>
      </w:r>
      <w:r w:rsidRPr="00A869D1">
        <w:rPr>
          <w:rFonts w:cs="Arial"/>
          <w:sz w:val="20"/>
          <w:szCs w:val="20"/>
          <w:bdr w:val="none" w:sz="0" w:space="0" w:color="auto" w:frame="1"/>
          <w:lang w:val="en-GB" w:eastAsia="en-AU"/>
        </w:rPr>
        <w:t>tamper-resistant bait stations that are secured in place.</w:t>
      </w:r>
    </w:p>
    <w:p w14:paraId="1E24325B" w14:textId="77777777" w:rsidR="008E67EA" w:rsidRPr="00A869D1"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A869D1">
        <w:rPr>
          <w:rFonts w:eastAsia="Calibri" w:cs="Arial"/>
          <w:sz w:val="20"/>
          <w:szCs w:val="20"/>
          <w:bdr w:val="none" w:sz="0" w:space="0" w:color="auto" w:frame="1"/>
          <w:lang w:val="en-GB" w:eastAsia="en-AU"/>
        </w:rPr>
        <w:t>Record the number and locations of bait stations for the purpose of inspection, replacement and later removal.</w:t>
      </w:r>
    </w:p>
    <w:p w14:paraId="6DAC7CA3" w14:textId="77777777" w:rsidR="008E67EA" w:rsidRPr="00A869D1"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A869D1">
        <w:rPr>
          <w:rFonts w:eastAsia="Calibri" w:cs="Arial"/>
          <w:sz w:val="20"/>
          <w:szCs w:val="20"/>
          <w:bdr w:val="none" w:sz="0" w:space="0" w:color="auto" w:frame="1"/>
          <w:lang w:val="en-GB" w:eastAsia="en-AU"/>
        </w:rPr>
        <w:t xml:space="preserve">Conduct initial inspection of </w:t>
      </w:r>
      <w:r>
        <w:rPr>
          <w:rFonts w:eastAsia="Calibri" w:cs="Arial"/>
          <w:sz w:val="20"/>
          <w:szCs w:val="20"/>
          <w:bdr w:val="none" w:sz="0" w:space="0" w:color="auto" w:frame="1"/>
          <w:lang w:val="en-GB" w:eastAsia="en-AU"/>
        </w:rPr>
        <w:t xml:space="preserve">bait stations </w:t>
      </w:r>
      <w:r w:rsidRPr="00A869D1">
        <w:rPr>
          <w:rFonts w:eastAsia="Calibri" w:cs="Arial"/>
          <w:sz w:val="20"/>
          <w:szCs w:val="20"/>
          <w:bdr w:val="none" w:sz="0" w:space="0" w:color="auto" w:frame="1"/>
          <w:lang w:val="en-GB" w:eastAsia="en-AU"/>
        </w:rPr>
        <w:t xml:space="preserve">after 3 or 4 days. Replace or refill bait stations where the pellets have been consumed. Repeat approximately 4 days later and then weekly. Replace contaminated or spoiled pellets. </w:t>
      </w:r>
    </w:p>
    <w:p w14:paraId="0D36602B" w14:textId="77777777" w:rsidR="008E67EA" w:rsidRPr="00A869D1"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A869D1">
        <w:rPr>
          <w:rFonts w:eastAsia="Calibri" w:cs="Arial"/>
          <w:sz w:val="20"/>
          <w:szCs w:val="20"/>
          <w:bdr w:val="none" w:sz="0" w:space="0" w:color="auto" w:frame="1"/>
          <w:lang w:val="en-GB" w:eastAsia="en-AU"/>
        </w:rPr>
        <w:t xml:space="preserve">Baiting for at least 2 weeks (3 to 4 pulses) will be necessary to reduce rat/mouse numbers to a low level. Although heavy infestations may require longer treatments to achieve complete eradication. </w:t>
      </w:r>
    </w:p>
    <w:p w14:paraId="7A141B46" w14:textId="77777777" w:rsidR="008E67EA" w:rsidRPr="00A869D1"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A869D1">
        <w:rPr>
          <w:rFonts w:eastAsia="Calibri" w:cs="Arial"/>
          <w:sz w:val="20"/>
          <w:szCs w:val="20"/>
          <w:bdr w:val="none" w:sz="0" w:space="0" w:color="auto" w:frame="1"/>
          <w:lang w:val="en-GB" w:eastAsia="en-AU"/>
        </w:rPr>
        <w:t>Discontinue the treatment when effective control has been achieved and remove all bait stations unless a maintenance treatment is to be undertaken.</w:t>
      </w:r>
    </w:p>
    <w:p w14:paraId="70673B79" w14:textId="77777777" w:rsidR="008E67EA" w:rsidRPr="00A869D1"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A869D1">
        <w:rPr>
          <w:rFonts w:eastAsia="Calibri" w:cs="Arial"/>
          <w:sz w:val="20"/>
          <w:szCs w:val="20"/>
          <w:bdr w:val="none" w:sz="0" w:space="0" w:color="auto" w:frame="1"/>
          <w:lang w:val="en-GB" w:eastAsia="en-AU"/>
        </w:rPr>
        <w:t>DO NOT use the product beyond 35 days without an evaluation of the state of the infestation and of the efficacy of the treatment.</w:t>
      </w:r>
    </w:p>
    <w:p w14:paraId="4361724A" w14:textId="77777777" w:rsidR="008E67EA" w:rsidRPr="00A869D1"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A869D1">
        <w:rPr>
          <w:rFonts w:eastAsia="Calibri" w:cs="Arial"/>
          <w:sz w:val="20"/>
          <w:szCs w:val="20"/>
          <w:bdr w:val="none" w:sz="0" w:space="0" w:color="auto" w:frame="1"/>
          <w:lang w:val="en-GB" w:eastAsia="en-AU"/>
        </w:rPr>
        <w:lastRenderedPageBreak/>
        <w:t>Remove all uneaten bait at the end of treatment.</w:t>
      </w:r>
    </w:p>
    <w:p w14:paraId="0C6A58ED" w14:textId="77777777" w:rsidR="008E67EA" w:rsidRPr="00A869D1" w:rsidRDefault="008E67EA" w:rsidP="008E67EA">
      <w:pPr>
        <w:spacing w:line="280" w:lineRule="exact"/>
        <w:rPr>
          <w:rFonts w:cs="Arial"/>
          <w:b/>
          <w:bCs/>
          <w:i/>
          <w:iCs/>
          <w:color w:val="000000" w:themeColor="text1"/>
          <w:sz w:val="20"/>
          <w:szCs w:val="20"/>
        </w:rPr>
      </w:pPr>
      <w:r w:rsidRPr="00A869D1">
        <w:rPr>
          <w:rFonts w:cs="Arial"/>
          <w:b/>
          <w:bCs/>
          <w:i/>
          <w:iCs/>
          <w:color w:val="000000" w:themeColor="text1"/>
          <w:sz w:val="20"/>
          <w:szCs w:val="20"/>
        </w:rPr>
        <w:t xml:space="preserve">Monitoring and/or Maintenance Treatments </w:t>
      </w:r>
    </w:p>
    <w:p w14:paraId="66E23FFB" w14:textId="77777777" w:rsidR="008E67EA" w:rsidRPr="00A869D1"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A869D1">
        <w:rPr>
          <w:rFonts w:eastAsia="Calibri" w:cs="Arial"/>
          <w:sz w:val="20"/>
          <w:szCs w:val="20"/>
          <w:bdr w:val="none" w:sz="0" w:space="0" w:color="auto" w:frame="1"/>
          <w:lang w:val="en-GB" w:eastAsia="en-AU"/>
        </w:rPr>
        <w:t>Monitoring and maintenance treatments are required at sensitive sites where there is no current rodent infestation but where the prevention of such infestation is essential to prevent significant risks to human health. Such treatments may be a condition for audit approval within food safety guidelines. However, use of this product must comply with the conditions of this label.</w:t>
      </w:r>
    </w:p>
    <w:p w14:paraId="10BD6FC1" w14:textId="77777777" w:rsidR="008E67EA" w:rsidRPr="00A869D1"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A869D1">
        <w:rPr>
          <w:rFonts w:eastAsia="Calibri" w:cs="Arial"/>
          <w:sz w:val="20"/>
          <w:szCs w:val="20"/>
          <w:bdr w:val="none" w:sz="0" w:space="0" w:color="auto" w:frame="1"/>
          <w:lang w:val="en-GB" w:eastAsia="en-AU"/>
        </w:rPr>
        <w:t xml:space="preserve">Always use </w:t>
      </w:r>
      <w:r w:rsidRPr="00A869D1">
        <w:rPr>
          <w:rFonts w:cs="Arial"/>
          <w:sz w:val="20"/>
          <w:szCs w:val="20"/>
          <w:bdr w:val="none" w:sz="0" w:space="0" w:color="auto" w:frame="1"/>
          <w:lang w:val="en-GB" w:eastAsia="en-AU"/>
        </w:rPr>
        <w:t xml:space="preserve">tamper-resistant bait stations for monitoring and maintenance treatments and fix the stations securely to the substrate. </w:t>
      </w:r>
    </w:p>
    <w:p w14:paraId="4E750459" w14:textId="77777777" w:rsidR="008E67EA" w:rsidRPr="00A869D1"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A869D1">
        <w:rPr>
          <w:rFonts w:eastAsia="Calibri" w:cs="Arial"/>
          <w:sz w:val="20"/>
          <w:szCs w:val="20"/>
          <w:bdr w:val="none" w:sz="0" w:space="0" w:color="auto" w:frame="1"/>
          <w:lang w:val="en-GB" w:eastAsia="en-AU"/>
        </w:rPr>
        <w:t>Place bait stations so as to prevent access to non-target animals.</w:t>
      </w:r>
    </w:p>
    <w:p w14:paraId="7A349DE0" w14:textId="77777777" w:rsidR="008E67EA" w:rsidRPr="00A869D1"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A869D1">
        <w:rPr>
          <w:rFonts w:eastAsia="Calibri" w:cs="Arial"/>
          <w:sz w:val="20"/>
          <w:szCs w:val="20"/>
          <w:bdr w:val="none" w:sz="0" w:space="0" w:color="auto" w:frame="1"/>
          <w:lang w:val="en-GB" w:eastAsia="en-AU"/>
        </w:rPr>
        <w:t>Use placebo or unpoisoned bait if the placement of the bait presents a hazard to non-target animals.</w:t>
      </w:r>
    </w:p>
    <w:p w14:paraId="4F998885" w14:textId="77777777" w:rsidR="008E67EA" w:rsidRPr="00A869D1"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A869D1">
        <w:rPr>
          <w:rFonts w:eastAsia="Calibri" w:cs="Arial"/>
          <w:sz w:val="20"/>
          <w:szCs w:val="20"/>
          <w:bdr w:val="none" w:sz="0" w:space="0" w:color="auto" w:frame="1"/>
          <w:lang w:val="en-GB" w:eastAsia="en-AU"/>
        </w:rPr>
        <w:t>Always record the number and locations of bait stations for the purpose of bait replacement and later removal.</w:t>
      </w:r>
    </w:p>
    <w:p w14:paraId="501730C1" w14:textId="77777777" w:rsidR="008E67EA" w:rsidRPr="00A869D1"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A869D1">
        <w:rPr>
          <w:rFonts w:eastAsia="Calibri" w:cs="Arial"/>
          <w:sz w:val="20"/>
          <w:szCs w:val="20"/>
          <w:bdr w:val="none" w:sz="0" w:space="0" w:color="auto" w:frame="1"/>
          <w:lang w:val="en-GB" w:eastAsia="en-AU"/>
        </w:rPr>
        <w:t>Bait stations should be inspected at regular intervals no more than 7 days apart according to an agreed and documented schedule.</w:t>
      </w:r>
    </w:p>
    <w:p w14:paraId="24B63F2C" w14:textId="77777777" w:rsidR="008E67EA" w:rsidRPr="00A869D1"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A869D1">
        <w:rPr>
          <w:rFonts w:eastAsia="Calibri" w:cs="Arial"/>
          <w:sz w:val="20"/>
          <w:szCs w:val="20"/>
          <w:bdr w:val="none" w:sz="0" w:space="0" w:color="auto" w:frame="1"/>
          <w:lang w:eastAsia="en-AU"/>
        </w:rPr>
        <w:t>When a rodent infestation is detected revert to the directions for Clean Out Treatments.</w:t>
      </w:r>
    </w:p>
    <w:p w14:paraId="7677D38D" w14:textId="77777777" w:rsidR="002C5418" w:rsidRDefault="008E67EA" w:rsidP="002C5418">
      <w:pPr>
        <w:spacing w:line="280" w:lineRule="exact"/>
        <w:rPr>
          <w:rFonts w:cs="Arial"/>
          <w:b/>
          <w:bCs/>
          <w:color w:val="000000" w:themeColor="text1"/>
          <w:sz w:val="20"/>
          <w:szCs w:val="20"/>
        </w:rPr>
        <w:sectPr w:rsidR="002C5418" w:rsidSect="00CB73E0">
          <w:pgSz w:w="11906" w:h="16838"/>
          <w:pgMar w:top="1440" w:right="1134" w:bottom="1440" w:left="1134" w:header="794" w:footer="737" w:gutter="0"/>
          <w:cols w:space="708"/>
          <w:docGrid w:linePitch="360"/>
        </w:sectPr>
      </w:pPr>
      <w:r w:rsidRPr="00DC2C8B">
        <w:rPr>
          <w:rFonts w:cs="Arial"/>
          <w:b/>
          <w:bCs/>
          <w:color w:val="000000" w:themeColor="text1"/>
          <w:sz w:val="20"/>
          <w:szCs w:val="20"/>
        </w:rPr>
        <w:t>NOT TO BE USED FOR ANY PURPOSE, OR IN ANY MANNER, CONTRARY TO THIS LABEL UNLESS AUTHORISED UNDER APPROPRIATE LEGISLATION</w:t>
      </w:r>
    </w:p>
    <w:p w14:paraId="3093014A" w14:textId="77777777" w:rsidR="008E67EA"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lastRenderedPageBreak/>
        <w:t xml:space="preserve">Template Label </w:t>
      </w:r>
      <w:r>
        <w:rPr>
          <w:rFonts w:cs="Arial"/>
          <w:b/>
          <w:bCs/>
          <w:sz w:val="20"/>
          <w:szCs w:val="20"/>
          <w:bdr w:val="none" w:sz="0" w:space="0" w:color="auto" w:frame="1"/>
          <w:lang w:val="en-GB" w:eastAsia="en-AU"/>
        </w:rPr>
        <w:t>3b</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552527" w14:paraId="3610FBF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2A53D64" w14:textId="77777777" w:rsidR="008E67EA" w:rsidRPr="00552527" w:rsidRDefault="008E67EA" w:rsidP="00B44A74">
            <w:pPr>
              <w:spacing w:line="280" w:lineRule="exact"/>
              <w:rPr>
                <w:rFonts w:cs="Arial"/>
                <w:sz w:val="20"/>
                <w:szCs w:val="20"/>
              </w:rPr>
            </w:pPr>
            <w:r w:rsidRPr="00552527">
              <w:rPr>
                <w:rFonts w:cs="Arial"/>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6830E012" w14:textId="77777777" w:rsidR="008E67EA" w:rsidRPr="00552527" w:rsidRDefault="008E67EA" w:rsidP="00B44A74">
            <w:pPr>
              <w:spacing w:line="280" w:lineRule="exact"/>
              <w:rPr>
                <w:rFonts w:cs="Arial"/>
                <w:sz w:val="20"/>
                <w:szCs w:val="20"/>
              </w:rPr>
            </w:pPr>
            <w:r w:rsidRPr="00552527">
              <w:rPr>
                <w:rFonts w:cs="Arial"/>
                <w:sz w:val="20"/>
                <w:szCs w:val="20"/>
              </w:rPr>
              <w:t>[INSERT LABEL NAME]</w:t>
            </w:r>
          </w:p>
        </w:tc>
      </w:tr>
      <w:tr w:rsidR="008E67EA" w:rsidRPr="00552527" w14:paraId="2B21CBAC" w14:textId="77777777" w:rsidTr="00B44A74">
        <w:trPr>
          <w:jc w:val="center"/>
        </w:trPr>
        <w:tc>
          <w:tcPr>
            <w:tcW w:w="2415" w:type="dxa"/>
            <w:tcBorders>
              <w:top w:val="single" w:sz="4" w:space="0" w:color="auto"/>
              <w:left w:val="nil"/>
              <w:bottom w:val="single" w:sz="4" w:space="0" w:color="auto"/>
              <w:right w:val="nil"/>
            </w:tcBorders>
          </w:tcPr>
          <w:p w14:paraId="449EFC03" w14:textId="77777777" w:rsidR="008E67EA" w:rsidRPr="0055252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236CB4B" w14:textId="77777777" w:rsidR="008E67EA" w:rsidRPr="00552527" w:rsidRDefault="008E67EA" w:rsidP="00B44A74">
            <w:pPr>
              <w:spacing w:line="280" w:lineRule="exact"/>
              <w:rPr>
                <w:rFonts w:cs="Arial"/>
                <w:sz w:val="20"/>
                <w:szCs w:val="20"/>
              </w:rPr>
            </w:pPr>
          </w:p>
        </w:tc>
      </w:tr>
      <w:tr w:rsidR="008E67EA" w:rsidRPr="00552527" w14:paraId="6E57DB3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A8F4DA4" w14:textId="77777777" w:rsidR="008E67EA" w:rsidRPr="00552527" w:rsidRDefault="008E67EA" w:rsidP="00B44A74">
            <w:pPr>
              <w:spacing w:line="280" w:lineRule="exact"/>
              <w:rPr>
                <w:rFonts w:cs="Arial"/>
                <w:sz w:val="20"/>
                <w:szCs w:val="20"/>
              </w:rPr>
            </w:pPr>
            <w:r w:rsidRPr="00552527">
              <w:rPr>
                <w:rFonts w:cs="Arial"/>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76A26358" w14:textId="77777777" w:rsidR="008E67EA" w:rsidRPr="009319C1" w:rsidRDefault="008E67EA" w:rsidP="00B44A74">
            <w:pPr>
              <w:spacing w:line="280" w:lineRule="exact"/>
              <w:rPr>
                <w:rFonts w:cs="Arial"/>
                <w:sz w:val="20"/>
                <w:szCs w:val="20"/>
              </w:rPr>
            </w:pPr>
            <w:r w:rsidRPr="009319C1">
              <w:rPr>
                <w:rFonts w:cs="Arial"/>
                <w:sz w:val="20"/>
                <w:szCs w:val="20"/>
              </w:rPr>
              <w:t>POISON</w:t>
            </w:r>
          </w:p>
          <w:p w14:paraId="4ECA0DD8" w14:textId="77777777" w:rsidR="008E67EA" w:rsidRPr="00552527" w:rsidRDefault="008E67EA" w:rsidP="00B44A74">
            <w:pPr>
              <w:spacing w:line="280" w:lineRule="exact"/>
              <w:rPr>
                <w:rFonts w:cs="Arial"/>
                <w:sz w:val="20"/>
                <w:szCs w:val="20"/>
              </w:rPr>
            </w:pPr>
            <w:r w:rsidRPr="00552527">
              <w:rPr>
                <w:rFonts w:cs="Arial"/>
                <w:sz w:val="20"/>
                <w:szCs w:val="20"/>
              </w:rPr>
              <w:t>KEEP OUT OF REACH OF CHILDREN</w:t>
            </w:r>
          </w:p>
          <w:p w14:paraId="38820072" w14:textId="77777777" w:rsidR="008E67EA" w:rsidRPr="00552527" w:rsidRDefault="008E67EA" w:rsidP="00B44A74">
            <w:pPr>
              <w:spacing w:line="280" w:lineRule="exact"/>
              <w:rPr>
                <w:rFonts w:cs="Arial"/>
                <w:sz w:val="20"/>
                <w:szCs w:val="20"/>
              </w:rPr>
            </w:pPr>
            <w:r w:rsidRPr="00552527">
              <w:rPr>
                <w:rFonts w:cs="Arial"/>
                <w:sz w:val="20"/>
                <w:szCs w:val="20"/>
              </w:rPr>
              <w:t>READ SAFETY DIRECTIONS BEFORE OPENING OR USING</w:t>
            </w:r>
          </w:p>
        </w:tc>
      </w:tr>
      <w:tr w:rsidR="008E67EA" w:rsidRPr="00552527" w14:paraId="7ECDE999" w14:textId="77777777" w:rsidTr="00B44A74">
        <w:trPr>
          <w:jc w:val="center"/>
        </w:trPr>
        <w:tc>
          <w:tcPr>
            <w:tcW w:w="2415" w:type="dxa"/>
            <w:tcBorders>
              <w:top w:val="single" w:sz="4" w:space="0" w:color="auto"/>
              <w:left w:val="nil"/>
              <w:bottom w:val="single" w:sz="4" w:space="0" w:color="auto"/>
              <w:right w:val="nil"/>
            </w:tcBorders>
          </w:tcPr>
          <w:p w14:paraId="3B82E4D1" w14:textId="77777777" w:rsidR="008E67EA" w:rsidRPr="0055252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790F32E" w14:textId="77777777" w:rsidR="008E67EA" w:rsidRPr="00552527" w:rsidRDefault="008E67EA" w:rsidP="00B44A74">
            <w:pPr>
              <w:spacing w:line="280" w:lineRule="exact"/>
              <w:rPr>
                <w:rFonts w:cs="Arial"/>
                <w:sz w:val="20"/>
                <w:szCs w:val="20"/>
              </w:rPr>
            </w:pPr>
          </w:p>
        </w:tc>
      </w:tr>
      <w:tr w:rsidR="008E67EA" w:rsidRPr="00552527" w14:paraId="2592839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C879422" w14:textId="77777777" w:rsidR="008E67EA" w:rsidRPr="00552527" w:rsidRDefault="008E67EA" w:rsidP="00B44A74">
            <w:pPr>
              <w:spacing w:line="280" w:lineRule="exact"/>
              <w:rPr>
                <w:rFonts w:cs="Arial"/>
                <w:sz w:val="20"/>
                <w:szCs w:val="20"/>
              </w:rPr>
            </w:pPr>
            <w:r w:rsidRPr="00552527">
              <w:rPr>
                <w:rFonts w:cs="Arial"/>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384AB870" w14:textId="77777777" w:rsidR="008E67EA" w:rsidRPr="00552527" w:rsidRDefault="008E67EA" w:rsidP="00B44A74">
            <w:pPr>
              <w:spacing w:line="280" w:lineRule="exact"/>
              <w:rPr>
                <w:rFonts w:cs="Arial"/>
                <w:sz w:val="20"/>
                <w:szCs w:val="20"/>
              </w:rPr>
            </w:pPr>
            <w:r w:rsidRPr="00552527">
              <w:rPr>
                <w:rFonts w:cs="Arial"/>
                <w:sz w:val="20"/>
                <w:szCs w:val="20"/>
              </w:rPr>
              <w:t>ACTIVE CONSTITUENT: 0.05 g/kg BRODIFACOUM</w:t>
            </w:r>
          </w:p>
        </w:tc>
      </w:tr>
      <w:tr w:rsidR="008E67EA" w:rsidRPr="00552527" w14:paraId="621A00C5" w14:textId="77777777" w:rsidTr="00B44A74">
        <w:trPr>
          <w:jc w:val="center"/>
        </w:trPr>
        <w:tc>
          <w:tcPr>
            <w:tcW w:w="2415" w:type="dxa"/>
            <w:tcBorders>
              <w:top w:val="single" w:sz="4" w:space="0" w:color="auto"/>
              <w:left w:val="nil"/>
              <w:bottom w:val="single" w:sz="4" w:space="0" w:color="auto"/>
              <w:right w:val="nil"/>
            </w:tcBorders>
          </w:tcPr>
          <w:p w14:paraId="00CF2F12" w14:textId="77777777" w:rsidR="008E67EA" w:rsidRPr="0055252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74D78A4" w14:textId="77777777" w:rsidR="008E67EA" w:rsidRPr="00552527" w:rsidRDefault="008E67EA" w:rsidP="00B44A74">
            <w:pPr>
              <w:spacing w:line="280" w:lineRule="exact"/>
              <w:rPr>
                <w:rFonts w:cs="Arial"/>
                <w:sz w:val="20"/>
                <w:szCs w:val="20"/>
              </w:rPr>
            </w:pPr>
          </w:p>
        </w:tc>
      </w:tr>
      <w:tr w:rsidR="008E67EA" w:rsidRPr="00552527" w14:paraId="62D7906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A9C7F11" w14:textId="77777777" w:rsidR="008E67EA" w:rsidRPr="00552527" w:rsidRDefault="008E67EA" w:rsidP="00B44A74">
            <w:pPr>
              <w:spacing w:line="280" w:lineRule="exact"/>
              <w:rPr>
                <w:rFonts w:cs="Arial"/>
                <w:sz w:val="20"/>
                <w:szCs w:val="20"/>
              </w:rPr>
            </w:pPr>
            <w:r w:rsidRPr="00552527">
              <w:rPr>
                <w:rFonts w:cs="Arial"/>
                <w:sz w:val="20"/>
                <w:szCs w:val="20"/>
              </w:rPr>
              <w:t>Mode of Action:</w:t>
            </w:r>
          </w:p>
        </w:tc>
        <w:tc>
          <w:tcPr>
            <w:tcW w:w="7755" w:type="dxa"/>
            <w:tcBorders>
              <w:top w:val="single" w:sz="4" w:space="0" w:color="auto"/>
              <w:left w:val="single" w:sz="4" w:space="0" w:color="auto"/>
              <w:bottom w:val="single" w:sz="4" w:space="0" w:color="auto"/>
              <w:right w:val="single" w:sz="4" w:space="0" w:color="auto"/>
            </w:tcBorders>
          </w:tcPr>
          <w:p w14:paraId="00C363C8" w14:textId="77777777" w:rsidR="008E67EA" w:rsidRPr="00552527" w:rsidRDefault="008E67EA" w:rsidP="00B44A74">
            <w:pPr>
              <w:spacing w:line="280" w:lineRule="exact"/>
              <w:jc w:val="both"/>
              <w:rPr>
                <w:rFonts w:cs="Arial"/>
                <w:sz w:val="20"/>
                <w:szCs w:val="20"/>
              </w:rPr>
            </w:pPr>
          </w:p>
        </w:tc>
      </w:tr>
      <w:tr w:rsidR="008E67EA" w:rsidRPr="00552527" w14:paraId="120D74CB" w14:textId="77777777" w:rsidTr="00B44A74">
        <w:trPr>
          <w:jc w:val="center"/>
        </w:trPr>
        <w:tc>
          <w:tcPr>
            <w:tcW w:w="2415" w:type="dxa"/>
            <w:tcBorders>
              <w:top w:val="single" w:sz="4" w:space="0" w:color="auto"/>
              <w:left w:val="nil"/>
              <w:bottom w:val="single" w:sz="4" w:space="0" w:color="auto"/>
              <w:right w:val="nil"/>
            </w:tcBorders>
          </w:tcPr>
          <w:p w14:paraId="02CB815C" w14:textId="77777777" w:rsidR="008E67EA" w:rsidRPr="0055252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42E5F5E" w14:textId="77777777" w:rsidR="008E67EA" w:rsidRPr="00552527" w:rsidRDefault="008E67EA" w:rsidP="00B44A74">
            <w:pPr>
              <w:spacing w:line="280" w:lineRule="exact"/>
              <w:rPr>
                <w:rFonts w:cs="Arial"/>
                <w:sz w:val="20"/>
                <w:szCs w:val="20"/>
              </w:rPr>
            </w:pPr>
          </w:p>
        </w:tc>
      </w:tr>
      <w:tr w:rsidR="008E67EA" w:rsidRPr="00552527" w14:paraId="6265A3D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946397C" w14:textId="77777777" w:rsidR="008E67EA" w:rsidRPr="00552527" w:rsidRDefault="008E67EA" w:rsidP="00B44A74">
            <w:pPr>
              <w:spacing w:line="280" w:lineRule="exact"/>
              <w:rPr>
                <w:rFonts w:cs="Arial"/>
                <w:sz w:val="20"/>
                <w:szCs w:val="20"/>
              </w:rPr>
            </w:pPr>
            <w:r w:rsidRPr="00552527">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06180432" w14:textId="77777777" w:rsidR="008E67EA" w:rsidRPr="00C92346" w:rsidRDefault="008E67EA" w:rsidP="00B44A74">
            <w:pPr>
              <w:spacing w:line="280" w:lineRule="exact"/>
              <w:rPr>
                <w:rFonts w:cs="Arial"/>
                <w:color w:val="000000" w:themeColor="text1"/>
                <w:sz w:val="20"/>
                <w:szCs w:val="20"/>
              </w:rPr>
            </w:pPr>
            <w:r>
              <w:rPr>
                <w:rFonts w:cs="Arial"/>
                <w:color w:val="000000" w:themeColor="text1"/>
                <w:sz w:val="20"/>
                <w:szCs w:val="20"/>
              </w:rPr>
              <w:t>For</w:t>
            </w:r>
            <w:r w:rsidRPr="00C92346">
              <w:rPr>
                <w:rFonts w:cs="Arial"/>
                <w:color w:val="000000" w:themeColor="text1"/>
                <w:sz w:val="20"/>
                <w:szCs w:val="20"/>
              </w:rPr>
              <w:t xml:space="preserve"> control of mice in industrial, commercial, agricultural, and domestic buildings and rats in and around industrial, commercial, agricultural and domestic buildings.</w:t>
            </w:r>
          </w:p>
        </w:tc>
      </w:tr>
      <w:tr w:rsidR="008E67EA" w:rsidRPr="00552527" w14:paraId="12961304" w14:textId="77777777" w:rsidTr="00B44A74">
        <w:trPr>
          <w:jc w:val="center"/>
        </w:trPr>
        <w:tc>
          <w:tcPr>
            <w:tcW w:w="2415" w:type="dxa"/>
            <w:tcBorders>
              <w:top w:val="single" w:sz="4" w:space="0" w:color="auto"/>
              <w:left w:val="nil"/>
              <w:bottom w:val="single" w:sz="4" w:space="0" w:color="auto"/>
              <w:right w:val="nil"/>
            </w:tcBorders>
          </w:tcPr>
          <w:p w14:paraId="704B595A" w14:textId="77777777" w:rsidR="008E67EA" w:rsidRPr="0055252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5AFC144" w14:textId="77777777" w:rsidR="008E67EA" w:rsidRPr="00552527" w:rsidRDefault="008E67EA" w:rsidP="00B44A74">
            <w:pPr>
              <w:spacing w:line="280" w:lineRule="exact"/>
              <w:rPr>
                <w:rFonts w:cs="Arial"/>
                <w:sz w:val="20"/>
                <w:szCs w:val="20"/>
              </w:rPr>
            </w:pPr>
          </w:p>
        </w:tc>
      </w:tr>
      <w:tr w:rsidR="008E67EA" w:rsidRPr="00552527" w14:paraId="15E3C1C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264349B" w14:textId="77777777" w:rsidR="008E67EA" w:rsidRPr="00552527" w:rsidRDefault="008E67EA" w:rsidP="00B44A74">
            <w:pPr>
              <w:spacing w:line="280" w:lineRule="exact"/>
              <w:rPr>
                <w:rFonts w:cs="Arial"/>
                <w:sz w:val="20"/>
                <w:szCs w:val="20"/>
              </w:rPr>
            </w:pPr>
            <w:r w:rsidRPr="00552527">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7942E1F7" w14:textId="77777777" w:rsidR="008E67EA" w:rsidRPr="00552527" w:rsidRDefault="008E67EA" w:rsidP="00B44A74">
            <w:pPr>
              <w:spacing w:line="280" w:lineRule="exact"/>
              <w:rPr>
                <w:rFonts w:cs="Arial"/>
                <w:sz w:val="20"/>
                <w:szCs w:val="20"/>
              </w:rPr>
            </w:pPr>
            <w:r w:rsidRPr="00552527">
              <w:rPr>
                <w:rFonts w:cs="Arial"/>
                <w:sz w:val="20"/>
                <w:szCs w:val="20"/>
              </w:rPr>
              <w:t>[INSERT NET CONTENTS]</w:t>
            </w:r>
          </w:p>
        </w:tc>
      </w:tr>
      <w:tr w:rsidR="008E67EA" w:rsidRPr="00552527" w14:paraId="6C2BFE47" w14:textId="77777777" w:rsidTr="00B44A74">
        <w:trPr>
          <w:jc w:val="center"/>
        </w:trPr>
        <w:tc>
          <w:tcPr>
            <w:tcW w:w="2415" w:type="dxa"/>
            <w:tcBorders>
              <w:top w:val="single" w:sz="4" w:space="0" w:color="auto"/>
              <w:left w:val="nil"/>
              <w:bottom w:val="single" w:sz="4" w:space="0" w:color="auto"/>
              <w:right w:val="nil"/>
            </w:tcBorders>
          </w:tcPr>
          <w:p w14:paraId="5D8D0139" w14:textId="77777777" w:rsidR="008E67EA" w:rsidRPr="0055252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574C812" w14:textId="77777777" w:rsidR="008E67EA" w:rsidRPr="00552527" w:rsidRDefault="008E67EA" w:rsidP="00B44A74">
            <w:pPr>
              <w:spacing w:line="280" w:lineRule="exact"/>
              <w:rPr>
                <w:rFonts w:cs="Arial"/>
                <w:sz w:val="20"/>
                <w:szCs w:val="20"/>
              </w:rPr>
            </w:pPr>
          </w:p>
        </w:tc>
      </w:tr>
      <w:tr w:rsidR="008E67EA" w:rsidRPr="00552527" w14:paraId="43F36AE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EC6DC48" w14:textId="77777777" w:rsidR="008E67EA" w:rsidRPr="00552527" w:rsidRDefault="008E67EA" w:rsidP="00B44A74">
            <w:pPr>
              <w:spacing w:line="280" w:lineRule="exact"/>
              <w:rPr>
                <w:rFonts w:cs="Arial"/>
                <w:sz w:val="20"/>
                <w:szCs w:val="20"/>
              </w:rPr>
            </w:pPr>
            <w:r w:rsidRPr="00552527">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5DFDA4F9" w14:textId="77777777" w:rsidR="008E67EA" w:rsidRPr="00CB5988" w:rsidRDefault="008E67EA" w:rsidP="00B44A74">
            <w:pPr>
              <w:spacing w:line="280" w:lineRule="exact"/>
              <w:rPr>
                <w:rFonts w:cs="Arial"/>
                <w:sz w:val="20"/>
                <w:szCs w:val="20"/>
              </w:rPr>
            </w:pPr>
            <w:r w:rsidRPr="00CB5988">
              <w:rPr>
                <w:rFonts w:cs="Arial"/>
                <w:sz w:val="20"/>
                <w:szCs w:val="20"/>
              </w:rPr>
              <w:t>RESTRAINTS</w:t>
            </w:r>
          </w:p>
          <w:p w14:paraId="66AED72C" w14:textId="77777777" w:rsidR="008E67EA" w:rsidRPr="00CB5988" w:rsidRDefault="008E67EA" w:rsidP="00B44A74">
            <w:pPr>
              <w:spacing w:line="280" w:lineRule="exact"/>
              <w:rPr>
                <w:rFonts w:cs="Arial"/>
                <w:sz w:val="20"/>
                <w:szCs w:val="20"/>
              </w:rPr>
            </w:pPr>
            <w:r w:rsidRPr="00CB5988">
              <w:rPr>
                <w:rFonts w:cs="Arial"/>
                <w:sz w:val="20"/>
                <w:szCs w:val="20"/>
              </w:rPr>
              <w:t>DO NOT use this product unless you have a current qualification in the nationally recognised training course for rodent pest management CPPUPM3006 - Manage pests by applying pesticides, or an equivalent unit of competency.</w:t>
            </w:r>
          </w:p>
          <w:p w14:paraId="5C819058" w14:textId="77777777" w:rsidR="008E67EA" w:rsidRPr="00CB5988" w:rsidRDefault="008E67EA" w:rsidP="00B44A74">
            <w:pPr>
              <w:spacing w:line="280" w:lineRule="exact"/>
              <w:rPr>
                <w:rFonts w:cs="Arial"/>
                <w:sz w:val="20"/>
                <w:szCs w:val="20"/>
              </w:rPr>
            </w:pPr>
            <w:r w:rsidRPr="00CB5988">
              <w:rPr>
                <w:rFonts w:cs="Arial"/>
                <w:sz w:val="20"/>
                <w:szCs w:val="20"/>
              </w:rPr>
              <w:t>DO NOT place baits in areas that are accessible to children. In child-accessible areas baits must be placed in tamper-</w:t>
            </w:r>
            <w:r>
              <w:rPr>
                <w:rFonts w:cs="Arial"/>
                <w:sz w:val="20"/>
                <w:szCs w:val="20"/>
                <w:bdr w:val="none" w:sz="0" w:space="0" w:color="auto" w:frame="1"/>
                <w:lang w:val="en-GB" w:eastAsia="en-AU"/>
              </w:rPr>
              <w:t>resistant</w:t>
            </w:r>
            <w:r w:rsidRPr="00D42DB3">
              <w:rPr>
                <w:rFonts w:cs="Arial"/>
                <w:sz w:val="20"/>
                <w:szCs w:val="20"/>
                <w:bdr w:val="none" w:sz="0" w:space="0" w:color="auto" w:frame="1"/>
                <w:lang w:val="en-GB" w:eastAsia="en-AU"/>
              </w:rPr>
              <w:t xml:space="preserve"> </w:t>
            </w:r>
            <w:r w:rsidRPr="00CB5988">
              <w:rPr>
                <w:rFonts w:cs="Arial"/>
                <w:sz w:val="20"/>
                <w:szCs w:val="20"/>
              </w:rPr>
              <w:t xml:space="preserve">bait stations. If bait can be dislodged from bait station, bait station must be secured in place. </w:t>
            </w:r>
          </w:p>
          <w:p w14:paraId="718B663E" w14:textId="77777777" w:rsidR="008E67EA" w:rsidRPr="00CB5988" w:rsidRDefault="008E67EA" w:rsidP="00B44A74">
            <w:pPr>
              <w:spacing w:line="280" w:lineRule="exact"/>
              <w:rPr>
                <w:rFonts w:cs="Arial"/>
                <w:sz w:val="20"/>
                <w:szCs w:val="20"/>
              </w:rPr>
            </w:pPr>
            <w:r w:rsidRPr="00CB5988">
              <w:rPr>
                <w:rFonts w:cs="Arial"/>
                <w:sz w:val="20"/>
                <w:szCs w:val="20"/>
              </w:rPr>
              <w:t>DO NOT place bait outdoors unless it is in a tamper</w:t>
            </w:r>
            <w:r>
              <w:rPr>
                <w:rFonts w:cs="Arial"/>
                <w:sz w:val="20"/>
                <w:szCs w:val="20"/>
              </w:rPr>
              <w:t>-</w:t>
            </w:r>
            <w:r>
              <w:rPr>
                <w:rFonts w:cs="Arial"/>
                <w:sz w:val="20"/>
                <w:szCs w:val="20"/>
                <w:bdr w:val="none" w:sz="0" w:space="0" w:color="auto" w:frame="1"/>
                <w:lang w:val="en-GB" w:eastAsia="en-AU"/>
              </w:rPr>
              <w:t>resistant</w:t>
            </w:r>
            <w:r w:rsidRPr="00D42DB3">
              <w:rPr>
                <w:rFonts w:cs="Arial"/>
                <w:sz w:val="20"/>
                <w:szCs w:val="20"/>
                <w:bdr w:val="none" w:sz="0" w:space="0" w:color="auto" w:frame="1"/>
                <w:lang w:val="en-GB" w:eastAsia="en-AU"/>
              </w:rPr>
              <w:t xml:space="preserve"> </w:t>
            </w:r>
            <w:r w:rsidRPr="00CB5988">
              <w:rPr>
                <w:rFonts w:cs="Arial"/>
                <w:sz w:val="20"/>
                <w:szCs w:val="20"/>
              </w:rPr>
              <w:t>bait station which is secured in place.</w:t>
            </w:r>
          </w:p>
          <w:p w14:paraId="0BDE5668" w14:textId="77777777" w:rsidR="008E67EA" w:rsidRPr="00CB5988" w:rsidRDefault="008E67EA" w:rsidP="00B44A74">
            <w:pPr>
              <w:spacing w:line="280" w:lineRule="exact"/>
              <w:rPr>
                <w:rFonts w:cs="Arial"/>
                <w:sz w:val="20"/>
                <w:szCs w:val="20"/>
              </w:rPr>
            </w:pPr>
            <w:r w:rsidRPr="00CB5988">
              <w:rPr>
                <w:rFonts w:cs="Arial"/>
                <w:sz w:val="20"/>
                <w:szCs w:val="20"/>
              </w:rPr>
              <w:t>DO NOT place bait stations more than 2 meters from buildings.</w:t>
            </w:r>
          </w:p>
          <w:p w14:paraId="6BA58D40" w14:textId="77777777" w:rsidR="008E67EA" w:rsidRPr="00CB5988" w:rsidRDefault="008E67EA" w:rsidP="00B44A74">
            <w:pPr>
              <w:spacing w:line="280" w:lineRule="exact"/>
              <w:rPr>
                <w:rFonts w:cs="Arial"/>
                <w:sz w:val="20"/>
                <w:szCs w:val="20"/>
              </w:rPr>
            </w:pPr>
            <w:r w:rsidRPr="00CB5988">
              <w:rPr>
                <w:rFonts w:cs="Arial"/>
                <w:sz w:val="20"/>
                <w:szCs w:val="20"/>
              </w:rPr>
              <w:t>DO NOT place bait stations outdoors around buildings for control of mice.</w:t>
            </w:r>
          </w:p>
          <w:p w14:paraId="4928B64D" w14:textId="77777777" w:rsidR="008E67EA" w:rsidRPr="00CB5988" w:rsidRDefault="008E67EA" w:rsidP="00B44A74">
            <w:pPr>
              <w:spacing w:line="280" w:lineRule="exact"/>
              <w:rPr>
                <w:rFonts w:cs="Arial"/>
                <w:sz w:val="20"/>
                <w:szCs w:val="20"/>
              </w:rPr>
            </w:pPr>
            <w:r w:rsidRPr="00CB5988">
              <w:rPr>
                <w:rFonts w:cs="Arial"/>
                <w:sz w:val="20"/>
                <w:szCs w:val="20"/>
              </w:rPr>
              <w:t>DO NOT bait in areas where wildlife may be collected for human consumption.</w:t>
            </w:r>
          </w:p>
          <w:p w14:paraId="39E69119" w14:textId="77777777" w:rsidR="008E67EA" w:rsidRPr="00CB5988" w:rsidRDefault="008E67EA" w:rsidP="00B44A74">
            <w:pPr>
              <w:spacing w:line="280" w:lineRule="exact"/>
              <w:rPr>
                <w:rFonts w:cs="Arial"/>
                <w:sz w:val="20"/>
                <w:szCs w:val="20"/>
              </w:rPr>
            </w:pPr>
            <w:r w:rsidRPr="00CB5988">
              <w:rPr>
                <w:rFonts w:cs="Arial"/>
                <w:sz w:val="20"/>
                <w:szCs w:val="20"/>
              </w:rPr>
              <w:t>DO NOT place baits in and around animal, livestock and poultry houses, associated equipment, and food and feed processing areas.</w:t>
            </w:r>
          </w:p>
          <w:p w14:paraId="5D593FDA" w14:textId="77777777" w:rsidR="008E67EA" w:rsidRPr="00552527" w:rsidRDefault="008E67EA" w:rsidP="00B44A74">
            <w:pPr>
              <w:spacing w:line="280" w:lineRule="exact"/>
              <w:rPr>
                <w:rFonts w:cs="Arial"/>
                <w:sz w:val="20"/>
                <w:szCs w:val="20"/>
              </w:rPr>
            </w:pPr>
            <w:r w:rsidRPr="00CB5988">
              <w:rPr>
                <w:rFonts w:cs="Arial"/>
                <w:sz w:val="20"/>
                <w:szCs w:val="20"/>
              </w:rPr>
              <w:t>DO NOT apply this product directly into burrows.</w:t>
            </w:r>
          </w:p>
        </w:tc>
      </w:tr>
      <w:tr w:rsidR="008E67EA" w:rsidRPr="00552527" w14:paraId="7BF4338D" w14:textId="77777777" w:rsidTr="00B44A74">
        <w:trPr>
          <w:jc w:val="center"/>
        </w:trPr>
        <w:tc>
          <w:tcPr>
            <w:tcW w:w="2415" w:type="dxa"/>
            <w:tcBorders>
              <w:top w:val="single" w:sz="4" w:space="0" w:color="auto"/>
              <w:left w:val="nil"/>
              <w:bottom w:val="single" w:sz="4" w:space="0" w:color="auto"/>
              <w:right w:val="nil"/>
            </w:tcBorders>
          </w:tcPr>
          <w:p w14:paraId="6C582E06" w14:textId="77777777" w:rsidR="008E67EA" w:rsidRPr="0055252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DEA98CA" w14:textId="77777777" w:rsidR="008E67EA" w:rsidRPr="00552527" w:rsidRDefault="008E67EA" w:rsidP="00B44A74">
            <w:pPr>
              <w:spacing w:line="280" w:lineRule="exact"/>
              <w:rPr>
                <w:rFonts w:cs="Arial"/>
                <w:sz w:val="20"/>
                <w:szCs w:val="20"/>
              </w:rPr>
            </w:pPr>
          </w:p>
        </w:tc>
      </w:tr>
      <w:tr w:rsidR="008E67EA" w:rsidRPr="00552527" w14:paraId="143316F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26AB4F0" w14:textId="77777777" w:rsidR="008E67EA" w:rsidRPr="00552527" w:rsidRDefault="008E67EA" w:rsidP="00B44A74">
            <w:pPr>
              <w:spacing w:line="280" w:lineRule="exact"/>
              <w:rPr>
                <w:rFonts w:cs="Arial"/>
                <w:sz w:val="20"/>
                <w:szCs w:val="20"/>
              </w:rPr>
            </w:pPr>
            <w:r w:rsidRPr="00552527">
              <w:rPr>
                <w:rFonts w:cs="Arial"/>
                <w:sz w:val="20"/>
                <w:szCs w:val="20"/>
              </w:rPr>
              <w:t>Directions for Use:</w:t>
            </w:r>
          </w:p>
        </w:tc>
        <w:tc>
          <w:tcPr>
            <w:tcW w:w="7755" w:type="dxa"/>
            <w:tcBorders>
              <w:top w:val="single" w:sz="4" w:space="0" w:color="auto"/>
              <w:left w:val="single" w:sz="4" w:space="0" w:color="auto"/>
              <w:bottom w:val="single" w:sz="4" w:space="0" w:color="auto"/>
              <w:right w:val="single" w:sz="4" w:space="0" w:color="auto"/>
            </w:tcBorders>
          </w:tcPr>
          <w:p w14:paraId="32AC39D3" w14:textId="77777777" w:rsidR="008E67EA" w:rsidRPr="009319C1" w:rsidRDefault="008E67EA" w:rsidP="00B44A74">
            <w:pPr>
              <w:spacing w:line="280" w:lineRule="exact"/>
              <w:rPr>
                <w:rFonts w:cs="Arial"/>
                <w:color w:val="4472C4" w:themeColor="accent5"/>
                <w:sz w:val="20"/>
                <w:szCs w:val="20"/>
              </w:rPr>
            </w:pPr>
            <w:r w:rsidRPr="00B832BB">
              <w:rPr>
                <w:rFonts w:cs="Arial"/>
                <w:sz w:val="20"/>
                <w:szCs w:val="20"/>
              </w:rPr>
              <w:t>[This section contains an attachment below]</w:t>
            </w:r>
          </w:p>
        </w:tc>
      </w:tr>
      <w:tr w:rsidR="008E67EA" w:rsidRPr="00552527" w14:paraId="3CD74207" w14:textId="77777777" w:rsidTr="00B44A74">
        <w:trPr>
          <w:jc w:val="center"/>
        </w:trPr>
        <w:tc>
          <w:tcPr>
            <w:tcW w:w="2415" w:type="dxa"/>
            <w:tcBorders>
              <w:top w:val="single" w:sz="4" w:space="0" w:color="auto"/>
              <w:left w:val="nil"/>
              <w:bottom w:val="single" w:sz="4" w:space="0" w:color="auto"/>
              <w:right w:val="nil"/>
            </w:tcBorders>
          </w:tcPr>
          <w:p w14:paraId="0703D360" w14:textId="77777777" w:rsidR="008E67EA" w:rsidRPr="0055252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8D0C9B7" w14:textId="77777777" w:rsidR="008E67EA" w:rsidRPr="00552527" w:rsidRDefault="008E67EA" w:rsidP="00B44A74">
            <w:pPr>
              <w:spacing w:line="280" w:lineRule="exact"/>
              <w:rPr>
                <w:rFonts w:cs="Arial"/>
                <w:sz w:val="20"/>
                <w:szCs w:val="20"/>
              </w:rPr>
            </w:pPr>
          </w:p>
        </w:tc>
      </w:tr>
      <w:tr w:rsidR="008E67EA" w:rsidRPr="00552527" w14:paraId="0CD8EB1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90CEA80" w14:textId="77777777" w:rsidR="008E67EA" w:rsidRPr="00552527" w:rsidRDefault="008E67EA" w:rsidP="00B44A74">
            <w:pPr>
              <w:spacing w:line="280" w:lineRule="exact"/>
              <w:rPr>
                <w:rFonts w:cs="Arial"/>
                <w:sz w:val="20"/>
                <w:szCs w:val="20"/>
              </w:rPr>
            </w:pPr>
            <w:r w:rsidRPr="00552527">
              <w:rPr>
                <w:rFonts w:cs="Arial"/>
                <w:sz w:val="20"/>
                <w:szCs w:val="20"/>
              </w:rPr>
              <w:t>Other Limitations:</w:t>
            </w:r>
          </w:p>
        </w:tc>
        <w:tc>
          <w:tcPr>
            <w:tcW w:w="7755" w:type="dxa"/>
            <w:tcBorders>
              <w:top w:val="single" w:sz="4" w:space="0" w:color="auto"/>
              <w:left w:val="single" w:sz="4" w:space="0" w:color="auto"/>
              <w:bottom w:val="single" w:sz="4" w:space="0" w:color="auto"/>
              <w:right w:val="single" w:sz="4" w:space="0" w:color="auto"/>
            </w:tcBorders>
          </w:tcPr>
          <w:p w14:paraId="6F8CEFD0" w14:textId="77777777" w:rsidR="008E67EA" w:rsidRPr="00552527" w:rsidRDefault="008E67EA" w:rsidP="00B44A74">
            <w:pPr>
              <w:spacing w:line="280" w:lineRule="exact"/>
              <w:rPr>
                <w:rFonts w:cs="Arial"/>
                <w:sz w:val="20"/>
                <w:szCs w:val="20"/>
              </w:rPr>
            </w:pPr>
          </w:p>
        </w:tc>
      </w:tr>
      <w:tr w:rsidR="008E67EA" w:rsidRPr="00552527" w14:paraId="6598F040" w14:textId="77777777" w:rsidTr="00B44A74">
        <w:trPr>
          <w:jc w:val="center"/>
        </w:trPr>
        <w:tc>
          <w:tcPr>
            <w:tcW w:w="2415" w:type="dxa"/>
            <w:tcBorders>
              <w:top w:val="single" w:sz="4" w:space="0" w:color="auto"/>
              <w:left w:val="nil"/>
              <w:bottom w:val="single" w:sz="4" w:space="0" w:color="auto"/>
              <w:right w:val="nil"/>
            </w:tcBorders>
          </w:tcPr>
          <w:p w14:paraId="78BE78E2" w14:textId="77777777" w:rsidR="008E67EA" w:rsidRPr="0055252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E307F85" w14:textId="77777777" w:rsidR="008E67EA" w:rsidRPr="00552527" w:rsidRDefault="008E67EA" w:rsidP="00B44A74">
            <w:pPr>
              <w:spacing w:line="280" w:lineRule="exact"/>
              <w:rPr>
                <w:rFonts w:cs="Arial"/>
                <w:sz w:val="20"/>
                <w:szCs w:val="20"/>
              </w:rPr>
            </w:pPr>
          </w:p>
        </w:tc>
      </w:tr>
      <w:tr w:rsidR="008E67EA" w:rsidRPr="00552527" w14:paraId="5C1E612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745A669" w14:textId="77777777" w:rsidR="008E67EA" w:rsidRPr="00552527" w:rsidRDefault="008E67EA" w:rsidP="00B44A74">
            <w:pPr>
              <w:spacing w:line="280" w:lineRule="exact"/>
              <w:rPr>
                <w:rFonts w:cs="Arial"/>
                <w:sz w:val="20"/>
                <w:szCs w:val="20"/>
              </w:rPr>
            </w:pPr>
            <w:r w:rsidRPr="00552527">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060DD7D9" w14:textId="77777777" w:rsidR="008E67EA" w:rsidRPr="00552527" w:rsidRDefault="008E67EA" w:rsidP="00B44A74">
            <w:pPr>
              <w:spacing w:line="280" w:lineRule="exact"/>
              <w:rPr>
                <w:rFonts w:cs="Arial"/>
                <w:sz w:val="20"/>
                <w:szCs w:val="20"/>
              </w:rPr>
            </w:pPr>
          </w:p>
        </w:tc>
      </w:tr>
      <w:tr w:rsidR="008E67EA" w:rsidRPr="00552527" w14:paraId="141D89A8" w14:textId="77777777" w:rsidTr="00B44A74">
        <w:trPr>
          <w:jc w:val="center"/>
        </w:trPr>
        <w:tc>
          <w:tcPr>
            <w:tcW w:w="2415" w:type="dxa"/>
            <w:tcBorders>
              <w:top w:val="single" w:sz="4" w:space="0" w:color="auto"/>
              <w:left w:val="nil"/>
              <w:bottom w:val="single" w:sz="4" w:space="0" w:color="auto"/>
              <w:right w:val="nil"/>
            </w:tcBorders>
          </w:tcPr>
          <w:p w14:paraId="14829773" w14:textId="77777777" w:rsidR="008E67EA" w:rsidRPr="0055252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0F8CEAC" w14:textId="77777777" w:rsidR="008E67EA" w:rsidRPr="00552527" w:rsidRDefault="008E67EA" w:rsidP="00B44A74">
            <w:pPr>
              <w:spacing w:line="280" w:lineRule="exact"/>
              <w:rPr>
                <w:rFonts w:cs="Arial"/>
                <w:sz w:val="20"/>
                <w:szCs w:val="20"/>
              </w:rPr>
            </w:pPr>
          </w:p>
        </w:tc>
      </w:tr>
      <w:tr w:rsidR="008E67EA" w:rsidRPr="00552527" w14:paraId="6AC9A16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C36BE88" w14:textId="77777777" w:rsidR="008E67EA" w:rsidRPr="00552527" w:rsidRDefault="008E67EA" w:rsidP="00B44A74">
            <w:pPr>
              <w:spacing w:line="280" w:lineRule="exact"/>
              <w:rPr>
                <w:rFonts w:cs="Arial"/>
                <w:sz w:val="20"/>
                <w:szCs w:val="20"/>
              </w:rPr>
            </w:pPr>
            <w:r w:rsidRPr="00552527">
              <w:rPr>
                <w:rFonts w:cs="Arial"/>
                <w:sz w:val="20"/>
                <w:szCs w:val="20"/>
              </w:rPr>
              <w:t>Trade Advice:</w:t>
            </w:r>
          </w:p>
        </w:tc>
        <w:tc>
          <w:tcPr>
            <w:tcW w:w="7755" w:type="dxa"/>
            <w:tcBorders>
              <w:top w:val="single" w:sz="4" w:space="0" w:color="auto"/>
              <w:left w:val="single" w:sz="4" w:space="0" w:color="auto"/>
              <w:bottom w:val="single" w:sz="4" w:space="0" w:color="auto"/>
              <w:right w:val="single" w:sz="4" w:space="0" w:color="auto"/>
            </w:tcBorders>
          </w:tcPr>
          <w:p w14:paraId="6B3852B4" w14:textId="77777777" w:rsidR="008E67EA" w:rsidRPr="00552527" w:rsidRDefault="008E67EA" w:rsidP="00B44A74">
            <w:pPr>
              <w:spacing w:line="280" w:lineRule="exact"/>
              <w:rPr>
                <w:rFonts w:cs="Arial"/>
                <w:sz w:val="20"/>
                <w:szCs w:val="20"/>
              </w:rPr>
            </w:pPr>
          </w:p>
        </w:tc>
      </w:tr>
      <w:tr w:rsidR="008E67EA" w:rsidRPr="00552527" w14:paraId="718F3ADE" w14:textId="77777777" w:rsidTr="00B44A74">
        <w:trPr>
          <w:jc w:val="center"/>
        </w:trPr>
        <w:tc>
          <w:tcPr>
            <w:tcW w:w="2415" w:type="dxa"/>
            <w:tcBorders>
              <w:top w:val="single" w:sz="4" w:space="0" w:color="auto"/>
              <w:left w:val="nil"/>
              <w:bottom w:val="single" w:sz="4" w:space="0" w:color="auto"/>
              <w:right w:val="nil"/>
            </w:tcBorders>
          </w:tcPr>
          <w:p w14:paraId="5442AAF0" w14:textId="77777777" w:rsidR="008E67EA" w:rsidRPr="0055252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CA49906" w14:textId="77777777" w:rsidR="008E67EA" w:rsidRPr="00552527" w:rsidRDefault="008E67EA" w:rsidP="00B44A74">
            <w:pPr>
              <w:spacing w:line="280" w:lineRule="exact"/>
              <w:rPr>
                <w:rFonts w:cs="Arial"/>
                <w:sz w:val="20"/>
                <w:szCs w:val="20"/>
              </w:rPr>
            </w:pPr>
          </w:p>
        </w:tc>
      </w:tr>
      <w:tr w:rsidR="008E67EA" w:rsidRPr="00552527" w14:paraId="587E55C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ED23FA0" w14:textId="77777777" w:rsidR="008E67EA" w:rsidRPr="00552527" w:rsidRDefault="008E67EA" w:rsidP="00B44A74">
            <w:pPr>
              <w:spacing w:line="280" w:lineRule="exact"/>
              <w:rPr>
                <w:rFonts w:cs="Arial"/>
                <w:sz w:val="20"/>
                <w:szCs w:val="20"/>
              </w:rPr>
            </w:pPr>
            <w:r w:rsidRPr="00552527">
              <w:rPr>
                <w:rFonts w:cs="Arial"/>
                <w:sz w:val="20"/>
                <w:szCs w:val="20"/>
              </w:rPr>
              <w:t>General Directions:</w:t>
            </w:r>
          </w:p>
        </w:tc>
        <w:tc>
          <w:tcPr>
            <w:tcW w:w="7755" w:type="dxa"/>
            <w:tcBorders>
              <w:top w:val="single" w:sz="4" w:space="0" w:color="auto"/>
              <w:left w:val="single" w:sz="4" w:space="0" w:color="auto"/>
              <w:bottom w:val="single" w:sz="4" w:space="0" w:color="auto"/>
              <w:right w:val="single" w:sz="4" w:space="0" w:color="auto"/>
            </w:tcBorders>
          </w:tcPr>
          <w:p w14:paraId="02DFA30A" w14:textId="77777777" w:rsidR="008E67EA" w:rsidRPr="00552527" w:rsidRDefault="008E67EA" w:rsidP="00B44A74">
            <w:pPr>
              <w:spacing w:line="280" w:lineRule="exact"/>
              <w:rPr>
                <w:rFonts w:cs="Arial"/>
                <w:sz w:val="20"/>
                <w:szCs w:val="20"/>
              </w:rPr>
            </w:pPr>
          </w:p>
        </w:tc>
      </w:tr>
      <w:tr w:rsidR="008E67EA" w:rsidRPr="00552527" w14:paraId="1E48BF80" w14:textId="77777777" w:rsidTr="00B44A74">
        <w:trPr>
          <w:jc w:val="center"/>
        </w:trPr>
        <w:tc>
          <w:tcPr>
            <w:tcW w:w="2415" w:type="dxa"/>
            <w:tcBorders>
              <w:top w:val="single" w:sz="4" w:space="0" w:color="auto"/>
              <w:left w:val="nil"/>
              <w:bottom w:val="single" w:sz="4" w:space="0" w:color="auto"/>
              <w:right w:val="nil"/>
            </w:tcBorders>
          </w:tcPr>
          <w:p w14:paraId="01AE88E6" w14:textId="77777777" w:rsidR="008E67EA" w:rsidRPr="0055252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FC6877E" w14:textId="77777777" w:rsidR="008E67EA" w:rsidRPr="00552527" w:rsidRDefault="008E67EA" w:rsidP="00B44A74">
            <w:pPr>
              <w:spacing w:line="280" w:lineRule="exact"/>
              <w:rPr>
                <w:rFonts w:cs="Arial"/>
                <w:sz w:val="20"/>
                <w:szCs w:val="20"/>
              </w:rPr>
            </w:pPr>
          </w:p>
        </w:tc>
      </w:tr>
      <w:tr w:rsidR="008E67EA" w:rsidRPr="00552527" w14:paraId="5D49FDD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7E749FE" w14:textId="77777777" w:rsidR="008E67EA" w:rsidRPr="00552527" w:rsidRDefault="008E67EA" w:rsidP="00B44A74">
            <w:pPr>
              <w:spacing w:line="280" w:lineRule="exact"/>
              <w:rPr>
                <w:rFonts w:cs="Arial"/>
                <w:sz w:val="20"/>
                <w:szCs w:val="20"/>
              </w:rPr>
            </w:pPr>
            <w:r w:rsidRPr="00552527">
              <w:rPr>
                <w:rFonts w:cs="Arial"/>
                <w:sz w:val="20"/>
                <w:szCs w:val="20"/>
              </w:rPr>
              <w:t>Resistance Warning:</w:t>
            </w:r>
          </w:p>
        </w:tc>
        <w:tc>
          <w:tcPr>
            <w:tcW w:w="7755" w:type="dxa"/>
            <w:tcBorders>
              <w:top w:val="single" w:sz="4" w:space="0" w:color="auto"/>
              <w:left w:val="single" w:sz="4" w:space="0" w:color="auto"/>
              <w:bottom w:val="single" w:sz="4" w:space="0" w:color="auto"/>
              <w:right w:val="single" w:sz="4" w:space="0" w:color="auto"/>
            </w:tcBorders>
          </w:tcPr>
          <w:p w14:paraId="2F0E93D4" w14:textId="77777777" w:rsidR="008E67EA" w:rsidRPr="00552527" w:rsidRDefault="008E67EA" w:rsidP="00B44A74">
            <w:pPr>
              <w:spacing w:line="280" w:lineRule="exact"/>
              <w:rPr>
                <w:rFonts w:cs="Arial"/>
                <w:sz w:val="20"/>
                <w:szCs w:val="20"/>
              </w:rPr>
            </w:pPr>
          </w:p>
        </w:tc>
      </w:tr>
      <w:tr w:rsidR="008E67EA" w:rsidRPr="00552527" w14:paraId="33CDEB55" w14:textId="77777777" w:rsidTr="00B44A74">
        <w:trPr>
          <w:jc w:val="center"/>
        </w:trPr>
        <w:tc>
          <w:tcPr>
            <w:tcW w:w="2415" w:type="dxa"/>
            <w:tcBorders>
              <w:top w:val="single" w:sz="4" w:space="0" w:color="auto"/>
              <w:left w:val="nil"/>
              <w:bottom w:val="single" w:sz="4" w:space="0" w:color="auto"/>
              <w:right w:val="nil"/>
            </w:tcBorders>
          </w:tcPr>
          <w:p w14:paraId="7A9BE211" w14:textId="77777777" w:rsidR="008E67EA" w:rsidRPr="0055252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93C9286" w14:textId="77777777" w:rsidR="008E67EA" w:rsidRPr="00552527" w:rsidRDefault="008E67EA" w:rsidP="00B44A74">
            <w:pPr>
              <w:spacing w:line="280" w:lineRule="exact"/>
              <w:rPr>
                <w:rFonts w:cs="Arial"/>
                <w:sz w:val="20"/>
                <w:szCs w:val="20"/>
              </w:rPr>
            </w:pPr>
          </w:p>
        </w:tc>
      </w:tr>
      <w:tr w:rsidR="008E67EA" w:rsidRPr="00552527" w14:paraId="6CEB1E7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DC9EEBF" w14:textId="77777777" w:rsidR="008E67EA" w:rsidRPr="00552527" w:rsidRDefault="008E67EA" w:rsidP="00B44A74">
            <w:pPr>
              <w:spacing w:line="280" w:lineRule="exact"/>
              <w:rPr>
                <w:rFonts w:cs="Arial"/>
                <w:sz w:val="20"/>
                <w:szCs w:val="20"/>
              </w:rPr>
            </w:pPr>
            <w:r w:rsidRPr="00552527">
              <w:rPr>
                <w:rFonts w:cs="Arial"/>
                <w:sz w:val="20"/>
                <w:szCs w:val="20"/>
              </w:rPr>
              <w:lastRenderedPageBreak/>
              <w:t>Precautions:</w:t>
            </w:r>
          </w:p>
        </w:tc>
        <w:tc>
          <w:tcPr>
            <w:tcW w:w="7755" w:type="dxa"/>
            <w:tcBorders>
              <w:top w:val="single" w:sz="4" w:space="0" w:color="auto"/>
              <w:left w:val="single" w:sz="4" w:space="0" w:color="auto"/>
              <w:bottom w:val="single" w:sz="4" w:space="0" w:color="auto"/>
              <w:right w:val="single" w:sz="4" w:space="0" w:color="auto"/>
            </w:tcBorders>
          </w:tcPr>
          <w:p w14:paraId="46D9118B" w14:textId="77777777" w:rsidR="008E67EA" w:rsidRPr="00D42DB3" w:rsidRDefault="008E67EA" w:rsidP="00B44A74">
            <w:pPr>
              <w:spacing w:line="280" w:lineRule="exact"/>
              <w:rPr>
                <w:rFonts w:cs="Arial"/>
                <w:sz w:val="20"/>
                <w:szCs w:val="20"/>
                <w:bdr w:val="none" w:sz="0" w:space="0" w:color="auto" w:frame="1"/>
                <w:lang w:val="en-GB" w:eastAsia="en-AU"/>
              </w:rPr>
            </w:pPr>
            <w:r w:rsidRPr="00D42DB3">
              <w:rPr>
                <w:rFonts w:cs="Arial"/>
                <w:sz w:val="20"/>
                <w:szCs w:val="20"/>
                <w:bdr w:val="none" w:sz="0" w:space="0" w:color="auto" w:frame="1"/>
                <w:lang w:val="en-GB" w:eastAsia="en-AU"/>
              </w:rPr>
              <w:t>PRECAUTIONS</w:t>
            </w:r>
          </w:p>
          <w:p w14:paraId="1082DA97" w14:textId="77777777" w:rsidR="008E67EA" w:rsidRPr="00D42DB3" w:rsidRDefault="008E67EA" w:rsidP="00B44A74">
            <w:pPr>
              <w:spacing w:line="280" w:lineRule="exact"/>
              <w:rPr>
                <w:rFonts w:cs="Arial"/>
                <w:sz w:val="20"/>
                <w:szCs w:val="20"/>
                <w:bdr w:val="none" w:sz="0" w:space="0" w:color="auto" w:frame="1"/>
                <w:lang w:val="en-GB" w:eastAsia="en-AU"/>
              </w:rPr>
            </w:pPr>
            <w:r w:rsidRPr="00D42DB3">
              <w:rPr>
                <w:rFonts w:cs="Arial"/>
                <w:sz w:val="20"/>
                <w:szCs w:val="20"/>
                <w:bdr w:val="none" w:sz="0" w:space="0" w:color="auto" w:frame="1"/>
                <w:lang w:val="en-GB" w:eastAsia="en-AU"/>
              </w:rPr>
              <w:t>Caution should be used when baiting near areas where hunting of wildlife may occur. Careful consideration of bait placement is necessary to avoid secondary exposure from contaminated wildlife that may be consumed.</w:t>
            </w:r>
          </w:p>
          <w:p w14:paraId="07088536" w14:textId="77777777" w:rsidR="008E67EA" w:rsidRPr="00552527" w:rsidRDefault="008E67EA" w:rsidP="00B44A74">
            <w:pPr>
              <w:spacing w:line="280" w:lineRule="exact"/>
              <w:rPr>
                <w:rFonts w:cs="Arial"/>
                <w:sz w:val="20"/>
                <w:szCs w:val="20"/>
              </w:rPr>
            </w:pPr>
            <w:r w:rsidRPr="00D42DB3">
              <w:rPr>
                <w:rFonts w:cs="Arial"/>
                <w:sz w:val="20"/>
                <w:szCs w:val="20"/>
                <w:bdr w:val="none" w:sz="0" w:space="0" w:color="auto" w:frame="1"/>
                <w:lang w:val="en-GB" w:eastAsia="en-AU"/>
              </w:rPr>
              <w:t>DO NOT place bait in areas where there is a possibility of contaminating food, livestock feed or surfaces that come in direct contact with food or livestock feed.</w:t>
            </w:r>
          </w:p>
        </w:tc>
      </w:tr>
      <w:tr w:rsidR="008E67EA" w:rsidRPr="00552527" w14:paraId="560F4E4C" w14:textId="77777777" w:rsidTr="00B44A74">
        <w:trPr>
          <w:jc w:val="center"/>
        </w:trPr>
        <w:tc>
          <w:tcPr>
            <w:tcW w:w="2415" w:type="dxa"/>
            <w:tcBorders>
              <w:top w:val="single" w:sz="4" w:space="0" w:color="auto"/>
              <w:left w:val="nil"/>
              <w:bottom w:val="single" w:sz="4" w:space="0" w:color="auto"/>
              <w:right w:val="nil"/>
            </w:tcBorders>
          </w:tcPr>
          <w:p w14:paraId="12FD9241" w14:textId="77777777" w:rsidR="008E67EA" w:rsidRPr="0055252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4E0905F" w14:textId="77777777" w:rsidR="008E67EA" w:rsidRPr="00552527" w:rsidRDefault="008E67EA" w:rsidP="00B44A74">
            <w:pPr>
              <w:spacing w:line="280" w:lineRule="exact"/>
              <w:rPr>
                <w:rFonts w:cs="Arial"/>
                <w:sz w:val="20"/>
                <w:szCs w:val="20"/>
              </w:rPr>
            </w:pPr>
          </w:p>
        </w:tc>
      </w:tr>
      <w:tr w:rsidR="008E67EA" w:rsidRPr="00552527" w14:paraId="5293FEB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43BA5E2" w14:textId="77777777" w:rsidR="008E67EA" w:rsidRPr="00552527" w:rsidRDefault="008E67EA" w:rsidP="00B44A74">
            <w:pPr>
              <w:spacing w:line="280" w:lineRule="exact"/>
              <w:rPr>
                <w:rFonts w:cs="Arial"/>
                <w:sz w:val="20"/>
                <w:szCs w:val="20"/>
              </w:rPr>
            </w:pPr>
            <w:r w:rsidRPr="00552527">
              <w:rPr>
                <w:rFonts w:cs="Arial"/>
                <w:sz w:val="20"/>
                <w:szCs w:val="20"/>
              </w:rPr>
              <w:t>Protection Statements:</w:t>
            </w:r>
          </w:p>
        </w:tc>
        <w:tc>
          <w:tcPr>
            <w:tcW w:w="7755" w:type="dxa"/>
            <w:tcBorders>
              <w:top w:val="single" w:sz="4" w:space="0" w:color="auto"/>
              <w:left w:val="single" w:sz="4" w:space="0" w:color="auto"/>
              <w:bottom w:val="single" w:sz="4" w:space="0" w:color="auto"/>
              <w:right w:val="single" w:sz="4" w:space="0" w:color="auto"/>
            </w:tcBorders>
          </w:tcPr>
          <w:p w14:paraId="1F5794A3" w14:textId="77777777" w:rsidR="008E67EA" w:rsidRPr="002C2367" w:rsidRDefault="008E67EA" w:rsidP="00B44A74">
            <w:pPr>
              <w:spacing w:line="280" w:lineRule="exact"/>
              <w:rPr>
                <w:rFonts w:cs="Arial"/>
                <w:sz w:val="20"/>
                <w:szCs w:val="20"/>
              </w:rPr>
            </w:pPr>
            <w:r w:rsidRPr="002C2367">
              <w:rPr>
                <w:rFonts w:cs="Arial"/>
                <w:sz w:val="20"/>
                <w:szCs w:val="20"/>
              </w:rPr>
              <w:t>PROTECTION OF LIVESTOCK AND WILDLIFE</w:t>
            </w:r>
          </w:p>
          <w:p w14:paraId="7DEDFA44" w14:textId="77777777" w:rsidR="008E67EA" w:rsidRPr="002C2367" w:rsidRDefault="008E67EA" w:rsidP="00B44A74">
            <w:pPr>
              <w:spacing w:line="280" w:lineRule="exact"/>
              <w:rPr>
                <w:rFonts w:cs="Arial"/>
                <w:sz w:val="20"/>
                <w:szCs w:val="20"/>
              </w:rPr>
            </w:pPr>
            <w:r w:rsidRPr="002C2367">
              <w:rPr>
                <w:rFonts w:cs="Arial"/>
                <w:sz w:val="20"/>
                <w:szCs w:val="20"/>
              </w:rPr>
              <w:t>Hazardous to livestock, poultry and wildlife. DO NOT place baits in locations that are accessible to domestic animals, livestock, non-target native animals or birds.</w:t>
            </w:r>
          </w:p>
          <w:p w14:paraId="2DA706BA" w14:textId="77777777" w:rsidR="008E67EA" w:rsidRPr="002C2367" w:rsidRDefault="008E67EA" w:rsidP="00B44A74">
            <w:pPr>
              <w:spacing w:line="280" w:lineRule="exact"/>
              <w:rPr>
                <w:rFonts w:cs="Arial"/>
                <w:sz w:val="20"/>
                <w:szCs w:val="20"/>
              </w:rPr>
            </w:pPr>
            <w:r w:rsidRPr="002C2367">
              <w:rPr>
                <w:rFonts w:cs="Arial"/>
                <w:sz w:val="20"/>
                <w:szCs w:val="20"/>
              </w:rPr>
              <w:t xml:space="preserve">Search for and dispose of dead rodents and slugs/snails in the infested area at each visit to prevent secondary poisoning. In case slugs/snails are present, move bait station to another location within the rodent infested site, away from slugs/snails. Dispose of slugs/snails in a way non-target animals are not exposed. Dispose of dead rodents and uneaten bait in compliance with local, state or territory government regulations. </w:t>
            </w:r>
          </w:p>
          <w:p w14:paraId="7BB9E981" w14:textId="77777777" w:rsidR="008E67EA" w:rsidRPr="002C2367" w:rsidRDefault="008E67EA" w:rsidP="00B44A74">
            <w:pPr>
              <w:spacing w:line="280" w:lineRule="exact"/>
              <w:rPr>
                <w:rFonts w:cs="Arial"/>
                <w:sz w:val="20"/>
                <w:szCs w:val="20"/>
              </w:rPr>
            </w:pPr>
            <w:r w:rsidRPr="002C2367">
              <w:rPr>
                <w:rFonts w:cs="Arial"/>
                <w:sz w:val="20"/>
                <w:szCs w:val="20"/>
              </w:rPr>
              <w:t>DO NOT allow livestock or poultry to consume dead or moribund mice and rats. All dead or moribund animals and rodent faeces from baited rodents MUST be removed from areas accessible to livestock or poultry.</w:t>
            </w:r>
          </w:p>
          <w:p w14:paraId="263FF532" w14:textId="77777777" w:rsidR="008E67EA" w:rsidRDefault="008E67EA" w:rsidP="00B44A74">
            <w:pPr>
              <w:spacing w:line="280" w:lineRule="exact"/>
              <w:rPr>
                <w:rFonts w:cs="Arial"/>
                <w:sz w:val="20"/>
                <w:szCs w:val="20"/>
              </w:rPr>
            </w:pPr>
            <w:r w:rsidRPr="00AA4C29">
              <w:rPr>
                <w:rFonts w:cs="Arial"/>
                <w:sz w:val="20"/>
                <w:szCs w:val="20"/>
              </w:rPr>
              <w:t>The use of this product for the control of protected native rodents requires permission from wildlife authorities.</w:t>
            </w:r>
          </w:p>
          <w:p w14:paraId="7EAE5866" w14:textId="77777777" w:rsidR="008E67EA" w:rsidRPr="00AA4C29" w:rsidRDefault="008E67EA" w:rsidP="00B44A74">
            <w:pPr>
              <w:spacing w:line="280" w:lineRule="exact"/>
              <w:rPr>
                <w:rFonts w:cs="Arial"/>
                <w:sz w:val="20"/>
                <w:szCs w:val="20"/>
              </w:rPr>
            </w:pPr>
          </w:p>
          <w:p w14:paraId="01824E13" w14:textId="77777777" w:rsidR="008E67EA" w:rsidRPr="002C2367" w:rsidRDefault="008E67EA" w:rsidP="00B44A74">
            <w:pPr>
              <w:spacing w:line="280" w:lineRule="exact"/>
              <w:rPr>
                <w:rFonts w:cs="Arial"/>
                <w:sz w:val="20"/>
                <w:szCs w:val="20"/>
              </w:rPr>
            </w:pPr>
            <w:r w:rsidRPr="002C2367">
              <w:rPr>
                <w:rFonts w:cs="Arial"/>
                <w:sz w:val="20"/>
                <w:szCs w:val="20"/>
              </w:rPr>
              <w:t>PROTECTION OF FISH, CRUSTACEANS AND ENVIRONMENT</w:t>
            </w:r>
          </w:p>
          <w:p w14:paraId="7EF9DCAE" w14:textId="77777777" w:rsidR="008E67EA" w:rsidRPr="00552527" w:rsidRDefault="008E67EA" w:rsidP="00B44A74">
            <w:pPr>
              <w:spacing w:line="280" w:lineRule="exact"/>
              <w:rPr>
                <w:rFonts w:cs="Arial"/>
                <w:sz w:val="20"/>
                <w:szCs w:val="20"/>
              </w:rPr>
            </w:pPr>
            <w:r w:rsidRPr="002C2367">
              <w:rPr>
                <w:rFonts w:cs="Arial"/>
                <w:sz w:val="20"/>
                <w:szCs w:val="20"/>
              </w:rPr>
              <w:t>Very toxic to aquatic life. DO NOT contaminate wetlands or watercourses with this product or used containers.</w:t>
            </w:r>
            <w:r>
              <w:rPr>
                <w:rFonts w:cs="Arial"/>
                <w:sz w:val="20"/>
                <w:szCs w:val="20"/>
              </w:rPr>
              <w:t xml:space="preserve"> </w:t>
            </w:r>
            <w:r w:rsidRPr="002C2367">
              <w:rPr>
                <w:rFonts w:cs="Arial"/>
                <w:sz w:val="20"/>
                <w:szCs w:val="20"/>
              </w:rPr>
              <w:t>Place the bait stations in areas not liable to flooding. When placing bait stations close to water drainage systems, ensure that bait contact with water is avoided.</w:t>
            </w:r>
          </w:p>
        </w:tc>
      </w:tr>
      <w:tr w:rsidR="008E67EA" w:rsidRPr="00552527" w14:paraId="47A6EA02" w14:textId="77777777" w:rsidTr="00B44A74">
        <w:trPr>
          <w:jc w:val="center"/>
        </w:trPr>
        <w:tc>
          <w:tcPr>
            <w:tcW w:w="2415" w:type="dxa"/>
            <w:tcBorders>
              <w:top w:val="single" w:sz="4" w:space="0" w:color="auto"/>
              <w:left w:val="nil"/>
              <w:bottom w:val="single" w:sz="4" w:space="0" w:color="auto"/>
              <w:right w:val="nil"/>
            </w:tcBorders>
          </w:tcPr>
          <w:p w14:paraId="12A083E3" w14:textId="77777777" w:rsidR="008E67EA" w:rsidRPr="0055252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2F04C2B" w14:textId="77777777" w:rsidR="008E67EA" w:rsidRPr="00552527" w:rsidRDefault="008E67EA" w:rsidP="00B44A74">
            <w:pPr>
              <w:spacing w:line="280" w:lineRule="exact"/>
              <w:rPr>
                <w:rFonts w:cs="Arial"/>
                <w:sz w:val="20"/>
                <w:szCs w:val="20"/>
              </w:rPr>
            </w:pPr>
          </w:p>
        </w:tc>
      </w:tr>
      <w:tr w:rsidR="008E67EA" w:rsidRPr="00552527" w14:paraId="5FA897C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96C2724" w14:textId="77777777" w:rsidR="008E67EA" w:rsidRPr="00552527" w:rsidRDefault="008E67EA" w:rsidP="00B44A74">
            <w:pPr>
              <w:spacing w:line="280" w:lineRule="exact"/>
              <w:rPr>
                <w:rFonts w:cs="Arial"/>
                <w:sz w:val="20"/>
                <w:szCs w:val="20"/>
              </w:rPr>
            </w:pPr>
            <w:r w:rsidRPr="00552527">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752676CD" w14:textId="77777777" w:rsidR="008E67EA" w:rsidRPr="00552527" w:rsidRDefault="008E67EA" w:rsidP="00B44A74">
            <w:pPr>
              <w:spacing w:line="280" w:lineRule="exact"/>
              <w:rPr>
                <w:rFonts w:cs="Arial"/>
                <w:sz w:val="20"/>
                <w:szCs w:val="20"/>
              </w:rPr>
            </w:pPr>
            <w:r w:rsidRPr="00552527">
              <w:rPr>
                <w:rFonts w:cs="Arial"/>
                <w:sz w:val="20"/>
                <w:szCs w:val="20"/>
              </w:rPr>
              <w:t xml:space="preserve">Store in the closed, original container in a cool dry place out of reach of children. DO NOT store in direct sunlight. </w:t>
            </w:r>
            <w:r w:rsidRPr="002C2367">
              <w:rPr>
                <w:rFonts w:cs="Arial"/>
                <w:sz w:val="20"/>
                <w:szCs w:val="20"/>
              </w:rPr>
              <w:t>Triple rinse containers before disposal. Break, crush or puncture and deliver empty packaging to an approved waste management facility. If an approved waste management facility is not available, dispose of empty packaging in compliance with relevant local, state or territory government regulations. Dispose of unused product in compliance with relevant local, state or territory government regulations.</w:t>
            </w:r>
            <w:r>
              <w:rPr>
                <w:rFonts w:cs="Arial"/>
                <w:sz w:val="20"/>
                <w:szCs w:val="20"/>
              </w:rPr>
              <w:t xml:space="preserve"> </w:t>
            </w:r>
            <w:r w:rsidRPr="002C2367">
              <w:rPr>
                <w:rFonts w:cs="Arial"/>
                <w:sz w:val="20"/>
                <w:szCs w:val="20"/>
              </w:rPr>
              <w:t>DO NOT burn empty containers or product.</w:t>
            </w:r>
          </w:p>
        </w:tc>
      </w:tr>
      <w:tr w:rsidR="008E67EA" w:rsidRPr="00552527" w14:paraId="44CBDBCD" w14:textId="77777777" w:rsidTr="00B44A74">
        <w:trPr>
          <w:jc w:val="center"/>
        </w:trPr>
        <w:tc>
          <w:tcPr>
            <w:tcW w:w="2415" w:type="dxa"/>
            <w:tcBorders>
              <w:top w:val="single" w:sz="4" w:space="0" w:color="auto"/>
              <w:left w:val="nil"/>
              <w:bottom w:val="single" w:sz="4" w:space="0" w:color="auto"/>
              <w:right w:val="nil"/>
            </w:tcBorders>
          </w:tcPr>
          <w:p w14:paraId="61D45ABA" w14:textId="77777777" w:rsidR="008E67EA" w:rsidRPr="0055252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AA987CF" w14:textId="77777777" w:rsidR="008E67EA" w:rsidRPr="00552527" w:rsidRDefault="008E67EA" w:rsidP="00B44A74">
            <w:pPr>
              <w:spacing w:line="280" w:lineRule="exact"/>
              <w:rPr>
                <w:rFonts w:cs="Arial"/>
                <w:sz w:val="20"/>
                <w:szCs w:val="20"/>
              </w:rPr>
            </w:pPr>
          </w:p>
        </w:tc>
      </w:tr>
      <w:tr w:rsidR="008E67EA" w:rsidRPr="00552527" w14:paraId="2EE9500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BBC2BE0" w14:textId="77777777" w:rsidR="008E67EA" w:rsidRPr="00552527" w:rsidRDefault="008E67EA" w:rsidP="00B44A74">
            <w:pPr>
              <w:spacing w:line="280" w:lineRule="exact"/>
              <w:rPr>
                <w:rFonts w:cs="Arial"/>
                <w:sz w:val="20"/>
                <w:szCs w:val="20"/>
              </w:rPr>
            </w:pPr>
            <w:r w:rsidRPr="00552527">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5CEC197F" w14:textId="77777777" w:rsidR="008E67EA" w:rsidRPr="00552527" w:rsidRDefault="008E67EA" w:rsidP="00B44A74">
            <w:pPr>
              <w:spacing w:line="280" w:lineRule="exact"/>
              <w:rPr>
                <w:rFonts w:cs="Arial"/>
                <w:sz w:val="20"/>
                <w:szCs w:val="20"/>
              </w:rPr>
            </w:pPr>
            <w:r w:rsidRPr="00552527">
              <w:rPr>
                <w:rFonts w:cs="Arial"/>
                <w:sz w:val="20"/>
                <w:szCs w:val="20"/>
              </w:rPr>
              <w:t>SAFETY DIRECTIONS</w:t>
            </w:r>
          </w:p>
          <w:p w14:paraId="689B1745" w14:textId="77777777" w:rsidR="008E67EA" w:rsidRDefault="008E67EA" w:rsidP="00B44A74">
            <w:pPr>
              <w:spacing w:line="280" w:lineRule="exact"/>
              <w:rPr>
                <w:rFonts w:cs="Arial"/>
                <w:sz w:val="20"/>
                <w:szCs w:val="20"/>
              </w:rPr>
            </w:pPr>
            <w:r w:rsidRPr="009319C1">
              <w:rPr>
                <w:rFonts w:cs="Arial"/>
                <w:sz w:val="20"/>
                <w:szCs w:val="20"/>
              </w:rPr>
              <w:t>Repeated minor exposure may have a cumulative poisoning effect. Avoid contact with eyes and skin. Do not inhale dust. Do not touch bait, use scoop or measure. When using the product wear disposable gloves. If on skin and after each baiting, wash thoroughly with soap and water.</w:t>
            </w:r>
          </w:p>
          <w:p w14:paraId="20D88EC1" w14:textId="3FE66E5B" w:rsidR="008E67EA" w:rsidRPr="00552527" w:rsidRDefault="008E67EA" w:rsidP="00B44A74">
            <w:pPr>
              <w:spacing w:line="280" w:lineRule="exact"/>
              <w:rPr>
                <w:rFonts w:cs="Arial"/>
                <w:sz w:val="20"/>
                <w:szCs w:val="20"/>
              </w:rPr>
            </w:pPr>
            <w:r w:rsidRPr="002C2367">
              <w:rPr>
                <w:rFonts w:cs="Arial"/>
                <w:sz w:val="20"/>
                <w:szCs w:val="20"/>
              </w:rPr>
              <w:t>During cleanup and disposal operations of bait and bait stations, wear a single layer of clothing and disposable gloves. Wear disposable gloves when handling rodent carcasses. Wash clothes after performing re-handling activities.</w:t>
            </w:r>
          </w:p>
        </w:tc>
      </w:tr>
      <w:tr w:rsidR="008E67EA" w:rsidRPr="00552527" w14:paraId="3E48D720" w14:textId="77777777" w:rsidTr="00B44A74">
        <w:trPr>
          <w:jc w:val="center"/>
        </w:trPr>
        <w:tc>
          <w:tcPr>
            <w:tcW w:w="2415" w:type="dxa"/>
            <w:tcBorders>
              <w:top w:val="single" w:sz="4" w:space="0" w:color="auto"/>
              <w:left w:val="nil"/>
              <w:bottom w:val="single" w:sz="4" w:space="0" w:color="auto"/>
              <w:right w:val="nil"/>
            </w:tcBorders>
          </w:tcPr>
          <w:p w14:paraId="47B065E0" w14:textId="77777777" w:rsidR="008E67EA" w:rsidRPr="0055252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5411ED6" w14:textId="77777777" w:rsidR="008E67EA" w:rsidRPr="00552527" w:rsidRDefault="008E67EA" w:rsidP="00B44A74">
            <w:pPr>
              <w:spacing w:line="280" w:lineRule="exact"/>
              <w:rPr>
                <w:rFonts w:cs="Arial"/>
                <w:sz w:val="20"/>
                <w:szCs w:val="20"/>
              </w:rPr>
            </w:pPr>
          </w:p>
        </w:tc>
      </w:tr>
      <w:tr w:rsidR="008E67EA" w:rsidRPr="00552527" w14:paraId="25B89DA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B71C93C" w14:textId="77777777" w:rsidR="008E67EA" w:rsidRPr="00552527" w:rsidRDefault="008E67EA" w:rsidP="00B44A74">
            <w:pPr>
              <w:spacing w:line="280" w:lineRule="exact"/>
              <w:rPr>
                <w:rFonts w:cs="Arial"/>
                <w:sz w:val="20"/>
                <w:szCs w:val="20"/>
              </w:rPr>
            </w:pPr>
            <w:r w:rsidRPr="00552527">
              <w:rPr>
                <w:rFonts w:cs="Arial"/>
                <w:sz w:val="20"/>
                <w:szCs w:val="20"/>
              </w:rPr>
              <w:t>First Aid Instructions:</w:t>
            </w:r>
          </w:p>
        </w:tc>
        <w:tc>
          <w:tcPr>
            <w:tcW w:w="7755" w:type="dxa"/>
            <w:tcBorders>
              <w:top w:val="single" w:sz="4" w:space="0" w:color="auto"/>
              <w:left w:val="single" w:sz="4" w:space="0" w:color="auto"/>
              <w:bottom w:val="single" w:sz="4" w:space="0" w:color="auto"/>
              <w:right w:val="single" w:sz="4" w:space="0" w:color="auto"/>
            </w:tcBorders>
          </w:tcPr>
          <w:p w14:paraId="2741B7C6" w14:textId="77777777" w:rsidR="008E67EA" w:rsidRPr="00552527" w:rsidRDefault="008E67EA" w:rsidP="00B44A74">
            <w:pPr>
              <w:spacing w:line="280" w:lineRule="exact"/>
              <w:rPr>
                <w:rFonts w:cs="Arial"/>
                <w:sz w:val="20"/>
                <w:szCs w:val="20"/>
              </w:rPr>
            </w:pPr>
            <w:r w:rsidRPr="00552527">
              <w:rPr>
                <w:rFonts w:cs="Arial"/>
                <w:sz w:val="20"/>
                <w:szCs w:val="20"/>
              </w:rPr>
              <w:t>FIRST AID</w:t>
            </w:r>
          </w:p>
          <w:p w14:paraId="1F33EA84" w14:textId="77777777" w:rsidR="008E67EA" w:rsidRPr="00552527" w:rsidRDefault="008E67EA" w:rsidP="00B44A74">
            <w:pPr>
              <w:spacing w:line="280" w:lineRule="exact"/>
              <w:rPr>
                <w:rFonts w:cs="Arial"/>
                <w:sz w:val="20"/>
                <w:szCs w:val="20"/>
              </w:rPr>
            </w:pPr>
            <w:r w:rsidRPr="00552527">
              <w:rPr>
                <w:rFonts w:cs="Arial"/>
                <w:sz w:val="20"/>
                <w:szCs w:val="20"/>
              </w:rPr>
              <w:t>If poisoning occurs, contact a doctor or Poisons Information Centre. Phone Australia 13 11 26, New Zealand 0800 764 766. Vitamin K1 (Phytomenadione) is antidotal.</w:t>
            </w:r>
          </w:p>
        </w:tc>
      </w:tr>
      <w:tr w:rsidR="008E67EA" w:rsidRPr="00552527" w14:paraId="489E55F0" w14:textId="77777777" w:rsidTr="00B44A74">
        <w:trPr>
          <w:jc w:val="center"/>
        </w:trPr>
        <w:tc>
          <w:tcPr>
            <w:tcW w:w="2415" w:type="dxa"/>
            <w:tcBorders>
              <w:top w:val="single" w:sz="4" w:space="0" w:color="auto"/>
              <w:left w:val="nil"/>
              <w:bottom w:val="single" w:sz="4" w:space="0" w:color="auto"/>
              <w:right w:val="nil"/>
            </w:tcBorders>
          </w:tcPr>
          <w:p w14:paraId="3684BF06" w14:textId="77777777" w:rsidR="008E67EA" w:rsidRPr="0055252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DA11B3B" w14:textId="77777777" w:rsidR="008E67EA" w:rsidRPr="00552527" w:rsidRDefault="008E67EA" w:rsidP="00B44A74">
            <w:pPr>
              <w:spacing w:line="280" w:lineRule="exact"/>
              <w:rPr>
                <w:rFonts w:cs="Arial"/>
                <w:sz w:val="20"/>
                <w:szCs w:val="20"/>
              </w:rPr>
            </w:pPr>
          </w:p>
        </w:tc>
      </w:tr>
      <w:tr w:rsidR="008E67EA" w:rsidRPr="00552527" w14:paraId="4FC16A6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D53B82B" w14:textId="77777777" w:rsidR="008E67EA" w:rsidRPr="00552527" w:rsidRDefault="008E67EA" w:rsidP="00B44A74">
            <w:pPr>
              <w:spacing w:line="280" w:lineRule="exact"/>
              <w:rPr>
                <w:rFonts w:cs="Arial"/>
                <w:sz w:val="20"/>
                <w:szCs w:val="20"/>
              </w:rPr>
            </w:pPr>
            <w:r w:rsidRPr="00552527">
              <w:rPr>
                <w:rFonts w:cs="Arial"/>
                <w:sz w:val="20"/>
                <w:szCs w:val="20"/>
              </w:rPr>
              <w:lastRenderedPageBreak/>
              <w:t>First Aid Warnings:</w:t>
            </w:r>
          </w:p>
        </w:tc>
        <w:tc>
          <w:tcPr>
            <w:tcW w:w="7755" w:type="dxa"/>
            <w:tcBorders>
              <w:top w:val="single" w:sz="4" w:space="0" w:color="auto"/>
              <w:left w:val="single" w:sz="4" w:space="0" w:color="auto"/>
              <w:bottom w:val="single" w:sz="4" w:space="0" w:color="auto"/>
              <w:right w:val="single" w:sz="4" w:space="0" w:color="auto"/>
            </w:tcBorders>
          </w:tcPr>
          <w:p w14:paraId="0FCD3D9D" w14:textId="77777777" w:rsidR="008E67EA" w:rsidRPr="00552527" w:rsidRDefault="008E67EA" w:rsidP="00B44A74">
            <w:pPr>
              <w:spacing w:line="280" w:lineRule="exact"/>
              <w:rPr>
                <w:rFonts w:cs="Arial"/>
                <w:sz w:val="20"/>
                <w:szCs w:val="20"/>
              </w:rPr>
            </w:pPr>
          </w:p>
        </w:tc>
      </w:tr>
    </w:tbl>
    <w:p w14:paraId="4A1BDE5D" w14:textId="77777777" w:rsidR="008E67EA" w:rsidRPr="009319C1" w:rsidRDefault="008E67EA" w:rsidP="008E67EA">
      <w:pPr>
        <w:rPr>
          <w:rFonts w:cs="Arial"/>
          <w:sz w:val="20"/>
          <w:szCs w:val="20"/>
        </w:rPr>
      </w:pPr>
    </w:p>
    <w:p w14:paraId="2A2E73AC" w14:textId="77777777" w:rsidR="008E67EA" w:rsidRPr="00FF36BF" w:rsidRDefault="008E67EA" w:rsidP="008E67EA">
      <w:pPr>
        <w:spacing w:line="280" w:lineRule="exact"/>
        <w:rPr>
          <w:rFonts w:cs="Arial"/>
          <w:b/>
          <w:bCs/>
          <w:sz w:val="20"/>
          <w:szCs w:val="20"/>
        </w:rPr>
      </w:pPr>
      <w:r w:rsidRPr="00FF36BF">
        <w:rPr>
          <w:rFonts w:cs="Arial"/>
          <w:b/>
          <w:bCs/>
          <w:sz w:val="20"/>
          <w:szCs w:val="20"/>
        </w:rPr>
        <w:t>DIRECTIONS FOR USE</w:t>
      </w:r>
    </w:p>
    <w:tbl>
      <w:tblPr>
        <w:tblStyle w:val="TableGrid"/>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276"/>
        <w:gridCol w:w="1701"/>
        <w:gridCol w:w="3760"/>
      </w:tblGrid>
      <w:tr w:rsidR="008E67EA" w:rsidRPr="00A27FD2" w14:paraId="48A4E914" w14:textId="77777777" w:rsidTr="002C5418">
        <w:trPr>
          <w:trHeight w:val="340"/>
        </w:trPr>
        <w:tc>
          <w:tcPr>
            <w:tcW w:w="2263" w:type="dxa"/>
          </w:tcPr>
          <w:p w14:paraId="531857D0" w14:textId="77777777" w:rsidR="008E67EA" w:rsidRPr="00382A84" w:rsidRDefault="008E67EA" w:rsidP="00B44A74">
            <w:pPr>
              <w:spacing w:line="280" w:lineRule="exact"/>
              <w:rPr>
                <w:rFonts w:cs="Arial"/>
                <w:b/>
                <w:bCs/>
                <w:szCs w:val="18"/>
              </w:rPr>
            </w:pPr>
            <w:r w:rsidRPr="00382A84">
              <w:rPr>
                <w:rFonts w:cs="Arial"/>
                <w:b/>
                <w:bCs/>
                <w:szCs w:val="18"/>
              </w:rPr>
              <w:t>SITUATION</w:t>
            </w:r>
          </w:p>
        </w:tc>
        <w:tc>
          <w:tcPr>
            <w:tcW w:w="1276" w:type="dxa"/>
          </w:tcPr>
          <w:p w14:paraId="67EDA798" w14:textId="77777777" w:rsidR="008E67EA" w:rsidRPr="00382A84" w:rsidRDefault="008E67EA" w:rsidP="00B44A74">
            <w:pPr>
              <w:spacing w:line="280" w:lineRule="exact"/>
              <w:rPr>
                <w:rFonts w:cs="Arial"/>
                <w:b/>
                <w:bCs/>
                <w:szCs w:val="18"/>
              </w:rPr>
            </w:pPr>
            <w:r w:rsidRPr="00382A84">
              <w:rPr>
                <w:rFonts w:cs="Arial"/>
                <w:b/>
                <w:bCs/>
                <w:szCs w:val="18"/>
              </w:rPr>
              <w:t>PEST</w:t>
            </w:r>
          </w:p>
        </w:tc>
        <w:tc>
          <w:tcPr>
            <w:tcW w:w="1701" w:type="dxa"/>
          </w:tcPr>
          <w:p w14:paraId="234354AD" w14:textId="77777777" w:rsidR="008E67EA" w:rsidRPr="00382A84" w:rsidRDefault="008E67EA" w:rsidP="00B44A74">
            <w:pPr>
              <w:spacing w:line="280" w:lineRule="exact"/>
              <w:rPr>
                <w:rFonts w:cs="Arial"/>
                <w:b/>
                <w:bCs/>
                <w:szCs w:val="18"/>
              </w:rPr>
            </w:pPr>
            <w:r w:rsidRPr="00382A84">
              <w:rPr>
                <w:rFonts w:cs="Arial"/>
                <w:b/>
                <w:bCs/>
                <w:szCs w:val="18"/>
              </w:rPr>
              <w:t>RATE</w:t>
            </w:r>
          </w:p>
        </w:tc>
        <w:tc>
          <w:tcPr>
            <w:tcW w:w="3760" w:type="dxa"/>
          </w:tcPr>
          <w:p w14:paraId="69143E3F" w14:textId="77777777" w:rsidR="008E67EA" w:rsidRPr="00382A84" w:rsidRDefault="008E67EA" w:rsidP="00B44A74">
            <w:pPr>
              <w:spacing w:line="280" w:lineRule="exact"/>
              <w:rPr>
                <w:rFonts w:cs="Arial"/>
                <w:b/>
                <w:bCs/>
                <w:szCs w:val="18"/>
              </w:rPr>
            </w:pPr>
            <w:r w:rsidRPr="00382A84">
              <w:rPr>
                <w:rFonts w:cs="Arial"/>
                <w:b/>
                <w:bCs/>
                <w:szCs w:val="18"/>
              </w:rPr>
              <w:t>CRITICAL COMMENTS</w:t>
            </w:r>
          </w:p>
        </w:tc>
      </w:tr>
      <w:tr w:rsidR="008E67EA" w:rsidRPr="00B21C59" w14:paraId="0793BD32" w14:textId="77777777" w:rsidTr="002C5418">
        <w:trPr>
          <w:trHeight w:val="1125"/>
        </w:trPr>
        <w:tc>
          <w:tcPr>
            <w:tcW w:w="2263" w:type="dxa"/>
          </w:tcPr>
          <w:p w14:paraId="798E7735" w14:textId="77777777" w:rsidR="008E67EA" w:rsidRPr="00B21C59" w:rsidRDefault="008E67EA" w:rsidP="00B44A74">
            <w:pPr>
              <w:spacing w:after="120" w:line="240" w:lineRule="exact"/>
              <w:rPr>
                <w:rFonts w:cs="Arial"/>
                <w:bCs/>
                <w:spacing w:val="-2"/>
                <w:w w:val="105"/>
                <w:szCs w:val="18"/>
              </w:rPr>
            </w:pPr>
            <w:r w:rsidRPr="00B21C59">
              <w:rPr>
                <w:rFonts w:cs="Arial"/>
                <w:bCs/>
                <w:spacing w:val="-2"/>
                <w:w w:val="105"/>
                <w:szCs w:val="18"/>
              </w:rPr>
              <w:t xml:space="preserve">In and around (within 2 meters) industrial, commercial, agricultural and domestic buildings. </w:t>
            </w:r>
          </w:p>
        </w:tc>
        <w:tc>
          <w:tcPr>
            <w:tcW w:w="1276" w:type="dxa"/>
          </w:tcPr>
          <w:p w14:paraId="69802F60" w14:textId="77777777" w:rsidR="008E67EA" w:rsidRPr="00B21C59" w:rsidRDefault="008E67EA" w:rsidP="00B44A74">
            <w:pPr>
              <w:spacing w:after="120" w:line="240" w:lineRule="exact"/>
              <w:rPr>
                <w:rFonts w:cs="Arial"/>
                <w:szCs w:val="18"/>
              </w:rPr>
            </w:pPr>
            <w:r w:rsidRPr="00B21C59">
              <w:rPr>
                <w:rFonts w:cs="Arial"/>
                <w:bCs/>
                <w:spacing w:val="-2"/>
                <w:w w:val="105"/>
                <w:szCs w:val="18"/>
              </w:rPr>
              <w:t>Rats</w:t>
            </w:r>
          </w:p>
        </w:tc>
        <w:tc>
          <w:tcPr>
            <w:tcW w:w="1701" w:type="dxa"/>
          </w:tcPr>
          <w:p w14:paraId="75A67147" w14:textId="77777777" w:rsidR="008E67EA" w:rsidRPr="00B21C59" w:rsidRDefault="008E67EA" w:rsidP="00B44A74">
            <w:pPr>
              <w:spacing w:after="120" w:line="240" w:lineRule="exact"/>
              <w:rPr>
                <w:rFonts w:cs="Arial"/>
                <w:bCs/>
                <w:spacing w:val="-2"/>
                <w:w w:val="105"/>
                <w:szCs w:val="18"/>
              </w:rPr>
            </w:pPr>
            <w:r>
              <w:rPr>
                <w:rFonts w:cs="Arial"/>
                <w:bCs/>
                <w:spacing w:val="-2"/>
                <w:w w:val="105"/>
                <w:szCs w:val="18"/>
              </w:rPr>
              <w:t>[</w:t>
            </w:r>
            <w:r w:rsidRPr="00B21C59">
              <w:rPr>
                <w:rFonts w:cs="Arial"/>
                <w:bCs/>
                <w:spacing w:val="-2"/>
                <w:w w:val="105"/>
                <w:szCs w:val="18"/>
              </w:rPr>
              <w:t>As per current approved label]</w:t>
            </w:r>
          </w:p>
        </w:tc>
        <w:tc>
          <w:tcPr>
            <w:tcW w:w="3760" w:type="dxa"/>
            <w:vMerge w:val="restart"/>
          </w:tcPr>
          <w:p w14:paraId="0D54B738" w14:textId="6C9B8E11" w:rsidR="008E67EA" w:rsidRDefault="008E67EA" w:rsidP="00B44A74">
            <w:pPr>
              <w:spacing w:after="120" w:line="240" w:lineRule="exact"/>
              <w:rPr>
                <w:rFonts w:cs="Arial"/>
                <w:bCs/>
                <w:color w:val="000000" w:themeColor="text1"/>
                <w:spacing w:val="-2"/>
                <w:w w:val="105"/>
                <w:szCs w:val="18"/>
              </w:rPr>
            </w:pPr>
            <w:r w:rsidRPr="00C92346">
              <w:rPr>
                <w:rFonts w:cs="Arial"/>
                <w:bCs/>
                <w:color w:val="000000" w:themeColor="text1"/>
                <w:spacing w:val="-2"/>
                <w:w w:val="105"/>
                <w:szCs w:val="18"/>
              </w:rPr>
              <w:t>Place bait stations in infested area along walls or rafters and in dark sheltered spots where there are signs of rodent activity</w:t>
            </w:r>
            <w:r>
              <w:rPr>
                <w:rFonts w:cs="Arial"/>
                <w:bCs/>
                <w:color w:val="000000" w:themeColor="text1"/>
                <w:spacing w:val="-2"/>
                <w:w w:val="105"/>
                <w:szCs w:val="18"/>
              </w:rPr>
              <w:t>. DO NOT touch bait.</w:t>
            </w:r>
          </w:p>
          <w:p w14:paraId="06058DBA" w14:textId="26A61B30" w:rsidR="008E67EA" w:rsidRPr="00C92346" w:rsidRDefault="008E67EA" w:rsidP="00B44A74">
            <w:pPr>
              <w:spacing w:after="120" w:line="240" w:lineRule="exact"/>
              <w:rPr>
                <w:rFonts w:cs="Arial"/>
                <w:bCs/>
                <w:color w:val="000000" w:themeColor="text1"/>
                <w:spacing w:val="-2"/>
                <w:w w:val="105"/>
                <w:szCs w:val="18"/>
              </w:rPr>
            </w:pPr>
            <w:r>
              <w:rPr>
                <w:rFonts w:cs="Arial"/>
                <w:bCs/>
                <w:color w:val="000000" w:themeColor="text1"/>
                <w:spacing w:val="-2"/>
                <w:w w:val="105"/>
                <w:szCs w:val="18"/>
              </w:rPr>
              <w:t>Mice require bait stations in several locations whereas rats require large quantities of bait in one or 2 locations.</w:t>
            </w:r>
          </w:p>
          <w:p w14:paraId="1E1ADCC2" w14:textId="77777777" w:rsidR="008E67EA" w:rsidRPr="00C92346" w:rsidRDefault="008E67EA" w:rsidP="00B44A74">
            <w:pPr>
              <w:spacing w:after="120" w:line="240" w:lineRule="exact"/>
              <w:rPr>
                <w:rFonts w:cs="Arial"/>
                <w:bCs/>
                <w:color w:val="000000" w:themeColor="text1"/>
                <w:spacing w:val="-2"/>
                <w:w w:val="105"/>
                <w:szCs w:val="18"/>
              </w:rPr>
            </w:pPr>
            <w:r w:rsidRPr="00C92346">
              <w:rPr>
                <w:rFonts w:cs="Arial"/>
                <w:bCs/>
                <w:color w:val="000000" w:themeColor="text1"/>
                <w:spacing w:val="-2"/>
                <w:w w:val="105"/>
                <w:szCs w:val="18"/>
              </w:rPr>
              <w:t>DO NOT exceed 3 m between bait stations for mice or 9 m for rats.</w:t>
            </w:r>
          </w:p>
        </w:tc>
      </w:tr>
      <w:tr w:rsidR="008E67EA" w:rsidRPr="00B21C59" w14:paraId="2B8FD79B" w14:textId="77777777" w:rsidTr="002C5418">
        <w:trPr>
          <w:trHeight w:val="841"/>
        </w:trPr>
        <w:tc>
          <w:tcPr>
            <w:tcW w:w="2263" w:type="dxa"/>
          </w:tcPr>
          <w:p w14:paraId="49CDDBEA" w14:textId="77777777" w:rsidR="008E67EA" w:rsidRPr="00B21C59" w:rsidRDefault="008E67EA" w:rsidP="00B44A74">
            <w:pPr>
              <w:spacing w:after="120" w:line="240" w:lineRule="exact"/>
              <w:rPr>
                <w:rFonts w:cs="Arial"/>
                <w:bCs/>
                <w:spacing w:val="-2"/>
                <w:w w:val="105"/>
                <w:szCs w:val="18"/>
              </w:rPr>
            </w:pPr>
            <w:r w:rsidRPr="00B21C59">
              <w:rPr>
                <w:rFonts w:cs="Arial"/>
                <w:bCs/>
                <w:spacing w:val="-2"/>
                <w:w w:val="105"/>
                <w:szCs w:val="18"/>
              </w:rPr>
              <w:t>In industrial, commercial, agricultural and domestic buildings.</w:t>
            </w:r>
          </w:p>
        </w:tc>
        <w:tc>
          <w:tcPr>
            <w:tcW w:w="1276" w:type="dxa"/>
          </w:tcPr>
          <w:p w14:paraId="797A750C" w14:textId="77777777" w:rsidR="008E67EA" w:rsidRPr="00B21C59" w:rsidRDefault="008E67EA" w:rsidP="00B44A74">
            <w:pPr>
              <w:spacing w:after="120" w:line="240" w:lineRule="exact"/>
              <w:rPr>
                <w:rFonts w:cs="Arial"/>
                <w:bCs/>
                <w:i/>
                <w:iCs/>
                <w:spacing w:val="-2"/>
                <w:w w:val="105"/>
                <w:szCs w:val="18"/>
              </w:rPr>
            </w:pPr>
            <w:r w:rsidRPr="00B21C59">
              <w:rPr>
                <w:rFonts w:cs="Arial"/>
                <w:bCs/>
                <w:spacing w:val="-2"/>
                <w:w w:val="105"/>
                <w:szCs w:val="18"/>
              </w:rPr>
              <w:t>Mice</w:t>
            </w:r>
          </w:p>
        </w:tc>
        <w:tc>
          <w:tcPr>
            <w:tcW w:w="1701" w:type="dxa"/>
          </w:tcPr>
          <w:p w14:paraId="69E953C7" w14:textId="77777777" w:rsidR="008E67EA" w:rsidRPr="00B21C59" w:rsidRDefault="008E67EA" w:rsidP="00B44A74">
            <w:pPr>
              <w:spacing w:after="120" w:line="240" w:lineRule="exact"/>
              <w:rPr>
                <w:rFonts w:cs="Arial"/>
                <w:bCs/>
                <w:spacing w:val="-2"/>
                <w:w w:val="105"/>
                <w:szCs w:val="18"/>
              </w:rPr>
            </w:pPr>
            <w:r>
              <w:rPr>
                <w:rFonts w:cs="Arial"/>
                <w:bCs/>
                <w:spacing w:val="-2"/>
                <w:w w:val="105"/>
                <w:szCs w:val="18"/>
              </w:rPr>
              <w:t>[</w:t>
            </w:r>
            <w:r w:rsidRPr="00B21C59">
              <w:rPr>
                <w:rFonts w:cs="Arial"/>
                <w:bCs/>
                <w:spacing w:val="-2"/>
                <w:w w:val="105"/>
                <w:szCs w:val="18"/>
              </w:rPr>
              <w:t>As per current approved label]</w:t>
            </w:r>
          </w:p>
        </w:tc>
        <w:tc>
          <w:tcPr>
            <w:tcW w:w="3760" w:type="dxa"/>
            <w:vMerge/>
          </w:tcPr>
          <w:p w14:paraId="373FF467" w14:textId="77777777" w:rsidR="008E67EA" w:rsidRPr="00B21C59" w:rsidRDefault="008E67EA" w:rsidP="00B44A74">
            <w:pPr>
              <w:ind w:firstLine="720"/>
              <w:rPr>
                <w:rFonts w:cs="Arial"/>
                <w:bCs/>
                <w:spacing w:val="-2"/>
                <w:w w:val="105"/>
                <w:szCs w:val="18"/>
                <w:highlight w:val="yellow"/>
              </w:rPr>
            </w:pPr>
          </w:p>
        </w:tc>
      </w:tr>
    </w:tbl>
    <w:p w14:paraId="484F1406" w14:textId="77777777" w:rsidR="008E67EA" w:rsidRPr="00B21C59" w:rsidRDefault="008E67EA" w:rsidP="008E67EA">
      <w:pPr>
        <w:spacing w:line="280" w:lineRule="exact"/>
        <w:rPr>
          <w:rFonts w:cs="Arial"/>
          <w:b/>
          <w:bCs/>
          <w:sz w:val="20"/>
          <w:szCs w:val="20"/>
          <w:highlight w:val="yellow"/>
        </w:rPr>
      </w:pPr>
    </w:p>
    <w:p w14:paraId="1CC0054C" w14:textId="77777777" w:rsidR="008E67EA" w:rsidRPr="00C92346" w:rsidRDefault="008E67EA" w:rsidP="008E67EA">
      <w:pPr>
        <w:spacing w:line="280" w:lineRule="exact"/>
        <w:rPr>
          <w:rFonts w:cs="Arial"/>
          <w:b/>
          <w:bCs/>
          <w:color w:val="000000" w:themeColor="text1"/>
          <w:sz w:val="20"/>
          <w:szCs w:val="20"/>
        </w:rPr>
      </w:pPr>
      <w:r w:rsidRPr="00C92346">
        <w:rPr>
          <w:rFonts w:cs="Arial"/>
          <w:b/>
          <w:bCs/>
          <w:color w:val="000000" w:themeColor="text1"/>
          <w:sz w:val="20"/>
          <w:szCs w:val="20"/>
        </w:rPr>
        <w:t>Baiting Strategy</w:t>
      </w:r>
    </w:p>
    <w:p w14:paraId="0D97E34B" w14:textId="06A15268" w:rsidR="008E67EA" w:rsidRPr="00C92346" w:rsidRDefault="008E67EA" w:rsidP="008E67EA">
      <w:pPr>
        <w:spacing w:line="280" w:lineRule="exact"/>
        <w:rPr>
          <w:rFonts w:cs="Arial"/>
          <w:sz w:val="20"/>
          <w:szCs w:val="20"/>
        </w:rPr>
      </w:pPr>
      <w:r w:rsidRPr="00C92346">
        <w:rPr>
          <w:rFonts w:cs="Arial"/>
          <w:sz w:val="20"/>
          <w:szCs w:val="20"/>
        </w:rPr>
        <w:t>Eliminate as far as practicable all alternative food sources.</w:t>
      </w:r>
    </w:p>
    <w:p w14:paraId="16F76DF2" w14:textId="75E305EB" w:rsidR="008E67EA" w:rsidRPr="00B21C59" w:rsidRDefault="008E67EA" w:rsidP="008E67EA">
      <w:pPr>
        <w:spacing w:line="280" w:lineRule="exact"/>
        <w:rPr>
          <w:rFonts w:eastAsia="Calibri" w:cs="Arial"/>
          <w:sz w:val="20"/>
          <w:szCs w:val="20"/>
          <w:bdr w:val="none" w:sz="0" w:space="0" w:color="auto" w:frame="1"/>
          <w:lang w:val="en-GB" w:eastAsia="en-AU"/>
        </w:rPr>
      </w:pPr>
      <w:r w:rsidRPr="00B21C59">
        <w:rPr>
          <w:rFonts w:eastAsia="Calibri" w:cs="Arial"/>
          <w:sz w:val="20"/>
          <w:szCs w:val="20"/>
          <w:bdr w:val="none" w:sz="0" w:space="0" w:color="auto" w:frame="1"/>
          <w:lang w:val="en-GB" w:eastAsia="en-AU"/>
        </w:rPr>
        <w:t>Survey site prior to treatment, including assessment of the extent of infestation and identification of any indications of the presence of non-target animals. Record the number and locations of bait stations for the purpose of inspection, replacement and later removal.</w:t>
      </w:r>
    </w:p>
    <w:p w14:paraId="2D418B25" w14:textId="77777777" w:rsidR="008E67EA" w:rsidRPr="00B21C59" w:rsidRDefault="008E67EA" w:rsidP="008E67EA">
      <w:pPr>
        <w:spacing w:line="280" w:lineRule="exact"/>
        <w:rPr>
          <w:rFonts w:cs="Arial"/>
          <w:sz w:val="20"/>
          <w:szCs w:val="20"/>
        </w:rPr>
      </w:pPr>
      <w:r w:rsidRPr="00B21C59">
        <w:rPr>
          <w:rFonts w:cs="Arial"/>
          <w:sz w:val="20"/>
          <w:szCs w:val="20"/>
        </w:rPr>
        <w:t>Inspect baits daily. Replace eaten baits. If quickly eaten, increase number of baits. Continue observation and replenish until no more baits are taken. Most rodent deaths occur 4 to 7 days after consumption of bait. Baiting for at least two weeks is necessary to reduce rat/mouse numbers.</w:t>
      </w:r>
    </w:p>
    <w:p w14:paraId="4683E70D" w14:textId="77777777" w:rsidR="008E67EA" w:rsidRPr="000559AD" w:rsidRDefault="008E67EA" w:rsidP="008E67EA">
      <w:pPr>
        <w:spacing w:line="280" w:lineRule="exact"/>
        <w:rPr>
          <w:rFonts w:eastAsia="Calibri" w:cs="Arial"/>
          <w:sz w:val="20"/>
          <w:szCs w:val="20"/>
          <w:bdr w:val="none" w:sz="0" w:space="0" w:color="auto" w:frame="1"/>
          <w:lang w:val="en-GB" w:eastAsia="en-AU"/>
        </w:rPr>
      </w:pPr>
      <w:r w:rsidRPr="00B21C59">
        <w:rPr>
          <w:rFonts w:eastAsia="Calibri" w:cs="Arial"/>
          <w:sz w:val="20"/>
          <w:szCs w:val="20"/>
          <w:bdr w:val="none" w:sz="0" w:space="0" w:color="auto" w:frame="1"/>
          <w:lang w:val="en-GB" w:eastAsia="en-AU"/>
        </w:rPr>
        <w:t>DO NOT use the product beyond 35 days without an evaluation of the state of the infestation and of the efficacy of the treatment.</w:t>
      </w:r>
      <w:r w:rsidRPr="00B21C59">
        <w:rPr>
          <w:rFonts w:cs="Arial"/>
          <w:sz w:val="20"/>
          <w:szCs w:val="20"/>
        </w:rPr>
        <w:t xml:space="preserve"> </w:t>
      </w:r>
      <w:r w:rsidRPr="00B21C59">
        <w:rPr>
          <w:rFonts w:eastAsia="Calibri" w:cs="Arial"/>
          <w:sz w:val="20"/>
          <w:szCs w:val="20"/>
          <w:bdr w:val="none" w:sz="0" w:space="0" w:color="auto" w:frame="1"/>
          <w:lang w:val="en-GB" w:eastAsia="en-AU"/>
        </w:rPr>
        <w:t>Remove all uneaten bait at the end of treatment.</w:t>
      </w:r>
    </w:p>
    <w:p w14:paraId="42788882" w14:textId="059EC529" w:rsidR="008E67EA" w:rsidRDefault="008E67EA" w:rsidP="002C5418">
      <w:pPr>
        <w:spacing w:line="280" w:lineRule="exact"/>
        <w:rPr>
          <w:rFonts w:ascii="Franklin Gothic Medium" w:eastAsia="Arial Unicode MS" w:hAnsi="Franklin Gothic Medium"/>
          <w:bCs/>
          <w:iCs/>
          <w:bdr w:val="none" w:sz="0" w:space="0" w:color="auto" w:frame="1"/>
          <w:lang w:val="en-GB" w:eastAsia="en-AU"/>
        </w:rPr>
      </w:pPr>
      <w:r w:rsidRPr="00FF36BF">
        <w:rPr>
          <w:rFonts w:cs="Arial"/>
          <w:b/>
          <w:bCs/>
          <w:sz w:val="20"/>
          <w:szCs w:val="20"/>
        </w:rPr>
        <w:t>NOT TO BE USED FOR ANY PURPOSE, OR IN ANY MANNER, CONTRARY TO THIS LABEL UNLESS AUTHORISED UNDER APPROPRIATE LEGISLATION.</w:t>
      </w:r>
      <w:r>
        <w:rPr>
          <w:rFonts w:ascii="Franklin Gothic Medium" w:eastAsia="Arial Unicode MS" w:hAnsi="Franklin Gothic Medium"/>
          <w:bCs/>
          <w:iCs/>
          <w:bdr w:val="none" w:sz="0" w:space="0" w:color="auto" w:frame="1"/>
          <w:lang w:val="en-GB" w:eastAsia="en-AU"/>
        </w:rPr>
        <w:br w:type="page"/>
      </w:r>
    </w:p>
    <w:p w14:paraId="2519C622" w14:textId="77777777" w:rsidR="008E67EA" w:rsidRDefault="008E67EA" w:rsidP="008E67EA">
      <w:pPr>
        <w:keepNext/>
        <w:keepLines/>
        <w:spacing w:before="400" w:after="240" w:line="280" w:lineRule="exact"/>
        <w:outlineLvl w:val="1"/>
        <w:rPr>
          <w:rFonts w:ascii="Franklin Gothic Medium" w:eastAsia="Arial Unicode MS" w:hAnsi="Franklin Gothic Medium"/>
          <w:bCs/>
          <w:iCs/>
          <w:bdr w:val="none" w:sz="0" w:space="0" w:color="auto" w:frame="1"/>
          <w:lang w:val="en-GB" w:eastAsia="en-AU"/>
        </w:rPr>
      </w:pPr>
      <w:r w:rsidRPr="00FF36BF">
        <w:rPr>
          <w:rFonts w:ascii="Franklin Gothic Medium" w:eastAsia="Arial Unicode MS" w:hAnsi="Franklin Gothic Medium"/>
          <w:bCs/>
          <w:iCs/>
          <w:bdr w:val="none" w:sz="0" w:space="0" w:color="auto" w:frame="1"/>
          <w:lang w:val="en-GB" w:eastAsia="en-AU"/>
        </w:rPr>
        <w:lastRenderedPageBreak/>
        <w:t>Commercial</w:t>
      </w:r>
      <w:r>
        <w:rPr>
          <w:rFonts w:ascii="Franklin Gothic Medium" w:eastAsia="Arial Unicode MS" w:hAnsi="Franklin Gothic Medium"/>
          <w:bCs/>
          <w:iCs/>
          <w:bdr w:val="none" w:sz="0" w:space="0" w:color="auto" w:frame="1"/>
          <w:lang w:val="en-GB" w:eastAsia="en-AU"/>
        </w:rPr>
        <w:t xml:space="preserve"> pest-control product:</w:t>
      </w:r>
      <w:r w:rsidRPr="000A0365">
        <w:rPr>
          <w:rFonts w:ascii="Franklin Gothic Medium" w:eastAsia="Arial Unicode MS" w:hAnsi="Franklin Gothic Medium"/>
          <w:bCs/>
          <w:iCs/>
          <w:bdr w:val="none" w:sz="0" w:space="0" w:color="auto" w:frame="1"/>
          <w:lang w:val="en-GB" w:eastAsia="en-AU"/>
        </w:rPr>
        <w:t xml:space="preserve"> </w:t>
      </w:r>
      <w:r w:rsidRPr="00B73CCC">
        <w:rPr>
          <w:rFonts w:ascii="Franklin Gothic Medium" w:eastAsia="Arial Unicode MS" w:hAnsi="Franklin Gothic Medium"/>
          <w:bCs/>
          <w:iCs/>
          <w:bdr w:val="none" w:sz="0" w:space="0" w:color="auto" w:frame="1"/>
          <w:lang w:val="en-GB" w:eastAsia="en-AU"/>
        </w:rPr>
        <w:t xml:space="preserve">RB 0.05 g/kg or less in sachet or place pack </w:t>
      </w:r>
    </w:p>
    <w:p w14:paraId="68D2D732" w14:textId="77777777" w:rsidR="008E67EA"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t xml:space="preserve">Template Label </w:t>
      </w:r>
      <w:r>
        <w:rPr>
          <w:rFonts w:cs="Arial"/>
          <w:b/>
          <w:bCs/>
          <w:sz w:val="20"/>
          <w:szCs w:val="20"/>
          <w:bdr w:val="none" w:sz="0" w:space="0" w:color="auto" w:frame="1"/>
          <w:lang w:val="en-GB" w:eastAsia="en-AU"/>
        </w:rPr>
        <w:t>4a</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0D6218" w14:paraId="2A0F4C4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B9698FD" w14:textId="77777777" w:rsidR="008E67EA" w:rsidRPr="00992A39" w:rsidRDefault="008E67EA" w:rsidP="00B44A74">
            <w:pPr>
              <w:spacing w:line="280" w:lineRule="exact"/>
              <w:rPr>
                <w:rFonts w:cs="Arial"/>
                <w:sz w:val="20"/>
                <w:szCs w:val="20"/>
              </w:rPr>
            </w:pPr>
            <w:r w:rsidRPr="00992A39">
              <w:rPr>
                <w:rFonts w:cs="Arial"/>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5B781D77" w14:textId="77777777" w:rsidR="008E67EA" w:rsidRPr="00992A39" w:rsidRDefault="008E67EA" w:rsidP="00B44A74">
            <w:pPr>
              <w:spacing w:line="280" w:lineRule="exact"/>
              <w:rPr>
                <w:rFonts w:cs="Arial"/>
                <w:sz w:val="20"/>
                <w:szCs w:val="20"/>
              </w:rPr>
            </w:pPr>
            <w:r w:rsidRPr="00992A39">
              <w:rPr>
                <w:rFonts w:cs="Arial"/>
                <w:sz w:val="20"/>
                <w:szCs w:val="20"/>
              </w:rPr>
              <w:t>[INSERT LABEL NAME]</w:t>
            </w:r>
          </w:p>
        </w:tc>
      </w:tr>
      <w:tr w:rsidR="008E67EA" w:rsidRPr="000D6218" w14:paraId="1599FAB4" w14:textId="77777777" w:rsidTr="00B44A74">
        <w:trPr>
          <w:jc w:val="center"/>
        </w:trPr>
        <w:tc>
          <w:tcPr>
            <w:tcW w:w="2415" w:type="dxa"/>
            <w:tcBorders>
              <w:top w:val="single" w:sz="4" w:space="0" w:color="auto"/>
              <w:left w:val="nil"/>
              <w:bottom w:val="single" w:sz="4" w:space="0" w:color="auto"/>
              <w:right w:val="nil"/>
            </w:tcBorders>
          </w:tcPr>
          <w:p w14:paraId="27EEF94B" w14:textId="77777777" w:rsidR="008E67EA" w:rsidRPr="00992A39"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5DE8B7D" w14:textId="77777777" w:rsidR="008E67EA" w:rsidRPr="00992A39" w:rsidRDefault="008E67EA" w:rsidP="00B44A74">
            <w:pPr>
              <w:spacing w:line="280" w:lineRule="exact"/>
              <w:rPr>
                <w:rFonts w:cs="Arial"/>
                <w:sz w:val="20"/>
                <w:szCs w:val="20"/>
              </w:rPr>
            </w:pPr>
          </w:p>
        </w:tc>
      </w:tr>
      <w:tr w:rsidR="008E67EA" w:rsidRPr="000D6218" w14:paraId="1728955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F337905" w14:textId="77777777" w:rsidR="008E67EA" w:rsidRPr="00992A39" w:rsidRDefault="008E67EA" w:rsidP="00B44A74">
            <w:pPr>
              <w:spacing w:line="280" w:lineRule="exact"/>
              <w:rPr>
                <w:rFonts w:cs="Arial"/>
                <w:sz w:val="20"/>
                <w:szCs w:val="20"/>
              </w:rPr>
            </w:pPr>
            <w:r w:rsidRPr="00992A39">
              <w:rPr>
                <w:rFonts w:cs="Arial"/>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04B6A669" w14:textId="77777777" w:rsidR="008E67EA" w:rsidRPr="00992A39" w:rsidRDefault="008E67EA" w:rsidP="00B44A74">
            <w:pPr>
              <w:spacing w:line="280" w:lineRule="exact"/>
              <w:rPr>
                <w:rFonts w:cs="Arial"/>
                <w:sz w:val="20"/>
                <w:szCs w:val="20"/>
              </w:rPr>
            </w:pPr>
            <w:r w:rsidRPr="00992A39">
              <w:rPr>
                <w:rFonts w:cs="Arial"/>
                <w:sz w:val="20"/>
                <w:szCs w:val="20"/>
              </w:rPr>
              <w:t>POISON</w:t>
            </w:r>
          </w:p>
          <w:p w14:paraId="6E1ACBB4" w14:textId="77777777" w:rsidR="008E67EA" w:rsidRPr="00992A39" w:rsidRDefault="008E67EA" w:rsidP="00B44A74">
            <w:pPr>
              <w:spacing w:line="280" w:lineRule="exact"/>
              <w:rPr>
                <w:rFonts w:cs="Arial"/>
                <w:sz w:val="20"/>
                <w:szCs w:val="20"/>
              </w:rPr>
            </w:pPr>
            <w:r w:rsidRPr="00992A39">
              <w:rPr>
                <w:rFonts w:cs="Arial"/>
                <w:sz w:val="20"/>
                <w:szCs w:val="20"/>
              </w:rPr>
              <w:t>KEEP OUT OF REACH OF CHILDREN</w:t>
            </w:r>
          </w:p>
          <w:p w14:paraId="1505B620" w14:textId="77777777" w:rsidR="008E67EA" w:rsidRPr="00992A39" w:rsidRDefault="008E67EA" w:rsidP="00B44A74">
            <w:pPr>
              <w:spacing w:line="280" w:lineRule="exact"/>
              <w:rPr>
                <w:rFonts w:cs="Arial"/>
                <w:sz w:val="20"/>
                <w:szCs w:val="20"/>
              </w:rPr>
            </w:pPr>
            <w:r w:rsidRPr="00992A39">
              <w:rPr>
                <w:rFonts w:cs="Arial"/>
                <w:sz w:val="20"/>
                <w:szCs w:val="20"/>
              </w:rPr>
              <w:t>READ SAFETY DIRECTIONS BEFORE OPSENING OR USING</w:t>
            </w:r>
          </w:p>
        </w:tc>
      </w:tr>
      <w:tr w:rsidR="008E67EA" w:rsidRPr="000D6218" w14:paraId="62220805" w14:textId="77777777" w:rsidTr="00B44A74">
        <w:trPr>
          <w:jc w:val="center"/>
        </w:trPr>
        <w:tc>
          <w:tcPr>
            <w:tcW w:w="2415" w:type="dxa"/>
            <w:tcBorders>
              <w:top w:val="single" w:sz="4" w:space="0" w:color="auto"/>
              <w:left w:val="nil"/>
              <w:bottom w:val="single" w:sz="4" w:space="0" w:color="auto"/>
              <w:right w:val="nil"/>
            </w:tcBorders>
          </w:tcPr>
          <w:p w14:paraId="0AF4CD92" w14:textId="77777777" w:rsidR="008E67EA" w:rsidRPr="00992A39"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C7F13A8" w14:textId="77777777" w:rsidR="008E67EA" w:rsidRPr="00992A39" w:rsidRDefault="008E67EA" w:rsidP="00B44A74">
            <w:pPr>
              <w:spacing w:line="280" w:lineRule="exact"/>
              <w:rPr>
                <w:rFonts w:cs="Arial"/>
                <w:sz w:val="20"/>
                <w:szCs w:val="20"/>
              </w:rPr>
            </w:pPr>
          </w:p>
        </w:tc>
      </w:tr>
      <w:tr w:rsidR="008E67EA" w:rsidRPr="000D6218" w14:paraId="44836FB9"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E9A888C" w14:textId="77777777" w:rsidR="008E67EA" w:rsidRPr="00992A39" w:rsidRDefault="008E67EA" w:rsidP="00B44A74">
            <w:pPr>
              <w:spacing w:line="280" w:lineRule="exact"/>
              <w:rPr>
                <w:rFonts w:cs="Arial"/>
                <w:sz w:val="20"/>
                <w:szCs w:val="20"/>
              </w:rPr>
            </w:pPr>
            <w:r w:rsidRPr="00992A39">
              <w:rPr>
                <w:rFonts w:cs="Arial"/>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19754FCF" w14:textId="77777777" w:rsidR="008E67EA" w:rsidRPr="00992A39" w:rsidRDefault="008E67EA" w:rsidP="00B44A74">
            <w:pPr>
              <w:spacing w:line="280" w:lineRule="exact"/>
              <w:rPr>
                <w:rFonts w:cs="Arial"/>
                <w:sz w:val="20"/>
                <w:szCs w:val="20"/>
              </w:rPr>
            </w:pPr>
            <w:r w:rsidRPr="00992A39">
              <w:rPr>
                <w:rFonts w:cs="Arial"/>
                <w:sz w:val="20"/>
                <w:szCs w:val="20"/>
              </w:rPr>
              <w:t>ACTIVE CONSTITUENT: 0.05 g/kg BRODIFACOUM</w:t>
            </w:r>
          </w:p>
        </w:tc>
      </w:tr>
      <w:tr w:rsidR="008E67EA" w:rsidRPr="000D6218" w14:paraId="668D68ED" w14:textId="77777777" w:rsidTr="00B44A74">
        <w:trPr>
          <w:jc w:val="center"/>
        </w:trPr>
        <w:tc>
          <w:tcPr>
            <w:tcW w:w="2415" w:type="dxa"/>
            <w:tcBorders>
              <w:top w:val="single" w:sz="4" w:space="0" w:color="auto"/>
              <w:left w:val="nil"/>
              <w:bottom w:val="single" w:sz="4" w:space="0" w:color="auto"/>
              <w:right w:val="nil"/>
            </w:tcBorders>
          </w:tcPr>
          <w:p w14:paraId="0161D68A" w14:textId="77777777" w:rsidR="008E67EA" w:rsidRPr="00992A39"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17026CE" w14:textId="77777777" w:rsidR="008E67EA" w:rsidRPr="00992A39" w:rsidRDefault="008E67EA" w:rsidP="00B44A74">
            <w:pPr>
              <w:spacing w:line="280" w:lineRule="exact"/>
              <w:rPr>
                <w:rFonts w:cs="Arial"/>
                <w:sz w:val="20"/>
                <w:szCs w:val="20"/>
              </w:rPr>
            </w:pPr>
          </w:p>
        </w:tc>
      </w:tr>
      <w:tr w:rsidR="008E67EA" w:rsidRPr="000D6218" w14:paraId="06A092A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9FF4B5D" w14:textId="77777777" w:rsidR="008E67EA" w:rsidRPr="00992A39" w:rsidRDefault="008E67EA" w:rsidP="00B44A74">
            <w:pPr>
              <w:spacing w:line="280" w:lineRule="exact"/>
              <w:rPr>
                <w:rFonts w:cs="Arial"/>
                <w:sz w:val="20"/>
                <w:szCs w:val="20"/>
              </w:rPr>
            </w:pPr>
            <w:r w:rsidRPr="00992A39">
              <w:rPr>
                <w:rFonts w:cs="Arial"/>
                <w:sz w:val="20"/>
                <w:szCs w:val="20"/>
              </w:rPr>
              <w:t>Mode of Action:</w:t>
            </w:r>
          </w:p>
        </w:tc>
        <w:tc>
          <w:tcPr>
            <w:tcW w:w="7755" w:type="dxa"/>
            <w:tcBorders>
              <w:top w:val="single" w:sz="4" w:space="0" w:color="auto"/>
              <w:left w:val="single" w:sz="4" w:space="0" w:color="auto"/>
              <w:bottom w:val="single" w:sz="4" w:space="0" w:color="auto"/>
              <w:right w:val="single" w:sz="4" w:space="0" w:color="auto"/>
            </w:tcBorders>
          </w:tcPr>
          <w:p w14:paraId="31FB094D" w14:textId="77777777" w:rsidR="008E67EA" w:rsidRPr="00992A39" w:rsidRDefault="008E67EA" w:rsidP="00B44A74">
            <w:pPr>
              <w:spacing w:line="280" w:lineRule="exact"/>
              <w:jc w:val="both"/>
              <w:rPr>
                <w:rFonts w:cs="Arial"/>
                <w:sz w:val="20"/>
                <w:szCs w:val="20"/>
              </w:rPr>
            </w:pPr>
          </w:p>
        </w:tc>
      </w:tr>
      <w:tr w:rsidR="008E67EA" w:rsidRPr="000D6218" w14:paraId="0E664BA6" w14:textId="77777777" w:rsidTr="00B44A74">
        <w:trPr>
          <w:jc w:val="center"/>
        </w:trPr>
        <w:tc>
          <w:tcPr>
            <w:tcW w:w="2415" w:type="dxa"/>
            <w:tcBorders>
              <w:top w:val="single" w:sz="4" w:space="0" w:color="auto"/>
              <w:left w:val="nil"/>
              <w:bottom w:val="single" w:sz="4" w:space="0" w:color="auto"/>
              <w:right w:val="nil"/>
            </w:tcBorders>
          </w:tcPr>
          <w:p w14:paraId="59262B83" w14:textId="77777777" w:rsidR="008E67EA" w:rsidRPr="00992A39"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860388D" w14:textId="77777777" w:rsidR="008E67EA" w:rsidRPr="00992A39" w:rsidRDefault="008E67EA" w:rsidP="00B44A74">
            <w:pPr>
              <w:spacing w:line="280" w:lineRule="exact"/>
              <w:rPr>
                <w:rFonts w:cs="Arial"/>
                <w:sz w:val="20"/>
                <w:szCs w:val="20"/>
              </w:rPr>
            </w:pPr>
          </w:p>
        </w:tc>
      </w:tr>
      <w:tr w:rsidR="008E67EA" w:rsidRPr="000D6218" w14:paraId="7EBE56D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570CB4B" w14:textId="77777777" w:rsidR="008E67EA" w:rsidRPr="00992A39" w:rsidRDefault="008E67EA" w:rsidP="00B44A74">
            <w:pPr>
              <w:spacing w:line="280" w:lineRule="exact"/>
              <w:rPr>
                <w:rFonts w:cs="Arial"/>
                <w:sz w:val="20"/>
                <w:szCs w:val="20"/>
              </w:rPr>
            </w:pPr>
            <w:r w:rsidRPr="00992A39">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5333A143" w14:textId="77777777" w:rsidR="008E67EA" w:rsidRPr="00582001" w:rsidRDefault="008E67EA" w:rsidP="00B44A74">
            <w:pPr>
              <w:spacing w:line="280" w:lineRule="exact"/>
              <w:rPr>
                <w:rFonts w:cs="Arial"/>
                <w:sz w:val="20"/>
                <w:szCs w:val="20"/>
              </w:rPr>
            </w:pPr>
            <w:r w:rsidRPr="00582001">
              <w:rPr>
                <w:rFonts w:cs="Arial"/>
                <w:sz w:val="20"/>
                <w:szCs w:val="20"/>
              </w:rPr>
              <w:t>For the control of mice in industrial, commercial, public services, agricultural and domestic buildings and rats in and around industrial, commercial, public services, agricultural and domestic buildings.</w:t>
            </w:r>
          </w:p>
        </w:tc>
      </w:tr>
      <w:tr w:rsidR="008E67EA" w:rsidRPr="000D6218" w14:paraId="0597D585" w14:textId="77777777" w:rsidTr="00B44A74">
        <w:trPr>
          <w:jc w:val="center"/>
        </w:trPr>
        <w:tc>
          <w:tcPr>
            <w:tcW w:w="2415" w:type="dxa"/>
            <w:tcBorders>
              <w:top w:val="single" w:sz="4" w:space="0" w:color="auto"/>
              <w:left w:val="nil"/>
              <w:bottom w:val="single" w:sz="4" w:space="0" w:color="auto"/>
              <w:right w:val="nil"/>
            </w:tcBorders>
          </w:tcPr>
          <w:p w14:paraId="6716453A" w14:textId="77777777" w:rsidR="008E67EA" w:rsidRPr="00992A39"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C6ABB14" w14:textId="77777777" w:rsidR="008E67EA" w:rsidRPr="00992A39" w:rsidRDefault="008E67EA" w:rsidP="00B44A74">
            <w:pPr>
              <w:spacing w:line="280" w:lineRule="exact"/>
              <w:rPr>
                <w:rFonts w:cs="Arial"/>
                <w:sz w:val="20"/>
                <w:szCs w:val="20"/>
              </w:rPr>
            </w:pPr>
          </w:p>
        </w:tc>
      </w:tr>
      <w:tr w:rsidR="008E67EA" w:rsidRPr="000D6218" w14:paraId="0716506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CE70E55" w14:textId="77777777" w:rsidR="008E67EA" w:rsidRPr="00992A39" w:rsidRDefault="008E67EA" w:rsidP="00B44A74">
            <w:pPr>
              <w:spacing w:line="280" w:lineRule="exact"/>
              <w:rPr>
                <w:rFonts w:cs="Arial"/>
                <w:sz w:val="20"/>
                <w:szCs w:val="20"/>
              </w:rPr>
            </w:pPr>
            <w:r w:rsidRPr="00992A39">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371DA381" w14:textId="77777777" w:rsidR="008E67EA" w:rsidRPr="00992A39" w:rsidRDefault="008E67EA" w:rsidP="00B44A74">
            <w:pPr>
              <w:spacing w:line="280" w:lineRule="exact"/>
              <w:rPr>
                <w:rFonts w:cs="Arial"/>
                <w:sz w:val="20"/>
                <w:szCs w:val="20"/>
              </w:rPr>
            </w:pPr>
            <w:r w:rsidRPr="00992A39">
              <w:rPr>
                <w:rFonts w:cs="Arial"/>
                <w:sz w:val="20"/>
                <w:szCs w:val="20"/>
              </w:rPr>
              <w:t xml:space="preserve">[INSERT NET CONTENTS] </w:t>
            </w:r>
          </w:p>
        </w:tc>
      </w:tr>
      <w:tr w:rsidR="008E67EA" w:rsidRPr="000D6218" w14:paraId="13C4DE9C" w14:textId="77777777" w:rsidTr="00B44A74">
        <w:trPr>
          <w:jc w:val="center"/>
        </w:trPr>
        <w:tc>
          <w:tcPr>
            <w:tcW w:w="2415" w:type="dxa"/>
            <w:tcBorders>
              <w:top w:val="single" w:sz="4" w:space="0" w:color="auto"/>
              <w:left w:val="nil"/>
              <w:bottom w:val="single" w:sz="4" w:space="0" w:color="auto"/>
              <w:right w:val="nil"/>
            </w:tcBorders>
          </w:tcPr>
          <w:p w14:paraId="7E1820CA" w14:textId="77777777" w:rsidR="008E67EA" w:rsidRPr="00992A39"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EAED240" w14:textId="77777777" w:rsidR="008E67EA" w:rsidRPr="00992A39" w:rsidRDefault="008E67EA" w:rsidP="00B44A74">
            <w:pPr>
              <w:spacing w:line="280" w:lineRule="exact"/>
              <w:rPr>
                <w:rFonts w:cs="Arial"/>
                <w:sz w:val="20"/>
                <w:szCs w:val="20"/>
              </w:rPr>
            </w:pPr>
          </w:p>
        </w:tc>
      </w:tr>
      <w:tr w:rsidR="008E67EA" w:rsidRPr="000D6218" w14:paraId="75F3B43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29CB5CE" w14:textId="77777777" w:rsidR="008E67EA" w:rsidRPr="00992A39" w:rsidRDefault="008E67EA" w:rsidP="00B44A74">
            <w:pPr>
              <w:spacing w:line="280" w:lineRule="exact"/>
              <w:rPr>
                <w:rFonts w:cs="Arial"/>
                <w:sz w:val="20"/>
                <w:szCs w:val="20"/>
              </w:rPr>
            </w:pPr>
            <w:r w:rsidRPr="00992A39">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50F75CFA" w14:textId="77777777" w:rsidR="008E67EA" w:rsidRPr="00992A39" w:rsidRDefault="008E67EA" w:rsidP="00B44A74">
            <w:pPr>
              <w:spacing w:line="280" w:lineRule="exact"/>
              <w:rPr>
                <w:rFonts w:cs="Arial"/>
                <w:sz w:val="20"/>
                <w:szCs w:val="20"/>
                <w:bdr w:val="none" w:sz="0" w:space="0" w:color="auto" w:frame="1"/>
                <w:lang w:val="en-GB" w:eastAsia="en-AU"/>
              </w:rPr>
            </w:pPr>
            <w:r w:rsidRPr="00992A39">
              <w:rPr>
                <w:rFonts w:cs="Arial"/>
                <w:sz w:val="20"/>
                <w:szCs w:val="20"/>
                <w:bdr w:val="none" w:sz="0" w:space="0" w:color="auto" w:frame="1"/>
                <w:lang w:val="en-GB" w:eastAsia="en-AU"/>
              </w:rPr>
              <w:t>RESTRAINTS</w:t>
            </w:r>
          </w:p>
          <w:p w14:paraId="3CB6C50E" w14:textId="77777777" w:rsidR="008E67EA" w:rsidRPr="00992A39" w:rsidRDefault="008E67EA" w:rsidP="00B44A74">
            <w:pPr>
              <w:spacing w:line="280" w:lineRule="exact"/>
              <w:rPr>
                <w:rFonts w:cs="Arial"/>
                <w:sz w:val="20"/>
                <w:szCs w:val="20"/>
                <w:bdr w:val="none" w:sz="0" w:space="0" w:color="auto" w:frame="1"/>
                <w:lang w:val="en-GB" w:eastAsia="en-AU"/>
              </w:rPr>
            </w:pPr>
            <w:r w:rsidRPr="00992A39">
              <w:rPr>
                <w:rFonts w:cs="Arial"/>
                <w:sz w:val="20"/>
                <w:szCs w:val="20"/>
                <w:bdr w:val="none" w:sz="0" w:space="0" w:color="auto" w:frame="1"/>
                <w:lang w:val="en-GB" w:eastAsia="en-AU"/>
              </w:rPr>
              <w:t>DO NOT use this product unless you have a current qualification in the nationally recognised training course for rodent pest management CPPUPM3006 - Manage pests by applying pesticides, or an equivalent unit of competency.</w:t>
            </w:r>
          </w:p>
          <w:p w14:paraId="4AB27996" w14:textId="77777777" w:rsidR="008E67EA" w:rsidRPr="00992A39" w:rsidRDefault="008E67EA" w:rsidP="00B44A74">
            <w:pPr>
              <w:spacing w:line="280" w:lineRule="exact"/>
              <w:rPr>
                <w:rFonts w:cs="Arial"/>
                <w:sz w:val="20"/>
                <w:szCs w:val="20"/>
                <w:bdr w:val="none" w:sz="0" w:space="0" w:color="auto" w:frame="1"/>
                <w:lang w:val="en-GB" w:eastAsia="en-AU"/>
              </w:rPr>
            </w:pPr>
            <w:r w:rsidRPr="00992A39">
              <w:rPr>
                <w:rFonts w:cs="Arial"/>
                <w:sz w:val="20"/>
                <w:szCs w:val="20"/>
                <w:bdr w:val="none" w:sz="0" w:space="0" w:color="auto" w:frame="1"/>
                <w:lang w:val="en-GB" w:eastAsia="en-AU"/>
              </w:rPr>
              <w:t>DO NOT place baits in areas that are accessible to children. In child-accessible areas baits must be placed in tamper-</w:t>
            </w:r>
            <w:r>
              <w:rPr>
                <w:rFonts w:cs="Arial"/>
                <w:sz w:val="20"/>
                <w:szCs w:val="20"/>
                <w:bdr w:val="none" w:sz="0" w:space="0" w:color="auto" w:frame="1"/>
                <w:lang w:val="en-GB" w:eastAsia="en-AU"/>
              </w:rPr>
              <w:t>resistant</w:t>
            </w:r>
            <w:r w:rsidRPr="00D42DB3">
              <w:rPr>
                <w:rFonts w:cs="Arial"/>
                <w:sz w:val="20"/>
                <w:szCs w:val="20"/>
                <w:bdr w:val="none" w:sz="0" w:space="0" w:color="auto" w:frame="1"/>
                <w:lang w:val="en-GB" w:eastAsia="en-AU"/>
              </w:rPr>
              <w:t xml:space="preserve"> </w:t>
            </w:r>
            <w:r w:rsidRPr="00992A39">
              <w:rPr>
                <w:rFonts w:cs="Arial"/>
                <w:sz w:val="20"/>
                <w:szCs w:val="20"/>
                <w:bdr w:val="none" w:sz="0" w:space="0" w:color="auto" w:frame="1"/>
                <w:lang w:val="en-GB" w:eastAsia="en-AU"/>
              </w:rPr>
              <w:t xml:space="preserve">bait stations. If bait can be dislodged from bait station, bait station must be secured in place. </w:t>
            </w:r>
          </w:p>
          <w:p w14:paraId="3BEF3E9E" w14:textId="77777777" w:rsidR="008E67EA" w:rsidRPr="00992A39" w:rsidRDefault="008E67EA" w:rsidP="00B44A74">
            <w:pPr>
              <w:spacing w:line="280" w:lineRule="exact"/>
              <w:rPr>
                <w:rFonts w:cs="Arial"/>
                <w:sz w:val="20"/>
                <w:szCs w:val="20"/>
                <w:bdr w:val="none" w:sz="0" w:space="0" w:color="auto" w:frame="1"/>
                <w:lang w:val="en-GB" w:eastAsia="en-AU"/>
              </w:rPr>
            </w:pPr>
            <w:r w:rsidRPr="00992A39">
              <w:rPr>
                <w:rFonts w:cs="Arial"/>
                <w:sz w:val="20"/>
                <w:szCs w:val="20"/>
                <w:bdr w:val="none" w:sz="0" w:space="0" w:color="auto" w:frame="1"/>
                <w:lang w:val="en-GB" w:eastAsia="en-AU"/>
              </w:rPr>
              <w:t>DO NOT place bait outdoors unless it is in a tamper</w:t>
            </w:r>
            <w:r>
              <w:rPr>
                <w:rFonts w:cs="Arial"/>
                <w:sz w:val="20"/>
                <w:szCs w:val="20"/>
                <w:bdr w:val="none" w:sz="0" w:space="0" w:color="auto" w:frame="1"/>
                <w:lang w:val="en-GB" w:eastAsia="en-AU"/>
              </w:rPr>
              <w:t>-resistant</w:t>
            </w:r>
            <w:r w:rsidRPr="00D42DB3">
              <w:rPr>
                <w:rFonts w:cs="Arial"/>
                <w:sz w:val="20"/>
                <w:szCs w:val="20"/>
                <w:bdr w:val="none" w:sz="0" w:space="0" w:color="auto" w:frame="1"/>
                <w:lang w:val="en-GB" w:eastAsia="en-AU"/>
              </w:rPr>
              <w:t xml:space="preserve"> </w:t>
            </w:r>
            <w:r w:rsidRPr="00992A39">
              <w:rPr>
                <w:rFonts w:cs="Arial"/>
                <w:sz w:val="20"/>
                <w:szCs w:val="20"/>
                <w:bdr w:val="none" w:sz="0" w:space="0" w:color="auto" w:frame="1"/>
                <w:lang w:val="en-GB" w:eastAsia="en-AU"/>
              </w:rPr>
              <w:t>bait station which is secured in place.</w:t>
            </w:r>
          </w:p>
          <w:p w14:paraId="6442060B" w14:textId="77777777" w:rsidR="008E67EA" w:rsidRPr="00992A39" w:rsidRDefault="008E67EA" w:rsidP="00B44A74">
            <w:pPr>
              <w:spacing w:line="280" w:lineRule="exact"/>
              <w:rPr>
                <w:rFonts w:cs="Arial"/>
                <w:sz w:val="20"/>
                <w:szCs w:val="20"/>
                <w:bdr w:val="none" w:sz="0" w:space="0" w:color="auto" w:frame="1"/>
                <w:lang w:val="en-GB" w:eastAsia="en-AU"/>
              </w:rPr>
            </w:pPr>
            <w:r w:rsidRPr="00992A39">
              <w:rPr>
                <w:rFonts w:cs="Arial"/>
                <w:sz w:val="20"/>
                <w:szCs w:val="20"/>
                <w:bdr w:val="none" w:sz="0" w:space="0" w:color="auto" w:frame="1"/>
                <w:lang w:val="en-GB" w:eastAsia="en-AU"/>
              </w:rPr>
              <w:t>DO NOT place bait stations more than 2 meters from buildings.</w:t>
            </w:r>
          </w:p>
          <w:p w14:paraId="53EEBB3F" w14:textId="77777777" w:rsidR="008E67EA" w:rsidRPr="00992A39" w:rsidRDefault="008E67EA" w:rsidP="00B44A74">
            <w:pPr>
              <w:spacing w:line="280" w:lineRule="exact"/>
              <w:rPr>
                <w:rFonts w:cs="Arial"/>
                <w:sz w:val="20"/>
                <w:szCs w:val="20"/>
                <w:bdr w:val="none" w:sz="0" w:space="0" w:color="auto" w:frame="1"/>
                <w:lang w:val="en-GB" w:eastAsia="en-AU"/>
              </w:rPr>
            </w:pPr>
            <w:r w:rsidRPr="00992A39">
              <w:rPr>
                <w:rFonts w:cs="Arial"/>
                <w:sz w:val="20"/>
                <w:szCs w:val="20"/>
                <w:bdr w:val="none" w:sz="0" w:space="0" w:color="auto" w:frame="1"/>
                <w:lang w:val="en-GB" w:eastAsia="en-AU"/>
              </w:rPr>
              <w:t>DO NOT place bait stations outdoors around buildings for control of mice.</w:t>
            </w:r>
          </w:p>
          <w:p w14:paraId="08924545" w14:textId="77777777" w:rsidR="008E67EA" w:rsidRPr="00992A39" w:rsidRDefault="008E67EA" w:rsidP="00B44A74">
            <w:pPr>
              <w:spacing w:line="280" w:lineRule="exact"/>
              <w:rPr>
                <w:rFonts w:cs="Arial"/>
                <w:sz w:val="20"/>
                <w:szCs w:val="20"/>
                <w:bdr w:val="none" w:sz="0" w:space="0" w:color="auto" w:frame="1"/>
                <w:lang w:val="en-GB" w:eastAsia="en-AU"/>
              </w:rPr>
            </w:pPr>
            <w:r w:rsidRPr="00992A39">
              <w:rPr>
                <w:rFonts w:cs="Arial"/>
                <w:sz w:val="20"/>
                <w:szCs w:val="20"/>
                <w:bdr w:val="none" w:sz="0" w:space="0" w:color="auto" w:frame="1"/>
                <w:lang w:val="en-GB" w:eastAsia="en-AU"/>
              </w:rPr>
              <w:t>DO NOT bait in areas where wildlife may be collected for human consumption.</w:t>
            </w:r>
          </w:p>
          <w:p w14:paraId="6E781253" w14:textId="77777777" w:rsidR="008E67EA" w:rsidRPr="00992A39" w:rsidRDefault="008E67EA" w:rsidP="00B44A74">
            <w:pPr>
              <w:spacing w:line="280" w:lineRule="exact"/>
              <w:rPr>
                <w:rFonts w:cs="Arial"/>
                <w:sz w:val="20"/>
                <w:szCs w:val="20"/>
                <w:bdr w:val="none" w:sz="0" w:space="0" w:color="auto" w:frame="1"/>
                <w:lang w:val="en-GB" w:eastAsia="en-AU"/>
              </w:rPr>
            </w:pPr>
            <w:r w:rsidRPr="00992A39">
              <w:rPr>
                <w:rFonts w:cs="Arial"/>
                <w:sz w:val="20"/>
                <w:szCs w:val="20"/>
                <w:bdr w:val="none" w:sz="0" w:space="0" w:color="auto" w:frame="1"/>
                <w:lang w:val="en-GB" w:eastAsia="en-AU"/>
              </w:rPr>
              <w:t>DO NOT place in animal or livestock housing unless used in tamper proof and weather resistant bait stations fixed to the ground or other structures.</w:t>
            </w:r>
          </w:p>
          <w:p w14:paraId="0F63E514" w14:textId="77777777" w:rsidR="008E67EA" w:rsidRPr="00992A39" w:rsidRDefault="008E67EA" w:rsidP="00B44A74">
            <w:pPr>
              <w:spacing w:line="280" w:lineRule="exact"/>
              <w:rPr>
                <w:rFonts w:cs="Arial"/>
                <w:sz w:val="20"/>
                <w:szCs w:val="20"/>
                <w:bdr w:val="none" w:sz="0" w:space="0" w:color="auto" w:frame="1"/>
                <w:lang w:val="en-GB" w:eastAsia="en-AU"/>
              </w:rPr>
            </w:pPr>
            <w:r w:rsidRPr="00992A39">
              <w:rPr>
                <w:rFonts w:cs="Arial"/>
                <w:sz w:val="20"/>
                <w:szCs w:val="20"/>
                <w:bdr w:val="none" w:sz="0" w:space="0" w:color="auto" w:frame="1"/>
                <w:lang w:val="en-GB" w:eastAsia="en-AU"/>
              </w:rPr>
              <w:t>DO NOT place bait or bait stations above areas which would allow them to contaminate pig and poultry food or drinking water.</w:t>
            </w:r>
          </w:p>
          <w:p w14:paraId="0657EB8A" w14:textId="77777777" w:rsidR="008E67EA" w:rsidRPr="00992A39" w:rsidRDefault="008E67EA" w:rsidP="00B44A74">
            <w:pPr>
              <w:spacing w:line="280" w:lineRule="exact"/>
              <w:rPr>
                <w:rFonts w:cs="Arial"/>
                <w:sz w:val="20"/>
                <w:szCs w:val="20"/>
                <w:bdr w:val="none" w:sz="0" w:space="0" w:color="auto" w:frame="1"/>
                <w:lang w:val="en-GB" w:eastAsia="en-AU"/>
              </w:rPr>
            </w:pPr>
            <w:r w:rsidRPr="00992A39">
              <w:rPr>
                <w:rFonts w:cs="Arial"/>
                <w:sz w:val="20"/>
                <w:szCs w:val="20"/>
                <w:bdr w:val="none" w:sz="0" w:space="0" w:color="auto" w:frame="1"/>
                <w:lang w:val="en-GB" w:eastAsia="en-AU"/>
              </w:rPr>
              <w:t>DO NOT apply this product directly into burrows.</w:t>
            </w:r>
          </w:p>
        </w:tc>
      </w:tr>
      <w:tr w:rsidR="008E67EA" w:rsidRPr="000D6218" w14:paraId="02D10D11" w14:textId="77777777" w:rsidTr="00B44A74">
        <w:trPr>
          <w:jc w:val="center"/>
        </w:trPr>
        <w:tc>
          <w:tcPr>
            <w:tcW w:w="2415" w:type="dxa"/>
            <w:tcBorders>
              <w:top w:val="single" w:sz="4" w:space="0" w:color="auto"/>
              <w:left w:val="nil"/>
              <w:bottom w:val="single" w:sz="4" w:space="0" w:color="auto"/>
              <w:right w:val="nil"/>
            </w:tcBorders>
          </w:tcPr>
          <w:p w14:paraId="2156A7AF" w14:textId="77777777" w:rsidR="008E67EA" w:rsidRPr="00992A39"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46BB37A" w14:textId="77777777" w:rsidR="008E67EA" w:rsidRPr="00992A39" w:rsidRDefault="008E67EA" w:rsidP="00B44A74">
            <w:pPr>
              <w:spacing w:line="280" w:lineRule="exact"/>
              <w:rPr>
                <w:rFonts w:cs="Arial"/>
                <w:sz w:val="20"/>
                <w:szCs w:val="20"/>
              </w:rPr>
            </w:pPr>
          </w:p>
        </w:tc>
      </w:tr>
      <w:tr w:rsidR="008E67EA" w:rsidRPr="000D6218" w14:paraId="506CAC5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8EEEC11" w14:textId="77777777" w:rsidR="008E67EA" w:rsidRPr="00992A39" w:rsidRDefault="008E67EA" w:rsidP="00B44A74">
            <w:pPr>
              <w:spacing w:line="280" w:lineRule="exact"/>
              <w:rPr>
                <w:rFonts w:cs="Arial"/>
                <w:sz w:val="20"/>
                <w:szCs w:val="20"/>
              </w:rPr>
            </w:pPr>
            <w:r w:rsidRPr="00992A39">
              <w:rPr>
                <w:rFonts w:cs="Arial"/>
                <w:sz w:val="20"/>
                <w:szCs w:val="20"/>
              </w:rPr>
              <w:t>Directions for Use:</w:t>
            </w:r>
          </w:p>
        </w:tc>
        <w:tc>
          <w:tcPr>
            <w:tcW w:w="7755" w:type="dxa"/>
            <w:tcBorders>
              <w:top w:val="single" w:sz="4" w:space="0" w:color="auto"/>
              <w:left w:val="single" w:sz="4" w:space="0" w:color="auto"/>
              <w:bottom w:val="single" w:sz="4" w:space="0" w:color="auto"/>
              <w:right w:val="single" w:sz="4" w:space="0" w:color="auto"/>
            </w:tcBorders>
          </w:tcPr>
          <w:p w14:paraId="70E30611" w14:textId="77777777" w:rsidR="008E67EA" w:rsidRPr="00992A39" w:rsidRDefault="008E67EA" w:rsidP="00B44A74">
            <w:pPr>
              <w:spacing w:line="280" w:lineRule="exact"/>
              <w:rPr>
                <w:rFonts w:cs="Arial"/>
                <w:sz w:val="20"/>
                <w:szCs w:val="20"/>
              </w:rPr>
            </w:pPr>
            <w:r w:rsidRPr="00B832BB">
              <w:rPr>
                <w:rFonts w:cs="Arial"/>
                <w:sz w:val="20"/>
                <w:szCs w:val="20"/>
              </w:rPr>
              <w:t>[This section contains an attachment below]</w:t>
            </w:r>
          </w:p>
        </w:tc>
      </w:tr>
      <w:tr w:rsidR="008E67EA" w:rsidRPr="000D6218" w14:paraId="1B1D11BB" w14:textId="77777777" w:rsidTr="00B44A74">
        <w:trPr>
          <w:jc w:val="center"/>
        </w:trPr>
        <w:tc>
          <w:tcPr>
            <w:tcW w:w="2415" w:type="dxa"/>
            <w:tcBorders>
              <w:top w:val="single" w:sz="4" w:space="0" w:color="auto"/>
              <w:left w:val="nil"/>
              <w:bottom w:val="single" w:sz="4" w:space="0" w:color="auto"/>
              <w:right w:val="nil"/>
            </w:tcBorders>
          </w:tcPr>
          <w:p w14:paraId="741D6517" w14:textId="77777777" w:rsidR="008E67EA" w:rsidRPr="00992A39"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6BC267B" w14:textId="77777777" w:rsidR="008E67EA" w:rsidRPr="00992A39" w:rsidRDefault="008E67EA" w:rsidP="00B44A74">
            <w:pPr>
              <w:spacing w:line="280" w:lineRule="exact"/>
              <w:rPr>
                <w:rFonts w:cs="Arial"/>
                <w:sz w:val="20"/>
                <w:szCs w:val="20"/>
              </w:rPr>
            </w:pPr>
          </w:p>
        </w:tc>
      </w:tr>
      <w:tr w:rsidR="008E67EA" w:rsidRPr="000D6218" w14:paraId="1CB54F3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53DECA1" w14:textId="77777777" w:rsidR="008E67EA" w:rsidRPr="00992A39" w:rsidRDefault="008E67EA" w:rsidP="00B44A74">
            <w:pPr>
              <w:spacing w:line="280" w:lineRule="exact"/>
              <w:rPr>
                <w:rFonts w:cs="Arial"/>
                <w:sz w:val="20"/>
                <w:szCs w:val="20"/>
              </w:rPr>
            </w:pPr>
            <w:r w:rsidRPr="00992A39">
              <w:rPr>
                <w:rFonts w:cs="Arial"/>
                <w:sz w:val="20"/>
                <w:szCs w:val="20"/>
              </w:rPr>
              <w:t>Other Limitations:</w:t>
            </w:r>
          </w:p>
        </w:tc>
        <w:tc>
          <w:tcPr>
            <w:tcW w:w="7755" w:type="dxa"/>
            <w:tcBorders>
              <w:top w:val="single" w:sz="4" w:space="0" w:color="auto"/>
              <w:left w:val="single" w:sz="4" w:space="0" w:color="auto"/>
              <w:bottom w:val="single" w:sz="4" w:space="0" w:color="auto"/>
              <w:right w:val="single" w:sz="4" w:space="0" w:color="auto"/>
            </w:tcBorders>
          </w:tcPr>
          <w:p w14:paraId="73ABB114" w14:textId="77777777" w:rsidR="008E67EA" w:rsidRPr="00992A39" w:rsidRDefault="008E67EA" w:rsidP="00B44A74">
            <w:pPr>
              <w:spacing w:line="280" w:lineRule="exact"/>
              <w:rPr>
                <w:rFonts w:cs="Arial"/>
                <w:sz w:val="20"/>
                <w:szCs w:val="20"/>
              </w:rPr>
            </w:pPr>
          </w:p>
        </w:tc>
      </w:tr>
      <w:tr w:rsidR="008E67EA" w:rsidRPr="000D6218" w14:paraId="2A651199" w14:textId="77777777" w:rsidTr="00B44A74">
        <w:trPr>
          <w:jc w:val="center"/>
        </w:trPr>
        <w:tc>
          <w:tcPr>
            <w:tcW w:w="2415" w:type="dxa"/>
            <w:tcBorders>
              <w:top w:val="single" w:sz="4" w:space="0" w:color="auto"/>
              <w:left w:val="nil"/>
              <w:bottom w:val="single" w:sz="4" w:space="0" w:color="auto"/>
              <w:right w:val="nil"/>
            </w:tcBorders>
          </w:tcPr>
          <w:p w14:paraId="72ADC47A" w14:textId="77777777" w:rsidR="008E67EA" w:rsidRPr="00992A39"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F577D0D" w14:textId="77777777" w:rsidR="008E67EA" w:rsidRPr="00992A39" w:rsidRDefault="008E67EA" w:rsidP="00B44A74">
            <w:pPr>
              <w:spacing w:line="280" w:lineRule="exact"/>
              <w:rPr>
                <w:rFonts w:cs="Arial"/>
                <w:sz w:val="20"/>
                <w:szCs w:val="20"/>
              </w:rPr>
            </w:pPr>
          </w:p>
        </w:tc>
      </w:tr>
      <w:tr w:rsidR="008E67EA" w:rsidRPr="000D6218" w14:paraId="7299661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260E511" w14:textId="77777777" w:rsidR="008E67EA" w:rsidRPr="00992A39" w:rsidRDefault="008E67EA" w:rsidP="00B44A74">
            <w:pPr>
              <w:spacing w:line="280" w:lineRule="exact"/>
              <w:rPr>
                <w:rFonts w:cs="Arial"/>
                <w:sz w:val="20"/>
                <w:szCs w:val="20"/>
              </w:rPr>
            </w:pPr>
            <w:r w:rsidRPr="00992A39">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5A405F6B" w14:textId="77777777" w:rsidR="008E67EA" w:rsidRPr="00992A39" w:rsidRDefault="008E67EA" w:rsidP="00B44A74">
            <w:pPr>
              <w:spacing w:line="280" w:lineRule="exact"/>
              <w:rPr>
                <w:rFonts w:cs="Arial"/>
                <w:sz w:val="20"/>
                <w:szCs w:val="20"/>
              </w:rPr>
            </w:pPr>
          </w:p>
        </w:tc>
      </w:tr>
      <w:tr w:rsidR="008E67EA" w:rsidRPr="000D6218" w14:paraId="1698B559" w14:textId="77777777" w:rsidTr="00B44A74">
        <w:trPr>
          <w:jc w:val="center"/>
        </w:trPr>
        <w:tc>
          <w:tcPr>
            <w:tcW w:w="2415" w:type="dxa"/>
            <w:tcBorders>
              <w:top w:val="single" w:sz="4" w:space="0" w:color="auto"/>
              <w:left w:val="nil"/>
              <w:bottom w:val="single" w:sz="4" w:space="0" w:color="auto"/>
              <w:right w:val="nil"/>
            </w:tcBorders>
          </w:tcPr>
          <w:p w14:paraId="01EE3F26" w14:textId="77777777" w:rsidR="008E67EA" w:rsidRPr="00992A39"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BF950AD" w14:textId="77777777" w:rsidR="008E67EA" w:rsidRPr="00992A39" w:rsidRDefault="008E67EA" w:rsidP="00B44A74">
            <w:pPr>
              <w:spacing w:line="280" w:lineRule="exact"/>
              <w:rPr>
                <w:rFonts w:cs="Arial"/>
                <w:sz w:val="20"/>
                <w:szCs w:val="20"/>
              </w:rPr>
            </w:pPr>
          </w:p>
        </w:tc>
      </w:tr>
      <w:tr w:rsidR="008E67EA" w:rsidRPr="000D6218" w14:paraId="64BC7F5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B71E029" w14:textId="77777777" w:rsidR="008E67EA" w:rsidRPr="00992A39" w:rsidRDefault="008E67EA" w:rsidP="00B44A74">
            <w:pPr>
              <w:spacing w:line="280" w:lineRule="exact"/>
              <w:rPr>
                <w:rFonts w:cs="Arial"/>
                <w:sz w:val="20"/>
                <w:szCs w:val="20"/>
              </w:rPr>
            </w:pPr>
            <w:r w:rsidRPr="00992A39">
              <w:rPr>
                <w:rFonts w:cs="Arial"/>
                <w:sz w:val="20"/>
                <w:szCs w:val="20"/>
              </w:rPr>
              <w:t>Trade Advice:</w:t>
            </w:r>
          </w:p>
        </w:tc>
        <w:tc>
          <w:tcPr>
            <w:tcW w:w="7755" w:type="dxa"/>
            <w:tcBorders>
              <w:top w:val="single" w:sz="4" w:space="0" w:color="auto"/>
              <w:left w:val="single" w:sz="4" w:space="0" w:color="auto"/>
              <w:bottom w:val="single" w:sz="4" w:space="0" w:color="auto"/>
              <w:right w:val="single" w:sz="4" w:space="0" w:color="auto"/>
            </w:tcBorders>
          </w:tcPr>
          <w:p w14:paraId="5AB17403" w14:textId="77777777" w:rsidR="008E67EA" w:rsidRPr="00992A39" w:rsidRDefault="008E67EA" w:rsidP="00B44A74">
            <w:pPr>
              <w:spacing w:line="280" w:lineRule="exact"/>
              <w:rPr>
                <w:rFonts w:cs="Arial"/>
                <w:sz w:val="20"/>
                <w:szCs w:val="20"/>
              </w:rPr>
            </w:pPr>
          </w:p>
        </w:tc>
      </w:tr>
      <w:tr w:rsidR="008E67EA" w:rsidRPr="000D6218" w14:paraId="3B7B872E" w14:textId="77777777" w:rsidTr="00B44A74">
        <w:trPr>
          <w:jc w:val="center"/>
        </w:trPr>
        <w:tc>
          <w:tcPr>
            <w:tcW w:w="2415" w:type="dxa"/>
            <w:tcBorders>
              <w:top w:val="single" w:sz="4" w:space="0" w:color="auto"/>
              <w:left w:val="nil"/>
              <w:bottom w:val="single" w:sz="4" w:space="0" w:color="auto"/>
              <w:right w:val="nil"/>
            </w:tcBorders>
          </w:tcPr>
          <w:p w14:paraId="2E6D134E" w14:textId="77777777" w:rsidR="008E67EA" w:rsidRPr="00992A39"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98A58C0" w14:textId="77777777" w:rsidR="008E67EA" w:rsidRPr="00992A39" w:rsidRDefault="008E67EA" w:rsidP="00B44A74">
            <w:pPr>
              <w:spacing w:line="280" w:lineRule="exact"/>
              <w:rPr>
                <w:rFonts w:cs="Arial"/>
                <w:sz w:val="20"/>
                <w:szCs w:val="20"/>
              </w:rPr>
            </w:pPr>
          </w:p>
        </w:tc>
      </w:tr>
      <w:tr w:rsidR="008E67EA" w:rsidRPr="000D6218" w14:paraId="2500943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CFDC9DA" w14:textId="77777777" w:rsidR="008E67EA" w:rsidRPr="00992A39" w:rsidRDefault="008E67EA" w:rsidP="00B44A74">
            <w:pPr>
              <w:spacing w:line="280" w:lineRule="exact"/>
              <w:rPr>
                <w:rFonts w:cs="Arial"/>
                <w:sz w:val="20"/>
                <w:szCs w:val="20"/>
              </w:rPr>
            </w:pPr>
            <w:r w:rsidRPr="00992A39">
              <w:rPr>
                <w:rFonts w:cs="Arial"/>
                <w:sz w:val="20"/>
                <w:szCs w:val="20"/>
              </w:rPr>
              <w:t>General Directions:</w:t>
            </w:r>
          </w:p>
        </w:tc>
        <w:tc>
          <w:tcPr>
            <w:tcW w:w="7755" w:type="dxa"/>
            <w:tcBorders>
              <w:top w:val="single" w:sz="4" w:space="0" w:color="auto"/>
              <w:left w:val="single" w:sz="4" w:space="0" w:color="auto"/>
              <w:bottom w:val="single" w:sz="4" w:space="0" w:color="auto"/>
              <w:right w:val="single" w:sz="4" w:space="0" w:color="auto"/>
            </w:tcBorders>
          </w:tcPr>
          <w:p w14:paraId="7F357760" w14:textId="77777777" w:rsidR="008E67EA" w:rsidRPr="0043360F" w:rsidRDefault="008E67EA" w:rsidP="00B44A74">
            <w:pPr>
              <w:spacing w:line="280" w:lineRule="exact"/>
              <w:rPr>
                <w:rFonts w:cs="Arial"/>
                <w:color w:val="000000" w:themeColor="text1"/>
                <w:sz w:val="20"/>
                <w:szCs w:val="20"/>
              </w:rPr>
            </w:pPr>
            <w:r w:rsidRPr="0043360F">
              <w:rPr>
                <w:rFonts w:cs="Arial"/>
                <w:color w:val="000000" w:themeColor="text1"/>
                <w:sz w:val="20"/>
                <w:szCs w:val="20"/>
              </w:rPr>
              <w:t>GENERAL INSTRUCTIONS</w:t>
            </w:r>
          </w:p>
          <w:p w14:paraId="41318D25" w14:textId="77777777" w:rsidR="008E67EA" w:rsidRPr="0043360F" w:rsidRDefault="008E67EA" w:rsidP="00B44A74">
            <w:pPr>
              <w:spacing w:line="280" w:lineRule="exact"/>
              <w:rPr>
                <w:rFonts w:cs="Arial"/>
                <w:color w:val="000000" w:themeColor="text1"/>
                <w:sz w:val="20"/>
                <w:szCs w:val="20"/>
              </w:rPr>
            </w:pPr>
            <w:r w:rsidRPr="0043360F">
              <w:rPr>
                <w:rFonts w:cs="Arial"/>
                <w:color w:val="000000" w:themeColor="text1"/>
                <w:sz w:val="20"/>
                <w:szCs w:val="20"/>
              </w:rPr>
              <w:lastRenderedPageBreak/>
              <w:t xml:space="preserve">The baits are ready to use – do not unwrap individual baits. Rats and mice will chew through the wrapper. </w:t>
            </w:r>
          </w:p>
        </w:tc>
      </w:tr>
      <w:tr w:rsidR="008E67EA" w:rsidRPr="000D6218" w14:paraId="263E97D6" w14:textId="77777777" w:rsidTr="00B44A74">
        <w:trPr>
          <w:jc w:val="center"/>
        </w:trPr>
        <w:tc>
          <w:tcPr>
            <w:tcW w:w="2415" w:type="dxa"/>
            <w:tcBorders>
              <w:top w:val="single" w:sz="4" w:space="0" w:color="auto"/>
              <w:left w:val="nil"/>
              <w:bottom w:val="single" w:sz="4" w:space="0" w:color="auto"/>
              <w:right w:val="nil"/>
            </w:tcBorders>
          </w:tcPr>
          <w:p w14:paraId="2243D329" w14:textId="77777777" w:rsidR="008E67EA" w:rsidRPr="00992A39"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F088E0F" w14:textId="77777777" w:rsidR="008E67EA" w:rsidRPr="00992A39" w:rsidRDefault="008E67EA" w:rsidP="00B44A74">
            <w:pPr>
              <w:spacing w:line="280" w:lineRule="exact"/>
              <w:rPr>
                <w:rFonts w:cs="Arial"/>
                <w:sz w:val="20"/>
                <w:szCs w:val="20"/>
              </w:rPr>
            </w:pPr>
          </w:p>
        </w:tc>
      </w:tr>
      <w:tr w:rsidR="008E67EA" w:rsidRPr="000D6218" w14:paraId="7808689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A53C409" w14:textId="77777777" w:rsidR="008E67EA" w:rsidRPr="00992A39" w:rsidRDefault="008E67EA" w:rsidP="00B44A74">
            <w:pPr>
              <w:spacing w:line="280" w:lineRule="exact"/>
              <w:rPr>
                <w:rFonts w:cs="Arial"/>
                <w:sz w:val="20"/>
                <w:szCs w:val="20"/>
              </w:rPr>
            </w:pPr>
            <w:r w:rsidRPr="00992A39">
              <w:rPr>
                <w:rFonts w:cs="Arial"/>
                <w:sz w:val="20"/>
                <w:szCs w:val="20"/>
              </w:rPr>
              <w:t>Resistance Warning:</w:t>
            </w:r>
          </w:p>
        </w:tc>
        <w:tc>
          <w:tcPr>
            <w:tcW w:w="7755" w:type="dxa"/>
            <w:tcBorders>
              <w:top w:val="single" w:sz="4" w:space="0" w:color="auto"/>
              <w:left w:val="single" w:sz="4" w:space="0" w:color="auto"/>
              <w:bottom w:val="single" w:sz="4" w:space="0" w:color="auto"/>
              <w:right w:val="single" w:sz="4" w:space="0" w:color="auto"/>
            </w:tcBorders>
          </w:tcPr>
          <w:p w14:paraId="0A945834" w14:textId="77777777" w:rsidR="008E67EA" w:rsidRPr="00992A39" w:rsidRDefault="008E67EA" w:rsidP="00B44A74">
            <w:pPr>
              <w:spacing w:line="280" w:lineRule="exact"/>
              <w:rPr>
                <w:rFonts w:cs="Arial"/>
                <w:sz w:val="20"/>
                <w:szCs w:val="20"/>
              </w:rPr>
            </w:pPr>
          </w:p>
        </w:tc>
      </w:tr>
      <w:tr w:rsidR="008E67EA" w:rsidRPr="000D6218" w14:paraId="637715F1" w14:textId="77777777" w:rsidTr="00B44A74">
        <w:trPr>
          <w:jc w:val="center"/>
        </w:trPr>
        <w:tc>
          <w:tcPr>
            <w:tcW w:w="2415" w:type="dxa"/>
            <w:tcBorders>
              <w:top w:val="single" w:sz="4" w:space="0" w:color="auto"/>
              <w:left w:val="nil"/>
              <w:bottom w:val="single" w:sz="4" w:space="0" w:color="auto"/>
              <w:right w:val="nil"/>
            </w:tcBorders>
          </w:tcPr>
          <w:p w14:paraId="75A0DD9D" w14:textId="77777777" w:rsidR="008E67EA" w:rsidRPr="00992A39"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762C6F2" w14:textId="77777777" w:rsidR="008E67EA" w:rsidRPr="00992A39" w:rsidRDefault="008E67EA" w:rsidP="00B44A74">
            <w:pPr>
              <w:spacing w:line="280" w:lineRule="exact"/>
              <w:rPr>
                <w:rFonts w:cs="Arial"/>
                <w:sz w:val="20"/>
                <w:szCs w:val="20"/>
              </w:rPr>
            </w:pPr>
          </w:p>
        </w:tc>
      </w:tr>
      <w:tr w:rsidR="008E67EA" w:rsidRPr="000D6218" w14:paraId="53B51DF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A91AB32" w14:textId="77777777" w:rsidR="008E67EA" w:rsidRPr="00992A39" w:rsidRDefault="008E67EA" w:rsidP="00B44A74">
            <w:pPr>
              <w:spacing w:line="280" w:lineRule="exact"/>
              <w:rPr>
                <w:rFonts w:cs="Arial"/>
                <w:sz w:val="20"/>
                <w:szCs w:val="20"/>
              </w:rPr>
            </w:pPr>
            <w:r w:rsidRPr="00992A39">
              <w:rPr>
                <w:rFonts w:cs="Arial"/>
                <w:sz w:val="20"/>
                <w:szCs w:val="20"/>
              </w:rPr>
              <w:t>Precautions:</w:t>
            </w:r>
          </w:p>
        </w:tc>
        <w:tc>
          <w:tcPr>
            <w:tcW w:w="7755" w:type="dxa"/>
            <w:tcBorders>
              <w:top w:val="single" w:sz="4" w:space="0" w:color="auto"/>
              <w:left w:val="single" w:sz="4" w:space="0" w:color="auto"/>
              <w:bottom w:val="single" w:sz="4" w:space="0" w:color="auto"/>
              <w:right w:val="single" w:sz="4" w:space="0" w:color="auto"/>
            </w:tcBorders>
          </w:tcPr>
          <w:p w14:paraId="71618589" w14:textId="77777777" w:rsidR="008E67EA" w:rsidRPr="00992A39" w:rsidRDefault="008E67EA" w:rsidP="00B44A74">
            <w:pPr>
              <w:spacing w:line="280" w:lineRule="exact"/>
              <w:rPr>
                <w:rFonts w:cs="Arial"/>
                <w:sz w:val="20"/>
                <w:szCs w:val="20"/>
              </w:rPr>
            </w:pPr>
            <w:r w:rsidRPr="00992A39">
              <w:rPr>
                <w:rFonts w:cs="Arial"/>
                <w:sz w:val="20"/>
                <w:szCs w:val="20"/>
              </w:rPr>
              <w:t>PRECAUTIONS</w:t>
            </w:r>
          </w:p>
          <w:p w14:paraId="454CD9F2" w14:textId="77777777" w:rsidR="008E67EA" w:rsidRPr="00992A39" w:rsidRDefault="008E67EA" w:rsidP="00B44A74">
            <w:pPr>
              <w:spacing w:line="280" w:lineRule="exact"/>
              <w:rPr>
                <w:rFonts w:cs="Arial"/>
                <w:sz w:val="20"/>
                <w:szCs w:val="20"/>
              </w:rPr>
            </w:pPr>
            <w:r w:rsidRPr="00992A39">
              <w:rPr>
                <w:rFonts w:cs="Arial"/>
                <w:sz w:val="20"/>
                <w:szCs w:val="20"/>
              </w:rPr>
              <w:t>Caution should be used when baiting near areas where hunting of wildlife may occur. Careful consideration of bait placement is necessary to avoid secondary exposure from contaminated wildlife that may be consumed.</w:t>
            </w:r>
          </w:p>
          <w:p w14:paraId="3051F873" w14:textId="77777777" w:rsidR="008E67EA" w:rsidRPr="00992A39" w:rsidRDefault="008E67EA" w:rsidP="00B44A74">
            <w:pPr>
              <w:spacing w:line="280" w:lineRule="exact"/>
              <w:rPr>
                <w:rFonts w:cs="Arial"/>
                <w:sz w:val="20"/>
                <w:szCs w:val="20"/>
                <w:highlight w:val="yellow"/>
              </w:rPr>
            </w:pPr>
            <w:r w:rsidRPr="00992A39">
              <w:rPr>
                <w:rFonts w:cs="Arial"/>
                <w:sz w:val="20"/>
                <w:szCs w:val="20"/>
              </w:rPr>
              <w:t>DO NOT place bait in areas where there is a possibility of contaminating food, livestock feed or surfaces that come in direct contact with food or livestock feed.</w:t>
            </w:r>
          </w:p>
        </w:tc>
      </w:tr>
      <w:tr w:rsidR="008E67EA" w:rsidRPr="000D6218" w14:paraId="5447154F" w14:textId="77777777" w:rsidTr="00B44A74">
        <w:trPr>
          <w:jc w:val="center"/>
        </w:trPr>
        <w:tc>
          <w:tcPr>
            <w:tcW w:w="2415" w:type="dxa"/>
            <w:tcBorders>
              <w:top w:val="single" w:sz="4" w:space="0" w:color="auto"/>
              <w:left w:val="nil"/>
              <w:bottom w:val="single" w:sz="4" w:space="0" w:color="auto"/>
              <w:right w:val="nil"/>
            </w:tcBorders>
          </w:tcPr>
          <w:p w14:paraId="664B1319" w14:textId="77777777" w:rsidR="008E67EA" w:rsidRPr="00992A39"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92890C7" w14:textId="77777777" w:rsidR="008E67EA" w:rsidRPr="00992A39" w:rsidRDefault="008E67EA" w:rsidP="00B44A74">
            <w:pPr>
              <w:spacing w:line="280" w:lineRule="exact"/>
              <w:rPr>
                <w:rFonts w:cs="Arial"/>
                <w:sz w:val="20"/>
                <w:szCs w:val="20"/>
              </w:rPr>
            </w:pPr>
          </w:p>
        </w:tc>
      </w:tr>
      <w:tr w:rsidR="008E67EA" w:rsidRPr="000D6218" w14:paraId="51EB7B9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6094A92" w14:textId="77777777" w:rsidR="008E67EA" w:rsidRPr="00992A39" w:rsidRDefault="008E67EA" w:rsidP="00B44A74">
            <w:pPr>
              <w:spacing w:line="280" w:lineRule="exact"/>
              <w:rPr>
                <w:rFonts w:cs="Arial"/>
                <w:sz w:val="20"/>
                <w:szCs w:val="20"/>
              </w:rPr>
            </w:pPr>
            <w:r w:rsidRPr="00992A39">
              <w:rPr>
                <w:rFonts w:cs="Arial"/>
                <w:sz w:val="20"/>
                <w:szCs w:val="20"/>
              </w:rPr>
              <w:t>Protection Statements:</w:t>
            </w:r>
          </w:p>
        </w:tc>
        <w:tc>
          <w:tcPr>
            <w:tcW w:w="7755" w:type="dxa"/>
            <w:tcBorders>
              <w:top w:val="single" w:sz="4" w:space="0" w:color="auto"/>
              <w:left w:val="single" w:sz="4" w:space="0" w:color="auto"/>
              <w:bottom w:val="single" w:sz="4" w:space="0" w:color="auto"/>
              <w:right w:val="single" w:sz="4" w:space="0" w:color="auto"/>
            </w:tcBorders>
          </w:tcPr>
          <w:p w14:paraId="6D7E98D4" w14:textId="77777777" w:rsidR="008E67EA" w:rsidRPr="00992A39" w:rsidRDefault="008E67EA" w:rsidP="00B44A74">
            <w:pPr>
              <w:spacing w:line="280" w:lineRule="exact"/>
              <w:rPr>
                <w:rFonts w:cs="Arial"/>
                <w:sz w:val="20"/>
                <w:szCs w:val="20"/>
              </w:rPr>
            </w:pPr>
            <w:r w:rsidRPr="00992A39">
              <w:rPr>
                <w:rFonts w:cs="Arial"/>
                <w:sz w:val="20"/>
                <w:szCs w:val="20"/>
              </w:rPr>
              <w:t>PROTECTION OF LIVESTOCK AND WILDLIFE</w:t>
            </w:r>
          </w:p>
          <w:p w14:paraId="2CB9FC65" w14:textId="77777777" w:rsidR="008E67EA" w:rsidRPr="00992A39" w:rsidRDefault="008E67EA" w:rsidP="00B44A74">
            <w:pPr>
              <w:spacing w:line="280" w:lineRule="exact"/>
              <w:rPr>
                <w:rFonts w:cs="Arial"/>
                <w:sz w:val="20"/>
                <w:szCs w:val="20"/>
              </w:rPr>
            </w:pPr>
            <w:r w:rsidRPr="00992A39">
              <w:rPr>
                <w:rFonts w:cs="Arial"/>
                <w:sz w:val="20"/>
                <w:szCs w:val="20"/>
              </w:rPr>
              <w:t>Hazardous to livestock, poultry and wildlife. DO NOT place baits in locations that are accessible to domestic animals, livestock, non-target native animals or birds.</w:t>
            </w:r>
          </w:p>
          <w:p w14:paraId="7614806F" w14:textId="77777777" w:rsidR="008E67EA" w:rsidRPr="00992A39" w:rsidRDefault="008E67EA" w:rsidP="00B44A74">
            <w:pPr>
              <w:spacing w:line="280" w:lineRule="exact"/>
              <w:rPr>
                <w:rFonts w:cs="Arial"/>
                <w:sz w:val="20"/>
                <w:szCs w:val="20"/>
              </w:rPr>
            </w:pPr>
            <w:r w:rsidRPr="00992A39">
              <w:rPr>
                <w:rFonts w:cs="Arial"/>
                <w:sz w:val="20"/>
                <w:szCs w:val="20"/>
              </w:rPr>
              <w:t xml:space="preserve">Search for and dispose of dead rodents and slugs/snails in the infested area at each visit to prevent secondary poisoning. In case slugs/snails are present, move bait station to another location within the rodent infested site, away from slugs/snails. Dispose of slugs/snails in a way non-target animals are not exposed. Dispose of dead rodents and uneaten bait in compliance with local, state or territory government regulations. </w:t>
            </w:r>
          </w:p>
          <w:p w14:paraId="0B90290C" w14:textId="77777777" w:rsidR="008E67EA" w:rsidRPr="00992A39" w:rsidRDefault="008E67EA" w:rsidP="00B44A74">
            <w:pPr>
              <w:spacing w:line="280" w:lineRule="exact"/>
              <w:rPr>
                <w:rFonts w:cs="Arial"/>
                <w:sz w:val="20"/>
                <w:szCs w:val="20"/>
              </w:rPr>
            </w:pPr>
            <w:r w:rsidRPr="00992A39">
              <w:rPr>
                <w:rFonts w:cs="Arial"/>
                <w:sz w:val="20"/>
                <w:szCs w:val="20"/>
              </w:rPr>
              <w:t>DO NOT allow livestock or poultry to consume dead or moribund mice and rats. All dead or moribund animals and rodent faeces from baited rodents MUST be removed from areas accessible to livestock or poultry.</w:t>
            </w:r>
          </w:p>
          <w:p w14:paraId="34837B9D" w14:textId="77777777" w:rsidR="008E67EA" w:rsidRDefault="008E67EA" w:rsidP="00B44A74">
            <w:pPr>
              <w:spacing w:line="280" w:lineRule="exact"/>
              <w:rPr>
                <w:rFonts w:cs="Arial"/>
                <w:sz w:val="20"/>
                <w:szCs w:val="20"/>
              </w:rPr>
            </w:pPr>
            <w:r w:rsidRPr="00992A39">
              <w:rPr>
                <w:rFonts w:cs="Arial"/>
                <w:sz w:val="20"/>
                <w:szCs w:val="20"/>
              </w:rPr>
              <w:t>The use of this product for the control of protected native rodents requires permission from wildlife authorities.</w:t>
            </w:r>
          </w:p>
          <w:p w14:paraId="332A101A" w14:textId="77777777" w:rsidR="008E67EA" w:rsidRPr="00992A39" w:rsidRDefault="008E67EA" w:rsidP="00B44A74">
            <w:pPr>
              <w:spacing w:line="280" w:lineRule="exact"/>
              <w:rPr>
                <w:rFonts w:cs="Arial"/>
                <w:sz w:val="20"/>
                <w:szCs w:val="20"/>
              </w:rPr>
            </w:pPr>
          </w:p>
          <w:p w14:paraId="6FB875A8" w14:textId="77777777" w:rsidR="008E67EA" w:rsidRPr="00992A39" w:rsidRDefault="008E67EA" w:rsidP="00B44A74">
            <w:pPr>
              <w:spacing w:line="280" w:lineRule="exact"/>
              <w:rPr>
                <w:rFonts w:cs="Arial"/>
                <w:sz w:val="20"/>
                <w:szCs w:val="20"/>
              </w:rPr>
            </w:pPr>
            <w:r w:rsidRPr="00992A39">
              <w:rPr>
                <w:rFonts w:cs="Arial"/>
                <w:sz w:val="20"/>
                <w:szCs w:val="20"/>
              </w:rPr>
              <w:t>PROTECTION OF FISH, CRUSTACEANS AND ENVIRONMENT</w:t>
            </w:r>
          </w:p>
          <w:p w14:paraId="1286A16D" w14:textId="19A49884" w:rsidR="008E67EA" w:rsidRPr="00992A39" w:rsidRDefault="008E67EA" w:rsidP="00B44A74">
            <w:pPr>
              <w:spacing w:line="280" w:lineRule="exact"/>
              <w:rPr>
                <w:rFonts w:cs="Arial"/>
                <w:sz w:val="20"/>
                <w:szCs w:val="20"/>
              </w:rPr>
            </w:pPr>
            <w:r w:rsidRPr="00992A39">
              <w:rPr>
                <w:rFonts w:cs="Arial"/>
                <w:sz w:val="20"/>
                <w:szCs w:val="20"/>
              </w:rPr>
              <w:t>Very toxic to aquatic life. DO NOT contaminate wetlands or watercourses with this product or used containers. Place the bait stations in areas not liable to flooding. When placing bait stations close to water drainage systems, ensure that bait contact with water is avoided.</w:t>
            </w:r>
          </w:p>
        </w:tc>
      </w:tr>
      <w:tr w:rsidR="008E67EA" w:rsidRPr="000D6218" w14:paraId="0872D596" w14:textId="77777777" w:rsidTr="00B44A74">
        <w:trPr>
          <w:jc w:val="center"/>
        </w:trPr>
        <w:tc>
          <w:tcPr>
            <w:tcW w:w="2415" w:type="dxa"/>
            <w:tcBorders>
              <w:top w:val="single" w:sz="4" w:space="0" w:color="auto"/>
              <w:left w:val="nil"/>
              <w:bottom w:val="single" w:sz="4" w:space="0" w:color="auto"/>
              <w:right w:val="nil"/>
            </w:tcBorders>
          </w:tcPr>
          <w:p w14:paraId="51F0EAAE" w14:textId="77777777" w:rsidR="008E67EA" w:rsidRPr="00992A39"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267F01A" w14:textId="77777777" w:rsidR="008E67EA" w:rsidRPr="00992A39" w:rsidRDefault="008E67EA" w:rsidP="00B44A74">
            <w:pPr>
              <w:spacing w:line="280" w:lineRule="exact"/>
              <w:rPr>
                <w:rFonts w:cs="Arial"/>
                <w:sz w:val="20"/>
                <w:szCs w:val="20"/>
              </w:rPr>
            </w:pPr>
          </w:p>
        </w:tc>
      </w:tr>
      <w:tr w:rsidR="008E67EA" w:rsidRPr="000D6218" w14:paraId="488F78B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878A18D" w14:textId="77777777" w:rsidR="008E67EA" w:rsidRPr="00992A39" w:rsidRDefault="008E67EA" w:rsidP="00B44A74">
            <w:pPr>
              <w:spacing w:line="280" w:lineRule="exact"/>
              <w:rPr>
                <w:rFonts w:cs="Arial"/>
                <w:sz w:val="20"/>
                <w:szCs w:val="20"/>
              </w:rPr>
            </w:pPr>
            <w:r w:rsidRPr="00992A39">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06DA71B2" w14:textId="77777777" w:rsidR="008E67EA" w:rsidRPr="00992A39" w:rsidRDefault="008E67EA" w:rsidP="00B44A74">
            <w:pPr>
              <w:spacing w:line="280" w:lineRule="exact"/>
              <w:rPr>
                <w:rFonts w:cs="Arial"/>
                <w:sz w:val="20"/>
                <w:szCs w:val="20"/>
              </w:rPr>
            </w:pPr>
            <w:r w:rsidRPr="00992A39">
              <w:rPr>
                <w:rFonts w:cs="Arial"/>
                <w:sz w:val="20"/>
                <w:szCs w:val="20"/>
              </w:rPr>
              <w:t>STORAGE AND DISPOSAL</w:t>
            </w:r>
          </w:p>
          <w:p w14:paraId="05487A7B" w14:textId="77777777" w:rsidR="008E67EA" w:rsidRPr="00992A39" w:rsidRDefault="008E67EA" w:rsidP="00B44A74">
            <w:pPr>
              <w:spacing w:line="280" w:lineRule="exact"/>
              <w:rPr>
                <w:rFonts w:cs="Arial"/>
                <w:sz w:val="20"/>
                <w:szCs w:val="20"/>
              </w:rPr>
            </w:pPr>
            <w:r w:rsidRPr="00992A39">
              <w:rPr>
                <w:rFonts w:cs="Arial"/>
                <w:sz w:val="20"/>
                <w:szCs w:val="20"/>
              </w:rPr>
              <w:t xml:space="preserve">Store in the closed, original container in a cool, well-ventilated area. Do not store for prolong periods in direct sunlight. </w:t>
            </w:r>
            <w:r w:rsidRPr="00992A39">
              <w:rPr>
                <w:rFonts w:cs="Arial"/>
                <w:sz w:val="20"/>
                <w:szCs w:val="20"/>
                <w:bdr w:val="none" w:sz="0" w:space="0" w:color="auto" w:frame="1"/>
                <w:lang w:val="en-GB" w:eastAsia="en-AU"/>
              </w:rPr>
              <w:t>Triple rinse containers before disposal. Break, crush or puncture and deliver empty packaging to an approved waste management facility. If an approved waste management facility is not available, dispose of empty packaging in compliance with relevant local, state or territory government regulations. Dispose of unused product in compliance with relevant local, state or territory government regulations. DO NOT burn empty containers or product.</w:t>
            </w:r>
          </w:p>
        </w:tc>
      </w:tr>
      <w:tr w:rsidR="008E67EA" w:rsidRPr="000D6218" w14:paraId="46B4A4C5" w14:textId="77777777" w:rsidTr="00B44A74">
        <w:trPr>
          <w:jc w:val="center"/>
        </w:trPr>
        <w:tc>
          <w:tcPr>
            <w:tcW w:w="2415" w:type="dxa"/>
            <w:tcBorders>
              <w:top w:val="single" w:sz="4" w:space="0" w:color="auto"/>
              <w:left w:val="nil"/>
              <w:bottom w:val="single" w:sz="4" w:space="0" w:color="auto"/>
              <w:right w:val="nil"/>
            </w:tcBorders>
          </w:tcPr>
          <w:p w14:paraId="431772AD" w14:textId="77777777" w:rsidR="008E67EA" w:rsidRPr="00992A39"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5974165" w14:textId="77777777" w:rsidR="008E67EA" w:rsidRPr="00992A39" w:rsidRDefault="008E67EA" w:rsidP="00B44A74">
            <w:pPr>
              <w:spacing w:line="280" w:lineRule="exact"/>
              <w:rPr>
                <w:rFonts w:cs="Arial"/>
                <w:sz w:val="20"/>
                <w:szCs w:val="20"/>
              </w:rPr>
            </w:pPr>
          </w:p>
        </w:tc>
      </w:tr>
      <w:tr w:rsidR="008E67EA" w:rsidRPr="000D6218" w14:paraId="1E15E049"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B21F4C2" w14:textId="77777777" w:rsidR="008E67EA" w:rsidRPr="00992A39" w:rsidRDefault="008E67EA" w:rsidP="00B44A74">
            <w:pPr>
              <w:spacing w:line="280" w:lineRule="exact"/>
              <w:rPr>
                <w:rFonts w:cs="Arial"/>
                <w:sz w:val="20"/>
                <w:szCs w:val="20"/>
              </w:rPr>
            </w:pPr>
            <w:r w:rsidRPr="00992A39">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00B76C21" w14:textId="77777777" w:rsidR="008E67EA" w:rsidRPr="00992A39" w:rsidRDefault="008E67EA" w:rsidP="00B44A74">
            <w:pPr>
              <w:spacing w:line="280" w:lineRule="exact"/>
              <w:rPr>
                <w:rFonts w:cs="Arial"/>
                <w:sz w:val="20"/>
                <w:szCs w:val="20"/>
              </w:rPr>
            </w:pPr>
            <w:r w:rsidRPr="00992A39">
              <w:rPr>
                <w:rFonts w:cs="Arial"/>
                <w:sz w:val="20"/>
                <w:szCs w:val="20"/>
              </w:rPr>
              <w:t>SAFETY DIRECTIONS</w:t>
            </w:r>
          </w:p>
          <w:p w14:paraId="17BBE391" w14:textId="77777777" w:rsidR="008E67EA" w:rsidRPr="00992A39" w:rsidRDefault="008E67EA" w:rsidP="00B44A74">
            <w:pPr>
              <w:spacing w:line="280" w:lineRule="exact"/>
              <w:rPr>
                <w:rFonts w:cs="Arial"/>
                <w:sz w:val="20"/>
                <w:szCs w:val="20"/>
              </w:rPr>
            </w:pPr>
            <w:r w:rsidRPr="00992A39">
              <w:rPr>
                <w:rFonts w:cs="Arial"/>
                <w:sz w:val="20"/>
                <w:szCs w:val="20"/>
              </w:rPr>
              <w:t>Repeated minor exposure may have a cumulative poisoning effect. When using the product wear disposable gloves. During cleanup, disposal operations of bait and bait stations and when handling rodent carcasses wear single layer clothing and disposable gloves. If on skin and after each baiting, wash thoroughly with soap and water. After each day’s use wash contaminated clothing. Wash clothes after performing re-handling activities.</w:t>
            </w:r>
          </w:p>
        </w:tc>
      </w:tr>
      <w:tr w:rsidR="008E67EA" w:rsidRPr="000D6218" w14:paraId="039E4E5E" w14:textId="77777777" w:rsidTr="00B44A74">
        <w:trPr>
          <w:jc w:val="center"/>
        </w:trPr>
        <w:tc>
          <w:tcPr>
            <w:tcW w:w="2415" w:type="dxa"/>
            <w:tcBorders>
              <w:top w:val="single" w:sz="4" w:space="0" w:color="auto"/>
              <w:left w:val="nil"/>
              <w:bottom w:val="single" w:sz="4" w:space="0" w:color="auto"/>
              <w:right w:val="nil"/>
            </w:tcBorders>
          </w:tcPr>
          <w:p w14:paraId="484A0EBF" w14:textId="77777777" w:rsidR="008E67EA" w:rsidRPr="00992A39"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C249CC0" w14:textId="77777777" w:rsidR="008E67EA" w:rsidRPr="00992A39" w:rsidRDefault="008E67EA" w:rsidP="00B44A74">
            <w:pPr>
              <w:spacing w:line="280" w:lineRule="exact"/>
              <w:rPr>
                <w:rFonts w:cs="Arial"/>
                <w:sz w:val="20"/>
                <w:szCs w:val="20"/>
              </w:rPr>
            </w:pPr>
          </w:p>
        </w:tc>
      </w:tr>
      <w:tr w:rsidR="008E67EA" w:rsidRPr="000D6218" w14:paraId="209EA65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B310CBD" w14:textId="77777777" w:rsidR="008E67EA" w:rsidRPr="00992A39" w:rsidRDefault="008E67EA" w:rsidP="00B44A74">
            <w:pPr>
              <w:spacing w:line="280" w:lineRule="exact"/>
              <w:rPr>
                <w:rFonts w:cs="Arial"/>
                <w:sz w:val="20"/>
                <w:szCs w:val="20"/>
              </w:rPr>
            </w:pPr>
            <w:r w:rsidRPr="00992A39">
              <w:rPr>
                <w:rFonts w:cs="Arial"/>
                <w:sz w:val="20"/>
                <w:szCs w:val="20"/>
              </w:rPr>
              <w:t>First Aid Instructions:</w:t>
            </w:r>
          </w:p>
        </w:tc>
        <w:tc>
          <w:tcPr>
            <w:tcW w:w="7755" w:type="dxa"/>
            <w:tcBorders>
              <w:top w:val="single" w:sz="4" w:space="0" w:color="auto"/>
              <w:left w:val="single" w:sz="4" w:space="0" w:color="auto"/>
              <w:bottom w:val="single" w:sz="4" w:space="0" w:color="auto"/>
              <w:right w:val="single" w:sz="4" w:space="0" w:color="auto"/>
            </w:tcBorders>
          </w:tcPr>
          <w:p w14:paraId="53C2AF63" w14:textId="77777777" w:rsidR="008E67EA" w:rsidRPr="00992A39" w:rsidRDefault="008E67EA" w:rsidP="00B44A74">
            <w:pPr>
              <w:spacing w:line="280" w:lineRule="exact"/>
              <w:rPr>
                <w:rFonts w:cs="Arial"/>
                <w:sz w:val="20"/>
                <w:szCs w:val="20"/>
              </w:rPr>
            </w:pPr>
            <w:r w:rsidRPr="00992A39">
              <w:rPr>
                <w:rFonts w:cs="Arial"/>
                <w:sz w:val="20"/>
                <w:szCs w:val="20"/>
              </w:rPr>
              <w:t>FIRST AID</w:t>
            </w:r>
          </w:p>
          <w:p w14:paraId="6ECF4533" w14:textId="77777777" w:rsidR="008E67EA" w:rsidRPr="00992A39" w:rsidRDefault="008E67EA" w:rsidP="00B44A74">
            <w:pPr>
              <w:spacing w:line="280" w:lineRule="exact"/>
              <w:rPr>
                <w:rFonts w:cs="Arial"/>
                <w:sz w:val="20"/>
                <w:szCs w:val="20"/>
              </w:rPr>
            </w:pPr>
            <w:r w:rsidRPr="00992A39">
              <w:rPr>
                <w:rFonts w:cs="Arial"/>
                <w:sz w:val="20"/>
                <w:szCs w:val="20"/>
              </w:rPr>
              <w:t>If poisoning occurs, contact a doctor or Poisons Information Centre. Phone Australia 13 11 26, New Zealand 0800 764 766. Vitamin K1 (Phytomenadione) is antidotal.</w:t>
            </w:r>
          </w:p>
        </w:tc>
      </w:tr>
      <w:tr w:rsidR="008E67EA" w:rsidRPr="000D6218" w14:paraId="3CD27A78" w14:textId="77777777" w:rsidTr="00B44A74">
        <w:trPr>
          <w:jc w:val="center"/>
        </w:trPr>
        <w:tc>
          <w:tcPr>
            <w:tcW w:w="2415" w:type="dxa"/>
            <w:tcBorders>
              <w:top w:val="single" w:sz="4" w:space="0" w:color="auto"/>
              <w:left w:val="nil"/>
              <w:bottom w:val="single" w:sz="4" w:space="0" w:color="auto"/>
              <w:right w:val="nil"/>
            </w:tcBorders>
          </w:tcPr>
          <w:p w14:paraId="01615345" w14:textId="77777777" w:rsidR="008E67EA" w:rsidRPr="00992A39"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DC43FDB" w14:textId="77777777" w:rsidR="008E67EA" w:rsidRPr="00992A39" w:rsidRDefault="008E67EA" w:rsidP="00B44A74">
            <w:pPr>
              <w:spacing w:line="280" w:lineRule="exact"/>
              <w:rPr>
                <w:rFonts w:cs="Arial"/>
                <w:sz w:val="20"/>
                <w:szCs w:val="20"/>
              </w:rPr>
            </w:pPr>
          </w:p>
        </w:tc>
      </w:tr>
      <w:tr w:rsidR="008E67EA" w:rsidRPr="000D6218" w14:paraId="5D876C1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1B11EA0" w14:textId="77777777" w:rsidR="008E67EA" w:rsidRPr="00992A39" w:rsidRDefault="008E67EA" w:rsidP="00B44A74">
            <w:pPr>
              <w:spacing w:line="280" w:lineRule="exact"/>
              <w:rPr>
                <w:rFonts w:cs="Arial"/>
                <w:sz w:val="20"/>
                <w:szCs w:val="20"/>
              </w:rPr>
            </w:pPr>
            <w:r w:rsidRPr="00992A39">
              <w:rPr>
                <w:rFonts w:cs="Arial"/>
                <w:sz w:val="20"/>
                <w:szCs w:val="20"/>
              </w:rPr>
              <w:t>First Aid Warnings:</w:t>
            </w:r>
          </w:p>
        </w:tc>
        <w:tc>
          <w:tcPr>
            <w:tcW w:w="7755" w:type="dxa"/>
            <w:tcBorders>
              <w:top w:val="single" w:sz="4" w:space="0" w:color="auto"/>
              <w:left w:val="single" w:sz="4" w:space="0" w:color="auto"/>
              <w:bottom w:val="single" w:sz="4" w:space="0" w:color="auto"/>
              <w:right w:val="single" w:sz="4" w:space="0" w:color="auto"/>
            </w:tcBorders>
          </w:tcPr>
          <w:p w14:paraId="32F0DE28" w14:textId="77777777" w:rsidR="008E67EA" w:rsidRPr="00992A39" w:rsidRDefault="008E67EA" w:rsidP="00B44A74">
            <w:pPr>
              <w:spacing w:line="280" w:lineRule="exact"/>
              <w:rPr>
                <w:rFonts w:cs="Arial"/>
                <w:sz w:val="20"/>
                <w:szCs w:val="20"/>
              </w:rPr>
            </w:pPr>
          </w:p>
        </w:tc>
      </w:tr>
    </w:tbl>
    <w:p w14:paraId="2F4A73BE" w14:textId="77777777" w:rsidR="008E67EA" w:rsidRDefault="008E67EA" w:rsidP="008E67EA">
      <w:pPr>
        <w:rPr>
          <w:rFonts w:eastAsia="Aptos" w:cs="Arial"/>
          <w:sz w:val="20"/>
          <w:szCs w:val="20"/>
        </w:rPr>
      </w:pPr>
    </w:p>
    <w:p w14:paraId="5646FB24" w14:textId="77777777" w:rsidR="008E67EA" w:rsidRPr="00867EDB" w:rsidRDefault="008E67EA" w:rsidP="008E67EA">
      <w:pPr>
        <w:spacing w:line="280" w:lineRule="exact"/>
        <w:rPr>
          <w:rFonts w:cs="Arial"/>
          <w:b/>
          <w:bCs/>
          <w:sz w:val="20"/>
          <w:szCs w:val="20"/>
        </w:rPr>
      </w:pPr>
      <w:r w:rsidRPr="00867EDB">
        <w:rPr>
          <w:rFonts w:cs="Arial"/>
          <w:b/>
          <w:bCs/>
          <w:sz w:val="20"/>
          <w:szCs w:val="20"/>
        </w:rPr>
        <w:t>DIRECTIONS FOR USE</w:t>
      </w:r>
    </w:p>
    <w:tbl>
      <w:tblPr>
        <w:tblStyle w:val="TableGrid"/>
        <w:tblW w:w="48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1"/>
        <w:gridCol w:w="1631"/>
        <w:gridCol w:w="1313"/>
        <w:gridCol w:w="3561"/>
      </w:tblGrid>
      <w:tr w:rsidR="008E67EA" w:rsidRPr="00C118CC" w14:paraId="1FE27501" w14:textId="77777777" w:rsidTr="002C5418">
        <w:trPr>
          <w:trHeight w:val="340"/>
        </w:trPr>
        <w:tc>
          <w:tcPr>
            <w:tcW w:w="1531" w:type="pct"/>
          </w:tcPr>
          <w:p w14:paraId="7C1D79FA" w14:textId="77777777" w:rsidR="008E67EA" w:rsidRPr="002F6425" w:rsidRDefault="008E67EA" w:rsidP="00B44A74">
            <w:pPr>
              <w:spacing w:line="280" w:lineRule="exact"/>
              <w:rPr>
                <w:rFonts w:cs="Arial"/>
                <w:b/>
                <w:bCs/>
                <w:spacing w:val="-2"/>
                <w:w w:val="105"/>
                <w:szCs w:val="18"/>
              </w:rPr>
            </w:pPr>
            <w:r w:rsidRPr="002F6425">
              <w:rPr>
                <w:rFonts w:cs="Arial"/>
                <w:b/>
                <w:bCs/>
                <w:szCs w:val="18"/>
              </w:rPr>
              <w:t>SITUATION</w:t>
            </w:r>
          </w:p>
        </w:tc>
        <w:tc>
          <w:tcPr>
            <w:tcW w:w="870" w:type="pct"/>
          </w:tcPr>
          <w:p w14:paraId="11DD6D3A" w14:textId="77777777" w:rsidR="008E67EA" w:rsidRPr="002F6425" w:rsidRDefault="008E67EA" w:rsidP="00B44A74">
            <w:pPr>
              <w:pStyle w:val="TableParagraph"/>
              <w:spacing w:before="61"/>
              <w:rPr>
                <w:b/>
                <w:bCs/>
                <w:spacing w:val="-4"/>
                <w:sz w:val="18"/>
                <w:szCs w:val="18"/>
              </w:rPr>
            </w:pPr>
            <w:r w:rsidRPr="002F6425">
              <w:rPr>
                <w:b/>
                <w:bCs/>
                <w:sz w:val="18"/>
                <w:szCs w:val="18"/>
              </w:rPr>
              <w:t>PEST</w:t>
            </w:r>
          </w:p>
        </w:tc>
        <w:tc>
          <w:tcPr>
            <w:tcW w:w="700" w:type="pct"/>
          </w:tcPr>
          <w:p w14:paraId="76B3F1DB" w14:textId="77777777" w:rsidR="008E67EA" w:rsidRPr="002F6425" w:rsidRDefault="008E67EA" w:rsidP="00B44A74">
            <w:pPr>
              <w:pStyle w:val="TableParagraph"/>
              <w:spacing w:before="61"/>
              <w:rPr>
                <w:b/>
                <w:bCs/>
                <w:sz w:val="18"/>
                <w:szCs w:val="18"/>
              </w:rPr>
            </w:pPr>
            <w:r w:rsidRPr="002F6425">
              <w:rPr>
                <w:b/>
                <w:bCs/>
                <w:sz w:val="18"/>
                <w:szCs w:val="18"/>
              </w:rPr>
              <w:t>RATE</w:t>
            </w:r>
          </w:p>
        </w:tc>
        <w:tc>
          <w:tcPr>
            <w:tcW w:w="1899" w:type="pct"/>
          </w:tcPr>
          <w:p w14:paraId="705249B4" w14:textId="77777777" w:rsidR="008E67EA" w:rsidRPr="002F6425" w:rsidRDefault="008E67EA" w:rsidP="00B44A74">
            <w:pPr>
              <w:pStyle w:val="TableParagraph"/>
              <w:spacing w:before="61"/>
              <w:rPr>
                <w:b/>
                <w:bCs/>
                <w:color w:val="7030A0"/>
                <w:sz w:val="18"/>
                <w:szCs w:val="18"/>
              </w:rPr>
            </w:pPr>
            <w:r w:rsidRPr="002F6425">
              <w:rPr>
                <w:b/>
                <w:bCs/>
                <w:sz w:val="18"/>
                <w:szCs w:val="18"/>
              </w:rPr>
              <w:t>CRITICAL COMMENTS</w:t>
            </w:r>
          </w:p>
        </w:tc>
      </w:tr>
      <w:tr w:rsidR="008E67EA" w:rsidRPr="00C118CC" w14:paraId="396C14A2" w14:textId="77777777" w:rsidTr="002C5418">
        <w:trPr>
          <w:trHeight w:val="1050"/>
        </w:trPr>
        <w:tc>
          <w:tcPr>
            <w:tcW w:w="1531" w:type="pct"/>
          </w:tcPr>
          <w:p w14:paraId="4DAF6F85" w14:textId="77777777" w:rsidR="008E67EA" w:rsidRPr="00582001" w:rsidRDefault="008E67EA" w:rsidP="00B44A74">
            <w:pPr>
              <w:spacing w:line="240" w:lineRule="exact"/>
              <w:rPr>
                <w:rFonts w:cs="Arial"/>
                <w:b/>
                <w:spacing w:val="-2"/>
                <w:w w:val="105"/>
                <w:szCs w:val="18"/>
              </w:rPr>
            </w:pPr>
            <w:r w:rsidRPr="00582001">
              <w:rPr>
                <w:rFonts w:cs="Arial"/>
                <w:b/>
                <w:spacing w:val="-2"/>
                <w:w w:val="105"/>
                <w:szCs w:val="18"/>
              </w:rPr>
              <w:t xml:space="preserve">Clean Out Treatments </w:t>
            </w:r>
          </w:p>
          <w:p w14:paraId="5E561815" w14:textId="77777777" w:rsidR="008E67EA" w:rsidRPr="00582001" w:rsidRDefault="008E67EA" w:rsidP="00B44A74">
            <w:pPr>
              <w:spacing w:line="240" w:lineRule="exact"/>
              <w:rPr>
                <w:rFonts w:cs="Arial"/>
                <w:bCs/>
                <w:spacing w:val="-2"/>
                <w:w w:val="105"/>
                <w:szCs w:val="18"/>
              </w:rPr>
            </w:pPr>
            <w:r w:rsidRPr="00582001">
              <w:rPr>
                <w:rFonts w:cs="Arial"/>
                <w:bCs/>
                <w:spacing w:val="-2"/>
                <w:w w:val="105"/>
                <w:szCs w:val="18"/>
              </w:rPr>
              <w:t xml:space="preserve">In and around (within 2 m) </w:t>
            </w:r>
            <w:r w:rsidRPr="00582001">
              <w:rPr>
                <w:rFonts w:cs="Arial"/>
                <w:szCs w:val="18"/>
              </w:rPr>
              <w:t xml:space="preserve">industrial, commercial, public services, agricultural and domestic buildings </w:t>
            </w:r>
          </w:p>
        </w:tc>
        <w:tc>
          <w:tcPr>
            <w:tcW w:w="870" w:type="pct"/>
          </w:tcPr>
          <w:p w14:paraId="27E6C482" w14:textId="77777777" w:rsidR="008E67EA" w:rsidRPr="00867EDB" w:rsidRDefault="008E67EA" w:rsidP="00B44A74">
            <w:pPr>
              <w:spacing w:line="240" w:lineRule="exact"/>
              <w:rPr>
                <w:rFonts w:cs="Arial"/>
                <w:bCs/>
                <w:spacing w:val="-2"/>
                <w:w w:val="105"/>
                <w:szCs w:val="18"/>
              </w:rPr>
            </w:pPr>
            <w:r w:rsidRPr="00867EDB">
              <w:rPr>
                <w:rFonts w:cs="Arial"/>
                <w:bCs/>
                <w:spacing w:val="-2"/>
                <w:w w:val="105"/>
                <w:szCs w:val="18"/>
              </w:rPr>
              <w:t>Rats</w:t>
            </w:r>
          </w:p>
          <w:p w14:paraId="5B0D71C3" w14:textId="77777777" w:rsidR="008E67EA" w:rsidRPr="00641519" w:rsidRDefault="008E67EA" w:rsidP="00B44A74">
            <w:pPr>
              <w:spacing w:line="240" w:lineRule="exact"/>
              <w:rPr>
                <w:rFonts w:cs="Arial"/>
                <w:bCs/>
                <w:i/>
                <w:iCs/>
                <w:spacing w:val="-2"/>
                <w:w w:val="105"/>
                <w:szCs w:val="18"/>
              </w:rPr>
            </w:pPr>
            <w:r w:rsidRPr="00867EDB">
              <w:rPr>
                <w:rFonts w:cs="Arial"/>
                <w:bCs/>
                <w:spacing w:val="-2"/>
                <w:w w:val="105"/>
                <w:szCs w:val="18"/>
              </w:rPr>
              <w:t>(</w:t>
            </w:r>
            <w:r w:rsidRPr="002F6425">
              <w:rPr>
                <w:rFonts w:cs="Arial"/>
                <w:bCs/>
                <w:i/>
                <w:iCs/>
                <w:spacing w:val="-2"/>
                <w:w w:val="105"/>
                <w:szCs w:val="18"/>
              </w:rPr>
              <w:t>Rattus rattus, R. norvegicus)</w:t>
            </w:r>
          </w:p>
        </w:tc>
        <w:tc>
          <w:tcPr>
            <w:tcW w:w="700" w:type="pct"/>
          </w:tcPr>
          <w:p w14:paraId="2DD22B12" w14:textId="77777777" w:rsidR="008E67EA" w:rsidRPr="00867EDB" w:rsidRDefault="008E67EA" w:rsidP="00B44A74">
            <w:pPr>
              <w:spacing w:line="240" w:lineRule="exact"/>
              <w:rPr>
                <w:rFonts w:cs="Arial"/>
                <w:bCs/>
                <w:spacing w:val="-2"/>
                <w:w w:val="105"/>
                <w:szCs w:val="18"/>
              </w:rPr>
            </w:pPr>
            <w:r>
              <w:rPr>
                <w:rFonts w:cs="Arial"/>
                <w:bCs/>
                <w:spacing w:val="-2"/>
                <w:w w:val="105"/>
                <w:szCs w:val="18"/>
              </w:rPr>
              <w:t>[As per current approved label]</w:t>
            </w:r>
          </w:p>
        </w:tc>
        <w:tc>
          <w:tcPr>
            <w:tcW w:w="1899" w:type="pct"/>
            <w:vMerge w:val="restart"/>
          </w:tcPr>
          <w:p w14:paraId="72CB1439" w14:textId="77777777" w:rsidR="008E67EA" w:rsidRPr="0043360F" w:rsidRDefault="008E67EA" w:rsidP="00B44A74">
            <w:pPr>
              <w:spacing w:after="120" w:line="240" w:lineRule="exact"/>
              <w:rPr>
                <w:rFonts w:cs="Arial"/>
                <w:bCs/>
                <w:spacing w:val="-2"/>
                <w:w w:val="105"/>
                <w:szCs w:val="18"/>
              </w:rPr>
            </w:pPr>
            <w:r w:rsidRPr="0043360F">
              <w:rPr>
                <w:rFonts w:cs="Arial"/>
                <w:b/>
                <w:i/>
                <w:iCs/>
                <w:spacing w:val="-2"/>
                <w:w w:val="105"/>
                <w:szCs w:val="18"/>
              </w:rPr>
              <w:t>For rats:</w:t>
            </w:r>
            <w:r w:rsidRPr="0043360F">
              <w:rPr>
                <w:rFonts w:cs="Arial"/>
                <w:bCs/>
                <w:spacing w:val="-2"/>
                <w:w w:val="105"/>
                <w:szCs w:val="18"/>
              </w:rPr>
              <w:t xml:space="preserve"> Place bait stations at intervals of 5 to 9 m in infested areas. DO NOT exceed 9 m between bait stations. </w:t>
            </w:r>
          </w:p>
          <w:p w14:paraId="73D3C1DE" w14:textId="77777777" w:rsidR="008E67EA" w:rsidRPr="0043360F" w:rsidRDefault="008E67EA" w:rsidP="00B44A74">
            <w:pPr>
              <w:spacing w:after="120" w:line="240" w:lineRule="exact"/>
              <w:rPr>
                <w:rFonts w:cs="Arial"/>
                <w:bCs/>
                <w:spacing w:val="-2"/>
                <w:w w:val="105"/>
                <w:szCs w:val="18"/>
              </w:rPr>
            </w:pPr>
            <w:r w:rsidRPr="0043360F">
              <w:rPr>
                <w:rFonts w:cs="Arial"/>
                <w:b/>
                <w:i/>
                <w:iCs/>
                <w:spacing w:val="-2"/>
                <w:w w:val="105"/>
                <w:szCs w:val="18"/>
              </w:rPr>
              <w:t>For mice:</w:t>
            </w:r>
            <w:r w:rsidRPr="0043360F">
              <w:rPr>
                <w:rFonts w:cs="Arial"/>
                <w:bCs/>
                <w:spacing w:val="-2"/>
                <w:w w:val="105"/>
                <w:szCs w:val="18"/>
              </w:rPr>
              <w:t xml:space="preserve"> Place bait stations at intervals of 2 to 3 m in infested areas. DO NOT exceed 3 m between bait stations. </w:t>
            </w:r>
          </w:p>
          <w:p w14:paraId="1DC168E5" w14:textId="77777777" w:rsidR="008E67EA" w:rsidRPr="0043360F" w:rsidRDefault="008E67EA" w:rsidP="00B44A74">
            <w:pPr>
              <w:spacing w:after="120" w:line="240" w:lineRule="exact"/>
              <w:rPr>
                <w:rFonts w:cs="Arial"/>
                <w:bCs/>
                <w:spacing w:val="-2"/>
                <w:w w:val="105"/>
                <w:szCs w:val="18"/>
              </w:rPr>
            </w:pPr>
            <w:r w:rsidRPr="0043360F">
              <w:rPr>
                <w:rFonts w:cs="Arial"/>
                <w:bCs/>
                <w:spacing w:val="-2"/>
                <w:w w:val="105"/>
                <w:szCs w:val="18"/>
              </w:rPr>
              <w:t>Use the greater number of baits and shorter distance between bait placements when infestations are heavy</w:t>
            </w:r>
            <w:r w:rsidRPr="0043360F" w:rsidDel="004D121A">
              <w:rPr>
                <w:rFonts w:cs="Arial"/>
                <w:bCs/>
                <w:spacing w:val="-2"/>
                <w:w w:val="105"/>
                <w:szCs w:val="18"/>
              </w:rPr>
              <w:t xml:space="preserve"> </w:t>
            </w:r>
          </w:p>
          <w:p w14:paraId="1FE1EDCA" w14:textId="77777777" w:rsidR="008E67EA" w:rsidRPr="0043360F" w:rsidRDefault="008E67EA" w:rsidP="00B44A74">
            <w:pPr>
              <w:spacing w:after="120" w:line="240" w:lineRule="exact"/>
              <w:rPr>
                <w:rFonts w:cs="Arial"/>
                <w:bCs/>
                <w:spacing w:val="-2"/>
                <w:w w:val="105"/>
                <w:szCs w:val="18"/>
              </w:rPr>
            </w:pPr>
            <w:r w:rsidRPr="0043360F">
              <w:rPr>
                <w:rFonts w:cs="Arial"/>
                <w:bCs/>
                <w:spacing w:val="-2"/>
                <w:w w:val="105"/>
                <w:szCs w:val="18"/>
              </w:rPr>
              <w:t xml:space="preserve">See also baiting strategy for clean-out treatments. </w:t>
            </w:r>
          </w:p>
        </w:tc>
      </w:tr>
      <w:tr w:rsidR="008E67EA" w:rsidRPr="00C118CC" w14:paraId="0BDF1C97" w14:textId="77777777" w:rsidTr="002C5418">
        <w:trPr>
          <w:trHeight w:val="402"/>
        </w:trPr>
        <w:tc>
          <w:tcPr>
            <w:tcW w:w="1531" w:type="pct"/>
          </w:tcPr>
          <w:p w14:paraId="026051D0" w14:textId="77777777" w:rsidR="008E67EA" w:rsidRPr="00582001" w:rsidRDefault="008E67EA" w:rsidP="00B44A74">
            <w:pPr>
              <w:spacing w:line="240" w:lineRule="exact"/>
              <w:rPr>
                <w:rFonts w:cs="Arial"/>
                <w:bCs/>
                <w:spacing w:val="-2"/>
                <w:w w:val="105"/>
                <w:szCs w:val="18"/>
              </w:rPr>
            </w:pPr>
            <w:r w:rsidRPr="00582001">
              <w:rPr>
                <w:rFonts w:cs="Arial"/>
                <w:b/>
                <w:spacing w:val="-2"/>
                <w:w w:val="105"/>
                <w:szCs w:val="18"/>
              </w:rPr>
              <w:t>Clean Out Treatments</w:t>
            </w:r>
          </w:p>
          <w:p w14:paraId="442F4C90" w14:textId="77777777" w:rsidR="008E67EA" w:rsidRPr="00582001" w:rsidRDefault="008E67EA" w:rsidP="00B44A74">
            <w:pPr>
              <w:spacing w:line="240" w:lineRule="exact"/>
              <w:rPr>
                <w:rFonts w:cs="Arial"/>
                <w:bCs/>
                <w:spacing w:val="-2"/>
                <w:w w:val="105"/>
                <w:szCs w:val="18"/>
              </w:rPr>
            </w:pPr>
            <w:r w:rsidRPr="00582001">
              <w:rPr>
                <w:rFonts w:cs="Arial"/>
                <w:bCs/>
                <w:spacing w:val="-2"/>
                <w:w w:val="105"/>
                <w:szCs w:val="18"/>
              </w:rPr>
              <w:t xml:space="preserve">In </w:t>
            </w:r>
            <w:r w:rsidRPr="00582001">
              <w:rPr>
                <w:rFonts w:cs="Arial"/>
                <w:szCs w:val="18"/>
              </w:rPr>
              <w:t>industrial, commercial, public services, agricultural and domestic buildings</w:t>
            </w:r>
          </w:p>
        </w:tc>
        <w:tc>
          <w:tcPr>
            <w:tcW w:w="870" w:type="pct"/>
          </w:tcPr>
          <w:p w14:paraId="65990C66" w14:textId="77777777" w:rsidR="008E67EA" w:rsidRPr="00867EDB" w:rsidRDefault="008E67EA" w:rsidP="00B44A74">
            <w:pPr>
              <w:spacing w:line="240" w:lineRule="exact"/>
              <w:rPr>
                <w:rFonts w:cs="Arial"/>
                <w:bCs/>
                <w:spacing w:val="-2"/>
                <w:w w:val="105"/>
                <w:szCs w:val="18"/>
              </w:rPr>
            </w:pPr>
            <w:r w:rsidRPr="00867EDB">
              <w:rPr>
                <w:rFonts w:cs="Arial"/>
                <w:bCs/>
                <w:spacing w:val="-2"/>
                <w:w w:val="105"/>
                <w:szCs w:val="18"/>
              </w:rPr>
              <w:t>Mice</w:t>
            </w:r>
          </w:p>
          <w:p w14:paraId="3B7D9EF7" w14:textId="77777777" w:rsidR="008E67EA" w:rsidRPr="002F6425" w:rsidRDefault="008E67EA" w:rsidP="00B44A74">
            <w:pPr>
              <w:spacing w:line="240" w:lineRule="exact"/>
              <w:rPr>
                <w:rFonts w:cs="Arial"/>
                <w:bCs/>
                <w:i/>
                <w:iCs/>
                <w:spacing w:val="-2"/>
                <w:w w:val="105"/>
                <w:szCs w:val="18"/>
              </w:rPr>
            </w:pPr>
            <w:r w:rsidRPr="002F6425">
              <w:rPr>
                <w:rFonts w:cs="Arial"/>
                <w:bCs/>
                <w:i/>
                <w:iCs/>
                <w:spacing w:val="-2"/>
                <w:w w:val="105"/>
                <w:szCs w:val="18"/>
              </w:rPr>
              <w:t>(Mus domesticus)</w:t>
            </w:r>
          </w:p>
          <w:p w14:paraId="5D483183" w14:textId="77777777" w:rsidR="008E67EA" w:rsidRPr="00867EDB" w:rsidRDefault="008E67EA" w:rsidP="00B44A74">
            <w:pPr>
              <w:spacing w:line="240" w:lineRule="exact"/>
              <w:rPr>
                <w:rFonts w:cs="Arial"/>
                <w:bCs/>
                <w:spacing w:val="-2"/>
                <w:w w:val="105"/>
                <w:szCs w:val="18"/>
              </w:rPr>
            </w:pPr>
          </w:p>
        </w:tc>
        <w:tc>
          <w:tcPr>
            <w:tcW w:w="700" w:type="pct"/>
          </w:tcPr>
          <w:p w14:paraId="35A048E1" w14:textId="77777777" w:rsidR="008E67EA" w:rsidRPr="00867EDB" w:rsidRDefault="008E67EA" w:rsidP="00B44A74">
            <w:pPr>
              <w:spacing w:line="240" w:lineRule="exact"/>
              <w:rPr>
                <w:rFonts w:cs="Arial"/>
                <w:bCs/>
                <w:spacing w:val="-2"/>
                <w:w w:val="105"/>
                <w:szCs w:val="18"/>
              </w:rPr>
            </w:pPr>
            <w:r>
              <w:rPr>
                <w:rFonts w:cs="Arial"/>
                <w:bCs/>
                <w:spacing w:val="-2"/>
                <w:w w:val="105"/>
                <w:szCs w:val="18"/>
              </w:rPr>
              <w:t>[As per current approved label]</w:t>
            </w:r>
          </w:p>
        </w:tc>
        <w:tc>
          <w:tcPr>
            <w:tcW w:w="1899" w:type="pct"/>
            <w:vMerge/>
          </w:tcPr>
          <w:p w14:paraId="6118B4DB" w14:textId="77777777" w:rsidR="008E67EA" w:rsidRPr="0043360F" w:rsidRDefault="008E67EA" w:rsidP="00B44A74">
            <w:pPr>
              <w:spacing w:line="240" w:lineRule="exact"/>
              <w:rPr>
                <w:rFonts w:cs="Arial"/>
                <w:bCs/>
                <w:spacing w:val="-2"/>
                <w:w w:val="105"/>
                <w:szCs w:val="18"/>
              </w:rPr>
            </w:pPr>
          </w:p>
        </w:tc>
      </w:tr>
      <w:tr w:rsidR="008E67EA" w:rsidRPr="00C118CC" w14:paraId="7E2BFD26" w14:textId="77777777" w:rsidTr="002C5418">
        <w:trPr>
          <w:trHeight w:val="1247"/>
        </w:trPr>
        <w:tc>
          <w:tcPr>
            <w:tcW w:w="1531" w:type="pct"/>
          </w:tcPr>
          <w:p w14:paraId="095876F8" w14:textId="77777777" w:rsidR="008E67EA" w:rsidRPr="00582001" w:rsidRDefault="008E67EA" w:rsidP="00B44A74">
            <w:pPr>
              <w:spacing w:line="240" w:lineRule="exact"/>
              <w:rPr>
                <w:rFonts w:cs="Arial"/>
                <w:b/>
                <w:spacing w:val="-2"/>
                <w:w w:val="105"/>
                <w:szCs w:val="18"/>
              </w:rPr>
            </w:pPr>
            <w:r w:rsidRPr="00582001">
              <w:rPr>
                <w:rFonts w:cs="Arial"/>
                <w:b/>
                <w:spacing w:val="-2"/>
                <w:w w:val="105"/>
                <w:szCs w:val="18"/>
              </w:rPr>
              <w:t xml:space="preserve">Monitoring and/or Maintenance Treatments </w:t>
            </w:r>
          </w:p>
          <w:p w14:paraId="21D8BEB8" w14:textId="77777777" w:rsidR="008E67EA" w:rsidRPr="00582001" w:rsidRDefault="008E67EA" w:rsidP="00B44A74">
            <w:pPr>
              <w:spacing w:line="240" w:lineRule="exact"/>
              <w:rPr>
                <w:rFonts w:cs="Arial"/>
                <w:bCs/>
                <w:spacing w:val="-2"/>
                <w:w w:val="105"/>
                <w:szCs w:val="18"/>
              </w:rPr>
            </w:pPr>
            <w:r w:rsidRPr="00582001">
              <w:rPr>
                <w:rFonts w:cs="Arial"/>
                <w:bCs/>
                <w:spacing w:val="-2"/>
                <w:w w:val="105"/>
                <w:szCs w:val="18"/>
              </w:rPr>
              <w:t xml:space="preserve">In and around (within 2 m) </w:t>
            </w:r>
            <w:r w:rsidRPr="00582001">
              <w:rPr>
                <w:rFonts w:cs="Arial"/>
                <w:szCs w:val="18"/>
              </w:rPr>
              <w:t>industrial, commercial, public services, agricultural and domestic buildings</w:t>
            </w:r>
          </w:p>
        </w:tc>
        <w:tc>
          <w:tcPr>
            <w:tcW w:w="870" w:type="pct"/>
          </w:tcPr>
          <w:p w14:paraId="13195C48" w14:textId="77777777" w:rsidR="008E67EA" w:rsidRPr="00867EDB" w:rsidRDefault="008E67EA" w:rsidP="00B44A74">
            <w:pPr>
              <w:spacing w:line="240" w:lineRule="exact"/>
              <w:rPr>
                <w:rFonts w:cs="Arial"/>
                <w:bCs/>
                <w:spacing w:val="-2"/>
                <w:w w:val="105"/>
                <w:szCs w:val="18"/>
              </w:rPr>
            </w:pPr>
            <w:r w:rsidRPr="00867EDB">
              <w:rPr>
                <w:rFonts w:cs="Arial"/>
                <w:bCs/>
                <w:spacing w:val="-2"/>
                <w:w w:val="105"/>
                <w:szCs w:val="18"/>
              </w:rPr>
              <w:t>Rats</w:t>
            </w:r>
          </w:p>
          <w:p w14:paraId="4EF5FBEA" w14:textId="77777777" w:rsidR="008E67EA" w:rsidRPr="002F6425" w:rsidRDefault="008E67EA" w:rsidP="00B44A74">
            <w:pPr>
              <w:spacing w:line="240" w:lineRule="exact"/>
              <w:rPr>
                <w:rFonts w:cs="Arial"/>
                <w:bCs/>
                <w:i/>
                <w:iCs/>
                <w:spacing w:val="-2"/>
                <w:w w:val="105"/>
                <w:szCs w:val="18"/>
              </w:rPr>
            </w:pPr>
            <w:r w:rsidRPr="002F6425">
              <w:rPr>
                <w:rFonts w:cs="Arial"/>
                <w:bCs/>
                <w:i/>
                <w:iCs/>
                <w:spacing w:val="-2"/>
                <w:w w:val="105"/>
                <w:szCs w:val="18"/>
              </w:rPr>
              <w:t>(Rattus rattus, R. norvegicus)</w:t>
            </w:r>
          </w:p>
          <w:p w14:paraId="4DCE1DF8" w14:textId="77777777" w:rsidR="008E67EA" w:rsidRPr="00867EDB" w:rsidRDefault="008E67EA" w:rsidP="00B44A74">
            <w:pPr>
              <w:spacing w:line="240" w:lineRule="exact"/>
              <w:rPr>
                <w:rFonts w:cs="Arial"/>
                <w:bCs/>
                <w:spacing w:val="-2"/>
                <w:w w:val="105"/>
                <w:szCs w:val="18"/>
              </w:rPr>
            </w:pPr>
          </w:p>
        </w:tc>
        <w:tc>
          <w:tcPr>
            <w:tcW w:w="700" w:type="pct"/>
            <w:vMerge w:val="restart"/>
          </w:tcPr>
          <w:p w14:paraId="77608463" w14:textId="77777777" w:rsidR="008E67EA" w:rsidRPr="00867EDB" w:rsidRDefault="008E67EA" w:rsidP="00B44A74">
            <w:pPr>
              <w:spacing w:line="240" w:lineRule="exact"/>
              <w:rPr>
                <w:rFonts w:cs="Arial"/>
                <w:bCs/>
                <w:spacing w:val="-2"/>
                <w:w w:val="105"/>
                <w:szCs w:val="18"/>
              </w:rPr>
            </w:pPr>
            <w:r>
              <w:rPr>
                <w:rFonts w:cs="Arial"/>
                <w:bCs/>
                <w:spacing w:val="-2"/>
                <w:w w:val="105"/>
                <w:szCs w:val="18"/>
              </w:rPr>
              <w:t>[As per current approved label: 1 bait/bait station or 1-2 baits/bait station]</w:t>
            </w:r>
          </w:p>
        </w:tc>
        <w:tc>
          <w:tcPr>
            <w:tcW w:w="1899" w:type="pct"/>
            <w:vMerge w:val="restart"/>
          </w:tcPr>
          <w:p w14:paraId="4CC3CD3D" w14:textId="77777777" w:rsidR="008E67EA" w:rsidRPr="0043360F" w:rsidRDefault="008E67EA" w:rsidP="00B44A74">
            <w:pPr>
              <w:spacing w:after="120" w:line="240" w:lineRule="exact"/>
              <w:rPr>
                <w:rFonts w:cs="Arial"/>
                <w:bCs/>
                <w:spacing w:val="-2"/>
                <w:w w:val="105"/>
                <w:szCs w:val="18"/>
              </w:rPr>
            </w:pPr>
            <w:r w:rsidRPr="0043360F">
              <w:rPr>
                <w:rFonts w:cs="Arial"/>
                <w:bCs/>
                <w:spacing w:val="-2"/>
                <w:w w:val="105"/>
                <w:szCs w:val="18"/>
              </w:rPr>
              <w:t>Place bait stations in areas prone to rodent infestation at intervals of between 15 and 30 m.</w:t>
            </w:r>
          </w:p>
          <w:p w14:paraId="0EA57FFE" w14:textId="77777777" w:rsidR="008E67EA" w:rsidRPr="0043360F" w:rsidRDefault="008E67EA" w:rsidP="00B44A74">
            <w:pPr>
              <w:spacing w:after="120" w:line="240" w:lineRule="exact"/>
              <w:rPr>
                <w:rFonts w:cs="Arial"/>
                <w:bCs/>
                <w:spacing w:val="-2"/>
                <w:w w:val="105"/>
                <w:szCs w:val="18"/>
              </w:rPr>
            </w:pPr>
            <w:r w:rsidRPr="0043360F">
              <w:rPr>
                <w:rFonts w:cs="Arial"/>
                <w:bCs/>
                <w:spacing w:val="-2"/>
                <w:w w:val="105"/>
                <w:szCs w:val="18"/>
              </w:rPr>
              <w:t>See also baiting strategy for monitoring and/or maintenance treatments.</w:t>
            </w:r>
          </w:p>
        </w:tc>
      </w:tr>
      <w:tr w:rsidR="008E67EA" w:rsidRPr="00C118CC" w14:paraId="03145741" w14:textId="77777777" w:rsidTr="002C5418">
        <w:trPr>
          <w:trHeight w:val="1020"/>
        </w:trPr>
        <w:tc>
          <w:tcPr>
            <w:tcW w:w="1531" w:type="pct"/>
          </w:tcPr>
          <w:p w14:paraId="789B9EC0" w14:textId="77777777" w:rsidR="008E67EA" w:rsidRPr="00582001" w:rsidRDefault="008E67EA" w:rsidP="00B44A74">
            <w:pPr>
              <w:spacing w:line="240" w:lineRule="exact"/>
              <w:rPr>
                <w:rFonts w:cs="Arial"/>
                <w:b/>
                <w:spacing w:val="-2"/>
                <w:w w:val="105"/>
                <w:szCs w:val="18"/>
              </w:rPr>
            </w:pPr>
            <w:r w:rsidRPr="00582001">
              <w:rPr>
                <w:rFonts w:cs="Arial"/>
                <w:b/>
                <w:spacing w:val="-2"/>
                <w:w w:val="105"/>
                <w:szCs w:val="18"/>
              </w:rPr>
              <w:t xml:space="preserve">Monitoring and/or Maintenance Treatments </w:t>
            </w:r>
          </w:p>
          <w:p w14:paraId="05262703" w14:textId="77777777" w:rsidR="008E67EA" w:rsidRPr="00582001" w:rsidRDefault="008E67EA" w:rsidP="00B44A74">
            <w:pPr>
              <w:spacing w:line="240" w:lineRule="exact"/>
              <w:rPr>
                <w:rFonts w:cs="Arial"/>
                <w:bCs/>
                <w:spacing w:val="-2"/>
                <w:w w:val="105"/>
                <w:szCs w:val="18"/>
              </w:rPr>
            </w:pPr>
            <w:r w:rsidRPr="00582001">
              <w:rPr>
                <w:rFonts w:cs="Arial"/>
                <w:bCs/>
                <w:spacing w:val="-2"/>
                <w:w w:val="105"/>
                <w:szCs w:val="18"/>
              </w:rPr>
              <w:t>In industrial, commercial, public services, agricultural and domestic buildings</w:t>
            </w:r>
          </w:p>
        </w:tc>
        <w:tc>
          <w:tcPr>
            <w:tcW w:w="870" w:type="pct"/>
          </w:tcPr>
          <w:p w14:paraId="23B349ED" w14:textId="77777777" w:rsidR="008E67EA" w:rsidRPr="00867EDB" w:rsidRDefault="008E67EA" w:rsidP="00B44A74">
            <w:pPr>
              <w:spacing w:line="240" w:lineRule="exact"/>
              <w:rPr>
                <w:rFonts w:cs="Arial"/>
                <w:bCs/>
                <w:spacing w:val="-2"/>
                <w:w w:val="105"/>
                <w:szCs w:val="18"/>
              </w:rPr>
            </w:pPr>
            <w:r w:rsidRPr="00867EDB">
              <w:rPr>
                <w:rFonts w:cs="Arial"/>
                <w:bCs/>
                <w:spacing w:val="-2"/>
                <w:w w:val="105"/>
                <w:szCs w:val="18"/>
              </w:rPr>
              <w:t>Mice</w:t>
            </w:r>
          </w:p>
          <w:p w14:paraId="3027C68A" w14:textId="77777777" w:rsidR="008E67EA" w:rsidRPr="002F6425" w:rsidRDefault="008E67EA" w:rsidP="00B44A74">
            <w:pPr>
              <w:spacing w:line="240" w:lineRule="exact"/>
              <w:rPr>
                <w:rFonts w:cs="Arial"/>
                <w:bCs/>
                <w:i/>
                <w:iCs/>
                <w:spacing w:val="-2"/>
                <w:w w:val="105"/>
                <w:szCs w:val="18"/>
              </w:rPr>
            </w:pPr>
            <w:r w:rsidRPr="002F6425">
              <w:rPr>
                <w:rFonts w:cs="Arial"/>
                <w:bCs/>
                <w:i/>
                <w:iCs/>
                <w:spacing w:val="-2"/>
                <w:w w:val="105"/>
                <w:szCs w:val="18"/>
              </w:rPr>
              <w:t>(Mus domesticus)</w:t>
            </w:r>
          </w:p>
          <w:p w14:paraId="00F873E1" w14:textId="77777777" w:rsidR="008E67EA" w:rsidRPr="00867EDB" w:rsidRDefault="008E67EA" w:rsidP="00B44A74">
            <w:pPr>
              <w:spacing w:line="240" w:lineRule="exact"/>
              <w:rPr>
                <w:rFonts w:cs="Arial"/>
                <w:bCs/>
                <w:spacing w:val="-2"/>
                <w:w w:val="105"/>
                <w:szCs w:val="18"/>
              </w:rPr>
            </w:pPr>
          </w:p>
        </w:tc>
        <w:tc>
          <w:tcPr>
            <w:tcW w:w="700" w:type="pct"/>
            <w:vMerge/>
          </w:tcPr>
          <w:p w14:paraId="568226C0" w14:textId="77777777" w:rsidR="008E67EA" w:rsidRPr="00867EDB" w:rsidRDefault="008E67EA" w:rsidP="00B44A74">
            <w:pPr>
              <w:spacing w:line="240" w:lineRule="exact"/>
              <w:rPr>
                <w:rFonts w:cs="Arial"/>
                <w:bCs/>
                <w:spacing w:val="-2"/>
                <w:w w:val="105"/>
                <w:szCs w:val="18"/>
              </w:rPr>
            </w:pPr>
          </w:p>
        </w:tc>
        <w:tc>
          <w:tcPr>
            <w:tcW w:w="1899" w:type="pct"/>
            <w:vMerge/>
          </w:tcPr>
          <w:p w14:paraId="5A156D70" w14:textId="77777777" w:rsidR="008E67EA" w:rsidRPr="00867EDB" w:rsidRDefault="008E67EA" w:rsidP="00B44A74">
            <w:pPr>
              <w:spacing w:line="240" w:lineRule="exact"/>
              <w:rPr>
                <w:rFonts w:cs="Arial"/>
                <w:bCs/>
                <w:spacing w:val="-2"/>
                <w:w w:val="105"/>
                <w:szCs w:val="18"/>
              </w:rPr>
            </w:pPr>
          </w:p>
        </w:tc>
      </w:tr>
    </w:tbl>
    <w:p w14:paraId="3E640BDD" w14:textId="77777777" w:rsidR="008E67EA" w:rsidRPr="00992A39" w:rsidRDefault="008E67EA" w:rsidP="008E67EA">
      <w:pPr>
        <w:rPr>
          <w:rFonts w:cs="Arial"/>
          <w:sz w:val="20"/>
          <w:szCs w:val="20"/>
        </w:rPr>
      </w:pPr>
    </w:p>
    <w:p w14:paraId="1F28006C" w14:textId="77777777" w:rsidR="008E67EA" w:rsidRPr="00DC2C8B" w:rsidRDefault="008E67EA" w:rsidP="008E67EA">
      <w:pPr>
        <w:spacing w:line="280" w:lineRule="exact"/>
        <w:rPr>
          <w:rFonts w:cs="Arial"/>
          <w:b/>
          <w:bCs/>
          <w:color w:val="000000" w:themeColor="text1"/>
          <w:sz w:val="20"/>
          <w:szCs w:val="20"/>
        </w:rPr>
      </w:pPr>
      <w:r w:rsidRPr="00DC2C8B">
        <w:rPr>
          <w:rFonts w:cs="Arial"/>
          <w:b/>
          <w:bCs/>
          <w:color w:val="000000" w:themeColor="text1"/>
          <w:sz w:val="20"/>
          <w:szCs w:val="20"/>
        </w:rPr>
        <w:t>Baiting Strategy</w:t>
      </w:r>
    </w:p>
    <w:p w14:paraId="5CA4DF43" w14:textId="77777777" w:rsidR="008E67EA" w:rsidRPr="00DC2C8B"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DC2C8B">
        <w:rPr>
          <w:rFonts w:eastAsia="Calibri" w:cs="Arial"/>
          <w:sz w:val="20"/>
          <w:szCs w:val="20"/>
          <w:bdr w:val="none" w:sz="0" w:space="0" w:color="auto" w:frame="1"/>
          <w:lang w:val="en-GB" w:eastAsia="en-AU"/>
        </w:rPr>
        <w:t>Eliminate all alternative food sources as far as practical.</w:t>
      </w:r>
    </w:p>
    <w:p w14:paraId="3C15F7BD" w14:textId="77777777" w:rsidR="008E67EA" w:rsidRPr="00DC2C8B"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DC2C8B">
        <w:rPr>
          <w:rFonts w:eastAsia="Calibri" w:cs="Arial"/>
          <w:sz w:val="20"/>
          <w:szCs w:val="20"/>
          <w:bdr w:val="none" w:sz="0" w:space="0" w:color="auto" w:frame="1"/>
          <w:lang w:val="en-GB" w:eastAsia="en-AU"/>
        </w:rPr>
        <w:t>When used in food producing animal housing situations careful consideration is necessary regarding the placement of bait stations to ensure any rodenticide contamination of water, feed or livestock is prevented.</w:t>
      </w:r>
    </w:p>
    <w:p w14:paraId="31CDE4CE" w14:textId="77777777" w:rsidR="008E67EA" w:rsidRPr="00DC2C8B" w:rsidRDefault="008E67EA" w:rsidP="008E67EA">
      <w:pPr>
        <w:spacing w:line="280" w:lineRule="exact"/>
        <w:rPr>
          <w:rFonts w:cs="Arial"/>
          <w:b/>
          <w:bCs/>
          <w:i/>
          <w:iCs/>
          <w:color w:val="000000" w:themeColor="text1"/>
          <w:sz w:val="20"/>
          <w:szCs w:val="20"/>
        </w:rPr>
      </w:pPr>
      <w:r w:rsidRPr="00DC2C8B">
        <w:rPr>
          <w:rFonts w:cs="Arial"/>
          <w:b/>
          <w:bCs/>
          <w:i/>
          <w:iCs/>
          <w:color w:val="000000" w:themeColor="text1"/>
          <w:sz w:val="20"/>
          <w:szCs w:val="20"/>
        </w:rPr>
        <w:t xml:space="preserve">Clean-Out Treatments (Pulse Baiting) </w:t>
      </w:r>
    </w:p>
    <w:p w14:paraId="42CF6FD4" w14:textId="77777777" w:rsidR="008E67EA" w:rsidRPr="00DC2C8B"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DC2C8B">
        <w:rPr>
          <w:rFonts w:eastAsia="Calibri" w:cs="Arial"/>
          <w:sz w:val="20"/>
          <w:szCs w:val="20"/>
          <w:bdr w:val="none" w:sz="0" w:space="0" w:color="auto" w:frame="1"/>
          <w:lang w:val="en-GB" w:eastAsia="en-AU"/>
        </w:rPr>
        <w:t>Clean-out treatments are used to remove existing infestations of rats and mice</w:t>
      </w:r>
    </w:p>
    <w:p w14:paraId="2B01EC50" w14:textId="77777777" w:rsidR="008E67EA" w:rsidRPr="00DC2C8B"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DC2C8B">
        <w:rPr>
          <w:rFonts w:eastAsia="Calibri" w:cs="Arial"/>
          <w:sz w:val="20"/>
          <w:szCs w:val="20"/>
          <w:bdr w:val="none" w:sz="0" w:space="0" w:color="auto" w:frame="1"/>
          <w:lang w:val="en-GB" w:eastAsia="en-AU"/>
        </w:rPr>
        <w:t>Survey site prior to treatment, including assessment of the extent of infestation and identification of any indications of the presence of non-target animals.</w:t>
      </w:r>
    </w:p>
    <w:p w14:paraId="03D379CE" w14:textId="77777777" w:rsidR="008E67EA" w:rsidRPr="00DC2C8B"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DC2C8B">
        <w:rPr>
          <w:rFonts w:eastAsia="Calibri" w:cs="Arial"/>
          <w:sz w:val="20"/>
          <w:szCs w:val="20"/>
          <w:bdr w:val="none" w:sz="0" w:space="0" w:color="auto" w:frame="1"/>
          <w:lang w:val="en-GB" w:eastAsia="en-AU"/>
        </w:rPr>
        <w:t xml:space="preserve">Always use </w:t>
      </w:r>
      <w:r w:rsidRPr="00DC2C8B">
        <w:rPr>
          <w:rFonts w:cs="Arial"/>
          <w:sz w:val="20"/>
          <w:szCs w:val="20"/>
          <w:bdr w:val="none" w:sz="0" w:space="0" w:color="auto" w:frame="1"/>
          <w:lang w:val="en-GB" w:eastAsia="en-AU"/>
        </w:rPr>
        <w:t xml:space="preserve">tamper-resistant bait stations that are secured in place in child accessible areas, outdoors and in animal or livestock housing. </w:t>
      </w:r>
    </w:p>
    <w:p w14:paraId="62F484EA" w14:textId="77777777" w:rsidR="008E67EA" w:rsidRPr="00DC2C8B"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DC2C8B">
        <w:rPr>
          <w:rFonts w:eastAsia="Calibri" w:cs="Arial"/>
          <w:sz w:val="20"/>
          <w:szCs w:val="20"/>
          <w:bdr w:val="none" w:sz="0" w:space="0" w:color="auto" w:frame="1"/>
          <w:lang w:val="en-GB" w:eastAsia="en-AU"/>
        </w:rPr>
        <w:t>Place baits so as to prevent access to non-target animals.</w:t>
      </w:r>
    </w:p>
    <w:p w14:paraId="599BDDDF" w14:textId="77777777" w:rsidR="008E67EA" w:rsidRPr="00DC2C8B"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DC2C8B">
        <w:rPr>
          <w:rFonts w:eastAsia="Calibri" w:cs="Arial"/>
          <w:sz w:val="20"/>
          <w:szCs w:val="20"/>
          <w:bdr w:val="none" w:sz="0" w:space="0" w:color="auto" w:frame="1"/>
          <w:lang w:val="en-GB" w:eastAsia="en-AU"/>
        </w:rPr>
        <w:t>Record the number and locations of bait stations for the purpose of inspection, replacement and later removal.</w:t>
      </w:r>
    </w:p>
    <w:p w14:paraId="4B9B9E2F" w14:textId="77777777" w:rsidR="008E67EA" w:rsidRPr="0043360F"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43360F">
        <w:rPr>
          <w:rFonts w:eastAsia="Calibri" w:cs="Arial"/>
          <w:sz w:val="20"/>
          <w:szCs w:val="20"/>
          <w:bdr w:val="none" w:sz="0" w:space="0" w:color="auto" w:frame="1"/>
          <w:lang w:val="en-GB" w:eastAsia="en-AU"/>
        </w:rPr>
        <w:t xml:space="preserve">Conduct initial inspection of </w:t>
      </w:r>
      <w:r>
        <w:rPr>
          <w:rFonts w:eastAsia="Calibri" w:cs="Arial"/>
          <w:sz w:val="20"/>
          <w:szCs w:val="20"/>
          <w:bdr w:val="none" w:sz="0" w:space="0" w:color="auto" w:frame="1"/>
          <w:lang w:val="en-GB" w:eastAsia="en-AU"/>
        </w:rPr>
        <w:t>bait</w:t>
      </w:r>
      <w:r w:rsidRPr="0043360F">
        <w:rPr>
          <w:rFonts w:eastAsia="Calibri" w:cs="Arial"/>
          <w:sz w:val="20"/>
          <w:szCs w:val="20"/>
          <w:bdr w:val="none" w:sz="0" w:space="0" w:color="auto" w:frame="1"/>
          <w:lang w:val="en-GB" w:eastAsia="en-AU"/>
        </w:rPr>
        <w:t xml:space="preserve"> after 3 or 4 days. Replace any bait that has been consumed. Repeat approximately 4 days later and then weekly. Replace contaminated or spoiled baits. </w:t>
      </w:r>
    </w:p>
    <w:p w14:paraId="2C1059AD" w14:textId="77777777" w:rsidR="008E67EA" w:rsidRPr="0043360F"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43360F">
        <w:rPr>
          <w:rFonts w:eastAsia="Calibri" w:cs="Arial"/>
          <w:sz w:val="20"/>
          <w:szCs w:val="20"/>
          <w:bdr w:val="none" w:sz="0" w:space="0" w:color="auto" w:frame="1"/>
          <w:lang w:val="en-GB" w:eastAsia="en-AU"/>
        </w:rPr>
        <w:t xml:space="preserve">Baiting for at least 2 weeks (3 to 4 pulses) will be necessary to reduce rat/mouse numbers to a low level. Although heavy infestations may require longer treatments to achieve complete eradication. </w:t>
      </w:r>
    </w:p>
    <w:p w14:paraId="0A4D0B35" w14:textId="77777777" w:rsidR="008E67EA" w:rsidRPr="00DC2C8B"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DC2C8B">
        <w:rPr>
          <w:rFonts w:eastAsia="Calibri" w:cs="Arial"/>
          <w:sz w:val="20"/>
          <w:szCs w:val="20"/>
          <w:bdr w:val="none" w:sz="0" w:space="0" w:color="auto" w:frame="1"/>
          <w:lang w:val="en-GB" w:eastAsia="en-AU"/>
        </w:rPr>
        <w:lastRenderedPageBreak/>
        <w:t>Discontinue the treatment when effective control has been achieved and remove all bait and bait stations unless a maintenance treatment is to be undertaken.</w:t>
      </w:r>
    </w:p>
    <w:p w14:paraId="48B39D10" w14:textId="77777777" w:rsidR="008E67EA" w:rsidRPr="00DC2C8B"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DC2C8B">
        <w:rPr>
          <w:rFonts w:eastAsia="Calibri" w:cs="Arial"/>
          <w:sz w:val="20"/>
          <w:szCs w:val="20"/>
          <w:bdr w:val="none" w:sz="0" w:space="0" w:color="auto" w:frame="1"/>
          <w:lang w:val="en-GB" w:eastAsia="en-AU"/>
        </w:rPr>
        <w:t>DO NOT use the product beyond 35 days without an evaluation of the state of the infestation and of the efficacy of the treatment.</w:t>
      </w:r>
    </w:p>
    <w:p w14:paraId="2D9D3A1E" w14:textId="77777777" w:rsidR="008E67EA" w:rsidRPr="00DC2C8B"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DC2C8B">
        <w:rPr>
          <w:rFonts w:eastAsia="Calibri" w:cs="Arial"/>
          <w:sz w:val="20"/>
          <w:szCs w:val="20"/>
          <w:bdr w:val="none" w:sz="0" w:space="0" w:color="auto" w:frame="1"/>
          <w:lang w:val="en-GB" w:eastAsia="en-AU"/>
        </w:rPr>
        <w:t>Remove all uneaten bait at the end of treatment.</w:t>
      </w:r>
    </w:p>
    <w:p w14:paraId="03CB596F" w14:textId="77777777" w:rsidR="008E67EA" w:rsidRPr="00DC2C8B" w:rsidRDefault="008E67EA" w:rsidP="008E67EA">
      <w:pPr>
        <w:spacing w:line="280" w:lineRule="exact"/>
        <w:rPr>
          <w:rFonts w:cs="Arial"/>
          <w:b/>
          <w:bCs/>
          <w:i/>
          <w:iCs/>
          <w:color w:val="000000" w:themeColor="text1"/>
          <w:sz w:val="20"/>
          <w:szCs w:val="20"/>
        </w:rPr>
      </w:pPr>
      <w:r w:rsidRPr="00DC2C8B">
        <w:rPr>
          <w:rFonts w:cs="Arial"/>
          <w:b/>
          <w:bCs/>
          <w:i/>
          <w:iCs/>
          <w:color w:val="000000" w:themeColor="text1"/>
          <w:sz w:val="20"/>
          <w:szCs w:val="20"/>
        </w:rPr>
        <w:t xml:space="preserve">Monitoring and/or Maintenance Treatments </w:t>
      </w:r>
    </w:p>
    <w:p w14:paraId="2B32A435" w14:textId="77777777" w:rsidR="008E67EA" w:rsidRPr="00DC2C8B"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DC2C8B">
        <w:rPr>
          <w:rFonts w:eastAsia="Calibri" w:cs="Arial"/>
          <w:sz w:val="20"/>
          <w:szCs w:val="20"/>
          <w:bdr w:val="none" w:sz="0" w:space="0" w:color="auto" w:frame="1"/>
          <w:lang w:val="en-GB" w:eastAsia="en-AU"/>
        </w:rPr>
        <w:t>Monitoring and maintenance treatments are required at sensitive sites where there is no current rodent infestation but where the prevention of such infestation is essential to prevent significant risks to human health. Such treatments may be a condition for audit approval within food safety guidelines. However, use of this product must comply with the conditions of this label.</w:t>
      </w:r>
    </w:p>
    <w:p w14:paraId="50D25786" w14:textId="77777777" w:rsidR="008E67EA" w:rsidRPr="00DC2C8B"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DC2C8B">
        <w:rPr>
          <w:rFonts w:eastAsia="Calibri" w:cs="Arial"/>
          <w:sz w:val="20"/>
          <w:szCs w:val="20"/>
          <w:bdr w:val="none" w:sz="0" w:space="0" w:color="auto" w:frame="1"/>
          <w:lang w:val="en-GB" w:eastAsia="en-AU"/>
        </w:rPr>
        <w:t xml:space="preserve">Always use </w:t>
      </w:r>
      <w:r w:rsidRPr="00DC2C8B">
        <w:rPr>
          <w:rFonts w:cs="Arial"/>
          <w:sz w:val="20"/>
          <w:szCs w:val="20"/>
          <w:bdr w:val="none" w:sz="0" w:space="0" w:color="auto" w:frame="1"/>
          <w:lang w:val="en-GB" w:eastAsia="en-AU"/>
        </w:rPr>
        <w:t xml:space="preserve">tamper-resistant bait stations for monitoring and maintenance treatments and fix the stations securely to the substrate. </w:t>
      </w:r>
    </w:p>
    <w:p w14:paraId="30749A74" w14:textId="77777777" w:rsidR="008E67EA" w:rsidRPr="00DC2C8B"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DC2C8B">
        <w:rPr>
          <w:rFonts w:eastAsia="Calibri" w:cs="Arial"/>
          <w:sz w:val="20"/>
          <w:szCs w:val="20"/>
          <w:bdr w:val="none" w:sz="0" w:space="0" w:color="auto" w:frame="1"/>
          <w:lang w:val="en-GB" w:eastAsia="en-AU"/>
        </w:rPr>
        <w:t>Place bait stations so as to prevent access to non-target animals.</w:t>
      </w:r>
    </w:p>
    <w:p w14:paraId="045627C4" w14:textId="77777777" w:rsidR="008E67EA" w:rsidRPr="00DC2C8B"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DC2C8B">
        <w:rPr>
          <w:rFonts w:eastAsia="Calibri" w:cs="Arial"/>
          <w:sz w:val="20"/>
          <w:szCs w:val="20"/>
          <w:bdr w:val="none" w:sz="0" w:space="0" w:color="auto" w:frame="1"/>
          <w:lang w:val="en-GB" w:eastAsia="en-AU"/>
        </w:rPr>
        <w:t>Use placebo or unpoisoned bait if the placement of the bait presents a hazard to non-target animals.</w:t>
      </w:r>
    </w:p>
    <w:p w14:paraId="78403296" w14:textId="77777777" w:rsidR="008E67EA" w:rsidRPr="00DC2C8B"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DC2C8B">
        <w:rPr>
          <w:rFonts w:eastAsia="Calibri" w:cs="Arial"/>
          <w:sz w:val="20"/>
          <w:szCs w:val="20"/>
          <w:bdr w:val="none" w:sz="0" w:space="0" w:color="auto" w:frame="1"/>
          <w:lang w:val="en-GB" w:eastAsia="en-AU"/>
        </w:rPr>
        <w:t>Always record the number and locations of bait stations for the purpose of bait replacement and later removal.</w:t>
      </w:r>
    </w:p>
    <w:p w14:paraId="51E1A106" w14:textId="77777777" w:rsidR="008E67EA" w:rsidRPr="00DC2C8B"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DC2C8B">
        <w:rPr>
          <w:rFonts w:eastAsia="Calibri" w:cs="Arial"/>
          <w:sz w:val="20"/>
          <w:szCs w:val="20"/>
          <w:bdr w:val="none" w:sz="0" w:space="0" w:color="auto" w:frame="1"/>
          <w:lang w:val="en-GB" w:eastAsia="en-AU"/>
        </w:rPr>
        <w:t>Bait stations should be inspected at regular intervals no more than 7 days apart according to an agreed and documented schedule.</w:t>
      </w:r>
    </w:p>
    <w:p w14:paraId="57EB38D2" w14:textId="77777777" w:rsidR="008E67EA" w:rsidRPr="00DC2C8B"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DC2C8B">
        <w:rPr>
          <w:rFonts w:eastAsia="Calibri" w:cs="Arial"/>
          <w:sz w:val="20"/>
          <w:szCs w:val="20"/>
          <w:bdr w:val="none" w:sz="0" w:space="0" w:color="auto" w:frame="1"/>
          <w:lang w:eastAsia="en-AU"/>
        </w:rPr>
        <w:t xml:space="preserve">When a rodent infestation is detected revert to the directions for </w:t>
      </w:r>
      <w:r>
        <w:rPr>
          <w:rFonts w:eastAsia="Calibri" w:cs="Arial"/>
          <w:sz w:val="20"/>
          <w:szCs w:val="20"/>
          <w:bdr w:val="none" w:sz="0" w:space="0" w:color="auto" w:frame="1"/>
          <w:lang w:eastAsia="en-AU"/>
        </w:rPr>
        <w:t>c</w:t>
      </w:r>
      <w:r w:rsidRPr="00DC2C8B">
        <w:rPr>
          <w:rFonts w:eastAsia="Calibri" w:cs="Arial"/>
          <w:sz w:val="20"/>
          <w:szCs w:val="20"/>
          <w:bdr w:val="none" w:sz="0" w:space="0" w:color="auto" w:frame="1"/>
          <w:lang w:eastAsia="en-AU"/>
        </w:rPr>
        <w:t>lean-</w:t>
      </w:r>
      <w:r>
        <w:rPr>
          <w:rFonts w:eastAsia="Calibri" w:cs="Arial"/>
          <w:sz w:val="20"/>
          <w:szCs w:val="20"/>
          <w:bdr w:val="none" w:sz="0" w:space="0" w:color="auto" w:frame="1"/>
          <w:lang w:eastAsia="en-AU"/>
        </w:rPr>
        <w:t>o</w:t>
      </w:r>
      <w:r w:rsidRPr="00DC2C8B">
        <w:rPr>
          <w:rFonts w:eastAsia="Calibri" w:cs="Arial"/>
          <w:sz w:val="20"/>
          <w:szCs w:val="20"/>
          <w:bdr w:val="none" w:sz="0" w:space="0" w:color="auto" w:frame="1"/>
          <w:lang w:eastAsia="en-AU"/>
        </w:rPr>
        <w:t xml:space="preserve">ut </w:t>
      </w:r>
      <w:r>
        <w:rPr>
          <w:rFonts w:eastAsia="Calibri" w:cs="Arial"/>
          <w:sz w:val="20"/>
          <w:szCs w:val="20"/>
          <w:bdr w:val="none" w:sz="0" w:space="0" w:color="auto" w:frame="1"/>
          <w:lang w:eastAsia="en-AU"/>
        </w:rPr>
        <w:t>t</w:t>
      </w:r>
      <w:r w:rsidRPr="00DC2C8B">
        <w:rPr>
          <w:rFonts w:eastAsia="Calibri" w:cs="Arial"/>
          <w:sz w:val="20"/>
          <w:szCs w:val="20"/>
          <w:bdr w:val="none" w:sz="0" w:space="0" w:color="auto" w:frame="1"/>
          <w:lang w:eastAsia="en-AU"/>
        </w:rPr>
        <w:t>reatments.</w:t>
      </w:r>
    </w:p>
    <w:p w14:paraId="23DEC96B" w14:textId="505B576A" w:rsidR="008E67EA" w:rsidRDefault="008E67EA" w:rsidP="002C5418">
      <w:pPr>
        <w:spacing w:line="280" w:lineRule="exact"/>
        <w:rPr>
          <w:rFonts w:cs="Arial"/>
          <w:b/>
          <w:bCs/>
          <w:sz w:val="20"/>
          <w:szCs w:val="20"/>
          <w:bdr w:val="none" w:sz="0" w:space="0" w:color="auto" w:frame="1"/>
          <w:lang w:val="en-GB" w:eastAsia="en-AU"/>
        </w:rPr>
      </w:pPr>
      <w:r w:rsidRPr="00DC2C8B">
        <w:rPr>
          <w:rFonts w:cs="Arial"/>
          <w:b/>
          <w:bCs/>
          <w:color w:val="000000" w:themeColor="text1"/>
          <w:sz w:val="20"/>
          <w:szCs w:val="20"/>
        </w:rPr>
        <w:t>NOT TO BE USED FOR ANY PURPOSE, OR IN ANY MANNER, CONTRARY TO THIS LABEL UNLESS AUTHORISED UNDER APPROPRIATE LEGISLATION</w:t>
      </w:r>
      <w:r>
        <w:rPr>
          <w:rFonts w:cs="Arial"/>
          <w:b/>
          <w:bCs/>
          <w:sz w:val="20"/>
          <w:szCs w:val="20"/>
          <w:bdr w:val="none" w:sz="0" w:space="0" w:color="auto" w:frame="1"/>
          <w:lang w:val="en-GB" w:eastAsia="en-AU"/>
        </w:rPr>
        <w:br w:type="page"/>
      </w:r>
    </w:p>
    <w:p w14:paraId="34E1E5FD" w14:textId="77777777" w:rsidR="008E67EA"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lastRenderedPageBreak/>
        <w:t xml:space="preserve">Template Label </w:t>
      </w:r>
      <w:r>
        <w:rPr>
          <w:rFonts w:cs="Arial"/>
          <w:b/>
          <w:bCs/>
          <w:sz w:val="20"/>
          <w:szCs w:val="20"/>
          <w:bdr w:val="none" w:sz="0" w:space="0" w:color="auto" w:frame="1"/>
          <w:lang w:val="en-GB" w:eastAsia="en-AU"/>
        </w:rPr>
        <w:t>4b</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547A24" w14:paraId="12C3BD7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940E5C3" w14:textId="77777777" w:rsidR="008E67EA" w:rsidRPr="00ED452E" w:rsidRDefault="008E67EA" w:rsidP="00B44A74">
            <w:pPr>
              <w:spacing w:line="280" w:lineRule="exact"/>
              <w:rPr>
                <w:rFonts w:cs="Arial"/>
                <w:sz w:val="20"/>
                <w:szCs w:val="20"/>
              </w:rPr>
            </w:pPr>
            <w:r w:rsidRPr="00ED452E">
              <w:rPr>
                <w:rFonts w:cs="Arial"/>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29BB554A" w14:textId="77777777" w:rsidR="008E67EA" w:rsidRPr="00ED452E" w:rsidRDefault="008E67EA" w:rsidP="00B44A74">
            <w:pPr>
              <w:spacing w:line="280" w:lineRule="exact"/>
              <w:rPr>
                <w:rFonts w:cs="Arial"/>
                <w:sz w:val="20"/>
                <w:szCs w:val="20"/>
              </w:rPr>
            </w:pPr>
            <w:r w:rsidRPr="00ED452E">
              <w:rPr>
                <w:rFonts w:cs="Arial"/>
                <w:sz w:val="20"/>
                <w:szCs w:val="20"/>
              </w:rPr>
              <w:t>[INSERT LABEL NAME]</w:t>
            </w:r>
          </w:p>
        </w:tc>
      </w:tr>
      <w:tr w:rsidR="008E67EA" w:rsidRPr="00547A24" w14:paraId="3CD7458B" w14:textId="77777777" w:rsidTr="00B44A74">
        <w:trPr>
          <w:jc w:val="center"/>
        </w:trPr>
        <w:tc>
          <w:tcPr>
            <w:tcW w:w="2415" w:type="dxa"/>
            <w:tcBorders>
              <w:top w:val="single" w:sz="4" w:space="0" w:color="auto"/>
              <w:left w:val="nil"/>
              <w:bottom w:val="single" w:sz="4" w:space="0" w:color="auto"/>
              <w:right w:val="nil"/>
            </w:tcBorders>
          </w:tcPr>
          <w:p w14:paraId="7A495ACB" w14:textId="77777777" w:rsidR="008E67EA" w:rsidRPr="00ED452E"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B2D1DA5" w14:textId="77777777" w:rsidR="008E67EA" w:rsidRPr="00ED452E" w:rsidRDefault="008E67EA" w:rsidP="00B44A74">
            <w:pPr>
              <w:spacing w:line="280" w:lineRule="exact"/>
              <w:rPr>
                <w:rFonts w:cs="Arial"/>
                <w:sz w:val="20"/>
                <w:szCs w:val="20"/>
              </w:rPr>
            </w:pPr>
          </w:p>
        </w:tc>
      </w:tr>
      <w:tr w:rsidR="008E67EA" w:rsidRPr="00547A24" w14:paraId="61837EA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993B00D" w14:textId="77777777" w:rsidR="008E67EA" w:rsidRPr="00ED452E" w:rsidRDefault="008E67EA" w:rsidP="00B44A74">
            <w:pPr>
              <w:spacing w:line="280" w:lineRule="exact"/>
              <w:rPr>
                <w:rFonts w:cs="Arial"/>
                <w:sz w:val="20"/>
                <w:szCs w:val="20"/>
              </w:rPr>
            </w:pPr>
            <w:r w:rsidRPr="00ED452E">
              <w:rPr>
                <w:rFonts w:cs="Arial"/>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21D5B24C" w14:textId="77777777" w:rsidR="008E67EA" w:rsidRPr="00ED452E" w:rsidRDefault="008E67EA" w:rsidP="00B44A74">
            <w:pPr>
              <w:spacing w:line="280" w:lineRule="exact"/>
              <w:rPr>
                <w:rFonts w:cs="Arial"/>
                <w:sz w:val="20"/>
                <w:szCs w:val="20"/>
              </w:rPr>
            </w:pPr>
            <w:r w:rsidRPr="00ED452E">
              <w:rPr>
                <w:rFonts w:cs="Arial"/>
                <w:sz w:val="20"/>
                <w:szCs w:val="20"/>
              </w:rPr>
              <w:t>POISON</w:t>
            </w:r>
          </w:p>
          <w:p w14:paraId="1E25E3B4" w14:textId="77777777" w:rsidR="008E67EA" w:rsidRPr="00ED452E" w:rsidRDefault="008E67EA" w:rsidP="00B44A74">
            <w:pPr>
              <w:spacing w:line="280" w:lineRule="exact"/>
              <w:rPr>
                <w:rFonts w:cs="Arial"/>
                <w:sz w:val="20"/>
                <w:szCs w:val="20"/>
              </w:rPr>
            </w:pPr>
            <w:r w:rsidRPr="00ED452E">
              <w:rPr>
                <w:rFonts w:cs="Arial"/>
                <w:sz w:val="20"/>
                <w:szCs w:val="20"/>
              </w:rPr>
              <w:t>KEEP OUT OF REACH OF CHILDREN</w:t>
            </w:r>
          </w:p>
          <w:p w14:paraId="2E9D3EEB" w14:textId="77777777" w:rsidR="008E67EA" w:rsidRPr="00ED452E" w:rsidRDefault="008E67EA" w:rsidP="00B44A74">
            <w:pPr>
              <w:spacing w:line="280" w:lineRule="exact"/>
              <w:rPr>
                <w:rFonts w:cs="Arial"/>
                <w:sz w:val="20"/>
                <w:szCs w:val="20"/>
              </w:rPr>
            </w:pPr>
            <w:r w:rsidRPr="00ED452E">
              <w:rPr>
                <w:rFonts w:cs="Arial"/>
                <w:sz w:val="20"/>
                <w:szCs w:val="20"/>
              </w:rPr>
              <w:t>READ SAFETY DIRECTIONS BEFORE OPENING OR USING</w:t>
            </w:r>
          </w:p>
        </w:tc>
      </w:tr>
      <w:tr w:rsidR="008E67EA" w:rsidRPr="00547A24" w14:paraId="7B9C9D25" w14:textId="77777777" w:rsidTr="00B44A74">
        <w:trPr>
          <w:jc w:val="center"/>
        </w:trPr>
        <w:tc>
          <w:tcPr>
            <w:tcW w:w="2415" w:type="dxa"/>
            <w:tcBorders>
              <w:top w:val="single" w:sz="4" w:space="0" w:color="auto"/>
              <w:left w:val="nil"/>
              <w:bottom w:val="single" w:sz="4" w:space="0" w:color="auto"/>
              <w:right w:val="nil"/>
            </w:tcBorders>
          </w:tcPr>
          <w:p w14:paraId="0C9DEEB6" w14:textId="77777777" w:rsidR="008E67EA" w:rsidRPr="00ED452E"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1DB7823" w14:textId="77777777" w:rsidR="008E67EA" w:rsidRPr="00ED452E" w:rsidRDefault="008E67EA" w:rsidP="00B44A74">
            <w:pPr>
              <w:spacing w:line="280" w:lineRule="exact"/>
              <w:rPr>
                <w:rFonts w:cs="Arial"/>
                <w:sz w:val="20"/>
                <w:szCs w:val="20"/>
              </w:rPr>
            </w:pPr>
          </w:p>
        </w:tc>
      </w:tr>
      <w:tr w:rsidR="008E67EA" w:rsidRPr="00547A24" w14:paraId="010359B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2458AC1" w14:textId="77777777" w:rsidR="008E67EA" w:rsidRPr="00ED452E" w:rsidRDefault="008E67EA" w:rsidP="00B44A74">
            <w:pPr>
              <w:spacing w:line="280" w:lineRule="exact"/>
              <w:rPr>
                <w:rFonts w:cs="Arial"/>
                <w:sz w:val="20"/>
                <w:szCs w:val="20"/>
              </w:rPr>
            </w:pPr>
            <w:r w:rsidRPr="00ED452E">
              <w:rPr>
                <w:rFonts w:cs="Arial"/>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00E8E0C3" w14:textId="77777777" w:rsidR="008E67EA" w:rsidRPr="00ED452E" w:rsidRDefault="008E67EA" w:rsidP="00B44A74">
            <w:pPr>
              <w:spacing w:line="280" w:lineRule="exact"/>
              <w:rPr>
                <w:rFonts w:cs="Arial"/>
                <w:sz w:val="20"/>
                <w:szCs w:val="20"/>
              </w:rPr>
            </w:pPr>
            <w:r w:rsidRPr="00ED452E">
              <w:rPr>
                <w:rFonts w:cs="Arial"/>
                <w:sz w:val="20"/>
                <w:szCs w:val="20"/>
              </w:rPr>
              <w:t>ACTIVE CONSTITUENT: 0.05 g/kg BRODIFACOUM</w:t>
            </w:r>
          </w:p>
        </w:tc>
      </w:tr>
      <w:tr w:rsidR="008E67EA" w:rsidRPr="00547A24" w14:paraId="71B53ABC" w14:textId="77777777" w:rsidTr="00B44A74">
        <w:trPr>
          <w:jc w:val="center"/>
        </w:trPr>
        <w:tc>
          <w:tcPr>
            <w:tcW w:w="2415" w:type="dxa"/>
            <w:tcBorders>
              <w:top w:val="single" w:sz="4" w:space="0" w:color="auto"/>
              <w:left w:val="nil"/>
              <w:bottom w:val="single" w:sz="4" w:space="0" w:color="auto"/>
              <w:right w:val="nil"/>
            </w:tcBorders>
          </w:tcPr>
          <w:p w14:paraId="789619F2" w14:textId="77777777" w:rsidR="008E67EA" w:rsidRPr="00ED452E"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16E5B67" w14:textId="77777777" w:rsidR="008E67EA" w:rsidRPr="00ED452E" w:rsidRDefault="008E67EA" w:rsidP="00B44A74">
            <w:pPr>
              <w:spacing w:line="280" w:lineRule="exact"/>
              <w:rPr>
                <w:rFonts w:cs="Arial"/>
                <w:sz w:val="20"/>
                <w:szCs w:val="20"/>
              </w:rPr>
            </w:pPr>
          </w:p>
        </w:tc>
      </w:tr>
      <w:tr w:rsidR="008E67EA" w:rsidRPr="00547A24" w14:paraId="7E9E14F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09B209A" w14:textId="77777777" w:rsidR="008E67EA" w:rsidRPr="00ED452E" w:rsidRDefault="008E67EA" w:rsidP="00B44A74">
            <w:pPr>
              <w:spacing w:line="280" w:lineRule="exact"/>
              <w:rPr>
                <w:rFonts w:cs="Arial"/>
                <w:sz w:val="20"/>
                <w:szCs w:val="20"/>
              </w:rPr>
            </w:pPr>
            <w:r w:rsidRPr="00ED452E">
              <w:rPr>
                <w:rFonts w:cs="Arial"/>
                <w:sz w:val="20"/>
                <w:szCs w:val="20"/>
              </w:rPr>
              <w:t>Mode of Action:</w:t>
            </w:r>
          </w:p>
        </w:tc>
        <w:tc>
          <w:tcPr>
            <w:tcW w:w="7755" w:type="dxa"/>
            <w:tcBorders>
              <w:top w:val="single" w:sz="4" w:space="0" w:color="auto"/>
              <w:left w:val="single" w:sz="4" w:space="0" w:color="auto"/>
              <w:bottom w:val="single" w:sz="4" w:space="0" w:color="auto"/>
              <w:right w:val="single" w:sz="4" w:space="0" w:color="auto"/>
            </w:tcBorders>
          </w:tcPr>
          <w:p w14:paraId="6A3E99C5" w14:textId="77777777" w:rsidR="008E67EA" w:rsidRPr="00ED452E" w:rsidRDefault="008E67EA" w:rsidP="00B44A74">
            <w:pPr>
              <w:spacing w:line="280" w:lineRule="exact"/>
              <w:jc w:val="both"/>
              <w:rPr>
                <w:rFonts w:cs="Arial"/>
                <w:sz w:val="20"/>
                <w:szCs w:val="20"/>
              </w:rPr>
            </w:pPr>
          </w:p>
        </w:tc>
      </w:tr>
      <w:tr w:rsidR="008E67EA" w:rsidRPr="00547A24" w14:paraId="229B69B5" w14:textId="77777777" w:rsidTr="00B44A74">
        <w:trPr>
          <w:jc w:val="center"/>
        </w:trPr>
        <w:tc>
          <w:tcPr>
            <w:tcW w:w="2415" w:type="dxa"/>
            <w:tcBorders>
              <w:top w:val="single" w:sz="4" w:space="0" w:color="auto"/>
              <w:left w:val="nil"/>
              <w:bottom w:val="single" w:sz="4" w:space="0" w:color="auto"/>
              <w:right w:val="nil"/>
            </w:tcBorders>
          </w:tcPr>
          <w:p w14:paraId="11987333" w14:textId="77777777" w:rsidR="008E67EA" w:rsidRPr="00ED452E"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088290C" w14:textId="77777777" w:rsidR="008E67EA" w:rsidRPr="00ED452E" w:rsidRDefault="008E67EA" w:rsidP="00B44A74">
            <w:pPr>
              <w:spacing w:line="280" w:lineRule="exact"/>
              <w:rPr>
                <w:rFonts w:cs="Arial"/>
                <w:sz w:val="20"/>
                <w:szCs w:val="20"/>
              </w:rPr>
            </w:pPr>
          </w:p>
        </w:tc>
      </w:tr>
      <w:tr w:rsidR="008E67EA" w:rsidRPr="00547A24" w14:paraId="64BFC0F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F330F02" w14:textId="77777777" w:rsidR="008E67EA" w:rsidRPr="00ED452E" w:rsidRDefault="008E67EA" w:rsidP="00B44A74">
            <w:pPr>
              <w:spacing w:line="280" w:lineRule="exact"/>
              <w:rPr>
                <w:rFonts w:cs="Arial"/>
                <w:sz w:val="20"/>
                <w:szCs w:val="20"/>
              </w:rPr>
            </w:pPr>
            <w:r w:rsidRPr="00ED452E">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24D399CB" w14:textId="77777777" w:rsidR="008E67EA" w:rsidRPr="005D00F6" w:rsidRDefault="008E67EA" w:rsidP="00B44A74">
            <w:pPr>
              <w:spacing w:line="280" w:lineRule="exact"/>
              <w:rPr>
                <w:rFonts w:cs="Arial"/>
                <w:sz w:val="20"/>
                <w:szCs w:val="20"/>
              </w:rPr>
            </w:pPr>
            <w:r w:rsidRPr="005D00F6">
              <w:rPr>
                <w:rFonts w:cs="Arial"/>
                <w:sz w:val="20"/>
                <w:szCs w:val="20"/>
              </w:rPr>
              <w:t>For the control of mice in industrial, commercial, public services, agricultural and domestic buildings and rats in and around industrial, commercial, public services, agricultural and domestic buildings.</w:t>
            </w:r>
          </w:p>
        </w:tc>
      </w:tr>
      <w:tr w:rsidR="008E67EA" w:rsidRPr="00547A24" w14:paraId="7A608B2E" w14:textId="77777777" w:rsidTr="00B44A74">
        <w:trPr>
          <w:jc w:val="center"/>
        </w:trPr>
        <w:tc>
          <w:tcPr>
            <w:tcW w:w="2415" w:type="dxa"/>
            <w:tcBorders>
              <w:top w:val="single" w:sz="4" w:space="0" w:color="auto"/>
              <w:left w:val="nil"/>
              <w:bottom w:val="single" w:sz="4" w:space="0" w:color="auto"/>
              <w:right w:val="nil"/>
            </w:tcBorders>
          </w:tcPr>
          <w:p w14:paraId="2B5A6A65" w14:textId="77777777" w:rsidR="008E67EA" w:rsidRPr="00ED452E"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6B0740A" w14:textId="77777777" w:rsidR="008E67EA" w:rsidRPr="00ED452E" w:rsidRDefault="008E67EA" w:rsidP="00B44A74">
            <w:pPr>
              <w:spacing w:line="280" w:lineRule="exact"/>
              <w:rPr>
                <w:rFonts w:cs="Arial"/>
                <w:sz w:val="20"/>
                <w:szCs w:val="20"/>
              </w:rPr>
            </w:pPr>
          </w:p>
        </w:tc>
      </w:tr>
      <w:tr w:rsidR="008E67EA" w:rsidRPr="00547A24" w14:paraId="0E616BF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4C864F6" w14:textId="77777777" w:rsidR="008E67EA" w:rsidRPr="00ED452E" w:rsidRDefault="008E67EA" w:rsidP="00B44A74">
            <w:pPr>
              <w:spacing w:line="280" w:lineRule="exact"/>
              <w:rPr>
                <w:rFonts w:cs="Arial"/>
                <w:sz w:val="20"/>
                <w:szCs w:val="20"/>
              </w:rPr>
            </w:pPr>
            <w:r w:rsidRPr="00ED452E">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76D617F1" w14:textId="77777777" w:rsidR="008E67EA" w:rsidRPr="00ED452E" w:rsidRDefault="008E67EA" w:rsidP="00B44A74">
            <w:pPr>
              <w:spacing w:line="280" w:lineRule="exact"/>
              <w:rPr>
                <w:rFonts w:cs="Arial"/>
                <w:sz w:val="20"/>
                <w:szCs w:val="20"/>
              </w:rPr>
            </w:pPr>
            <w:r w:rsidRPr="00ED452E">
              <w:rPr>
                <w:rFonts w:cs="Arial"/>
                <w:sz w:val="20"/>
                <w:szCs w:val="20"/>
              </w:rPr>
              <w:t xml:space="preserve"> [INSERT NET CONTENTS]</w:t>
            </w:r>
          </w:p>
        </w:tc>
      </w:tr>
      <w:tr w:rsidR="008E67EA" w:rsidRPr="00547A24" w14:paraId="2384CCB3" w14:textId="77777777" w:rsidTr="00B44A74">
        <w:trPr>
          <w:jc w:val="center"/>
        </w:trPr>
        <w:tc>
          <w:tcPr>
            <w:tcW w:w="2415" w:type="dxa"/>
            <w:tcBorders>
              <w:top w:val="single" w:sz="4" w:space="0" w:color="auto"/>
              <w:left w:val="nil"/>
              <w:bottom w:val="single" w:sz="4" w:space="0" w:color="auto"/>
              <w:right w:val="nil"/>
            </w:tcBorders>
          </w:tcPr>
          <w:p w14:paraId="4A76CBE6" w14:textId="77777777" w:rsidR="008E67EA" w:rsidRPr="00ED452E"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A791E1B" w14:textId="77777777" w:rsidR="008E67EA" w:rsidRPr="00ED452E" w:rsidRDefault="008E67EA" w:rsidP="00B44A74">
            <w:pPr>
              <w:spacing w:line="280" w:lineRule="exact"/>
              <w:rPr>
                <w:rFonts w:cs="Arial"/>
                <w:sz w:val="20"/>
                <w:szCs w:val="20"/>
              </w:rPr>
            </w:pPr>
          </w:p>
        </w:tc>
      </w:tr>
      <w:tr w:rsidR="008E67EA" w:rsidRPr="00547A24" w14:paraId="1C2B8D3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8ADAF2B" w14:textId="77777777" w:rsidR="008E67EA" w:rsidRPr="00ED452E" w:rsidRDefault="008E67EA" w:rsidP="00B44A74">
            <w:pPr>
              <w:spacing w:line="280" w:lineRule="exact"/>
              <w:rPr>
                <w:rFonts w:cs="Arial"/>
                <w:sz w:val="20"/>
                <w:szCs w:val="20"/>
              </w:rPr>
            </w:pPr>
            <w:r w:rsidRPr="00ED452E">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7A25CAAD" w14:textId="77777777" w:rsidR="008E67EA" w:rsidRPr="00ED452E" w:rsidRDefault="008E67EA" w:rsidP="00B44A74">
            <w:pPr>
              <w:spacing w:line="280" w:lineRule="exact"/>
              <w:rPr>
                <w:rFonts w:cs="Arial"/>
                <w:sz w:val="20"/>
                <w:szCs w:val="20"/>
              </w:rPr>
            </w:pPr>
            <w:r w:rsidRPr="00ED452E">
              <w:rPr>
                <w:rFonts w:cs="Arial"/>
                <w:sz w:val="20"/>
                <w:szCs w:val="20"/>
              </w:rPr>
              <w:t>RESTRAINTS</w:t>
            </w:r>
          </w:p>
          <w:p w14:paraId="16DD48AF" w14:textId="77777777" w:rsidR="008E67EA" w:rsidRPr="00ED452E" w:rsidRDefault="008E67EA" w:rsidP="00B44A74">
            <w:pPr>
              <w:spacing w:line="280" w:lineRule="exact"/>
              <w:rPr>
                <w:rFonts w:cs="Arial"/>
                <w:sz w:val="20"/>
                <w:szCs w:val="20"/>
              </w:rPr>
            </w:pPr>
            <w:r w:rsidRPr="00ED452E">
              <w:rPr>
                <w:rFonts w:cs="Arial"/>
                <w:sz w:val="20"/>
                <w:szCs w:val="20"/>
              </w:rPr>
              <w:t>DO NOT use this product unless you have a current qualification in the nationally recognised training course for rodent pest management CPPUPM3006 - Manage pests by applying pesticides, or an equivalent unit of competency.</w:t>
            </w:r>
          </w:p>
          <w:p w14:paraId="423A228A" w14:textId="77777777" w:rsidR="008E67EA" w:rsidRPr="00ED452E" w:rsidRDefault="008E67EA" w:rsidP="00B44A74">
            <w:pPr>
              <w:spacing w:line="280" w:lineRule="exact"/>
              <w:rPr>
                <w:rFonts w:cs="Arial"/>
                <w:sz w:val="20"/>
                <w:szCs w:val="20"/>
              </w:rPr>
            </w:pPr>
            <w:r w:rsidRPr="00ED452E">
              <w:rPr>
                <w:rFonts w:cs="Arial"/>
                <w:sz w:val="20"/>
                <w:szCs w:val="20"/>
              </w:rPr>
              <w:t>DO NOT place baits in areas that are accessible to children. In child-accessible areas baits must be placed in tamper-</w:t>
            </w:r>
            <w:r>
              <w:rPr>
                <w:rFonts w:cs="Arial"/>
                <w:sz w:val="20"/>
                <w:szCs w:val="20"/>
              </w:rPr>
              <w:t>resistant</w:t>
            </w:r>
            <w:r w:rsidRPr="00ED452E">
              <w:rPr>
                <w:rFonts w:cs="Arial"/>
                <w:sz w:val="20"/>
                <w:szCs w:val="20"/>
              </w:rPr>
              <w:t xml:space="preserve"> bait stations. If bait can be dislodged from bait station, bait station must be secured in place. </w:t>
            </w:r>
          </w:p>
          <w:p w14:paraId="4B4BCE1E" w14:textId="77777777" w:rsidR="008E67EA" w:rsidRPr="00ED452E" w:rsidRDefault="008E67EA" w:rsidP="00B44A74">
            <w:pPr>
              <w:spacing w:line="280" w:lineRule="exact"/>
              <w:rPr>
                <w:rFonts w:cs="Arial"/>
                <w:sz w:val="20"/>
                <w:szCs w:val="20"/>
              </w:rPr>
            </w:pPr>
            <w:r w:rsidRPr="00ED452E">
              <w:rPr>
                <w:rFonts w:cs="Arial"/>
                <w:sz w:val="20"/>
                <w:szCs w:val="20"/>
              </w:rPr>
              <w:t>DO NOT place bait outdoors unless it is in a tamper</w:t>
            </w:r>
            <w:r>
              <w:rPr>
                <w:rFonts w:cs="Arial"/>
                <w:sz w:val="20"/>
                <w:szCs w:val="20"/>
              </w:rPr>
              <w:t xml:space="preserve">-resistant </w:t>
            </w:r>
            <w:r w:rsidRPr="00ED452E">
              <w:rPr>
                <w:rFonts w:cs="Arial"/>
                <w:sz w:val="20"/>
                <w:szCs w:val="20"/>
              </w:rPr>
              <w:t>bait station which is secured in place.</w:t>
            </w:r>
          </w:p>
          <w:p w14:paraId="362F2167" w14:textId="77777777" w:rsidR="008E67EA" w:rsidRPr="00ED452E" w:rsidRDefault="008E67EA" w:rsidP="00B44A74">
            <w:pPr>
              <w:spacing w:line="280" w:lineRule="exact"/>
              <w:rPr>
                <w:rFonts w:cs="Arial"/>
                <w:sz w:val="20"/>
                <w:szCs w:val="20"/>
              </w:rPr>
            </w:pPr>
            <w:r w:rsidRPr="00ED452E">
              <w:rPr>
                <w:rFonts w:cs="Arial"/>
                <w:sz w:val="20"/>
                <w:szCs w:val="20"/>
              </w:rPr>
              <w:t>DO NOT place bait stations more than 2 meters from buildings.</w:t>
            </w:r>
          </w:p>
          <w:p w14:paraId="4921315A" w14:textId="77777777" w:rsidR="008E67EA" w:rsidRPr="00ED452E" w:rsidRDefault="008E67EA" w:rsidP="00B44A74">
            <w:pPr>
              <w:spacing w:line="280" w:lineRule="exact"/>
              <w:rPr>
                <w:rFonts w:cs="Arial"/>
                <w:sz w:val="20"/>
                <w:szCs w:val="20"/>
              </w:rPr>
            </w:pPr>
            <w:r w:rsidRPr="00ED452E">
              <w:rPr>
                <w:rFonts w:cs="Arial"/>
                <w:sz w:val="20"/>
                <w:szCs w:val="20"/>
              </w:rPr>
              <w:t>DO NOT place bait stations outdoors around buildings for control of mice.</w:t>
            </w:r>
          </w:p>
          <w:p w14:paraId="196F27BC" w14:textId="77777777" w:rsidR="008E67EA" w:rsidRPr="00ED452E" w:rsidRDefault="008E67EA" w:rsidP="00B44A74">
            <w:pPr>
              <w:spacing w:line="280" w:lineRule="exact"/>
              <w:rPr>
                <w:rFonts w:cs="Arial"/>
                <w:sz w:val="20"/>
                <w:szCs w:val="20"/>
              </w:rPr>
            </w:pPr>
            <w:r w:rsidRPr="00ED452E">
              <w:rPr>
                <w:rFonts w:cs="Arial"/>
                <w:sz w:val="20"/>
                <w:szCs w:val="20"/>
              </w:rPr>
              <w:t>DO NOT bait in areas where wildlife may be collected for human consumption.</w:t>
            </w:r>
          </w:p>
          <w:p w14:paraId="58540933" w14:textId="77777777" w:rsidR="008E67EA" w:rsidRPr="00ED452E" w:rsidRDefault="008E67EA" w:rsidP="00B44A74">
            <w:pPr>
              <w:spacing w:line="280" w:lineRule="exact"/>
              <w:rPr>
                <w:rFonts w:cs="Arial"/>
                <w:sz w:val="20"/>
                <w:szCs w:val="20"/>
              </w:rPr>
            </w:pPr>
            <w:r w:rsidRPr="00ED452E">
              <w:rPr>
                <w:rFonts w:cs="Arial"/>
                <w:sz w:val="20"/>
                <w:szCs w:val="20"/>
              </w:rPr>
              <w:t>DO NOT place in animal or livestock housing unless used in tamper</w:t>
            </w:r>
            <w:r>
              <w:rPr>
                <w:rFonts w:cs="Arial"/>
                <w:sz w:val="20"/>
                <w:szCs w:val="20"/>
              </w:rPr>
              <w:t xml:space="preserve">-resistant </w:t>
            </w:r>
            <w:r w:rsidRPr="00ED452E">
              <w:rPr>
                <w:rFonts w:cs="Arial"/>
                <w:sz w:val="20"/>
                <w:szCs w:val="20"/>
              </w:rPr>
              <w:t>and weather</w:t>
            </w:r>
            <w:r>
              <w:rPr>
                <w:rFonts w:cs="Arial"/>
                <w:sz w:val="20"/>
                <w:szCs w:val="20"/>
              </w:rPr>
              <w:t>-</w:t>
            </w:r>
            <w:r w:rsidRPr="00ED452E">
              <w:rPr>
                <w:rFonts w:cs="Arial"/>
                <w:sz w:val="20"/>
                <w:szCs w:val="20"/>
              </w:rPr>
              <w:t>resistant bait stations fixed to the ground or other structures.</w:t>
            </w:r>
          </w:p>
          <w:p w14:paraId="2AF1C252" w14:textId="77777777" w:rsidR="008E67EA" w:rsidRPr="00ED452E" w:rsidRDefault="008E67EA" w:rsidP="00B44A74">
            <w:pPr>
              <w:spacing w:line="280" w:lineRule="exact"/>
              <w:rPr>
                <w:rFonts w:cs="Arial"/>
                <w:sz w:val="20"/>
                <w:szCs w:val="20"/>
              </w:rPr>
            </w:pPr>
            <w:r w:rsidRPr="00ED452E">
              <w:rPr>
                <w:rFonts w:cs="Arial"/>
                <w:sz w:val="20"/>
                <w:szCs w:val="20"/>
              </w:rPr>
              <w:t>DO NOT place bait or bait stations above areas which would allow them to contaminate pig and poultry food or drinking water.</w:t>
            </w:r>
          </w:p>
          <w:p w14:paraId="17B880A2" w14:textId="77777777" w:rsidR="008E67EA" w:rsidRPr="00ED452E" w:rsidRDefault="008E67EA" w:rsidP="00B44A74">
            <w:pPr>
              <w:spacing w:line="280" w:lineRule="exact"/>
              <w:rPr>
                <w:rFonts w:cs="Arial"/>
                <w:sz w:val="20"/>
                <w:szCs w:val="20"/>
              </w:rPr>
            </w:pPr>
            <w:r w:rsidRPr="00ED452E">
              <w:rPr>
                <w:rFonts w:cs="Arial"/>
                <w:sz w:val="20"/>
                <w:szCs w:val="20"/>
              </w:rPr>
              <w:t>DO NOT apply this product directly into burrows.</w:t>
            </w:r>
          </w:p>
        </w:tc>
      </w:tr>
      <w:tr w:rsidR="008E67EA" w:rsidRPr="00547A24" w14:paraId="5CF33256" w14:textId="77777777" w:rsidTr="00B44A74">
        <w:trPr>
          <w:jc w:val="center"/>
        </w:trPr>
        <w:tc>
          <w:tcPr>
            <w:tcW w:w="2415" w:type="dxa"/>
            <w:tcBorders>
              <w:top w:val="single" w:sz="4" w:space="0" w:color="auto"/>
              <w:left w:val="nil"/>
              <w:bottom w:val="single" w:sz="4" w:space="0" w:color="auto"/>
              <w:right w:val="nil"/>
            </w:tcBorders>
          </w:tcPr>
          <w:p w14:paraId="4DD51999" w14:textId="77777777" w:rsidR="008E67EA" w:rsidRPr="00ED452E"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343D947" w14:textId="77777777" w:rsidR="008E67EA" w:rsidRPr="00ED452E" w:rsidRDefault="008E67EA" w:rsidP="00B44A74">
            <w:pPr>
              <w:spacing w:line="280" w:lineRule="exact"/>
              <w:rPr>
                <w:rFonts w:cs="Arial"/>
                <w:sz w:val="20"/>
                <w:szCs w:val="20"/>
              </w:rPr>
            </w:pPr>
          </w:p>
        </w:tc>
      </w:tr>
      <w:tr w:rsidR="008E67EA" w:rsidRPr="00547A24" w14:paraId="68F9D9B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8DEFA43" w14:textId="77777777" w:rsidR="008E67EA" w:rsidRPr="00ED452E" w:rsidRDefault="008E67EA" w:rsidP="00B44A74">
            <w:pPr>
              <w:spacing w:line="280" w:lineRule="exact"/>
              <w:rPr>
                <w:rFonts w:cs="Arial"/>
                <w:sz w:val="20"/>
                <w:szCs w:val="20"/>
              </w:rPr>
            </w:pPr>
            <w:r w:rsidRPr="00ED452E">
              <w:rPr>
                <w:rFonts w:cs="Arial"/>
                <w:sz w:val="20"/>
                <w:szCs w:val="20"/>
              </w:rPr>
              <w:t>Directions for Use:</w:t>
            </w:r>
          </w:p>
        </w:tc>
        <w:tc>
          <w:tcPr>
            <w:tcW w:w="7755" w:type="dxa"/>
            <w:tcBorders>
              <w:top w:val="single" w:sz="4" w:space="0" w:color="auto"/>
              <w:left w:val="single" w:sz="4" w:space="0" w:color="auto"/>
              <w:bottom w:val="single" w:sz="4" w:space="0" w:color="auto"/>
              <w:right w:val="single" w:sz="4" w:space="0" w:color="auto"/>
            </w:tcBorders>
          </w:tcPr>
          <w:p w14:paraId="1D33D833" w14:textId="77777777" w:rsidR="008E67EA" w:rsidRPr="00ED452E" w:rsidRDefault="008E67EA" w:rsidP="00B44A74">
            <w:pPr>
              <w:spacing w:line="280" w:lineRule="exact"/>
              <w:rPr>
                <w:rFonts w:cs="Arial"/>
                <w:sz w:val="20"/>
                <w:szCs w:val="20"/>
              </w:rPr>
            </w:pPr>
            <w:r w:rsidRPr="00B832BB">
              <w:rPr>
                <w:rFonts w:cs="Arial"/>
                <w:sz w:val="20"/>
                <w:szCs w:val="20"/>
              </w:rPr>
              <w:t>[This section contains an attachment below]</w:t>
            </w:r>
          </w:p>
        </w:tc>
      </w:tr>
      <w:tr w:rsidR="008E67EA" w:rsidRPr="00547A24" w14:paraId="3722CDFB" w14:textId="77777777" w:rsidTr="00B44A74">
        <w:trPr>
          <w:jc w:val="center"/>
        </w:trPr>
        <w:tc>
          <w:tcPr>
            <w:tcW w:w="2415" w:type="dxa"/>
            <w:tcBorders>
              <w:top w:val="single" w:sz="4" w:space="0" w:color="auto"/>
              <w:left w:val="nil"/>
              <w:bottom w:val="single" w:sz="4" w:space="0" w:color="auto"/>
              <w:right w:val="nil"/>
            </w:tcBorders>
          </w:tcPr>
          <w:p w14:paraId="54233739" w14:textId="77777777" w:rsidR="008E67EA" w:rsidRPr="00ED452E"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60A6071" w14:textId="77777777" w:rsidR="008E67EA" w:rsidRPr="00ED452E" w:rsidRDefault="008E67EA" w:rsidP="00B44A74">
            <w:pPr>
              <w:spacing w:line="280" w:lineRule="exact"/>
              <w:rPr>
                <w:rFonts w:cs="Arial"/>
                <w:sz w:val="20"/>
                <w:szCs w:val="20"/>
              </w:rPr>
            </w:pPr>
          </w:p>
        </w:tc>
      </w:tr>
      <w:tr w:rsidR="008E67EA" w:rsidRPr="00547A24" w14:paraId="4247BC6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D44E47C" w14:textId="77777777" w:rsidR="008E67EA" w:rsidRPr="00ED452E" w:rsidRDefault="008E67EA" w:rsidP="00B44A74">
            <w:pPr>
              <w:spacing w:line="280" w:lineRule="exact"/>
              <w:rPr>
                <w:rFonts w:cs="Arial"/>
                <w:sz w:val="20"/>
                <w:szCs w:val="20"/>
              </w:rPr>
            </w:pPr>
            <w:r w:rsidRPr="00ED452E">
              <w:rPr>
                <w:rFonts w:cs="Arial"/>
                <w:sz w:val="20"/>
                <w:szCs w:val="20"/>
              </w:rPr>
              <w:t>Other Limitations:</w:t>
            </w:r>
          </w:p>
        </w:tc>
        <w:tc>
          <w:tcPr>
            <w:tcW w:w="7755" w:type="dxa"/>
            <w:tcBorders>
              <w:top w:val="single" w:sz="4" w:space="0" w:color="auto"/>
              <w:left w:val="single" w:sz="4" w:space="0" w:color="auto"/>
              <w:bottom w:val="single" w:sz="4" w:space="0" w:color="auto"/>
              <w:right w:val="single" w:sz="4" w:space="0" w:color="auto"/>
            </w:tcBorders>
          </w:tcPr>
          <w:p w14:paraId="66FE3BC4" w14:textId="77777777" w:rsidR="008E67EA" w:rsidRPr="00ED452E" w:rsidRDefault="008E67EA" w:rsidP="00B44A74">
            <w:pPr>
              <w:spacing w:line="280" w:lineRule="exact"/>
              <w:rPr>
                <w:rFonts w:cs="Arial"/>
                <w:sz w:val="20"/>
                <w:szCs w:val="20"/>
              </w:rPr>
            </w:pPr>
          </w:p>
        </w:tc>
      </w:tr>
      <w:tr w:rsidR="008E67EA" w:rsidRPr="00547A24" w14:paraId="230252F8" w14:textId="77777777" w:rsidTr="00B44A74">
        <w:trPr>
          <w:jc w:val="center"/>
        </w:trPr>
        <w:tc>
          <w:tcPr>
            <w:tcW w:w="2415" w:type="dxa"/>
            <w:tcBorders>
              <w:top w:val="single" w:sz="4" w:space="0" w:color="auto"/>
              <w:left w:val="nil"/>
              <w:bottom w:val="single" w:sz="4" w:space="0" w:color="auto"/>
              <w:right w:val="nil"/>
            </w:tcBorders>
          </w:tcPr>
          <w:p w14:paraId="55145C7E" w14:textId="77777777" w:rsidR="008E67EA" w:rsidRPr="00ED452E"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92D1EC6" w14:textId="77777777" w:rsidR="008E67EA" w:rsidRPr="00ED452E" w:rsidRDefault="008E67EA" w:rsidP="00B44A74">
            <w:pPr>
              <w:spacing w:line="280" w:lineRule="exact"/>
              <w:rPr>
                <w:rFonts w:cs="Arial"/>
                <w:sz w:val="20"/>
                <w:szCs w:val="20"/>
              </w:rPr>
            </w:pPr>
          </w:p>
        </w:tc>
      </w:tr>
      <w:tr w:rsidR="008E67EA" w:rsidRPr="00547A24" w14:paraId="351E8B5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B35C10C" w14:textId="77777777" w:rsidR="008E67EA" w:rsidRPr="00ED452E" w:rsidRDefault="008E67EA" w:rsidP="00B44A74">
            <w:pPr>
              <w:spacing w:line="280" w:lineRule="exact"/>
              <w:rPr>
                <w:rFonts w:cs="Arial"/>
                <w:sz w:val="20"/>
                <w:szCs w:val="20"/>
              </w:rPr>
            </w:pPr>
            <w:r w:rsidRPr="00ED452E">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483BB1BD" w14:textId="77777777" w:rsidR="008E67EA" w:rsidRPr="00ED452E" w:rsidRDefault="008E67EA" w:rsidP="00B44A74">
            <w:pPr>
              <w:spacing w:line="280" w:lineRule="exact"/>
              <w:rPr>
                <w:rFonts w:cs="Arial"/>
                <w:sz w:val="20"/>
                <w:szCs w:val="20"/>
              </w:rPr>
            </w:pPr>
          </w:p>
        </w:tc>
      </w:tr>
      <w:tr w:rsidR="008E67EA" w:rsidRPr="00547A24" w14:paraId="64242B6E" w14:textId="77777777" w:rsidTr="00B44A74">
        <w:trPr>
          <w:jc w:val="center"/>
        </w:trPr>
        <w:tc>
          <w:tcPr>
            <w:tcW w:w="2415" w:type="dxa"/>
            <w:tcBorders>
              <w:top w:val="single" w:sz="4" w:space="0" w:color="auto"/>
              <w:left w:val="nil"/>
              <w:bottom w:val="single" w:sz="4" w:space="0" w:color="auto"/>
              <w:right w:val="nil"/>
            </w:tcBorders>
          </w:tcPr>
          <w:p w14:paraId="6FD41664" w14:textId="77777777" w:rsidR="008E67EA" w:rsidRPr="00ED452E"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66BE45A" w14:textId="77777777" w:rsidR="008E67EA" w:rsidRPr="00ED452E" w:rsidRDefault="008E67EA" w:rsidP="00B44A74">
            <w:pPr>
              <w:spacing w:line="280" w:lineRule="exact"/>
              <w:rPr>
                <w:rFonts w:cs="Arial"/>
                <w:sz w:val="20"/>
                <w:szCs w:val="20"/>
              </w:rPr>
            </w:pPr>
          </w:p>
        </w:tc>
      </w:tr>
      <w:tr w:rsidR="008E67EA" w:rsidRPr="00547A24" w14:paraId="2E9BDAB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AA319E3" w14:textId="77777777" w:rsidR="008E67EA" w:rsidRPr="00ED452E" w:rsidRDefault="008E67EA" w:rsidP="00B44A74">
            <w:pPr>
              <w:spacing w:line="280" w:lineRule="exact"/>
              <w:rPr>
                <w:rFonts w:cs="Arial"/>
                <w:sz w:val="20"/>
                <w:szCs w:val="20"/>
              </w:rPr>
            </w:pPr>
            <w:r w:rsidRPr="00ED452E">
              <w:rPr>
                <w:rFonts w:cs="Arial"/>
                <w:sz w:val="20"/>
                <w:szCs w:val="20"/>
              </w:rPr>
              <w:t>Trade Advice:</w:t>
            </w:r>
          </w:p>
        </w:tc>
        <w:tc>
          <w:tcPr>
            <w:tcW w:w="7755" w:type="dxa"/>
            <w:tcBorders>
              <w:top w:val="single" w:sz="4" w:space="0" w:color="auto"/>
              <w:left w:val="single" w:sz="4" w:space="0" w:color="auto"/>
              <w:bottom w:val="single" w:sz="4" w:space="0" w:color="auto"/>
              <w:right w:val="single" w:sz="4" w:space="0" w:color="auto"/>
            </w:tcBorders>
          </w:tcPr>
          <w:p w14:paraId="3E250E21" w14:textId="77777777" w:rsidR="008E67EA" w:rsidRPr="00ED452E" w:rsidRDefault="008E67EA" w:rsidP="00B44A74">
            <w:pPr>
              <w:spacing w:line="280" w:lineRule="exact"/>
              <w:rPr>
                <w:rFonts w:cs="Arial"/>
                <w:sz w:val="20"/>
                <w:szCs w:val="20"/>
              </w:rPr>
            </w:pPr>
          </w:p>
        </w:tc>
      </w:tr>
      <w:tr w:rsidR="008E67EA" w:rsidRPr="00547A24" w14:paraId="6010817A" w14:textId="77777777" w:rsidTr="00B44A74">
        <w:trPr>
          <w:jc w:val="center"/>
        </w:trPr>
        <w:tc>
          <w:tcPr>
            <w:tcW w:w="2415" w:type="dxa"/>
            <w:tcBorders>
              <w:top w:val="single" w:sz="4" w:space="0" w:color="auto"/>
              <w:left w:val="nil"/>
              <w:bottom w:val="single" w:sz="4" w:space="0" w:color="auto"/>
              <w:right w:val="nil"/>
            </w:tcBorders>
          </w:tcPr>
          <w:p w14:paraId="2C223FFA" w14:textId="77777777" w:rsidR="008E67EA" w:rsidRPr="00ED452E"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8FD14B7" w14:textId="77777777" w:rsidR="008E67EA" w:rsidRPr="00ED452E" w:rsidRDefault="008E67EA" w:rsidP="00B44A74">
            <w:pPr>
              <w:spacing w:line="280" w:lineRule="exact"/>
              <w:rPr>
                <w:rFonts w:cs="Arial"/>
                <w:sz w:val="20"/>
                <w:szCs w:val="20"/>
              </w:rPr>
            </w:pPr>
          </w:p>
        </w:tc>
      </w:tr>
      <w:tr w:rsidR="008E67EA" w:rsidRPr="00547A24" w14:paraId="4A9BD40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4440CB8" w14:textId="77777777" w:rsidR="008E67EA" w:rsidRPr="00ED452E" w:rsidRDefault="008E67EA" w:rsidP="00B44A74">
            <w:pPr>
              <w:spacing w:line="280" w:lineRule="exact"/>
              <w:rPr>
                <w:rFonts w:cs="Arial"/>
                <w:sz w:val="20"/>
                <w:szCs w:val="20"/>
              </w:rPr>
            </w:pPr>
            <w:r w:rsidRPr="00ED452E">
              <w:rPr>
                <w:rFonts w:cs="Arial"/>
                <w:sz w:val="20"/>
                <w:szCs w:val="20"/>
              </w:rPr>
              <w:t>General Directions:</w:t>
            </w:r>
          </w:p>
        </w:tc>
        <w:tc>
          <w:tcPr>
            <w:tcW w:w="7755" w:type="dxa"/>
            <w:tcBorders>
              <w:top w:val="single" w:sz="4" w:space="0" w:color="auto"/>
              <w:left w:val="single" w:sz="4" w:space="0" w:color="auto"/>
              <w:bottom w:val="single" w:sz="4" w:space="0" w:color="auto"/>
              <w:right w:val="single" w:sz="4" w:space="0" w:color="auto"/>
            </w:tcBorders>
          </w:tcPr>
          <w:p w14:paraId="71A8E228" w14:textId="77777777" w:rsidR="008E67EA" w:rsidRPr="005D00F6" w:rsidRDefault="008E67EA" w:rsidP="00B44A74">
            <w:pPr>
              <w:spacing w:line="280" w:lineRule="exact"/>
              <w:rPr>
                <w:rFonts w:cs="Arial"/>
                <w:sz w:val="20"/>
                <w:szCs w:val="20"/>
              </w:rPr>
            </w:pPr>
            <w:r w:rsidRPr="005D00F6">
              <w:rPr>
                <w:rFonts w:cs="Arial"/>
                <w:sz w:val="20"/>
                <w:szCs w:val="20"/>
              </w:rPr>
              <w:t>GENERAL INSTRUCTIONS</w:t>
            </w:r>
          </w:p>
          <w:p w14:paraId="76F90759" w14:textId="77777777" w:rsidR="008E67EA" w:rsidRPr="00ED452E" w:rsidRDefault="008E67EA" w:rsidP="00B44A74">
            <w:pPr>
              <w:spacing w:line="280" w:lineRule="exact"/>
              <w:rPr>
                <w:rFonts w:cs="Arial"/>
                <w:sz w:val="20"/>
                <w:szCs w:val="20"/>
              </w:rPr>
            </w:pPr>
            <w:r w:rsidRPr="005D00F6">
              <w:rPr>
                <w:rFonts w:cs="Arial"/>
                <w:sz w:val="20"/>
                <w:szCs w:val="20"/>
              </w:rPr>
              <w:t>The baits are ready to use</w:t>
            </w:r>
            <w:r>
              <w:rPr>
                <w:rFonts w:cs="Arial"/>
                <w:sz w:val="20"/>
                <w:szCs w:val="20"/>
              </w:rPr>
              <w:t xml:space="preserve"> </w:t>
            </w:r>
            <w:r w:rsidRPr="005D00F6">
              <w:rPr>
                <w:rFonts w:cs="Arial"/>
                <w:sz w:val="20"/>
                <w:szCs w:val="20"/>
              </w:rPr>
              <w:t>-</w:t>
            </w:r>
            <w:r>
              <w:rPr>
                <w:rFonts w:cs="Arial"/>
                <w:sz w:val="20"/>
                <w:szCs w:val="20"/>
              </w:rPr>
              <w:t xml:space="preserve"> </w:t>
            </w:r>
            <w:r w:rsidRPr="005D00F6">
              <w:rPr>
                <w:rFonts w:cs="Arial"/>
                <w:sz w:val="20"/>
                <w:szCs w:val="20"/>
              </w:rPr>
              <w:t xml:space="preserve">do not </w:t>
            </w:r>
            <w:r>
              <w:rPr>
                <w:rFonts w:cs="Arial"/>
                <w:sz w:val="20"/>
                <w:szCs w:val="20"/>
              </w:rPr>
              <w:t>open</w:t>
            </w:r>
            <w:r w:rsidRPr="005D00F6">
              <w:rPr>
                <w:rFonts w:cs="Arial"/>
                <w:sz w:val="20"/>
                <w:szCs w:val="20"/>
              </w:rPr>
              <w:t xml:space="preserve"> individual baits. Rats and mice will chew through the bait packs.</w:t>
            </w:r>
          </w:p>
        </w:tc>
      </w:tr>
      <w:tr w:rsidR="008E67EA" w:rsidRPr="00547A24" w14:paraId="7FF4B0AA" w14:textId="77777777" w:rsidTr="00B44A74">
        <w:trPr>
          <w:jc w:val="center"/>
        </w:trPr>
        <w:tc>
          <w:tcPr>
            <w:tcW w:w="2415" w:type="dxa"/>
            <w:tcBorders>
              <w:top w:val="single" w:sz="4" w:space="0" w:color="auto"/>
              <w:left w:val="nil"/>
              <w:bottom w:val="single" w:sz="4" w:space="0" w:color="auto"/>
              <w:right w:val="nil"/>
            </w:tcBorders>
          </w:tcPr>
          <w:p w14:paraId="5722ADCB" w14:textId="77777777" w:rsidR="008E67EA" w:rsidRPr="00ED452E"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87231FD" w14:textId="77777777" w:rsidR="008E67EA" w:rsidRPr="00ED452E" w:rsidRDefault="008E67EA" w:rsidP="00B44A74">
            <w:pPr>
              <w:spacing w:line="280" w:lineRule="exact"/>
              <w:rPr>
                <w:rFonts w:cs="Arial"/>
                <w:sz w:val="20"/>
                <w:szCs w:val="20"/>
              </w:rPr>
            </w:pPr>
          </w:p>
        </w:tc>
      </w:tr>
      <w:tr w:rsidR="008E67EA" w:rsidRPr="00547A24" w14:paraId="324785B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92A7054" w14:textId="77777777" w:rsidR="008E67EA" w:rsidRPr="00ED452E" w:rsidRDefault="008E67EA" w:rsidP="00B44A74">
            <w:pPr>
              <w:spacing w:line="280" w:lineRule="exact"/>
              <w:rPr>
                <w:rFonts w:cs="Arial"/>
                <w:sz w:val="20"/>
                <w:szCs w:val="20"/>
              </w:rPr>
            </w:pPr>
            <w:r w:rsidRPr="00ED452E">
              <w:rPr>
                <w:rFonts w:cs="Arial"/>
                <w:sz w:val="20"/>
                <w:szCs w:val="20"/>
              </w:rPr>
              <w:t>Resistance Warning:</w:t>
            </w:r>
          </w:p>
        </w:tc>
        <w:tc>
          <w:tcPr>
            <w:tcW w:w="7755" w:type="dxa"/>
            <w:tcBorders>
              <w:top w:val="single" w:sz="4" w:space="0" w:color="auto"/>
              <w:left w:val="single" w:sz="4" w:space="0" w:color="auto"/>
              <w:bottom w:val="single" w:sz="4" w:space="0" w:color="auto"/>
              <w:right w:val="single" w:sz="4" w:space="0" w:color="auto"/>
            </w:tcBorders>
          </w:tcPr>
          <w:p w14:paraId="1C24290D" w14:textId="77777777" w:rsidR="008E67EA" w:rsidRPr="00ED452E" w:rsidRDefault="008E67EA" w:rsidP="00B44A74">
            <w:pPr>
              <w:spacing w:line="280" w:lineRule="exact"/>
              <w:rPr>
                <w:rFonts w:cs="Arial"/>
                <w:sz w:val="20"/>
                <w:szCs w:val="20"/>
              </w:rPr>
            </w:pPr>
          </w:p>
        </w:tc>
      </w:tr>
      <w:tr w:rsidR="008E67EA" w:rsidRPr="00547A24" w14:paraId="6498ECCB" w14:textId="77777777" w:rsidTr="00B44A74">
        <w:trPr>
          <w:jc w:val="center"/>
        </w:trPr>
        <w:tc>
          <w:tcPr>
            <w:tcW w:w="2415" w:type="dxa"/>
            <w:tcBorders>
              <w:top w:val="single" w:sz="4" w:space="0" w:color="auto"/>
              <w:left w:val="nil"/>
              <w:bottom w:val="single" w:sz="4" w:space="0" w:color="auto"/>
              <w:right w:val="nil"/>
            </w:tcBorders>
          </w:tcPr>
          <w:p w14:paraId="7CE21EA3" w14:textId="77777777" w:rsidR="008E67EA" w:rsidRPr="00ED452E"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9BE4CE7" w14:textId="77777777" w:rsidR="008E67EA" w:rsidRPr="00ED452E" w:rsidRDefault="008E67EA" w:rsidP="00B44A74">
            <w:pPr>
              <w:spacing w:line="280" w:lineRule="exact"/>
              <w:rPr>
                <w:rFonts w:cs="Arial"/>
                <w:sz w:val="20"/>
                <w:szCs w:val="20"/>
              </w:rPr>
            </w:pPr>
          </w:p>
        </w:tc>
      </w:tr>
      <w:tr w:rsidR="008E67EA" w:rsidRPr="00547A24" w14:paraId="09B9D04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9C10E66" w14:textId="77777777" w:rsidR="008E67EA" w:rsidRPr="00ED452E" w:rsidRDefault="008E67EA" w:rsidP="00B44A74">
            <w:pPr>
              <w:spacing w:line="280" w:lineRule="exact"/>
              <w:rPr>
                <w:rFonts w:cs="Arial"/>
                <w:sz w:val="20"/>
                <w:szCs w:val="20"/>
              </w:rPr>
            </w:pPr>
            <w:r w:rsidRPr="00ED452E">
              <w:rPr>
                <w:rFonts w:cs="Arial"/>
                <w:sz w:val="20"/>
                <w:szCs w:val="20"/>
              </w:rPr>
              <w:t>Precautions:</w:t>
            </w:r>
          </w:p>
        </w:tc>
        <w:tc>
          <w:tcPr>
            <w:tcW w:w="7755" w:type="dxa"/>
            <w:tcBorders>
              <w:top w:val="single" w:sz="4" w:space="0" w:color="auto"/>
              <w:left w:val="single" w:sz="4" w:space="0" w:color="auto"/>
              <w:bottom w:val="single" w:sz="4" w:space="0" w:color="auto"/>
              <w:right w:val="single" w:sz="4" w:space="0" w:color="auto"/>
            </w:tcBorders>
          </w:tcPr>
          <w:p w14:paraId="5E52330C" w14:textId="77777777" w:rsidR="008E67EA" w:rsidRPr="00ED452E" w:rsidRDefault="008E67EA" w:rsidP="00B44A74">
            <w:pPr>
              <w:spacing w:line="280" w:lineRule="exact"/>
              <w:rPr>
                <w:rFonts w:cs="Arial"/>
                <w:sz w:val="20"/>
                <w:szCs w:val="20"/>
              </w:rPr>
            </w:pPr>
            <w:r w:rsidRPr="00ED452E">
              <w:rPr>
                <w:rFonts w:cs="Arial"/>
                <w:sz w:val="20"/>
                <w:szCs w:val="20"/>
              </w:rPr>
              <w:t>PRECAUTIONS</w:t>
            </w:r>
          </w:p>
          <w:p w14:paraId="127D44F4" w14:textId="77777777" w:rsidR="008E67EA" w:rsidRPr="00ED452E" w:rsidRDefault="008E67EA" w:rsidP="00B44A74">
            <w:pPr>
              <w:spacing w:line="280" w:lineRule="exact"/>
              <w:rPr>
                <w:rFonts w:cs="Arial"/>
                <w:sz w:val="20"/>
                <w:szCs w:val="20"/>
              </w:rPr>
            </w:pPr>
            <w:r w:rsidRPr="00ED452E">
              <w:rPr>
                <w:rFonts w:cs="Arial"/>
                <w:sz w:val="20"/>
                <w:szCs w:val="20"/>
              </w:rPr>
              <w:t>Caution should be used when baiting near areas where hunting of wildlife may occur. Careful consideration of bait placement is necessary to avoid secondary exposure from contaminated wildlife that may be consumed.</w:t>
            </w:r>
          </w:p>
          <w:p w14:paraId="6ACB0633" w14:textId="77777777" w:rsidR="008E67EA" w:rsidRPr="00ED452E" w:rsidRDefault="008E67EA" w:rsidP="00B44A74">
            <w:pPr>
              <w:spacing w:line="280" w:lineRule="exact"/>
              <w:rPr>
                <w:rFonts w:cs="Arial"/>
                <w:sz w:val="20"/>
                <w:szCs w:val="20"/>
              </w:rPr>
            </w:pPr>
            <w:r w:rsidRPr="00ED452E">
              <w:rPr>
                <w:rFonts w:cs="Arial"/>
                <w:sz w:val="20"/>
                <w:szCs w:val="20"/>
              </w:rPr>
              <w:t>DO NOT place bait in areas where there is a possibility of contaminating food, livestock feed or surfaces that come in direct contact with food or livestock feed.</w:t>
            </w:r>
          </w:p>
        </w:tc>
      </w:tr>
      <w:tr w:rsidR="008E67EA" w:rsidRPr="00547A24" w14:paraId="1747EE58" w14:textId="77777777" w:rsidTr="00B44A74">
        <w:trPr>
          <w:jc w:val="center"/>
        </w:trPr>
        <w:tc>
          <w:tcPr>
            <w:tcW w:w="2415" w:type="dxa"/>
            <w:tcBorders>
              <w:top w:val="single" w:sz="4" w:space="0" w:color="auto"/>
              <w:left w:val="nil"/>
              <w:bottom w:val="single" w:sz="4" w:space="0" w:color="auto"/>
              <w:right w:val="nil"/>
            </w:tcBorders>
          </w:tcPr>
          <w:p w14:paraId="38774606" w14:textId="77777777" w:rsidR="008E67EA" w:rsidRPr="00ED452E"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2C62A0C" w14:textId="77777777" w:rsidR="008E67EA" w:rsidRPr="00ED452E" w:rsidRDefault="008E67EA" w:rsidP="00B44A74">
            <w:pPr>
              <w:spacing w:line="280" w:lineRule="exact"/>
              <w:rPr>
                <w:rFonts w:cs="Arial"/>
                <w:sz w:val="20"/>
                <w:szCs w:val="20"/>
              </w:rPr>
            </w:pPr>
          </w:p>
        </w:tc>
      </w:tr>
      <w:tr w:rsidR="008E67EA" w:rsidRPr="00547A24" w14:paraId="0C44734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D8F7398" w14:textId="77777777" w:rsidR="008E67EA" w:rsidRPr="00ED452E" w:rsidRDefault="008E67EA" w:rsidP="00B44A74">
            <w:pPr>
              <w:spacing w:line="280" w:lineRule="exact"/>
              <w:rPr>
                <w:rFonts w:cs="Arial"/>
                <w:sz w:val="20"/>
                <w:szCs w:val="20"/>
              </w:rPr>
            </w:pPr>
            <w:r w:rsidRPr="00ED452E">
              <w:rPr>
                <w:rFonts w:cs="Arial"/>
                <w:sz w:val="20"/>
                <w:szCs w:val="20"/>
              </w:rPr>
              <w:t>Protection Statements:</w:t>
            </w:r>
          </w:p>
        </w:tc>
        <w:tc>
          <w:tcPr>
            <w:tcW w:w="7755" w:type="dxa"/>
            <w:tcBorders>
              <w:top w:val="single" w:sz="4" w:space="0" w:color="auto"/>
              <w:left w:val="single" w:sz="4" w:space="0" w:color="auto"/>
              <w:bottom w:val="single" w:sz="4" w:space="0" w:color="auto"/>
              <w:right w:val="single" w:sz="4" w:space="0" w:color="auto"/>
            </w:tcBorders>
          </w:tcPr>
          <w:p w14:paraId="43526EF4" w14:textId="77777777" w:rsidR="008E67EA" w:rsidRPr="00ED452E" w:rsidRDefault="008E67EA" w:rsidP="00B44A74">
            <w:pPr>
              <w:spacing w:line="280" w:lineRule="exact"/>
              <w:rPr>
                <w:rFonts w:cs="Arial"/>
                <w:sz w:val="20"/>
                <w:szCs w:val="20"/>
                <w:bdr w:val="none" w:sz="0" w:space="0" w:color="auto" w:frame="1"/>
                <w:lang w:val="en-GB" w:eastAsia="en-AU"/>
              </w:rPr>
            </w:pPr>
            <w:r w:rsidRPr="00ED452E">
              <w:rPr>
                <w:rFonts w:cs="Arial"/>
                <w:sz w:val="20"/>
                <w:szCs w:val="20"/>
                <w:bdr w:val="none" w:sz="0" w:space="0" w:color="auto" w:frame="1"/>
                <w:lang w:val="en-GB" w:eastAsia="en-AU"/>
              </w:rPr>
              <w:t>PROTECTION OF LIVESTOCK AND WILDLIFE</w:t>
            </w:r>
          </w:p>
          <w:p w14:paraId="4C774D39" w14:textId="77777777" w:rsidR="008E67EA" w:rsidRPr="00ED452E" w:rsidRDefault="008E67EA" w:rsidP="00B44A74">
            <w:pPr>
              <w:spacing w:line="280" w:lineRule="exact"/>
              <w:rPr>
                <w:rFonts w:cs="Arial"/>
                <w:sz w:val="20"/>
                <w:szCs w:val="20"/>
                <w:bdr w:val="none" w:sz="0" w:space="0" w:color="auto" w:frame="1"/>
                <w:lang w:val="en-GB" w:eastAsia="en-AU"/>
              </w:rPr>
            </w:pPr>
            <w:r w:rsidRPr="00ED452E">
              <w:rPr>
                <w:rFonts w:cs="Arial"/>
                <w:sz w:val="20"/>
                <w:szCs w:val="20"/>
                <w:bdr w:val="none" w:sz="0" w:space="0" w:color="auto" w:frame="1"/>
                <w:lang w:val="en-GB" w:eastAsia="en-AU"/>
              </w:rPr>
              <w:t>Hazardous to livestock, poultry and wildlife. DO NOT place baits in locations that are accessible to domestic animals, livestock, non-target native animals or birds.</w:t>
            </w:r>
          </w:p>
          <w:p w14:paraId="17DA6198" w14:textId="77777777" w:rsidR="008E67EA" w:rsidRPr="00ED452E" w:rsidRDefault="008E67EA" w:rsidP="00B44A74">
            <w:pPr>
              <w:spacing w:line="280" w:lineRule="exact"/>
              <w:rPr>
                <w:rFonts w:cs="Arial"/>
                <w:sz w:val="20"/>
                <w:szCs w:val="20"/>
                <w:bdr w:val="none" w:sz="0" w:space="0" w:color="auto" w:frame="1"/>
                <w:lang w:val="en-GB" w:eastAsia="en-AU"/>
              </w:rPr>
            </w:pPr>
            <w:r w:rsidRPr="00ED452E">
              <w:rPr>
                <w:rFonts w:cs="Arial"/>
                <w:sz w:val="20"/>
                <w:szCs w:val="20"/>
                <w:bdr w:val="none" w:sz="0" w:space="0" w:color="auto" w:frame="1"/>
                <w:lang w:val="en-GB" w:eastAsia="en-AU"/>
              </w:rPr>
              <w:t xml:space="preserve">Search for and dispose of dead rodents and slugs/snails in the infested area at each visit to prevent secondary poisoning. In case slugs/snails are present, move bait station to another location within the rodent infested site, away from slugs/snails. Dispose of slugs/snails in a way non-target animals are not exposed. Dispose of dead rodents and uneaten bait in compliance with local, state or territory government regulations. </w:t>
            </w:r>
          </w:p>
          <w:p w14:paraId="2FDECE8D" w14:textId="77777777" w:rsidR="008E67EA" w:rsidRDefault="008E67EA" w:rsidP="00B44A74">
            <w:pPr>
              <w:spacing w:line="280" w:lineRule="exact"/>
              <w:rPr>
                <w:rFonts w:cs="Arial"/>
                <w:sz w:val="20"/>
                <w:szCs w:val="20"/>
                <w:bdr w:val="none" w:sz="0" w:space="0" w:color="auto" w:frame="1"/>
                <w:lang w:val="en-GB" w:eastAsia="en-AU"/>
              </w:rPr>
            </w:pPr>
            <w:r w:rsidRPr="00ED452E">
              <w:rPr>
                <w:rFonts w:cs="Arial"/>
                <w:sz w:val="20"/>
                <w:szCs w:val="20"/>
                <w:bdr w:val="none" w:sz="0" w:space="0" w:color="auto" w:frame="1"/>
                <w:lang w:val="en-GB" w:eastAsia="en-AU"/>
              </w:rPr>
              <w:t>DO NOT allow livestock or poultry to consume dead or moribund mice and rats. All dead or moribund animals and rodent faeces from baited rodents MUST be removed from areas accessible to livestock or poultry. DO NOT use this product to control native animals.</w:t>
            </w:r>
          </w:p>
          <w:p w14:paraId="11A6B1E5" w14:textId="77777777" w:rsidR="008E67EA" w:rsidRDefault="008E67EA" w:rsidP="00B44A74">
            <w:pPr>
              <w:spacing w:line="280" w:lineRule="exact"/>
              <w:rPr>
                <w:rFonts w:cs="Arial"/>
                <w:sz w:val="20"/>
                <w:szCs w:val="20"/>
                <w:bdr w:val="none" w:sz="0" w:space="0" w:color="auto" w:frame="1"/>
                <w:lang w:val="en-GB" w:eastAsia="en-AU"/>
              </w:rPr>
            </w:pPr>
            <w:r w:rsidRPr="00ED452E">
              <w:rPr>
                <w:rFonts w:cs="Arial"/>
                <w:sz w:val="20"/>
                <w:szCs w:val="20"/>
                <w:bdr w:val="none" w:sz="0" w:space="0" w:color="auto" w:frame="1"/>
                <w:lang w:eastAsia="en-AU"/>
              </w:rPr>
              <w:t>DO NOT use this product to control native animals.</w:t>
            </w:r>
          </w:p>
          <w:p w14:paraId="43035A49" w14:textId="77777777" w:rsidR="008E67EA" w:rsidRPr="00ED452E" w:rsidRDefault="008E67EA" w:rsidP="00B44A74">
            <w:pPr>
              <w:spacing w:line="280" w:lineRule="exact"/>
              <w:rPr>
                <w:rFonts w:cs="Arial"/>
                <w:sz w:val="20"/>
                <w:szCs w:val="20"/>
                <w:bdr w:val="none" w:sz="0" w:space="0" w:color="auto" w:frame="1"/>
                <w:lang w:val="en-GB" w:eastAsia="en-AU"/>
              </w:rPr>
            </w:pPr>
          </w:p>
          <w:p w14:paraId="72AB6FEB" w14:textId="77777777" w:rsidR="008E67EA" w:rsidRPr="00ED452E" w:rsidRDefault="008E67EA" w:rsidP="00B44A74">
            <w:pPr>
              <w:spacing w:line="280" w:lineRule="exact"/>
              <w:rPr>
                <w:rFonts w:cs="Arial"/>
                <w:sz w:val="20"/>
                <w:szCs w:val="20"/>
                <w:bdr w:val="none" w:sz="0" w:space="0" w:color="auto" w:frame="1"/>
                <w:lang w:val="en-GB" w:eastAsia="en-AU"/>
              </w:rPr>
            </w:pPr>
            <w:r w:rsidRPr="00ED452E">
              <w:rPr>
                <w:rFonts w:cs="Arial"/>
                <w:sz w:val="20"/>
                <w:szCs w:val="20"/>
                <w:bdr w:val="none" w:sz="0" w:space="0" w:color="auto" w:frame="1"/>
                <w:lang w:val="en-GB" w:eastAsia="en-AU"/>
              </w:rPr>
              <w:t>PROTECTION OF FISH, CRUSTACEANS AND ENVIRONMENT</w:t>
            </w:r>
          </w:p>
          <w:p w14:paraId="35F17C90" w14:textId="79DFA4E2" w:rsidR="008E67EA" w:rsidRPr="00ED452E" w:rsidRDefault="008E67EA" w:rsidP="00B44A74">
            <w:pPr>
              <w:spacing w:line="280" w:lineRule="exact"/>
              <w:rPr>
                <w:rFonts w:cs="Arial"/>
                <w:sz w:val="20"/>
                <w:szCs w:val="20"/>
                <w:bdr w:val="none" w:sz="0" w:space="0" w:color="auto" w:frame="1"/>
                <w:lang w:val="en-GB" w:eastAsia="en-AU"/>
              </w:rPr>
            </w:pPr>
            <w:r w:rsidRPr="00ED452E">
              <w:rPr>
                <w:rFonts w:cs="Arial"/>
                <w:sz w:val="20"/>
                <w:szCs w:val="20"/>
                <w:bdr w:val="none" w:sz="0" w:space="0" w:color="auto" w:frame="1"/>
                <w:lang w:val="en-GB" w:eastAsia="en-AU"/>
              </w:rPr>
              <w:t>Very toxic to aquatic life. DO NOT contaminate wetlands or watercourses with this product or used containers. Place the bait stations in areas not liable to flooding. When placing bait stations close to water drainage systems, ensure that bait contact with water is avoided.</w:t>
            </w:r>
          </w:p>
        </w:tc>
      </w:tr>
      <w:tr w:rsidR="008E67EA" w:rsidRPr="00547A24" w14:paraId="65AA43B5" w14:textId="77777777" w:rsidTr="00B44A74">
        <w:trPr>
          <w:jc w:val="center"/>
        </w:trPr>
        <w:tc>
          <w:tcPr>
            <w:tcW w:w="2415" w:type="dxa"/>
            <w:tcBorders>
              <w:top w:val="single" w:sz="4" w:space="0" w:color="auto"/>
              <w:left w:val="nil"/>
              <w:bottom w:val="single" w:sz="4" w:space="0" w:color="auto"/>
              <w:right w:val="nil"/>
            </w:tcBorders>
          </w:tcPr>
          <w:p w14:paraId="390687BD" w14:textId="77777777" w:rsidR="008E67EA" w:rsidRPr="00ED452E"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A92328E" w14:textId="77777777" w:rsidR="008E67EA" w:rsidRPr="00ED452E" w:rsidRDefault="008E67EA" w:rsidP="00B44A74">
            <w:pPr>
              <w:spacing w:line="280" w:lineRule="exact"/>
              <w:rPr>
                <w:rFonts w:cs="Arial"/>
                <w:sz w:val="20"/>
                <w:szCs w:val="20"/>
              </w:rPr>
            </w:pPr>
          </w:p>
        </w:tc>
      </w:tr>
      <w:tr w:rsidR="008E67EA" w:rsidRPr="00547A24" w14:paraId="561E16C1" w14:textId="77777777" w:rsidTr="00B44A74">
        <w:trPr>
          <w:trHeight w:val="513"/>
          <w:jc w:val="center"/>
        </w:trPr>
        <w:tc>
          <w:tcPr>
            <w:tcW w:w="2415" w:type="dxa"/>
            <w:tcBorders>
              <w:top w:val="single" w:sz="4" w:space="0" w:color="auto"/>
              <w:left w:val="single" w:sz="4" w:space="0" w:color="auto"/>
              <w:bottom w:val="single" w:sz="4" w:space="0" w:color="auto"/>
              <w:right w:val="single" w:sz="4" w:space="0" w:color="auto"/>
            </w:tcBorders>
            <w:hideMark/>
          </w:tcPr>
          <w:p w14:paraId="4FF45397" w14:textId="77777777" w:rsidR="008E67EA" w:rsidRPr="00ED452E" w:rsidRDefault="008E67EA" w:rsidP="00B44A74">
            <w:pPr>
              <w:spacing w:line="280" w:lineRule="exact"/>
              <w:rPr>
                <w:rFonts w:cs="Arial"/>
                <w:sz w:val="20"/>
                <w:szCs w:val="20"/>
              </w:rPr>
            </w:pPr>
            <w:r w:rsidRPr="00ED452E">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6B37A3B7" w14:textId="77777777" w:rsidR="008E67EA" w:rsidRPr="00ED452E" w:rsidRDefault="008E67EA" w:rsidP="00B44A74">
            <w:pPr>
              <w:spacing w:line="280" w:lineRule="exact"/>
              <w:rPr>
                <w:rFonts w:cs="Arial"/>
                <w:sz w:val="20"/>
                <w:szCs w:val="20"/>
              </w:rPr>
            </w:pPr>
            <w:r w:rsidRPr="00ED452E">
              <w:rPr>
                <w:rFonts w:cs="Arial"/>
                <w:sz w:val="20"/>
                <w:szCs w:val="20"/>
              </w:rPr>
              <w:t>STORAGE AND DISPOSAL</w:t>
            </w:r>
          </w:p>
          <w:p w14:paraId="509097D8" w14:textId="0DA20A22" w:rsidR="008E67EA" w:rsidRPr="00ED452E" w:rsidRDefault="008E67EA" w:rsidP="00B44A74">
            <w:pPr>
              <w:spacing w:line="280" w:lineRule="exact"/>
              <w:rPr>
                <w:rFonts w:cs="Arial"/>
                <w:sz w:val="20"/>
                <w:szCs w:val="20"/>
              </w:rPr>
            </w:pPr>
            <w:r w:rsidRPr="00ED452E">
              <w:rPr>
                <w:rFonts w:cs="Arial"/>
                <w:sz w:val="20"/>
                <w:szCs w:val="20"/>
              </w:rPr>
              <w:t>Store in the closed, original container in a cool, well-ventilated area. Do not store for prolong periods in direct sunlight. Triple rinse containers before disposal. Break, crush or puncture and deliver empty packaging to an approved waste management facility. If an approved waste management facility is not available, dispose of empty packaging in compliance with relevant local, state or territory government regulations. Dispose of unused product in compliance with relevant local, state or territory government regulations. DO NOT burn empty containers or product.</w:t>
            </w:r>
          </w:p>
        </w:tc>
      </w:tr>
      <w:tr w:rsidR="008E67EA" w:rsidRPr="00547A24" w14:paraId="39ACBD79" w14:textId="77777777" w:rsidTr="00B44A74">
        <w:trPr>
          <w:jc w:val="center"/>
        </w:trPr>
        <w:tc>
          <w:tcPr>
            <w:tcW w:w="2415" w:type="dxa"/>
            <w:tcBorders>
              <w:top w:val="single" w:sz="4" w:space="0" w:color="auto"/>
              <w:left w:val="nil"/>
              <w:bottom w:val="single" w:sz="4" w:space="0" w:color="auto"/>
              <w:right w:val="nil"/>
            </w:tcBorders>
          </w:tcPr>
          <w:p w14:paraId="5B5BC96C" w14:textId="77777777" w:rsidR="008E67EA" w:rsidRPr="00ED452E"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B4B0FDF" w14:textId="77777777" w:rsidR="008E67EA" w:rsidRPr="00ED452E" w:rsidRDefault="008E67EA" w:rsidP="00B44A74">
            <w:pPr>
              <w:spacing w:line="280" w:lineRule="exact"/>
              <w:rPr>
                <w:rFonts w:cs="Arial"/>
                <w:sz w:val="20"/>
                <w:szCs w:val="20"/>
              </w:rPr>
            </w:pPr>
          </w:p>
        </w:tc>
      </w:tr>
      <w:tr w:rsidR="008E67EA" w:rsidRPr="00547A24" w14:paraId="0446D6C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2ED8E52" w14:textId="77777777" w:rsidR="008E67EA" w:rsidRPr="00ED452E" w:rsidRDefault="008E67EA" w:rsidP="00B44A74">
            <w:pPr>
              <w:spacing w:line="280" w:lineRule="exact"/>
              <w:rPr>
                <w:rFonts w:cs="Arial"/>
                <w:sz w:val="20"/>
                <w:szCs w:val="20"/>
              </w:rPr>
            </w:pPr>
            <w:r w:rsidRPr="00ED452E">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5E799E94" w14:textId="77777777" w:rsidR="008E67EA" w:rsidRPr="00ED452E" w:rsidRDefault="008E67EA" w:rsidP="00B44A74">
            <w:pPr>
              <w:spacing w:line="280" w:lineRule="exact"/>
              <w:rPr>
                <w:rFonts w:cs="Arial"/>
                <w:sz w:val="20"/>
                <w:szCs w:val="20"/>
              </w:rPr>
            </w:pPr>
            <w:r w:rsidRPr="00ED452E">
              <w:rPr>
                <w:rFonts w:cs="Arial"/>
                <w:sz w:val="20"/>
                <w:szCs w:val="20"/>
              </w:rPr>
              <w:t>SAFETY DIRECTIONS</w:t>
            </w:r>
          </w:p>
          <w:p w14:paraId="7AC575D8" w14:textId="77777777" w:rsidR="008E67EA" w:rsidRPr="00ED452E" w:rsidRDefault="008E67EA" w:rsidP="00B44A74">
            <w:pPr>
              <w:spacing w:line="280" w:lineRule="exact"/>
              <w:rPr>
                <w:rFonts w:cs="Arial"/>
                <w:sz w:val="20"/>
                <w:szCs w:val="20"/>
              </w:rPr>
            </w:pPr>
            <w:r w:rsidRPr="00ED452E">
              <w:rPr>
                <w:rFonts w:cs="Arial"/>
                <w:sz w:val="20"/>
                <w:szCs w:val="20"/>
              </w:rPr>
              <w:t>Repeated minor exposure may have a cumulative poisoning effect. When using the product wear disposable gloves. During cleanup, disposal operations of bait and bait stations and when handling rodent carcasses wear single layer clothing and disposable gloves. If on skin and after each baiting, wash thoroughly with soap and water. After each day’s use wash contaminated clothing. Wash clothes after performing re-handling activities.</w:t>
            </w:r>
          </w:p>
        </w:tc>
      </w:tr>
      <w:tr w:rsidR="008E67EA" w:rsidRPr="00547A24" w14:paraId="2C98B1D5" w14:textId="77777777" w:rsidTr="00B44A74">
        <w:trPr>
          <w:jc w:val="center"/>
        </w:trPr>
        <w:tc>
          <w:tcPr>
            <w:tcW w:w="2415" w:type="dxa"/>
            <w:tcBorders>
              <w:top w:val="single" w:sz="4" w:space="0" w:color="auto"/>
              <w:left w:val="nil"/>
              <w:bottom w:val="single" w:sz="4" w:space="0" w:color="auto"/>
              <w:right w:val="nil"/>
            </w:tcBorders>
          </w:tcPr>
          <w:p w14:paraId="2CA98A8C" w14:textId="77777777" w:rsidR="008E67EA" w:rsidRPr="00ED452E"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F34EDEE" w14:textId="77777777" w:rsidR="008E67EA" w:rsidRPr="00ED452E" w:rsidRDefault="008E67EA" w:rsidP="00B44A74">
            <w:pPr>
              <w:spacing w:line="280" w:lineRule="exact"/>
              <w:rPr>
                <w:rFonts w:cs="Arial"/>
                <w:sz w:val="20"/>
                <w:szCs w:val="20"/>
              </w:rPr>
            </w:pPr>
          </w:p>
        </w:tc>
      </w:tr>
      <w:tr w:rsidR="008E67EA" w:rsidRPr="00547A24" w14:paraId="13C988D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8EB0148" w14:textId="77777777" w:rsidR="008E67EA" w:rsidRPr="00ED452E" w:rsidRDefault="008E67EA" w:rsidP="00B44A74">
            <w:pPr>
              <w:spacing w:line="280" w:lineRule="exact"/>
              <w:rPr>
                <w:rFonts w:cs="Arial"/>
                <w:sz w:val="20"/>
                <w:szCs w:val="20"/>
              </w:rPr>
            </w:pPr>
            <w:r w:rsidRPr="00ED452E">
              <w:rPr>
                <w:rFonts w:cs="Arial"/>
                <w:sz w:val="20"/>
                <w:szCs w:val="20"/>
              </w:rPr>
              <w:lastRenderedPageBreak/>
              <w:t>First Aid Instructions:</w:t>
            </w:r>
          </w:p>
        </w:tc>
        <w:tc>
          <w:tcPr>
            <w:tcW w:w="7755" w:type="dxa"/>
            <w:tcBorders>
              <w:top w:val="single" w:sz="4" w:space="0" w:color="auto"/>
              <w:left w:val="single" w:sz="4" w:space="0" w:color="auto"/>
              <w:bottom w:val="single" w:sz="4" w:space="0" w:color="auto"/>
              <w:right w:val="single" w:sz="4" w:space="0" w:color="auto"/>
            </w:tcBorders>
          </w:tcPr>
          <w:p w14:paraId="6A9D1D3E" w14:textId="77777777" w:rsidR="008E67EA" w:rsidRPr="00ED452E" w:rsidRDefault="008E67EA" w:rsidP="00B44A74">
            <w:pPr>
              <w:spacing w:line="280" w:lineRule="exact"/>
              <w:rPr>
                <w:rFonts w:cs="Arial"/>
                <w:sz w:val="20"/>
                <w:szCs w:val="20"/>
              </w:rPr>
            </w:pPr>
            <w:r w:rsidRPr="00ED452E">
              <w:rPr>
                <w:rFonts w:cs="Arial"/>
                <w:sz w:val="20"/>
                <w:szCs w:val="20"/>
              </w:rPr>
              <w:t>FIRST AID</w:t>
            </w:r>
          </w:p>
          <w:p w14:paraId="2877B78E" w14:textId="77777777" w:rsidR="008E67EA" w:rsidRPr="00ED452E" w:rsidRDefault="008E67EA" w:rsidP="00B44A74">
            <w:pPr>
              <w:spacing w:line="280" w:lineRule="exact"/>
              <w:rPr>
                <w:rFonts w:cs="Arial"/>
                <w:sz w:val="20"/>
                <w:szCs w:val="20"/>
              </w:rPr>
            </w:pPr>
            <w:r w:rsidRPr="00ED452E">
              <w:rPr>
                <w:rFonts w:cs="Arial"/>
                <w:sz w:val="20"/>
                <w:szCs w:val="20"/>
              </w:rPr>
              <w:t>If poisoning occurs, contact a doctor or Poisons Information Centre. Phone Australia 13 11 26, New Zealand 0800 764 766. Vitamin K1 (Phytomenadione) is antidotal.</w:t>
            </w:r>
          </w:p>
        </w:tc>
      </w:tr>
      <w:tr w:rsidR="008E67EA" w:rsidRPr="00547A24" w14:paraId="685BACCE" w14:textId="77777777" w:rsidTr="00B44A74">
        <w:trPr>
          <w:jc w:val="center"/>
        </w:trPr>
        <w:tc>
          <w:tcPr>
            <w:tcW w:w="2415" w:type="dxa"/>
            <w:tcBorders>
              <w:top w:val="single" w:sz="4" w:space="0" w:color="auto"/>
              <w:left w:val="nil"/>
              <w:bottom w:val="single" w:sz="4" w:space="0" w:color="auto"/>
              <w:right w:val="nil"/>
            </w:tcBorders>
          </w:tcPr>
          <w:p w14:paraId="35949506" w14:textId="77777777" w:rsidR="008E67EA" w:rsidRPr="00ED452E"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025E1FF" w14:textId="77777777" w:rsidR="008E67EA" w:rsidRPr="00ED452E" w:rsidRDefault="008E67EA" w:rsidP="00B44A74">
            <w:pPr>
              <w:spacing w:line="280" w:lineRule="exact"/>
              <w:rPr>
                <w:rFonts w:cs="Arial"/>
                <w:sz w:val="20"/>
                <w:szCs w:val="20"/>
              </w:rPr>
            </w:pPr>
          </w:p>
        </w:tc>
      </w:tr>
      <w:tr w:rsidR="008E67EA" w:rsidRPr="00547A24" w14:paraId="0E14F69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0014B61" w14:textId="77777777" w:rsidR="008E67EA" w:rsidRPr="00ED452E" w:rsidRDefault="008E67EA" w:rsidP="00B44A74">
            <w:pPr>
              <w:spacing w:line="280" w:lineRule="exact"/>
              <w:rPr>
                <w:rFonts w:cs="Arial"/>
                <w:sz w:val="20"/>
                <w:szCs w:val="20"/>
              </w:rPr>
            </w:pPr>
            <w:r w:rsidRPr="00ED452E">
              <w:rPr>
                <w:rFonts w:cs="Arial"/>
                <w:sz w:val="20"/>
                <w:szCs w:val="20"/>
              </w:rPr>
              <w:t>First Aid Warnings:</w:t>
            </w:r>
          </w:p>
        </w:tc>
        <w:tc>
          <w:tcPr>
            <w:tcW w:w="7755" w:type="dxa"/>
            <w:tcBorders>
              <w:top w:val="single" w:sz="4" w:space="0" w:color="auto"/>
              <w:left w:val="single" w:sz="4" w:space="0" w:color="auto"/>
              <w:bottom w:val="single" w:sz="4" w:space="0" w:color="auto"/>
              <w:right w:val="single" w:sz="4" w:space="0" w:color="auto"/>
            </w:tcBorders>
          </w:tcPr>
          <w:p w14:paraId="6CB59B55" w14:textId="77777777" w:rsidR="008E67EA" w:rsidRPr="00ED452E" w:rsidRDefault="008E67EA" w:rsidP="00B44A74">
            <w:pPr>
              <w:spacing w:line="280" w:lineRule="exact"/>
              <w:rPr>
                <w:rFonts w:cs="Arial"/>
                <w:sz w:val="20"/>
                <w:szCs w:val="20"/>
              </w:rPr>
            </w:pPr>
          </w:p>
        </w:tc>
      </w:tr>
    </w:tbl>
    <w:p w14:paraId="5544586B" w14:textId="77777777" w:rsidR="008E67EA" w:rsidRPr="00ED452E" w:rsidRDefault="008E67EA" w:rsidP="008E67EA">
      <w:pPr>
        <w:spacing w:line="240" w:lineRule="exact"/>
        <w:rPr>
          <w:rFonts w:cs="Arial"/>
          <w:sz w:val="20"/>
          <w:szCs w:val="20"/>
        </w:rPr>
      </w:pPr>
    </w:p>
    <w:p w14:paraId="3A00D3BE" w14:textId="77777777" w:rsidR="008E67EA" w:rsidRPr="00FF36BF" w:rsidRDefault="008E67EA" w:rsidP="008E67EA">
      <w:pPr>
        <w:spacing w:line="280" w:lineRule="exact"/>
        <w:rPr>
          <w:rFonts w:cs="Arial"/>
          <w:b/>
          <w:bCs/>
          <w:sz w:val="20"/>
          <w:szCs w:val="20"/>
        </w:rPr>
      </w:pPr>
      <w:r w:rsidRPr="00FF36BF">
        <w:rPr>
          <w:rFonts w:cs="Arial"/>
          <w:b/>
          <w:bCs/>
          <w:sz w:val="20"/>
          <w:szCs w:val="20"/>
        </w:rPr>
        <w:t>DIRECTIONS FOR USE</w:t>
      </w:r>
    </w:p>
    <w:tbl>
      <w:tblPr>
        <w:tblStyle w:val="TableGrid"/>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276"/>
        <w:gridCol w:w="1701"/>
        <w:gridCol w:w="3760"/>
      </w:tblGrid>
      <w:tr w:rsidR="008E67EA" w:rsidRPr="00A27FD2" w14:paraId="4151C933" w14:textId="77777777" w:rsidTr="002C5418">
        <w:trPr>
          <w:trHeight w:val="340"/>
        </w:trPr>
        <w:tc>
          <w:tcPr>
            <w:tcW w:w="2263" w:type="dxa"/>
          </w:tcPr>
          <w:p w14:paraId="4CC7F5D1" w14:textId="77777777" w:rsidR="008E67EA" w:rsidRPr="00382A84" w:rsidRDefault="008E67EA" w:rsidP="00B44A74">
            <w:pPr>
              <w:spacing w:line="280" w:lineRule="exact"/>
              <w:rPr>
                <w:rFonts w:cs="Arial"/>
                <w:b/>
                <w:bCs/>
                <w:szCs w:val="18"/>
              </w:rPr>
            </w:pPr>
            <w:r w:rsidRPr="00382A84">
              <w:rPr>
                <w:rFonts w:cs="Arial"/>
                <w:b/>
                <w:bCs/>
                <w:szCs w:val="18"/>
              </w:rPr>
              <w:t>SITUATION</w:t>
            </w:r>
          </w:p>
        </w:tc>
        <w:tc>
          <w:tcPr>
            <w:tcW w:w="1276" w:type="dxa"/>
          </w:tcPr>
          <w:p w14:paraId="2E2E2BF1" w14:textId="77777777" w:rsidR="008E67EA" w:rsidRPr="00382A84" w:rsidRDefault="008E67EA" w:rsidP="00B44A74">
            <w:pPr>
              <w:spacing w:line="280" w:lineRule="exact"/>
              <w:rPr>
                <w:rFonts w:cs="Arial"/>
                <w:b/>
                <w:bCs/>
                <w:szCs w:val="18"/>
              </w:rPr>
            </w:pPr>
            <w:r w:rsidRPr="00382A84">
              <w:rPr>
                <w:rFonts w:cs="Arial"/>
                <w:b/>
                <w:bCs/>
                <w:szCs w:val="18"/>
              </w:rPr>
              <w:t>PEST</w:t>
            </w:r>
          </w:p>
        </w:tc>
        <w:tc>
          <w:tcPr>
            <w:tcW w:w="1701" w:type="dxa"/>
          </w:tcPr>
          <w:p w14:paraId="3C588E4C" w14:textId="77777777" w:rsidR="008E67EA" w:rsidRPr="00382A84" w:rsidRDefault="008E67EA" w:rsidP="00B44A74">
            <w:pPr>
              <w:spacing w:line="280" w:lineRule="exact"/>
              <w:rPr>
                <w:rFonts w:cs="Arial"/>
                <w:b/>
                <w:bCs/>
                <w:szCs w:val="18"/>
              </w:rPr>
            </w:pPr>
            <w:r w:rsidRPr="00382A84">
              <w:rPr>
                <w:rFonts w:cs="Arial"/>
                <w:b/>
                <w:bCs/>
                <w:szCs w:val="18"/>
              </w:rPr>
              <w:t>RATE</w:t>
            </w:r>
          </w:p>
        </w:tc>
        <w:tc>
          <w:tcPr>
            <w:tcW w:w="3760" w:type="dxa"/>
          </w:tcPr>
          <w:p w14:paraId="2C57D9F8" w14:textId="77777777" w:rsidR="008E67EA" w:rsidRPr="00382A84" w:rsidRDefault="008E67EA" w:rsidP="00B44A74">
            <w:pPr>
              <w:spacing w:line="280" w:lineRule="exact"/>
              <w:rPr>
                <w:rFonts w:cs="Arial"/>
                <w:b/>
                <w:bCs/>
                <w:szCs w:val="18"/>
              </w:rPr>
            </w:pPr>
            <w:r w:rsidRPr="00382A84">
              <w:rPr>
                <w:rFonts w:cs="Arial"/>
                <w:b/>
                <w:bCs/>
                <w:szCs w:val="18"/>
              </w:rPr>
              <w:t>CRITICAL COMMENTS</w:t>
            </w:r>
          </w:p>
        </w:tc>
      </w:tr>
      <w:tr w:rsidR="008E67EA" w:rsidRPr="00A27FD2" w14:paraId="29E09767" w14:textId="77777777" w:rsidTr="002C5418">
        <w:trPr>
          <w:trHeight w:val="1125"/>
        </w:trPr>
        <w:tc>
          <w:tcPr>
            <w:tcW w:w="2263" w:type="dxa"/>
          </w:tcPr>
          <w:p w14:paraId="79A075A7" w14:textId="77777777" w:rsidR="008E67EA" w:rsidRPr="00382A84" w:rsidRDefault="008E67EA" w:rsidP="00B44A74">
            <w:pPr>
              <w:spacing w:after="120" w:line="240" w:lineRule="exact"/>
              <w:rPr>
                <w:rFonts w:cs="Arial"/>
                <w:bCs/>
                <w:spacing w:val="-2"/>
                <w:w w:val="105"/>
                <w:szCs w:val="18"/>
              </w:rPr>
            </w:pPr>
            <w:r w:rsidRPr="00382A84">
              <w:rPr>
                <w:rFonts w:cs="Arial"/>
                <w:bCs/>
                <w:spacing w:val="-2"/>
                <w:w w:val="105"/>
                <w:szCs w:val="18"/>
              </w:rPr>
              <w:t xml:space="preserve">In </w:t>
            </w:r>
            <w:r>
              <w:rPr>
                <w:rFonts w:cs="Arial"/>
                <w:bCs/>
                <w:spacing w:val="-2"/>
                <w:w w:val="105"/>
                <w:szCs w:val="18"/>
              </w:rPr>
              <w:t xml:space="preserve">and around (within 2 meters) </w:t>
            </w:r>
            <w:r w:rsidRPr="00B519F7">
              <w:rPr>
                <w:rFonts w:cs="Arial"/>
                <w:bCs/>
                <w:spacing w:val="-2"/>
                <w:w w:val="105"/>
                <w:szCs w:val="18"/>
              </w:rPr>
              <w:t>industrial,</w:t>
            </w:r>
            <w:r>
              <w:rPr>
                <w:rFonts w:cs="Arial"/>
                <w:bCs/>
                <w:spacing w:val="-2"/>
                <w:w w:val="105"/>
                <w:szCs w:val="18"/>
              </w:rPr>
              <w:t xml:space="preserve"> </w:t>
            </w:r>
            <w:r w:rsidRPr="00B519F7">
              <w:rPr>
                <w:rFonts w:cs="Arial"/>
                <w:bCs/>
                <w:spacing w:val="-2"/>
                <w:w w:val="105"/>
                <w:szCs w:val="18"/>
              </w:rPr>
              <w:t>commercial, public</w:t>
            </w:r>
            <w:r>
              <w:rPr>
                <w:rFonts w:cs="Arial"/>
                <w:bCs/>
                <w:spacing w:val="-2"/>
                <w:w w:val="105"/>
                <w:szCs w:val="18"/>
              </w:rPr>
              <w:t xml:space="preserve"> </w:t>
            </w:r>
            <w:r w:rsidRPr="00B519F7">
              <w:rPr>
                <w:rFonts w:cs="Arial"/>
                <w:bCs/>
                <w:spacing w:val="-2"/>
                <w:w w:val="105"/>
                <w:szCs w:val="18"/>
              </w:rPr>
              <w:t>services, agricultural</w:t>
            </w:r>
            <w:r>
              <w:rPr>
                <w:rFonts w:cs="Arial"/>
                <w:bCs/>
                <w:spacing w:val="-2"/>
                <w:w w:val="105"/>
                <w:szCs w:val="18"/>
              </w:rPr>
              <w:t xml:space="preserve"> </w:t>
            </w:r>
            <w:r w:rsidRPr="00B519F7">
              <w:rPr>
                <w:rFonts w:cs="Arial"/>
                <w:bCs/>
                <w:spacing w:val="-2"/>
                <w:w w:val="105"/>
                <w:szCs w:val="18"/>
              </w:rPr>
              <w:t>and domestic</w:t>
            </w:r>
            <w:r>
              <w:rPr>
                <w:rFonts w:cs="Arial"/>
                <w:bCs/>
                <w:spacing w:val="-2"/>
                <w:w w:val="105"/>
                <w:szCs w:val="18"/>
              </w:rPr>
              <w:t xml:space="preserve"> </w:t>
            </w:r>
            <w:r w:rsidRPr="00B519F7">
              <w:rPr>
                <w:rFonts w:cs="Arial"/>
                <w:bCs/>
                <w:spacing w:val="-2"/>
                <w:w w:val="105"/>
                <w:szCs w:val="18"/>
              </w:rPr>
              <w:t>buildings</w:t>
            </w:r>
            <w:r>
              <w:rPr>
                <w:rFonts w:cs="Arial"/>
                <w:bCs/>
                <w:spacing w:val="-2"/>
                <w:w w:val="105"/>
                <w:szCs w:val="18"/>
              </w:rPr>
              <w:t xml:space="preserve">. </w:t>
            </w:r>
          </w:p>
        </w:tc>
        <w:tc>
          <w:tcPr>
            <w:tcW w:w="1276" w:type="dxa"/>
          </w:tcPr>
          <w:p w14:paraId="1BCE767D" w14:textId="77777777" w:rsidR="008E67EA" w:rsidRPr="006469D5" w:rsidRDefault="008E67EA" w:rsidP="00B44A74">
            <w:pPr>
              <w:spacing w:after="120" w:line="240" w:lineRule="exact"/>
              <w:rPr>
                <w:rFonts w:cs="Arial"/>
                <w:szCs w:val="18"/>
              </w:rPr>
            </w:pPr>
            <w:r w:rsidRPr="006469D5">
              <w:rPr>
                <w:rFonts w:cs="Arial"/>
                <w:bCs/>
                <w:spacing w:val="-2"/>
                <w:w w:val="105"/>
                <w:szCs w:val="18"/>
              </w:rPr>
              <w:t>Rats (</w:t>
            </w:r>
            <w:r w:rsidRPr="006469D5">
              <w:rPr>
                <w:rFonts w:cs="Arial"/>
                <w:bCs/>
                <w:i/>
                <w:iCs/>
                <w:spacing w:val="-2"/>
                <w:w w:val="105"/>
                <w:szCs w:val="18"/>
              </w:rPr>
              <w:t>Rattus norvegius, Rattus rattus</w:t>
            </w:r>
            <w:r w:rsidRPr="006469D5">
              <w:rPr>
                <w:rFonts w:cs="Arial"/>
                <w:bCs/>
                <w:spacing w:val="-2"/>
                <w:w w:val="105"/>
                <w:szCs w:val="18"/>
              </w:rPr>
              <w:t>)</w:t>
            </w:r>
          </w:p>
        </w:tc>
        <w:tc>
          <w:tcPr>
            <w:tcW w:w="1701" w:type="dxa"/>
          </w:tcPr>
          <w:p w14:paraId="5AA465C3" w14:textId="77777777" w:rsidR="008E67EA" w:rsidRPr="00382A84" w:rsidRDefault="008E67EA" w:rsidP="00B44A74">
            <w:pPr>
              <w:spacing w:after="120" w:line="240" w:lineRule="exact"/>
              <w:rPr>
                <w:rFonts w:cs="Arial"/>
                <w:bCs/>
                <w:spacing w:val="-2"/>
                <w:w w:val="105"/>
                <w:szCs w:val="18"/>
              </w:rPr>
            </w:pPr>
            <w:r>
              <w:rPr>
                <w:rFonts w:cs="Arial"/>
                <w:bCs/>
                <w:spacing w:val="-2"/>
                <w:w w:val="105"/>
                <w:szCs w:val="18"/>
              </w:rPr>
              <w:t xml:space="preserve">As per current approved label: </w:t>
            </w:r>
            <w:r>
              <w:rPr>
                <w:rFonts w:cs="Arial"/>
                <w:bCs/>
                <w:spacing w:val="-2"/>
                <w:w w:val="105"/>
                <w:szCs w:val="18"/>
              </w:rPr>
              <w:br/>
              <w:t>1-3 baits/bait station or 2-4 baits/bait station]</w:t>
            </w:r>
          </w:p>
        </w:tc>
        <w:tc>
          <w:tcPr>
            <w:tcW w:w="3760" w:type="dxa"/>
            <w:vMerge w:val="restart"/>
          </w:tcPr>
          <w:p w14:paraId="6FE0C733" w14:textId="77777777" w:rsidR="008E67EA" w:rsidRDefault="008E67EA" w:rsidP="00B44A74">
            <w:pPr>
              <w:spacing w:after="120" w:line="240" w:lineRule="exact"/>
              <w:rPr>
                <w:rFonts w:cs="Arial"/>
                <w:bCs/>
                <w:spacing w:val="-2"/>
                <w:w w:val="105"/>
                <w:szCs w:val="18"/>
              </w:rPr>
            </w:pPr>
            <w:r w:rsidRPr="005D00F6">
              <w:rPr>
                <w:rFonts w:cs="Arial"/>
                <w:bCs/>
                <w:spacing w:val="-2"/>
                <w:w w:val="105"/>
                <w:szCs w:val="18"/>
              </w:rPr>
              <w:t xml:space="preserve">Place bait </w:t>
            </w:r>
            <w:r>
              <w:rPr>
                <w:rFonts w:cs="Arial"/>
                <w:bCs/>
                <w:spacing w:val="-2"/>
                <w:w w:val="105"/>
                <w:szCs w:val="18"/>
              </w:rPr>
              <w:t>stations</w:t>
            </w:r>
            <w:r w:rsidRPr="005D00F6">
              <w:rPr>
                <w:rFonts w:cs="Arial"/>
                <w:bCs/>
                <w:spacing w:val="-2"/>
                <w:w w:val="105"/>
                <w:szCs w:val="18"/>
              </w:rPr>
              <w:t xml:space="preserve"> </w:t>
            </w:r>
            <w:r>
              <w:rPr>
                <w:rFonts w:cs="Arial"/>
                <w:bCs/>
                <w:spacing w:val="-2"/>
                <w:w w:val="105"/>
                <w:szCs w:val="18"/>
              </w:rPr>
              <w:t xml:space="preserve">in infested area </w:t>
            </w:r>
            <w:r w:rsidRPr="005D00F6">
              <w:rPr>
                <w:rFonts w:cs="Arial"/>
                <w:bCs/>
                <w:spacing w:val="-2"/>
                <w:w w:val="105"/>
                <w:szCs w:val="18"/>
              </w:rPr>
              <w:t>wherever</w:t>
            </w:r>
            <w:r>
              <w:rPr>
                <w:rFonts w:cs="Arial"/>
                <w:bCs/>
                <w:spacing w:val="-2"/>
                <w:w w:val="105"/>
                <w:szCs w:val="18"/>
              </w:rPr>
              <w:t xml:space="preserve"> </w:t>
            </w:r>
            <w:r w:rsidRPr="005D00F6">
              <w:rPr>
                <w:rFonts w:cs="Arial"/>
                <w:bCs/>
                <w:spacing w:val="-2"/>
                <w:w w:val="105"/>
                <w:szCs w:val="18"/>
              </w:rPr>
              <w:t>droppings, damage or other signs of</w:t>
            </w:r>
            <w:r>
              <w:rPr>
                <w:rFonts w:cs="Arial"/>
                <w:bCs/>
                <w:spacing w:val="-2"/>
                <w:w w:val="105"/>
                <w:szCs w:val="18"/>
              </w:rPr>
              <w:t xml:space="preserve"> </w:t>
            </w:r>
            <w:r w:rsidRPr="005D00F6">
              <w:rPr>
                <w:rFonts w:cs="Arial"/>
                <w:bCs/>
                <w:spacing w:val="-2"/>
                <w:w w:val="105"/>
                <w:szCs w:val="18"/>
              </w:rPr>
              <w:t>rodent activity are seen</w:t>
            </w:r>
            <w:r>
              <w:rPr>
                <w:rFonts w:cs="Arial"/>
                <w:bCs/>
                <w:spacing w:val="-2"/>
                <w:w w:val="105"/>
                <w:szCs w:val="18"/>
              </w:rPr>
              <w:t xml:space="preserve">. </w:t>
            </w:r>
          </w:p>
          <w:p w14:paraId="1D46D5CF" w14:textId="77777777" w:rsidR="008E67EA" w:rsidRPr="0043360F" w:rsidRDefault="008E67EA" w:rsidP="00B44A74">
            <w:pPr>
              <w:spacing w:after="120" w:line="240" w:lineRule="exact"/>
              <w:rPr>
                <w:rFonts w:cs="Arial"/>
                <w:bCs/>
                <w:spacing w:val="-2"/>
                <w:w w:val="105"/>
                <w:szCs w:val="18"/>
              </w:rPr>
            </w:pPr>
            <w:r w:rsidRPr="0043360F">
              <w:rPr>
                <w:rFonts w:cs="Arial"/>
                <w:b/>
                <w:i/>
                <w:iCs/>
                <w:spacing w:val="-2"/>
                <w:w w:val="105"/>
                <w:szCs w:val="18"/>
              </w:rPr>
              <w:t>For rats:</w:t>
            </w:r>
            <w:r w:rsidRPr="0043360F">
              <w:rPr>
                <w:rFonts w:cs="Arial"/>
                <w:bCs/>
                <w:spacing w:val="-2"/>
                <w:w w:val="105"/>
                <w:szCs w:val="18"/>
              </w:rPr>
              <w:t xml:space="preserve"> Place bait stations at intervals of 5 to 9 m in infested areas. DO NOT exceed 9 m between bait stations. </w:t>
            </w:r>
          </w:p>
          <w:p w14:paraId="4185176D" w14:textId="77777777" w:rsidR="008E67EA" w:rsidRPr="00382A84" w:rsidRDefault="008E67EA" w:rsidP="00B44A74">
            <w:pPr>
              <w:spacing w:after="120" w:line="240" w:lineRule="exact"/>
              <w:rPr>
                <w:rFonts w:cs="Arial"/>
                <w:bCs/>
                <w:spacing w:val="-2"/>
                <w:w w:val="105"/>
                <w:szCs w:val="18"/>
              </w:rPr>
            </w:pPr>
            <w:r w:rsidRPr="0043360F">
              <w:rPr>
                <w:rFonts w:cs="Arial"/>
                <w:b/>
                <w:i/>
                <w:iCs/>
                <w:spacing w:val="-2"/>
                <w:w w:val="105"/>
                <w:szCs w:val="18"/>
              </w:rPr>
              <w:t>For mice:</w:t>
            </w:r>
            <w:r w:rsidRPr="0043360F">
              <w:rPr>
                <w:rFonts w:cs="Arial"/>
                <w:bCs/>
                <w:spacing w:val="-2"/>
                <w:w w:val="105"/>
                <w:szCs w:val="18"/>
              </w:rPr>
              <w:t xml:space="preserve"> Place bait stations at intervals of 2 to 3 m in infested areas. DO NOT exceed 3 m between bait stations. </w:t>
            </w:r>
          </w:p>
        </w:tc>
      </w:tr>
      <w:tr w:rsidR="008E67EA" w:rsidRPr="00A27FD2" w14:paraId="7D247560" w14:textId="77777777" w:rsidTr="002C5418">
        <w:trPr>
          <w:trHeight w:val="841"/>
        </w:trPr>
        <w:tc>
          <w:tcPr>
            <w:tcW w:w="2263" w:type="dxa"/>
          </w:tcPr>
          <w:p w14:paraId="281D05FD" w14:textId="77777777" w:rsidR="008E67EA" w:rsidRPr="00382A84" w:rsidRDefault="008E67EA" w:rsidP="00B44A74">
            <w:pPr>
              <w:spacing w:after="120" w:line="240" w:lineRule="exact"/>
              <w:rPr>
                <w:rFonts w:cs="Arial"/>
                <w:bCs/>
                <w:spacing w:val="-2"/>
                <w:w w:val="105"/>
                <w:szCs w:val="18"/>
              </w:rPr>
            </w:pPr>
            <w:r>
              <w:rPr>
                <w:rFonts w:cs="Arial"/>
                <w:bCs/>
                <w:spacing w:val="-2"/>
                <w:w w:val="105"/>
                <w:szCs w:val="18"/>
              </w:rPr>
              <w:t xml:space="preserve">In </w:t>
            </w:r>
            <w:r w:rsidRPr="00B519F7">
              <w:rPr>
                <w:rFonts w:cs="Arial"/>
                <w:bCs/>
                <w:spacing w:val="-2"/>
                <w:w w:val="105"/>
                <w:szCs w:val="18"/>
              </w:rPr>
              <w:t>industrial,</w:t>
            </w:r>
            <w:r>
              <w:rPr>
                <w:rFonts w:cs="Arial"/>
                <w:bCs/>
                <w:spacing w:val="-2"/>
                <w:w w:val="105"/>
                <w:szCs w:val="18"/>
              </w:rPr>
              <w:t xml:space="preserve"> </w:t>
            </w:r>
            <w:r w:rsidRPr="00B519F7">
              <w:rPr>
                <w:rFonts w:cs="Arial"/>
                <w:bCs/>
                <w:spacing w:val="-2"/>
                <w:w w:val="105"/>
                <w:szCs w:val="18"/>
              </w:rPr>
              <w:t>commercial, public</w:t>
            </w:r>
            <w:r>
              <w:rPr>
                <w:rFonts w:cs="Arial"/>
                <w:bCs/>
                <w:spacing w:val="-2"/>
                <w:w w:val="105"/>
                <w:szCs w:val="18"/>
              </w:rPr>
              <w:t xml:space="preserve"> </w:t>
            </w:r>
            <w:r w:rsidRPr="00B519F7">
              <w:rPr>
                <w:rFonts w:cs="Arial"/>
                <w:bCs/>
                <w:spacing w:val="-2"/>
                <w:w w:val="105"/>
                <w:szCs w:val="18"/>
              </w:rPr>
              <w:t>services, agricultural</w:t>
            </w:r>
            <w:r>
              <w:rPr>
                <w:rFonts w:cs="Arial"/>
                <w:bCs/>
                <w:spacing w:val="-2"/>
                <w:w w:val="105"/>
                <w:szCs w:val="18"/>
              </w:rPr>
              <w:t xml:space="preserve"> </w:t>
            </w:r>
            <w:r w:rsidRPr="00B519F7">
              <w:rPr>
                <w:rFonts w:cs="Arial"/>
                <w:bCs/>
                <w:spacing w:val="-2"/>
                <w:w w:val="105"/>
                <w:szCs w:val="18"/>
              </w:rPr>
              <w:t>and domestic</w:t>
            </w:r>
            <w:r>
              <w:rPr>
                <w:rFonts w:cs="Arial"/>
                <w:bCs/>
                <w:spacing w:val="-2"/>
                <w:w w:val="105"/>
                <w:szCs w:val="18"/>
              </w:rPr>
              <w:t xml:space="preserve"> </w:t>
            </w:r>
            <w:r w:rsidRPr="00B519F7">
              <w:rPr>
                <w:rFonts w:cs="Arial"/>
                <w:bCs/>
                <w:spacing w:val="-2"/>
                <w:w w:val="105"/>
                <w:szCs w:val="18"/>
              </w:rPr>
              <w:t>buildings</w:t>
            </w:r>
            <w:r>
              <w:rPr>
                <w:rFonts w:cs="Arial"/>
                <w:bCs/>
                <w:spacing w:val="-2"/>
                <w:w w:val="105"/>
                <w:szCs w:val="18"/>
              </w:rPr>
              <w:t>.</w:t>
            </w:r>
          </w:p>
        </w:tc>
        <w:tc>
          <w:tcPr>
            <w:tcW w:w="1276" w:type="dxa"/>
          </w:tcPr>
          <w:p w14:paraId="7C7B7DE5" w14:textId="77777777" w:rsidR="008E67EA" w:rsidRPr="00485D88" w:rsidRDefault="008E67EA" w:rsidP="00B44A74">
            <w:pPr>
              <w:spacing w:after="120" w:line="240" w:lineRule="exact"/>
              <w:rPr>
                <w:rFonts w:cs="Arial"/>
                <w:bCs/>
                <w:i/>
                <w:iCs/>
                <w:spacing w:val="-2"/>
                <w:w w:val="105"/>
                <w:szCs w:val="18"/>
              </w:rPr>
            </w:pPr>
            <w:r w:rsidRPr="006469D5">
              <w:rPr>
                <w:rFonts w:cs="Arial"/>
                <w:bCs/>
                <w:spacing w:val="-2"/>
                <w:w w:val="105"/>
                <w:szCs w:val="18"/>
              </w:rPr>
              <w:t>Mice (</w:t>
            </w:r>
            <w:r w:rsidRPr="006469D5">
              <w:rPr>
                <w:rFonts w:cs="Arial"/>
                <w:bCs/>
                <w:i/>
                <w:iCs/>
                <w:spacing w:val="-2"/>
                <w:w w:val="105"/>
                <w:szCs w:val="18"/>
              </w:rPr>
              <w:t>Mus musculus</w:t>
            </w:r>
            <w:r w:rsidRPr="006469D5">
              <w:rPr>
                <w:rFonts w:cs="Arial"/>
                <w:bCs/>
                <w:spacing w:val="-2"/>
                <w:w w:val="105"/>
                <w:szCs w:val="18"/>
              </w:rPr>
              <w:t>)</w:t>
            </w:r>
          </w:p>
        </w:tc>
        <w:tc>
          <w:tcPr>
            <w:tcW w:w="1701" w:type="dxa"/>
          </w:tcPr>
          <w:p w14:paraId="2899A2DE" w14:textId="77777777" w:rsidR="008E67EA" w:rsidRPr="00382A84" w:rsidRDefault="008E67EA" w:rsidP="00B44A74">
            <w:pPr>
              <w:spacing w:after="120" w:line="240" w:lineRule="exact"/>
              <w:rPr>
                <w:rFonts w:cs="Arial"/>
                <w:bCs/>
                <w:spacing w:val="-2"/>
                <w:w w:val="105"/>
                <w:szCs w:val="18"/>
              </w:rPr>
            </w:pPr>
            <w:r>
              <w:rPr>
                <w:rFonts w:cs="Arial"/>
                <w:bCs/>
                <w:spacing w:val="-2"/>
                <w:w w:val="105"/>
                <w:szCs w:val="18"/>
              </w:rPr>
              <w:t xml:space="preserve">[As per current approved label: </w:t>
            </w:r>
            <w:r>
              <w:rPr>
                <w:rFonts w:cs="Arial"/>
                <w:bCs/>
                <w:spacing w:val="-2"/>
                <w:w w:val="105"/>
                <w:szCs w:val="18"/>
              </w:rPr>
              <w:br/>
              <w:t>1 bait/bait station or 1-2 baits/bait station]</w:t>
            </w:r>
          </w:p>
        </w:tc>
        <w:tc>
          <w:tcPr>
            <w:tcW w:w="3760" w:type="dxa"/>
            <w:vMerge/>
          </w:tcPr>
          <w:p w14:paraId="2909EF0C" w14:textId="77777777" w:rsidR="008E67EA" w:rsidRPr="00382A84" w:rsidRDefault="008E67EA" w:rsidP="00B44A74">
            <w:pPr>
              <w:ind w:firstLine="720"/>
              <w:rPr>
                <w:rFonts w:cs="Arial"/>
                <w:bCs/>
                <w:spacing w:val="-2"/>
                <w:w w:val="105"/>
                <w:szCs w:val="18"/>
              </w:rPr>
            </w:pPr>
          </w:p>
        </w:tc>
      </w:tr>
    </w:tbl>
    <w:p w14:paraId="7AB7D1CB" w14:textId="77777777" w:rsidR="008E67EA" w:rsidRDefault="008E67EA" w:rsidP="008E67EA">
      <w:pPr>
        <w:spacing w:line="280" w:lineRule="exact"/>
        <w:rPr>
          <w:rFonts w:cs="Arial"/>
          <w:b/>
          <w:bCs/>
          <w:sz w:val="20"/>
          <w:szCs w:val="20"/>
        </w:rPr>
      </w:pPr>
    </w:p>
    <w:p w14:paraId="78F84491" w14:textId="77777777" w:rsidR="008E67EA" w:rsidRPr="00DC2C8B" w:rsidRDefault="008E67EA" w:rsidP="008E67EA">
      <w:pPr>
        <w:spacing w:line="280" w:lineRule="exact"/>
        <w:rPr>
          <w:rFonts w:cs="Arial"/>
          <w:b/>
          <w:bCs/>
          <w:color w:val="000000" w:themeColor="text1"/>
          <w:sz w:val="20"/>
          <w:szCs w:val="20"/>
        </w:rPr>
      </w:pPr>
      <w:r w:rsidRPr="00DC2C8B">
        <w:rPr>
          <w:rFonts w:cs="Arial"/>
          <w:b/>
          <w:bCs/>
          <w:color w:val="000000" w:themeColor="text1"/>
          <w:sz w:val="20"/>
          <w:szCs w:val="20"/>
        </w:rPr>
        <w:t>Baiting Strategy</w:t>
      </w:r>
    </w:p>
    <w:p w14:paraId="676B5733" w14:textId="01CAD87F" w:rsidR="008E67EA" w:rsidRPr="000559AD" w:rsidRDefault="008E67EA" w:rsidP="008E67EA">
      <w:pPr>
        <w:spacing w:line="280" w:lineRule="exact"/>
        <w:rPr>
          <w:rFonts w:cs="Arial"/>
          <w:sz w:val="20"/>
          <w:szCs w:val="20"/>
        </w:rPr>
      </w:pPr>
      <w:r w:rsidRPr="000559AD">
        <w:rPr>
          <w:rFonts w:cs="Arial"/>
          <w:sz w:val="20"/>
          <w:szCs w:val="20"/>
        </w:rPr>
        <w:t>Eliminate as far as practicable all alternative food sources.</w:t>
      </w:r>
    </w:p>
    <w:p w14:paraId="1BFD285B" w14:textId="77777777" w:rsidR="008E67EA" w:rsidRPr="000559AD" w:rsidRDefault="008E67EA" w:rsidP="008E67EA">
      <w:pPr>
        <w:spacing w:line="280" w:lineRule="exact"/>
        <w:rPr>
          <w:rFonts w:eastAsia="Calibri" w:cs="Arial"/>
          <w:sz w:val="20"/>
          <w:szCs w:val="20"/>
          <w:bdr w:val="none" w:sz="0" w:space="0" w:color="auto" w:frame="1"/>
          <w:lang w:val="en-GB" w:eastAsia="en-AU"/>
        </w:rPr>
      </w:pPr>
      <w:r w:rsidRPr="000559AD">
        <w:rPr>
          <w:rFonts w:eastAsia="Calibri" w:cs="Arial"/>
          <w:sz w:val="20"/>
          <w:szCs w:val="20"/>
          <w:bdr w:val="none" w:sz="0" w:space="0" w:color="auto" w:frame="1"/>
          <w:lang w:val="en-GB" w:eastAsia="en-AU"/>
        </w:rPr>
        <w:t xml:space="preserve">Survey site prior to treatment, including assessment of the extent of infestation and identification of any indications of the presence of non-target animals. </w:t>
      </w:r>
    </w:p>
    <w:p w14:paraId="5A01E2F4" w14:textId="77777777" w:rsidR="008E67EA" w:rsidRPr="000559AD" w:rsidRDefault="008E67EA" w:rsidP="008E67EA">
      <w:pPr>
        <w:spacing w:line="280" w:lineRule="exact"/>
        <w:rPr>
          <w:rFonts w:eastAsia="Calibri" w:cs="Arial"/>
          <w:sz w:val="20"/>
          <w:szCs w:val="20"/>
          <w:bdr w:val="none" w:sz="0" w:space="0" w:color="auto" w:frame="1"/>
          <w:lang w:val="en-GB" w:eastAsia="en-AU"/>
        </w:rPr>
      </w:pPr>
      <w:r w:rsidRPr="000559AD">
        <w:rPr>
          <w:rFonts w:eastAsia="Calibri" w:cs="Arial"/>
          <w:sz w:val="20"/>
          <w:szCs w:val="20"/>
          <w:bdr w:val="none" w:sz="0" w:space="0" w:color="auto" w:frame="1"/>
          <w:lang w:val="en-GB" w:eastAsia="en-AU"/>
        </w:rPr>
        <w:t xml:space="preserve">Record the number and locations of bait stations for the purpose of inspection, replacement and later removal. Always use tamper-resistant bait stations that are secured in place in child accessible areas, outdoors and in animal or livestock housing. When used in food producing animal housing situations careful consideration is necessary regarding the placement of bait stations to ensure any rodenticide contamination of water, feed or livestock is prevented. </w:t>
      </w:r>
    </w:p>
    <w:p w14:paraId="156C97D0" w14:textId="77777777" w:rsidR="008E67EA" w:rsidRDefault="008E67EA" w:rsidP="008E67EA">
      <w:pPr>
        <w:spacing w:line="280" w:lineRule="exact"/>
        <w:rPr>
          <w:rFonts w:cs="Arial"/>
          <w:sz w:val="20"/>
          <w:szCs w:val="20"/>
          <w:highlight w:val="yellow"/>
        </w:rPr>
      </w:pPr>
      <w:r w:rsidRPr="000559AD">
        <w:rPr>
          <w:rFonts w:cs="Arial"/>
          <w:sz w:val="20"/>
          <w:szCs w:val="20"/>
        </w:rPr>
        <w:t>Inspect baits daily. Replace eaten baits. If quickly eaten, increase</w:t>
      </w:r>
      <w:r>
        <w:rPr>
          <w:rFonts w:cs="Arial"/>
          <w:sz w:val="20"/>
          <w:szCs w:val="20"/>
        </w:rPr>
        <w:t xml:space="preserve"> </w:t>
      </w:r>
      <w:r w:rsidRPr="000559AD">
        <w:rPr>
          <w:rFonts w:cs="Arial"/>
          <w:sz w:val="20"/>
          <w:szCs w:val="20"/>
        </w:rPr>
        <w:t>number of baits. Continue observation and replenish until no more baits are taken. Most rodent deaths occur 4 to 7 days after consumption of bait. Baiting for at</w:t>
      </w:r>
      <w:r>
        <w:rPr>
          <w:rFonts w:cs="Arial"/>
          <w:sz w:val="20"/>
          <w:szCs w:val="20"/>
        </w:rPr>
        <w:t xml:space="preserve"> </w:t>
      </w:r>
      <w:r w:rsidRPr="000559AD">
        <w:rPr>
          <w:rFonts w:cs="Arial"/>
          <w:sz w:val="20"/>
          <w:szCs w:val="20"/>
        </w:rPr>
        <w:t>least two weeks is necessary to reduce rat/mouse numbers.</w:t>
      </w:r>
    </w:p>
    <w:p w14:paraId="0208D2FE" w14:textId="77777777" w:rsidR="008E67EA" w:rsidRPr="000559AD" w:rsidRDefault="008E67EA" w:rsidP="008E67EA">
      <w:pPr>
        <w:spacing w:line="280" w:lineRule="exact"/>
        <w:rPr>
          <w:rFonts w:eastAsia="Calibri" w:cs="Arial"/>
          <w:sz w:val="20"/>
          <w:szCs w:val="20"/>
          <w:bdr w:val="none" w:sz="0" w:space="0" w:color="auto" w:frame="1"/>
          <w:lang w:val="en-GB" w:eastAsia="en-AU"/>
        </w:rPr>
      </w:pPr>
      <w:r w:rsidRPr="000559AD">
        <w:rPr>
          <w:rFonts w:eastAsia="Calibri" w:cs="Arial"/>
          <w:sz w:val="20"/>
          <w:szCs w:val="20"/>
          <w:bdr w:val="none" w:sz="0" w:space="0" w:color="auto" w:frame="1"/>
          <w:lang w:val="en-GB" w:eastAsia="en-AU"/>
        </w:rPr>
        <w:t>DO NOT use the product beyond 35 days without an evaluation of the state of the infestation and of the efficacy of the treatment.</w:t>
      </w:r>
      <w:r w:rsidRPr="000559AD">
        <w:rPr>
          <w:rFonts w:cs="Arial"/>
          <w:sz w:val="20"/>
          <w:szCs w:val="20"/>
        </w:rPr>
        <w:t xml:space="preserve"> </w:t>
      </w:r>
      <w:r w:rsidRPr="000559AD">
        <w:rPr>
          <w:rFonts w:eastAsia="Calibri" w:cs="Arial"/>
          <w:sz w:val="20"/>
          <w:szCs w:val="20"/>
          <w:bdr w:val="none" w:sz="0" w:space="0" w:color="auto" w:frame="1"/>
          <w:lang w:val="en-GB" w:eastAsia="en-AU"/>
        </w:rPr>
        <w:t>Remove all uneaten bait at the end of treatment.</w:t>
      </w:r>
    </w:p>
    <w:p w14:paraId="5115BE51" w14:textId="111A993B" w:rsidR="008E67EA" w:rsidRDefault="008E67EA" w:rsidP="002C5418">
      <w:pPr>
        <w:spacing w:line="280" w:lineRule="exact"/>
        <w:rPr>
          <w:rFonts w:ascii="Franklin Gothic Medium" w:eastAsia="Arial Unicode MS" w:hAnsi="Franklin Gothic Medium"/>
          <w:bCs/>
          <w:iCs/>
          <w:bdr w:val="none" w:sz="0" w:space="0" w:color="auto" w:frame="1"/>
          <w:lang w:val="en-GB" w:eastAsia="en-AU"/>
        </w:rPr>
      </w:pPr>
      <w:r w:rsidRPr="00FF36BF">
        <w:rPr>
          <w:rFonts w:cs="Arial"/>
          <w:b/>
          <w:bCs/>
          <w:sz w:val="20"/>
          <w:szCs w:val="20"/>
        </w:rPr>
        <w:t>NOT TO BE USED FOR ANY PURPOSE, OR IN ANY MANNER, CONTRARY TO THIS LABEL UNLESS AUTHORISED UNDER APPROPRIATE LEGISLATION.</w:t>
      </w:r>
      <w:r>
        <w:rPr>
          <w:rFonts w:ascii="Franklin Gothic Medium" w:eastAsia="Arial Unicode MS" w:hAnsi="Franklin Gothic Medium"/>
          <w:bCs/>
          <w:iCs/>
          <w:bdr w:val="none" w:sz="0" w:space="0" w:color="auto" w:frame="1"/>
          <w:lang w:val="en-GB" w:eastAsia="en-AU"/>
        </w:rPr>
        <w:br w:type="page"/>
      </w:r>
    </w:p>
    <w:p w14:paraId="4A331852" w14:textId="77777777" w:rsidR="008E67EA" w:rsidRDefault="008E67EA" w:rsidP="008E67EA">
      <w:pPr>
        <w:keepNext/>
        <w:keepLines/>
        <w:spacing w:before="400" w:after="240" w:line="280" w:lineRule="exact"/>
        <w:outlineLvl w:val="1"/>
        <w:rPr>
          <w:rFonts w:ascii="Franklin Gothic Medium" w:eastAsia="Arial Unicode MS" w:hAnsi="Franklin Gothic Medium"/>
          <w:bCs/>
          <w:iCs/>
          <w:bdr w:val="none" w:sz="0" w:space="0" w:color="auto" w:frame="1"/>
          <w:lang w:val="en-GB" w:eastAsia="en-AU"/>
        </w:rPr>
      </w:pPr>
      <w:r>
        <w:rPr>
          <w:rFonts w:ascii="Franklin Gothic Medium" w:eastAsia="Arial Unicode MS" w:hAnsi="Franklin Gothic Medium"/>
          <w:bCs/>
          <w:iCs/>
          <w:bdr w:val="none" w:sz="0" w:space="0" w:color="auto" w:frame="1"/>
          <w:lang w:val="en-GB" w:eastAsia="en-AU"/>
        </w:rPr>
        <w:lastRenderedPageBreak/>
        <w:t>Domestic pest-control product:</w:t>
      </w:r>
      <w:r w:rsidRPr="00FF36BF">
        <w:rPr>
          <w:rFonts w:ascii="Franklin Gothic Medium" w:eastAsia="Arial Unicode MS" w:hAnsi="Franklin Gothic Medium"/>
          <w:bCs/>
          <w:iCs/>
          <w:bdr w:val="none" w:sz="0" w:space="0" w:color="auto" w:frame="1"/>
          <w:lang w:val="en-GB" w:eastAsia="en-AU"/>
        </w:rPr>
        <w:t xml:space="preserve"> </w:t>
      </w:r>
      <w:r w:rsidRPr="00DA343B">
        <w:rPr>
          <w:rFonts w:ascii="Franklin Gothic Medium" w:eastAsia="Arial Unicode MS" w:hAnsi="Franklin Gothic Medium"/>
          <w:bCs/>
          <w:iCs/>
          <w:bdr w:val="none" w:sz="0" w:space="0" w:color="auto" w:frame="1"/>
          <w:lang w:val="en-GB" w:eastAsia="en-AU"/>
        </w:rPr>
        <w:t>RB 0.05 g/kg or less in block formulation</w:t>
      </w:r>
    </w:p>
    <w:p w14:paraId="2538D509" w14:textId="77777777" w:rsidR="008E67EA"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t xml:space="preserve">Template Label </w:t>
      </w:r>
      <w:r>
        <w:rPr>
          <w:rFonts w:cs="Arial"/>
          <w:b/>
          <w:bCs/>
          <w:sz w:val="20"/>
          <w:szCs w:val="20"/>
          <w:bdr w:val="none" w:sz="0" w:space="0" w:color="auto" w:frame="1"/>
          <w:lang w:val="en-GB" w:eastAsia="en-AU"/>
        </w:rPr>
        <w:t>5a</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5C7298" w14:paraId="6B56BBE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0518C8B" w14:textId="77777777" w:rsidR="008E67EA" w:rsidRPr="005C7298" w:rsidRDefault="008E67EA" w:rsidP="00B44A74">
            <w:pPr>
              <w:spacing w:line="280" w:lineRule="exact"/>
              <w:rPr>
                <w:rFonts w:cs="Arial"/>
                <w:sz w:val="20"/>
                <w:szCs w:val="20"/>
              </w:rPr>
            </w:pPr>
            <w:r w:rsidRPr="005C7298">
              <w:rPr>
                <w:rFonts w:cs="Arial"/>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238974E8" w14:textId="77777777" w:rsidR="008E67EA" w:rsidRPr="00F37250" w:rsidRDefault="008E67EA" w:rsidP="00B44A74">
            <w:pPr>
              <w:spacing w:line="280" w:lineRule="exact"/>
              <w:rPr>
                <w:rFonts w:cs="Arial"/>
                <w:sz w:val="20"/>
                <w:szCs w:val="20"/>
              </w:rPr>
            </w:pPr>
            <w:r w:rsidRPr="00F37250">
              <w:rPr>
                <w:rFonts w:cs="Arial"/>
                <w:sz w:val="20"/>
                <w:szCs w:val="20"/>
              </w:rPr>
              <w:t>[INSERT LABEL NAME]</w:t>
            </w:r>
            <w:r w:rsidRPr="00F37250" w:rsidDel="00F37250">
              <w:rPr>
                <w:rFonts w:cs="Arial"/>
                <w:sz w:val="20"/>
                <w:szCs w:val="20"/>
              </w:rPr>
              <w:t xml:space="preserve"> </w:t>
            </w:r>
          </w:p>
        </w:tc>
      </w:tr>
      <w:tr w:rsidR="008E67EA" w:rsidRPr="005C7298" w14:paraId="18591D53" w14:textId="77777777" w:rsidTr="00B44A74">
        <w:trPr>
          <w:jc w:val="center"/>
        </w:trPr>
        <w:tc>
          <w:tcPr>
            <w:tcW w:w="2415" w:type="dxa"/>
            <w:tcBorders>
              <w:top w:val="single" w:sz="4" w:space="0" w:color="auto"/>
              <w:left w:val="nil"/>
              <w:bottom w:val="single" w:sz="4" w:space="0" w:color="auto"/>
              <w:right w:val="nil"/>
            </w:tcBorders>
          </w:tcPr>
          <w:p w14:paraId="79735BAA" w14:textId="77777777" w:rsidR="008E67EA" w:rsidRPr="005C7298"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990855D" w14:textId="77777777" w:rsidR="008E67EA" w:rsidRPr="00F37250" w:rsidRDefault="008E67EA" w:rsidP="00B44A74">
            <w:pPr>
              <w:spacing w:line="280" w:lineRule="exact"/>
              <w:rPr>
                <w:rFonts w:cs="Arial"/>
                <w:sz w:val="20"/>
                <w:szCs w:val="20"/>
              </w:rPr>
            </w:pPr>
          </w:p>
        </w:tc>
      </w:tr>
      <w:tr w:rsidR="008E67EA" w:rsidRPr="005C7298" w14:paraId="3E8883C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DC6B924" w14:textId="77777777" w:rsidR="008E67EA" w:rsidRPr="005C7298" w:rsidRDefault="008E67EA" w:rsidP="00B44A74">
            <w:pPr>
              <w:spacing w:line="280" w:lineRule="exact"/>
              <w:rPr>
                <w:rFonts w:cs="Arial"/>
                <w:sz w:val="20"/>
                <w:szCs w:val="20"/>
              </w:rPr>
            </w:pPr>
            <w:r w:rsidRPr="005C7298">
              <w:rPr>
                <w:rFonts w:cs="Arial"/>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3BB97890" w14:textId="77777777" w:rsidR="008E67EA" w:rsidRPr="00F37250" w:rsidRDefault="008E67EA" w:rsidP="00B44A74">
            <w:pPr>
              <w:spacing w:line="280" w:lineRule="exact"/>
              <w:rPr>
                <w:rFonts w:cs="Arial"/>
                <w:sz w:val="20"/>
                <w:szCs w:val="20"/>
              </w:rPr>
            </w:pPr>
            <w:r w:rsidRPr="00F37250">
              <w:rPr>
                <w:rFonts w:cs="Arial"/>
                <w:sz w:val="20"/>
                <w:szCs w:val="20"/>
              </w:rPr>
              <w:t>POISON</w:t>
            </w:r>
          </w:p>
          <w:p w14:paraId="55530806" w14:textId="77777777" w:rsidR="008E67EA" w:rsidRPr="00F37250" w:rsidRDefault="008E67EA" w:rsidP="00B44A74">
            <w:pPr>
              <w:spacing w:line="280" w:lineRule="exact"/>
              <w:rPr>
                <w:rFonts w:cs="Arial"/>
                <w:sz w:val="20"/>
                <w:szCs w:val="20"/>
              </w:rPr>
            </w:pPr>
            <w:r w:rsidRPr="00F37250">
              <w:rPr>
                <w:rFonts w:cs="Arial"/>
                <w:sz w:val="20"/>
                <w:szCs w:val="20"/>
              </w:rPr>
              <w:t>KEEP OUT OF REACH OF CHILDREN</w:t>
            </w:r>
          </w:p>
          <w:p w14:paraId="6D67B49B" w14:textId="77777777" w:rsidR="008E67EA" w:rsidRPr="00F37250" w:rsidRDefault="008E67EA" w:rsidP="00B44A74">
            <w:pPr>
              <w:spacing w:line="280" w:lineRule="exact"/>
              <w:rPr>
                <w:rFonts w:cs="Arial"/>
                <w:sz w:val="20"/>
                <w:szCs w:val="20"/>
              </w:rPr>
            </w:pPr>
            <w:r w:rsidRPr="00F37250">
              <w:rPr>
                <w:rFonts w:cs="Arial"/>
                <w:sz w:val="20"/>
                <w:szCs w:val="20"/>
              </w:rPr>
              <w:t>READ SAFETY DIRECTIONS</w:t>
            </w:r>
          </w:p>
        </w:tc>
      </w:tr>
      <w:tr w:rsidR="008E67EA" w:rsidRPr="005C7298" w14:paraId="57C8A78D" w14:textId="77777777" w:rsidTr="00B44A74">
        <w:trPr>
          <w:jc w:val="center"/>
        </w:trPr>
        <w:tc>
          <w:tcPr>
            <w:tcW w:w="2415" w:type="dxa"/>
            <w:tcBorders>
              <w:top w:val="single" w:sz="4" w:space="0" w:color="auto"/>
              <w:left w:val="nil"/>
              <w:bottom w:val="single" w:sz="4" w:space="0" w:color="auto"/>
              <w:right w:val="nil"/>
            </w:tcBorders>
          </w:tcPr>
          <w:p w14:paraId="1633A795" w14:textId="77777777" w:rsidR="008E67EA" w:rsidRPr="005C7298"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6B0CD81" w14:textId="77777777" w:rsidR="008E67EA" w:rsidRPr="00F37250" w:rsidRDefault="008E67EA" w:rsidP="00B44A74">
            <w:pPr>
              <w:spacing w:line="280" w:lineRule="exact"/>
              <w:rPr>
                <w:rFonts w:cs="Arial"/>
                <w:sz w:val="20"/>
                <w:szCs w:val="20"/>
              </w:rPr>
            </w:pPr>
          </w:p>
        </w:tc>
      </w:tr>
      <w:tr w:rsidR="008E67EA" w:rsidRPr="005C7298" w14:paraId="72E081B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7D0B652" w14:textId="77777777" w:rsidR="008E67EA" w:rsidRPr="005C7298" w:rsidRDefault="008E67EA" w:rsidP="00B44A74">
            <w:pPr>
              <w:spacing w:line="280" w:lineRule="exact"/>
              <w:rPr>
                <w:rFonts w:cs="Arial"/>
                <w:sz w:val="20"/>
                <w:szCs w:val="20"/>
              </w:rPr>
            </w:pPr>
            <w:r w:rsidRPr="005C7298">
              <w:rPr>
                <w:rFonts w:cs="Arial"/>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2CEF496C" w14:textId="77777777" w:rsidR="008E67EA" w:rsidRPr="00F37250" w:rsidRDefault="008E67EA" w:rsidP="00B44A74">
            <w:pPr>
              <w:spacing w:line="280" w:lineRule="exact"/>
              <w:rPr>
                <w:rFonts w:cs="Arial"/>
                <w:sz w:val="20"/>
                <w:szCs w:val="20"/>
              </w:rPr>
            </w:pPr>
            <w:r w:rsidRPr="00F37250">
              <w:rPr>
                <w:rFonts w:cs="Arial"/>
                <w:sz w:val="20"/>
                <w:szCs w:val="20"/>
              </w:rPr>
              <w:t>ACTIVE CONSTITUENT: 0.05 g/kg BRODIFACOUM</w:t>
            </w:r>
          </w:p>
        </w:tc>
      </w:tr>
      <w:tr w:rsidR="008E67EA" w:rsidRPr="005C7298" w14:paraId="610B0862" w14:textId="77777777" w:rsidTr="00B44A74">
        <w:trPr>
          <w:jc w:val="center"/>
        </w:trPr>
        <w:tc>
          <w:tcPr>
            <w:tcW w:w="2415" w:type="dxa"/>
            <w:tcBorders>
              <w:top w:val="single" w:sz="4" w:space="0" w:color="auto"/>
              <w:left w:val="nil"/>
              <w:bottom w:val="single" w:sz="4" w:space="0" w:color="auto"/>
              <w:right w:val="nil"/>
            </w:tcBorders>
          </w:tcPr>
          <w:p w14:paraId="29DCF5EA" w14:textId="77777777" w:rsidR="008E67EA" w:rsidRPr="005C7298"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CD2E0E9" w14:textId="77777777" w:rsidR="008E67EA" w:rsidRPr="00F37250" w:rsidRDefault="008E67EA" w:rsidP="00B44A74">
            <w:pPr>
              <w:spacing w:line="280" w:lineRule="exact"/>
              <w:rPr>
                <w:rFonts w:cs="Arial"/>
                <w:sz w:val="20"/>
                <w:szCs w:val="20"/>
              </w:rPr>
            </w:pPr>
          </w:p>
        </w:tc>
      </w:tr>
      <w:tr w:rsidR="008E67EA" w:rsidRPr="005C7298" w14:paraId="7D50562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F4D8B36" w14:textId="77777777" w:rsidR="008E67EA" w:rsidRPr="005C7298" w:rsidRDefault="008E67EA" w:rsidP="00B44A74">
            <w:pPr>
              <w:spacing w:line="280" w:lineRule="exact"/>
              <w:rPr>
                <w:rFonts w:cs="Arial"/>
                <w:sz w:val="20"/>
                <w:szCs w:val="20"/>
              </w:rPr>
            </w:pPr>
            <w:r w:rsidRPr="005C7298">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5CE2A13C" w14:textId="77777777" w:rsidR="008E67EA" w:rsidRPr="00F37250" w:rsidRDefault="008E67EA" w:rsidP="00B44A74">
            <w:pPr>
              <w:spacing w:line="280" w:lineRule="exact"/>
              <w:rPr>
                <w:rFonts w:cs="Arial"/>
                <w:sz w:val="20"/>
                <w:szCs w:val="20"/>
              </w:rPr>
            </w:pPr>
            <w:r w:rsidRPr="00F37250">
              <w:rPr>
                <w:rFonts w:cs="Arial"/>
                <w:sz w:val="20"/>
                <w:szCs w:val="20"/>
              </w:rPr>
              <w:t>For control of mice in domestic buildings and rats in and around domestic buildings.</w:t>
            </w:r>
          </w:p>
        </w:tc>
      </w:tr>
      <w:tr w:rsidR="008E67EA" w:rsidRPr="005C7298" w14:paraId="33333E95" w14:textId="77777777" w:rsidTr="00B44A74">
        <w:trPr>
          <w:jc w:val="center"/>
        </w:trPr>
        <w:tc>
          <w:tcPr>
            <w:tcW w:w="2415" w:type="dxa"/>
            <w:tcBorders>
              <w:top w:val="single" w:sz="4" w:space="0" w:color="auto"/>
              <w:left w:val="nil"/>
              <w:bottom w:val="single" w:sz="4" w:space="0" w:color="auto"/>
              <w:right w:val="nil"/>
            </w:tcBorders>
          </w:tcPr>
          <w:p w14:paraId="0E05404E" w14:textId="77777777" w:rsidR="008E67EA" w:rsidRPr="005C7298"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A809DD0" w14:textId="77777777" w:rsidR="008E67EA" w:rsidRPr="00F37250" w:rsidRDefault="008E67EA" w:rsidP="00B44A74">
            <w:pPr>
              <w:spacing w:line="280" w:lineRule="exact"/>
              <w:rPr>
                <w:rFonts w:cs="Arial"/>
                <w:sz w:val="20"/>
                <w:szCs w:val="20"/>
              </w:rPr>
            </w:pPr>
          </w:p>
        </w:tc>
      </w:tr>
      <w:tr w:rsidR="008E67EA" w:rsidRPr="005C7298" w14:paraId="118C41C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FF4A415" w14:textId="77777777" w:rsidR="008E67EA" w:rsidRPr="005C7298" w:rsidRDefault="008E67EA" w:rsidP="00B44A74">
            <w:pPr>
              <w:spacing w:line="280" w:lineRule="exact"/>
              <w:rPr>
                <w:rFonts w:cs="Arial"/>
                <w:sz w:val="20"/>
                <w:szCs w:val="20"/>
              </w:rPr>
            </w:pPr>
            <w:r w:rsidRPr="005C7298">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77479E2E" w14:textId="77777777" w:rsidR="008E67EA" w:rsidRPr="00F37250" w:rsidRDefault="008E67EA" w:rsidP="00B44A74">
            <w:pPr>
              <w:spacing w:line="280" w:lineRule="exact"/>
              <w:rPr>
                <w:rFonts w:cs="Arial"/>
                <w:sz w:val="20"/>
                <w:szCs w:val="20"/>
              </w:rPr>
            </w:pPr>
            <w:r w:rsidRPr="00F37250">
              <w:rPr>
                <w:rFonts w:cs="Arial"/>
                <w:sz w:val="20"/>
                <w:szCs w:val="20"/>
              </w:rPr>
              <w:t>[INSERT NET CONTENTS – MAXIMUM 300g]</w:t>
            </w:r>
          </w:p>
        </w:tc>
      </w:tr>
      <w:tr w:rsidR="008E67EA" w:rsidRPr="005C7298" w14:paraId="5B37B353" w14:textId="77777777" w:rsidTr="00B44A74">
        <w:trPr>
          <w:jc w:val="center"/>
        </w:trPr>
        <w:tc>
          <w:tcPr>
            <w:tcW w:w="2415" w:type="dxa"/>
            <w:tcBorders>
              <w:top w:val="single" w:sz="4" w:space="0" w:color="auto"/>
              <w:left w:val="nil"/>
              <w:bottom w:val="single" w:sz="4" w:space="0" w:color="auto"/>
              <w:right w:val="nil"/>
            </w:tcBorders>
          </w:tcPr>
          <w:p w14:paraId="4CC41488" w14:textId="77777777" w:rsidR="008E67EA" w:rsidRPr="005C7298"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95489D0" w14:textId="77777777" w:rsidR="008E67EA" w:rsidRPr="00F37250" w:rsidRDefault="008E67EA" w:rsidP="00B44A74">
            <w:pPr>
              <w:spacing w:line="280" w:lineRule="exact"/>
              <w:rPr>
                <w:rFonts w:cs="Arial"/>
                <w:sz w:val="20"/>
                <w:szCs w:val="20"/>
              </w:rPr>
            </w:pPr>
          </w:p>
        </w:tc>
      </w:tr>
      <w:tr w:rsidR="008E67EA" w:rsidRPr="005C7298" w14:paraId="3DCCCDB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2E74AED" w14:textId="77777777" w:rsidR="008E67EA" w:rsidRPr="005C7298" w:rsidRDefault="008E67EA" w:rsidP="00B44A74">
            <w:pPr>
              <w:spacing w:line="280" w:lineRule="exact"/>
              <w:rPr>
                <w:rFonts w:cs="Arial"/>
                <w:sz w:val="20"/>
                <w:szCs w:val="20"/>
              </w:rPr>
            </w:pPr>
            <w:r w:rsidRPr="005C7298">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7E321C6B" w14:textId="77777777" w:rsidR="008E67EA" w:rsidRPr="00F37250" w:rsidRDefault="008E67EA" w:rsidP="00B44A74">
            <w:pPr>
              <w:spacing w:line="280" w:lineRule="exact"/>
              <w:rPr>
                <w:rFonts w:cs="Arial"/>
                <w:sz w:val="20"/>
                <w:szCs w:val="20"/>
              </w:rPr>
            </w:pPr>
            <w:r w:rsidRPr="00F37250">
              <w:rPr>
                <w:rFonts w:cs="Arial"/>
                <w:sz w:val="20"/>
                <w:szCs w:val="20"/>
              </w:rPr>
              <w:t xml:space="preserve">DO NOT place baits unless in tamper-resistant bait stations. </w:t>
            </w:r>
          </w:p>
          <w:p w14:paraId="63792929" w14:textId="77777777" w:rsidR="008E67EA" w:rsidRPr="00F37250" w:rsidRDefault="008E67EA" w:rsidP="00B44A74">
            <w:pPr>
              <w:spacing w:line="280" w:lineRule="exact"/>
              <w:rPr>
                <w:rFonts w:cs="Arial"/>
                <w:sz w:val="20"/>
                <w:szCs w:val="20"/>
              </w:rPr>
            </w:pPr>
            <w:r w:rsidRPr="00F37250">
              <w:rPr>
                <w:rFonts w:cs="Arial"/>
                <w:sz w:val="20"/>
                <w:szCs w:val="20"/>
              </w:rPr>
              <w:t>DO NOT place bait stations outdoors around buildings for control of mice.</w:t>
            </w:r>
          </w:p>
          <w:p w14:paraId="3A2CF737" w14:textId="77777777" w:rsidR="008E67EA" w:rsidRPr="00F37250" w:rsidRDefault="008E67EA" w:rsidP="00B44A74">
            <w:pPr>
              <w:spacing w:line="280" w:lineRule="exact"/>
              <w:rPr>
                <w:rFonts w:cs="Arial"/>
                <w:sz w:val="20"/>
                <w:szCs w:val="20"/>
              </w:rPr>
            </w:pPr>
            <w:r w:rsidRPr="00F37250">
              <w:rPr>
                <w:rFonts w:cs="Arial"/>
                <w:sz w:val="20"/>
                <w:szCs w:val="20"/>
              </w:rPr>
              <w:t>DO NOT place bait stations more than 2 meters from buildings.</w:t>
            </w:r>
          </w:p>
          <w:p w14:paraId="6A14D357" w14:textId="77777777" w:rsidR="008E67EA" w:rsidRPr="00F37250" w:rsidRDefault="008E67EA" w:rsidP="00B44A74">
            <w:pPr>
              <w:spacing w:line="280" w:lineRule="exact"/>
              <w:rPr>
                <w:rFonts w:cs="Arial"/>
                <w:sz w:val="20"/>
                <w:szCs w:val="20"/>
              </w:rPr>
            </w:pPr>
            <w:r w:rsidRPr="00F37250">
              <w:rPr>
                <w:rFonts w:cs="Arial"/>
                <w:sz w:val="20"/>
                <w:szCs w:val="20"/>
              </w:rPr>
              <w:t>DO NOT bait in areas where wildlife may be collected for human consumption.</w:t>
            </w:r>
          </w:p>
          <w:p w14:paraId="3BFCB30E" w14:textId="77777777" w:rsidR="008E67EA" w:rsidRPr="00F37250" w:rsidRDefault="008E67EA" w:rsidP="00B44A74">
            <w:pPr>
              <w:spacing w:line="280" w:lineRule="exact"/>
              <w:rPr>
                <w:rFonts w:cs="Arial"/>
                <w:sz w:val="20"/>
                <w:szCs w:val="20"/>
              </w:rPr>
            </w:pPr>
            <w:r w:rsidRPr="00F37250">
              <w:rPr>
                <w:rFonts w:cs="Arial"/>
                <w:sz w:val="20"/>
                <w:szCs w:val="20"/>
              </w:rPr>
              <w:t>DO NOT place baits in and around animal, livestock and poultry houses, associated equipment, and food and feed processing areas.</w:t>
            </w:r>
          </w:p>
          <w:p w14:paraId="686E02FD" w14:textId="77777777" w:rsidR="008E67EA" w:rsidRPr="00F37250" w:rsidRDefault="008E67EA" w:rsidP="00B44A74">
            <w:pPr>
              <w:spacing w:line="280" w:lineRule="exact"/>
              <w:rPr>
                <w:rFonts w:cs="Arial"/>
                <w:sz w:val="20"/>
                <w:szCs w:val="20"/>
              </w:rPr>
            </w:pPr>
            <w:r w:rsidRPr="00F37250">
              <w:rPr>
                <w:rFonts w:cs="Arial"/>
                <w:sz w:val="20"/>
                <w:szCs w:val="20"/>
              </w:rPr>
              <w:t>DO NOT apply this product directly into burrows.</w:t>
            </w:r>
          </w:p>
          <w:p w14:paraId="5F759B1F" w14:textId="77777777" w:rsidR="008E67EA" w:rsidRPr="00F37250" w:rsidRDefault="008E67EA" w:rsidP="00B44A74">
            <w:pPr>
              <w:spacing w:line="280" w:lineRule="exact"/>
              <w:rPr>
                <w:rFonts w:cs="Arial"/>
                <w:sz w:val="20"/>
                <w:szCs w:val="20"/>
              </w:rPr>
            </w:pPr>
            <w:r w:rsidRPr="00F37250">
              <w:rPr>
                <w:rFonts w:cs="Arial"/>
                <w:sz w:val="20"/>
                <w:szCs w:val="20"/>
              </w:rPr>
              <w:t>DO NOT use the product in pulsed baiting treatments.</w:t>
            </w:r>
          </w:p>
        </w:tc>
      </w:tr>
      <w:tr w:rsidR="008E67EA" w:rsidRPr="005C7298" w14:paraId="13220119" w14:textId="77777777" w:rsidTr="00B44A74">
        <w:trPr>
          <w:jc w:val="center"/>
        </w:trPr>
        <w:tc>
          <w:tcPr>
            <w:tcW w:w="2415" w:type="dxa"/>
            <w:tcBorders>
              <w:top w:val="single" w:sz="4" w:space="0" w:color="auto"/>
              <w:left w:val="nil"/>
              <w:bottom w:val="single" w:sz="4" w:space="0" w:color="auto"/>
              <w:right w:val="nil"/>
            </w:tcBorders>
          </w:tcPr>
          <w:p w14:paraId="74FD2DC3" w14:textId="77777777" w:rsidR="008E67EA" w:rsidRPr="005C7298"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FD17FD6" w14:textId="77777777" w:rsidR="008E67EA" w:rsidRPr="00F37250" w:rsidRDefault="008E67EA" w:rsidP="00B44A74">
            <w:pPr>
              <w:spacing w:line="280" w:lineRule="exact"/>
              <w:rPr>
                <w:rFonts w:cs="Arial"/>
                <w:sz w:val="20"/>
                <w:szCs w:val="20"/>
              </w:rPr>
            </w:pPr>
          </w:p>
        </w:tc>
      </w:tr>
      <w:tr w:rsidR="008E67EA" w:rsidRPr="005C7298" w14:paraId="0062880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A90D315" w14:textId="77777777" w:rsidR="008E67EA" w:rsidRPr="005C7298" w:rsidRDefault="008E67EA" w:rsidP="00B44A74">
            <w:pPr>
              <w:spacing w:line="280" w:lineRule="exact"/>
              <w:rPr>
                <w:rFonts w:cs="Arial"/>
                <w:sz w:val="20"/>
                <w:szCs w:val="20"/>
              </w:rPr>
            </w:pPr>
            <w:r w:rsidRPr="005C7298">
              <w:rPr>
                <w:rFonts w:cs="Arial"/>
                <w:sz w:val="20"/>
                <w:szCs w:val="20"/>
              </w:rPr>
              <w:t>How to Use</w:t>
            </w:r>
          </w:p>
        </w:tc>
        <w:tc>
          <w:tcPr>
            <w:tcW w:w="7755" w:type="dxa"/>
            <w:tcBorders>
              <w:top w:val="single" w:sz="4" w:space="0" w:color="auto"/>
              <w:left w:val="single" w:sz="4" w:space="0" w:color="auto"/>
              <w:bottom w:val="single" w:sz="4" w:space="0" w:color="auto"/>
              <w:right w:val="single" w:sz="4" w:space="0" w:color="auto"/>
            </w:tcBorders>
          </w:tcPr>
          <w:p w14:paraId="40FE8C8B" w14:textId="77777777" w:rsidR="008E67EA" w:rsidRPr="00F37250" w:rsidRDefault="008E67EA" w:rsidP="00B44A74">
            <w:pPr>
              <w:spacing w:line="280" w:lineRule="exact"/>
              <w:rPr>
                <w:rFonts w:cs="Arial"/>
                <w:sz w:val="20"/>
                <w:szCs w:val="20"/>
              </w:rPr>
            </w:pPr>
            <w:r w:rsidRPr="00B832BB">
              <w:rPr>
                <w:rFonts w:cs="Arial"/>
                <w:sz w:val="20"/>
                <w:szCs w:val="20"/>
              </w:rPr>
              <w:t>[This section contains an attachment below]</w:t>
            </w:r>
          </w:p>
        </w:tc>
      </w:tr>
      <w:tr w:rsidR="008E67EA" w:rsidRPr="005C7298" w14:paraId="7AD17761" w14:textId="77777777" w:rsidTr="00B44A74">
        <w:trPr>
          <w:jc w:val="center"/>
        </w:trPr>
        <w:tc>
          <w:tcPr>
            <w:tcW w:w="2415" w:type="dxa"/>
            <w:tcBorders>
              <w:top w:val="single" w:sz="4" w:space="0" w:color="auto"/>
              <w:left w:val="nil"/>
              <w:bottom w:val="single" w:sz="4" w:space="0" w:color="auto"/>
              <w:right w:val="nil"/>
            </w:tcBorders>
          </w:tcPr>
          <w:p w14:paraId="5F08BAEC" w14:textId="77777777" w:rsidR="008E67EA" w:rsidRPr="005C7298"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CF7D5C9" w14:textId="77777777" w:rsidR="008E67EA" w:rsidRPr="00F37250" w:rsidRDefault="008E67EA" w:rsidP="00B44A74">
            <w:pPr>
              <w:spacing w:line="280" w:lineRule="exact"/>
              <w:rPr>
                <w:rFonts w:cs="Arial"/>
                <w:sz w:val="20"/>
                <w:szCs w:val="20"/>
              </w:rPr>
            </w:pPr>
          </w:p>
        </w:tc>
      </w:tr>
      <w:tr w:rsidR="008E67EA" w:rsidRPr="005C7298" w14:paraId="2C88968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0DDABB7" w14:textId="77777777" w:rsidR="008E67EA" w:rsidRPr="005C7298" w:rsidRDefault="008E67EA" w:rsidP="00B44A74">
            <w:pPr>
              <w:spacing w:line="280" w:lineRule="exact"/>
              <w:rPr>
                <w:rFonts w:cs="Arial"/>
                <w:sz w:val="20"/>
                <w:szCs w:val="20"/>
              </w:rPr>
            </w:pPr>
            <w:r w:rsidRPr="005C7298">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63115F79" w14:textId="77777777" w:rsidR="008E67EA" w:rsidRPr="00F37250" w:rsidRDefault="008E67EA" w:rsidP="00B44A74">
            <w:pPr>
              <w:spacing w:line="280" w:lineRule="exact"/>
              <w:rPr>
                <w:rFonts w:cs="Arial"/>
                <w:sz w:val="20"/>
                <w:szCs w:val="20"/>
              </w:rPr>
            </w:pPr>
          </w:p>
        </w:tc>
      </w:tr>
      <w:tr w:rsidR="008E67EA" w:rsidRPr="005C7298" w14:paraId="7F8A65DC" w14:textId="77777777" w:rsidTr="00B44A74">
        <w:trPr>
          <w:jc w:val="center"/>
        </w:trPr>
        <w:tc>
          <w:tcPr>
            <w:tcW w:w="2415" w:type="dxa"/>
            <w:tcBorders>
              <w:top w:val="single" w:sz="4" w:space="0" w:color="auto"/>
              <w:left w:val="nil"/>
              <w:bottom w:val="single" w:sz="4" w:space="0" w:color="auto"/>
              <w:right w:val="nil"/>
            </w:tcBorders>
          </w:tcPr>
          <w:p w14:paraId="0F0460CA" w14:textId="77777777" w:rsidR="008E67EA" w:rsidRPr="005C7298"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601D663" w14:textId="77777777" w:rsidR="008E67EA" w:rsidRPr="00F37250" w:rsidRDefault="008E67EA" w:rsidP="00B44A74">
            <w:pPr>
              <w:spacing w:line="280" w:lineRule="exact"/>
              <w:rPr>
                <w:rFonts w:cs="Arial"/>
                <w:sz w:val="20"/>
                <w:szCs w:val="20"/>
              </w:rPr>
            </w:pPr>
          </w:p>
        </w:tc>
      </w:tr>
      <w:tr w:rsidR="008E67EA" w:rsidRPr="005C7298" w14:paraId="44DB1B3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B729737" w14:textId="77777777" w:rsidR="008E67EA" w:rsidRPr="005C7298" w:rsidRDefault="008E67EA" w:rsidP="00B44A74">
            <w:pPr>
              <w:spacing w:line="280" w:lineRule="exact"/>
              <w:rPr>
                <w:rFonts w:cs="Arial"/>
                <w:sz w:val="20"/>
                <w:szCs w:val="20"/>
              </w:rPr>
            </w:pPr>
            <w:r w:rsidRPr="005C7298">
              <w:rPr>
                <w:rFonts w:cs="Arial"/>
                <w:sz w:val="20"/>
                <w:szCs w:val="20"/>
              </w:rPr>
              <w:t>How to Prepare</w:t>
            </w:r>
          </w:p>
        </w:tc>
        <w:tc>
          <w:tcPr>
            <w:tcW w:w="7755" w:type="dxa"/>
            <w:tcBorders>
              <w:top w:val="single" w:sz="4" w:space="0" w:color="auto"/>
              <w:left w:val="single" w:sz="4" w:space="0" w:color="auto"/>
              <w:bottom w:val="single" w:sz="4" w:space="0" w:color="auto"/>
              <w:right w:val="single" w:sz="4" w:space="0" w:color="auto"/>
            </w:tcBorders>
          </w:tcPr>
          <w:p w14:paraId="76200134" w14:textId="77777777" w:rsidR="008E67EA" w:rsidRPr="00F37250" w:rsidRDefault="008E67EA" w:rsidP="00B44A74">
            <w:pPr>
              <w:spacing w:line="280" w:lineRule="exact"/>
              <w:rPr>
                <w:rFonts w:cs="Arial"/>
                <w:sz w:val="20"/>
                <w:szCs w:val="20"/>
              </w:rPr>
            </w:pPr>
          </w:p>
        </w:tc>
      </w:tr>
      <w:tr w:rsidR="008E67EA" w:rsidRPr="005C7298" w14:paraId="48904B15" w14:textId="77777777" w:rsidTr="00B44A74">
        <w:trPr>
          <w:jc w:val="center"/>
        </w:trPr>
        <w:tc>
          <w:tcPr>
            <w:tcW w:w="2415" w:type="dxa"/>
            <w:tcBorders>
              <w:top w:val="single" w:sz="4" w:space="0" w:color="auto"/>
              <w:left w:val="nil"/>
              <w:bottom w:val="single" w:sz="4" w:space="0" w:color="auto"/>
              <w:right w:val="nil"/>
            </w:tcBorders>
          </w:tcPr>
          <w:p w14:paraId="24AF88B6" w14:textId="77777777" w:rsidR="008E67EA" w:rsidRPr="005C7298"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D1C7A64" w14:textId="77777777" w:rsidR="008E67EA" w:rsidRPr="00F37250" w:rsidRDefault="008E67EA" w:rsidP="00B44A74">
            <w:pPr>
              <w:spacing w:line="280" w:lineRule="exact"/>
              <w:rPr>
                <w:rFonts w:cs="Arial"/>
                <w:sz w:val="20"/>
                <w:szCs w:val="20"/>
              </w:rPr>
            </w:pPr>
          </w:p>
        </w:tc>
      </w:tr>
      <w:tr w:rsidR="008E67EA" w:rsidRPr="005C7298" w14:paraId="6F0104D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29D4F1A" w14:textId="77777777" w:rsidR="008E67EA" w:rsidRPr="005C7298" w:rsidRDefault="008E67EA" w:rsidP="00B44A74">
            <w:pPr>
              <w:spacing w:line="280" w:lineRule="exact"/>
              <w:rPr>
                <w:rFonts w:cs="Arial"/>
                <w:sz w:val="20"/>
                <w:szCs w:val="20"/>
              </w:rPr>
            </w:pPr>
            <w:r w:rsidRPr="005C7298">
              <w:rPr>
                <w:rFonts w:cs="Arial"/>
                <w:sz w:val="20"/>
                <w:szCs w:val="20"/>
              </w:rPr>
              <w:t>Resistance Warning:</w:t>
            </w:r>
          </w:p>
        </w:tc>
        <w:tc>
          <w:tcPr>
            <w:tcW w:w="7755" w:type="dxa"/>
            <w:tcBorders>
              <w:top w:val="single" w:sz="4" w:space="0" w:color="auto"/>
              <w:left w:val="single" w:sz="4" w:space="0" w:color="auto"/>
              <w:bottom w:val="single" w:sz="4" w:space="0" w:color="auto"/>
              <w:right w:val="single" w:sz="4" w:space="0" w:color="auto"/>
            </w:tcBorders>
          </w:tcPr>
          <w:p w14:paraId="47F0768E" w14:textId="77777777" w:rsidR="008E67EA" w:rsidRPr="00F37250" w:rsidRDefault="008E67EA" w:rsidP="00B44A74">
            <w:pPr>
              <w:spacing w:line="280" w:lineRule="exact"/>
              <w:rPr>
                <w:rFonts w:cs="Arial"/>
                <w:sz w:val="20"/>
                <w:szCs w:val="20"/>
              </w:rPr>
            </w:pPr>
          </w:p>
        </w:tc>
      </w:tr>
      <w:tr w:rsidR="008E67EA" w:rsidRPr="005C7298" w14:paraId="5912AF12" w14:textId="77777777" w:rsidTr="00B44A74">
        <w:trPr>
          <w:jc w:val="center"/>
        </w:trPr>
        <w:tc>
          <w:tcPr>
            <w:tcW w:w="2415" w:type="dxa"/>
            <w:tcBorders>
              <w:top w:val="single" w:sz="4" w:space="0" w:color="auto"/>
              <w:left w:val="nil"/>
              <w:bottom w:val="single" w:sz="4" w:space="0" w:color="auto"/>
              <w:right w:val="nil"/>
            </w:tcBorders>
          </w:tcPr>
          <w:p w14:paraId="1522C0F6" w14:textId="77777777" w:rsidR="008E67EA" w:rsidRPr="005C7298"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1515ABB" w14:textId="77777777" w:rsidR="008E67EA" w:rsidRPr="00F37250" w:rsidRDefault="008E67EA" w:rsidP="00B44A74">
            <w:pPr>
              <w:spacing w:line="280" w:lineRule="exact"/>
              <w:rPr>
                <w:rFonts w:cs="Arial"/>
                <w:sz w:val="20"/>
                <w:szCs w:val="20"/>
              </w:rPr>
            </w:pPr>
          </w:p>
        </w:tc>
      </w:tr>
      <w:tr w:rsidR="008E67EA" w:rsidRPr="005C7298" w14:paraId="28C220E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CD3182F" w14:textId="77777777" w:rsidR="008E67EA" w:rsidRPr="005C7298" w:rsidRDefault="008E67EA" w:rsidP="00B44A74">
            <w:pPr>
              <w:spacing w:line="280" w:lineRule="exact"/>
              <w:rPr>
                <w:rFonts w:cs="Arial"/>
                <w:sz w:val="20"/>
                <w:szCs w:val="20"/>
              </w:rPr>
            </w:pPr>
            <w:r w:rsidRPr="005C7298">
              <w:rPr>
                <w:rFonts w:cs="Arial"/>
                <w:sz w:val="20"/>
                <w:szCs w:val="20"/>
              </w:rPr>
              <w:t>Precautions:</w:t>
            </w:r>
          </w:p>
        </w:tc>
        <w:tc>
          <w:tcPr>
            <w:tcW w:w="7755" w:type="dxa"/>
            <w:tcBorders>
              <w:top w:val="single" w:sz="4" w:space="0" w:color="auto"/>
              <w:left w:val="single" w:sz="4" w:space="0" w:color="auto"/>
              <w:bottom w:val="single" w:sz="4" w:space="0" w:color="auto"/>
              <w:right w:val="single" w:sz="4" w:space="0" w:color="auto"/>
            </w:tcBorders>
          </w:tcPr>
          <w:p w14:paraId="0953AA54" w14:textId="77777777" w:rsidR="008E67EA" w:rsidRPr="00F37250" w:rsidRDefault="008E67EA" w:rsidP="00B44A74">
            <w:pPr>
              <w:spacing w:line="280" w:lineRule="exact"/>
              <w:rPr>
                <w:rFonts w:cs="Arial"/>
                <w:sz w:val="20"/>
                <w:szCs w:val="20"/>
              </w:rPr>
            </w:pPr>
            <w:r w:rsidRPr="00F37250">
              <w:rPr>
                <w:rFonts w:cs="Arial"/>
                <w:sz w:val="20"/>
                <w:szCs w:val="20"/>
              </w:rPr>
              <w:t>CAUTION</w:t>
            </w:r>
          </w:p>
          <w:p w14:paraId="69BA1787" w14:textId="77777777" w:rsidR="008E67EA" w:rsidRPr="00F37250" w:rsidRDefault="008E67EA" w:rsidP="00B44A74">
            <w:pPr>
              <w:spacing w:line="280" w:lineRule="exact"/>
              <w:rPr>
                <w:rFonts w:cs="Arial"/>
                <w:sz w:val="20"/>
                <w:szCs w:val="20"/>
              </w:rPr>
            </w:pPr>
            <w:r w:rsidRPr="00F37250">
              <w:rPr>
                <w:rFonts w:cs="Arial"/>
                <w:sz w:val="20"/>
                <w:szCs w:val="20"/>
              </w:rPr>
              <w:t>Caution should be used when baiting near areas where hunting of wildlife may occur. Careful consideration of bait placement is necessary to avoid secondary exposure from contaminated wildlife that may be consumed.</w:t>
            </w:r>
          </w:p>
          <w:p w14:paraId="23258D08" w14:textId="77777777" w:rsidR="008E67EA" w:rsidRDefault="008E67EA" w:rsidP="00B44A74">
            <w:pPr>
              <w:spacing w:line="280" w:lineRule="exact"/>
              <w:rPr>
                <w:rFonts w:cs="Arial"/>
                <w:sz w:val="20"/>
                <w:szCs w:val="20"/>
              </w:rPr>
            </w:pPr>
            <w:r w:rsidRPr="00F37250">
              <w:rPr>
                <w:rFonts w:cs="Arial"/>
                <w:sz w:val="20"/>
                <w:szCs w:val="20"/>
              </w:rPr>
              <w:t>DO NOT place bait in areas where there is a possibility of contaminating food, livestock feed or surfaces that come in direct contact with food or livestock feed.</w:t>
            </w:r>
          </w:p>
          <w:p w14:paraId="72A03076" w14:textId="77777777" w:rsidR="008E67EA" w:rsidRPr="00F37250" w:rsidRDefault="008E67EA" w:rsidP="00B44A74">
            <w:pPr>
              <w:spacing w:line="280" w:lineRule="exact"/>
              <w:rPr>
                <w:rFonts w:cs="Arial"/>
                <w:sz w:val="20"/>
                <w:szCs w:val="20"/>
              </w:rPr>
            </w:pPr>
          </w:p>
          <w:p w14:paraId="067026CA" w14:textId="77777777" w:rsidR="008E67EA" w:rsidRPr="00F37250" w:rsidRDefault="008E67EA" w:rsidP="00B44A74">
            <w:pPr>
              <w:spacing w:line="280" w:lineRule="exact"/>
              <w:rPr>
                <w:rFonts w:cs="Arial"/>
                <w:sz w:val="20"/>
                <w:szCs w:val="20"/>
              </w:rPr>
            </w:pPr>
            <w:r w:rsidRPr="00F37250">
              <w:rPr>
                <w:rFonts w:cs="Arial"/>
                <w:sz w:val="20"/>
                <w:szCs w:val="20"/>
              </w:rPr>
              <w:t>PROTECTION OF LIVESTOCK AND WILDLIFE</w:t>
            </w:r>
          </w:p>
          <w:p w14:paraId="178CDA0B" w14:textId="77777777" w:rsidR="008E67EA" w:rsidRPr="00F37250" w:rsidRDefault="008E67EA" w:rsidP="00B44A74">
            <w:pPr>
              <w:spacing w:line="280" w:lineRule="exact"/>
              <w:rPr>
                <w:rFonts w:cs="Arial"/>
                <w:sz w:val="20"/>
                <w:szCs w:val="20"/>
              </w:rPr>
            </w:pPr>
            <w:r w:rsidRPr="00F37250">
              <w:rPr>
                <w:rFonts w:cs="Arial"/>
                <w:sz w:val="20"/>
                <w:szCs w:val="20"/>
              </w:rPr>
              <w:t>Hazardous to livestock, poultry and wildlife. DO NOT place baits in locations that are accessible to domestic animals, livestock, non-target native animals or birds.</w:t>
            </w:r>
          </w:p>
          <w:p w14:paraId="1195967D" w14:textId="77777777" w:rsidR="008E67EA" w:rsidRPr="00F37250" w:rsidRDefault="008E67EA" w:rsidP="00B44A74">
            <w:pPr>
              <w:spacing w:line="280" w:lineRule="exact"/>
              <w:rPr>
                <w:rFonts w:cs="Arial"/>
                <w:sz w:val="20"/>
                <w:szCs w:val="20"/>
              </w:rPr>
            </w:pPr>
            <w:r w:rsidRPr="00F37250">
              <w:rPr>
                <w:rFonts w:cs="Arial"/>
                <w:sz w:val="20"/>
                <w:szCs w:val="20"/>
              </w:rPr>
              <w:t xml:space="preserve">Search for and dispose of dead rodents and slugs/snails in the infested area at each visit to prevent secondary poisoning. In case slugs/snails are present, move bait station to another location within the rodent infested site, away from slugs/snails. </w:t>
            </w:r>
            <w:r w:rsidRPr="00F37250">
              <w:rPr>
                <w:rFonts w:cs="Arial"/>
                <w:sz w:val="20"/>
                <w:szCs w:val="20"/>
              </w:rPr>
              <w:lastRenderedPageBreak/>
              <w:t xml:space="preserve">Dispose of slugs/snails, dead rodents and uneaten bait by wrapping in paper, placing in plastic bag and putting in garbage. </w:t>
            </w:r>
          </w:p>
          <w:p w14:paraId="32BAFF9E" w14:textId="77777777" w:rsidR="008E67EA" w:rsidRPr="00F37250" w:rsidRDefault="008E67EA" w:rsidP="00B44A74">
            <w:pPr>
              <w:spacing w:line="280" w:lineRule="exact"/>
              <w:rPr>
                <w:rFonts w:cs="Arial"/>
                <w:sz w:val="20"/>
                <w:szCs w:val="20"/>
              </w:rPr>
            </w:pPr>
            <w:r w:rsidRPr="00F37250">
              <w:rPr>
                <w:rFonts w:cs="Arial"/>
                <w:sz w:val="20"/>
                <w:szCs w:val="20"/>
              </w:rPr>
              <w:t xml:space="preserve">DO NOT allow livestock or poultry to consume dead or moribund </w:t>
            </w:r>
            <w:r>
              <w:rPr>
                <w:rFonts w:cs="Arial"/>
                <w:sz w:val="20"/>
                <w:szCs w:val="20"/>
              </w:rPr>
              <w:t>rats and mice</w:t>
            </w:r>
            <w:r w:rsidRPr="00F37250">
              <w:rPr>
                <w:rFonts w:cs="Arial"/>
                <w:sz w:val="20"/>
                <w:szCs w:val="20"/>
              </w:rPr>
              <w:t>. All dead or moribund animals and rodent faeces from baited rodents MUST be removed from areas accessible to livestock or poultry.</w:t>
            </w:r>
          </w:p>
          <w:p w14:paraId="4AED31CE" w14:textId="77777777" w:rsidR="008E67EA" w:rsidRPr="008F64B3" w:rsidRDefault="008E67EA" w:rsidP="00B44A74">
            <w:pPr>
              <w:spacing w:line="280" w:lineRule="exact"/>
              <w:rPr>
                <w:rFonts w:cs="Arial"/>
                <w:sz w:val="20"/>
                <w:szCs w:val="20"/>
              </w:rPr>
            </w:pPr>
            <w:r w:rsidRPr="008F64B3">
              <w:rPr>
                <w:rFonts w:cs="Arial"/>
                <w:sz w:val="20"/>
                <w:szCs w:val="20"/>
              </w:rPr>
              <w:t>DO NOT let cats, dogs, birds and other wildlife eat poisoned mice and rats.</w:t>
            </w:r>
          </w:p>
          <w:p w14:paraId="089C8AC6" w14:textId="0CE8907C" w:rsidR="008E67EA" w:rsidRDefault="008E67EA" w:rsidP="00B44A74">
            <w:pPr>
              <w:spacing w:line="280" w:lineRule="exact"/>
              <w:rPr>
                <w:rFonts w:cs="Arial"/>
                <w:sz w:val="20"/>
                <w:szCs w:val="20"/>
              </w:rPr>
            </w:pPr>
            <w:r w:rsidRPr="008F64B3">
              <w:rPr>
                <w:rFonts w:cs="Arial"/>
                <w:sz w:val="20"/>
                <w:szCs w:val="20"/>
              </w:rPr>
              <w:t>The use of this product for the control of protected native rodents and rodent-like animals requires permission from wildlife authorities.</w:t>
            </w:r>
          </w:p>
          <w:p w14:paraId="788486B9" w14:textId="77777777" w:rsidR="008E67EA" w:rsidRPr="00F37250" w:rsidRDefault="008E67EA" w:rsidP="00B44A74">
            <w:pPr>
              <w:spacing w:line="280" w:lineRule="exact"/>
              <w:rPr>
                <w:rFonts w:cs="Arial"/>
                <w:sz w:val="20"/>
                <w:szCs w:val="20"/>
              </w:rPr>
            </w:pPr>
          </w:p>
          <w:p w14:paraId="0F315B46" w14:textId="77777777" w:rsidR="008E67EA" w:rsidRPr="00F37250" w:rsidRDefault="008E67EA" w:rsidP="00B44A74">
            <w:pPr>
              <w:spacing w:line="280" w:lineRule="exact"/>
              <w:rPr>
                <w:rFonts w:cs="Arial"/>
                <w:sz w:val="20"/>
                <w:szCs w:val="20"/>
              </w:rPr>
            </w:pPr>
            <w:r w:rsidRPr="00F37250">
              <w:rPr>
                <w:rFonts w:cs="Arial"/>
                <w:sz w:val="20"/>
                <w:szCs w:val="20"/>
              </w:rPr>
              <w:t>PROTECTION OF FISH, CRUSTACEANS AND ENVIRONMENT</w:t>
            </w:r>
          </w:p>
          <w:p w14:paraId="73874DD7" w14:textId="77777777" w:rsidR="008E67EA" w:rsidRPr="00F37250" w:rsidRDefault="008E67EA" w:rsidP="00B44A74">
            <w:pPr>
              <w:spacing w:line="280" w:lineRule="exact"/>
              <w:rPr>
                <w:rFonts w:cs="Arial"/>
                <w:sz w:val="20"/>
                <w:szCs w:val="20"/>
                <w:highlight w:val="yellow"/>
              </w:rPr>
            </w:pPr>
            <w:r w:rsidRPr="00F37250">
              <w:rPr>
                <w:rFonts w:cs="Arial"/>
                <w:sz w:val="20"/>
                <w:szCs w:val="20"/>
              </w:rPr>
              <w:t>Very toxic to aquatic life. DO NOT contaminate wetlands or watercourses with this product or used containers. Place the bait stations in areas not liable to flooding. When placing bait stations close to water drainage systems, ensure that bait contact with water is avoided.</w:t>
            </w:r>
          </w:p>
        </w:tc>
      </w:tr>
      <w:tr w:rsidR="008E67EA" w:rsidRPr="005C7298" w14:paraId="5E524DBC" w14:textId="77777777" w:rsidTr="00B44A74">
        <w:trPr>
          <w:jc w:val="center"/>
        </w:trPr>
        <w:tc>
          <w:tcPr>
            <w:tcW w:w="2415" w:type="dxa"/>
            <w:tcBorders>
              <w:top w:val="single" w:sz="4" w:space="0" w:color="auto"/>
              <w:left w:val="nil"/>
              <w:bottom w:val="single" w:sz="4" w:space="0" w:color="auto"/>
              <w:right w:val="nil"/>
            </w:tcBorders>
          </w:tcPr>
          <w:p w14:paraId="3A74F1B2" w14:textId="77777777" w:rsidR="008E67EA" w:rsidRPr="005C7298"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36900D9" w14:textId="77777777" w:rsidR="008E67EA" w:rsidRPr="00F37250" w:rsidRDefault="008E67EA" w:rsidP="00B44A74">
            <w:pPr>
              <w:spacing w:line="280" w:lineRule="exact"/>
              <w:rPr>
                <w:rFonts w:cs="Arial"/>
                <w:sz w:val="20"/>
                <w:szCs w:val="20"/>
              </w:rPr>
            </w:pPr>
          </w:p>
        </w:tc>
      </w:tr>
      <w:tr w:rsidR="008E67EA" w:rsidRPr="005C7298" w14:paraId="3624A72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67D1B63" w14:textId="77777777" w:rsidR="008E67EA" w:rsidRPr="005C7298" w:rsidRDefault="008E67EA" w:rsidP="00B44A74">
            <w:pPr>
              <w:spacing w:line="280" w:lineRule="exact"/>
              <w:rPr>
                <w:rFonts w:cs="Arial"/>
                <w:sz w:val="20"/>
                <w:szCs w:val="20"/>
              </w:rPr>
            </w:pPr>
            <w:r w:rsidRPr="005C7298">
              <w:rPr>
                <w:rFonts w:cs="Arial"/>
                <w:sz w:val="20"/>
                <w:szCs w:val="20"/>
              </w:rPr>
              <w:t>Protections:</w:t>
            </w:r>
          </w:p>
        </w:tc>
        <w:tc>
          <w:tcPr>
            <w:tcW w:w="7755" w:type="dxa"/>
            <w:tcBorders>
              <w:top w:val="single" w:sz="4" w:space="0" w:color="auto"/>
              <w:left w:val="single" w:sz="4" w:space="0" w:color="auto"/>
              <w:bottom w:val="single" w:sz="4" w:space="0" w:color="auto"/>
              <w:right w:val="single" w:sz="4" w:space="0" w:color="auto"/>
            </w:tcBorders>
          </w:tcPr>
          <w:p w14:paraId="589062A1" w14:textId="77777777" w:rsidR="008E67EA" w:rsidRPr="00123002" w:rsidRDefault="008E67EA" w:rsidP="00B44A74">
            <w:pPr>
              <w:spacing w:line="280" w:lineRule="exact"/>
              <w:rPr>
                <w:rFonts w:cs="Arial"/>
                <w:sz w:val="20"/>
                <w:szCs w:val="20"/>
              </w:rPr>
            </w:pPr>
          </w:p>
        </w:tc>
      </w:tr>
      <w:tr w:rsidR="008E67EA" w:rsidRPr="005C7298" w14:paraId="65D46422" w14:textId="77777777" w:rsidTr="00B44A74">
        <w:trPr>
          <w:jc w:val="center"/>
        </w:trPr>
        <w:tc>
          <w:tcPr>
            <w:tcW w:w="2415" w:type="dxa"/>
            <w:tcBorders>
              <w:top w:val="single" w:sz="4" w:space="0" w:color="auto"/>
              <w:left w:val="nil"/>
              <w:bottom w:val="single" w:sz="4" w:space="0" w:color="auto"/>
              <w:right w:val="nil"/>
            </w:tcBorders>
          </w:tcPr>
          <w:p w14:paraId="372CABBA" w14:textId="77777777" w:rsidR="008E67EA" w:rsidRPr="005C7298"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7C4D962" w14:textId="77777777" w:rsidR="008E67EA" w:rsidRPr="00F37250" w:rsidRDefault="008E67EA" w:rsidP="00B44A74">
            <w:pPr>
              <w:spacing w:line="280" w:lineRule="exact"/>
              <w:rPr>
                <w:rFonts w:cs="Arial"/>
                <w:sz w:val="20"/>
                <w:szCs w:val="20"/>
              </w:rPr>
            </w:pPr>
          </w:p>
        </w:tc>
      </w:tr>
      <w:tr w:rsidR="008E67EA" w:rsidRPr="005C7298" w14:paraId="4B14CFF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0125CE5" w14:textId="77777777" w:rsidR="008E67EA" w:rsidRPr="005C7298" w:rsidRDefault="008E67EA" w:rsidP="00B44A74">
            <w:pPr>
              <w:spacing w:line="280" w:lineRule="exact"/>
              <w:rPr>
                <w:rFonts w:cs="Arial"/>
                <w:sz w:val="20"/>
                <w:szCs w:val="20"/>
              </w:rPr>
            </w:pPr>
            <w:r w:rsidRPr="005C7298">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7B829049" w14:textId="77777777" w:rsidR="008E67EA" w:rsidRPr="00F37250" w:rsidRDefault="008E67EA" w:rsidP="00B44A74">
            <w:pPr>
              <w:spacing w:line="280" w:lineRule="exact"/>
              <w:rPr>
                <w:rFonts w:cs="Arial"/>
                <w:sz w:val="20"/>
                <w:szCs w:val="20"/>
              </w:rPr>
            </w:pPr>
            <w:r w:rsidRPr="00F37250">
              <w:rPr>
                <w:rFonts w:cs="Arial"/>
                <w:sz w:val="20"/>
                <w:szCs w:val="20"/>
              </w:rPr>
              <w:t>STORAGE AND DISPOSAL</w:t>
            </w:r>
          </w:p>
          <w:p w14:paraId="5AE62B37" w14:textId="0878E9C2" w:rsidR="008E67EA" w:rsidRPr="00F37250" w:rsidRDefault="008E67EA" w:rsidP="00B44A74">
            <w:pPr>
              <w:spacing w:line="280" w:lineRule="exact"/>
              <w:rPr>
                <w:rFonts w:cs="Arial"/>
                <w:sz w:val="20"/>
                <w:szCs w:val="20"/>
              </w:rPr>
            </w:pPr>
            <w:r w:rsidRPr="00F37250">
              <w:rPr>
                <w:rFonts w:cs="Arial"/>
                <w:sz w:val="20"/>
                <w:szCs w:val="20"/>
              </w:rPr>
              <w:t>Store in the closed original container, in a cool, dry place out of the reach of children. Do not store in direct sunlight. Dispose of empty containers</w:t>
            </w:r>
            <w:r>
              <w:rPr>
                <w:rFonts w:cs="Arial"/>
                <w:sz w:val="20"/>
                <w:szCs w:val="20"/>
              </w:rPr>
              <w:t xml:space="preserve"> and unused product</w:t>
            </w:r>
            <w:r w:rsidRPr="00F37250">
              <w:rPr>
                <w:rFonts w:cs="Arial"/>
                <w:sz w:val="20"/>
                <w:szCs w:val="20"/>
              </w:rPr>
              <w:t xml:space="preserve"> by wrapping in paper placing in plastic bag and putting in garbage.</w:t>
            </w:r>
          </w:p>
        </w:tc>
      </w:tr>
      <w:tr w:rsidR="008E67EA" w:rsidRPr="005C7298" w14:paraId="57A821E8" w14:textId="77777777" w:rsidTr="00B44A74">
        <w:trPr>
          <w:jc w:val="center"/>
        </w:trPr>
        <w:tc>
          <w:tcPr>
            <w:tcW w:w="2415" w:type="dxa"/>
            <w:tcBorders>
              <w:top w:val="single" w:sz="4" w:space="0" w:color="auto"/>
              <w:left w:val="nil"/>
              <w:bottom w:val="single" w:sz="4" w:space="0" w:color="auto"/>
              <w:right w:val="nil"/>
            </w:tcBorders>
          </w:tcPr>
          <w:p w14:paraId="787C3C81" w14:textId="77777777" w:rsidR="008E67EA" w:rsidRPr="005C7298"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12A1D05" w14:textId="77777777" w:rsidR="008E67EA" w:rsidRPr="00F37250" w:rsidRDefault="008E67EA" w:rsidP="00B44A74">
            <w:pPr>
              <w:spacing w:line="280" w:lineRule="exact"/>
              <w:rPr>
                <w:rFonts w:cs="Arial"/>
                <w:sz w:val="20"/>
                <w:szCs w:val="20"/>
              </w:rPr>
            </w:pPr>
          </w:p>
        </w:tc>
      </w:tr>
      <w:tr w:rsidR="008E67EA" w:rsidRPr="005C7298" w14:paraId="5FA8CD7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82999FF" w14:textId="77777777" w:rsidR="008E67EA" w:rsidRPr="005C7298" w:rsidRDefault="008E67EA" w:rsidP="00B44A74">
            <w:pPr>
              <w:spacing w:line="280" w:lineRule="exact"/>
              <w:rPr>
                <w:rFonts w:cs="Arial"/>
                <w:sz w:val="20"/>
                <w:szCs w:val="20"/>
              </w:rPr>
            </w:pPr>
            <w:r w:rsidRPr="005C7298">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1F05A7E0" w14:textId="77777777" w:rsidR="008E67EA" w:rsidRPr="00123002" w:rsidRDefault="008E67EA" w:rsidP="00B44A74">
            <w:pPr>
              <w:spacing w:line="280" w:lineRule="exact"/>
              <w:rPr>
                <w:rFonts w:cs="Arial"/>
                <w:sz w:val="20"/>
                <w:szCs w:val="20"/>
                <w:bdr w:val="none" w:sz="0" w:space="0" w:color="auto" w:frame="1"/>
                <w:lang w:val="en-GB" w:eastAsia="en-AU"/>
              </w:rPr>
            </w:pPr>
            <w:r w:rsidRPr="00F37250">
              <w:rPr>
                <w:rFonts w:cs="Arial"/>
                <w:sz w:val="20"/>
                <w:szCs w:val="20"/>
                <w:bdr w:val="none" w:sz="0" w:space="0" w:color="auto" w:frame="1"/>
                <w:lang w:val="en-GB" w:eastAsia="en-AU"/>
              </w:rPr>
              <w:t>SAFETY DIRECTIONS</w:t>
            </w:r>
          </w:p>
          <w:p w14:paraId="370606DB" w14:textId="77777777" w:rsidR="008E67EA" w:rsidRDefault="008E67EA" w:rsidP="00B44A74">
            <w:pPr>
              <w:spacing w:line="280" w:lineRule="exact"/>
              <w:rPr>
                <w:rFonts w:cs="Arial"/>
                <w:sz w:val="20"/>
                <w:szCs w:val="20"/>
              </w:rPr>
            </w:pPr>
            <w:r w:rsidRPr="00F37250">
              <w:rPr>
                <w:rFonts w:cs="Arial"/>
                <w:sz w:val="20"/>
                <w:szCs w:val="20"/>
              </w:rPr>
              <w:t>Repeated minor exposure may have a cumulative poisoning effect. Do not touch bait, use scoop or measure. When using the product wear disposable gloves. If on skin and after each baiting, wash thoroughly with soap and water.</w:t>
            </w:r>
          </w:p>
          <w:p w14:paraId="7D41C829" w14:textId="7E41429B" w:rsidR="008E67EA" w:rsidRPr="00F37250" w:rsidRDefault="008E67EA" w:rsidP="00B44A74">
            <w:pPr>
              <w:spacing w:line="280" w:lineRule="exact"/>
              <w:rPr>
                <w:rFonts w:cs="Arial"/>
                <w:sz w:val="20"/>
                <w:szCs w:val="20"/>
              </w:rPr>
            </w:pPr>
            <w:r w:rsidRPr="00F37250">
              <w:rPr>
                <w:rFonts w:cs="Arial"/>
                <w:sz w:val="20"/>
                <w:szCs w:val="20"/>
              </w:rPr>
              <w:t>During cleanup and disposal operations of bait and bait stations, wear a single layer of clothing and disposable gloves. Wear disposable gloves when handling rodent carcasses. Wash clothes after performing re-handling activities.</w:t>
            </w:r>
          </w:p>
        </w:tc>
      </w:tr>
      <w:tr w:rsidR="008E67EA" w:rsidRPr="005C7298" w14:paraId="5CCD561A" w14:textId="77777777" w:rsidTr="00B44A74">
        <w:trPr>
          <w:jc w:val="center"/>
        </w:trPr>
        <w:tc>
          <w:tcPr>
            <w:tcW w:w="2415" w:type="dxa"/>
            <w:tcBorders>
              <w:top w:val="single" w:sz="4" w:space="0" w:color="auto"/>
              <w:left w:val="nil"/>
              <w:bottom w:val="single" w:sz="4" w:space="0" w:color="auto"/>
              <w:right w:val="nil"/>
            </w:tcBorders>
          </w:tcPr>
          <w:p w14:paraId="69DF691B" w14:textId="77777777" w:rsidR="008E67EA" w:rsidRPr="005C7298"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AD01BF5" w14:textId="77777777" w:rsidR="008E67EA" w:rsidRPr="00F37250" w:rsidRDefault="008E67EA" w:rsidP="00B44A74">
            <w:pPr>
              <w:spacing w:line="280" w:lineRule="exact"/>
              <w:rPr>
                <w:rFonts w:cs="Arial"/>
                <w:sz w:val="20"/>
                <w:szCs w:val="20"/>
              </w:rPr>
            </w:pPr>
          </w:p>
        </w:tc>
      </w:tr>
      <w:tr w:rsidR="008E67EA" w:rsidRPr="005C7298" w14:paraId="4EE2181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C6D03F4" w14:textId="77777777" w:rsidR="008E67EA" w:rsidRPr="005C7298" w:rsidRDefault="008E67EA" w:rsidP="00B44A74">
            <w:pPr>
              <w:spacing w:line="280" w:lineRule="exact"/>
              <w:rPr>
                <w:rFonts w:cs="Arial"/>
                <w:sz w:val="20"/>
                <w:szCs w:val="20"/>
              </w:rPr>
            </w:pPr>
            <w:r w:rsidRPr="005C7298">
              <w:rPr>
                <w:rFonts w:cs="Arial"/>
                <w:sz w:val="20"/>
                <w:szCs w:val="20"/>
              </w:rPr>
              <w:t>First Aid Instructions:</w:t>
            </w:r>
          </w:p>
        </w:tc>
        <w:tc>
          <w:tcPr>
            <w:tcW w:w="7755" w:type="dxa"/>
            <w:tcBorders>
              <w:top w:val="single" w:sz="4" w:space="0" w:color="auto"/>
              <w:left w:val="single" w:sz="4" w:space="0" w:color="auto"/>
              <w:bottom w:val="single" w:sz="4" w:space="0" w:color="auto"/>
              <w:right w:val="single" w:sz="4" w:space="0" w:color="auto"/>
            </w:tcBorders>
          </w:tcPr>
          <w:p w14:paraId="0D3D7FAF" w14:textId="77777777" w:rsidR="008E67EA" w:rsidRPr="00123002" w:rsidRDefault="008E67EA" w:rsidP="00B44A74">
            <w:pPr>
              <w:spacing w:line="280" w:lineRule="exact"/>
              <w:rPr>
                <w:rFonts w:cs="Arial"/>
                <w:sz w:val="20"/>
                <w:szCs w:val="20"/>
                <w:bdr w:val="none" w:sz="0" w:space="0" w:color="auto" w:frame="1"/>
                <w:lang w:val="en-GB" w:eastAsia="en-AU"/>
              </w:rPr>
            </w:pPr>
            <w:r w:rsidRPr="00F37250">
              <w:rPr>
                <w:rFonts w:cs="Arial"/>
                <w:sz w:val="20"/>
                <w:szCs w:val="20"/>
                <w:bdr w:val="none" w:sz="0" w:space="0" w:color="auto" w:frame="1"/>
                <w:lang w:val="en-GB" w:eastAsia="en-AU"/>
              </w:rPr>
              <w:t>FIRST AID</w:t>
            </w:r>
          </w:p>
          <w:p w14:paraId="0B582076" w14:textId="77777777" w:rsidR="008E67EA" w:rsidRPr="00F37250" w:rsidRDefault="008E67EA" w:rsidP="00B44A74">
            <w:pPr>
              <w:spacing w:line="280" w:lineRule="exact"/>
              <w:rPr>
                <w:rFonts w:cs="Arial"/>
                <w:sz w:val="20"/>
                <w:szCs w:val="20"/>
              </w:rPr>
            </w:pPr>
            <w:r w:rsidRPr="00F37250">
              <w:rPr>
                <w:rFonts w:cs="Arial"/>
                <w:sz w:val="20"/>
                <w:szCs w:val="20"/>
              </w:rPr>
              <w:t>If poisoning occurs, contact a doctor or Poisons Information Centre. Phone Australia 13 11 26, New Zealand 0800 764 766. Vitamin K1 (Phytomenadione) is antidotal.</w:t>
            </w:r>
          </w:p>
        </w:tc>
      </w:tr>
      <w:tr w:rsidR="008E67EA" w:rsidRPr="005C7298" w14:paraId="3D66E21F" w14:textId="77777777" w:rsidTr="00B44A74">
        <w:trPr>
          <w:jc w:val="center"/>
        </w:trPr>
        <w:tc>
          <w:tcPr>
            <w:tcW w:w="2415" w:type="dxa"/>
            <w:tcBorders>
              <w:top w:val="single" w:sz="4" w:space="0" w:color="auto"/>
              <w:left w:val="nil"/>
              <w:bottom w:val="single" w:sz="4" w:space="0" w:color="auto"/>
              <w:right w:val="nil"/>
            </w:tcBorders>
          </w:tcPr>
          <w:p w14:paraId="52C25623" w14:textId="77777777" w:rsidR="008E67EA" w:rsidRPr="005C7298"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46F5044" w14:textId="77777777" w:rsidR="008E67EA" w:rsidRPr="00F37250" w:rsidRDefault="008E67EA" w:rsidP="00B44A74">
            <w:pPr>
              <w:spacing w:line="280" w:lineRule="exact"/>
              <w:rPr>
                <w:rFonts w:cs="Arial"/>
                <w:sz w:val="20"/>
                <w:szCs w:val="20"/>
              </w:rPr>
            </w:pPr>
          </w:p>
        </w:tc>
      </w:tr>
      <w:tr w:rsidR="008E67EA" w:rsidRPr="005C7298" w14:paraId="47066FA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EFD998D" w14:textId="77777777" w:rsidR="008E67EA" w:rsidRPr="005C7298" w:rsidRDefault="008E67EA" w:rsidP="00B44A74">
            <w:pPr>
              <w:spacing w:line="280" w:lineRule="exact"/>
              <w:rPr>
                <w:rFonts w:cs="Arial"/>
                <w:sz w:val="20"/>
                <w:szCs w:val="20"/>
              </w:rPr>
            </w:pPr>
            <w:r w:rsidRPr="005C7298">
              <w:rPr>
                <w:rFonts w:cs="Arial"/>
                <w:sz w:val="20"/>
                <w:szCs w:val="20"/>
              </w:rPr>
              <w:t>First Aid Warnings:</w:t>
            </w:r>
          </w:p>
        </w:tc>
        <w:tc>
          <w:tcPr>
            <w:tcW w:w="7755" w:type="dxa"/>
            <w:tcBorders>
              <w:top w:val="single" w:sz="4" w:space="0" w:color="auto"/>
              <w:left w:val="single" w:sz="4" w:space="0" w:color="auto"/>
              <w:bottom w:val="single" w:sz="4" w:space="0" w:color="auto"/>
              <w:right w:val="single" w:sz="4" w:space="0" w:color="auto"/>
            </w:tcBorders>
          </w:tcPr>
          <w:p w14:paraId="51F88B57" w14:textId="77777777" w:rsidR="008E67EA" w:rsidRPr="00F37250" w:rsidRDefault="008E67EA" w:rsidP="00B44A74">
            <w:pPr>
              <w:spacing w:line="280" w:lineRule="exact"/>
              <w:rPr>
                <w:rFonts w:cs="Arial"/>
                <w:sz w:val="20"/>
                <w:szCs w:val="20"/>
              </w:rPr>
            </w:pPr>
          </w:p>
        </w:tc>
      </w:tr>
    </w:tbl>
    <w:p w14:paraId="4DFCCF23" w14:textId="77777777" w:rsidR="008E67EA" w:rsidRDefault="008E67EA" w:rsidP="008E67EA">
      <w:pPr>
        <w:spacing w:line="278" w:lineRule="auto"/>
        <w:rPr>
          <w:rFonts w:cs="Arial"/>
          <w:b/>
          <w:bCs/>
          <w:sz w:val="20"/>
          <w:szCs w:val="20"/>
        </w:rPr>
      </w:pPr>
      <w:r>
        <w:rPr>
          <w:rFonts w:cs="Arial"/>
          <w:b/>
          <w:bCs/>
          <w:sz w:val="20"/>
          <w:szCs w:val="20"/>
        </w:rPr>
        <w:br w:type="page"/>
      </w:r>
    </w:p>
    <w:p w14:paraId="76A35B83" w14:textId="77777777" w:rsidR="008E67EA" w:rsidRPr="005C7298" w:rsidRDefault="008E67EA" w:rsidP="008E67EA">
      <w:pPr>
        <w:rPr>
          <w:rFonts w:cs="Arial"/>
          <w:b/>
          <w:bCs/>
          <w:sz w:val="20"/>
          <w:szCs w:val="20"/>
        </w:rPr>
      </w:pPr>
      <w:r w:rsidRPr="005C7298">
        <w:rPr>
          <w:rFonts w:cs="Arial"/>
          <w:b/>
          <w:bCs/>
          <w:sz w:val="20"/>
          <w:szCs w:val="20"/>
        </w:rPr>
        <w:lastRenderedPageBreak/>
        <w:t>HOW TO USE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984"/>
        <w:gridCol w:w="1276"/>
        <w:gridCol w:w="3634"/>
      </w:tblGrid>
      <w:tr w:rsidR="008E67EA" w:rsidRPr="00FF36BF" w14:paraId="35347481" w14:textId="77777777" w:rsidTr="00834983">
        <w:trPr>
          <w:trHeight w:val="340"/>
        </w:trPr>
        <w:tc>
          <w:tcPr>
            <w:tcW w:w="2122" w:type="dxa"/>
          </w:tcPr>
          <w:p w14:paraId="73FA9CB5" w14:textId="77777777" w:rsidR="008E67EA" w:rsidRPr="00246206" w:rsidRDefault="008E67EA" w:rsidP="00B44A74">
            <w:pPr>
              <w:pStyle w:val="TableParagraph"/>
              <w:widowControl/>
              <w:adjustRightInd w:val="0"/>
              <w:spacing w:before="61"/>
              <w:ind w:left="0"/>
              <w:rPr>
                <w:rFonts w:eastAsiaTheme="minorHAnsi"/>
                <w:b/>
                <w:bCs/>
                <w:sz w:val="20"/>
                <w:szCs w:val="20"/>
                <w:lang w:val="en-AU"/>
              </w:rPr>
            </w:pPr>
            <w:r w:rsidRPr="00246206">
              <w:rPr>
                <w:rFonts w:eastAsiaTheme="minorHAnsi"/>
                <w:b/>
                <w:bCs/>
                <w:sz w:val="20"/>
                <w:szCs w:val="20"/>
                <w:lang w:val="en-AU"/>
              </w:rPr>
              <w:t>PEST</w:t>
            </w:r>
          </w:p>
        </w:tc>
        <w:tc>
          <w:tcPr>
            <w:tcW w:w="1984" w:type="dxa"/>
          </w:tcPr>
          <w:p w14:paraId="705AD026" w14:textId="77777777" w:rsidR="008E67EA" w:rsidRPr="00246206" w:rsidRDefault="008E67EA" w:rsidP="00B44A74">
            <w:pPr>
              <w:pStyle w:val="TableParagraph"/>
              <w:widowControl/>
              <w:adjustRightInd w:val="0"/>
              <w:spacing w:before="61"/>
              <w:ind w:left="0"/>
              <w:rPr>
                <w:rFonts w:eastAsiaTheme="minorHAnsi"/>
                <w:b/>
                <w:bCs/>
                <w:sz w:val="20"/>
                <w:szCs w:val="20"/>
                <w:lang w:val="en-AU"/>
              </w:rPr>
            </w:pPr>
            <w:r w:rsidRPr="00246206">
              <w:rPr>
                <w:rFonts w:eastAsiaTheme="minorHAnsi"/>
                <w:b/>
                <w:bCs/>
                <w:sz w:val="20"/>
                <w:szCs w:val="20"/>
                <w:lang w:val="en-AU"/>
              </w:rPr>
              <w:t>SITUATION</w:t>
            </w:r>
          </w:p>
        </w:tc>
        <w:tc>
          <w:tcPr>
            <w:tcW w:w="1276" w:type="dxa"/>
          </w:tcPr>
          <w:p w14:paraId="66F04082" w14:textId="77777777" w:rsidR="008E67EA" w:rsidRPr="00246206" w:rsidRDefault="008E67EA" w:rsidP="00B44A74">
            <w:pPr>
              <w:pStyle w:val="TableParagraph"/>
              <w:widowControl/>
              <w:adjustRightInd w:val="0"/>
              <w:spacing w:before="61"/>
              <w:ind w:left="0"/>
              <w:rPr>
                <w:rFonts w:eastAsiaTheme="minorHAnsi"/>
                <w:b/>
                <w:bCs/>
                <w:sz w:val="20"/>
                <w:szCs w:val="20"/>
                <w:lang w:val="en-AU"/>
              </w:rPr>
            </w:pPr>
            <w:r w:rsidRPr="00246206">
              <w:rPr>
                <w:rFonts w:eastAsiaTheme="minorHAnsi"/>
                <w:b/>
                <w:bCs/>
                <w:sz w:val="20"/>
                <w:szCs w:val="20"/>
                <w:lang w:val="en-AU"/>
              </w:rPr>
              <w:t>RATE</w:t>
            </w:r>
          </w:p>
        </w:tc>
        <w:tc>
          <w:tcPr>
            <w:tcW w:w="3634" w:type="dxa"/>
          </w:tcPr>
          <w:p w14:paraId="29E79B10" w14:textId="77777777" w:rsidR="008E67EA" w:rsidRPr="00246206" w:rsidRDefault="008E67EA" w:rsidP="00B44A74">
            <w:pPr>
              <w:pStyle w:val="TableParagraph"/>
              <w:widowControl/>
              <w:adjustRightInd w:val="0"/>
              <w:spacing w:before="61"/>
              <w:ind w:left="0"/>
              <w:rPr>
                <w:rFonts w:eastAsiaTheme="minorHAnsi"/>
                <w:b/>
                <w:bCs/>
                <w:sz w:val="20"/>
                <w:szCs w:val="20"/>
                <w:lang w:val="en-AU"/>
              </w:rPr>
            </w:pPr>
            <w:r w:rsidRPr="00246206">
              <w:rPr>
                <w:rFonts w:eastAsiaTheme="minorHAnsi"/>
                <w:b/>
                <w:bCs/>
                <w:sz w:val="20"/>
                <w:szCs w:val="20"/>
                <w:lang w:val="en-AU"/>
              </w:rPr>
              <w:t>HOW TO APPLY</w:t>
            </w:r>
          </w:p>
        </w:tc>
      </w:tr>
      <w:tr w:rsidR="008E67EA" w:rsidRPr="00FF36BF" w14:paraId="7755B0B8" w14:textId="77777777" w:rsidTr="00834983">
        <w:trPr>
          <w:trHeight w:val="421"/>
        </w:trPr>
        <w:tc>
          <w:tcPr>
            <w:tcW w:w="2122" w:type="dxa"/>
          </w:tcPr>
          <w:p w14:paraId="38663B7A" w14:textId="77777777" w:rsidR="008E67EA" w:rsidRPr="005D3D45" w:rsidRDefault="008E67EA" w:rsidP="00B44A74">
            <w:pPr>
              <w:spacing w:line="280" w:lineRule="exact"/>
              <w:rPr>
                <w:rFonts w:cs="Arial"/>
                <w:sz w:val="20"/>
                <w:szCs w:val="20"/>
              </w:rPr>
            </w:pPr>
            <w:r>
              <w:rPr>
                <w:rFonts w:cs="Arial"/>
                <w:sz w:val="20"/>
                <w:szCs w:val="20"/>
              </w:rPr>
              <w:t xml:space="preserve">Rats </w:t>
            </w:r>
            <w:r w:rsidRPr="007212AD">
              <w:rPr>
                <w:rFonts w:cs="Arial"/>
                <w:sz w:val="20"/>
                <w:szCs w:val="20"/>
              </w:rPr>
              <w:t>(</w:t>
            </w:r>
            <w:r w:rsidRPr="007212AD">
              <w:rPr>
                <w:rFonts w:cs="Arial"/>
                <w:i/>
                <w:iCs/>
                <w:sz w:val="20"/>
                <w:szCs w:val="20"/>
              </w:rPr>
              <w:t>Rattus rattus, Rattus norvegicus</w:t>
            </w:r>
            <w:r w:rsidRPr="007212AD">
              <w:rPr>
                <w:rFonts w:cs="Arial"/>
                <w:sz w:val="20"/>
                <w:szCs w:val="20"/>
              </w:rPr>
              <w:t>)</w:t>
            </w:r>
          </w:p>
        </w:tc>
        <w:tc>
          <w:tcPr>
            <w:tcW w:w="1984" w:type="dxa"/>
          </w:tcPr>
          <w:p w14:paraId="45047D27" w14:textId="77777777" w:rsidR="008E67EA" w:rsidRPr="005D3D45" w:rsidRDefault="008E67EA" w:rsidP="00B44A74">
            <w:pPr>
              <w:spacing w:line="280" w:lineRule="exact"/>
              <w:rPr>
                <w:rFonts w:cs="Arial"/>
                <w:sz w:val="20"/>
                <w:szCs w:val="20"/>
              </w:rPr>
            </w:pPr>
            <w:r w:rsidRPr="005D3D45">
              <w:rPr>
                <w:rFonts w:cs="Arial"/>
                <w:sz w:val="20"/>
                <w:szCs w:val="20"/>
              </w:rPr>
              <w:t>In</w:t>
            </w:r>
            <w:r>
              <w:rPr>
                <w:rFonts w:cs="Arial"/>
                <w:sz w:val="20"/>
                <w:szCs w:val="20"/>
              </w:rPr>
              <w:t xml:space="preserve"> and around</w:t>
            </w:r>
            <w:r w:rsidRPr="005D3D45">
              <w:rPr>
                <w:rFonts w:cs="Arial"/>
                <w:sz w:val="20"/>
                <w:szCs w:val="20"/>
              </w:rPr>
              <w:t xml:space="preserve"> </w:t>
            </w:r>
            <w:r>
              <w:rPr>
                <w:rFonts w:cs="Arial"/>
                <w:sz w:val="20"/>
                <w:szCs w:val="20"/>
              </w:rPr>
              <w:t xml:space="preserve">(within 2 meters) </w:t>
            </w:r>
            <w:r w:rsidRPr="005D3D45">
              <w:rPr>
                <w:rFonts w:cs="Arial"/>
                <w:sz w:val="20"/>
                <w:szCs w:val="20"/>
              </w:rPr>
              <w:t xml:space="preserve">domestic buildings </w:t>
            </w:r>
          </w:p>
        </w:tc>
        <w:tc>
          <w:tcPr>
            <w:tcW w:w="1276" w:type="dxa"/>
          </w:tcPr>
          <w:p w14:paraId="58422618" w14:textId="77777777" w:rsidR="008E67EA" w:rsidRPr="005D3D45" w:rsidRDefault="008E67EA" w:rsidP="00B44A74">
            <w:pPr>
              <w:spacing w:line="280" w:lineRule="exact"/>
              <w:rPr>
                <w:rFonts w:cs="Arial"/>
                <w:sz w:val="20"/>
                <w:szCs w:val="20"/>
              </w:rPr>
            </w:pPr>
            <w:r>
              <w:rPr>
                <w:rFonts w:cs="Arial"/>
                <w:sz w:val="20"/>
                <w:szCs w:val="20"/>
              </w:rPr>
              <w:t>[A</w:t>
            </w:r>
            <w:r w:rsidRPr="001019EA">
              <w:rPr>
                <w:rFonts w:cs="Arial"/>
                <w:sz w:val="20"/>
                <w:szCs w:val="20"/>
              </w:rPr>
              <w:t>s per current approved label</w:t>
            </w:r>
            <w:r>
              <w:rPr>
                <w:rFonts w:cs="Arial"/>
                <w:sz w:val="20"/>
                <w:szCs w:val="20"/>
              </w:rPr>
              <w:t>]</w:t>
            </w:r>
          </w:p>
        </w:tc>
        <w:tc>
          <w:tcPr>
            <w:tcW w:w="3634" w:type="dxa"/>
            <w:vMerge w:val="restart"/>
          </w:tcPr>
          <w:p w14:paraId="7CBC5A41" w14:textId="77777777" w:rsidR="008E67EA" w:rsidRDefault="008E67EA" w:rsidP="00B44A74">
            <w:pPr>
              <w:spacing w:line="280" w:lineRule="exact"/>
              <w:rPr>
                <w:rFonts w:cs="Arial"/>
                <w:sz w:val="20"/>
                <w:szCs w:val="20"/>
              </w:rPr>
            </w:pPr>
            <w:r w:rsidRPr="008F64B3">
              <w:rPr>
                <w:rFonts w:cs="Arial"/>
                <w:sz w:val="20"/>
                <w:szCs w:val="20"/>
              </w:rPr>
              <w:t>Place bait stations in infested area</w:t>
            </w:r>
            <w:r w:rsidRPr="001640BF">
              <w:rPr>
                <w:rFonts w:cs="Arial"/>
                <w:sz w:val="20"/>
                <w:szCs w:val="20"/>
              </w:rPr>
              <w:t xml:space="preserve"> where there are signs of rodent activity, along walls or rafters and in dark,</w:t>
            </w:r>
            <w:r>
              <w:rPr>
                <w:rFonts w:cs="Arial"/>
                <w:sz w:val="20"/>
                <w:szCs w:val="20"/>
              </w:rPr>
              <w:t xml:space="preserve"> </w:t>
            </w:r>
            <w:r w:rsidRPr="001640BF">
              <w:rPr>
                <w:rFonts w:cs="Arial"/>
                <w:sz w:val="20"/>
                <w:szCs w:val="20"/>
              </w:rPr>
              <w:t>sheltered places. D</w:t>
            </w:r>
            <w:r>
              <w:rPr>
                <w:rFonts w:cs="Arial"/>
                <w:sz w:val="20"/>
                <w:szCs w:val="20"/>
              </w:rPr>
              <w:t>O NOT</w:t>
            </w:r>
            <w:r w:rsidRPr="001640BF">
              <w:rPr>
                <w:rFonts w:cs="Arial"/>
                <w:sz w:val="20"/>
                <w:szCs w:val="20"/>
              </w:rPr>
              <w:t xml:space="preserve"> touch bait. </w:t>
            </w:r>
          </w:p>
          <w:p w14:paraId="60DF7343" w14:textId="77777777" w:rsidR="008E67EA" w:rsidRPr="001640BF" w:rsidRDefault="008E67EA" w:rsidP="00B44A74">
            <w:pPr>
              <w:spacing w:line="280" w:lineRule="exact"/>
              <w:rPr>
                <w:rFonts w:cs="Arial"/>
                <w:sz w:val="20"/>
                <w:szCs w:val="20"/>
              </w:rPr>
            </w:pPr>
            <w:r w:rsidRPr="001640BF">
              <w:rPr>
                <w:rFonts w:cs="Arial"/>
                <w:sz w:val="20"/>
                <w:szCs w:val="20"/>
              </w:rPr>
              <w:t xml:space="preserve">DO NOT exceed 3 m between bait </w:t>
            </w:r>
            <w:r>
              <w:rPr>
                <w:rFonts w:cs="Arial"/>
                <w:sz w:val="20"/>
                <w:szCs w:val="20"/>
              </w:rPr>
              <w:t>stations</w:t>
            </w:r>
            <w:r w:rsidRPr="001640BF">
              <w:rPr>
                <w:rFonts w:cs="Arial"/>
                <w:sz w:val="20"/>
                <w:szCs w:val="20"/>
              </w:rPr>
              <w:t xml:space="preserve"> for mice and 9 m </w:t>
            </w:r>
            <w:r>
              <w:rPr>
                <w:rFonts w:cs="Arial"/>
                <w:sz w:val="20"/>
                <w:szCs w:val="20"/>
              </w:rPr>
              <w:t xml:space="preserve">between bait stations </w:t>
            </w:r>
            <w:r w:rsidRPr="001640BF">
              <w:rPr>
                <w:rFonts w:cs="Arial"/>
                <w:sz w:val="20"/>
                <w:szCs w:val="20"/>
              </w:rPr>
              <w:t>for rats.</w:t>
            </w:r>
          </w:p>
        </w:tc>
      </w:tr>
      <w:tr w:rsidR="008E67EA" w:rsidRPr="00FF36BF" w14:paraId="36348DAB" w14:textId="77777777" w:rsidTr="00834983">
        <w:trPr>
          <w:trHeight w:val="421"/>
        </w:trPr>
        <w:tc>
          <w:tcPr>
            <w:tcW w:w="2122" w:type="dxa"/>
          </w:tcPr>
          <w:p w14:paraId="2D698BD0" w14:textId="77777777" w:rsidR="008E67EA" w:rsidRPr="005D3D45" w:rsidRDefault="008E67EA" w:rsidP="00B44A74">
            <w:pPr>
              <w:spacing w:line="280" w:lineRule="exact"/>
              <w:rPr>
                <w:rFonts w:cs="Arial"/>
                <w:sz w:val="20"/>
                <w:szCs w:val="20"/>
              </w:rPr>
            </w:pPr>
            <w:r>
              <w:rPr>
                <w:rFonts w:cs="Arial"/>
                <w:sz w:val="20"/>
                <w:szCs w:val="20"/>
              </w:rPr>
              <w:t xml:space="preserve">Mice </w:t>
            </w:r>
            <w:r w:rsidRPr="007212AD">
              <w:rPr>
                <w:rFonts w:cs="Arial"/>
                <w:sz w:val="20"/>
                <w:szCs w:val="20"/>
              </w:rPr>
              <w:t>(</w:t>
            </w:r>
            <w:r w:rsidRPr="007212AD">
              <w:rPr>
                <w:rFonts w:cs="Arial"/>
                <w:i/>
                <w:iCs/>
                <w:sz w:val="20"/>
                <w:szCs w:val="20"/>
              </w:rPr>
              <w:t>Mus musculus</w:t>
            </w:r>
            <w:r w:rsidRPr="007212AD">
              <w:rPr>
                <w:rFonts w:cs="Arial"/>
                <w:sz w:val="20"/>
                <w:szCs w:val="20"/>
              </w:rPr>
              <w:t>)</w:t>
            </w:r>
          </w:p>
        </w:tc>
        <w:tc>
          <w:tcPr>
            <w:tcW w:w="1984" w:type="dxa"/>
          </w:tcPr>
          <w:p w14:paraId="452585E6" w14:textId="77777777" w:rsidR="008E67EA" w:rsidRPr="005D3D45" w:rsidRDefault="008E67EA" w:rsidP="00B44A74">
            <w:pPr>
              <w:spacing w:line="280" w:lineRule="exact"/>
              <w:rPr>
                <w:rFonts w:cs="Arial"/>
                <w:sz w:val="20"/>
                <w:szCs w:val="20"/>
              </w:rPr>
            </w:pPr>
            <w:r w:rsidRPr="005D3D45">
              <w:rPr>
                <w:rFonts w:cs="Arial"/>
                <w:sz w:val="20"/>
                <w:szCs w:val="20"/>
              </w:rPr>
              <w:t xml:space="preserve">In domestic buildings </w:t>
            </w:r>
          </w:p>
        </w:tc>
        <w:tc>
          <w:tcPr>
            <w:tcW w:w="1276" w:type="dxa"/>
          </w:tcPr>
          <w:p w14:paraId="4B8EB281" w14:textId="77777777" w:rsidR="008E67EA" w:rsidRPr="005D3D45" w:rsidRDefault="008E67EA" w:rsidP="00B44A74">
            <w:pPr>
              <w:spacing w:line="280" w:lineRule="exact"/>
              <w:rPr>
                <w:rFonts w:cs="Arial"/>
                <w:sz w:val="20"/>
                <w:szCs w:val="20"/>
              </w:rPr>
            </w:pPr>
            <w:r>
              <w:rPr>
                <w:rFonts w:cs="Arial"/>
                <w:sz w:val="20"/>
                <w:szCs w:val="20"/>
              </w:rPr>
              <w:t>[A</w:t>
            </w:r>
            <w:r w:rsidRPr="001019EA">
              <w:rPr>
                <w:rFonts w:cs="Arial"/>
                <w:sz w:val="20"/>
                <w:szCs w:val="20"/>
              </w:rPr>
              <w:t>s per current approved label</w:t>
            </w:r>
            <w:r>
              <w:rPr>
                <w:rFonts w:cs="Arial"/>
                <w:sz w:val="20"/>
                <w:szCs w:val="20"/>
              </w:rPr>
              <w:t>]</w:t>
            </w:r>
          </w:p>
        </w:tc>
        <w:tc>
          <w:tcPr>
            <w:tcW w:w="3634" w:type="dxa"/>
            <w:vMerge/>
          </w:tcPr>
          <w:p w14:paraId="3C62D28F" w14:textId="77777777" w:rsidR="008E67EA" w:rsidRPr="005D3D45" w:rsidRDefault="008E67EA" w:rsidP="00B44A74">
            <w:pPr>
              <w:spacing w:line="280" w:lineRule="exact"/>
              <w:rPr>
                <w:rFonts w:cs="Arial"/>
                <w:sz w:val="20"/>
                <w:szCs w:val="20"/>
              </w:rPr>
            </w:pPr>
          </w:p>
        </w:tc>
      </w:tr>
      <w:tr w:rsidR="008E67EA" w:rsidRPr="00FF36BF" w14:paraId="71E61C79" w14:textId="77777777" w:rsidTr="00834983">
        <w:trPr>
          <w:trHeight w:val="421"/>
        </w:trPr>
        <w:tc>
          <w:tcPr>
            <w:tcW w:w="9016" w:type="dxa"/>
            <w:gridSpan w:val="4"/>
          </w:tcPr>
          <w:p w14:paraId="192BAB2C" w14:textId="77777777" w:rsidR="008E67EA" w:rsidRPr="001E6DA9" w:rsidRDefault="008E67EA" w:rsidP="00B44A74">
            <w:pPr>
              <w:spacing w:after="120" w:line="280" w:lineRule="exact"/>
              <w:rPr>
                <w:rFonts w:eastAsia="Calibri" w:cs="Arial"/>
                <w:b/>
                <w:bCs/>
                <w:sz w:val="20"/>
                <w:szCs w:val="20"/>
                <w:bdr w:val="none" w:sz="0" w:space="0" w:color="auto" w:frame="1"/>
                <w:lang w:val="en-GB"/>
              </w:rPr>
            </w:pPr>
            <w:r w:rsidRPr="001E6DA9">
              <w:rPr>
                <w:rFonts w:eastAsia="Calibri" w:cs="Arial"/>
                <w:b/>
                <w:bCs/>
                <w:sz w:val="20"/>
                <w:szCs w:val="20"/>
                <w:bdr w:val="none" w:sz="0" w:space="0" w:color="auto" w:frame="1"/>
                <w:lang w:val="en-GB"/>
              </w:rPr>
              <w:t xml:space="preserve">General Information and baiting strategy for </w:t>
            </w:r>
            <w:r>
              <w:rPr>
                <w:rFonts w:eastAsia="Calibri" w:cs="Arial"/>
                <w:b/>
                <w:bCs/>
                <w:sz w:val="20"/>
                <w:szCs w:val="20"/>
                <w:bdr w:val="none" w:sz="0" w:space="0" w:color="auto" w:frame="1"/>
                <w:lang w:val="en-GB"/>
              </w:rPr>
              <w:t xml:space="preserve">rats </w:t>
            </w:r>
            <w:r w:rsidRPr="001E6DA9">
              <w:rPr>
                <w:rFonts w:eastAsia="Calibri" w:cs="Arial"/>
                <w:b/>
                <w:bCs/>
                <w:sz w:val="20"/>
                <w:szCs w:val="20"/>
                <w:bdr w:val="none" w:sz="0" w:space="0" w:color="auto" w:frame="1"/>
                <w:lang w:val="en-GB"/>
              </w:rPr>
              <w:t xml:space="preserve">and mice: </w:t>
            </w:r>
          </w:p>
          <w:p w14:paraId="3B52667D" w14:textId="77777777" w:rsidR="008E67EA" w:rsidRPr="008F64B3" w:rsidRDefault="008E67EA" w:rsidP="00B44A74">
            <w:pPr>
              <w:spacing w:after="120" w:line="280" w:lineRule="exact"/>
              <w:rPr>
                <w:rFonts w:eastAsia="Calibri" w:cs="Arial"/>
                <w:sz w:val="20"/>
                <w:szCs w:val="20"/>
                <w:bdr w:val="none" w:sz="0" w:space="0" w:color="auto" w:frame="1"/>
                <w:lang w:val="en-GB"/>
              </w:rPr>
            </w:pPr>
            <w:r w:rsidRPr="008F64B3">
              <w:rPr>
                <w:rFonts w:eastAsia="Calibri" w:cs="Arial"/>
                <w:sz w:val="20"/>
                <w:szCs w:val="20"/>
                <w:bdr w:val="none" w:sz="0" w:space="0" w:color="auto" w:frame="1"/>
                <w:lang w:val="en-GB"/>
              </w:rPr>
              <w:t xml:space="preserve">Eliminate as far as practicable, all other food sources. </w:t>
            </w:r>
          </w:p>
          <w:p w14:paraId="6332A964" w14:textId="77777777" w:rsidR="008E67EA" w:rsidRPr="008F64B3" w:rsidRDefault="008E67EA" w:rsidP="00B44A74">
            <w:pPr>
              <w:spacing w:after="120" w:line="280" w:lineRule="exact"/>
              <w:rPr>
                <w:rFonts w:eastAsia="Calibri" w:cs="Arial"/>
                <w:sz w:val="20"/>
                <w:szCs w:val="20"/>
                <w:bdr w:val="none" w:sz="0" w:space="0" w:color="auto" w:frame="1"/>
                <w:lang w:val="en-GB"/>
              </w:rPr>
            </w:pPr>
            <w:r w:rsidRPr="008F64B3">
              <w:rPr>
                <w:rFonts w:eastAsia="Calibri" w:cs="Arial"/>
                <w:sz w:val="20"/>
                <w:szCs w:val="20"/>
                <w:bdr w:val="none" w:sz="0" w:space="0" w:color="auto" w:frame="1"/>
                <w:lang w:val="en-GB"/>
              </w:rPr>
              <w:t xml:space="preserve">Always place bait where it is inaccessible to children, animals and birds. Use in tamper resistant bait stations only. If bait can be dislodged from bait station, fix tamper-resistant bait stations to the ground or other structures. It is recommended that weather-resistant bait stations be used where possible. Record the number and location of </w:t>
            </w:r>
            <w:r>
              <w:rPr>
                <w:rFonts w:eastAsia="Calibri" w:cs="Arial"/>
                <w:sz w:val="20"/>
                <w:szCs w:val="20"/>
                <w:bdr w:val="none" w:sz="0" w:space="0" w:color="auto" w:frame="1"/>
                <w:lang w:val="en-GB"/>
              </w:rPr>
              <w:t>baits</w:t>
            </w:r>
            <w:r w:rsidRPr="008F64B3">
              <w:rPr>
                <w:rFonts w:eastAsia="Calibri" w:cs="Arial"/>
                <w:sz w:val="20"/>
                <w:szCs w:val="20"/>
                <w:bdr w:val="none" w:sz="0" w:space="0" w:color="auto" w:frame="1"/>
                <w:lang w:val="en-GB"/>
              </w:rPr>
              <w:t xml:space="preserve"> for later replenishment and or removal.</w:t>
            </w:r>
          </w:p>
          <w:p w14:paraId="29995552" w14:textId="77777777" w:rsidR="008E67EA" w:rsidRPr="001640BF" w:rsidRDefault="008E67EA" w:rsidP="00B44A74">
            <w:pPr>
              <w:spacing w:after="120" w:line="280" w:lineRule="exact"/>
              <w:rPr>
                <w:rFonts w:eastAsia="Calibri" w:cs="Arial"/>
                <w:sz w:val="20"/>
                <w:szCs w:val="20"/>
                <w:bdr w:val="none" w:sz="0" w:space="0" w:color="auto" w:frame="1"/>
                <w:lang w:val="en-GB"/>
              </w:rPr>
            </w:pPr>
            <w:r w:rsidRPr="001640BF">
              <w:rPr>
                <w:rFonts w:eastAsia="Calibri" w:cs="Arial"/>
                <w:sz w:val="20"/>
                <w:szCs w:val="20"/>
                <w:bdr w:val="none" w:sz="0" w:space="0" w:color="auto" w:frame="1"/>
                <w:lang w:val="en-GB"/>
              </w:rPr>
              <w:t xml:space="preserve">Inspect baits daily. Replace eaten bait. </w:t>
            </w:r>
            <w:r w:rsidRPr="001640BF">
              <w:rPr>
                <w:rFonts w:eastAsia="Calibri" w:cs="Arial"/>
                <w:sz w:val="20"/>
                <w:szCs w:val="20"/>
                <w:bdr w:val="none" w:sz="0" w:space="0" w:color="auto" w:frame="1"/>
              </w:rPr>
              <w:t xml:space="preserve">If eaten quickly, increase number of baits. </w:t>
            </w:r>
            <w:r w:rsidRPr="001640BF">
              <w:rPr>
                <w:rFonts w:eastAsia="Calibri" w:cs="Arial"/>
                <w:sz w:val="20"/>
                <w:szCs w:val="20"/>
                <w:bdr w:val="none" w:sz="0" w:space="0" w:color="auto" w:frame="1"/>
                <w:lang w:val="en-GB"/>
              </w:rPr>
              <w:t>Continue observation and replenishment until no more baits are taken. Most deaths occur 4 to 7 days after consumption of bait. Baiting for at least 2 weeks will be necessary to reduce mouse numbers.</w:t>
            </w:r>
          </w:p>
          <w:p w14:paraId="7A6AE528" w14:textId="77777777" w:rsidR="008E67EA" w:rsidRPr="00246206" w:rsidRDefault="008E67EA" w:rsidP="00B44A74">
            <w:pPr>
              <w:spacing w:after="120" w:line="280" w:lineRule="exact"/>
              <w:rPr>
                <w:rFonts w:eastAsia="Calibri" w:cs="Arial"/>
                <w:sz w:val="20"/>
                <w:szCs w:val="20"/>
                <w:bdr w:val="none" w:sz="0" w:space="0" w:color="auto" w:frame="1"/>
                <w:lang w:val="en-GB"/>
              </w:rPr>
            </w:pPr>
            <w:r w:rsidRPr="001640BF">
              <w:rPr>
                <w:rFonts w:eastAsia="Calibri" w:cs="Arial"/>
                <w:sz w:val="20"/>
                <w:szCs w:val="20"/>
                <w:bdr w:val="none" w:sz="0" w:space="0" w:color="auto" w:frame="1"/>
                <w:lang w:val="en-GB"/>
              </w:rPr>
              <w:t>Ensure baits are removed when rodent activity has ceased. DO NOT use the product for longer than 35 days. If rodent activity is still observed after 35 days, seek advice from the product supplier or call a pest control service.</w:t>
            </w:r>
          </w:p>
        </w:tc>
      </w:tr>
    </w:tbl>
    <w:p w14:paraId="19DE39D1" w14:textId="50FBAF13" w:rsidR="008E67EA" w:rsidRDefault="008E67EA" w:rsidP="008E67EA">
      <w:pPr>
        <w:rPr>
          <w:rFonts w:cs="Arial"/>
          <w:b/>
          <w:bCs/>
          <w:sz w:val="20"/>
          <w:szCs w:val="20"/>
          <w:bdr w:val="none" w:sz="0" w:space="0" w:color="auto" w:frame="1"/>
          <w:lang w:val="en-GB" w:eastAsia="en-AU"/>
        </w:rPr>
      </w:pPr>
      <w:r w:rsidRPr="005C7298">
        <w:rPr>
          <w:rFonts w:cs="Arial"/>
          <w:b/>
          <w:bCs/>
          <w:sz w:val="20"/>
          <w:szCs w:val="20"/>
        </w:rPr>
        <w:t>NOT TO BE USED FOR ANY PURPOSE, OR IN ANY MANNER, CONTRARY TO THIS LABEL UNLESS AUTHORISED.</w:t>
      </w:r>
      <w:r>
        <w:rPr>
          <w:rFonts w:cs="Arial"/>
          <w:b/>
          <w:bCs/>
          <w:sz w:val="20"/>
          <w:szCs w:val="20"/>
          <w:bdr w:val="none" w:sz="0" w:space="0" w:color="auto" w:frame="1"/>
          <w:lang w:val="en-GB" w:eastAsia="en-AU"/>
        </w:rPr>
        <w:br w:type="page"/>
      </w:r>
    </w:p>
    <w:p w14:paraId="7D5CBFA5" w14:textId="77777777" w:rsidR="008E67EA"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lastRenderedPageBreak/>
        <w:t xml:space="preserve">Template Label </w:t>
      </w:r>
      <w:r>
        <w:rPr>
          <w:rFonts w:cs="Arial"/>
          <w:b/>
          <w:bCs/>
          <w:sz w:val="20"/>
          <w:szCs w:val="20"/>
          <w:bdr w:val="none" w:sz="0" w:space="0" w:color="auto" w:frame="1"/>
          <w:lang w:val="en-GB" w:eastAsia="en-AU"/>
        </w:rPr>
        <w:t>5b</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DA769D" w14:paraId="186045C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A310A09" w14:textId="77777777" w:rsidR="008E67EA" w:rsidRPr="00DA769D" w:rsidRDefault="008E67EA" w:rsidP="00B44A74">
            <w:pPr>
              <w:spacing w:line="280" w:lineRule="exact"/>
              <w:rPr>
                <w:rFonts w:cs="Arial"/>
                <w:sz w:val="20"/>
                <w:szCs w:val="20"/>
              </w:rPr>
            </w:pPr>
            <w:r w:rsidRPr="00DA769D">
              <w:rPr>
                <w:rFonts w:cs="Arial"/>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765AE717" w14:textId="77777777" w:rsidR="008E67EA" w:rsidRPr="00DA769D" w:rsidRDefault="008E67EA" w:rsidP="00B44A74">
            <w:pPr>
              <w:spacing w:line="280" w:lineRule="exact"/>
              <w:rPr>
                <w:rFonts w:cs="Arial"/>
                <w:sz w:val="20"/>
                <w:szCs w:val="20"/>
              </w:rPr>
            </w:pPr>
            <w:r w:rsidRPr="00DA769D">
              <w:rPr>
                <w:rFonts w:cs="Arial"/>
                <w:sz w:val="20"/>
                <w:szCs w:val="20"/>
              </w:rPr>
              <w:t>[INSERT LABEL NAME]</w:t>
            </w:r>
          </w:p>
        </w:tc>
      </w:tr>
      <w:tr w:rsidR="008E67EA" w:rsidRPr="00DA769D" w14:paraId="31114AE6" w14:textId="77777777" w:rsidTr="00B44A74">
        <w:trPr>
          <w:jc w:val="center"/>
        </w:trPr>
        <w:tc>
          <w:tcPr>
            <w:tcW w:w="2415" w:type="dxa"/>
            <w:tcBorders>
              <w:top w:val="single" w:sz="4" w:space="0" w:color="auto"/>
              <w:left w:val="nil"/>
              <w:bottom w:val="single" w:sz="4" w:space="0" w:color="auto"/>
              <w:right w:val="nil"/>
            </w:tcBorders>
          </w:tcPr>
          <w:p w14:paraId="4062D1C4" w14:textId="77777777" w:rsidR="008E67EA" w:rsidRPr="00DA769D"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A16358E" w14:textId="77777777" w:rsidR="008E67EA" w:rsidRPr="00DA769D" w:rsidRDefault="008E67EA" w:rsidP="00B44A74">
            <w:pPr>
              <w:spacing w:line="280" w:lineRule="exact"/>
              <w:rPr>
                <w:rFonts w:cs="Arial"/>
                <w:sz w:val="20"/>
                <w:szCs w:val="20"/>
              </w:rPr>
            </w:pPr>
          </w:p>
        </w:tc>
      </w:tr>
      <w:tr w:rsidR="008E67EA" w:rsidRPr="00DA769D" w14:paraId="42AA878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F7329E0" w14:textId="77777777" w:rsidR="008E67EA" w:rsidRPr="00DA769D" w:rsidRDefault="008E67EA" w:rsidP="00B44A74">
            <w:pPr>
              <w:spacing w:line="280" w:lineRule="exact"/>
              <w:rPr>
                <w:rFonts w:cs="Arial"/>
                <w:sz w:val="20"/>
                <w:szCs w:val="20"/>
              </w:rPr>
            </w:pPr>
            <w:r w:rsidRPr="00DA769D">
              <w:rPr>
                <w:rFonts w:cs="Arial"/>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001A6BCB" w14:textId="77777777" w:rsidR="008E67EA" w:rsidRPr="00DA769D" w:rsidRDefault="008E67EA" w:rsidP="00B44A74">
            <w:pPr>
              <w:spacing w:line="280" w:lineRule="exact"/>
              <w:rPr>
                <w:rFonts w:cs="Arial"/>
                <w:sz w:val="20"/>
                <w:szCs w:val="20"/>
              </w:rPr>
            </w:pPr>
            <w:r w:rsidRPr="00DA769D">
              <w:rPr>
                <w:rFonts w:cs="Arial"/>
                <w:sz w:val="20"/>
                <w:szCs w:val="20"/>
              </w:rPr>
              <w:t>POISON</w:t>
            </w:r>
          </w:p>
          <w:p w14:paraId="10A5F023" w14:textId="77777777" w:rsidR="008E67EA" w:rsidRPr="00DA769D" w:rsidRDefault="008E67EA" w:rsidP="00B44A74">
            <w:pPr>
              <w:spacing w:line="280" w:lineRule="exact"/>
              <w:rPr>
                <w:rFonts w:cs="Arial"/>
                <w:sz w:val="20"/>
                <w:szCs w:val="20"/>
              </w:rPr>
            </w:pPr>
            <w:r w:rsidRPr="00DA769D">
              <w:rPr>
                <w:rFonts w:cs="Arial"/>
                <w:sz w:val="20"/>
                <w:szCs w:val="20"/>
              </w:rPr>
              <w:t>KEEP OUT OF REACH OF CHILDREN</w:t>
            </w:r>
          </w:p>
          <w:p w14:paraId="48FA3AB2" w14:textId="77777777" w:rsidR="008E67EA" w:rsidRPr="00DA769D" w:rsidRDefault="008E67EA" w:rsidP="00B44A74">
            <w:pPr>
              <w:spacing w:line="280" w:lineRule="exact"/>
              <w:rPr>
                <w:rFonts w:cs="Arial"/>
                <w:sz w:val="20"/>
                <w:szCs w:val="20"/>
              </w:rPr>
            </w:pPr>
            <w:r w:rsidRPr="00DA769D">
              <w:rPr>
                <w:rFonts w:cs="Arial"/>
                <w:sz w:val="20"/>
                <w:szCs w:val="20"/>
              </w:rPr>
              <w:t>READ SAFETY DIRECTIONS</w:t>
            </w:r>
          </w:p>
        </w:tc>
      </w:tr>
      <w:tr w:rsidR="008E67EA" w:rsidRPr="00DA769D" w14:paraId="3A59B6B8" w14:textId="77777777" w:rsidTr="00B44A74">
        <w:trPr>
          <w:jc w:val="center"/>
        </w:trPr>
        <w:tc>
          <w:tcPr>
            <w:tcW w:w="2415" w:type="dxa"/>
            <w:tcBorders>
              <w:top w:val="single" w:sz="4" w:space="0" w:color="auto"/>
              <w:left w:val="nil"/>
              <w:bottom w:val="single" w:sz="4" w:space="0" w:color="auto"/>
              <w:right w:val="nil"/>
            </w:tcBorders>
          </w:tcPr>
          <w:p w14:paraId="231F03D1" w14:textId="77777777" w:rsidR="008E67EA" w:rsidRPr="00DA769D"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7E2295C" w14:textId="77777777" w:rsidR="008E67EA" w:rsidRPr="00DA769D" w:rsidRDefault="008E67EA" w:rsidP="00B44A74">
            <w:pPr>
              <w:spacing w:line="280" w:lineRule="exact"/>
              <w:rPr>
                <w:rFonts w:cs="Arial"/>
                <w:sz w:val="20"/>
                <w:szCs w:val="20"/>
              </w:rPr>
            </w:pPr>
          </w:p>
        </w:tc>
      </w:tr>
      <w:tr w:rsidR="008E67EA" w:rsidRPr="00DA769D" w14:paraId="4AB2E48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EC373E8" w14:textId="77777777" w:rsidR="008E67EA" w:rsidRPr="00DA769D" w:rsidRDefault="008E67EA" w:rsidP="00B44A74">
            <w:pPr>
              <w:spacing w:line="280" w:lineRule="exact"/>
              <w:rPr>
                <w:rFonts w:cs="Arial"/>
                <w:sz w:val="20"/>
                <w:szCs w:val="20"/>
              </w:rPr>
            </w:pPr>
            <w:r w:rsidRPr="00DA769D">
              <w:rPr>
                <w:rFonts w:cs="Arial"/>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4B425490" w14:textId="77777777" w:rsidR="008E67EA" w:rsidRPr="00DA769D" w:rsidRDefault="008E67EA" w:rsidP="00B44A74">
            <w:pPr>
              <w:spacing w:line="280" w:lineRule="exact"/>
              <w:rPr>
                <w:rFonts w:cs="Arial"/>
                <w:sz w:val="20"/>
                <w:szCs w:val="20"/>
              </w:rPr>
            </w:pPr>
            <w:r w:rsidRPr="00DA769D">
              <w:rPr>
                <w:rFonts w:cs="Arial"/>
                <w:sz w:val="20"/>
                <w:szCs w:val="20"/>
              </w:rPr>
              <w:t>ACTIVE CONSTITUENT: 0.05 g/kg BRODIFACOUM</w:t>
            </w:r>
          </w:p>
        </w:tc>
      </w:tr>
      <w:tr w:rsidR="008E67EA" w:rsidRPr="00DA769D" w14:paraId="2ABE6976" w14:textId="77777777" w:rsidTr="00B44A74">
        <w:trPr>
          <w:jc w:val="center"/>
        </w:trPr>
        <w:tc>
          <w:tcPr>
            <w:tcW w:w="2415" w:type="dxa"/>
            <w:tcBorders>
              <w:top w:val="single" w:sz="4" w:space="0" w:color="auto"/>
              <w:left w:val="nil"/>
              <w:bottom w:val="single" w:sz="4" w:space="0" w:color="auto"/>
              <w:right w:val="nil"/>
            </w:tcBorders>
          </w:tcPr>
          <w:p w14:paraId="4BF56B60" w14:textId="77777777" w:rsidR="008E67EA" w:rsidRPr="00DA769D"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1253065" w14:textId="77777777" w:rsidR="008E67EA" w:rsidRPr="00DA769D" w:rsidRDefault="008E67EA" w:rsidP="00B44A74">
            <w:pPr>
              <w:spacing w:line="280" w:lineRule="exact"/>
              <w:rPr>
                <w:rFonts w:cs="Arial"/>
                <w:sz w:val="20"/>
                <w:szCs w:val="20"/>
              </w:rPr>
            </w:pPr>
          </w:p>
        </w:tc>
      </w:tr>
      <w:tr w:rsidR="008E67EA" w:rsidRPr="00DA769D" w14:paraId="3D8EC1F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5E09461" w14:textId="77777777" w:rsidR="008E67EA" w:rsidRPr="00DA769D" w:rsidRDefault="008E67EA" w:rsidP="00B44A74">
            <w:pPr>
              <w:spacing w:line="280" w:lineRule="exact"/>
              <w:rPr>
                <w:rFonts w:cs="Arial"/>
                <w:sz w:val="20"/>
                <w:szCs w:val="20"/>
              </w:rPr>
            </w:pPr>
            <w:r w:rsidRPr="00DA769D">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73A93623" w14:textId="77777777" w:rsidR="008E67EA" w:rsidRPr="00DA769D" w:rsidRDefault="008E67EA" w:rsidP="00B44A74">
            <w:pPr>
              <w:spacing w:line="280" w:lineRule="exact"/>
              <w:rPr>
                <w:rFonts w:cs="Arial"/>
                <w:sz w:val="20"/>
                <w:szCs w:val="20"/>
              </w:rPr>
            </w:pPr>
            <w:r w:rsidRPr="00DA769D">
              <w:rPr>
                <w:rFonts w:cs="Arial"/>
                <w:sz w:val="20"/>
                <w:szCs w:val="20"/>
              </w:rPr>
              <w:t>For control of mice in domestic buildings.</w:t>
            </w:r>
          </w:p>
        </w:tc>
      </w:tr>
      <w:tr w:rsidR="008E67EA" w:rsidRPr="00DA769D" w14:paraId="0B35C517" w14:textId="77777777" w:rsidTr="00B44A74">
        <w:trPr>
          <w:jc w:val="center"/>
        </w:trPr>
        <w:tc>
          <w:tcPr>
            <w:tcW w:w="2415" w:type="dxa"/>
            <w:tcBorders>
              <w:top w:val="single" w:sz="4" w:space="0" w:color="auto"/>
              <w:left w:val="nil"/>
              <w:bottom w:val="single" w:sz="4" w:space="0" w:color="auto"/>
              <w:right w:val="nil"/>
            </w:tcBorders>
          </w:tcPr>
          <w:p w14:paraId="28B323AD" w14:textId="77777777" w:rsidR="008E67EA" w:rsidRPr="00DA769D"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B6C779D" w14:textId="77777777" w:rsidR="008E67EA" w:rsidRPr="00DA769D" w:rsidRDefault="008E67EA" w:rsidP="00B44A74">
            <w:pPr>
              <w:spacing w:line="280" w:lineRule="exact"/>
              <w:rPr>
                <w:rFonts w:cs="Arial"/>
                <w:sz w:val="20"/>
                <w:szCs w:val="20"/>
              </w:rPr>
            </w:pPr>
          </w:p>
        </w:tc>
      </w:tr>
      <w:tr w:rsidR="008E67EA" w:rsidRPr="00DA769D" w14:paraId="6DDB006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8D6AAFF" w14:textId="77777777" w:rsidR="008E67EA" w:rsidRPr="00DA769D" w:rsidRDefault="008E67EA" w:rsidP="00B44A74">
            <w:pPr>
              <w:spacing w:line="280" w:lineRule="exact"/>
              <w:rPr>
                <w:rFonts w:cs="Arial"/>
                <w:sz w:val="20"/>
                <w:szCs w:val="20"/>
              </w:rPr>
            </w:pPr>
            <w:r w:rsidRPr="00DA769D">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4E6AAF7C" w14:textId="77777777" w:rsidR="008E67EA" w:rsidRPr="00DA769D" w:rsidRDefault="008E67EA" w:rsidP="00B44A74">
            <w:pPr>
              <w:spacing w:line="280" w:lineRule="exact"/>
              <w:rPr>
                <w:rFonts w:cs="Arial"/>
                <w:sz w:val="20"/>
                <w:szCs w:val="20"/>
              </w:rPr>
            </w:pPr>
            <w:r w:rsidRPr="00DA769D">
              <w:rPr>
                <w:rFonts w:cs="Arial"/>
                <w:sz w:val="20"/>
                <w:szCs w:val="20"/>
              </w:rPr>
              <w:t>[INSERT NET CONTENTS – MAXIMUM 300g]</w:t>
            </w:r>
          </w:p>
        </w:tc>
      </w:tr>
      <w:tr w:rsidR="008E67EA" w:rsidRPr="00DA769D" w14:paraId="051618B9" w14:textId="77777777" w:rsidTr="00B44A74">
        <w:trPr>
          <w:jc w:val="center"/>
        </w:trPr>
        <w:tc>
          <w:tcPr>
            <w:tcW w:w="2415" w:type="dxa"/>
            <w:tcBorders>
              <w:top w:val="single" w:sz="4" w:space="0" w:color="auto"/>
              <w:left w:val="nil"/>
              <w:bottom w:val="single" w:sz="4" w:space="0" w:color="auto"/>
              <w:right w:val="nil"/>
            </w:tcBorders>
          </w:tcPr>
          <w:p w14:paraId="05AAB5BA" w14:textId="77777777" w:rsidR="008E67EA" w:rsidRPr="00DA769D"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10A5972" w14:textId="77777777" w:rsidR="008E67EA" w:rsidRPr="00DA769D" w:rsidRDefault="008E67EA" w:rsidP="00B44A74">
            <w:pPr>
              <w:spacing w:line="280" w:lineRule="exact"/>
              <w:rPr>
                <w:rFonts w:cs="Arial"/>
                <w:sz w:val="20"/>
                <w:szCs w:val="20"/>
              </w:rPr>
            </w:pPr>
          </w:p>
        </w:tc>
      </w:tr>
      <w:tr w:rsidR="008E67EA" w:rsidRPr="00DA769D" w14:paraId="0030579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BBF2E6D" w14:textId="77777777" w:rsidR="008E67EA" w:rsidRPr="00DA769D" w:rsidRDefault="008E67EA" w:rsidP="00B44A74">
            <w:pPr>
              <w:spacing w:line="280" w:lineRule="exact"/>
              <w:rPr>
                <w:rFonts w:cs="Arial"/>
                <w:sz w:val="20"/>
                <w:szCs w:val="20"/>
              </w:rPr>
            </w:pPr>
            <w:r w:rsidRPr="00DA769D">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3064D9EF" w14:textId="6278576C" w:rsidR="008E67EA" w:rsidRPr="00DA769D" w:rsidRDefault="008E67EA" w:rsidP="00B44A74">
            <w:pPr>
              <w:spacing w:line="280" w:lineRule="exact"/>
              <w:rPr>
                <w:rFonts w:cs="Arial"/>
                <w:sz w:val="20"/>
                <w:szCs w:val="20"/>
              </w:rPr>
            </w:pPr>
            <w:r w:rsidRPr="00DA769D">
              <w:rPr>
                <w:rFonts w:cs="Arial"/>
                <w:sz w:val="20"/>
                <w:szCs w:val="20"/>
              </w:rPr>
              <w:t>DO NOT place baits unless in tamper-resistant bait stations.</w:t>
            </w:r>
          </w:p>
          <w:p w14:paraId="2809613F" w14:textId="77777777" w:rsidR="008E67EA" w:rsidRPr="00DA769D" w:rsidRDefault="008E67EA" w:rsidP="00B44A74">
            <w:pPr>
              <w:spacing w:line="280" w:lineRule="exact"/>
              <w:rPr>
                <w:rFonts w:cs="Arial"/>
                <w:sz w:val="20"/>
                <w:szCs w:val="20"/>
              </w:rPr>
            </w:pPr>
            <w:r w:rsidRPr="00DA769D">
              <w:rPr>
                <w:rFonts w:cs="Arial"/>
                <w:sz w:val="20"/>
                <w:szCs w:val="20"/>
              </w:rPr>
              <w:t>DO NOT place bait stations outdoors around buildings for control of mice.</w:t>
            </w:r>
          </w:p>
          <w:p w14:paraId="0AE462F1" w14:textId="77777777" w:rsidR="008E67EA" w:rsidRPr="00DA769D" w:rsidRDefault="008E67EA" w:rsidP="00B44A74">
            <w:pPr>
              <w:spacing w:line="280" w:lineRule="exact"/>
              <w:rPr>
                <w:rFonts w:cs="Arial"/>
                <w:sz w:val="20"/>
                <w:szCs w:val="20"/>
              </w:rPr>
            </w:pPr>
            <w:r w:rsidRPr="00DA769D">
              <w:rPr>
                <w:rFonts w:cs="Arial"/>
                <w:sz w:val="20"/>
                <w:szCs w:val="20"/>
              </w:rPr>
              <w:t>DO NOT place baits in animal, livestock and poultry houses, associated equipment, and food and feed processing areas.</w:t>
            </w:r>
          </w:p>
          <w:p w14:paraId="76B45BBD" w14:textId="77777777" w:rsidR="008E67EA" w:rsidRPr="00DA769D" w:rsidRDefault="008E67EA" w:rsidP="00B44A74">
            <w:pPr>
              <w:spacing w:line="280" w:lineRule="exact"/>
              <w:rPr>
                <w:rFonts w:cs="Arial"/>
                <w:sz w:val="20"/>
                <w:szCs w:val="20"/>
              </w:rPr>
            </w:pPr>
            <w:r w:rsidRPr="00DA769D">
              <w:rPr>
                <w:rFonts w:cs="Arial"/>
                <w:sz w:val="20"/>
                <w:szCs w:val="20"/>
              </w:rPr>
              <w:t>DO NOT use the product in pulsed baiting treatments.</w:t>
            </w:r>
          </w:p>
        </w:tc>
      </w:tr>
      <w:tr w:rsidR="008E67EA" w:rsidRPr="00DA769D" w14:paraId="4170C34E" w14:textId="77777777" w:rsidTr="00B44A74">
        <w:trPr>
          <w:jc w:val="center"/>
        </w:trPr>
        <w:tc>
          <w:tcPr>
            <w:tcW w:w="2415" w:type="dxa"/>
            <w:tcBorders>
              <w:top w:val="single" w:sz="4" w:space="0" w:color="auto"/>
              <w:left w:val="nil"/>
              <w:bottom w:val="single" w:sz="4" w:space="0" w:color="auto"/>
              <w:right w:val="nil"/>
            </w:tcBorders>
          </w:tcPr>
          <w:p w14:paraId="599D5ED3" w14:textId="77777777" w:rsidR="008E67EA" w:rsidRPr="00DA769D"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54BA11F" w14:textId="77777777" w:rsidR="008E67EA" w:rsidRPr="00DA769D" w:rsidRDefault="008E67EA" w:rsidP="00B44A74">
            <w:pPr>
              <w:spacing w:line="280" w:lineRule="exact"/>
              <w:rPr>
                <w:rFonts w:cs="Arial"/>
                <w:sz w:val="20"/>
                <w:szCs w:val="20"/>
              </w:rPr>
            </w:pPr>
          </w:p>
        </w:tc>
      </w:tr>
      <w:tr w:rsidR="008E67EA" w:rsidRPr="00DA769D" w14:paraId="1FCEFE6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E016526" w14:textId="77777777" w:rsidR="008E67EA" w:rsidRPr="00DA769D" w:rsidRDefault="008E67EA" w:rsidP="00B44A74">
            <w:pPr>
              <w:spacing w:line="280" w:lineRule="exact"/>
              <w:rPr>
                <w:rFonts w:cs="Arial"/>
                <w:sz w:val="20"/>
                <w:szCs w:val="20"/>
              </w:rPr>
            </w:pPr>
            <w:r w:rsidRPr="00DA769D">
              <w:rPr>
                <w:rFonts w:cs="Arial"/>
                <w:sz w:val="20"/>
                <w:szCs w:val="20"/>
              </w:rPr>
              <w:t>How to Use</w:t>
            </w:r>
          </w:p>
        </w:tc>
        <w:tc>
          <w:tcPr>
            <w:tcW w:w="7755" w:type="dxa"/>
            <w:tcBorders>
              <w:top w:val="single" w:sz="4" w:space="0" w:color="auto"/>
              <w:left w:val="single" w:sz="4" w:space="0" w:color="auto"/>
              <w:bottom w:val="single" w:sz="4" w:space="0" w:color="auto"/>
              <w:right w:val="single" w:sz="4" w:space="0" w:color="auto"/>
            </w:tcBorders>
          </w:tcPr>
          <w:p w14:paraId="3692262B" w14:textId="77777777" w:rsidR="008E67EA" w:rsidRPr="00DA769D" w:rsidRDefault="008E67EA" w:rsidP="00B44A74">
            <w:pPr>
              <w:spacing w:line="280" w:lineRule="exact"/>
              <w:rPr>
                <w:rFonts w:cs="Arial"/>
                <w:sz w:val="20"/>
                <w:szCs w:val="20"/>
              </w:rPr>
            </w:pPr>
            <w:r w:rsidRPr="00B832BB">
              <w:rPr>
                <w:rFonts w:cs="Arial"/>
                <w:sz w:val="20"/>
                <w:szCs w:val="20"/>
              </w:rPr>
              <w:t>[This section contains an attachment below]</w:t>
            </w:r>
          </w:p>
        </w:tc>
      </w:tr>
      <w:tr w:rsidR="008E67EA" w:rsidRPr="00DA769D" w14:paraId="1EC1D1B5" w14:textId="77777777" w:rsidTr="00B44A74">
        <w:trPr>
          <w:jc w:val="center"/>
        </w:trPr>
        <w:tc>
          <w:tcPr>
            <w:tcW w:w="2415" w:type="dxa"/>
            <w:tcBorders>
              <w:top w:val="single" w:sz="4" w:space="0" w:color="auto"/>
              <w:left w:val="nil"/>
              <w:bottom w:val="single" w:sz="4" w:space="0" w:color="auto"/>
              <w:right w:val="nil"/>
            </w:tcBorders>
          </w:tcPr>
          <w:p w14:paraId="6302E439" w14:textId="77777777" w:rsidR="008E67EA" w:rsidRPr="00DA769D"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0FA55FF" w14:textId="77777777" w:rsidR="008E67EA" w:rsidRPr="00DA769D" w:rsidRDefault="008E67EA" w:rsidP="00B44A74">
            <w:pPr>
              <w:spacing w:line="280" w:lineRule="exact"/>
              <w:rPr>
                <w:rFonts w:cs="Arial"/>
                <w:sz w:val="20"/>
                <w:szCs w:val="20"/>
              </w:rPr>
            </w:pPr>
          </w:p>
        </w:tc>
      </w:tr>
      <w:tr w:rsidR="008E67EA" w:rsidRPr="00DA769D" w14:paraId="3F80A929"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C96DDD5" w14:textId="77777777" w:rsidR="008E67EA" w:rsidRPr="00DA769D" w:rsidRDefault="008E67EA" w:rsidP="00B44A74">
            <w:pPr>
              <w:spacing w:line="280" w:lineRule="exact"/>
              <w:rPr>
                <w:rFonts w:cs="Arial"/>
                <w:sz w:val="20"/>
                <w:szCs w:val="20"/>
              </w:rPr>
            </w:pPr>
            <w:r w:rsidRPr="00DA769D">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12C8E187" w14:textId="77777777" w:rsidR="008E67EA" w:rsidRPr="00DA769D" w:rsidRDefault="008E67EA" w:rsidP="00B44A74">
            <w:pPr>
              <w:spacing w:line="280" w:lineRule="exact"/>
              <w:rPr>
                <w:rFonts w:cs="Arial"/>
                <w:sz w:val="20"/>
                <w:szCs w:val="20"/>
              </w:rPr>
            </w:pPr>
          </w:p>
        </w:tc>
      </w:tr>
      <w:tr w:rsidR="008E67EA" w:rsidRPr="00DA769D" w14:paraId="0C6D0EC0" w14:textId="77777777" w:rsidTr="00B44A74">
        <w:trPr>
          <w:jc w:val="center"/>
        </w:trPr>
        <w:tc>
          <w:tcPr>
            <w:tcW w:w="2415" w:type="dxa"/>
            <w:tcBorders>
              <w:top w:val="single" w:sz="4" w:space="0" w:color="auto"/>
              <w:left w:val="nil"/>
              <w:bottom w:val="single" w:sz="4" w:space="0" w:color="auto"/>
              <w:right w:val="nil"/>
            </w:tcBorders>
          </w:tcPr>
          <w:p w14:paraId="45E65310" w14:textId="77777777" w:rsidR="008E67EA" w:rsidRPr="00DA769D"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00D61C8" w14:textId="77777777" w:rsidR="008E67EA" w:rsidRPr="00DA769D" w:rsidRDefault="008E67EA" w:rsidP="00B44A74">
            <w:pPr>
              <w:spacing w:line="280" w:lineRule="exact"/>
              <w:rPr>
                <w:rFonts w:cs="Arial"/>
                <w:sz w:val="20"/>
                <w:szCs w:val="20"/>
              </w:rPr>
            </w:pPr>
          </w:p>
        </w:tc>
      </w:tr>
      <w:tr w:rsidR="008E67EA" w:rsidRPr="00DA769D" w14:paraId="611B9F0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EDB8E1A" w14:textId="77777777" w:rsidR="008E67EA" w:rsidRPr="00DA769D" w:rsidRDefault="008E67EA" w:rsidP="00B44A74">
            <w:pPr>
              <w:spacing w:line="280" w:lineRule="exact"/>
              <w:rPr>
                <w:rFonts w:cs="Arial"/>
                <w:sz w:val="20"/>
                <w:szCs w:val="20"/>
              </w:rPr>
            </w:pPr>
            <w:r w:rsidRPr="00DA769D">
              <w:rPr>
                <w:rFonts w:cs="Arial"/>
                <w:sz w:val="20"/>
                <w:szCs w:val="20"/>
              </w:rPr>
              <w:t>How to Prepare</w:t>
            </w:r>
          </w:p>
        </w:tc>
        <w:tc>
          <w:tcPr>
            <w:tcW w:w="7755" w:type="dxa"/>
            <w:tcBorders>
              <w:top w:val="single" w:sz="4" w:space="0" w:color="auto"/>
              <w:left w:val="single" w:sz="4" w:space="0" w:color="auto"/>
              <w:bottom w:val="single" w:sz="4" w:space="0" w:color="auto"/>
              <w:right w:val="single" w:sz="4" w:space="0" w:color="auto"/>
            </w:tcBorders>
          </w:tcPr>
          <w:p w14:paraId="57E757AE" w14:textId="77777777" w:rsidR="008E67EA" w:rsidRPr="00DA769D" w:rsidRDefault="008E67EA" w:rsidP="00B44A74">
            <w:pPr>
              <w:spacing w:line="280" w:lineRule="exact"/>
              <w:rPr>
                <w:rFonts w:cs="Arial"/>
                <w:sz w:val="20"/>
                <w:szCs w:val="20"/>
              </w:rPr>
            </w:pPr>
          </w:p>
        </w:tc>
      </w:tr>
      <w:tr w:rsidR="008E67EA" w:rsidRPr="00DA769D" w14:paraId="713C3A1A" w14:textId="77777777" w:rsidTr="00B44A74">
        <w:trPr>
          <w:jc w:val="center"/>
        </w:trPr>
        <w:tc>
          <w:tcPr>
            <w:tcW w:w="2415" w:type="dxa"/>
            <w:tcBorders>
              <w:top w:val="single" w:sz="4" w:space="0" w:color="auto"/>
              <w:left w:val="nil"/>
              <w:bottom w:val="single" w:sz="4" w:space="0" w:color="auto"/>
              <w:right w:val="nil"/>
            </w:tcBorders>
          </w:tcPr>
          <w:p w14:paraId="7BB1A4B0" w14:textId="77777777" w:rsidR="008E67EA" w:rsidRPr="00DA769D"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907F483" w14:textId="77777777" w:rsidR="008E67EA" w:rsidRPr="00DA769D" w:rsidRDefault="008E67EA" w:rsidP="00B44A74">
            <w:pPr>
              <w:spacing w:line="280" w:lineRule="exact"/>
              <w:rPr>
                <w:rFonts w:cs="Arial"/>
                <w:sz w:val="20"/>
                <w:szCs w:val="20"/>
              </w:rPr>
            </w:pPr>
          </w:p>
        </w:tc>
      </w:tr>
      <w:tr w:rsidR="008E67EA" w:rsidRPr="00DA769D" w14:paraId="2AB710A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E8DE298" w14:textId="77777777" w:rsidR="008E67EA" w:rsidRPr="00DA769D" w:rsidRDefault="008E67EA" w:rsidP="00B44A74">
            <w:pPr>
              <w:spacing w:line="280" w:lineRule="exact"/>
              <w:rPr>
                <w:rFonts w:cs="Arial"/>
                <w:sz w:val="20"/>
                <w:szCs w:val="20"/>
              </w:rPr>
            </w:pPr>
            <w:r w:rsidRPr="00DA769D">
              <w:rPr>
                <w:rFonts w:cs="Arial"/>
                <w:sz w:val="20"/>
                <w:szCs w:val="20"/>
              </w:rPr>
              <w:t>Resistance Warning:</w:t>
            </w:r>
          </w:p>
        </w:tc>
        <w:tc>
          <w:tcPr>
            <w:tcW w:w="7755" w:type="dxa"/>
            <w:tcBorders>
              <w:top w:val="single" w:sz="4" w:space="0" w:color="auto"/>
              <w:left w:val="single" w:sz="4" w:space="0" w:color="auto"/>
              <w:bottom w:val="single" w:sz="4" w:space="0" w:color="auto"/>
              <w:right w:val="single" w:sz="4" w:space="0" w:color="auto"/>
            </w:tcBorders>
          </w:tcPr>
          <w:p w14:paraId="143AB178" w14:textId="77777777" w:rsidR="008E67EA" w:rsidRPr="00DA769D" w:rsidRDefault="008E67EA" w:rsidP="00B44A74">
            <w:pPr>
              <w:spacing w:line="280" w:lineRule="exact"/>
              <w:rPr>
                <w:rFonts w:cs="Arial"/>
                <w:sz w:val="20"/>
                <w:szCs w:val="20"/>
              </w:rPr>
            </w:pPr>
          </w:p>
        </w:tc>
      </w:tr>
      <w:tr w:rsidR="008E67EA" w:rsidRPr="00DA769D" w14:paraId="467E5FB6" w14:textId="77777777" w:rsidTr="00B44A74">
        <w:trPr>
          <w:jc w:val="center"/>
        </w:trPr>
        <w:tc>
          <w:tcPr>
            <w:tcW w:w="2415" w:type="dxa"/>
            <w:tcBorders>
              <w:top w:val="single" w:sz="4" w:space="0" w:color="auto"/>
              <w:left w:val="nil"/>
              <w:bottom w:val="single" w:sz="4" w:space="0" w:color="auto"/>
              <w:right w:val="nil"/>
            </w:tcBorders>
          </w:tcPr>
          <w:p w14:paraId="4C078CA5" w14:textId="77777777" w:rsidR="008E67EA" w:rsidRPr="00DA769D"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8AB80F0" w14:textId="77777777" w:rsidR="008E67EA" w:rsidRPr="00DA769D" w:rsidRDefault="008E67EA" w:rsidP="00B44A74">
            <w:pPr>
              <w:spacing w:line="280" w:lineRule="exact"/>
              <w:rPr>
                <w:rFonts w:cs="Arial"/>
                <w:sz w:val="20"/>
                <w:szCs w:val="20"/>
              </w:rPr>
            </w:pPr>
          </w:p>
        </w:tc>
      </w:tr>
      <w:tr w:rsidR="008E67EA" w:rsidRPr="00DA769D" w14:paraId="7844889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92AB1DD" w14:textId="77777777" w:rsidR="008E67EA" w:rsidRPr="00DA769D" w:rsidRDefault="008E67EA" w:rsidP="00B44A74">
            <w:pPr>
              <w:spacing w:line="280" w:lineRule="exact"/>
              <w:rPr>
                <w:rFonts w:cs="Arial"/>
                <w:sz w:val="20"/>
                <w:szCs w:val="20"/>
              </w:rPr>
            </w:pPr>
            <w:r w:rsidRPr="00DA769D">
              <w:rPr>
                <w:rFonts w:cs="Arial"/>
                <w:sz w:val="20"/>
                <w:szCs w:val="20"/>
              </w:rPr>
              <w:t>Precautions:</w:t>
            </w:r>
          </w:p>
        </w:tc>
        <w:tc>
          <w:tcPr>
            <w:tcW w:w="7755" w:type="dxa"/>
            <w:tcBorders>
              <w:top w:val="single" w:sz="4" w:space="0" w:color="auto"/>
              <w:left w:val="single" w:sz="4" w:space="0" w:color="auto"/>
              <w:bottom w:val="single" w:sz="4" w:space="0" w:color="auto"/>
              <w:right w:val="single" w:sz="4" w:space="0" w:color="auto"/>
            </w:tcBorders>
          </w:tcPr>
          <w:p w14:paraId="75F668F0" w14:textId="77777777" w:rsidR="008E67EA" w:rsidRPr="00DA769D" w:rsidRDefault="008E67EA" w:rsidP="00B44A74">
            <w:pPr>
              <w:spacing w:line="280" w:lineRule="exact"/>
              <w:rPr>
                <w:rFonts w:cs="Arial"/>
                <w:sz w:val="20"/>
                <w:szCs w:val="20"/>
              </w:rPr>
            </w:pPr>
            <w:r w:rsidRPr="00DA769D">
              <w:rPr>
                <w:rFonts w:cs="Arial"/>
                <w:sz w:val="20"/>
                <w:szCs w:val="20"/>
              </w:rPr>
              <w:t>CAUTION</w:t>
            </w:r>
          </w:p>
          <w:p w14:paraId="0924B08F" w14:textId="77777777" w:rsidR="008E67EA" w:rsidRPr="00DA769D" w:rsidRDefault="008E67EA" w:rsidP="00B44A74">
            <w:pPr>
              <w:spacing w:line="280" w:lineRule="exact"/>
              <w:rPr>
                <w:rFonts w:cs="Arial"/>
                <w:sz w:val="20"/>
                <w:szCs w:val="20"/>
              </w:rPr>
            </w:pPr>
            <w:r w:rsidRPr="00DA769D">
              <w:rPr>
                <w:rFonts w:cs="Arial"/>
                <w:sz w:val="20"/>
                <w:szCs w:val="20"/>
              </w:rPr>
              <w:t>Caution should be used when baiting near areas where hunting of wildlife may occur. Careful consideration of bait placement is necessary to avoid secondary exposure from contaminated wildlife that may be consumed.</w:t>
            </w:r>
          </w:p>
          <w:p w14:paraId="5F960AAE" w14:textId="77777777" w:rsidR="008E67EA" w:rsidRPr="00DA769D" w:rsidRDefault="008E67EA" w:rsidP="00B44A74">
            <w:pPr>
              <w:spacing w:line="280" w:lineRule="exact"/>
              <w:rPr>
                <w:rFonts w:cs="Arial"/>
                <w:sz w:val="20"/>
                <w:szCs w:val="20"/>
              </w:rPr>
            </w:pPr>
            <w:r w:rsidRPr="00DA769D">
              <w:rPr>
                <w:rFonts w:cs="Arial"/>
                <w:sz w:val="20"/>
                <w:szCs w:val="20"/>
              </w:rPr>
              <w:t>DO NOT place bait in areas where there is a possibility of contaminating food, livestock feed or surfaces that come in direct contact with food or livestock feed.</w:t>
            </w:r>
          </w:p>
          <w:p w14:paraId="1A249FE9" w14:textId="77777777" w:rsidR="008E67EA" w:rsidRPr="00DA769D" w:rsidRDefault="008E67EA" w:rsidP="00B44A74">
            <w:pPr>
              <w:spacing w:line="280" w:lineRule="exact"/>
              <w:rPr>
                <w:rFonts w:cs="Arial"/>
                <w:sz w:val="20"/>
                <w:szCs w:val="20"/>
              </w:rPr>
            </w:pPr>
          </w:p>
          <w:p w14:paraId="0A177A4D" w14:textId="77777777" w:rsidR="008E67EA" w:rsidRPr="00DA769D" w:rsidRDefault="008E67EA" w:rsidP="00B44A74">
            <w:pPr>
              <w:spacing w:line="280" w:lineRule="exact"/>
              <w:rPr>
                <w:rFonts w:cs="Arial"/>
                <w:sz w:val="20"/>
                <w:szCs w:val="20"/>
              </w:rPr>
            </w:pPr>
            <w:r w:rsidRPr="00DA769D">
              <w:rPr>
                <w:rFonts w:cs="Arial"/>
                <w:sz w:val="20"/>
                <w:szCs w:val="20"/>
              </w:rPr>
              <w:t>PROTECTION OF LIVESTOCK AND WILDLIFE</w:t>
            </w:r>
          </w:p>
          <w:p w14:paraId="41BB887B" w14:textId="77777777" w:rsidR="008E67EA" w:rsidRPr="00DA769D" w:rsidRDefault="008E67EA" w:rsidP="00B44A74">
            <w:pPr>
              <w:spacing w:line="280" w:lineRule="exact"/>
              <w:rPr>
                <w:rFonts w:cs="Arial"/>
                <w:sz w:val="20"/>
                <w:szCs w:val="20"/>
              </w:rPr>
            </w:pPr>
            <w:r w:rsidRPr="00DA769D">
              <w:rPr>
                <w:rFonts w:cs="Arial"/>
                <w:sz w:val="20"/>
                <w:szCs w:val="20"/>
              </w:rPr>
              <w:t>Hazardous to livestock, poultry and wildlife. DO NOT place baits in locations that are accessible to domestic animals, livestock, non-target native animals or birds.</w:t>
            </w:r>
          </w:p>
          <w:p w14:paraId="526FAC7A" w14:textId="77777777" w:rsidR="008E67EA" w:rsidRPr="00DA769D" w:rsidRDefault="008E67EA" w:rsidP="00B44A74">
            <w:pPr>
              <w:spacing w:line="280" w:lineRule="exact"/>
              <w:rPr>
                <w:rFonts w:cs="Arial"/>
                <w:sz w:val="20"/>
                <w:szCs w:val="20"/>
              </w:rPr>
            </w:pPr>
            <w:r w:rsidRPr="00DA769D">
              <w:rPr>
                <w:rFonts w:cs="Arial"/>
                <w:sz w:val="20"/>
                <w:szCs w:val="20"/>
              </w:rPr>
              <w:t xml:space="preserve">Search for and dispose of dead rodents and slugs/snails in the infested area at each visit to prevent secondary poisoning. In case slugs/snails are present, move bait station to another location within the rodent infested site, away from slugs/snails. Dispose of slugs/snails, dead rodents and uneaten bait by wrapping in paper, placing in plastic bag and putting in garbage. </w:t>
            </w:r>
          </w:p>
          <w:p w14:paraId="21389D56" w14:textId="77777777" w:rsidR="008E67EA" w:rsidRPr="00DA769D" w:rsidRDefault="008E67EA" w:rsidP="00B44A74">
            <w:pPr>
              <w:spacing w:line="280" w:lineRule="exact"/>
              <w:rPr>
                <w:rFonts w:cs="Arial"/>
                <w:sz w:val="20"/>
                <w:szCs w:val="20"/>
              </w:rPr>
            </w:pPr>
            <w:r w:rsidRPr="00DA769D">
              <w:rPr>
                <w:rFonts w:cs="Arial"/>
                <w:sz w:val="20"/>
                <w:szCs w:val="20"/>
              </w:rPr>
              <w:t>DO NOT allow livestock or poultry to consume dead or moribund mice and rats. All dead or moribund animals and rodent faeces from baited rodents MUST be removed from areas accessible to livestock or poultry.</w:t>
            </w:r>
          </w:p>
          <w:p w14:paraId="13F8BDFE" w14:textId="77777777" w:rsidR="008E67EA" w:rsidRPr="00AE60A7" w:rsidRDefault="008E67EA" w:rsidP="00B44A74">
            <w:pPr>
              <w:spacing w:line="280" w:lineRule="exact"/>
              <w:rPr>
                <w:rFonts w:cs="Arial"/>
                <w:sz w:val="20"/>
                <w:szCs w:val="20"/>
              </w:rPr>
            </w:pPr>
            <w:r w:rsidRPr="00AE60A7">
              <w:rPr>
                <w:rFonts w:cs="Arial"/>
                <w:sz w:val="20"/>
                <w:szCs w:val="20"/>
              </w:rPr>
              <w:t>DO NOT let cats, dogs or non-target animals eat poisoned mice.</w:t>
            </w:r>
          </w:p>
          <w:p w14:paraId="489D7345" w14:textId="77777777" w:rsidR="008E67EA" w:rsidRPr="00DA769D" w:rsidRDefault="008E67EA" w:rsidP="00B44A74">
            <w:pPr>
              <w:spacing w:line="280" w:lineRule="exact"/>
              <w:rPr>
                <w:rFonts w:cs="Arial"/>
                <w:sz w:val="20"/>
                <w:szCs w:val="20"/>
              </w:rPr>
            </w:pPr>
            <w:r w:rsidRPr="00AE60A7">
              <w:rPr>
                <w:rFonts w:cs="Arial"/>
                <w:sz w:val="20"/>
                <w:szCs w:val="20"/>
              </w:rPr>
              <w:lastRenderedPageBreak/>
              <w:t>DO NOT use this product to control native animals.</w:t>
            </w:r>
          </w:p>
          <w:p w14:paraId="5B5BE82B" w14:textId="77777777" w:rsidR="008E67EA" w:rsidRPr="00DA769D" w:rsidRDefault="008E67EA" w:rsidP="00B44A74">
            <w:pPr>
              <w:spacing w:line="280" w:lineRule="exact"/>
              <w:rPr>
                <w:rFonts w:cs="Arial"/>
                <w:sz w:val="20"/>
                <w:szCs w:val="20"/>
              </w:rPr>
            </w:pPr>
          </w:p>
          <w:p w14:paraId="6FE6AC1C" w14:textId="77777777" w:rsidR="008E67EA" w:rsidRPr="00DA769D" w:rsidRDefault="008E67EA" w:rsidP="00B44A74">
            <w:pPr>
              <w:spacing w:line="280" w:lineRule="exact"/>
              <w:rPr>
                <w:rFonts w:cs="Arial"/>
                <w:sz w:val="20"/>
                <w:szCs w:val="20"/>
              </w:rPr>
            </w:pPr>
            <w:r w:rsidRPr="00DA769D">
              <w:rPr>
                <w:rFonts w:cs="Arial"/>
                <w:sz w:val="20"/>
                <w:szCs w:val="20"/>
              </w:rPr>
              <w:t>PROTECTION OF FISH, CRUSTACEANS AND ENVIRONMENT</w:t>
            </w:r>
          </w:p>
          <w:p w14:paraId="7F659CFD" w14:textId="77777777" w:rsidR="008E67EA" w:rsidRPr="00DA769D" w:rsidRDefault="008E67EA" w:rsidP="00B44A74">
            <w:pPr>
              <w:spacing w:line="280" w:lineRule="exact"/>
              <w:rPr>
                <w:rFonts w:cs="Arial"/>
                <w:sz w:val="20"/>
                <w:szCs w:val="20"/>
              </w:rPr>
            </w:pPr>
            <w:r w:rsidRPr="00DA769D">
              <w:rPr>
                <w:rFonts w:cs="Arial"/>
                <w:sz w:val="20"/>
                <w:szCs w:val="20"/>
              </w:rPr>
              <w:t>Very toxic to aquatic life. DO NOT contaminate wetlands or watercourses with this product or used containers. Place the bait stations in areas not liable to flooding. When placing bait stations close to water drainage systems, ensure that bait contact with water is avoided.</w:t>
            </w:r>
          </w:p>
        </w:tc>
      </w:tr>
      <w:tr w:rsidR="008E67EA" w:rsidRPr="00DA769D" w14:paraId="7752B780" w14:textId="77777777" w:rsidTr="00B44A74">
        <w:trPr>
          <w:jc w:val="center"/>
        </w:trPr>
        <w:tc>
          <w:tcPr>
            <w:tcW w:w="2415" w:type="dxa"/>
            <w:tcBorders>
              <w:top w:val="single" w:sz="4" w:space="0" w:color="auto"/>
              <w:left w:val="nil"/>
              <w:bottom w:val="single" w:sz="4" w:space="0" w:color="auto"/>
              <w:right w:val="nil"/>
            </w:tcBorders>
          </w:tcPr>
          <w:p w14:paraId="783A3F8F" w14:textId="77777777" w:rsidR="008E67EA" w:rsidRPr="00DA769D"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DA53E44" w14:textId="77777777" w:rsidR="008E67EA" w:rsidRPr="00DA769D" w:rsidRDefault="008E67EA" w:rsidP="00B44A74">
            <w:pPr>
              <w:spacing w:line="280" w:lineRule="exact"/>
              <w:rPr>
                <w:rFonts w:cs="Arial"/>
                <w:sz w:val="20"/>
                <w:szCs w:val="20"/>
              </w:rPr>
            </w:pPr>
          </w:p>
        </w:tc>
      </w:tr>
      <w:tr w:rsidR="008E67EA" w:rsidRPr="00DA769D" w14:paraId="7393D98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B56B2FE" w14:textId="77777777" w:rsidR="008E67EA" w:rsidRPr="00DA769D" w:rsidRDefault="008E67EA" w:rsidP="00B44A74">
            <w:pPr>
              <w:spacing w:line="280" w:lineRule="exact"/>
              <w:rPr>
                <w:rFonts w:cs="Arial"/>
                <w:sz w:val="20"/>
                <w:szCs w:val="20"/>
              </w:rPr>
            </w:pPr>
            <w:r w:rsidRPr="00DA769D">
              <w:rPr>
                <w:rFonts w:cs="Arial"/>
                <w:sz w:val="20"/>
                <w:szCs w:val="20"/>
              </w:rPr>
              <w:t>Protections:</w:t>
            </w:r>
          </w:p>
        </w:tc>
        <w:tc>
          <w:tcPr>
            <w:tcW w:w="7755" w:type="dxa"/>
            <w:tcBorders>
              <w:top w:val="single" w:sz="4" w:space="0" w:color="auto"/>
              <w:left w:val="single" w:sz="4" w:space="0" w:color="auto"/>
              <w:bottom w:val="single" w:sz="4" w:space="0" w:color="auto"/>
              <w:right w:val="single" w:sz="4" w:space="0" w:color="auto"/>
            </w:tcBorders>
          </w:tcPr>
          <w:p w14:paraId="081DA01B" w14:textId="77777777" w:rsidR="008E67EA" w:rsidRPr="00DA769D" w:rsidRDefault="008E67EA" w:rsidP="00B44A74">
            <w:pPr>
              <w:spacing w:line="280" w:lineRule="exact"/>
              <w:rPr>
                <w:rFonts w:cs="Arial"/>
                <w:sz w:val="20"/>
                <w:szCs w:val="20"/>
              </w:rPr>
            </w:pPr>
          </w:p>
        </w:tc>
      </w:tr>
      <w:tr w:rsidR="008E67EA" w:rsidRPr="00DA769D" w14:paraId="15BB6049" w14:textId="77777777" w:rsidTr="00B44A74">
        <w:trPr>
          <w:jc w:val="center"/>
        </w:trPr>
        <w:tc>
          <w:tcPr>
            <w:tcW w:w="2415" w:type="dxa"/>
            <w:tcBorders>
              <w:top w:val="single" w:sz="4" w:space="0" w:color="auto"/>
              <w:left w:val="nil"/>
              <w:bottom w:val="single" w:sz="4" w:space="0" w:color="auto"/>
              <w:right w:val="nil"/>
            </w:tcBorders>
          </w:tcPr>
          <w:p w14:paraId="0A0C6F27" w14:textId="77777777" w:rsidR="008E67EA" w:rsidRPr="00DA769D"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A10E8B0" w14:textId="77777777" w:rsidR="008E67EA" w:rsidRPr="00DA769D" w:rsidRDefault="008E67EA" w:rsidP="00B44A74">
            <w:pPr>
              <w:spacing w:line="280" w:lineRule="exact"/>
              <w:rPr>
                <w:rFonts w:cs="Arial"/>
                <w:sz w:val="20"/>
                <w:szCs w:val="20"/>
              </w:rPr>
            </w:pPr>
          </w:p>
        </w:tc>
      </w:tr>
      <w:tr w:rsidR="008E67EA" w:rsidRPr="00DA769D" w14:paraId="0128454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0699AC6" w14:textId="77777777" w:rsidR="008E67EA" w:rsidRPr="00DA769D" w:rsidRDefault="008E67EA" w:rsidP="00B44A74">
            <w:pPr>
              <w:spacing w:line="280" w:lineRule="exact"/>
              <w:rPr>
                <w:rFonts w:cs="Arial"/>
                <w:sz w:val="20"/>
                <w:szCs w:val="20"/>
              </w:rPr>
            </w:pPr>
            <w:r w:rsidRPr="00DA769D">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7E6377FD" w14:textId="77777777" w:rsidR="008E67EA" w:rsidRPr="00DA769D" w:rsidRDefault="008E67EA" w:rsidP="00B44A74">
            <w:pPr>
              <w:spacing w:line="280" w:lineRule="exact"/>
              <w:rPr>
                <w:rFonts w:cs="Arial"/>
                <w:sz w:val="20"/>
                <w:szCs w:val="20"/>
              </w:rPr>
            </w:pPr>
            <w:r w:rsidRPr="00DA769D">
              <w:rPr>
                <w:rFonts w:cs="Arial"/>
                <w:sz w:val="20"/>
                <w:szCs w:val="20"/>
              </w:rPr>
              <w:t>STORAGE AND DISPOSAL</w:t>
            </w:r>
          </w:p>
          <w:p w14:paraId="48FF31DA" w14:textId="65B568F5" w:rsidR="008E67EA" w:rsidRPr="00DA769D" w:rsidRDefault="008E67EA" w:rsidP="00B44A74">
            <w:pPr>
              <w:spacing w:line="280" w:lineRule="exact"/>
              <w:rPr>
                <w:rFonts w:cs="Arial"/>
                <w:sz w:val="20"/>
                <w:szCs w:val="20"/>
              </w:rPr>
            </w:pPr>
            <w:r w:rsidRPr="00DA769D">
              <w:rPr>
                <w:rFonts w:cs="Arial"/>
                <w:sz w:val="20"/>
                <w:szCs w:val="20"/>
              </w:rPr>
              <w:t>Store in the closed, original container in a cool, dry, place out of reach of children. Do not store in direct sunlight. Dispose of empty containers</w:t>
            </w:r>
            <w:r>
              <w:rPr>
                <w:rFonts w:cs="Arial"/>
                <w:sz w:val="20"/>
                <w:szCs w:val="20"/>
              </w:rPr>
              <w:t xml:space="preserve"> and unused product</w:t>
            </w:r>
            <w:r w:rsidRPr="00DA769D">
              <w:rPr>
                <w:rFonts w:cs="Arial"/>
                <w:sz w:val="20"/>
                <w:szCs w:val="20"/>
              </w:rPr>
              <w:t xml:space="preserve"> by wrapping in paper placing in plastic bag and putting in garbage.</w:t>
            </w:r>
          </w:p>
        </w:tc>
      </w:tr>
      <w:tr w:rsidR="008E67EA" w:rsidRPr="00DA769D" w14:paraId="34CBA6CE" w14:textId="77777777" w:rsidTr="00B44A74">
        <w:trPr>
          <w:jc w:val="center"/>
        </w:trPr>
        <w:tc>
          <w:tcPr>
            <w:tcW w:w="2415" w:type="dxa"/>
            <w:tcBorders>
              <w:top w:val="single" w:sz="4" w:space="0" w:color="auto"/>
              <w:left w:val="nil"/>
              <w:bottom w:val="single" w:sz="4" w:space="0" w:color="auto"/>
              <w:right w:val="nil"/>
            </w:tcBorders>
          </w:tcPr>
          <w:p w14:paraId="00F74AEE" w14:textId="77777777" w:rsidR="008E67EA" w:rsidRPr="00DA769D"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A024988" w14:textId="77777777" w:rsidR="008E67EA" w:rsidRPr="00DA769D" w:rsidRDefault="008E67EA" w:rsidP="00B44A74">
            <w:pPr>
              <w:spacing w:line="280" w:lineRule="exact"/>
              <w:rPr>
                <w:rFonts w:cs="Arial"/>
                <w:sz w:val="20"/>
                <w:szCs w:val="20"/>
              </w:rPr>
            </w:pPr>
          </w:p>
        </w:tc>
      </w:tr>
      <w:tr w:rsidR="008E67EA" w:rsidRPr="00DA769D" w14:paraId="0593CF1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3CB0777" w14:textId="77777777" w:rsidR="008E67EA" w:rsidRPr="00DA769D" w:rsidRDefault="008E67EA" w:rsidP="00B44A74">
            <w:pPr>
              <w:spacing w:line="280" w:lineRule="exact"/>
              <w:rPr>
                <w:rFonts w:cs="Arial"/>
                <w:sz w:val="20"/>
                <w:szCs w:val="20"/>
              </w:rPr>
            </w:pPr>
            <w:r w:rsidRPr="00DA769D">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1EEA1B2A" w14:textId="77777777" w:rsidR="008E67EA" w:rsidRPr="00DA769D" w:rsidRDefault="008E67EA" w:rsidP="00B44A74">
            <w:pPr>
              <w:spacing w:line="280" w:lineRule="exact"/>
              <w:rPr>
                <w:rFonts w:cs="Arial"/>
                <w:sz w:val="20"/>
                <w:szCs w:val="20"/>
              </w:rPr>
            </w:pPr>
            <w:r w:rsidRPr="00DA769D">
              <w:rPr>
                <w:rFonts w:cs="Arial"/>
                <w:sz w:val="20"/>
                <w:szCs w:val="20"/>
              </w:rPr>
              <w:t>SAFETY DIRECTIONS</w:t>
            </w:r>
          </w:p>
          <w:p w14:paraId="1620DB90" w14:textId="4EE437F3" w:rsidR="008E67EA" w:rsidRPr="00DA769D" w:rsidRDefault="008E67EA" w:rsidP="00B44A74">
            <w:pPr>
              <w:spacing w:line="280" w:lineRule="exact"/>
              <w:rPr>
                <w:rFonts w:cs="Arial"/>
                <w:sz w:val="20"/>
                <w:szCs w:val="20"/>
              </w:rPr>
            </w:pPr>
            <w:r w:rsidRPr="00DA769D">
              <w:rPr>
                <w:rFonts w:cs="Arial"/>
                <w:sz w:val="20"/>
                <w:szCs w:val="20"/>
              </w:rPr>
              <w:t>Repeated minor exposure may have a cumulative poisoning effect. Do not touch bait, use scoop or measure. When using the product wear disposable gloves. If on skin and after each baiting, wash thoroughly with soap and water. During cleanup and disposal operations of bait and bait stations, wear a single layer of clothing and disposable gloves. Wear disposable gloves when handling rodent carcasses. Wash clothes after performing re-handling activities.</w:t>
            </w:r>
          </w:p>
        </w:tc>
      </w:tr>
      <w:tr w:rsidR="008E67EA" w:rsidRPr="00DA769D" w14:paraId="604E20C3" w14:textId="77777777" w:rsidTr="00B44A74">
        <w:trPr>
          <w:jc w:val="center"/>
        </w:trPr>
        <w:tc>
          <w:tcPr>
            <w:tcW w:w="2415" w:type="dxa"/>
            <w:tcBorders>
              <w:top w:val="single" w:sz="4" w:space="0" w:color="auto"/>
              <w:left w:val="nil"/>
              <w:bottom w:val="single" w:sz="4" w:space="0" w:color="auto"/>
              <w:right w:val="nil"/>
            </w:tcBorders>
          </w:tcPr>
          <w:p w14:paraId="127D3250" w14:textId="77777777" w:rsidR="008E67EA" w:rsidRPr="00DA769D"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7FFEDAE" w14:textId="77777777" w:rsidR="008E67EA" w:rsidRPr="00DA769D" w:rsidRDefault="008E67EA" w:rsidP="00B44A74">
            <w:pPr>
              <w:spacing w:line="280" w:lineRule="exact"/>
              <w:rPr>
                <w:rFonts w:cs="Arial"/>
                <w:sz w:val="20"/>
                <w:szCs w:val="20"/>
              </w:rPr>
            </w:pPr>
          </w:p>
        </w:tc>
      </w:tr>
      <w:tr w:rsidR="008E67EA" w:rsidRPr="00DA769D" w14:paraId="1DEC3D4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04BB441" w14:textId="77777777" w:rsidR="008E67EA" w:rsidRPr="00DA769D" w:rsidRDefault="008E67EA" w:rsidP="00B44A74">
            <w:pPr>
              <w:spacing w:line="280" w:lineRule="exact"/>
              <w:rPr>
                <w:rFonts w:cs="Arial"/>
                <w:sz w:val="20"/>
                <w:szCs w:val="20"/>
              </w:rPr>
            </w:pPr>
            <w:r w:rsidRPr="00DA769D">
              <w:rPr>
                <w:rFonts w:cs="Arial"/>
                <w:sz w:val="20"/>
                <w:szCs w:val="20"/>
              </w:rPr>
              <w:t>First Aid Instructions:</w:t>
            </w:r>
          </w:p>
        </w:tc>
        <w:tc>
          <w:tcPr>
            <w:tcW w:w="7755" w:type="dxa"/>
            <w:tcBorders>
              <w:top w:val="single" w:sz="4" w:space="0" w:color="auto"/>
              <w:left w:val="single" w:sz="4" w:space="0" w:color="auto"/>
              <w:bottom w:val="single" w:sz="4" w:space="0" w:color="auto"/>
              <w:right w:val="single" w:sz="4" w:space="0" w:color="auto"/>
            </w:tcBorders>
          </w:tcPr>
          <w:p w14:paraId="634EEC2A" w14:textId="77777777" w:rsidR="008E67EA" w:rsidRPr="00DA769D" w:rsidRDefault="008E67EA" w:rsidP="00B44A74">
            <w:pPr>
              <w:spacing w:line="280" w:lineRule="exact"/>
              <w:rPr>
                <w:rFonts w:cs="Arial"/>
                <w:sz w:val="20"/>
                <w:szCs w:val="20"/>
              </w:rPr>
            </w:pPr>
            <w:r w:rsidRPr="00DA769D">
              <w:rPr>
                <w:rFonts w:cs="Arial"/>
                <w:sz w:val="20"/>
                <w:szCs w:val="20"/>
              </w:rPr>
              <w:t>FIRST AID</w:t>
            </w:r>
          </w:p>
          <w:p w14:paraId="65C6FD31" w14:textId="77777777" w:rsidR="008E67EA" w:rsidRPr="00DA769D" w:rsidRDefault="008E67EA" w:rsidP="00B44A74">
            <w:pPr>
              <w:spacing w:line="280" w:lineRule="exact"/>
              <w:rPr>
                <w:rFonts w:cs="Arial"/>
                <w:sz w:val="20"/>
                <w:szCs w:val="20"/>
              </w:rPr>
            </w:pPr>
            <w:r w:rsidRPr="00DA769D">
              <w:rPr>
                <w:rFonts w:cs="Arial"/>
                <w:sz w:val="20"/>
                <w:szCs w:val="20"/>
              </w:rPr>
              <w:t>If poisoning occurs, contact a doctor or Poisons Information Centre. Phone Australia 13 11 26, New Zealand 0800 764 766. Vitamin K1 (Phytomenadione) is antidotal.</w:t>
            </w:r>
          </w:p>
        </w:tc>
      </w:tr>
      <w:tr w:rsidR="008E67EA" w:rsidRPr="00DA769D" w14:paraId="797E9E7A" w14:textId="77777777" w:rsidTr="00B44A74">
        <w:trPr>
          <w:jc w:val="center"/>
        </w:trPr>
        <w:tc>
          <w:tcPr>
            <w:tcW w:w="2415" w:type="dxa"/>
            <w:tcBorders>
              <w:top w:val="single" w:sz="4" w:space="0" w:color="auto"/>
              <w:left w:val="nil"/>
              <w:bottom w:val="single" w:sz="4" w:space="0" w:color="auto"/>
              <w:right w:val="nil"/>
            </w:tcBorders>
          </w:tcPr>
          <w:p w14:paraId="0AF6DB81" w14:textId="77777777" w:rsidR="008E67EA" w:rsidRPr="00DA769D"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B4FA520" w14:textId="77777777" w:rsidR="008E67EA" w:rsidRPr="00DA769D" w:rsidRDefault="008E67EA" w:rsidP="00B44A74">
            <w:pPr>
              <w:spacing w:line="280" w:lineRule="exact"/>
              <w:rPr>
                <w:rFonts w:cs="Arial"/>
                <w:sz w:val="20"/>
                <w:szCs w:val="20"/>
              </w:rPr>
            </w:pPr>
          </w:p>
        </w:tc>
      </w:tr>
      <w:tr w:rsidR="008E67EA" w:rsidRPr="00DA769D" w14:paraId="1430897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992B711" w14:textId="77777777" w:rsidR="008E67EA" w:rsidRPr="00DA769D" w:rsidRDefault="008E67EA" w:rsidP="00B44A74">
            <w:pPr>
              <w:spacing w:line="280" w:lineRule="exact"/>
              <w:rPr>
                <w:rFonts w:cs="Arial"/>
                <w:sz w:val="20"/>
                <w:szCs w:val="20"/>
              </w:rPr>
            </w:pPr>
            <w:r w:rsidRPr="00DA769D">
              <w:rPr>
                <w:rFonts w:cs="Arial"/>
                <w:sz w:val="20"/>
                <w:szCs w:val="20"/>
              </w:rPr>
              <w:t>First Aid Warnings:</w:t>
            </w:r>
          </w:p>
        </w:tc>
        <w:tc>
          <w:tcPr>
            <w:tcW w:w="7755" w:type="dxa"/>
            <w:tcBorders>
              <w:top w:val="single" w:sz="4" w:space="0" w:color="auto"/>
              <w:left w:val="single" w:sz="4" w:space="0" w:color="auto"/>
              <w:bottom w:val="single" w:sz="4" w:space="0" w:color="auto"/>
              <w:right w:val="single" w:sz="4" w:space="0" w:color="auto"/>
            </w:tcBorders>
          </w:tcPr>
          <w:p w14:paraId="5C85CDAF" w14:textId="77777777" w:rsidR="008E67EA" w:rsidRPr="00DA769D" w:rsidRDefault="008E67EA" w:rsidP="00B44A74">
            <w:pPr>
              <w:spacing w:line="280" w:lineRule="exact"/>
              <w:rPr>
                <w:rFonts w:cs="Arial"/>
                <w:sz w:val="20"/>
                <w:szCs w:val="20"/>
              </w:rPr>
            </w:pPr>
          </w:p>
        </w:tc>
      </w:tr>
    </w:tbl>
    <w:p w14:paraId="0FF8EC5E" w14:textId="77777777" w:rsidR="008E67EA" w:rsidRDefault="008E67EA" w:rsidP="008E67EA">
      <w:pPr>
        <w:spacing w:line="278" w:lineRule="auto"/>
        <w:rPr>
          <w:rFonts w:cs="Arial"/>
          <w:b/>
          <w:bCs/>
          <w:sz w:val="20"/>
          <w:szCs w:val="20"/>
        </w:rPr>
      </w:pPr>
      <w:r>
        <w:rPr>
          <w:rFonts w:cs="Arial"/>
          <w:b/>
          <w:bCs/>
          <w:sz w:val="20"/>
          <w:szCs w:val="20"/>
        </w:rPr>
        <w:br w:type="page"/>
      </w:r>
    </w:p>
    <w:p w14:paraId="5B9091C3" w14:textId="77777777" w:rsidR="008E67EA" w:rsidRPr="00842840" w:rsidRDefault="008E67EA" w:rsidP="008E67EA">
      <w:pPr>
        <w:rPr>
          <w:rFonts w:cs="Arial"/>
          <w:b/>
          <w:bCs/>
          <w:sz w:val="20"/>
          <w:szCs w:val="20"/>
        </w:rPr>
      </w:pPr>
      <w:r w:rsidRPr="00842840">
        <w:rPr>
          <w:rFonts w:cs="Arial"/>
          <w:b/>
          <w:bCs/>
          <w:sz w:val="20"/>
          <w:szCs w:val="20"/>
        </w:rPr>
        <w:lastRenderedPageBreak/>
        <w:t>HOW TO USE</w:t>
      </w:r>
    </w:p>
    <w:p w14:paraId="5434C7D8" w14:textId="77777777" w:rsidR="008E67EA" w:rsidRPr="00842840" w:rsidRDefault="008E67EA" w:rsidP="008E67EA">
      <w:pPr>
        <w:rPr>
          <w:rFonts w:cs="Arial"/>
          <w:b/>
          <w:bCs/>
          <w:sz w:val="20"/>
          <w:szCs w:val="2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1701"/>
        <w:gridCol w:w="4626"/>
      </w:tblGrid>
      <w:tr w:rsidR="008E67EA" w:rsidRPr="00842840" w14:paraId="58C3ADE4" w14:textId="77777777" w:rsidTr="00834983">
        <w:trPr>
          <w:trHeight w:val="340"/>
        </w:trPr>
        <w:tc>
          <w:tcPr>
            <w:tcW w:w="1129" w:type="dxa"/>
          </w:tcPr>
          <w:p w14:paraId="07E399CA" w14:textId="77777777" w:rsidR="008E67EA" w:rsidRPr="00842840" w:rsidRDefault="008E67EA" w:rsidP="00B44A74">
            <w:pPr>
              <w:spacing w:line="280" w:lineRule="exact"/>
              <w:rPr>
                <w:rFonts w:cs="Arial"/>
                <w:b/>
                <w:bCs/>
                <w:sz w:val="20"/>
                <w:szCs w:val="20"/>
              </w:rPr>
            </w:pPr>
            <w:r w:rsidRPr="00842840">
              <w:rPr>
                <w:rFonts w:cs="Arial"/>
                <w:b/>
                <w:bCs/>
                <w:sz w:val="20"/>
                <w:szCs w:val="20"/>
              </w:rPr>
              <w:t>PEST</w:t>
            </w:r>
          </w:p>
        </w:tc>
        <w:tc>
          <w:tcPr>
            <w:tcW w:w="1560" w:type="dxa"/>
          </w:tcPr>
          <w:p w14:paraId="418F9893" w14:textId="77777777" w:rsidR="008E67EA" w:rsidRPr="00842840" w:rsidRDefault="008E67EA" w:rsidP="00B44A74">
            <w:pPr>
              <w:spacing w:line="280" w:lineRule="exact"/>
              <w:rPr>
                <w:rFonts w:cs="Arial"/>
                <w:b/>
                <w:bCs/>
                <w:sz w:val="20"/>
                <w:szCs w:val="20"/>
              </w:rPr>
            </w:pPr>
            <w:r w:rsidRPr="00842840">
              <w:rPr>
                <w:rFonts w:cs="Arial"/>
                <w:b/>
                <w:bCs/>
                <w:sz w:val="20"/>
                <w:szCs w:val="20"/>
              </w:rPr>
              <w:t>SITUATION</w:t>
            </w:r>
          </w:p>
        </w:tc>
        <w:tc>
          <w:tcPr>
            <w:tcW w:w="1701" w:type="dxa"/>
          </w:tcPr>
          <w:p w14:paraId="3CDD101A" w14:textId="77777777" w:rsidR="008E67EA" w:rsidRPr="00842840" w:rsidRDefault="008E67EA" w:rsidP="00B44A74">
            <w:pPr>
              <w:spacing w:line="280" w:lineRule="exact"/>
              <w:rPr>
                <w:rFonts w:cs="Arial"/>
                <w:b/>
                <w:bCs/>
                <w:sz w:val="20"/>
                <w:szCs w:val="20"/>
              </w:rPr>
            </w:pPr>
            <w:r w:rsidRPr="00842840">
              <w:rPr>
                <w:rFonts w:cs="Arial"/>
                <w:b/>
                <w:bCs/>
                <w:sz w:val="20"/>
                <w:szCs w:val="20"/>
              </w:rPr>
              <w:t>RATE</w:t>
            </w:r>
          </w:p>
        </w:tc>
        <w:tc>
          <w:tcPr>
            <w:tcW w:w="4626" w:type="dxa"/>
          </w:tcPr>
          <w:p w14:paraId="07BF80FA" w14:textId="77777777" w:rsidR="008E67EA" w:rsidRPr="00842840" w:rsidRDefault="008E67EA" w:rsidP="00B44A74">
            <w:pPr>
              <w:spacing w:line="280" w:lineRule="exact"/>
              <w:rPr>
                <w:rFonts w:cs="Arial"/>
                <w:b/>
                <w:bCs/>
                <w:sz w:val="20"/>
                <w:szCs w:val="20"/>
              </w:rPr>
            </w:pPr>
            <w:r w:rsidRPr="00842840">
              <w:rPr>
                <w:rFonts w:cs="Arial"/>
                <w:b/>
                <w:bCs/>
                <w:sz w:val="20"/>
                <w:szCs w:val="20"/>
              </w:rPr>
              <w:t>HOW TO APPLY</w:t>
            </w:r>
          </w:p>
        </w:tc>
      </w:tr>
      <w:tr w:rsidR="008E67EA" w:rsidRPr="00842840" w14:paraId="6EAF50F3" w14:textId="77777777" w:rsidTr="00834983">
        <w:trPr>
          <w:trHeight w:val="1220"/>
        </w:trPr>
        <w:tc>
          <w:tcPr>
            <w:tcW w:w="1129" w:type="dxa"/>
          </w:tcPr>
          <w:p w14:paraId="65F2F112" w14:textId="77777777" w:rsidR="008E67EA" w:rsidRPr="00842840" w:rsidRDefault="008E67EA" w:rsidP="00B44A74">
            <w:pPr>
              <w:spacing w:line="280" w:lineRule="exact"/>
              <w:rPr>
                <w:rFonts w:cs="Arial"/>
                <w:sz w:val="20"/>
                <w:szCs w:val="20"/>
              </w:rPr>
            </w:pPr>
            <w:r w:rsidRPr="005B7479">
              <w:rPr>
                <w:rFonts w:cs="Arial"/>
                <w:sz w:val="20"/>
                <w:szCs w:val="20"/>
              </w:rPr>
              <w:t>Mice</w:t>
            </w:r>
          </w:p>
        </w:tc>
        <w:tc>
          <w:tcPr>
            <w:tcW w:w="1560" w:type="dxa"/>
          </w:tcPr>
          <w:p w14:paraId="3417394C" w14:textId="77777777" w:rsidR="008E67EA" w:rsidRPr="00842840" w:rsidRDefault="008E67EA" w:rsidP="00B44A74">
            <w:pPr>
              <w:spacing w:line="280" w:lineRule="exact"/>
              <w:rPr>
                <w:rFonts w:cs="Arial"/>
                <w:sz w:val="20"/>
                <w:szCs w:val="20"/>
              </w:rPr>
            </w:pPr>
            <w:r>
              <w:rPr>
                <w:rFonts w:cs="Arial"/>
                <w:sz w:val="20"/>
                <w:szCs w:val="20"/>
              </w:rPr>
              <w:t>In domestic buildings</w:t>
            </w:r>
          </w:p>
        </w:tc>
        <w:tc>
          <w:tcPr>
            <w:tcW w:w="1701" w:type="dxa"/>
          </w:tcPr>
          <w:p w14:paraId="79FDF8D0" w14:textId="77777777" w:rsidR="008E67EA" w:rsidRPr="00842840" w:rsidRDefault="008E67EA" w:rsidP="00B44A74">
            <w:pPr>
              <w:spacing w:line="280" w:lineRule="exact"/>
              <w:rPr>
                <w:rFonts w:cs="Arial"/>
                <w:sz w:val="20"/>
                <w:szCs w:val="20"/>
              </w:rPr>
            </w:pPr>
            <w:r>
              <w:rPr>
                <w:rFonts w:cs="Arial"/>
                <w:sz w:val="20"/>
                <w:szCs w:val="20"/>
              </w:rPr>
              <w:t>[As per current approved label]</w:t>
            </w:r>
          </w:p>
        </w:tc>
        <w:tc>
          <w:tcPr>
            <w:tcW w:w="4626" w:type="dxa"/>
          </w:tcPr>
          <w:p w14:paraId="1F3F4C75" w14:textId="77777777" w:rsidR="008E67EA" w:rsidRDefault="008E67EA" w:rsidP="00B44A74">
            <w:pPr>
              <w:spacing w:line="280" w:lineRule="exact"/>
              <w:rPr>
                <w:rFonts w:cs="Arial"/>
                <w:sz w:val="20"/>
                <w:szCs w:val="20"/>
              </w:rPr>
            </w:pPr>
            <w:r w:rsidRPr="005B7479">
              <w:rPr>
                <w:rFonts w:cs="Arial"/>
                <w:sz w:val="20"/>
                <w:szCs w:val="20"/>
              </w:rPr>
              <w:t xml:space="preserve">Place bait stations </w:t>
            </w:r>
            <w:r>
              <w:rPr>
                <w:rFonts w:cs="Arial"/>
                <w:sz w:val="20"/>
                <w:szCs w:val="20"/>
              </w:rPr>
              <w:t xml:space="preserve">in the infested area </w:t>
            </w:r>
            <w:r w:rsidRPr="00ED6249">
              <w:rPr>
                <w:rFonts w:cs="Arial"/>
                <w:sz w:val="20"/>
                <w:szCs w:val="20"/>
              </w:rPr>
              <w:t>where there are signs of mouse activity</w:t>
            </w:r>
            <w:r>
              <w:rPr>
                <w:rFonts w:cs="Arial"/>
                <w:sz w:val="20"/>
                <w:szCs w:val="20"/>
              </w:rPr>
              <w:t>,</w:t>
            </w:r>
            <w:r w:rsidRPr="00ED6249">
              <w:rPr>
                <w:rFonts w:cs="Arial"/>
                <w:sz w:val="20"/>
                <w:szCs w:val="20"/>
              </w:rPr>
              <w:t xml:space="preserve"> such as</w:t>
            </w:r>
            <w:r>
              <w:rPr>
                <w:rFonts w:cs="Arial"/>
                <w:sz w:val="20"/>
                <w:szCs w:val="20"/>
              </w:rPr>
              <w:t xml:space="preserve"> </w:t>
            </w:r>
            <w:r w:rsidRPr="00ED6249">
              <w:rPr>
                <w:rFonts w:cs="Arial"/>
                <w:sz w:val="20"/>
                <w:szCs w:val="20"/>
              </w:rPr>
              <w:t>feeding evidence or droppings, along walls or rafters and in dark, sheltered places.</w:t>
            </w:r>
            <w:r>
              <w:rPr>
                <w:rFonts w:cs="Arial"/>
                <w:sz w:val="20"/>
                <w:szCs w:val="20"/>
              </w:rPr>
              <w:t xml:space="preserve"> DO NOT touch bait. </w:t>
            </w:r>
          </w:p>
          <w:p w14:paraId="5A64F8F2" w14:textId="77777777" w:rsidR="008E67EA" w:rsidRPr="00842840" w:rsidRDefault="008E67EA" w:rsidP="00B44A74">
            <w:pPr>
              <w:spacing w:line="280" w:lineRule="exact"/>
              <w:rPr>
                <w:rFonts w:cs="Arial"/>
                <w:sz w:val="20"/>
                <w:szCs w:val="20"/>
              </w:rPr>
            </w:pPr>
            <w:r w:rsidRPr="00ED6249">
              <w:rPr>
                <w:rFonts w:cs="Arial"/>
                <w:sz w:val="20"/>
                <w:szCs w:val="20"/>
              </w:rPr>
              <w:t>Space bait stations 2-3 metres apart</w:t>
            </w:r>
            <w:r>
              <w:rPr>
                <w:rFonts w:cs="Arial"/>
                <w:sz w:val="20"/>
                <w:szCs w:val="20"/>
              </w:rPr>
              <w:t xml:space="preserve">. </w:t>
            </w:r>
            <w:r w:rsidRPr="00ED6249">
              <w:rPr>
                <w:rFonts w:cs="Arial"/>
                <w:sz w:val="20"/>
                <w:szCs w:val="20"/>
              </w:rPr>
              <w:t>DO NOT exceed 3 m between bait locations.</w:t>
            </w:r>
            <w:r>
              <w:rPr>
                <w:rFonts w:cs="Arial"/>
                <w:sz w:val="20"/>
                <w:szCs w:val="20"/>
              </w:rPr>
              <w:t xml:space="preserve"> </w:t>
            </w:r>
          </w:p>
        </w:tc>
      </w:tr>
      <w:tr w:rsidR="008E67EA" w:rsidRPr="00842840" w14:paraId="1CEE6789" w14:textId="77777777" w:rsidTr="00834983">
        <w:trPr>
          <w:trHeight w:val="3411"/>
        </w:trPr>
        <w:tc>
          <w:tcPr>
            <w:tcW w:w="9016" w:type="dxa"/>
            <w:gridSpan w:val="4"/>
          </w:tcPr>
          <w:p w14:paraId="56C16FD7" w14:textId="3DBEBD2D" w:rsidR="008E67EA" w:rsidRDefault="008E67EA" w:rsidP="00B44A74">
            <w:pPr>
              <w:spacing w:after="120" w:line="280" w:lineRule="exact"/>
              <w:rPr>
                <w:rFonts w:eastAsia="Calibri" w:cs="Arial"/>
                <w:b/>
                <w:bCs/>
                <w:sz w:val="20"/>
                <w:szCs w:val="20"/>
                <w:bdr w:val="none" w:sz="0" w:space="0" w:color="auto" w:frame="1"/>
                <w:lang w:val="en-GB"/>
              </w:rPr>
            </w:pPr>
            <w:r w:rsidRPr="001E6DA9">
              <w:rPr>
                <w:rFonts w:eastAsia="Calibri" w:cs="Arial"/>
                <w:b/>
                <w:bCs/>
                <w:sz w:val="20"/>
                <w:szCs w:val="20"/>
                <w:bdr w:val="none" w:sz="0" w:space="0" w:color="auto" w:frame="1"/>
                <w:lang w:val="en-GB"/>
              </w:rPr>
              <w:t>General Information and baiting strategy for mice:</w:t>
            </w:r>
          </w:p>
          <w:p w14:paraId="55EC64CB" w14:textId="596C3340" w:rsidR="008E67EA" w:rsidRPr="00AE60A7" w:rsidRDefault="008E67EA" w:rsidP="00B44A74">
            <w:pPr>
              <w:spacing w:after="120" w:line="280" w:lineRule="exact"/>
              <w:rPr>
                <w:rFonts w:eastAsia="Calibri" w:cs="Arial"/>
                <w:sz w:val="20"/>
                <w:szCs w:val="20"/>
                <w:bdr w:val="none" w:sz="0" w:space="0" w:color="auto" w:frame="1"/>
                <w:lang w:val="en-GB"/>
              </w:rPr>
            </w:pPr>
            <w:r w:rsidRPr="00AE60A7">
              <w:rPr>
                <w:rFonts w:eastAsia="Calibri" w:cs="Arial"/>
                <w:sz w:val="20"/>
                <w:szCs w:val="20"/>
                <w:bdr w:val="none" w:sz="0" w:space="0" w:color="auto" w:frame="1"/>
                <w:lang w:val="en-GB"/>
              </w:rPr>
              <w:t>Eliminate as far as practicable, all other food sources.</w:t>
            </w:r>
          </w:p>
          <w:p w14:paraId="68E3A9D8" w14:textId="26F6F82A" w:rsidR="008E67EA" w:rsidRPr="00AE60A7" w:rsidRDefault="008E67EA" w:rsidP="00B44A74">
            <w:pPr>
              <w:spacing w:after="120" w:line="280" w:lineRule="exact"/>
              <w:rPr>
                <w:rFonts w:eastAsia="Calibri" w:cs="Arial"/>
                <w:sz w:val="20"/>
                <w:szCs w:val="20"/>
                <w:bdr w:val="none" w:sz="0" w:space="0" w:color="auto" w:frame="1"/>
                <w:lang w:val="en-GB"/>
              </w:rPr>
            </w:pPr>
            <w:r w:rsidRPr="00AE60A7">
              <w:rPr>
                <w:rFonts w:eastAsia="Calibri" w:cs="Arial"/>
                <w:sz w:val="20"/>
                <w:szCs w:val="20"/>
                <w:bdr w:val="none" w:sz="0" w:space="0" w:color="auto" w:frame="1"/>
                <w:lang w:val="en-GB"/>
              </w:rPr>
              <w:t>Use in tamper resistant bait stations only. If bait can be dislodged from bait station, fix tamper-resistant bait stations to the ground or other structures.</w:t>
            </w:r>
          </w:p>
          <w:p w14:paraId="00F7A51B" w14:textId="6B9B3BE5" w:rsidR="008E67EA" w:rsidRPr="00AE60A7" w:rsidRDefault="008E67EA" w:rsidP="00B44A74">
            <w:pPr>
              <w:spacing w:after="120" w:line="280" w:lineRule="exact"/>
              <w:rPr>
                <w:rFonts w:eastAsia="Calibri" w:cs="Arial"/>
                <w:sz w:val="20"/>
                <w:szCs w:val="20"/>
                <w:bdr w:val="none" w:sz="0" w:space="0" w:color="auto" w:frame="1"/>
                <w:lang w:val="en-GB"/>
              </w:rPr>
            </w:pPr>
            <w:r>
              <w:rPr>
                <w:rFonts w:eastAsia="Calibri" w:cs="Arial"/>
                <w:sz w:val="20"/>
                <w:szCs w:val="20"/>
                <w:bdr w:val="none" w:sz="0" w:space="0" w:color="auto" w:frame="1"/>
                <w:lang w:val="en-GB"/>
              </w:rPr>
              <w:t>I</w:t>
            </w:r>
            <w:r w:rsidRPr="005B7479">
              <w:rPr>
                <w:rFonts w:eastAsia="Calibri" w:cs="Arial"/>
                <w:sz w:val="20"/>
                <w:szCs w:val="20"/>
                <w:bdr w:val="none" w:sz="0" w:space="0" w:color="auto" w:frame="1"/>
                <w:lang w:val="en-GB"/>
              </w:rPr>
              <w:t xml:space="preserve">nspect baits frequently, particularly in the first ten days. </w:t>
            </w:r>
            <w:r w:rsidRPr="00AE60A7">
              <w:rPr>
                <w:rFonts w:eastAsia="Calibri" w:cs="Arial"/>
                <w:sz w:val="20"/>
                <w:szCs w:val="20"/>
                <w:bdr w:val="none" w:sz="0" w:space="0" w:color="auto" w:frame="1"/>
                <w:lang w:val="en-GB"/>
              </w:rPr>
              <w:t>Replace eaten bait</w:t>
            </w:r>
            <w:r w:rsidRPr="00AE60A7">
              <w:rPr>
                <w:rFonts w:cs="Arial"/>
                <w:sz w:val="20"/>
                <w:szCs w:val="20"/>
              </w:rPr>
              <w:t xml:space="preserve">. </w:t>
            </w:r>
            <w:r w:rsidRPr="00AE60A7">
              <w:rPr>
                <w:rFonts w:eastAsia="Calibri" w:cs="Arial"/>
                <w:sz w:val="20"/>
                <w:szCs w:val="20"/>
                <w:bdr w:val="none" w:sz="0" w:space="0" w:color="auto" w:frame="1"/>
                <w:lang w:val="en-GB"/>
              </w:rPr>
              <w:t xml:space="preserve">If bait is </w:t>
            </w:r>
            <w:r>
              <w:rPr>
                <w:rFonts w:eastAsia="Calibri" w:cs="Arial"/>
                <w:sz w:val="20"/>
                <w:szCs w:val="20"/>
                <w:bdr w:val="none" w:sz="0" w:space="0" w:color="auto" w:frame="1"/>
                <w:lang w:val="en-GB"/>
              </w:rPr>
              <w:t>eaten quickly</w:t>
            </w:r>
            <w:r w:rsidRPr="00AE60A7">
              <w:rPr>
                <w:rFonts w:eastAsia="Calibri" w:cs="Arial"/>
                <w:sz w:val="20"/>
                <w:szCs w:val="20"/>
                <w:bdr w:val="none" w:sz="0" w:space="0" w:color="auto" w:frame="1"/>
                <w:lang w:val="en-GB"/>
              </w:rPr>
              <w:t xml:space="preserve">, the number of bait stations should be increased. Continue </w:t>
            </w:r>
            <w:r>
              <w:rPr>
                <w:rFonts w:eastAsia="Calibri" w:cs="Arial"/>
                <w:sz w:val="20"/>
                <w:szCs w:val="20"/>
                <w:bdr w:val="none" w:sz="0" w:space="0" w:color="auto" w:frame="1"/>
                <w:lang w:val="en-GB"/>
              </w:rPr>
              <w:t xml:space="preserve">observation and replacement </w:t>
            </w:r>
            <w:r w:rsidRPr="00AE60A7">
              <w:rPr>
                <w:rFonts w:eastAsia="Calibri" w:cs="Arial"/>
                <w:sz w:val="20"/>
                <w:szCs w:val="20"/>
                <w:bdr w:val="none" w:sz="0" w:space="0" w:color="auto" w:frame="1"/>
                <w:lang w:val="en-GB"/>
              </w:rPr>
              <w:t>until no more baits are taken. Most deaths occur 4 to 7 days after consumption of bait, however baiting for at least 2 weeks will be necessary to reduce mouse numbers</w:t>
            </w:r>
            <w:r w:rsidR="00834983">
              <w:rPr>
                <w:rFonts w:eastAsia="Calibri" w:cs="Arial"/>
                <w:sz w:val="20"/>
                <w:szCs w:val="20"/>
                <w:bdr w:val="none" w:sz="0" w:space="0" w:color="auto" w:frame="1"/>
                <w:lang w:val="en-GB"/>
              </w:rPr>
              <w:t>.</w:t>
            </w:r>
          </w:p>
          <w:p w14:paraId="3785A3EC" w14:textId="77777777" w:rsidR="008E67EA" w:rsidRPr="005B7479" w:rsidRDefault="008E67EA" w:rsidP="00B44A74">
            <w:pPr>
              <w:spacing w:line="280" w:lineRule="exact"/>
              <w:rPr>
                <w:rFonts w:cs="Arial"/>
                <w:sz w:val="20"/>
                <w:szCs w:val="20"/>
              </w:rPr>
            </w:pPr>
            <w:r w:rsidRPr="00AE60A7">
              <w:rPr>
                <w:rFonts w:cs="Arial"/>
                <w:sz w:val="20"/>
                <w:szCs w:val="20"/>
              </w:rPr>
              <w:t xml:space="preserve">Following treatment remove all remains of bait and bait stations. </w:t>
            </w:r>
            <w:r w:rsidRPr="00AE60A7">
              <w:rPr>
                <w:rFonts w:eastAsia="Calibri" w:cs="Arial"/>
                <w:sz w:val="20"/>
                <w:szCs w:val="20"/>
                <w:bdr w:val="none" w:sz="0" w:space="0" w:color="auto" w:frame="1"/>
                <w:lang w:val="en-GB"/>
              </w:rPr>
              <w:t>DO NOT use the product for longer than 35 days. If rodent activity is still observed after 35 days, seek advice from the product supplier or call a pest control service.</w:t>
            </w:r>
          </w:p>
        </w:tc>
      </w:tr>
    </w:tbl>
    <w:p w14:paraId="667112AF" w14:textId="1D135C68" w:rsidR="008E67EA" w:rsidRDefault="008E67EA" w:rsidP="008E67EA">
      <w:pPr>
        <w:rPr>
          <w:rFonts w:cs="Arial"/>
          <w:b/>
          <w:bCs/>
          <w:sz w:val="20"/>
          <w:szCs w:val="20"/>
          <w:bdr w:val="none" w:sz="0" w:space="0" w:color="auto" w:frame="1"/>
          <w:lang w:val="en-GB" w:eastAsia="en-AU"/>
        </w:rPr>
      </w:pPr>
      <w:r w:rsidRPr="00842840">
        <w:rPr>
          <w:rFonts w:cs="Arial"/>
          <w:b/>
          <w:bCs/>
          <w:sz w:val="20"/>
          <w:szCs w:val="20"/>
        </w:rPr>
        <w:t>NOT TO BE USED FOR ANY PURPOSE, OR IN ANY MANNER, CONTRARY TO THIS LABEL UNLESS AUTHORISED.</w:t>
      </w:r>
      <w:r>
        <w:rPr>
          <w:rFonts w:cs="Arial"/>
          <w:b/>
          <w:bCs/>
          <w:sz w:val="20"/>
          <w:szCs w:val="20"/>
          <w:bdr w:val="none" w:sz="0" w:space="0" w:color="auto" w:frame="1"/>
          <w:lang w:val="en-GB" w:eastAsia="en-AU"/>
        </w:rPr>
        <w:br w:type="page"/>
      </w:r>
    </w:p>
    <w:p w14:paraId="1AE69FAA" w14:textId="77777777" w:rsidR="008E67EA"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lastRenderedPageBreak/>
        <w:t xml:space="preserve">Template Label </w:t>
      </w:r>
      <w:r>
        <w:rPr>
          <w:rFonts w:cs="Arial"/>
          <w:b/>
          <w:bCs/>
          <w:sz w:val="20"/>
          <w:szCs w:val="20"/>
          <w:bdr w:val="none" w:sz="0" w:space="0" w:color="auto" w:frame="1"/>
          <w:lang w:val="en-GB" w:eastAsia="en-AU"/>
        </w:rPr>
        <w:t>5c</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DA769D" w14:paraId="20F884C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C87F94D" w14:textId="77777777" w:rsidR="008E67EA" w:rsidRPr="00DA769D" w:rsidRDefault="008E67EA" w:rsidP="00B44A74">
            <w:pPr>
              <w:spacing w:line="280" w:lineRule="exact"/>
              <w:rPr>
                <w:rFonts w:cs="Arial"/>
                <w:sz w:val="20"/>
                <w:szCs w:val="20"/>
              </w:rPr>
            </w:pPr>
            <w:r w:rsidRPr="00DA769D">
              <w:rPr>
                <w:rFonts w:cs="Arial"/>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2773CFD2" w14:textId="77777777" w:rsidR="008E67EA" w:rsidRPr="00DA769D" w:rsidRDefault="008E67EA" w:rsidP="00B44A74">
            <w:pPr>
              <w:spacing w:line="280" w:lineRule="exact"/>
              <w:rPr>
                <w:rFonts w:cs="Arial"/>
                <w:sz w:val="20"/>
                <w:szCs w:val="20"/>
              </w:rPr>
            </w:pPr>
            <w:r w:rsidRPr="00DA769D">
              <w:rPr>
                <w:rFonts w:cs="Arial"/>
                <w:sz w:val="20"/>
                <w:szCs w:val="20"/>
              </w:rPr>
              <w:t>[INSERT LABEL NAME]</w:t>
            </w:r>
          </w:p>
        </w:tc>
      </w:tr>
      <w:tr w:rsidR="008E67EA" w:rsidRPr="00DA769D" w14:paraId="58BF0C3B" w14:textId="77777777" w:rsidTr="00B44A74">
        <w:trPr>
          <w:jc w:val="center"/>
        </w:trPr>
        <w:tc>
          <w:tcPr>
            <w:tcW w:w="2415" w:type="dxa"/>
            <w:tcBorders>
              <w:top w:val="single" w:sz="4" w:space="0" w:color="auto"/>
              <w:left w:val="nil"/>
              <w:bottom w:val="single" w:sz="4" w:space="0" w:color="auto"/>
              <w:right w:val="nil"/>
            </w:tcBorders>
          </w:tcPr>
          <w:p w14:paraId="7909B54E" w14:textId="77777777" w:rsidR="008E67EA" w:rsidRPr="00DA769D"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47D5F56" w14:textId="77777777" w:rsidR="008E67EA" w:rsidRPr="00DA769D" w:rsidRDefault="008E67EA" w:rsidP="00B44A74">
            <w:pPr>
              <w:spacing w:line="280" w:lineRule="exact"/>
              <w:rPr>
                <w:rFonts w:cs="Arial"/>
                <w:sz w:val="20"/>
                <w:szCs w:val="20"/>
              </w:rPr>
            </w:pPr>
          </w:p>
        </w:tc>
      </w:tr>
      <w:tr w:rsidR="008E67EA" w:rsidRPr="00DA769D" w14:paraId="2852D93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44510CC" w14:textId="77777777" w:rsidR="008E67EA" w:rsidRPr="00DA769D" w:rsidRDefault="008E67EA" w:rsidP="00B44A74">
            <w:pPr>
              <w:spacing w:line="280" w:lineRule="exact"/>
              <w:rPr>
                <w:rFonts w:cs="Arial"/>
                <w:sz w:val="20"/>
                <w:szCs w:val="20"/>
              </w:rPr>
            </w:pPr>
            <w:r w:rsidRPr="00DA769D">
              <w:rPr>
                <w:rFonts w:cs="Arial"/>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58A22206" w14:textId="77777777" w:rsidR="008E67EA" w:rsidRPr="00DA769D" w:rsidRDefault="008E67EA" w:rsidP="00B44A74">
            <w:pPr>
              <w:spacing w:line="280" w:lineRule="exact"/>
              <w:rPr>
                <w:rFonts w:cs="Arial"/>
                <w:sz w:val="20"/>
                <w:szCs w:val="20"/>
              </w:rPr>
            </w:pPr>
            <w:r w:rsidRPr="00DA769D">
              <w:rPr>
                <w:rFonts w:cs="Arial"/>
                <w:sz w:val="20"/>
                <w:szCs w:val="20"/>
              </w:rPr>
              <w:t>POISON</w:t>
            </w:r>
          </w:p>
          <w:p w14:paraId="5F0017B2" w14:textId="77777777" w:rsidR="008E67EA" w:rsidRPr="00DA769D" w:rsidRDefault="008E67EA" w:rsidP="00B44A74">
            <w:pPr>
              <w:spacing w:line="280" w:lineRule="exact"/>
              <w:rPr>
                <w:rFonts w:cs="Arial"/>
                <w:sz w:val="20"/>
                <w:szCs w:val="20"/>
              </w:rPr>
            </w:pPr>
            <w:r w:rsidRPr="00DA769D">
              <w:rPr>
                <w:rFonts w:cs="Arial"/>
                <w:sz w:val="20"/>
                <w:szCs w:val="20"/>
              </w:rPr>
              <w:t>KEEP OUT OF REACH OF CHILDREN</w:t>
            </w:r>
          </w:p>
          <w:p w14:paraId="2199E780" w14:textId="77777777" w:rsidR="008E67EA" w:rsidRPr="00DA769D" w:rsidRDefault="008E67EA" w:rsidP="00B44A74">
            <w:pPr>
              <w:spacing w:line="280" w:lineRule="exact"/>
              <w:rPr>
                <w:rFonts w:cs="Arial"/>
                <w:sz w:val="20"/>
                <w:szCs w:val="20"/>
              </w:rPr>
            </w:pPr>
            <w:r w:rsidRPr="00DA769D">
              <w:rPr>
                <w:rFonts w:cs="Arial"/>
                <w:sz w:val="20"/>
                <w:szCs w:val="20"/>
              </w:rPr>
              <w:t>READ SAFETY DIRECTIONS</w:t>
            </w:r>
          </w:p>
        </w:tc>
      </w:tr>
      <w:tr w:rsidR="008E67EA" w:rsidRPr="00DA769D" w14:paraId="13939D89" w14:textId="77777777" w:rsidTr="00B44A74">
        <w:trPr>
          <w:jc w:val="center"/>
        </w:trPr>
        <w:tc>
          <w:tcPr>
            <w:tcW w:w="2415" w:type="dxa"/>
            <w:tcBorders>
              <w:top w:val="single" w:sz="4" w:space="0" w:color="auto"/>
              <w:left w:val="nil"/>
              <w:bottom w:val="single" w:sz="4" w:space="0" w:color="auto"/>
              <w:right w:val="nil"/>
            </w:tcBorders>
          </w:tcPr>
          <w:p w14:paraId="0D62EF6A" w14:textId="77777777" w:rsidR="008E67EA" w:rsidRPr="00DA769D"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7877B58" w14:textId="77777777" w:rsidR="008E67EA" w:rsidRPr="00DA769D" w:rsidRDefault="008E67EA" w:rsidP="00B44A74">
            <w:pPr>
              <w:spacing w:line="280" w:lineRule="exact"/>
              <w:rPr>
                <w:rFonts w:cs="Arial"/>
                <w:sz w:val="20"/>
                <w:szCs w:val="20"/>
              </w:rPr>
            </w:pPr>
          </w:p>
        </w:tc>
      </w:tr>
      <w:tr w:rsidR="008E67EA" w:rsidRPr="00DA769D" w14:paraId="768C85D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10F5DF3" w14:textId="77777777" w:rsidR="008E67EA" w:rsidRPr="00DA769D" w:rsidRDefault="008E67EA" w:rsidP="00B44A74">
            <w:pPr>
              <w:spacing w:line="280" w:lineRule="exact"/>
              <w:rPr>
                <w:rFonts w:cs="Arial"/>
                <w:sz w:val="20"/>
                <w:szCs w:val="20"/>
              </w:rPr>
            </w:pPr>
            <w:r w:rsidRPr="00DA769D">
              <w:rPr>
                <w:rFonts w:cs="Arial"/>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6593EA33" w14:textId="77777777" w:rsidR="008E67EA" w:rsidRPr="00DA769D" w:rsidRDefault="008E67EA" w:rsidP="00B44A74">
            <w:pPr>
              <w:spacing w:line="280" w:lineRule="exact"/>
              <w:rPr>
                <w:rFonts w:cs="Arial"/>
                <w:sz w:val="20"/>
                <w:szCs w:val="20"/>
              </w:rPr>
            </w:pPr>
            <w:r w:rsidRPr="00DA769D">
              <w:rPr>
                <w:rFonts w:cs="Arial"/>
                <w:sz w:val="20"/>
                <w:szCs w:val="20"/>
              </w:rPr>
              <w:t>ACTIVE CONSTITUENT: 0.0</w:t>
            </w:r>
            <w:r>
              <w:rPr>
                <w:rFonts w:cs="Arial"/>
                <w:sz w:val="20"/>
                <w:szCs w:val="20"/>
              </w:rPr>
              <w:t>2</w:t>
            </w:r>
            <w:r w:rsidRPr="00DA769D">
              <w:rPr>
                <w:rFonts w:cs="Arial"/>
                <w:sz w:val="20"/>
                <w:szCs w:val="20"/>
              </w:rPr>
              <w:t>5 g/kg BRODIFACOUM</w:t>
            </w:r>
          </w:p>
        </w:tc>
      </w:tr>
      <w:tr w:rsidR="008E67EA" w:rsidRPr="00DA769D" w14:paraId="1174EC1D" w14:textId="77777777" w:rsidTr="00B44A74">
        <w:trPr>
          <w:jc w:val="center"/>
        </w:trPr>
        <w:tc>
          <w:tcPr>
            <w:tcW w:w="2415" w:type="dxa"/>
            <w:tcBorders>
              <w:top w:val="single" w:sz="4" w:space="0" w:color="auto"/>
              <w:left w:val="nil"/>
              <w:bottom w:val="single" w:sz="4" w:space="0" w:color="auto"/>
              <w:right w:val="nil"/>
            </w:tcBorders>
          </w:tcPr>
          <w:p w14:paraId="07F73E62" w14:textId="77777777" w:rsidR="008E67EA" w:rsidRPr="00DA769D"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320EEC6" w14:textId="77777777" w:rsidR="008E67EA" w:rsidRPr="00DA769D" w:rsidRDefault="008E67EA" w:rsidP="00B44A74">
            <w:pPr>
              <w:spacing w:line="280" w:lineRule="exact"/>
              <w:rPr>
                <w:rFonts w:cs="Arial"/>
                <w:sz w:val="20"/>
                <w:szCs w:val="20"/>
              </w:rPr>
            </w:pPr>
          </w:p>
        </w:tc>
      </w:tr>
      <w:tr w:rsidR="008E67EA" w:rsidRPr="00DA769D" w14:paraId="2039941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D92C144" w14:textId="77777777" w:rsidR="008E67EA" w:rsidRPr="00DA769D" w:rsidRDefault="008E67EA" w:rsidP="00B44A74">
            <w:pPr>
              <w:spacing w:line="280" w:lineRule="exact"/>
              <w:rPr>
                <w:rFonts w:cs="Arial"/>
                <w:sz w:val="20"/>
                <w:szCs w:val="20"/>
              </w:rPr>
            </w:pPr>
            <w:r w:rsidRPr="00DA769D">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120D3867" w14:textId="77777777" w:rsidR="008E67EA" w:rsidRPr="00DA769D" w:rsidRDefault="008E67EA" w:rsidP="00B44A74">
            <w:pPr>
              <w:spacing w:line="280" w:lineRule="exact"/>
              <w:rPr>
                <w:rFonts w:cs="Arial"/>
                <w:sz w:val="20"/>
                <w:szCs w:val="20"/>
              </w:rPr>
            </w:pPr>
            <w:r w:rsidRPr="00DA769D">
              <w:rPr>
                <w:rFonts w:cs="Arial"/>
                <w:sz w:val="20"/>
                <w:szCs w:val="20"/>
              </w:rPr>
              <w:t xml:space="preserve">For control of mice in domestic buildings </w:t>
            </w:r>
            <w:r>
              <w:rPr>
                <w:rFonts w:cs="Arial"/>
                <w:sz w:val="20"/>
                <w:szCs w:val="20"/>
              </w:rPr>
              <w:t>and rats in and around domestic buildings</w:t>
            </w:r>
            <w:r w:rsidRPr="00DA769D">
              <w:rPr>
                <w:rFonts w:cs="Arial"/>
                <w:sz w:val="20"/>
                <w:szCs w:val="20"/>
              </w:rPr>
              <w:t>.</w:t>
            </w:r>
          </w:p>
        </w:tc>
      </w:tr>
      <w:tr w:rsidR="008E67EA" w:rsidRPr="00DA769D" w14:paraId="3A37CE34" w14:textId="77777777" w:rsidTr="00B44A74">
        <w:trPr>
          <w:jc w:val="center"/>
        </w:trPr>
        <w:tc>
          <w:tcPr>
            <w:tcW w:w="2415" w:type="dxa"/>
            <w:tcBorders>
              <w:top w:val="single" w:sz="4" w:space="0" w:color="auto"/>
              <w:left w:val="nil"/>
              <w:bottom w:val="single" w:sz="4" w:space="0" w:color="auto"/>
              <w:right w:val="nil"/>
            </w:tcBorders>
          </w:tcPr>
          <w:p w14:paraId="5BF24969" w14:textId="77777777" w:rsidR="008E67EA" w:rsidRPr="00DA769D"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8F716EF" w14:textId="77777777" w:rsidR="008E67EA" w:rsidRPr="00DA769D" w:rsidRDefault="008E67EA" w:rsidP="00B44A74">
            <w:pPr>
              <w:spacing w:line="280" w:lineRule="exact"/>
              <w:rPr>
                <w:rFonts w:cs="Arial"/>
                <w:sz w:val="20"/>
                <w:szCs w:val="20"/>
              </w:rPr>
            </w:pPr>
          </w:p>
        </w:tc>
      </w:tr>
      <w:tr w:rsidR="008E67EA" w:rsidRPr="00DA769D" w14:paraId="657F4C8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9EE72A4" w14:textId="77777777" w:rsidR="008E67EA" w:rsidRPr="00DA769D" w:rsidRDefault="008E67EA" w:rsidP="00B44A74">
            <w:pPr>
              <w:spacing w:line="280" w:lineRule="exact"/>
              <w:rPr>
                <w:rFonts w:cs="Arial"/>
                <w:sz w:val="20"/>
                <w:szCs w:val="20"/>
              </w:rPr>
            </w:pPr>
            <w:r w:rsidRPr="00DA769D">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1BB0B793" w14:textId="77777777" w:rsidR="008E67EA" w:rsidRPr="00DA769D" w:rsidRDefault="008E67EA" w:rsidP="00B44A74">
            <w:pPr>
              <w:spacing w:line="280" w:lineRule="exact"/>
              <w:rPr>
                <w:rFonts w:cs="Arial"/>
                <w:sz w:val="20"/>
                <w:szCs w:val="20"/>
              </w:rPr>
            </w:pPr>
            <w:r w:rsidRPr="00DA769D">
              <w:rPr>
                <w:rFonts w:cs="Arial"/>
                <w:sz w:val="20"/>
                <w:szCs w:val="20"/>
              </w:rPr>
              <w:t>[INSERT NET CONTENTS – MAXIMUM 300g]</w:t>
            </w:r>
          </w:p>
        </w:tc>
      </w:tr>
      <w:tr w:rsidR="008E67EA" w:rsidRPr="00DA769D" w14:paraId="0C3AAE3C" w14:textId="77777777" w:rsidTr="00B44A74">
        <w:trPr>
          <w:jc w:val="center"/>
        </w:trPr>
        <w:tc>
          <w:tcPr>
            <w:tcW w:w="2415" w:type="dxa"/>
            <w:tcBorders>
              <w:top w:val="single" w:sz="4" w:space="0" w:color="auto"/>
              <w:left w:val="nil"/>
              <w:bottom w:val="single" w:sz="4" w:space="0" w:color="auto"/>
              <w:right w:val="nil"/>
            </w:tcBorders>
          </w:tcPr>
          <w:p w14:paraId="5FA6E35A" w14:textId="77777777" w:rsidR="008E67EA" w:rsidRPr="00DA769D"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06CE284" w14:textId="77777777" w:rsidR="008E67EA" w:rsidRPr="00DA769D" w:rsidRDefault="008E67EA" w:rsidP="00B44A74">
            <w:pPr>
              <w:spacing w:line="280" w:lineRule="exact"/>
              <w:rPr>
                <w:rFonts w:cs="Arial"/>
                <w:sz w:val="20"/>
                <w:szCs w:val="20"/>
              </w:rPr>
            </w:pPr>
          </w:p>
        </w:tc>
      </w:tr>
      <w:tr w:rsidR="008E67EA" w:rsidRPr="00DA769D" w14:paraId="596BFBB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23AE3D3" w14:textId="77777777" w:rsidR="008E67EA" w:rsidRPr="00DA769D" w:rsidRDefault="008E67EA" w:rsidP="00B44A74">
            <w:pPr>
              <w:spacing w:line="280" w:lineRule="exact"/>
              <w:rPr>
                <w:rFonts w:cs="Arial"/>
                <w:sz w:val="20"/>
                <w:szCs w:val="20"/>
              </w:rPr>
            </w:pPr>
            <w:r w:rsidRPr="00DA769D">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6843000C" w14:textId="0ACCB197" w:rsidR="008E67EA" w:rsidRPr="00F37250" w:rsidRDefault="008E67EA" w:rsidP="00B44A74">
            <w:pPr>
              <w:spacing w:line="280" w:lineRule="exact"/>
              <w:rPr>
                <w:rFonts w:cs="Arial"/>
                <w:sz w:val="20"/>
                <w:szCs w:val="20"/>
              </w:rPr>
            </w:pPr>
            <w:r w:rsidRPr="00F37250">
              <w:rPr>
                <w:rFonts w:cs="Arial"/>
                <w:sz w:val="20"/>
                <w:szCs w:val="20"/>
              </w:rPr>
              <w:t>DO NOT place baits unless in tamper-resistant bait stations.</w:t>
            </w:r>
          </w:p>
          <w:p w14:paraId="6D65C9DD" w14:textId="77777777" w:rsidR="008E67EA" w:rsidRPr="00F37250" w:rsidRDefault="008E67EA" w:rsidP="00B44A74">
            <w:pPr>
              <w:spacing w:line="280" w:lineRule="exact"/>
              <w:rPr>
                <w:rFonts w:cs="Arial"/>
                <w:sz w:val="20"/>
                <w:szCs w:val="20"/>
              </w:rPr>
            </w:pPr>
            <w:r w:rsidRPr="00F37250">
              <w:rPr>
                <w:rFonts w:cs="Arial"/>
                <w:sz w:val="20"/>
                <w:szCs w:val="20"/>
              </w:rPr>
              <w:t>DO NOT place bait stations outdoors around buildings for control of mice.</w:t>
            </w:r>
          </w:p>
          <w:p w14:paraId="74FE06A3" w14:textId="77777777" w:rsidR="008E67EA" w:rsidRPr="00F37250" w:rsidRDefault="008E67EA" w:rsidP="00B44A74">
            <w:pPr>
              <w:spacing w:line="280" w:lineRule="exact"/>
              <w:rPr>
                <w:rFonts w:cs="Arial"/>
                <w:sz w:val="20"/>
                <w:szCs w:val="20"/>
              </w:rPr>
            </w:pPr>
            <w:r w:rsidRPr="00F37250">
              <w:rPr>
                <w:rFonts w:cs="Arial"/>
                <w:sz w:val="20"/>
                <w:szCs w:val="20"/>
              </w:rPr>
              <w:t>DO NOT place bait stations more than 2 meters from buildings.</w:t>
            </w:r>
          </w:p>
          <w:p w14:paraId="50519606" w14:textId="77777777" w:rsidR="008E67EA" w:rsidRPr="00F37250" w:rsidRDefault="008E67EA" w:rsidP="00B44A74">
            <w:pPr>
              <w:spacing w:line="280" w:lineRule="exact"/>
              <w:rPr>
                <w:rFonts w:cs="Arial"/>
                <w:sz w:val="20"/>
                <w:szCs w:val="20"/>
              </w:rPr>
            </w:pPr>
            <w:r w:rsidRPr="00F37250">
              <w:rPr>
                <w:rFonts w:cs="Arial"/>
                <w:sz w:val="20"/>
                <w:szCs w:val="20"/>
              </w:rPr>
              <w:t>DO NOT bait in areas where wildlife may be collected for human consumption.</w:t>
            </w:r>
          </w:p>
          <w:p w14:paraId="64F532ED" w14:textId="77777777" w:rsidR="008E67EA" w:rsidRPr="00F37250" w:rsidRDefault="008E67EA" w:rsidP="00B44A74">
            <w:pPr>
              <w:spacing w:line="280" w:lineRule="exact"/>
              <w:rPr>
                <w:rFonts w:cs="Arial"/>
                <w:sz w:val="20"/>
                <w:szCs w:val="20"/>
              </w:rPr>
            </w:pPr>
            <w:r w:rsidRPr="00F37250">
              <w:rPr>
                <w:rFonts w:cs="Arial"/>
                <w:sz w:val="20"/>
                <w:szCs w:val="20"/>
              </w:rPr>
              <w:t>DO NOT place baits in and around animal, livestock and poultry houses, associated equipment, and food and feed processing areas.</w:t>
            </w:r>
          </w:p>
          <w:p w14:paraId="2DAFAAA1" w14:textId="77777777" w:rsidR="008E67EA" w:rsidRPr="00F37250" w:rsidRDefault="008E67EA" w:rsidP="00B44A74">
            <w:pPr>
              <w:spacing w:line="280" w:lineRule="exact"/>
              <w:rPr>
                <w:rFonts w:cs="Arial"/>
                <w:sz w:val="20"/>
                <w:szCs w:val="20"/>
              </w:rPr>
            </w:pPr>
            <w:r w:rsidRPr="00F37250">
              <w:rPr>
                <w:rFonts w:cs="Arial"/>
                <w:sz w:val="20"/>
                <w:szCs w:val="20"/>
              </w:rPr>
              <w:t>DO NOT apply this product directly into burrows.</w:t>
            </w:r>
          </w:p>
          <w:p w14:paraId="4731B7FB" w14:textId="77777777" w:rsidR="008E67EA" w:rsidRPr="00DA769D" w:rsidRDefault="008E67EA" w:rsidP="00B44A74">
            <w:pPr>
              <w:spacing w:line="280" w:lineRule="exact"/>
              <w:rPr>
                <w:rFonts w:cs="Arial"/>
                <w:sz w:val="20"/>
                <w:szCs w:val="20"/>
              </w:rPr>
            </w:pPr>
            <w:r w:rsidRPr="00F37250">
              <w:rPr>
                <w:rFonts w:cs="Arial"/>
                <w:sz w:val="20"/>
                <w:szCs w:val="20"/>
              </w:rPr>
              <w:t>DO NOT use the product in pulsed baiting treatments.</w:t>
            </w:r>
          </w:p>
        </w:tc>
      </w:tr>
      <w:tr w:rsidR="008E67EA" w:rsidRPr="00DA769D" w14:paraId="56C40FE0" w14:textId="77777777" w:rsidTr="00B44A74">
        <w:trPr>
          <w:jc w:val="center"/>
        </w:trPr>
        <w:tc>
          <w:tcPr>
            <w:tcW w:w="2415" w:type="dxa"/>
            <w:tcBorders>
              <w:top w:val="single" w:sz="4" w:space="0" w:color="auto"/>
              <w:left w:val="nil"/>
              <w:bottom w:val="single" w:sz="4" w:space="0" w:color="auto"/>
              <w:right w:val="nil"/>
            </w:tcBorders>
          </w:tcPr>
          <w:p w14:paraId="1EA3712C" w14:textId="77777777" w:rsidR="008E67EA" w:rsidRPr="00DA769D"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F395D7A" w14:textId="77777777" w:rsidR="008E67EA" w:rsidRPr="00DA769D" w:rsidRDefault="008E67EA" w:rsidP="00B44A74">
            <w:pPr>
              <w:spacing w:line="280" w:lineRule="exact"/>
              <w:rPr>
                <w:rFonts w:cs="Arial"/>
                <w:sz w:val="20"/>
                <w:szCs w:val="20"/>
              </w:rPr>
            </w:pPr>
          </w:p>
        </w:tc>
      </w:tr>
      <w:tr w:rsidR="008E67EA" w:rsidRPr="00DA769D" w14:paraId="14DBC8A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AA1D646" w14:textId="77777777" w:rsidR="008E67EA" w:rsidRPr="00DA769D" w:rsidRDefault="008E67EA" w:rsidP="00B44A74">
            <w:pPr>
              <w:spacing w:line="280" w:lineRule="exact"/>
              <w:rPr>
                <w:rFonts w:cs="Arial"/>
                <w:sz w:val="20"/>
                <w:szCs w:val="20"/>
              </w:rPr>
            </w:pPr>
            <w:r w:rsidRPr="00DA769D">
              <w:rPr>
                <w:rFonts w:cs="Arial"/>
                <w:sz w:val="20"/>
                <w:szCs w:val="20"/>
              </w:rPr>
              <w:t>How to Use</w:t>
            </w:r>
          </w:p>
        </w:tc>
        <w:tc>
          <w:tcPr>
            <w:tcW w:w="7755" w:type="dxa"/>
            <w:tcBorders>
              <w:top w:val="single" w:sz="4" w:space="0" w:color="auto"/>
              <w:left w:val="single" w:sz="4" w:space="0" w:color="auto"/>
              <w:bottom w:val="single" w:sz="4" w:space="0" w:color="auto"/>
              <w:right w:val="single" w:sz="4" w:space="0" w:color="auto"/>
            </w:tcBorders>
          </w:tcPr>
          <w:p w14:paraId="6DA6035C" w14:textId="77777777" w:rsidR="008E67EA" w:rsidRPr="00DA769D" w:rsidRDefault="008E67EA" w:rsidP="00B44A74">
            <w:pPr>
              <w:spacing w:line="280" w:lineRule="exact"/>
              <w:rPr>
                <w:rFonts w:cs="Arial"/>
                <w:sz w:val="20"/>
                <w:szCs w:val="20"/>
              </w:rPr>
            </w:pPr>
            <w:r w:rsidRPr="00B832BB">
              <w:rPr>
                <w:rFonts w:cs="Arial"/>
                <w:sz w:val="20"/>
                <w:szCs w:val="20"/>
              </w:rPr>
              <w:t>[This section contains an attachment below]</w:t>
            </w:r>
          </w:p>
        </w:tc>
      </w:tr>
      <w:tr w:rsidR="008E67EA" w:rsidRPr="00DA769D" w14:paraId="78B7C7BA" w14:textId="77777777" w:rsidTr="00B44A74">
        <w:trPr>
          <w:jc w:val="center"/>
        </w:trPr>
        <w:tc>
          <w:tcPr>
            <w:tcW w:w="2415" w:type="dxa"/>
            <w:tcBorders>
              <w:top w:val="single" w:sz="4" w:space="0" w:color="auto"/>
              <w:left w:val="nil"/>
              <w:bottom w:val="single" w:sz="4" w:space="0" w:color="auto"/>
              <w:right w:val="nil"/>
            </w:tcBorders>
          </w:tcPr>
          <w:p w14:paraId="4EAD5541" w14:textId="77777777" w:rsidR="008E67EA" w:rsidRPr="00DA769D"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AAC8D5B" w14:textId="77777777" w:rsidR="008E67EA" w:rsidRPr="00DA769D" w:rsidRDefault="008E67EA" w:rsidP="00B44A74">
            <w:pPr>
              <w:spacing w:line="280" w:lineRule="exact"/>
              <w:rPr>
                <w:rFonts w:cs="Arial"/>
                <w:sz w:val="20"/>
                <w:szCs w:val="20"/>
              </w:rPr>
            </w:pPr>
          </w:p>
        </w:tc>
      </w:tr>
      <w:tr w:rsidR="008E67EA" w:rsidRPr="00DA769D" w14:paraId="7D640959"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D762B73" w14:textId="77777777" w:rsidR="008E67EA" w:rsidRPr="00DA769D" w:rsidRDefault="008E67EA" w:rsidP="00B44A74">
            <w:pPr>
              <w:spacing w:line="280" w:lineRule="exact"/>
              <w:rPr>
                <w:rFonts w:cs="Arial"/>
                <w:sz w:val="20"/>
                <w:szCs w:val="20"/>
              </w:rPr>
            </w:pPr>
            <w:r w:rsidRPr="00DA769D">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796D9E6F" w14:textId="77777777" w:rsidR="008E67EA" w:rsidRPr="00DA769D" w:rsidRDefault="008E67EA" w:rsidP="00B44A74">
            <w:pPr>
              <w:spacing w:line="280" w:lineRule="exact"/>
              <w:rPr>
                <w:rFonts w:cs="Arial"/>
                <w:sz w:val="20"/>
                <w:szCs w:val="20"/>
              </w:rPr>
            </w:pPr>
          </w:p>
        </w:tc>
      </w:tr>
      <w:tr w:rsidR="008E67EA" w:rsidRPr="00DA769D" w14:paraId="4BE7041F" w14:textId="77777777" w:rsidTr="00B44A74">
        <w:trPr>
          <w:jc w:val="center"/>
        </w:trPr>
        <w:tc>
          <w:tcPr>
            <w:tcW w:w="2415" w:type="dxa"/>
            <w:tcBorders>
              <w:top w:val="single" w:sz="4" w:space="0" w:color="auto"/>
              <w:left w:val="nil"/>
              <w:bottom w:val="single" w:sz="4" w:space="0" w:color="auto"/>
              <w:right w:val="nil"/>
            </w:tcBorders>
          </w:tcPr>
          <w:p w14:paraId="01C79372" w14:textId="77777777" w:rsidR="008E67EA" w:rsidRPr="00DA769D"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070367B" w14:textId="77777777" w:rsidR="008E67EA" w:rsidRPr="00DA769D" w:rsidRDefault="008E67EA" w:rsidP="00B44A74">
            <w:pPr>
              <w:spacing w:line="280" w:lineRule="exact"/>
              <w:rPr>
                <w:rFonts w:cs="Arial"/>
                <w:sz w:val="20"/>
                <w:szCs w:val="20"/>
              </w:rPr>
            </w:pPr>
          </w:p>
        </w:tc>
      </w:tr>
      <w:tr w:rsidR="008E67EA" w:rsidRPr="00DA769D" w14:paraId="536B28D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895F845" w14:textId="77777777" w:rsidR="008E67EA" w:rsidRPr="00DA769D" w:rsidRDefault="008E67EA" w:rsidP="00B44A74">
            <w:pPr>
              <w:spacing w:line="280" w:lineRule="exact"/>
              <w:rPr>
                <w:rFonts w:cs="Arial"/>
                <w:sz w:val="20"/>
                <w:szCs w:val="20"/>
              </w:rPr>
            </w:pPr>
            <w:r w:rsidRPr="00DA769D">
              <w:rPr>
                <w:rFonts w:cs="Arial"/>
                <w:sz w:val="20"/>
                <w:szCs w:val="20"/>
              </w:rPr>
              <w:t>How to Prepare</w:t>
            </w:r>
          </w:p>
        </w:tc>
        <w:tc>
          <w:tcPr>
            <w:tcW w:w="7755" w:type="dxa"/>
            <w:tcBorders>
              <w:top w:val="single" w:sz="4" w:space="0" w:color="auto"/>
              <w:left w:val="single" w:sz="4" w:space="0" w:color="auto"/>
              <w:bottom w:val="single" w:sz="4" w:space="0" w:color="auto"/>
              <w:right w:val="single" w:sz="4" w:space="0" w:color="auto"/>
            </w:tcBorders>
          </w:tcPr>
          <w:p w14:paraId="2C625532" w14:textId="77777777" w:rsidR="008E67EA" w:rsidRPr="00DA769D" w:rsidRDefault="008E67EA" w:rsidP="00B44A74">
            <w:pPr>
              <w:spacing w:line="280" w:lineRule="exact"/>
              <w:rPr>
                <w:rFonts w:cs="Arial"/>
                <w:sz w:val="20"/>
                <w:szCs w:val="20"/>
              </w:rPr>
            </w:pPr>
          </w:p>
        </w:tc>
      </w:tr>
      <w:tr w:rsidR="008E67EA" w:rsidRPr="00DA769D" w14:paraId="7B3D74D2" w14:textId="77777777" w:rsidTr="00B44A74">
        <w:trPr>
          <w:jc w:val="center"/>
        </w:trPr>
        <w:tc>
          <w:tcPr>
            <w:tcW w:w="2415" w:type="dxa"/>
            <w:tcBorders>
              <w:top w:val="single" w:sz="4" w:space="0" w:color="auto"/>
              <w:left w:val="nil"/>
              <w:bottom w:val="single" w:sz="4" w:space="0" w:color="auto"/>
              <w:right w:val="nil"/>
            </w:tcBorders>
          </w:tcPr>
          <w:p w14:paraId="5109C8F8" w14:textId="77777777" w:rsidR="008E67EA" w:rsidRPr="00DA769D"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F6FB346" w14:textId="77777777" w:rsidR="008E67EA" w:rsidRPr="00DA769D" w:rsidRDefault="008E67EA" w:rsidP="00B44A74">
            <w:pPr>
              <w:spacing w:line="280" w:lineRule="exact"/>
              <w:rPr>
                <w:rFonts w:cs="Arial"/>
                <w:sz w:val="20"/>
                <w:szCs w:val="20"/>
              </w:rPr>
            </w:pPr>
          </w:p>
        </w:tc>
      </w:tr>
      <w:tr w:rsidR="008E67EA" w:rsidRPr="00DA769D" w14:paraId="7FA227E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FB787CF" w14:textId="77777777" w:rsidR="008E67EA" w:rsidRPr="00DA769D" w:rsidRDefault="008E67EA" w:rsidP="00B44A74">
            <w:pPr>
              <w:spacing w:line="280" w:lineRule="exact"/>
              <w:rPr>
                <w:rFonts w:cs="Arial"/>
                <w:sz w:val="20"/>
                <w:szCs w:val="20"/>
              </w:rPr>
            </w:pPr>
            <w:r w:rsidRPr="00DA769D">
              <w:rPr>
                <w:rFonts w:cs="Arial"/>
                <w:sz w:val="20"/>
                <w:szCs w:val="20"/>
              </w:rPr>
              <w:t>Resistance Warning:</w:t>
            </w:r>
          </w:p>
        </w:tc>
        <w:tc>
          <w:tcPr>
            <w:tcW w:w="7755" w:type="dxa"/>
            <w:tcBorders>
              <w:top w:val="single" w:sz="4" w:space="0" w:color="auto"/>
              <w:left w:val="single" w:sz="4" w:space="0" w:color="auto"/>
              <w:bottom w:val="single" w:sz="4" w:space="0" w:color="auto"/>
              <w:right w:val="single" w:sz="4" w:space="0" w:color="auto"/>
            </w:tcBorders>
          </w:tcPr>
          <w:p w14:paraId="3EE20337" w14:textId="77777777" w:rsidR="008E67EA" w:rsidRPr="00DA769D" w:rsidRDefault="008E67EA" w:rsidP="00B44A74">
            <w:pPr>
              <w:spacing w:line="280" w:lineRule="exact"/>
              <w:rPr>
                <w:rFonts w:cs="Arial"/>
                <w:sz w:val="20"/>
                <w:szCs w:val="20"/>
              </w:rPr>
            </w:pPr>
          </w:p>
        </w:tc>
      </w:tr>
      <w:tr w:rsidR="008E67EA" w:rsidRPr="00DA769D" w14:paraId="489B22CA" w14:textId="77777777" w:rsidTr="00B44A74">
        <w:trPr>
          <w:jc w:val="center"/>
        </w:trPr>
        <w:tc>
          <w:tcPr>
            <w:tcW w:w="2415" w:type="dxa"/>
            <w:tcBorders>
              <w:top w:val="single" w:sz="4" w:space="0" w:color="auto"/>
              <w:left w:val="nil"/>
              <w:bottom w:val="single" w:sz="4" w:space="0" w:color="auto"/>
              <w:right w:val="nil"/>
            </w:tcBorders>
          </w:tcPr>
          <w:p w14:paraId="0AE28BDD" w14:textId="77777777" w:rsidR="008E67EA" w:rsidRPr="00DA769D"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01C4BF7" w14:textId="77777777" w:rsidR="008E67EA" w:rsidRPr="00DA769D" w:rsidRDefault="008E67EA" w:rsidP="00B44A74">
            <w:pPr>
              <w:spacing w:line="280" w:lineRule="exact"/>
              <w:rPr>
                <w:rFonts w:cs="Arial"/>
                <w:sz w:val="20"/>
                <w:szCs w:val="20"/>
              </w:rPr>
            </w:pPr>
          </w:p>
        </w:tc>
      </w:tr>
      <w:tr w:rsidR="008E67EA" w:rsidRPr="00DA769D" w14:paraId="1EC03C4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29273FB" w14:textId="77777777" w:rsidR="008E67EA" w:rsidRPr="00DA769D" w:rsidRDefault="008E67EA" w:rsidP="00B44A74">
            <w:pPr>
              <w:spacing w:line="280" w:lineRule="exact"/>
              <w:rPr>
                <w:rFonts w:cs="Arial"/>
                <w:sz w:val="20"/>
                <w:szCs w:val="20"/>
              </w:rPr>
            </w:pPr>
            <w:r w:rsidRPr="00DA769D">
              <w:rPr>
                <w:rFonts w:cs="Arial"/>
                <w:sz w:val="20"/>
                <w:szCs w:val="20"/>
              </w:rPr>
              <w:t>Precautions:</w:t>
            </w:r>
          </w:p>
        </w:tc>
        <w:tc>
          <w:tcPr>
            <w:tcW w:w="7755" w:type="dxa"/>
            <w:tcBorders>
              <w:top w:val="single" w:sz="4" w:space="0" w:color="auto"/>
              <w:left w:val="single" w:sz="4" w:space="0" w:color="auto"/>
              <w:bottom w:val="single" w:sz="4" w:space="0" w:color="auto"/>
              <w:right w:val="single" w:sz="4" w:space="0" w:color="auto"/>
            </w:tcBorders>
          </w:tcPr>
          <w:p w14:paraId="47781A6E" w14:textId="77777777" w:rsidR="008E67EA" w:rsidRPr="00DA769D" w:rsidRDefault="008E67EA" w:rsidP="00B44A74">
            <w:pPr>
              <w:spacing w:line="280" w:lineRule="exact"/>
              <w:rPr>
                <w:rFonts w:cs="Arial"/>
                <w:sz w:val="20"/>
                <w:szCs w:val="20"/>
              </w:rPr>
            </w:pPr>
            <w:r w:rsidRPr="00DA769D">
              <w:rPr>
                <w:rFonts w:cs="Arial"/>
                <w:sz w:val="20"/>
                <w:szCs w:val="20"/>
              </w:rPr>
              <w:t>CAUTION</w:t>
            </w:r>
          </w:p>
          <w:p w14:paraId="659ADB48" w14:textId="77777777" w:rsidR="008E67EA" w:rsidRPr="00DA769D" w:rsidRDefault="008E67EA" w:rsidP="00B44A74">
            <w:pPr>
              <w:spacing w:line="280" w:lineRule="exact"/>
              <w:rPr>
                <w:rFonts w:cs="Arial"/>
                <w:sz w:val="20"/>
                <w:szCs w:val="20"/>
              </w:rPr>
            </w:pPr>
            <w:r w:rsidRPr="00DA769D">
              <w:rPr>
                <w:rFonts w:cs="Arial"/>
                <w:sz w:val="20"/>
                <w:szCs w:val="20"/>
              </w:rPr>
              <w:t>Caution should be used when baiting near areas where hunting of wildlife may occur. Careful consideration of bait placement is necessary to avoid secondary exposure from contaminated wildlife that may be consumed.</w:t>
            </w:r>
          </w:p>
          <w:p w14:paraId="00DB4A87" w14:textId="77777777" w:rsidR="008E67EA" w:rsidRPr="00DA769D" w:rsidRDefault="008E67EA" w:rsidP="00B44A74">
            <w:pPr>
              <w:spacing w:line="280" w:lineRule="exact"/>
              <w:rPr>
                <w:rFonts w:cs="Arial"/>
                <w:sz w:val="20"/>
                <w:szCs w:val="20"/>
              </w:rPr>
            </w:pPr>
            <w:r w:rsidRPr="00DA769D">
              <w:rPr>
                <w:rFonts w:cs="Arial"/>
                <w:sz w:val="20"/>
                <w:szCs w:val="20"/>
              </w:rPr>
              <w:t>DO NOT place bait in areas where there is a possibility of contaminating food, livestock feed or surfaces that come in direct contact with food or livestock feed.</w:t>
            </w:r>
          </w:p>
          <w:p w14:paraId="77C6C9B2" w14:textId="77777777" w:rsidR="008E67EA" w:rsidRPr="00DA769D" w:rsidRDefault="008E67EA" w:rsidP="00B44A74">
            <w:pPr>
              <w:spacing w:line="280" w:lineRule="exact"/>
              <w:rPr>
                <w:rFonts w:cs="Arial"/>
                <w:sz w:val="20"/>
                <w:szCs w:val="20"/>
              </w:rPr>
            </w:pPr>
          </w:p>
          <w:p w14:paraId="2034BBC3" w14:textId="77777777" w:rsidR="008E67EA" w:rsidRPr="00DA769D" w:rsidRDefault="008E67EA" w:rsidP="00B44A74">
            <w:pPr>
              <w:spacing w:line="280" w:lineRule="exact"/>
              <w:rPr>
                <w:rFonts w:cs="Arial"/>
                <w:sz w:val="20"/>
                <w:szCs w:val="20"/>
              </w:rPr>
            </w:pPr>
            <w:r w:rsidRPr="00DA769D">
              <w:rPr>
                <w:rFonts w:cs="Arial"/>
                <w:sz w:val="20"/>
                <w:szCs w:val="20"/>
              </w:rPr>
              <w:t>PROTECTION OF LIVESTOCK AND WILDLIFE</w:t>
            </w:r>
          </w:p>
          <w:p w14:paraId="2213DDDE" w14:textId="77777777" w:rsidR="008E67EA" w:rsidRPr="00DA769D" w:rsidRDefault="008E67EA" w:rsidP="00B44A74">
            <w:pPr>
              <w:spacing w:line="280" w:lineRule="exact"/>
              <w:rPr>
                <w:rFonts w:cs="Arial"/>
                <w:sz w:val="20"/>
                <w:szCs w:val="20"/>
              </w:rPr>
            </w:pPr>
            <w:r w:rsidRPr="00DA769D">
              <w:rPr>
                <w:rFonts w:cs="Arial"/>
                <w:sz w:val="20"/>
                <w:szCs w:val="20"/>
              </w:rPr>
              <w:t>Hazardous to livestock, poultry and wildlife. DO NOT place baits in locations that are accessible to domestic animals, livestock, non-target native animals or birds.</w:t>
            </w:r>
          </w:p>
          <w:p w14:paraId="6F333FB3" w14:textId="77777777" w:rsidR="008E67EA" w:rsidRPr="00DA769D" w:rsidRDefault="008E67EA" w:rsidP="00B44A74">
            <w:pPr>
              <w:spacing w:line="280" w:lineRule="exact"/>
              <w:rPr>
                <w:rFonts w:cs="Arial"/>
                <w:sz w:val="20"/>
                <w:szCs w:val="20"/>
              </w:rPr>
            </w:pPr>
            <w:r w:rsidRPr="00DA769D">
              <w:rPr>
                <w:rFonts w:cs="Arial"/>
                <w:sz w:val="20"/>
                <w:szCs w:val="20"/>
              </w:rPr>
              <w:t xml:space="preserve">Search for and dispose of dead rodents and slugs/snails in the infested area at each visit to prevent secondary poisoning. In case slugs/snails are present, move bait station to another location within the rodent infested site, away from slugs/snails. Dispose of slugs/snails, dead rodents and uneaten bait by wrapping in paper, placing in plastic bag and putting in garbage. </w:t>
            </w:r>
          </w:p>
          <w:p w14:paraId="1C1F9CC2" w14:textId="77777777" w:rsidR="008E67EA" w:rsidRPr="00846C22" w:rsidRDefault="008E67EA" w:rsidP="00B44A74">
            <w:pPr>
              <w:spacing w:line="280" w:lineRule="exact"/>
              <w:rPr>
                <w:rFonts w:cs="Arial"/>
                <w:sz w:val="20"/>
                <w:szCs w:val="20"/>
              </w:rPr>
            </w:pPr>
            <w:r w:rsidRPr="00DA769D">
              <w:rPr>
                <w:rFonts w:cs="Arial"/>
                <w:sz w:val="20"/>
                <w:szCs w:val="20"/>
              </w:rPr>
              <w:lastRenderedPageBreak/>
              <w:t xml:space="preserve">DO NOT allow livestock or poultry to consume dead or moribund mice and rats. All dead or moribund animals and rodent faeces from baited rodents MUST be removed from </w:t>
            </w:r>
            <w:r w:rsidRPr="00846C22">
              <w:rPr>
                <w:rFonts w:cs="Arial"/>
                <w:sz w:val="20"/>
                <w:szCs w:val="20"/>
              </w:rPr>
              <w:t>areas accessible to livestock or poultry.</w:t>
            </w:r>
          </w:p>
          <w:p w14:paraId="03CD7328" w14:textId="77777777" w:rsidR="008E67EA" w:rsidRPr="00846C22" w:rsidRDefault="008E67EA" w:rsidP="00B44A74">
            <w:pPr>
              <w:spacing w:line="280" w:lineRule="exact"/>
              <w:rPr>
                <w:rFonts w:cs="Arial"/>
                <w:sz w:val="20"/>
                <w:szCs w:val="20"/>
              </w:rPr>
            </w:pPr>
            <w:r w:rsidRPr="00846C22">
              <w:rPr>
                <w:rFonts w:cs="Arial"/>
                <w:sz w:val="20"/>
                <w:szCs w:val="20"/>
              </w:rPr>
              <w:t>DO NOT let cats, dogs or non-target animals eat poisoned mice and rats.</w:t>
            </w:r>
          </w:p>
          <w:p w14:paraId="7BC76D3D" w14:textId="77777777" w:rsidR="008E67EA" w:rsidRPr="00DA769D" w:rsidRDefault="008E67EA" w:rsidP="00B44A74">
            <w:pPr>
              <w:spacing w:line="280" w:lineRule="exact"/>
              <w:rPr>
                <w:rFonts w:cs="Arial"/>
                <w:sz w:val="20"/>
                <w:szCs w:val="20"/>
              </w:rPr>
            </w:pPr>
            <w:r w:rsidRPr="00846C22">
              <w:rPr>
                <w:rFonts w:cs="Arial"/>
                <w:sz w:val="20"/>
                <w:szCs w:val="20"/>
              </w:rPr>
              <w:t>DO NOT use this product to control native animals.</w:t>
            </w:r>
          </w:p>
          <w:p w14:paraId="2CB6C7B4" w14:textId="77777777" w:rsidR="008E67EA" w:rsidRPr="00DA769D" w:rsidRDefault="008E67EA" w:rsidP="00B44A74">
            <w:pPr>
              <w:spacing w:line="280" w:lineRule="exact"/>
              <w:rPr>
                <w:rFonts w:cs="Arial"/>
                <w:sz w:val="20"/>
                <w:szCs w:val="20"/>
              </w:rPr>
            </w:pPr>
          </w:p>
          <w:p w14:paraId="7B1818AF" w14:textId="77777777" w:rsidR="008E67EA" w:rsidRPr="00DA769D" w:rsidRDefault="008E67EA" w:rsidP="00B44A74">
            <w:pPr>
              <w:spacing w:line="280" w:lineRule="exact"/>
              <w:rPr>
                <w:rFonts w:cs="Arial"/>
                <w:sz w:val="20"/>
                <w:szCs w:val="20"/>
              </w:rPr>
            </w:pPr>
            <w:r w:rsidRPr="00DA769D">
              <w:rPr>
                <w:rFonts w:cs="Arial"/>
                <w:sz w:val="20"/>
                <w:szCs w:val="20"/>
              </w:rPr>
              <w:t>PROTECTION OF FISH, CRUSTACEANS AND ENVIRONMENT</w:t>
            </w:r>
          </w:p>
          <w:p w14:paraId="6677D8AC" w14:textId="77777777" w:rsidR="008E67EA" w:rsidRPr="00DA769D" w:rsidRDefault="008E67EA" w:rsidP="00B44A74">
            <w:pPr>
              <w:spacing w:line="280" w:lineRule="exact"/>
              <w:rPr>
                <w:rFonts w:cs="Arial"/>
                <w:sz w:val="20"/>
                <w:szCs w:val="20"/>
              </w:rPr>
            </w:pPr>
            <w:r w:rsidRPr="00DA769D">
              <w:rPr>
                <w:rFonts w:cs="Arial"/>
                <w:sz w:val="20"/>
                <w:szCs w:val="20"/>
              </w:rPr>
              <w:t>Very toxic to aquatic life. DO NOT contaminate wetlands or watercourses with this product or used containers. Place the bait stations in areas not liable to flooding. When placing bait stations close to water drainage systems, ensure that bait contact with water is avoided.</w:t>
            </w:r>
          </w:p>
        </w:tc>
      </w:tr>
      <w:tr w:rsidR="008E67EA" w:rsidRPr="00DA769D" w14:paraId="226DEE8D" w14:textId="77777777" w:rsidTr="00B44A74">
        <w:trPr>
          <w:jc w:val="center"/>
        </w:trPr>
        <w:tc>
          <w:tcPr>
            <w:tcW w:w="2415" w:type="dxa"/>
            <w:tcBorders>
              <w:top w:val="single" w:sz="4" w:space="0" w:color="auto"/>
              <w:left w:val="nil"/>
              <w:bottom w:val="single" w:sz="4" w:space="0" w:color="auto"/>
              <w:right w:val="nil"/>
            </w:tcBorders>
          </w:tcPr>
          <w:p w14:paraId="4FD5BBBF" w14:textId="77777777" w:rsidR="008E67EA" w:rsidRPr="00DA769D"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590788F" w14:textId="77777777" w:rsidR="008E67EA" w:rsidRPr="00DA769D" w:rsidRDefault="008E67EA" w:rsidP="00B44A74">
            <w:pPr>
              <w:spacing w:line="280" w:lineRule="exact"/>
              <w:rPr>
                <w:rFonts w:cs="Arial"/>
                <w:sz w:val="20"/>
                <w:szCs w:val="20"/>
              </w:rPr>
            </w:pPr>
          </w:p>
        </w:tc>
      </w:tr>
      <w:tr w:rsidR="008E67EA" w:rsidRPr="00DA769D" w14:paraId="4E6022A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E656093" w14:textId="77777777" w:rsidR="008E67EA" w:rsidRPr="00DA769D" w:rsidRDefault="008E67EA" w:rsidP="00B44A74">
            <w:pPr>
              <w:spacing w:line="280" w:lineRule="exact"/>
              <w:rPr>
                <w:rFonts w:cs="Arial"/>
                <w:sz w:val="20"/>
                <w:szCs w:val="20"/>
              </w:rPr>
            </w:pPr>
            <w:r w:rsidRPr="00DA769D">
              <w:rPr>
                <w:rFonts w:cs="Arial"/>
                <w:sz w:val="20"/>
                <w:szCs w:val="20"/>
              </w:rPr>
              <w:t>Protections:</w:t>
            </w:r>
          </w:p>
        </w:tc>
        <w:tc>
          <w:tcPr>
            <w:tcW w:w="7755" w:type="dxa"/>
            <w:tcBorders>
              <w:top w:val="single" w:sz="4" w:space="0" w:color="auto"/>
              <w:left w:val="single" w:sz="4" w:space="0" w:color="auto"/>
              <w:bottom w:val="single" w:sz="4" w:space="0" w:color="auto"/>
              <w:right w:val="single" w:sz="4" w:space="0" w:color="auto"/>
            </w:tcBorders>
          </w:tcPr>
          <w:p w14:paraId="4236E0F0" w14:textId="77777777" w:rsidR="008E67EA" w:rsidRPr="00DA769D" w:rsidRDefault="008E67EA" w:rsidP="00B44A74">
            <w:pPr>
              <w:spacing w:line="280" w:lineRule="exact"/>
              <w:rPr>
                <w:rFonts w:cs="Arial"/>
                <w:sz w:val="20"/>
                <w:szCs w:val="20"/>
              </w:rPr>
            </w:pPr>
          </w:p>
        </w:tc>
      </w:tr>
      <w:tr w:rsidR="008E67EA" w:rsidRPr="00DA769D" w14:paraId="47E481CE" w14:textId="77777777" w:rsidTr="00B44A74">
        <w:trPr>
          <w:jc w:val="center"/>
        </w:trPr>
        <w:tc>
          <w:tcPr>
            <w:tcW w:w="2415" w:type="dxa"/>
            <w:tcBorders>
              <w:top w:val="single" w:sz="4" w:space="0" w:color="auto"/>
              <w:left w:val="nil"/>
              <w:bottom w:val="single" w:sz="4" w:space="0" w:color="auto"/>
              <w:right w:val="nil"/>
            </w:tcBorders>
          </w:tcPr>
          <w:p w14:paraId="591DC40B" w14:textId="77777777" w:rsidR="008E67EA" w:rsidRPr="00DA769D"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5F6CB5C" w14:textId="77777777" w:rsidR="008E67EA" w:rsidRPr="00DA769D" w:rsidRDefault="008E67EA" w:rsidP="00B44A74">
            <w:pPr>
              <w:spacing w:line="280" w:lineRule="exact"/>
              <w:rPr>
                <w:rFonts w:cs="Arial"/>
                <w:sz w:val="20"/>
                <w:szCs w:val="20"/>
              </w:rPr>
            </w:pPr>
          </w:p>
        </w:tc>
      </w:tr>
      <w:tr w:rsidR="008E67EA" w:rsidRPr="00DA769D" w14:paraId="4DB3AAB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4549F91" w14:textId="77777777" w:rsidR="008E67EA" w:rsidRPr="00DA769D" w:rsidRDefault="008E67EA" w:rsidP="00B44A74">
            <w:pPr>
              <w:spacing w:line="280" w:lineRule="exact"/>
              <w:rPr>
                <w:rFonts w:cs="Arial"/>
                <w:sz w:val="20"/>
                <w:szCs w:val="20"/>
              </w:rPr>
            </w:pPr>
            <w:r w:rsidRPr="00DA769D">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5D7A4E72" w14:textId="77777777" w:rsidR="008E67EA" w:rsidRPr="00DA769D" w:rsidRDefault="008E67EA" w:rsidP="00B44A74">
            <w:pPr>
              <w:spacing w:line="280" w:lineRule="exact"/>
              <w:rPr>
                <w:rFonts w:cs="Arial"/>
                <w:sz w:val="20"/>
                <w:szCs w:val="20"/>
              </w:rPr>
            </w:pPr>
            <w:r w:rsidRPr="00DA769D">
              <w:rPr>
                <w:rFonts w:cs="Arial"/>
                <w:sz w:val="20"/>
                <w:szCs w:val="20"/>
              </w:rPr>
              <w:t>STORAGE AND DISPOSAL</w:t>
            </w:r>
          </w:p>
          <w:p w14:paraId="38206446" w14:textId="7AA19C5C" w:rsidR="008E67EA" w:rsidRPr="00DA769D" w:rsidRDefault="008E67EA" w:rsidP="00B44A74">
            <w:pPr>
              <w:spacing w:line="280" w:lineRule="exact"/>
              <w:rPr>
                <w:rFonts w:cs="Arial"/>
                <w:sz w:val="20"/>
                <w:szCs w:val="20"/>
              </w:rPr>
            </w:pPr>
            <w:r w:rsidRPr="00DA769D">
              <w:rPr>
                <w:rFonts w:cs="Arial"/>
                <w:sz w:val="20"/>
                <w:szCs w:val="20"/>
              </w:rPr>
              <w:t>Store in the closed, original container in a cool, dry, place out of reach of children. Do not store in direct sunlight. Dispose of empty containers</w:t>
            </w:r>
            <w:r>
              <w:rPr>
                <w:rFonts w:cs="Arial"/>
                <w:sz w:val="20"/>
                <w:szCs w:val="20"/>
              </w:rPr>
              <w:t xml:space="preserve"> and unused product</w:t>
            </w:r>
            <w:r w:rsidRPr="00DA769D">
              <w:rPr>
                <w:rFonts w:cs="Arial"/>
                <w:sz w:val="20"/>
                <w:szCs w:val="20"/>
              </w:rPr>
              <w:t xml:space="preserve"> by wrapping in paper placing in plastic bag and putting in garbage.</w:t>
            </w:r>
          </w:p>
        </w:tc>
      </w:tr>
      <w:tr w:rsidR="008E67EA" w:rsidRPr="00DA769D" w14:paraId="07464A89" w14:textId="77777777" w:rsidTr="00B44A74">
        <w:trPr>
          <w:jc w:val="center"/>
        </w:trPr>
        <w:tc>
          <w:tcPr>
            <w:tcW w:w="2415" w:type="dxa"/>
            <w:tcBorders>
              <w:top w:val="single" w:sz="4" w:space="0" w:color="auto"/>
              <w:left w:val="nil"/>
              <w:bottom w:val="single" w:sz="4" w:space="0" w:color="auto"/>
              <w:right w:val="nil"/>
            </w:tcBorders>
          </w:tcPr>
          <w:p w14:paraId="00AA28A6" w14:textId="77777777" w:rsidR="008E67EA" w:rsidRPr="00DA769D"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AE611D1" w14:textId="77777777" w:rsidR="008E67EA" w:rsidRPr="00DA769D" w:rsidRDefault="008E67EA" w:rsidP="00B44A74">
            <w:pPr>
              <w:spacing w:line="280" w:lineRule="exact"/>
              <w:rPr>
                <w:rFonts w:cs="Arial"/>
                <w:sz w:val="20"/>
                <w:szCs w:val="20"/>
              </w:rPr>
            </w:pPr>
          </w:p>
        </w:tc>
      </w:tr>
      <w:tr w:rsidR="008E67EA" w:rsidRPr="00DA769D" w14:paraId="07DBE1B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EA60CF3" w14:textId="77777777" w:rsidR="008E67EA" w:rsidRPr="00DA769D" w:rsidRDefault="008E67EA" w:rsidP="00B44A74">
            <w:pPr>
              <w:spacing w:line="280" w:lineRule="exact"/>
              <w:rPr>
                <w:rFonts w:cs="Arial"/>
                <w:sz w:val="20"/>
                <w:szCs w:val="20"/>
              </w:rPr>
            </w:pPr>
            <w:r w:rsidRPr="00DA769D">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334B97B0" w14:textId="77777777" w:rsidR="008E67EA" w:rsidRPr="00DA769D" w:rsidRDefault="008E67EA" w:rsidP="00B44A74">
            <w:pPr>
              <w:spacing w:line="280" w:lineRule="exact"/>
              <w:rPr>
                <w:rFonts w:cs="Arial"/>
                <w:sz w:val="20"/>
                <w:szCs w:val="20"/>
              </w:rPr>
            </w:pPr>
            <w:r w:rsidRPr="00DA769D">
              <w:rPr>
                <w:rFonts w:cs="Arial"/>
                <w:sz w:val="20"/>
                <w:szCs w:val="20"/>
              </w:rPr>
              <w:t>SAFETY DIRECTIONS</w:t>
            </w:r>
          </w:p>
          <w:p w14:paraId="76070F1E" w14:textId="59F7DED9" w:rsidR="008E67EA" w:rsidRPr="00DA769D" w:rsidRDefault="008E67EA" w:rsidP="00B44A74">
            <w:pPr>
              <w:spacing w:line="280" w:lineRule="exact"/>
              <w:rPr>
                <w:rFonts w:cs="Arial"/>
                <w:sz w:val="20"/>
                <w:szCs w:val="20"/>
              </w:rPr>
            </w:pPr>
            <w:r w:rsidRPr="00DA769D">
              <w:rPr>
                <w:rFonts w:cs="Arial"/>
                <w:sz w:val="20"/>
                <w:szCs w:val="20"/>
              </w:rPr>
              <w:t>Repeated minor exposure may have a cumulative poisoning effect. Do not touch bait, use scoop or measure. When using the product wear disposable gloves. If on skin and after each baiting, wash thoroughly with soap and water. During cleanup and disposal operations of bait and bait stations, wear a single layer of clothing and disposable gloves. Wear disposable gloves when handling rodent carcasses. Wash clothes after performing re-handling activities.</w:t>
            </w:r>
          </w:p>
        </w:tc>
      </w:tr>
      <w:tr w:rsidR="008E67EA" w:rsidRPr="00DA769D" w14:paraId="2AD270A4" w14:textId="77777777" w:rsidTr="00B44A74">
        <w:trPr>
          <w:jc w:val="center"/>
        </w:trPr>
        <w:tc>
          <w:tcPr>
            <w:tcW w:w="2415" w:type="dxa"/>
            <w:tcBorders>
              <w:top w:val="single" w:sz="4" w:space="0" w:color="auto"/>
              <w:left w:val="nil"/>
              <w:bottom w:val="single" w:sz="4" w:space="0" w:color="auto"/>
              <w:right w:val="nil"/>
            </w:tcBorders>
          </w:tcPr>
          <w:p w14:paraId="196F8D7D" w14:textId="77777777" w:rsidR="008E67EA" w:rsidRPr="00DA769D"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793C3FB" w14:textId="77777777" w:rsidR="008E67EA" w:rsidRPr="00DA769D" w:rsidRDefault="008E67EA" w:rsidP="00B44A74">
            <w:pPr>
              <w:spacing w:line="280" w:lineRule="exact"/>
              <w:rPr>
                <w:rFonts w:cs="Arial"/>
                <w:sz w:val="20"/>
                <w:szCs w:val="20"/>
              </w:rPr>
            </w:pPr>
          </w:p>
        </w:tc>
      </w:tr>
      <w:tr w:rsidR="008E67EA" w:rsidRPr="00DA769D" w14:paraId="7D6F181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638121A" w14:textId="77777777" w:rsidR="008E67EA" w:rsidRPr="00DA769D" w:rsidRDefault="008E67EA" w:rsidP="00B44A74">
            <w:pPr>
              <w:spacing w:line="280" w:lineRule="exact"/>
              <w:rPr>
                <w:rFonts w:cs="Arial"/>
                <w:sz w:val="20"/>
                <w:szCs w:val="20"/>
              </w:rPr>
            </w:pPr>
            <w:r w:rsidRPr="00DA769D">
              <w:rPr>
                <w:rFonts w:cs="Arial"/>
                <w:sz w:val="20"/>
                <w:szCs w:val="20"/>
              </w:rPr>
              <w:t>First Aid Instructions:</w:t>
            </w:r>
          </w:p>
        </w:tc>
        <w:tc>
          <w:tcPr>
            <w:tcW w:w="7755" w:type="dxa"/>
            <w:tcBorders>
              <w:top w:val="single" w:sz="4" w:space="0" w:color="auto"/>
              <w:left w:val="single" w:sz="4" w:space="0" w:color="auto"/>
              <w:bottom w:val="single" w:sz="4" w:space="0" w:color="auto"/>
              <w:right w:val="single" w:sz="4" w:space="0" w:color="auto"/>
            </w:tcBorders>
          </w:tcPr>
          <w:p w14:paraId="101B5713" w14:textId="77777777" w:rsidR="008E67EA" w:rsidRPr="00DA769D" w:rsidRDefault="008E67EA" w:rsidP="00B44A74">
            <w:pPr>
              <w:spacing w:line="280" w:lineRule="exact"/>
              <w:rPr>
                <w:rFonts w:cs="Arial"/>
                <w:sz w:val="20"/>
                <w:szCs w:val="20"/>
              </w:rPr>
            </w:pPr>
            <w:r w:rsidRPr="00DA769D">
              <w:rPr>
                <w:rFonts w:cs="Arial"/>
                <w:sz w:val="20"/>
                <w:szCs w:val="20"/>
              </w:rPr>
              <w:t>FIRST AID</w:t>
            </w:r>
          </w:p>
          <w:p w14:paraId="03E82F66" w14:textId="77777777" w:rsidR="008E67EA" w:rsidRPr="00DA769D" w:rsidRDefault="008E67EA" w:rsidP="00B44A74">
            <w:pPr>
              <w:spacing w:line="280" w:lineRule="exact"/>
              <w:rPr>
                <w:rFonts w:cs="Arial"/>
                <w:sz w:val="20"/>
                <w:szCs w:val="20"/>
              </w:rPr>
            </w:pPr>
            <w:r w:rsidRPr="00DA769D">
              <w:rPr>
                <w:rFonts w:cs="Arial"/>
                <w:sz w:val="20"/>
                <w:szCs w:val="20"/>
              </w:rPr>
              <w:t>If poisoning occurs, contact a doctor or Poisons Information Centre. Phone Australia 13 11 26, New Zealand 0800 764 766. Vitamin K1 (Phytomenadione) is antidotal.</w:t>
            </w:r>
          </w:p>
        </w:tc>
      </w:tr>
      <w:tr w:rsidR="008E67EA" w:rsidRPr="00DA769D" w14:paraId="328E805F" w14:textId="77777777" w:rsidTr="00B44A74">
        <w:trPr>
          <w:jc w:val="center"/>
        </w:trPr>
        <w:tc>
          <w:tcPr>
            <w:tcW w:w="2415" w:type="dxa"/>
            <w:tcBorders>
              <w:top w:val="single" w:sz="4" w:space="0" w:color="auto"/>
              <w:left w:val="nil"/>
              <w:bottom w:val="single" w:sz="4" w:space="0" w:color="auto"/>
              <w:right w:val="nil"/>
            </w:tcBorders>
          </w:tcPr>
          <w:p w14:paraId="29FB5756" w14:textId="77777777" w:rsidR="008E67EA" w:rsidRPr="00DA769D"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A524E31" w14:textId="77777777" w:rsidR="008E67EA" w:rsidRPr="00DA769D" w:rsidRDefault="008E67EA" w:rsidP="00B44A74">
            <w:pPr>
              <w:spacing w:line="280" w:lineRule="exact"/>
              <w:rPr>
                <w:rFonts w:cs="Arial"/>
                <w:sz w:val="20"/>
                <w:szCs w:val="20"/>
              </w:rPr>
            </w:pPr>
          </w:p>
        </w:tc>
      </w:tr>
      <w:tr w:rsidR="008E67EA" w:rsidRPr="00DA769D" w14:paraId="692F9E2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FDF9CCC" w14:textId="77777777" w:rsidR="008E67EA" w:rsidRPr="00DA769D" w:rsidRDefault="008E67EA" w:rsidP="00B44A74">
            <w:pPr>
              <w:spacing w:line="280" w:lineRule="exact"/>
              <w:rPr>
                <w:rFonts w:cs="Arial"/>
                <w:sz w:val="20"/>
                <w:szCs w:val="20"/>
              </w:rPr>
            </w:pPr>
            <w:r w:rsidRPr="00DA769D">
              <w:rPr>
                <w:rFonts w:cs="Arial"/>
                <w:sz w:val="20"/>
                <w:szCs w:val="20"/>
              </w:rPr>
              <w:t>First Aid Warnings:</w:t>
            </w:r>
          </w:p>
        </w:tc>
        <w:tc>
          <w:tcPr>
            <w:tcW w:w="7755" w:type="dxa"/>
            <w:tcBorders>
              <w:top w:val="single" w:sz="4" w:space="0" w:color="auto"/>
              <w:left w:val="single" w:sz="4" w:space="0" w:color="auto"/>
              <w:bottom w:val="single" w:sz="4" w:space="0" w:color="auto"/>
              <w:right w:val="single" w:sz="4" w:space="0" w:color="auto"/>
            </w:tcBorders>
          </w:tcPr>
          <w:p w14:paraId="608F013E" w14:textId="77777777" w:rsidR="008E67EA" w:rsidRPr="00DA769D" w:rsidRDefault="008E67EA" w:rsidP="00B44A74">
            <w:pPr>
              <w:spacing w:line="280" w:lineRule="exact"/>
              <w:rPr>
                <w:rFonts w:cs="Arial"/>
                <w:sz w:val="20"/>
                <w:szCs w:val="20"/>
              </w:rPr>
            </w:pPr>
          </w:p>
        </w:tc>
      </w:tr>
    </w:tbl>
    <w:p w14:paraId="3DA49DE9" w14:textId="77777777" w:rsidR="008E67EA" w:rsidRDefault="008E67EA" w:rsidP="008E67EA">
      <w:pPr>
        <w:spacing w:line="278" w:lineRule="auto"/>
        <w:rPr>
          <w:rFonts w:cs="Arial"/>
          <w:b/>
          <w:bCs/>
          <w:sz w:val="20"/>
          <w:szCs w:val="20"/>
        </w:rPr>
      </w:pPr>
      <w:r>
        <w:rPr>
          <w:rFonts w:cs="Arial"/>
          <w:b/>
          <w:bCs/>
          <w:sz w:val="20"/>
          <w:szCs w:val="20"/>
        </w:rPr>
        <w:br w:type="page"/>
      </w:r>
    </w:p>
    <w:p w14:paraId="6F4AB847" w14:textId="77777777" w:rsidR="008E67EA" w:rsidRPr="00842840" w:rsidRDefault="008E67EA" w:rsidP="008E67EA">
      <w:pPr>
        <w:rPr>
          <w:rFonts w:cs="Arial"/>
          <w:b/>
          <w:bCs/>
          <w:sz w:val="20"/>
          <w:szCs w:val="20"/>
        </w:rPr>
      </w:pPr>
      <w:r w:rsidRPr="00842840">
        <w:rPr>
          <w:rFonts w:cs="Arial"/>
          <w:b/>
          <w:bCs/>
          <w:sz w:val="20"/>
          <w:szCs w:val="20"/>
        </w:rPr>
        <w:lastRenderedPageBreak/>
        <w:t>HOW TO USE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984"/>
        <w:gridCol w:w="1276"/>
        <w:gridCol w:w="3634"/>
      </w:tblGrid>
      <w:tr w:rsidR="008E67EA" w:rsidRPr="00FF36BF" w14:paraId="750B9A8E" w14:textId="77777777" w:rsidTr="00834983">
        <w:trPr>
          <w:trHeight w:val="340"/>
        </w:trPr>
        <w:tc>
          <w:tcPr>
            <w:tcW w:w="2122" w:type="dxa"/>
          </w:tcPr>
          <w:p w14:paraId="208C6452" w14:textId="77777777" w:rsidR="008E67EA" w:rsidRPr="00246206" w:rsidRDefault="008E67EA" w:rsidP="00B44A74">
            <w:pPr>
              <w:pStyle w:val="TableParagraph"/>
              <w:widowControl/>
              <w:adjustRightInd w:val="0"/>
              <w:spacing w:before="61"/>
              <w:ind w:left="0"/>
              <w:rPr>
                <w:rFonts w:eastAsiaTheme="minorHAnsi"/>
                <w:b/>
                <w:bCs/>
                <w:sz w:val="20"/>
                <w:szCs w:val="20"/>
                <w:lang w:val="en-AU"/>
              </w:rPr>
            </w:pPr>
            <w:r w:rsidRPr="00246206">
              <w:rPr>
                <w:rFonts w:eastAsiaTheme="minorHAnsi"/>
                <w:b/>
                <w:bCs/>
                <w:sz w:val="20"/>
                <w:szCs w:val="20"/>
                <w:lang w:val="en-AU"/>
              </w:rPr>
              <w:t>PEST</w:t>
            </w:r>
          </w:p>
        </w:tc>
        <w:tc>
          <w:tcPr>
            <w:tcW w:w="1984" w:type="dxa"/>
          </w:tcPr>
          <w:p w14:paraId="44F16040" w14:textId="77777777" w:rsidR="008E67EA" w:rsidRPr="00246206" w:rsidRDefault="008E67EA" w:rsidP="00B44A74">
            <w:pPr>
              <w:pStyle w:val="TableParagraph"/>
              <w:widowControl/>
              <w:adjustRightInd w:val="0"/>
              <w:spacing w:before="61"/>
              <w:ind w:left="0"/>
              <w:rPr>
                <w:rFonts w:eastAsiaTheme="minorHAnsi"/>
                <w:b/>
                <w:bCs/>
                <w:sz w:val="20"/>
                <w:szCs w:val="20"/>
                <w:lang w:val="en-AU"/>
              </w:rPr>
            </w:pPr>
            <w:r w:rsidRPr="00246206">
              <w:rPr>
                <w:rFonts w:eastAsiaTheme="minorHAnsi"/>
                <w:b/>
                <w:bCs/>
                <w:sz w:val="20"/>
                <w:szCs w:val="20"/>
                <w:lang w:val="en-AU"/>
              </w:rPr>
              <w:t>SITUATION</w:t>
            </w:r>
          </w:p>
        </w:tc>
        <w:tc>
          <w:tcPr>
            <w:tcW w:w="1276" w:type="dxa"/>
          </w:tcPr>
          <w:p w14:paraId="7B065582" w14:textId="77777777" w:rsidR="008E67EA" w:rsidRPr="00246206" w:rsidRDefault="008E67EA" w:rsidP="00B44A74">
            <w:pPr>
              <w:pStyle w:val="TableParagraph"/>
              <w:widowControl/>
              <w:adjustRightInd w:val="0"/>
              <w:spacing w:before="61"/>
              <w:ind w:left="0"/>
              <w:rPr>
                <w:rFonts w:eastAsiaTheme="minorHAnsi"/>
                <w:b/>
                <w:bCs/>
                <w:sz w:val="20"/>
                <w:szCs w:val="20"/>
                <w:lang w:val="en-AU"/>
              </w:rPr>
            </w:pPr>
            <w:r w:rsidRPr="00246206">
              <w:rPr>
                <w:rFonts w:eastAsiaTheme="minorHAnsi"/>
                <w:b/>
                <w:bCs/>
                <w:sz w:val="20"/>
                <w:szCs w:val="20"/>
                <w:lang w:val="en-AU"/>
              </w:rPr>
              <w:t>RATE</w:t>
            </w:r>
          </w:p>
        </w:tc>
        <w:tc>
          <w:tcPr>
            <w:tcW w:w="3634" w:type="dxa"/>
          </w:tcPr>
          <w:p w14:paraId="3D0B4966" w14:textId="77777777" w:rsidR="008E67EA" w:rsidRPr="00246206" w:rsidRDefault="008E67EA" w:rsidP="00B44A74">
            <w:pPr>
              <w:pStyle w:val="TableParagraph"/>
              <w:widowControl/>
              <w:adjustRightInd w:val="0"/>
              <w:spacing w:before="61"/>
              <w:ind w:left="0"/>
              <w:rPr>
                <w:rFonts w:eastAsiaTheme="minorHAnsi"/>
                <w:b/>
                <w:bCs/>
                <w:sz w:val="20"/>
                <w:szCs w:val="20"/>
                <w:lang w:val="en-AU"/>
              </w:rPr>
            </w:pPr>
            <w:r w:rsidRPr="00246206">
              <w:rPr>
                <w:rFonts w:eastAsiaTheme="minorHAnsi"/>
                <w:b/>
                <w:bCs/>
                <w:sz w:val="20"/>
                <w:szCs w:val="20"/>
                <w:lang w:val="en-AU"/>
              </w:rPr>
              <w:t>HOW TO APPLY</w:t>
            </w:r>
          </w:p>
        </w:tc>
      </w:tr>
      <w:tr w:rsidR="008E67EA" w:rsidRPr="00FF36BF" w14:paraId="71421AF1" w14:textId="77777777" w:rsidTr="00834983">
        <w:trPr>
          <w:trHeight w:val="421"/>
        </w:trPr>
        <w:tc>
          <w:tcPr>
            <w:tcW w:w="2122" w:type="dxa"/>
          </w:tcPr>
          <w:p w14:paraId="593524E2" w14:textId="77777777" w:rsidR="008E67EA" w:rsidRPr="005D3D45" w:rsidRDefault="008E67EA" w:rsidP="00B44A74">
            <w:pPr>
              <w:spacing w:line="280" w:lineRule="exact"/>
              <w:rPr>
                <w:rFonts w:cs="Arial"/>
                <w:sz w:val="20"/>
                <w:szCs w:val="20"/>
              </w:rPr>
            </w:pPr>
            <w:r>
              <w:rPr>
                <w:rFonts w:cs="Arial"/>
                <w:sz w:val="20"/>
                <w:szCs w:val="20"/>
              </w:rPr>
              <w:t xml:space="preserve">Rats </w:t>
            </w:r>
            <w:r w:rsidRPr="007212AD">
              <w:rPr>
                <w:rFonts w:cs="Arial"/>
                <w:sz w:val="20"/>
                <w:szCs w:val="20"/>
              </w:rPr>
              <w:t>(</w:t>
            </w:r>
            <w:r w:rsidRPr="007212AD">
              <w:rPr>
                <w:rFonts w:cs="Arial"/>
                <w:i/>
                <w:iCs/>
                <w:sz w:val="20"/>
                <w:szCs w:val="20"/>
              </w:rPr>
              <w:t>Rattus rattus, Rattus norvegicus</w:t>
            </w:r>
            <w:r w:rsidRPr="007212AD">
              <w:rPr>
                <w:rFonts w:cs="Arial"/>
                <w:sz w:val="20"/>
                <w:szCs w:val="20"/>
              </w:rPr>
              <w:t>)</w:t>
            </w:r>
          </w:p>
        </w:tc>
        <w:tc>
          <w:tcPr>
            <w:tcW w:w="1984" w:type="dxa"/>
          </w:tcPr>
          <w:p w14:paraId="66D4D022" w14:textId="77777777" w:rsidR="008E67EA" w:rsidRPr="005D3D45" w:rsidRDefault="008E67EA" w:rsidP="00B44A74">
            <w:pPr>
              <w:spacing w:line="280" w:lineRule="exact"/>
              <w:rPr>
                <w:rFonts w:cs="Arial"/>
                <w:sz w:val="20"/>
                <w:szCs w:val="20"/>
              </w:rPr>
            </w:pPr>
            <w:r w:rsidRPr="005D3D45">
              <w:rPr>
                <w:rFonts w:cs="Arial"/>
                <w:sz w:val="20"/>
                <w:szCs w:val="20"/>
              </w:rPr>
              <w:t>In</w:t>
            </w:r>
            <w:r>
              <w:rPr>
                <w:rFonts w:cs="Arial"/>
                <w:sz w:val="20"/>
                <w:szCs w:val="20"/>
              </w:rPr>
              <w:t xml:space="preserve"> and around</w:t>
            </w:r>
            <w:r w:rsidRPr="005D3D45">
              <w:rPr>
                <w:rFonts w:cs="Arial"/>
                <w:sz w:val="20"/>
                <w:szCs w:val="20"/>
              </w:rPr>
              <w:t xml:space="preserve"> </w:t>
            </w:r>
            <w:r>
              <w:rPr>
                <w:rFonts w:cs="Arial"/>
                <w:sz w:val="20"/>
                <w:szCs w:val="20"/>
              </w:rPr>
              <w:t xml:space="preserve">(within 2 meters) </w:t>
            </w:r>
            <w:r w:rsidRPr="005D3D45">
              <w:rPr>
                <w:rFonts w:cs="Arial"/>
                <w:sz w:val="20"/>
                <w:szCs w:val="20"/>
              </w:rPr>
              <w:t xml:space="preserve">domestic buildings </w:t>
            </w:r>
          </w:p>
        </w:tc>
        <w:tc>
          <w:tcPr>
            <w:tcW w:w="1276" w:type="dxa"/>
          </w:tcPr>
          <w:p w14:paraId="0D41A6FC" w14:textId="77777777" w:rsidR="008E67EA" w:rsidRPr="005D3D45" w:rsidRDefault="008E67EA" w:rsidP="00B44A74">
            <w:pPr>
              <w:spacing w:line="280" w:lineRule="exact"/>
              <w:rPr>
                <w:rFonts w:cs="Arial"/>
                <w:sz w:val="20"/>
                <w:szCs w:val="20"/>
              </w:rPr>
            </w:pPr>
            <w:r>
              <w:rPr>
                <w:rFonts w:cs="Arial"/>
                <w:sz w:val="20"/>
                <w:szCs w:val="20"/>
              </w:rPr>
              <w:t>[A</w:t>
            </w:r>
            <w:r w:rsidRPr="001019EA">
              <w:rPr>
                <w:rFonts w:cs="Arial"/>
                <w:sz w:val="20"/>
                <w:szCs w:val="20"/>
              </w:rPr>
              <w:t>s per current approved label</w:t>
            </w:r>
            <w:r>
              <w:rPr>
                <w:rFonts w:cs="Arial"/>
                <w:sz w:val="20"/>
                <w:szCs w:val="20"/>
              </w:rPr>
              <w:t>]</w:t>
            </w:r>
          </w:p>
        </w:tc>
        <w:tc>
          <w:tcPr>
            <w:tcW w:w="3634" w:type="dxa"/>
            <w:vMerge w:val="restart"/>
          </w:tcPr>
          <w:p w14:paraId="2AAFC3FA" w14:textId="77777777" w:rsidR="008E67EA" w:rsidRPr="005D3D45" w:rsidRDefault="008E67EA" w:rsidP="00B44A74">
            <w:pPr>
              <w:spacing w:line="280" w:lineRule="exact"/>
              <w:rPr>
                <w:rFonts w:cs="Arial"/>
                <w:sz w:val="20"/>
                <w:szCs w:val="20"/>
              </w:rPr>
            </w:pPr>
            <w:r w:rsidRPr="00846C22">
              <w:rPr>
                <w:rFonts w:cs="Arial"/>
                <w:sz w:val="20"/>
                <w:szCs w:val="20"/>
              </w:rPr>
              <w:t>Place bait stations in</w:t>
            </w:r>
            <w:r>
              <w:rPr>
                <w:rFonts w:cs="Arial"/>
                <w:sz w:val="20"/>
                <w:szCs w:val="20"/>
              </w:rPr>
              <w:t xml:space="preserve"> infested area, on</w:t>
            </w:r>
            <w:r w:rsidRPr="00846C22">
              <w:rPr>
                <w:rFonts w:cs="Arial"/>
                <w:sz w:val="20"/>
                <w:szCs w:val="20"/>
              </w:rPr>
              <w:t xml:space="preserve"> dry</w:t>
            </w:r>
            <w:r>
              <w:rPr>
                <w:rFonts w:cs="Arial"/>
                <w:sz w:val="20"/>
                <w:szCs w:val="20"/>
              </w:rPr>
              <w:t xml:space="preserve"> </w:t>
            </w:r>
            <w:r w:rsidRPr="00846C22">
              <w:rPr>
                <w:rFonts w:cs="Arial"/>
                <w:sz w:val="20"/>
                <w:szCs w:val="20"/>
              </w:rPr>
              <w:t>locations on runs, near burrows and where</w:t>
            </w:r>
            <w:r>
              <w:rPr>
                <w:rFonts w:cs="Arial"/>
                <w:sz w:val="20"/>
                <w:szCs w:val="20"/>
              </w:rPr>
              <w:t xml:space="preserve"> </w:t>
            </w:r>
            <w:r w:rsidRPr="00846C22">
              <w:rPr>
                <w:rFonts w:cs="Arial"/>
                <w:sz w:val="20"/>
                <w:szCs w:val="20"/>
              </w:rPr>
              <w:t>droppings are seen.</w:t>
            </w:r>
            <w:r>
              <w:rPr>
                <w:rFonts w:cs="Arial"/>
                <w:sz w:val="20"/>
                <w:szCs w:val="20"/>
              </w:rPr>
              <w:t xml:space="preserve"> Do not touch bait. </w:t>
            </w:r>
          </w:p>
          <w:p w14:paraId="33FE0AAA" w14:textId="77777777" w:rsidR="008E67EA" w:rsidRPr="00FD51DE" w:rsidRDefault="008E67EA" w:rsidP="00B44A74">
            <w:pPr>
              <w:spacing w:line="280" w:lineRule="exact"/>
              <w:rPr>
                <w:rFonts w:cs="Arial"/>
                <w:sz w:val="20"/>
                <w:szCs w:val="20"/>
              </w:rPr>
            </w:pPr>
            <w:r w:rsidRPr="00E136C5">
              <w:rPr>
                <w:rFonts w:cs="Arial"/>
                <w:b/>
                <w:bCs/>
                <w:i/>
                <w:iCs/>
                <w:sz w:val="20"/>
                <w:szCs w:val="20"/>
              </w:rPr>
              <w:t>For Rats:</w:t>
            </w:r>
            <w:r w:rsidRPr="00FD51DE">
              <w:rPr>
                <w:rFonts w:cs="Arial"/>
                <w:sz w:val="20"/>
                <w:szCs w:val="20"/>
              </w:rPr>
              <w:t xml:space="preserve"> Place </w:t>
            </w:r>
            <w:r>
              <w:rPr>
                <w:rFonts w:cs="Arial"/>
                <w:sz w:val="20"/>
                <w:szCs w:val="20"/>
              </w:rPr>
              <w:t>bait stations</w:t>
            </w:r>
            <w:r w:rsidRPr="00FD51DE">
              <w:rPr>
                <w:rFonts w:cs="Arial"/>
                <w:sz w:val="20"/>
                <w:szCs w:val="20"/>
              </w:rPr>
              <w:t xml:space="preserve"> at</w:t>
            </w:r>
          </w:p>
          <w:p w14:paraId="33EBE21E" w14:textId="77777777" w:rsidR="008E67EA" w:rsidRPr="00FD51DE" w:rsidRDefault="008E67EA" w:rsidP="00B44A74">
            <w:pPr>
              <w:spacing w:line="280" w:lineRule="exact"/>
              <w:rPr>
                <w:rFonts w:cs="Arial"/>
                <w:sz w:val="20"/>
                <w:szCs w:val="20"/>
              </w:rPr>
            </w:pPr>
            <w:r w:rsidRPr="00FD51DE">
              <w:rPr>
                <w:rFonts w:cs="Arial"/>
                <w:sz w:val="20"/>
                <w:szCs w:val="20"/>
              </w:rPr>
              <w:t xml:space="preserve">5-9 m intervals. </w:t>
            </w:r>
            <w:r>
              <w:rPr>
                <w:rFonts w:cs="Arial"/>
                <w:sz w:val="20"/>
                <w:szCs w:val="20"/>
              </w:rPr>
              <w:t xml:space="preserve">DO NOT exceed </w:t>
            </w:r>
            <w:r w:rsidRPr="00FD51DE">
              <w:rPr>
                <w:rFonts w:cs="Arial"/>
                <w:sz w:val="20"/>
                <w:szCs w:val="20"/>
              </w:rPr>
              <w:t>9 m</w:t>
            </w:r>
            <w:r>
              <w:rPr>
                <w:rFonts w:cs="Arial"/>
                <w:sz w:val="20"/>
                <w:szCs w:val="20"/>
              </w:rPr>
              <w:t xml:space="preserve"> between bait stations</w:t>
            </w:r>
            <w:r w:rsidRPr="00FD51DE">
              <w:rPr>
                <w:rFonts w:cs="Arial"/>
                <w:sz w:val="20"/>
                <w:szCs w:val="20"/>
              </w:rPr>
              <w:t>.</w:t>
            </w:r>
          </w:p>
          <w:p w14:paraId="7B4E61E0" w14:textId="77777777" w:rsidR="008E67EA" w:rsidRPr="00FD51DE" w:rsidRDefault="008E67EA" w:rsidP="00B44A74">
            <w:pPr>
              <w:spacing w:line="280" w:lineRule="exact"/>
              <w:rPr>
                <w:rFonts w:cs="Arial"/>
                <w:sz w:val="20"/>
                <w:szCs w:val="20"/>
              </w:rPr>
            </w:pPr>
            <w:r w:rsidRPr="00E136C5">
              <w:rPr>
                <w:rFonts w:cs="Arial"/>
                <w:b/>
                <w:bCs/>
                <w:i/>
                <w:iCs/>
                <w:sz w:val="20"/>
                <w:szCs w:val="20"/>
              </w:rPr>
              <w:t>For Mice:</w:t>
            </w:r>
            <w:r w:rsidRPr="00FD51DE">
              <w:rPr>
                <w:rFonts w:cs="Arial"/>
                <w:sz w:val="20"/>
                <w:szCs w:val="20"/>
              </w:rPr>
              <w:t xml:space="preserve"> Place bait </w:t>
            </w:r>
            <w:r>
              <w:rPr>
                <w:rFonts w:cs="Arial"/>
                <w:sz w:val="20"/>
                <w:szCs w:val="20"/>
              </w:rPr>
              <w:t xml:space="preserve">stations </w:t>
            </w:r>
            <w:r w:rsidRPr="00FD51DE">
              <w:rPr>
                <w:rFonts w:cs="Arial"/>
                <w:sz w:val="20"/>
                <w:szCs w:val="20"/>
              </w:rPr>
              <w:t>at 2-3</w:t>
            </w:r>
          </w:p>
          <w:p w14:paraId="090DCB6F" w14:textId="77777777" w:rsidR="008E67EA" w:rsidRPr="005D3D45" w:rsidRDefault="008E67EA" w:rsidP="00B44A74">
            <w:pPr>
              <w:spacing w:line="280" w:lineRule="exact"/>
              <w:rPr>
                <w:rFonts w:cs="Arial"/>
                <w:sz w:val="20"/>
                <w:szCs w:val="20"/>
              </w:rPr>
            </w:pPr>
            <w:r w:rsidRPr="00FD51DE">
              <w:rPr>
                <w:rFonts w:cs="Arial"/>
                <w:sz w:val="20"/>
                <w:szCs w:val="20"/>
              </w:rPr>
              <w:t>m intervals</w:t>
            </w:r>
            <w:r>
              <w:rPr>
                <w:rFonts w:cs="Arial"/>
                <w:sz w:val="20"/>
                <w:szCs w:val="20"/>
              </w:rPr>
              <w:t xml:space="preserve">. </w:t>
            </w:r>
            <w:r w:rsidRPr="00FD51DE">
              <w:rPr>
                <w:rFonts w:cs="Arial"/>
                <w:sz w:val="20"/>
                <w:szCs w:val="20"/>
              </w:rPr>
              <w:t xml:space="preserve">DO NOT exceed 3 m between </w:t>
            </w:r>
            <w:r>
              <w:rPr>
                <w:rFonts w:cs="Arial"/>
                <w:sz w:val="20"/>
                <w:szCs w:val="20"/>
              </w:rPr>
              <w:t>bait stations.</w:t>
            </w:r>
          </w:p>
        </w:tc>
      </w:tr>
      <w:tr w:rsidR="008E67EA" w:rsidRPr="00FF36BF" w14:paraId="1FE73132" w14:textId="77777777" w:rsidTr="00834983">
        <w:trPr>
          <w:trHeight w:val="421"/>
        </w:trPr>
        <w:tc>
          <w:tcPr>
            <w:tcW w:w="2122" w:type="dxa"/>
          </w:tcPr>
          <w:p w14:paraId="1010838B" w14:textId="77777777" w:rsidR="008E67EA" w:rsidRPr="005D3D45" w:rsidRDefault="008E67EA" w:rsidP="00B44A74">
            <w:pPr>
              <w:spacing w:line="280" w:lineRule="exact"/>
              <w:rPr>
                <w:rFonts w:cs="Arial"/>
                <w:sz w:val="20"/>
                <w:szCs w:val="20"/>
              </w:rPr>
            </w:pPr>
            <w:r>
              <w:rPr>
                <w:rFonts w:cs="Arial"/>
                <w:sz w:val="20"/>
                <w:szCs w:val="20"/>
              </w:rPr>
              <w:t xml:space="preserve">Mice </w:t>
            </w:r>
            <w:r w:rsidRPr="007212AD">
              <w:rPr>
                <w:rFonts w:cs="Arial"/>
                <w:sz w:val="20"/>
                <w:szCs w:val="20"/>
              </w:rPr>
              <w:t>(</w:t>
            </w:r>
            <w:r w:rsidRPr="007212AD">
              <w:rPr>
                <w:rFonts w:cs="Arial"/>
                <w:i/>
                <w:iCs/>
                <w:sz w:val="20"/>
                <w:szCs w:val="20"/>
              </w:rPr>
              <w:t>Mus musculus</w:t>
            </w:r>
            <w:r w:rsidRPr="007212AD">
              <w:rPr>
                <w:rFonts w:cs="Arial"/>
                <w:sz w:val="20"/>
                <w:szCs w:val="20"/>
              </w:rPr>
              <w:t>)</w:t>
            </w:r>
          </w:p>
        </w:tc>
        <w:tc>
          <w:tcPr>
            <w:tcW w:w="1984" w:type="dxa"/>
          </w:tcPr>
          <w:p w14:paraId="649325DD" w14:textId="77777777" w:rsidR="008E67EA" w:rsidRPr="005D3D45" w:rsidRDefault="008E67EA" w:rsidP="00B44A74">
            <w:pPr>
              <w:spacing w:line="280" w:lineRule="exact"/>
              <w:rPr>
                <w:rFonts w:cs="Arial"/>
                <w:sz w:val="20"/>
                <w:szCs w:val="20"/>
              </w:rPr>
            </w:pPr>
            <w:r w:rsidRPr="005D3D45">
              <w:rPr>
                <w:rFonts w:cs="Arial"/>
                <w:sz w:val="20"/>
                <w:szCs w:val="20"/>
              </w:rPr>
              <w:t xml:space="preserve">In domestic buildings </w:t>
            </w:r>
          </w:p>
        </w:tc>
        <w:tc>
          <w:tcPr>
            <w:tcW w:w="1276" w:type="dxa"/>
          </w:tcPr>
          <w:p w14:paraId="7C207C3A" w14:textId="77777777" w:rsidR="008E67EA" w:rsidRPr="005D3D45" w:rsidRDefault="008E67EA" w:rsidP="00B44A74">
            <w:pPr>
              <w:spacing w:line="280" w:lineRule="exact"/>
              <w:rPr>
                <w:rFonts w:cs="Arial"/>
                <w:sz w:val="20"/>
                <w:szCs w:val="20"/>
              </w:rPr>
            </w:pPr>
            <w:r>
              <w:rPr>
                <w:rFonts w:cs="Arial"/>
                <w:sz w:val="20"/>
                <w:szCs w:val="20"/>
              </w:rPr>
              <w:t>[A</w:t>
            </w:r>
            <w:r w:rsidRPr="001019EA">
              <w:rPr>
                <w:rFonts w:cs="Arial"/>
                <w:sz w:val="20"/>
                <w:szCs w:val="20"/>
              </w:rPr>
              <w:t>s per current approved label</w:t>
            </w:r>
            <w:r>
              <w:rPr>
                <w:rFonts w:cs="Arial"/>
                <w:sz w:val="20"/>
                <w:szCs w:val="20"/>
              </w:rPr>
              <w:t>]</w:t>
            </w:r>
          </w:p>
        </w:tc>
        <w:tc>
          <w:tcPr>
            <w:tcW w:w="3634" w:type="dxa"/>
            <w:vMerge/>
          </w:tcPr>
          <w:p w14:paraId="054AC153" w14:textId="77777777" w:rsidR="008E67EA" w:rsidRPr="005D3D45" w:rsidRDefault="008E67EA" w:rsidP="00B44A74">
            <w:pPr>
              <w:spacing w:line="280" w:lineRule="exact"/>
              <w:rPr>
                <w:rFonts w:cs="Arial"/>
                <w:sz w:val="20"/>
                <w:szCs w:val="20"/>
              </w:rPr>
            </w:pPr>
          </w:p>
        </w:tc>
      </w:tr>
      <w:tr w:rsidR="008E67EA" w:rsidRPr="00FF36BF" w14:paraId="02DD8827" w14:textId="77777777" w:rsidTr="00834983">
        <w:trPr>
          <w:trHeight w:val="421"/>
        </w:trPr>
        <w:tc>
          <w:tcPr>
            <w:tcW w:w="9016" w:type="dxa"/>
            <w:gridSpan w:val="4"/>
          </w:tcPr>
          <w:p w14:paraId="03570CCE" w14:textId="69C59CFC" w:rsidR="008E67EA" w:rsidRPr="001E6DA9" w:rsidRDefault="008E67EA" w:rsidP="00B44A74">
            <w:pPr>
              <w:spacing w:after="120" w:line="280" w:lineRule="exact"/>
              <w:rPr>
                <w:rFonts w:eastAsia="Calibri" w:cs="Arial"/>
                <w:b/>
                <w:bCs/>
                <w:sz w:val="20"/>
                <w:szCs w:val="20"/>
                <w:bdr w:val="none" w:sz="0" w:space="0" w:color="auto" w:frame="1"/>
                <w:lang w:val="en-GB"/>
              </w:rPr>
            </w:pPr>
            <w:r w:rsidRPr="001E6DA9">
              <w:rPr>
                <w:rFonts w:eastAsia="Calibri" w:cs="Arial"/>
                <w:b/>
                <w:bCs/>
                <w:sz w:val="20"/>
                <w:szCs w:val="20"/>
                <w:bdr w:val="none" w:sz="0" w:space="0" w:color="auto" w:frame="1"/>
                <w:lang w:val="en-GB"/>
              </w:rPr>
              <w:t xml:space="preserve">General Information and baiting strategy for </w:t>
            </w:r>
            <w:r>
              <w:rPr>
                <w:rFonts w:eastAsia="Calibri" w:cs="Arial"/>
                <w:b/>
                <w:bCs/>
                <w:sz w:val="20"/>
                <w:szCs w:val="20"/>
                <w:bdr w:val="none" w:sz="0" w:space="0" w:color="auto" w:frame="1"/>
                <w:lang w:val="en-GB"/>
              </w:rPr>
              <w:t xml:space="preserve">rats </w:t>
            </w:r>
            <w:r w:rsidRPr="001E6DA9">
              <w:rPr>
                <w:rFonts w:eastAsia="Calibri" w:cs="Arial"/>
                <w:b/>
                <w:bCs/>
                <w:sz w:val="20"/>
                <w:szCs w:val="20"/>
                <w:bdr w:val="none" w:sz="0" w:space="0" w:color="auto" w:frame="1"/>
                <w:lang w:val="en-GB"/>
              </w:rPr>
              <w:t>and mice:</w:t>
            </w:r>
          </w:p>
          <w:p w14:paraId="3D92F2CF" w14:textId="77777777" w:rsidR="008E67EA" w:rsidRDefault="008E67EA" w:rsidP="00B44A74">
            <w:pPr>
              <w:spacing w:after="120" w:line="280" w:lineRule="exact"/>
              <w:rPr>
                <w:rFonts w:eastAsia="Calibri" w:cs="Arial"/>
                <w:sz w:val="20"/>
                <w:szCs w:val="20"/>
                <w:bdr w:val="none" w:sz="0" w:space="0" w:color="auto" w:frame="1"/>
                <w:lang w:val="en-GB"/>
              </w:rPr>
            </w:pPr>
            <w:r w:rsidRPr="001E6DA9">
              <w:rPr>
                <w:rFonts w:eastAsia="Calibri" w:cs="Arial"/>
                <w:sz w:val="20"/>
                <w:szCs w:val="20"/>
                <w:bdr w:val="none" w:sz="0" w:space="0" w:color="auto" w:frame="1"/>
                <w:lang w:val="en-GB"/>
              </w:rPr>
              <w:t xml:space="preserve">Eliminate as far as practicable, all other food sources. </w:t>
            </w:r>
          </w:p>
          <w:p w14:paraId="4979BCF9" w14:textId="77777777" w:rsidR="008E67EA" w:rsidRPr="00846C22" w:rsidRDefault="008E67EA" w:rsidP="00B44A74">
            <w:pPr>
              <w:spacing w:after="120" w:line="280" w:lineRule="exact"/>
              <w:rPr>
                <w:rFonts w:eastAsia="Calibri" w:cs="Arial"/>
                <w:sz w:val="20"/>
                <w:szCs w:val="20"/>
                <w:bdr w:val="none" w:sz="0" w:space="0" w:color="auto" w:frame="1"/>
                <w:lang w:val="en-GB"/>
              </w:rPr>
            </w:pPr>
            <w:r w:rsidRPr="001E6DA9">
              <w:rPr>
                <w:rFonts w:eastAsia="Calibri" w:cs="Arial"/>
                <w:sz w:val="20"/>
                <w:szCs w:val="20"/>
                <w:bdr w:val="none" w:sz="0" w:space="0" w:color="auto" w:frame="1"/>
                <w:lang w:val="en-GB"/>
              </w:rPr>
              <w:t>Always place bait where it is inaccessible to children, animals and birds. Use in tamper resistant bait stations only. If bait can be dislodged from bait station, fix tamper-resistant bait stations to the ground or other structures.</w:t>
            </w:r>
            <w:r>
              <w:t xml:space="preserve"> </w:t>
            </w:r>
          </w:p>
          <w:p w14:paraId="5E538B20" w14:textId="77777777" w:rsidR="008E67EA" w:rsidRPr="001E6DA9" w:rsidRDefault="008E67EA" w:rsidP="00B44A74">
            <w:pPr>
              <w:spacing w:after="120" w:line="280" w:lineRule="exact"/>
              <w:rPr>
                <w:rFonts w:eastAsia="Calibri" w:cs="Arial"/>
                <w:sz w:val="20"/>
                <w:szCs w:val="20"/>
                <w:bdr w:val="none" w:sz="0" w:space="0" w:color="auto" w:frame="1"/>
                <w:lang w:val="en-GB"/>
              </w:rPr>
            </w:pPr>
            <w:r w:rsidRPr="001E6DA9">
              <w:rPr>
                <w:rFonts w:eastAsia="Calibri" w:cs="Arial"/>
                <w:sz w:val="20"/>
                <w:szCs w:val="20"/>
                <w:bdr w:val="none" w:sz="0" w:space="0" w:color="auto" w:frame="1"/>
                <w:lang w:val="en-GB"/>
              </w:rPr>
              <w:t xml:space="preserve">Inspect baits </w:t>
            </w:r>
            <w:r>
              <w:rPr>
                <w:rFonts w:eastAsia="Calibri" w:cs="Arial"/>
                <w:sz w:val="20"/>
                <w:szCs w:val="20"/>
                <w:bdr w:val="none" w:sz="0" w:space="0" w:color="auto" w:frame="1"/>
                <w:lang w:val="en-GB"/>
              </w:rPr>
              <w:t>daily</w:t>
            </w:r>
            <w:r w:rsidRPr="001E6DA9">
              <w:rPr>
                <w:rFonts w:eastAsia="Calibri" w:cs="Arial"/>
                <w:sz w:val="20"/>
                <w:szCs w:val="20"/>
                <w:bdr w:val="none" w:sz="0" w:space="0" w:color="auto" w:frame="1"/>
                <w:lang w:val="en-GB"/>
              </w:rPr>
              <w:t xml:space="preserve">. </w:t>
            </w:r>
            <w:r>
              <w:rPr>
                <w:rFonts w:eastAsia="Calibri" w:cs="Arial"/>
                <w:sz w:val="20"/>
                <w:szCs w:val="20"/>
                <w:bdr w:val="none" w:sz="0" w:space="0" w:color="auto" w:frame="1"/>
                <w:lang w:val="en-GB"/>
              </w:rPr>
              <w:t xml:space="preserve">Replace eaten bait. </w:t>
            </w:r>
            <w:r w:rsidRPr="00846C22">
              <w:rPr>
                <w:rFonts w:eastAsia="Calibri" w:cs="Arial"/>
                <w:sz w:val="20"/>
                <w:szCs w:val="20"/>
                <w:bdr w:val="none" w:sz="0" w:space="0" w:color="auto" w:frame="1"/>
                <w:lang w:val="en-GB"/>
              </w:rPr>
              <w:t>Continue observation and replenishment until no more baits are taken.</w:t>
            </w:r>
            <w:r w:rsidRPr="001E6DA9">
              <w:rPr>
                <w:rFonts w:eastAsia="Calibri" w:cs="Arial"/>
                <w:sz w:val="20"/>
                <w:szCs w:val="20"/>
                <w:bdr w:val="none" w:sz="0" w:space="0" w:color="auto" w:frame="1"/>
                <w:lang w:val="en-GB"/>
              </w:rPr>
              <w:t xml:space="preserve"> Most deaths occur 4 to 7 days after consumption of bait</w:t>
            </w:r>
            <w:r>
              <w:rPr>
                <w:rFonts w:eastAsia="Calibri" w:cs="Arial"/>
                <w:sz w:val="20"/>
                <w:szCs w:val="20"/>
                <w:bdr w:val="none" w:sz="0" w:space="0" w:color="auto" w:frame="1"/>
                <w:lang w:val="en-GB"/>
              </w:rPr>
              <w:t>.</w:t>
            </w:r>
            <w:r w:rsidRPr="001E6DA9">
              <w:rPr>
                <w:rFonts w:eastAsia="Calibri" w:cs="Arial"/>
                <w:sz w:val="20"/>
                <w:szCs w:val="20"/>
                <w:bdr w:val="none" w:sz="0" w:space="0" w:color="auto" w:frame="1"/>
                <w:lang w:val="en-GB"/>
              </w:rPr>
              <w:t xml:space="preserve"> Baiting for at least 2 weeks will be necessary to reduce mouse numbers.</w:t>
            </w:r>
          </w:p>
          <w:p w14:paraId="460D2F54" w14:textId="77777777" w:rsidR="008E67EA" w:rsidRPr="00246206" w:rsidRDefault="008E67EA" w:rsidP="00B44A74">
            <w:pPr>
              <w:spacing w:after="120" w:line="280" w:lineRule="exact"/>
              <w:rPr>
                <w:rFonts w:eastAsia="Calibri" w:cs="Arial"/>
                <w:sz w:val="20"/>
                <w:szCs w:val="20"/>
                <w:bdr w:val="none" w:sz="0" w:space="0" w:color="auto" w:frame="1"/>
                <w:lang w:val="en-GB"/>
              </w:rPr>
            </w:pPr>
            <w:r w:rsidRPr="001E6DA9">
              <w:rPr>
                <w:rFonts w:eastAsia="Calibri" w:cs="Arial"/>
                <w:sz w:val="20"/>
                <w:szCs w:val="20"/>
                <w:bdr w:val="none" w:sz="0" w:space="0" w:color="auto" w:frame="1"/>
                <w:lang w:val="en-GB"/>
              </w:rPr>
              <w:t xml:space="preserve">Following treatment remove all remains of bait and bait stations. </w:t>
            </w:r>
            <w:r w:rsidRPr="003A1942">
              <w:rPr>
                <w:rFonts w:eastAsia="Calibri" w:cs="Arial"/>
                <w:sz w:val="20"/>
                <w:szCs w:val="20"/>
                <w:bdr w:val="none" w:sz="0" w:space="0" w:color="auto" w:frame="1"/>
                <w:lang w:val="en-GB"/>
              </w:rPr>
              <w:t>DO NOT use the product for longer than 35 days. If rodent activity is still observed after 35 days, seek advice from the product supplier or call a pest control service.</w:t>
            </w:r>
          </w:p>
        </w:tc>
      </w:tr>
    </w:tbl>
    <w:p w14:paraId="4E350859" w14:textId="5592FBF4" w:rsidR="008E67EA" w:rsidRDefault="008E67EA" w:rsidP="008E67EA">
      <w:pPr>
        <w:rPr>
          <w:rFonts w:cs="Arial"/>
          <w:b/>
          <w:bCs/>
          <w:sz w:val="20"/>
          <w:szCs w:val="20"/>
          <w:bdr w:val="none" w:sz="0" w:space="0" w:color="auto" w:frame="1"/>
          <w:lang w:val="en-GB" w:eastAsia="en-AU"/>
        </w:rPr>
      </w:pPr>
      <w:r w:rsidRPr="00FF36BF">
        <w:rPr>
          <w:rFonts w:cs="Arial"/>
          <w:b/>
          <w:bCs/>
          <w:sz w:val="20"/>
          <w:szCs w:val="20"/>
        </w:rPr>
        <w:t>NOT TO BE USED FOR ANY PURPOSE, OR IN ANY MANNER, CONTRARY TO THIS LABEL UNLESS AUTHORISED.</w:t>
      </w:r>
      <w:r>
        <w:rPr>
          <w:rFonts w:cs="Arial"/>
          <w:b/>
          <w:bCs/>
          <w:sz w:val="20"/>
          <w:szCs w:val="20"/>
          <w:bdr w:val="none" w:sz="0" w:space="0" w:color="auto" w:frame="1"/>
          <w:lang w:val="en-GB" w:eastAsia="en-AU"/>
        </w:rPr>
        <w:br w:type="page"/>
      </w:r>
    </w:p>
    <w:p w14:paraId="638E1CF7" w14:textId="77777777" w:rsidR="008E67EA"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lastRenderedPageBreak/>
        <w:t xml:space="preserve">Template Label </w:t>
      </w:r>
      <w:r>
        <w:rPr>
          <w:rFonts w:cs="Arial"/>
          <w:b/>
          <w:bCs/>
          <w:sz w:val="20"/>
          <w:szCs w:val="20"/>
          <w:bdr w:val="none" w:sz="0" w:space="0" w:color="auto" w:frame="1"/>
          <w:lang w:val="en-GB" w:eastAsia="en-AU"/>
        </w:rPr>
        <w:t>5d</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DA769D" w14:paraId="1A2E217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DFA1961" w14:textId="77777777" w:rsidR="008E67EA" w:rsidRPr="00DA769D" w:rsidRDefault="008E67EA" w:rsidP="00B44A74">
            <w:pPr>
              <w:spacing w:line="280" w:lineRule="exact"/>
              <w:rPr>
                <w:rFonts w:cs="Arial"/>
                <w:sz w:val="20"/>
                <w:szCs w:val="20"/>
              </w:rPr>
            </w:pPr>
            <w:r w:rsidRPr="00DA769D">
              <w:rPr>
                <w:rFonts w:cs="Arial"/>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5EAC7C6C" w14:textId="77777777" w:rsidR="008E67EA" w:rsidRPr="00DA769D" w:rsidRDefault="008E67EA" w:rsidP="00B44A74">
            <w:pPr>
              <w:spacing w:line="280" w:lineRule="exact"/>
              <w:rPr>
                <w:rFonts w:cs="Arial"/>
                <w:sz w:val="20"/>
                <w:szCs w:val="20"/>
              </w:rPr>
            </w:pPr>
            <w:r w:rsidRPr="00DA769D">
              <w:rPr>
                <w:rFonts w:cs="Arial"/>
                <w:sz w:val="20"/>
                <w:szCs w:val="20"/>
              </w:rPr>
              <w:t>[INSERT LABEL NAME]</w:t>
            </w:r>
          </w:p>
        </w:tc>
      </w:tr>
      <w:tr w:rsidR="008E67EA" w:rsidRPr="00DA769D" w14:paraId="3C632E94" w14:textId="77777777" w:rsidTr="00B44A74">
        <w:trPr>
          <w:jc w:val="center"/>
        </w:trPr>
        <w:tc>
          <w:tcPr>
            <w:tcW w:w="2415" w:type="dxa"/>
            <w:tcBorders>
              <w:top w:val="single" w:sz="4" w:space="0" w:color="auto"/>
              <w:left w:val="nil"/>
              <w:bottom w:val="single" w:sz="4" w:space="0" w:color="auto"/>
              <w:right w:val="nil"/>
            </w:tcBorders>
          </w:tcPr>
          <w:p w14:paraId="76C5963B" w14:textId="77777777" w:rsidR="008E67EA" w:rsidRPr="00DA769D"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5215FC1" w14:textId="77777777" w:rsidR="008E67EA" w:rsidRPr="00DA769D" w:rsidRDefault="008E67EA" w:rsidP="00B44A74">
            <w:pPr>
              <w:spacing w:line="280" w:lineRule="exact"/>
              <w:rPr>
                <w:rFonts w:cs="Arial"/>
                <w:sz w:val="20"/>
                <w:szCs w:val="20"/>
              </w:rPr>
            </w:pPr>
          </w:p>
        </w:tc>
      </w:tr>
      <w:tr w:rsidR="008E67EA" w:rsidRPr="00DA769D" w14:paraId="2C15AFD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3FEB7D6" w14:textId="77777777" w:rsidR="008E67EA" w:rsidRPr="00DA769D" w:rsidRDefault="008E67EA" w:rsidP="00B44A74">
            <w:pPr>
              <w:spacing w:line="280" w:lineRule="exact"/>
              <w:rPr>
                <w:rFonts w:cs="Arial"/>
                <w:sz w:val="20"/>
                <w:szCs w:val="20"/>
              </w:rPr>
            </w:pPr>
            <w:r w:rsidRPr="00DA769D">
              <w:rPr>
                <w:rFonts w:cs="Arial"/>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1DDF5EF1" w14:textId="77777777" w:rsidR="008E67EA" w:rsidRPr="00DA769D" w:rsidRDefault="008E67EA" w:rsidP="00B44A74">
            <w:pPr>
              <w:spacing w:line="280" w:lineRule="exact"/>
              <w:rPr>
                <w:rFonts w:cs="Arial"/>
                <w:sz w:val="20"/>
                <w:szCs w:val="20"/>
              </w:rPr>
            </w:pPr>
            <w:r w:rsidRPr="00DA769D">
              <w:rPr>
                <w:rFonts w:cs="Arial"/>
                <w:sz w:val="20"/>
                <w:szCs w:val="20"/>
              </w:rPr>
              <w:t>POISON</w:t>
            </w:r>
          </w:p>
          <w:p w14:paraId="1D4A00FF" w14:textId="77777777" w:rsidR="008E67EA" w:rsidRPr="00DA769D" w:rsidRDefault="008E67EA" w:rsidP="00B44A74">
            <w:pPr>
              <w:spacing w:line="280" w:lineRule="exact"/>
              <w:rPr>
                <w:rFonts w:cs="Arial"/>
                <w:sz w:val="20"/>
                <w:szCs w:val="20"/>
              </w:rPr>
            </w:pPr>
            <w:r w:rsidRPr="00DA769D">
              <w:rPr>
                <w:rFonts w:cs="Arial"/>
                <w:sz w:val="20"/>
                <w:szCs w:val="20"/>
              </w:rPr>
              <w:t>KEEP OUT OF REACH OF CHILDREN</w:t>
            </w:r>
          </w:p>
          <w:p w14:paraId="3B14E804" w14:textId="77777777" w:rsidR="008E67EA" w:rsidRPr="00DA769D" w:rsidRDefault="008E67EA" w:rsidP="00B44A74">
            <w:pPr>
              <w:spacing w:line="280" w:lineRule="exact"/>
              <w:rPr>
                <w:rFonts w:cs="Arial"/>
                <w:sz w:val="20"/>
                <w:szCs w:val="20"/>
              </w:rPr>
            </w:pPr>
            <w:r w:rsidRPr="00DA769D">
              <w:rPr>
                <w:rFonts w:cs="Arial"/>
                <w:sz w:val="20"/>
                <w:szCs w:val="20"/>
              </w:rPr>
              <w:t>READ SAFETY DIRECTIONS</w:t>
            </w:r>
          </w:p>
        </w:tc>
      </w:tr>
      <w:tr w:rsidR="008E67EA" w:rsidRPr="00DA769D" w14:paraId="17218D0B" w14:textId="77777777" w:rsidTr="00B44A74">
        <w:trPr>
          <w:jc w:val="center"/>
        </w:trPr>
        <w:tc>
          <w:tcPr>
            <w:tcW w:w="2415" w:type="dxa"/>
            <w:tcBorders>
              <w:top w:val="single" w:sz="4" w:space="0" w:color="auto"/>
              <w:left w:val="nil"/>
              <w:bottom w:val="single" w:sz="4" w:space="0" w:color="auto"/>
              <w:right w:val="nil"/>
            </w:tcBorders>
          </w:tcPr>
          <w:p w14:paraId="570731B4" w14:textId="77777777" w:rsidR="008E67EA" w:rsidRPr="00DA769D"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A0AB07D" w14:textId="77777777" w:rsidR="008E67EA" w:rsidRPr="00DA769D" w:rsidRDefault="008E67EA" w:rsidP="00B44A74">
            <w:pPr>
              <w:spacing w:line="280" w:lineRule="exact"/>
              <w:rPr>
                <w:rFonts w:cs="Arial"/>
                <w:sz w:val="20"/>
                <w:szCs w:val="20"/>
              </w:rPr>
            </w:pPr>
          </w:p>
        </w:tc>
      </w:tr>
      <w:tr w:rsidR="008E67EA" w:rsidRPr="00DA769D" w14:paraId="24AF6B0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D2CAC78" w14:textId="77777777" w:rsidR="008E67EA" w:rsidRPr="00DA769D" w:rsidRDefault="008E67EA" w:rsidP="00B44A74">
            <w:pPr>
              <w:spacing w:line="280" w:lineRule="exact"/>
              <w:rPr>
                <w:rFonts w:cs="Arial"/>
                <w:sz w:val="20"/>
                <w:szCs w:val="20"/>
              </w:rPr>
            </w:pPr>
            <w:r w:rsidRPr="00DA769D">
              <w:rPr>
                <w:rFonts w:cs="Arial"/>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35E170C1" w14:textId="77777777" w:rsidR="008E67EA" w:rsidRPr="00DA769D" w:rsidRDefault="008E67EA" w:rsidP="00B44A74">
            <w:pPr>
              <w:spacing w:line="280" w:lineRule="exact"/>
              <w:rPr>
                <w:rFonts w:cs="Arial"/>
                <w:sz w:val="20"/>
                <w:szCs w:val="20"/>
              </w:rPr>
            </w:pPr>
            <w:r w:rsidRPr="00DA769D">
              <w:rPr>
                <w:rFonts w:cs="Arial"/>
                <w:sz w:val="20"/>
                <w:szCs w:val="20"/>
              </w:rPr>
              <w:t>ACTIVE CONSTITUENT: 0.0</w:t>
            </w:r>
            <w:r>
              <w:rPr>
                <w:rFonts w:cs="Arial"/>
                <w:sz w:val="20"/>
                <w:szCs w:val="20"/>
              </w:rPr>
              <w:t>25</w:t>
            </w:r>
            <w:r w:rsidRPr="00DA769D">
              <w:rPr>
                <w:rFonts w:cs="Arial"/>
                <w:sz w:val="20"/>
                <w:szCs w:val="20"/>
              </w:rPr>
              <w:t xml:space="preserve"> g/kg BRODIFACOUM</w:t>
            </w:r>
          </w:p>
        </w:tc>
      </w:tr>
      <w:tr w:rsidR="008E67EA" w:rsidRPr="00DA769D" w14:paraId="68576BD6" w14:textId="77777777" w:rsidTr="00B44A74">
        <w:trPr>
          <w:jc w:val="center"/>
        </w:trPr>
        <w:tc>
          <w:tcPr>
            <w:tcW w:w="2415" w:type="dxa"/>
            <w:tcBorders>
              <w:top w:val="single" w:sz="4" w:space="0" w:color="auto"/>
              <w:left w:val="nil"/>
              <w:bottom w:val="single" w:sz="4" w:space="0" w:color="auto"/>
              <w:right w:val="nil"/>
            </w:tcBorders>
          </w:tcPr>
          <w:p w14:paraId="78A93631" w14:textId="77777777" w:rsidR="008E67EA" w:rsidRPr="00DA769D"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E90E96B" w14:textId="77777777" w:rsidR="008E67EA" w:rsidRPr="00DA769D" w:rsidRDefault="008E67EA" w:rsidP="00B44A74">
            <w:pPr>
              <w:spacing w:line="280" w:lineRule="exact"/>
              <w:rPr>
                <w:rFonts w:cs="Arial"/>
                <w:sz w:val="20"/>
                <w:szCs w:val="20"/>
              </w:rPr>
            </w:pPr>
          </w:p>
        </w:tc>
      </w:tr>
      <w:tr w:rsidR="008E67EA" w:rsidRPr="00DA769D" w14:paraId="5A0686C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CD0D2E5" w14:textId="77777777" w:rsidR="008E67EA" w:rsidRPr="00DA769D" w:rsidRDefault="008E67EA" w:rsidP="00B44A74">
            <w:pPr>
              <w:spacing w:line="280" w:lineRule="exact"/>
              <w:rPr>
                <w:rFonts w:cs="Arial"/>
                <w:sz w:val="20"/>
                <w:szCs w:val="20"/>
              </w:rPr>
            </w:pPr>
            <w:r w:rsidRPr="00DA769D">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72379971" w14:textId="77777777" w:rsidR="008E67EA" w:rsidRPr="00DA769D" w:rsidRDefault="008E67EA" w:rsidP="00B44A74">
            <w:pPr>
              <w:spacing w:line="280" w:lineRule="exact"/>
              <w:rPr>
                <w:rFonts w:cs="Arial"/>
                <w:sz w:val="20"/>
                <w:szCs w:val="20"/>
              </w:rPr>
            </w:pPr>
            <w:r w:rsidRPr="00DA769D">
              <w:rPr>
                <w:rFonts w:cs="Arial"/>
                <w:sz w:val="20"/>
                <w:szCs w:val="20"/>
              </w:rPr>
              <w:t>For control of mice in domestic buildings.</w:t>
            </w:r>
          </w:p>
        </w:tc>
      </w:tr>
      <w:tr w:rsidR="008E67EA" w:rsidRPr="00DA769D" w14:paraId="1B9CA9A8" w14:textId="77777777" w:rsidTr="00B44A74">
        <w:trPr>
          <w:jc w:val="center"/>
        </w:trPr>
        <w:tc>
          <w:tcPr>
            <w:tcW w:w="2415" w:type="dxa"/>
            <w:tcBorders>
              <w:top w:val="single" w:sz="4" w:space="0" w:color="auto"/>
              <w:left w:val="nil"/>
              <w:bottom w:val="single" w:sz="4" w:space="0" w:color="auto"/>
              <w:right w:val="nil"/>
            </w:tcBorders>
          </w:tcPr>
          <w:p w14:paraId="476E3EF6" w14:textId="77777777" w:rsidR="008E67EA" w:rsidRPr="00DA769D"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B72510F" w14:textId="77777777" w:rsidR="008E67EA" w:rsidRPr="00DA769D" w:rsidRDefault="008E67EA" w:rsidP="00B44A74">
            <w:pPr>
              <w:spacing w:line="280" w:lineRule="exact"/>
              <w:rPr>
                <w:rFonts w:cs="Arial"/>
                <w:sz w:val="20"/>
                <w:szCs w:val="20"/>
              </w:rPr>
            </w:pPr>
          </w:p>
        </w:tc>
      </w:tr>
      <w:tr w:rsidR="008E67EA" w:rsidRPr="00DA769D" w14:paraId="531DF4A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4255996" w14:textId="77777777" w:rsidR="008E67EA" w:rsidRPr="00DA769D" w:rsidRDefault="008E67EA" w:rsidP="00B44A74">
            <w:pPr>
              <w:spacing w:line="280" w:lineRule="exact"/>
              <w:rPr>
                <w:rFonts w:cs="Arial"/>
                <w:sz w:val="20"/>
                <w:szCs w:val="20"/>
              </w:rPr>
            </w:pPr>
            <w:r w:rsidRPr="00DA769D">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07EABB3E" w14:textId="77777777" w:rsidR="008E67EA" w:rsidRPr="00DA769D" w:rsidRDefault="008E67EA" w:rsidP="00B44A74">
            <w:pPr>
              <w:spacing w:line="280" w:lineRule="exact"/>
              <w:rPr>
                <w:rFonts w:cs="Arial"/>
                <w:sz w:val="20"/>
                <w:szCs w:val="20"/>
              </w:rPr>
            </w:pPr>
            <w:r w:rsidRPr="00DA769D">
              <w:rPr>
                <w:rFonts w:cs="Arial"/>
                <w:sz w:val="20"/>
                <w:szCs w:val="20"/>
              </w:rPr>
              <w:t>[INSERT NET CONTENTS – MAXIMUM 300g]</w:t>
            </w:r>
          </w:p>
        </w:tc>
      </w:tr>
      <w:tr w:rsidR="008E67EA" w:rsidRPr="00DA769D" w14:paraId="7E52D147" w14:textId="77777777" w:rsidTr="00B44A74">
        <w:trPr>
          <w:jc w:val="center"/>
        </w:trPr>
        <w:tc>
          <w:tcPr>
            <w:tcW w:w="2415" w:type="dxa"/>
            <w:tcBorders>
              <w:top w:val="single" w:sz="4" w:space="0" w:color="auto"/>
              <w:left w:val="nil"/>
              <w:bottom w:val="single" w:sz="4" w:space="0" w:color="auto"/>
              <w:right w:val="nil"/>
            </w:tcBorders>
          </w:tcPr>
          <w:p w14:paraId="3F3F1D7B" w14:textId="77777777" w:rsidR="008E67EA" w:rsidRPr="00DA769D"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35AD2B8" w14:textId="77777777" w:rsidR="008E67EA" w:rsidRPr="00DA769D" w:rsidRDefault="008E67EA" w:rsidP="00B44A74">
            <w:pPr>
              <w:spacing w:line="280" w:lineRule="exact"/>
              <w:rPr>
                <w:rFonts w:cs="Arial"/>
                <w:sz w:val="20"/>
                <w:szCs w:val="20"/>
              </w:rPr>
            </w:pPr>
          </w:p>
        </w:tc>
      </w:tr>
      <w:tr w:rsidR="008E67EA" w:rsidRPr="00DA769D" w14:paraId="5873E359"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A339B7C" w14:textId="77777777" w:rsidR="008E67EA" w:rsidRPr="00DA769D" w:rsidRDefault="008E67EA" w:rsidP="00B44A74">
            <w:pPr>
              <w:spacing w:line="280" w:lineRule="exact"/>
              <w:rPr>
                <w:rFonts w:cs="Arial"/>
                <w:sz w:val="20"/>
                <w:szCs w:val="20"/>
              </w:rPr>
            </w:pPr>
            <w:r w:rsidRPr="00DA769D">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38E0C647" w14:textId="02D89E81" w:rsidR="008E67EA" w:rsidRPr="00DA769D" w:rsidRDefault="008E67EA" w:rsidP="00B44A74">
            <w:pPr>
              <w:spacing w:line="280" w:lineRule="exact"/>
              <w:rPr>
                <w:rFonts w:cs="Arial"/>
                <w:sz w:val="20"/>
                <w:szCs w:val="20"/>
              </w:rPr>
            </w:pPr>
            <w:r w:rsidRPr="00DA769D">
              <w:rPr>
                <w:rFonts w:cs="Arial"/>
                <w:sz w:val="20"/>
                <w:szCs w:val="20"/>
              </w:rPr>
              <w:t>DO NOT place baits unless in tamper-resistant bait stations.</w:t>
            </w:r>
          </w:p>
          <w:p w14:paraId="222370A8" w14:textId="77777777" w:rsidR="008E67EA" w:rsidRPr="00DA769D" w:rsidRDefault="008E67EA" w:rsidP="00B44A74">
            <w:pPr>
              <w:spacing w:line="280" w:lineRule="exact"/>
              <w:rPr>
                <w:rFonts w:cs="Arial"/>
                <w:sz w:val="20"/>
                <w:szCs w:val="20"/>
              </w:rPr>
            </w:pPr>
            <w:r w:rsidRPr="00DA769D">
              <w:rPr>
                <w:rFonts w:cs="Arial"/>
                <w:sz w:val="20"/>
                <w:szCs w:val="20"/>
              </w:rPr>
              <w:t>DO NOT place bait stations outdoors around buildings for control of mice.</w:t>
            </w:r>
          </w:p>
          <w:p w14:paraId="44A58EDC" w14:textId="77777777" w:rsidR="008E67EA" w:rsidRPr="00DA769D" w:rsidRDefault="008E67EA" w:rsidP="00B44A74">
            <w:pPr>
              <w:spacing w:line="280" w:lineRule="exact"/>
              <w:rPr>
                <w:rFonts w:cs="Arial"/>
                <w:sz w:val="20"/>
                <w:szCs w:val="20"/>
              </w:rPr>
            </w:pPr>
            <w:r w:rsidRPr="00DA769D">
              <w:rPr>
                <w:rFonts w:cs="Arial"/>
                <w:sz w:val="20"/>
                <w:szCs w:val="20"/>
              </w:rPr>
              <w:t>DO NOT place baits in animal, livestock and poultry houses, associated equipment, and food and feed processing areas.</w:t>
            </w:r>
          </w:p>
          <w:p w14:paraId="1E665FBF" w14:textId="77777777" w:rsidR="008E67EA" w:rsidRPr="00DA769D" w:rsidRDefault="008E67EA" w:rsidP="00B44A74">
            <w:pPr>
              <w:spacing w:line="280" w:lineRule="exact"/>
              <w:rPr>
                <w:rFonts w:cs="Arial"/>
                <w:sz w:val="20"/>
                <w:szCs w:val="20"/>
              </w:rPr>
            </w:pPr>
            <w:r w:rsidRPr="00DA769D">
              <w:rPr>
                <w:rFonts w:cs="Arial"/>
                <w:sz w:val="20"/>
                <w:szCs w:val="20"/>
              </w:rPr>
              <w:t>DO NOT use the product in pulsed baiting treatments.</w:t>
            </w:r>
          </w:p>
        </w:tc>
      </w:tr>
      <w:tr w:rsidR="008E67EA" w:rsidRPr="00DA769D" w14:paraId="0254757E" w14:textId="77777777" w:rsidTr="00B44A74">
        <w:trPr>
          <w:jc w:val="center"/>
        </w:trPr>
        <w:tc>
          <w:tcPr>
            <w:tcW w:w="2415" w:type="dxa"/>
            <w:tcBorders>
              <w:top w:val="single" w:sz="4" w:space="0" w:color="auto"/>
              <w:left w:val="nil"/>
              <w:bottom w:val="single" w:sz="4" w:space="0" w:color="auto"/>
              <w:right w:val="nil"/>
            </w:tcBorders>
          </w:tcPr>
          <w:p w14:paraId="70E5B9AD" w14:textId="77777777" w:rsidR="008E67EA" w:rsidRPr="00DA769D"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81114B7" w14:textId="77777777" w:rsidR="008E67EA" w:rsidRPr="00DA769D" w:rsidRDefault="008E67EA" w:rsidP="00B44A74">
            <w:pPr>
              <w:spacing w:line="280" w:lineRule="exact"/>
              <w:rPr>
                <w:rFonts w:cs="Arial"/>
                <w:sz w:val="20"/>
                <w:szCs w:val="20"/>
              </w:rPr>
            </w:pPr>
          </w:p>
        </w:tc>
      </w:tr>
      <w:tr w:rsidR="008E67EA" w:rsidRPr="00DA769D" w14:paraId="329AFDD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D2C2169" w14:textId="77777777" w:rsidR="008E67EA" w:rsidRPr="00DA769D" w:rsidRDefault="008E67EA" w:rsidP="00B44A74">
            <w:pPr>
              <w:spacing w:line="280" w:lineRule="exact"/>
              <w:rPr>
                <w:rFonts w:cs="Arial"/>
                <w:sz w:val="20"/>
                <w:szCs w:val="20"/>
              </w:rPr>
            </w:pPr>
            <w:r w:rsidRPr="00DA769D">
              <w:rPr>
                <w:rFonts w:cs="Arial"/>
                <w:sz w:val="20"/>
                <w:szCs w:val="20"/>
              </w:rPr>
              <w:t>How to Use</w:t>
            </w:r>
          </w:p>
        </w:tc>
        <w:tc>
          <w:tcPr>
            <w:tcW w:w="7755" w:type="dxa"/>
            <w:tcBorders>
              <w:top w:val="single" w:sz="4" w:space="0" w:color="auto"/>
              <w:left w:val="single" w:sz="4" w:space="0" w:color="auto"/>
              <w:bottom w:val="single" w:sz="4" w:space="0" w:color="auto"/>
              <w:right w:val="single" w:sz="4" w:space="0" w:color="auto"/>
            </w:tcBorders>
          </w:tcPr>
          <w:p w14:paraId="210AB3A8" w14:textId="77777777" w:rsidR="008E67EA" w:rsidRPr="00DA769D" w:rsidRDefault="008E67EA" w:rsidP="00B44A74">
            <w:pPr>
              <w:spacing w:line="280" w:lineRule="exact"/>
              <w:rPr>
                <w:rFonts w:cs="Arial"/>
                <w:sz w:val="20"/>
                <w:szCs w:val="20"/>
              </w:rPr>
            </w:pPr>
            <w:r w:rsidRPr="00B832BB">
              <w:rPr>
                <w:rFonts w:cs="Arial"/>
                <w:sz w:val="20"/>
                <w:szCs w:val="20"/>
              </w:rPr>
              <w:t>[This section contains an attachment below]</w:t>
            </w:r>
          </w:p>
        </w:tc>
      </w:tr>
      <w:tr w:rsidR="008E67EA" w:rsidRPr="00DA769D" w14:paraId="170CADA4" w14:textId="77777777" w:rsidTr="00B44A74">
        <w:trPr>
          <w:jc w:val="center"/>
        </w:trPr>
        <w:tc>
          <w:tcPr>
            <w:tcW w:w="2415" w:type="dxa"/>
            <w:tcBorders>
              <w:top w:val="single" w:sz="4" w:space="0" w:color="auto"/>
              <w:left w:val="nil"/>
              <w:bottom w:val="single" w:sz="4" w:space="0" w:color="auto"/>
              <w:right w:val="nil"/>
            </w:tcBorders>
          </w:tcPr>
          <w:p w14:paraId="7F08D15B" w14:textId="77777777" w:rsidR="008E67EA" w:rsidRPr="00DA769D"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0548F5D" w14:textId="77777777" w:rsidR="008E67EA" w:rsidRPr="00DA769D" w:rsidRDefault="008E67EA" w:rsidP="00B44A74">
            <w:pPr>
              <w:spacing w:line="280" w:lineRule="exact"/>
              <w:rPr>
                <w:rFonts w:cs="Arial"/>
                <w:sz w:val="20"/>
                <w:szCs w:val="20"/>
              </w:rPr>
            </w:pPr>
          </w:p>
        </w:tc>
      </w:tr>
      <w:tr w:rsidR="008E67EA" w:rsidRPr="00DA769D" w14:paraId="210B422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C6E31A9" w14:textId="77777777" w:rsidR="008E67EA" w:rsidRPr="00DA769D" w:rsidRDefault="008E67EA" w:rsidP="00B44A74">
            <w:pPr>
              <w:spacing w:line="280" w:lineRule="exact"/>
              <w:rPr>
                <w:rFonts w:cs="Arial"/>
                <w:sz w:val="20"/>
                <w:szCs w:val="20"/>
              </w:rPr>
            </w:pPr>
            <w:r w:rsidRPr="00DA769D">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0A740C5F" w14:textId="77777777" w:rsidR="008E67EA" w:rsidRPr="00DA769D" w:rsidRDefault="008E67EA" w:rsidP="00B44A74">
            <w:pPr>
              <w:spacing w:line="280" w:lineRule="exact"/>
              <w:rPr>
                <w:rFonts w:cs="Arial"/>
                <w:sz w:val="20"/>
                <w:szCs w:val="20"/>
              </w:rPr>
            </w:pPr>
          </w:p>
        </w:tc>
      </w:tr>
      <w:tr w:rsidR="008E67EA" w:rsidRPr="00DA769D" w14:paraId="1C3D54FB" w14:textId="77777777" w:rsidTr="00B44A74">
        <w:trPr>
          <w:jc w:val="center"/>
        </w:trPr>
        <w:tc>
          <w:tcPr>
            <w:tcW w:w="2415" w:type="dxa"/>
            <w:tcBorders>
              <w:top w:val="single" w:sz="4" w:space="0" w:color="auto"/>
              <w:left w:val="nil"/>
              <w:bottom w:val="single" w:sz="4" w:space="0" w:color="auto"/>
              <w:right w:val="nil"/>
            </w:tcBorders>
          </w:tcPr>
          <w:p w14:paraId="47F66B86" w14:textId="77777777" w:rsidR="008E67EA" w:rsidRPr="00DA769D"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387CFD7" w14:textId="77777777" w:rsidR="008E67EA" w:rsidRPr="00DA769D" w:rsidRDefault="008E67EA" w:rsidP="00B44A74">
            <w:pPr>
              <w:spacing w:line="280" w:lineRule="exact"/>
              <w:rPr>
                <w:rFonts w:cs="Arial"/>
                <w:sz w:val="20"/>
                <w:szCs w:val="20"/>
              </w:rPr>
            </w:pPr>
          </w:p>
        </w:tc>
      </w:tr>
      <w:tr w:rsidR="008E67EA" w:rsidRPr="00DA769D" w14:paraId="26CDDF1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7F1EDE8" w14:textId="77777777" w:rsidR="008E67EA" w:rsidRPr="00DA769D" w:rsidRDefault="008E67EA" w:rsidP="00B44A74">
            <w:pPr>
              <w:spacing w:line="280" w:lineRule="exact"/>
              <w:rPr>
                <w:rFonts w:cs="Arial"/>
                <w:sz w:val="20"/>
                <w:szCs w:val="20"/>
              </w:rPr>
            </w:pPr>
            <w:r w:rsidRPr="00DA769D">
              <w:rPr>
                <w:rFonts w:cs="Arial"/>
                <w:sz w:val="20"/>
                <w:szCs w:val="20"/>
              </w:rPr>
              <w:t>How to Prepare</w:t>
            </w:r>
          </w:p>
        </w:tc>
        <w:tc>
          <w:tcPr>
            <w:tcW w:w="7755" w:type="dxa"/>
            <w:tcBorders>
              <w:top w:val="single" w:sz="4" w:space="0" w:color="auto"/>
              <w:left w:val="single" w:sz="4" w:space="0" w:color="auto"/>
              <w:bottom w:val="single" w:sz="4" w:space="0" w:color="auto"/>
              <w:right w:val="single" w:sz="4" w:space="0" w:color="auto"/>
            </w:tcBorders>
          </w:tcPr>
          <w:p w14:paraId="1740DD7D" w14:textId="77777777" w:rsidR="008E67EA" w:rsidRDefault="008E67EA" w:rsidP="00B44A74">
            <w:pPr>
              <w:spacing w:line="280" w:lineRule="exact"/>
              <w:rPr>
                <w:rFonts w:cs="Arial"/>
                <w:sz w:val="20"/>
                <w:szCs w:val="20"/>
              </w:rPr>
            </w:pPr>
            <w:r>
              <w:rPr>
                <w:rFonts w:cs="Arial"/>
                <w:sz w:val="20"/>
                <w:szCs w:val="20"/>
              </w:rPr>
              <w:t>GENERAL INSTRUCTIONS</w:t>
            </w:r>
          </w:p>
          <w:p w14:paraId="2E7DAFCC" w14:textId="77777777" w:rsidR="008E67EA" w:rsidRPr="00DA769D" w:rsidRDefault="008E67EA" w:rsidP="00B44A74">
            <w:pPr>
              <w:spacing w:line="280" w:lineRule="exact"/>
              <w:rPr>
                <w:rFonts w:cs="Arial"/>
                <w:sz w:val="20"/>
                <w:szCs w:val="20"/>
              </w:rPr>
            </w:pPr>
            <w:r w:rsidRPr="005B7479">
              <w:rPr>
                <w:rFonts w:cs="Arial"/>
                <w:sz w:val="20"/>
                <w:szCs w:val="20"/>
              </w:rPr>
              <w:t>The Big Cheese Ultra Power Mouse Kill Bait Station Kit is a ready to use bait station specifically</w:t>
            </w:r>
            <w:r>
              <w:rPr>
                <w:rFonts w:cs="Arial"/>
                <w:sz w:val="20"/>
                <w:szCs w:val="20"/>
              </w:rPr>
              <w:t xml:space="preserve"> </w:t>
            </w:r>
            <w:r w:rsidRPr="005B7479">
              <w:rPr>
                <w:rFonts w:cs="Arial"/>
                <w:sz w:val="20"/>
                <w:szCs w:val="20"/>
              </w:rPr>
              <w:t>designed for the control of mice in household situations.</w:t>
            </w:r>
            <w:r>
              <w:rPr>
                <w:rFonts w:cs="Arial"/>
                <w:sz w:val="20"/>
                <w:szCs w:val="20"/>
              </w:rPr>
              <w:t xml:space="preserve"> </w:t>
            </w:r>
            <w:r w:rsidRPr="005B7479">
              <w:rPr>
                <w:rFonts w:cs="Arial"/>
                <w:sz w:val="20"/>
                <w:szCs w:val="20"/>
              </w:rPr>
              <w:t>The station is pre-baited with (one/two) Ultra Power Bait Blocks to kill mice</w:t>
            </w:r>
            <w:r>
              <w:rPr>
                <w:rFonts w:cs="Arial"/>
                <w:sz w:val="20"/>
                <w:szCs w:val="20"/>
              </w:rPr>
              <w:t xml:space="preserve">. </w:t>
            </w:r>
            <w:r w:rsidRPr="005B7479">
              <w:rPr>
                <w:rFonts w:cs="Arial"/>
                <w:sz w:val="20"/>
                <w:szCs w:val="20"/>
              </w:rPr>
              <w:t>The bait station can be easily opened using the supplied key to check and refill with bait as required.</w:t>
            </w:r>
          </w:p>
        </w:tc>
      </w:tr>
      <w:tr w:rsidR="008E67EA" w:rsidRPr="00DA769D" w14:paraId="13F8E82C" w14:textId="77777777" w:rsidTr="00B44A74">
        <w:trPr>
          <w:jc w:val="center"/>
        </w:trPr>
        <w:tc>
          <w:tcPr>
            <w:tcW w:w="2415" w:type="dxa"/>
            <w:tcBorders>
              <w:top w:val="single" w:sz="4" w:space="0" w:color="auto"/>
              <w:left w:val="nil"/>
              <w:bottom w:val="single" w:sz="4" w:space="0" w:color="auto"/>
              <w:right w:val="nil"/>
            </w:tcBorders>
          </w:tcPr>
          <w:p w14:paraId="42F4D8EA" w14:textId="77777777" w:rsidR="008E67EA" w:rsidRPr="00DA769D"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6325523" w14:textId="77777777" w:rsidR="008E67EA" w:rsidRPr="00DA769D" w:rsidRDefault="008E67EA" w:rsidP="00B44A74">
            <w:pPr>
              <w:spacing w:line="280" w:lineRule="exact"/>
              <w:rPr>
                <w:rFonts w:cs="Arial"/>
                <w:sz w:val="20"/>
                <w:szCs w:val="20"/>
              </w:rPr>
            </w:pPr>
          </w:p>
        </w:tc>
      </w:tr>
      <w:tr w:rsidR="008E67EA" w:rsidRPr="00DA769D" w14:paraId="17E25C5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EEFAC43" w14:textId="77777777" w:rsidR="008E67EA" w:rsidRPr="00DA769D" w:rsidRDefault="008E67EA" w:rsidP="00B44A74">
            <w:pPr>
              <w:spacing w:line="280" w:lineRule="exact"/>
              <w:rPr>
                <w:rFonts w:cs="Arial"/>
                <w:sz w:val="20"/>
                <w:szCs w:val="20"/>
              </w:rPr>
            </w:pPr>
            <w:r w:rsidRPr="00DA769D">
              <w:rPr>
                <w:rFonts w:cs="Arial"/>
                <w:sz w:val="20"/>
                <w:szCs w:val="20"/>
              </w:rPr>
              <w:t>Resistance Warning:</w:t>
            </w:r>
          </w:p>
        </w:tc>
        <w:tc>
          <w:tcPr>
            <w:tcW w:w="7755" w:type="dxa"/>
            <w:tcBorders>
              <w:top w:val="single" w:sz="4" w:space="0" w:color="auto"/>
              <w:left w:val="single" w:sz="4" w:space="0" w:color="auto"/>
              <w:bottom w:val="single" w:sz="4" w:space="0" w:color="auto"/>
              <w:right w:val="single" w:sz="4" w:space="0" w:color="auto"/>
            </w:tcBorders>
          </w:tcPr>
          <w:p w14:paraId="5BB05CBB" w14:textId="77777777" w:rsidR="008E67EA" w:rsidRPr="00DA769D" w:rsidRDefault="008E67EA" w:rsidP="00B44A74">
            <w:pPr>
              <w:spacing w:line="280" w:lineRule="exact"/>
              <w:rPr>
                <w:rFonts w:cs="Arial"/>
                <w:sz w:val="20"/>
                <w:szCs w:val="20"/>
              </w:rPr>
            </w:pPr>
          </w:p>
        </w:tc>
      </w:tr>
      <w:tr w:rsidR="008E67EA" w:rsidRPr="00DA769D" w14:paraId="2DDEA348" w14:textId="77777777" w:rsidTr="00B44A74">
        <w:trPr>
          <w:jc w:val="center"/>
        </w:trPr>
        <w:tc>
          <w:tcPr>
            <w:tcW w:w="2415" w:type="dxa"/>
            <w:tcBorders>
              <w:top w:val="single" w:sz="4" w:space="0" w:color="auto"/>
              <w:left w:val="nil"/>
              <w:bottom w:val="single" w:sz="4" w:space="0" w:color="auto"/>
              <w:right w:val="nil"/>
            </w:tcBorders>
          </w:tcPr>
          <w:p w14:paraId="61FD0005" w14:textId="77777777" w:rsidR="008E67EA" w:rsidRPr="00DA769D"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1F6A32C" w14:textId="77777777" w:rsidR="008E67EA" w:rsidRPr="00DA769D" w:rsidRDefault="008E67EA" w:rsidP="00B44A74">
            <w:pPr>
              <w:spacing w:line="280" w:lineRule="exact"/>
              <w:rPr>
                <w:rFonts w:cs="Arial"/>
                <w:sz w:val="20"/>
                <w:szCs w:val="20"/>
              </w:rPr>
            </w:pPr>
          </w:p>
        </w:tc>
      </w:tr>
      <w:tr w:rsidR="008E67EA" w:rsidRPr="00DA769D" w14:paraId="6EBD6EE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12AC1E5" w14:textId="77777777" w:rsidR="008E67EA" w:rsidRPr="00DA769D" w:rsidRDefault="008E67EA" w:rsidP="00B44A74">
            <w:pPr>
              <w:spacing w:line="280" w:lineRule="exact"/>
              <w:rPr>
                <w:rFonts w:cs="Arial"/>
                <w:sz w:val="20"/>
                <w:szCs w:val="20"/>
              </w:rPr>
            </w:pPr>
            <w:r w:rsidRPr="00DA769D">
              <w:rPr>
                <w:rFonts w:cs="Arial"/>
                <w:sz w:val="20"/>
                <w:szCs w:val="20"/>
              </w:rPr>
              <w:t>Precautions:</w:t>
            </w:r>
          </w:p>
        </w:tc>
        <w:tc>
          <w:tcPr>
            <w:tcW w:w="7755" w:type="dxa"/>
            <w:tcBorders>
              <w:top w:val="single" w:sz="4" w:space="0" w:color="auto"/>
              <w:left w:val="single" w:sz="4" w:space="0" w:color="auto"/>
              <w:bottom w:val="single" w:sz="4" w:space="0" w:color="auto"/>
              <w:right w:val="single" w:sz="4" w:space="0" w:color="auto"/>
            </w:tcBorders>
          </w:tcPr>
          <w:p w14:paraId="705D45A1" w14:textId="77777777" w:rsidR="008E67EA" w:rsidRPr="00DA769D" w:rsidRDefault="008E67EA" w:rsidP="00B44A74">
            <w:pPr>
              <w:spacing w:line="280" w:lineRule="exact"/>
              <w:rPr>
                <w:rFonts w:cs="Arial"/>
                <w:sz w:val="20"/>
                <w:szCs w:val="20"/>
              </w:rPr>
            </w:pPr>
            <w:r w:rsidRPr="00DA769D">
              <w:rPr>
                <w:rFonts w:cs="Arial"/>
                <w:sz w:val="20"/>
                <w:szCs w:val="20"/>
              </w:rPr>
              <w:t>CAUTION</w:t>
            </w:r>
          </w:p>
          <w:p w14:paraId="454530B7" w14:textId="77777777" w:rsidR="008E67EA" w:rsidRPr="00DA769D" w:rsidRDefault="008E67EA" w:rsidP="00B44A74">
            <w:pPr>
              <w:spacing w:line="280" w:lineRule="exact"/>
              <w:rPr>
                <w:rFonts w:cs="Arial"/>
                <w:sz w:val="20"/>
                <w:szCs w:val="20"/>
              </w:rPr>
            </w:pPr>
            <w:r w:rsidRPr="00DA769D">
              <w:rPr>
                <w:rFonts w:cs="Arial"/>
                <w:sz w:val="20"/>
                <w:szCs w:val="20"/>
              </w:rPr>
              <w:t>Caution should be used when baiting near areas where hunting of wildlife may occur. Careful consideration of bait placement is necessary to avoid secondary exposure from contaminated wildlife that may be consumed.</w:t>
            </w:r>
          </w:p>
          <w:p w14:paraId="0A6AC6CF" w14:textId="77777777" w:rsidR="008E67EA" w:rsidRPr="00DA769D" w:rsidRDefault="008E67EA" w:rsidP="00B44A74">
            <w:pPr>
              <w:spacing w:line="280" w:lineRule="exact"/>
              <w:rPr>
                <w:rFonts w:cs="Arial"/>
                <w:sz w:val="20"/>
                <w:szCs w:val="20"/>
              </w:rPr>
            </w:pPr>
            <w:r w:rsidRPr="00DA769D">
              <w:rPr>
                <w:rFonts w:cs="Arial"/>
                <w:sz w:val="20"/>
                <w:szCs w:val="20"/>
              </w:rPr>
              <w:t>DO NOT place bait in areas where there is a possibility of contaminating food, livestock feed or surfaces that come in direct contact with food or livestock feed.</w:t>
            </w:r>
          </w:p>
          <w:p w14:paraId="3D599D02" w14:textId="77777777" w:rsidR="008E67EA" w:rsidRPr="00DA769D" w:rsidRDefault="008E67EA" w:rsidP="00B44A74">
            <w:pPr>
              <w:spacing w:line="280" w:lineRule="exact"/>
              <w:rPr>
                <w:rFonts w:cs="Arial"/>
                <w:sz w:val="20"/>
                <w:szCs w:val="20"/>
              </w:rPr>
            </w:pPr>
          </w:p>
          <w:p w14:paraId="31E93D34" w14:textId="77777777" w:rsidR="008E67EA" w:rsidRPr="00DA769D" w:rsidRDefault="008E67EA" w:rsidP="00B44A74">
            <w:pPr>
              <w:spacing w:line="280" w:lineRule="exact"/>
              <w:rPr>
                <w:rFonts w:cs="Arial"/>
                <w:sz w:val="20"/>
                <w:szCs w:val="20"/>
              </w:rPr>
            </w:pPr>
            <w:r w:rsidRPr="00DA769D">
              <w:rPr>
                <w:rFonts w:cs="Arial"/>
                <w:sz w:val="20"/>
                <w:szCs w:val="20"/>
              </w:rPr>
              <w:t>PROTECTION OF LIVESTOCK AND WILDLIFE</w:t>
            </w:r>
          </w:p>
          <w:p w14:paraId="5BDDC7CF" w14:textId="77777777" w:rsidR="008E67EA" w:rsidRPr="00DA769D" w:rsidRDefault="008E67EA" w:rsidP="00B44A74">
            <w:pPr>
              <w:spacing w:line="280" w:lineRule="exact"/>
              <w:rPr>
                <w:rFonts w:cs="Arial"/>
                <w:sz w:val="20"/>
                <w:szCs w:val="20"/>
              </w:rPr>
            </w:pPr>
            <w:r w:rsidRPr="00DA769D">
              <w:rPr>
                <w:rFonts w:cs="Arial"/>
                <w:sz w:val="20"/>
                <w:szCs w:val="20"/>
              </w:rPr>
              <w:t>Hazardous to livestock, poultry and wildlife. DO NOT place baits in locations that are accessible to domestic animals, livestock, non-target native animals or birds.</w:t>
            </w:r>
          </w:p>
          <w:p w14:paraId="66473AD2" w14:textId="77777777" w:rsidR="008E67EA" w:rsidRPr="00DA769D" w:rsidRDefault="008E67EA" w:rsidP="00B44A74">
            <w:pPr>
              <w:spacing w:line="280" w:lineRule="exact"/>
              <w:rPr>
                <w:rFonts w:cs="Arial"/>
                <w:sz w:val="20"/>
                <w:szCs w:val="20"/>
              </w:rPr>
            </w:pPr>
            <w:r w:rsidRPr="00DA769D">
              <w:rPr>
                <w:rFonts w:cs="Arial"/>
                <w:sz w:val="20"/>
                <w:szCs w:val="20"/>
              </w:rPr>
              <w:t xml:space="preserve">Search for and dispose of dead rodents and slugs/snails in the infested area at each visit to prevent secondary poisoning. In case slugs/snails are present, move bait station to another location within the rodent infested site, away from slugs/snails. Dispose of slugs/snails, dead rodents and uneaten bait by wrapping in paper, placing in plastic bag and putting in garbage. </w:t>
            </w:r>
          </w:p>
          <w:p w14:paraId="55A87656" w14:textId="77777777" w:rsidR="008E67EA" w:rsidRPr="005B7479" w:rsidRDefault="008E67EA" w:rsidP="00B44A74">
            <w:pPr>
              <w:spacing w:line="280" w:lineRule="exact"/>
              <w:rPr>
                <w:rFonts w:cs="Arial"/>
                <w:sz w:val="20"/>
                <w:szCs w:val="20"/>
              </w:rPr>
            </w:pPr>
            <w:r w:rsidRPr="00DA769D">
              <w:rPr>
                <w:rFonts w:cs="Arial"/>
                <w:sz w:val="20"/>
                <w:szCs w:val="20"/>
              </w:rPr>
              <w:lastRenderedPageBreak/>
              <w:t xml:space="preserve">DO NOT allow livestock or poultry to consume dead or moribund mice and rats. All dead or moribund animals and rodent faeces from baited rodents MUST be removed </w:t>
            </w:r>
            <w:r w:rsidRPr="005B7479">
              <w:rPr>
                <w:rFonts w:cs="Arial"/>
                <w:sz w:val="20"/>
                <w:szCs w:val="20"/>
              </w:rPr>
              <w:t>from areas accessible to livestock or poultry.</w:t>
            </w:r>
          </w:p>
          <w:p w14:paraId="3AD0983C" w14:textId="77777777" w:rsidR="008E67EA" w:rsidRPr="005B7479" w:rsidRDefault="008E67EA" w:rsidP="00B44A74">
            <w:pPr>
              <w:spacing w:line="280" w:lineRule="exact"/>
              <w:rPr>
                <w:rFonts w:cs="Arial"/>
                <w:sz w:val="20"/>
                <w:szCs w:val="20"/>
              </w:rPr>
            </w:pPr>
            <w:r w:rsidRPr="005B7479">
              <w:rPr>
                <w:rFonts w:cs="Arial"/>
                <w:sz w:val="20"/>
                <w:szCs w:val="20"/>
              </w:rPr>
              <w:t>DO NOT let cats, dogs or non-target animals eat poisoned mice.</w:t>
            </w:r>
          </w:p>
          <w:p w14:paraId="6F6D0B36" w14:textId="77777777" w:rsidR="008E67EA" w:rsidRPr="00DA769D" w:rsidRDefault="008E67EA" w:rsidP="00B44A74">
            <w:pPr>
              <w:spacing w:line="280" w:lineRule="exact"/>
              <w:rPr>
                <w:rFonts w:cs="Arial"/>
                <w:sz w:val="20"/>
                <w:szCs w:val="20"/>
              </w:rPr>
            </w:pPr>
            <w:r w:rsidRPr="005B7479">
              <w:rPr>
                <w:rFonts w:cs="Arial"/>
                <w:sz w:val="20"/>
                <w:szCs w:val="20"/>
              </w:rPr>
              <w:t>DO NOT use this product to control native animals.</w:t>
            </w:r>
          </w:p>
          <w:p w14:paraId="45541984" w14:textId="77777777" w:rsidR="008E67EA" w:rsidRPr="00DA769D" w:rsidRDefault="008E67EA" w:rsidP="00B44A74">
            <w:pPr>
              <w:spacing w:line="280" w:lineRule="exact"/>
              <w:rPr>
                <w:rFonts w:cs="Arial"/>
                <w:sz w:val="20"/>
                <w:szCs w:val="20"/>
              </w:rPr>
            </w:pPr>
          </w:p>
          <w:p w14:paraId="4663C361" w14:textId="77777777" w:rsidR="008E67EA" w:rsidRPr="00DA769D" w:rsidRDefault="008E67EA" w:rsidP="00B44A74">
            <w:pPr>
              <w:spacing w:line="280" w:lineRule="exact"/>
              <w:rPr>
                <w:rFonts w:cs="Arial"/>
                <w:sz w:val="20"/>
                <w:szCs w:val="20"/>
              </w:rPr>
            </w:pPr>
            <w:r w:rsidRPr="00DA769D">
              <w:rPr>
                <w:rFonts w:cs="Arial"/>
                <w:sz w:val="20"/>
                <w:szCs w:val="20"/>
              </w:rPr>
              <w:t>PROTECTION OF FISH, CRUSTACEANS AND ENVIRONMENT</w:t>
            </w:r>
          </w:p>
          <w:p w14:paraId="7C4B45B0" w14:textId="77777777" w:rsidR="008E67EA" w:rsidRPr="00DA769D" w:rsidRDefault="008E67EA" w:rsidP="00B44A74">
            <w:pPr>
              <w:spacing w:line="280" w:lineRule="exact"/>
              <w:rPr>
                <w:rFonts w:cs="Arial"/>
                <w:sz w:val="20"/>
                <w:szCs w:val="20"/>
              </w:rPr>
            </w:pPr>
            <w:r w:rsidRPr="00DA769D">
              <w:rPr>
                <w:rFonts w:cs="Arial"/>
                <w:sz w:val="20"/>
                <w:szCs w:val="20"/>
              </w:rPr>
              <w:t>Very toxic to aquatic life. DO NOT contaminate wetlands or watercourses with this product or used containers. Place the bait stations in areas not liable to flooding. When placing bait stations close to water drainage systems, ensure that bait contact with water is avoided.</w:t>
            </w:r>
          </w:p>
        </w:tc>
      </w:tr>
      <w:tr w:rsidR="008E67EA" w:rsidRPr="00DA769D" w14:paraId="7C48750E" w14:textId="77777777" w:rsidTr="00B44A74">
        <w:trPr>
          <w:jc w:val="center"/>
        </w:trPr>
        <w:tc>
          <w:tcPr>
            <w:tcW w:w="2415" w:type="dxa"/>
            <w:tcBorders>
              <w:top w:val="single" w:sz="4" w:space="0" w:color="auto"/>
              <w:left w:val="nil"/>
              <w:bottom w:val="single" w:sz="4" w:space="0" w:color="auto"/>
              <w:right w:val="nil"/>
            </w:tcBorders>
          </w:tcPr>
          <w:p w14:paraId="745407B4" w14:textId="77777777" w:rsidR="008E67EA" w:rsidRPr="00DA769D"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6B86D5D" w14:textId="77777777" w:rsidR="008E67EA" w:rsidRPr="00DA769D" w:rsidRDefault="008E67EA" w:rsidP="00B44A74">
            <w:pPr>
              <w:spacing w:line="280" w:lineRule="exact"/>
              <w:rPr>
                <w:rFonts w:cs="Arial"/>
                <w:sz w:val="20"/>
                <w:szCs w:val="20"/>
              </w:rPr>
            </w:pPr>
          </w:p>
        </w:tc>
      </w:tr>
      <w:tr w:rsidR="008E67EA" w:rsidRPr="00DA769D" w14:paraId="45D93A9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2BF85FD" w14:textId="77777777" w:rsidR="008E67EA" w:rsidRPr="00DA769D" w:rsidRDefault="008E67EA" w:rsidP="00B44A74">
            <w:pPr>
              <w:spacing w:line="280" w:lineRule="exact"/>
              <w:rPr>
                <w:rFonts w:cs="Arial"/>
                <w:sz w:val="20"/>
                <w:szCs w:val="20"/>
              </w:rPr>
            </w:pPr>
            <w:r w:rsidRPr="00DA769D">
              <w:rPr>
                <w:rFonts w:cs="Arial"/>
                <w:sz w:val="20"/>
                <w:szCs w:val="20"/>
              </w:rPr>
              <w:t>Protections:</w:t>
            </w:r>
          </w:p>
        </w:tc>
        <w:tc>
          <w:tcPr>
            <w:tcW w:w="7755" w:type="dxa"/>
            <w:tcBorders>
              <w:top w:val="single" w:sz="4" w:space="0" w:color="auto"/>
              <w:left w:val="single" w:sz="4" w:space="0" w:color="auto"/>
              <w:bottom w:val="single" w:sz="4" w:space="0" w:color="auto"/>
              <w:right w:val="single" w:sz="4" w:space="0" w:color="auto"/>
            </w:tcBorders>
          </w:tcPr>
          <w:p w14:paraId="0883DD9B" w14:textId="77777777" w:rsidR="008E67EA" w:rsidRPr="00DA769D" w:rsidRDefault="008E67EA" w:rsidP="00B44A74">
            <w:pPr>
              <w:spacing w:line="280" w:lineRule="exact"/>
              <w:rPr>
                <w:rFonts w:cs="Arial"/>
                <w:sz w:val="20"/>
                <w:szCs w:val="20"/>
              </w:rPr>
            </w:pPr>
          </w:p>
        </w:tc>
      </w:tr>
      <w:tr w:rsidR="008E67EA" w:rsidRPr="00DA769D" w14:paraId="52BE6B1D" w14:textId="77777777" w:rsidTr="00B44A74">
        <w:trPr>
          <w:jc w:val="center"/>
        </w:trPr>
        <w:tc>
          <w:tcPr>
            <w:tcW w:w="2415" w:type="dxa"/>
            <w:tcBorders>
              <w:top w:val="single" w:sz="4" w:space="0" w:color="auto"/>
              <w:left w:val="nil"/>
              <w:bottom w:val="single" w:sz="4" w:space="0" w:color="auto"/>
              <w:right w:val="nil"/>
            </w:tcBorders>
          </w:tcPr>
          <w:p w14:paraId="39AA3F17" w14:textId="77777777" w:rsidR="008E67EA" w:rsidRPr="00DA769D"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3432A66" w14:textId="77777777" w:rsidR="008E67EA" w:rsidRPr="00DA769D" w:rsidRDefault="008E67EA" w:rsidP="00B44A74">
            <w:pPr>
              <w:spacing w:line="280" w:lineRule="exact"/>
              <w:rPr>
                <w:rFonts w:cs="Arial"/>
                <w:sz w:val="20"/>
                <w:szCs w:val="20"/>
              </w:rPr>
            </w:pPr>
          </w:p>
        </w:tc>
      </w:tr>
      <w:tr w:rsidR="008E67EA" w:rsidRPr="00DA769D" w14:paraId="75A2A44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E200C20" w14:textId="77777777" w:rsidR="008E67EA" w:rsidRPr="00DA769D" w:rsidRDefault="008E67EA" w:rsidP="00B44A74">
            <w:pPr>
              <w:spacing w:line="280" w:lineRule="exact"/>
              <w:rPr>
                <w:rFonts w:cs="Arial"/>
                <w:sz w:val="20"/>
                <w:szCs w:val="20"/>
              </w:rPr>
            </w:pPr>
            <w:r w:rsidRPr="00DA769D">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5E7E2A99" w14:textId="77777777" w:rsidR="008E67EA" w:rsidRPr="00DA769D" w:rsidRDefault="008E67EA" w:rsidP="00B44A74">
            <w:pPr>
              <w:spacing w:line="280" w:lineRule="exact"/>
              <w:rPr>
                <w:rFonts w:cs="Arial"/>
                <w:sz w:val="20"/>
                <w:szCs w:val="20"/>
              </w:rPr>
            </w:pPr>
            <w:r w:rsidRPr="00DA769D">
              <w:rPr>
                <w:rFonts w:cs="Arial"/>
                <w:sz w:val="20"/>
                <w:szCs w:val="20"/>
              </w:rPr>
              <w:t>STORAGE AND DISPOSAL</w:t>
            </w:r>
          </w:p>
          <w:p w14:paraId="29351CE7" w14:textId="7AC25083" w:rsidR="008E67EA" w:rsidRPr="00DA769D" w:rsidRDefault="008E67EA" w:rsidP="00B44A74">
            <w:pPr>
              <w:spacing w:line="280" w:lineRule="exact"/>
              <w:rPr>
                <w:rFonts w:cs="Arial"/>
                <w:sz w:val="20"/>
                <w:szCs w:val="20"/>
              </w:rPr>
            </w:pPr>
            <w:r w:rsidRPr="00DA769D">
              <w:rPr>
                <w:rFonts w:cs="Arial"/>
                <w:sz w:val="20"/>
                <w:szCs w:val="20"/>
              </w:rPr>
              <w:t>Store in the closed, original container in a cool, dry, place out of reach of children. Do not store in direct sunlight. Dispose of empty containers</w:t>
            </w:r>
            <w:r>
              <w:rPr>
                <w:rFonts w:cs="Arial"/>
                <w:sz w:val="20"/>
                <w:szCs w:val="20"/>
              </w:rPr>
              <w:t xml:space="preserve"> and unused product</w:t>
            </w:r>
            <w:r w:rsidRPr="00DA769D">
              <w:rPr>
                <w:rFonts w:cs="Arial"/>
                <w:sz w:val="20"/>
                <w:szCs w:val="20"/>
              </w:rPr>
              <w:t xml:space="preserve"> by wrapping in paper placing in plastic bag and putting in garbage.</w:t>
            </w:r>
          </w:p>
        </w:tc>
      </w:tr>
      <w:tr w:rsidR="008E67EA" w:rsidRPr="00DA769D" w14:paraId="5A490FC1" w14:textId="77777777" w:rsidTr="00B44A74">
        <w:trPr>
          <w:jc w:val="center"/>
        </w:trPr>
        <w:tc>
          <w:tcPr>
            <w:tcW w:w="2415" w:type="dxa"/>
            <w:tcBorders>
              <w:top w:val="single" w:sz="4" w:space="0" w:color="auto"/>
              <w:left w:val="nil"/>
              <w:bottom w:val="single" w:sz="4" w:space="0" w:color="auto"/>
              <w:right w:val="nil"/>
            </w:tcBorders>
          </w:tcPr>
          <w:p w14:paraId="7B853A3D" w14:textId="77777777" w:rsidR="008E67EA" w:rsidRPr="00DA769D"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1183F81" w14:textId="77777777" w:rsidR="008E67EA" w:rsidRPr="00DA769D" w:rsidRDefault="008E67EA" w:rsidP="00B44A74">
            <w:pPr>
              <w:spacing w:line="280" w:lineRule="exact"/>
              <w:rPr>
                <w:rFonts w:cs="Arial"/>
                <w:sz w:val="20"/>
                <w:szCs w:val="20"/>
              </w:rPr>
            </w:pPr>
          </w:p>
        </w:tc>
      </w:tr>
      <w:tr w:rsidR="008E67EA" w:rsidRPr="00DA769D" w14:paraId="00454F1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FEE3B6D" w14:textId="77777777" w:rsidR="008E67EA" w:rsidRPr="00DA769D" w:rsidRDefault="008E67EA" w:rsidP="00B44A74">
            <w:pPr>
              <w:spacing w:line="280" w:lineRule="exact"/>
              <w:rPr>
                <w:rFonts w:cs="Arial"/>
                <w:sz w:val="20"/>
                <w:szCs w:val="20"/>
              </w:rPr>
            </w:pPr>
            <w:r w:rsidRPr="00DA769D">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316A960C" w14:textId="77777777" w:rsidR="008E67EA" w:rsidRPr="00DA769D" w:rsidRDefault="008E67EA" w:rsidP="00B44A74">
            <w:pPr>
              <w:spacing w:line="280" w:lineRule="exact"/>
              <w:rPr>
                <w:rFonts w:cs="Arial"/>
                <w:sz w:val="20"/>
                <w:szCs w:val="20"/>
              </w:rPr>
            </w:pPr>
            <w:r w:rsidRPr="00DA769D">
              <w:rPr>
                <w:rFonts w:cs="Arial"/>
                <w:sz w:val="20"/>
                <w:szCs w:val="20"/>
              </w:rPr>
              <w:t>SAFETY DIRECTIONS</w:t>
            </w:r>
          </w:p>
          <w:p w14:paraId="610B0ED8" w14:textId="22DD8ACA" w:rsidR="008E67EA" w:rsidRPr="00DA769D" w:rsidRDefault="008E67EA" w:rsidP="00B44A74">
            <w:pPr>
              <w:spacing w:line="280" w:lineRule="exact"/>
              <w:rPr>
                <w:rFonts w:cs="Arial"/>
                <w:sz w:val="20"/>
                <w:szCs w:val="20"/>
              </w:rPr>
            </w:pPr>
            <w:r w:rsidRPr="00DA769D">
              <w:rPr>
                <w:rFonts w:cs="Arial"/>
                <w:sz w:val="20"/>
                <w:szCs w:val="20"/>
              </w:rPr>
              <w:t>Repeated minor exposure may have a cumulative poisoning effect. Do not touch bait, use scoop or measure. When using the product wear disposable gloves. If on skin and after each baiting, wash thoroughly with soap and water. During cleanup and disposal operations of bait and bait stations, wear a single layer of clothing and disposable gloves. Wear disposable gloves when handling rodent carcasses. Wash clothes after performing re-handling activities.</w:t>
            </w:r>
          </w:p>
        </w:tc>
      </w:tr>
      <w:tr w:rsidR="008E67EA" w:rsidRPr="00DA769D" w14:paraId="5CCDABA1" w14:textId="77777777" w:rsidTr="00B44A74">
        <w:trPr>
          <w:jc w:val="center"/>
        </w:trPr>
        <w:tc>
          <w:tcPr>
            <w:tcW w:w="2415" w:type="dxa"/>
            <w:tcBorders>
              <w:top w:val="single" w:sz="4" w:space="0" w:color="auto"/>
              <w:left w:val="nil"/>
              <w:bottom w:val="single" w:sz="4" w:space="0" w:color="auto"/>
              <w:right w:val="nil"/>
            </w:tcBorders>
          </w:tcPr>
          <w:p w14:paraId="7DF6BD13" w14:textId="77777777" w:rsidR="008E67EA" w:rsidRPr="00DA769D"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DC07ECE" w14:textId="77777777" w:rsidR="008E67EA" w:rsidRPr="00DA769D" w:rsidRDefault="008E67EA" w:rsidP="00B44A74">
            <w:pPr>
              <w:spacing w:line="280" w:lineRule="exact"/>
              <w:rPr>
                <w:rFonts w:cs="Arial"/>
                <w:sz w:val="20"/>
                <w:szCs w:val="20"/>
              </w:rPr>
            </w:pPr>
          </w:p>
        </w:tc>
      </w:tr>
      <w:tr w:rsidR="008E67EA" w:rsidRPr="00DA769D" w14:paraId="02756A8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93E36FF" w14:textId="77777777" w:rsidR="008E67EA" w:rsidRPr="00DA769D" w:rsidRDefault="008E67EA" w:rsidP="00B44A74">
            <w:pPr>
              <w:spacing w:line="280" w:lineRule="exact"/>
              <w:rPr>
                <w:rFonts w:cs="Arial"/>
                <w:sz w:val="20"/>
                <w:szCs w:val="20"/>
              </w:rPr>
            </w:pPr>
            <w:r w:rsidRPr="00DA769D">
              <w:rPr>
                <w:rFonts w:cs="Arial"/>
                <w:sz w:val="20"/>
                <w:szCs w:val="20"/>
              </w:rPr>
              <w:t>First Aid Instructions:</w:t>
            </w:r>
          </w:p>
        </w:tc>
        <w:tc>
          <w:tcPr>
            <w:tcW w:w="7755" w:type="dxa"/>
            <w:tcBorders>
              <w:top w:val="single" w:sz="4" w:space="0" w:color="auto"/>
              <w:left w:val="single" w:sz="4" w:space="0" w:color="auto"/>
              <w:bottom w:val="single" w:sz="4" w:space="0" w:color="auto"/>
              <w:right w:val="single" w:sz="4" w:space="0" w:color="auto"/>
            </w:tcBorders>
          </w:tcPr>
          <w:p w14:paraId="42D0C9F9" w14:textId="77777777" w:rsidR="008E67EA" w:rsidRPr="00DA769D" w:rsidRDefault="008E67EA" w:rsidP="00B44A74">
            <w:pPr>
              <w:spacing w:line="280" w:lineRule="exact"/>
              <w:rPr>
                <w:rFonts w:cs="Arial"/>
                <w:sz w:val="20"/>
                <w:szCs w:val="20"/>
              </w:rPr>
            </w:pPr>
            <w:r w:rsidRPr="00DA769D">
              <w:rPr>
                <w:rFonts w:cs="Arial"/>
                <w:sz w:val="20"/>
                <w:szCs w:val="20"/>
              </w:rPr>
              <w:t>FIRST AID</w:t>
            </w:r>
          </w:p>
          <w:p w14:paraId="5EE14087" w14:textId="77777777" w:rsidR="008E67EA" w:rsidRPr="00DA769D" w:rsidRDefault="008E67EA" w:rsidP="00B44A74">
            <w:pPr>
              <w:spacing w:line="280" w:lineRule="exact"/>
              <w:rPr>
                <w:rFonts w:cs="Arial"/>
                <w:sz w:val="20"/>
                <w:szCs w:val="20"/>
              </w:rPr>
            </w:pPr>
            <w:r w:rsidRPr="00DA769D">
              <w:rPr>
                <w:rFonts w:cs="Arial"/>
                <w:sz w:val="20"/>
                <w:szCs w:val="20"/>
              </w:rPr>
              <w:t>If poisoning occurs, contact a doctor or Poisons Information Centre. Phone Australia 13 11 26, New Zealand 0800 764 766. Vitamin K1 (Phytomenadione) is antidotal.</w:t>
            </w:r>
          </w:p>
        </w:tc>
      </w:tr>
      <w:tr w:rsidR="008E67EA" w:rsidRPr="00DA769D" w14:paraId="543515B1" w14:textId="77777777" w:rsidTr="00B44A74">
        <w:trPr>
          <w:jc w:val="center"/>
        </w:trPr>
        <w:tc>
          <w:tcPr>
            <w:tcW w:w="2415" w:type="dxa"/>
            <w:tcBorders>
              <w:top w:val="single" w:sz="4" w:space="0" w:color="auto"/>
              <w:left w:val="nil"/>
              <w:bottom w:val="single" w:sz="4" w:space="0" w:color="auto"/>
              <w:right w:val="nil"/>
            </w:tcBorders>
          </w:tcPr>
          <w:p w14:paraId="6D84EE65" w14:textId="77777777" w:rsidR="008E67EA" w:rsidRPr="00DA769D"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FBA96BA" w14:textId="77777777" w:rsidR="008E67EA" w:rsidRPr="00DA769D" w:rsidRDefault="008E67EA" w:rsidP="00B44A74">
            <w:pPr>
              <w:spacing w:line="280" w:lineRule="exact"/>
              <w:rPr>
                <w:rFonts w:cs="Arial"/>
                <w:sz w:val="20"/>
                <w:szCs w:val="20"/>
              </w:rPr>
            </w:pPr>
          </w:p>
        </w:tc>
      </w:tr>
      <w:tr w:rsidR="008E67EA" w:rsidRPr="00DA769D" w14:paraId="59E75D6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38E0304" w14:textId="77777777" w:rsidR="008E67EA" w:rsidRPr="00DA769D" w:rsidRDefault="008E67EA" w:rsidP="00B44A74">
            <w:pPr>
              <w:spacing w:line="280" w:lineRule="exact"/>
              <w:rPr>
                <w:rFonts w:cs="Arial"/>
                <w:sz w:val="20"/>
                <w:szCs w:val="20"/>
              </w:rPr>
            </w:pPr>
            <w:r w:rsidRPr="00DA769D">
              <w:rPr>
                <w:rFonts w:cs="Arial"/>
                <w:sz w:val="20"/>
                <w:szCs w:val="20"/>
              </w:rPr>
              <w:t>First Aid Warnings:</w:t>
            </w:r>
          </w:p>
        </w:tc>
        <w:tc>
          <w:tcPr>
            <w:tcW w:w="7755" w:type="dxa"/>
            <w:tcBorders>
              <w:top w:val="single" w:sz="4" w:space="0" w:color="auto"/>
              <w:left w:val="single" w:sz="4" w:space="0" w:color="auto"/>
              <w:bottom w:val="single" w:sz="4" w:space="0" w:color="auto"/>
              <w:right w:val="single" w:sz="4" w:space="0" w:color="auto"/>
            </w:tcBorders>
          </w:tcPr>
          <w:p w14:paraId="4A167084" w14:textId="77777777" w:rsidR="008E67EA" w:rsidRPr="00DA769D" w:rsidRDefault="008E67EA" w:rsidP="00B44A74">
            <w:pPr>
              <w:spacing w:line="280" w:lineRule="exact"/>
              <w:rPr>
                <w:rFonts w:cs="Arial"/>
                <w:sz w:val="20"/>
                <w:szCs w:val="20"/>
              </w:rPr>
            </w:pPr>
          </w:p>
        </w:tc>
      </w:tr>
    </w:tbl>
    <w:p w14:paraId="75EDC14F" w14:textId="77777777" w:rsidR="008E67EA" w:rsidRDefault="008E67EA" w:rsidP="008E67EA">
      <w:pPr>
        <w:spacing w:line="278" w:lineRule="auto"/>
        <w:rPr>
          <w:rFonts w:cs="Arial"/>
          <w:b/>
          <w:bCs/>
          <w:sz w:val="20"/>
          <w:szCs w:val="20"/>
        </w:rPr>
      </w:pPr>
      <w:r>
        <w:rPr>
          <w:rFonts w:cs="Arial"/>
          <w:b/>
          <w:bCs/>
          <w:sz w:val="20"/>
          <w:szCs w:val="20"/>
        </w:rPr>
        <w:br w:type="page"/>
      </w:r>
    </w:p>
    <w:p w14:paraId="3D1DFBFF" w14:textId="77777777" w:rsidR="008E67EA" w:rsidRPr="00842840" w:rsidRDefault="008E67EA" w:rsidP="008E67EA">
      <w:pPr>
        <w:rPr>
          <w:rFonts w:cs="Arial"/>
          <w:b/>
          <w:bCs/>
          <w:sz w:val="20"/>
          <w:szCs w:val="20"/>
        </w:rPr>
      </w:pPr>
      <w:r w:rsidRPr="00842840">
        <w:rPr>
          <w:rFonts w:cs="Arial"/>
          <w:b/>
          <w:bCs/>
          <w:sz w:val="20"/>
          <w:szCs w:val="20"/>
        </w:rPr>
        <w:lastRenderedPageBreak/>
        <w:t>HOW TO USE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1842"/>
        <w:gridCol w:w="3918"/>
      </w:tblGrid>
      <w:tr w:rsidR="008E67EA" w:rsidRPr="00842840" w14:paraId="70FE56FE" w14:textId="77777777" w:rsidTr="00834983">
        <w:trPr>
          <w:trHeight w:val="340"/>
        </w:trPr>
        <w:tc>
          <w:tcPr>
            <w:tcW w:w="1129" w:type="dxa"/>
          </w:tcPr>
          <w:p w14:paraId="425928B3" w14:textId="77777777" w:rsidR="008E67EA" w:rsidRPr="00842840" w:rsidRDefault="008E67EA" w:rsidP="00B44A74">
            <w:pPr>
              <w:spacing w:line="280" w:lineRule="exact"/>
              <w:rPr>
                <w:rFonts w:cs="Arial"/>
                <w:b/>
                <w:bCs/>
                <w:sz w:val="20"/>
                <w:szCs w:val="20"/>
              </w:rPr>
            </w:pPr>
            <w:r w:rsidRPr="00842840">
              <w:rPr>
                <w:rFonts w:cs="Arial"/>
                <w:b/>
                <w:bCs/>
                <w:sz w:val="20"/>
                <w:szCs w:val="20"/>
              </w:rPr>
              <w:t>PEST</w:t>
            </w:r>
          </w:p>
        </w:tc>
        <w:tc>
          <w:tcPr>
            <w:tcW w:w="2127" w:type="dxa"/>
          </w:tcPr>
          <w:p w14:paraId="717B244E" w14:textId="77777777" w:rsidR="008E67EA" w:rsidRPr="00842840" w:rsidRDefault="008E67EA" w:rsidP="00B44A74">
            <w:pPr>
              <w:spacing w:line="280" w:lineRule="exact"/>
              <w:rPr>
                <w:rFonts w:cs="Arial"/>
                <w:b/>
                <w:bCs/>
                <w:sz w:val="20"/>
                <w:szCs w:val="20"/>
              </w:rPr>
            </w:pPr>
            <w:r w:rsidRPr="00842840">
              <w:rPr>
                <w:rFonts w:cs="Arial"/>
                <w:b/>
                <w:bCs/>
                <w:sz w:val="20"/>
                <w:szCs w:val="20"/>
              </w:rPr>
              <w:t>SITUATION</w:t>
            </w:r>
          </w:p>
        </w:tc>
        <w:tc>
          <w:tcPr>
            <w:tcW w:w="1842" w:type="dxa"/>
          </w:tcPr>
          <w:p w14:paraId="1C2CB6E7" w14:textId="77777777" w:rsidR="008E67EA" w:rsidRPr="00842840" w:rsidRDefault="008E67EA" w:rsidP="00B44A74">
            <w:pPr>
              <w:spacing w:line="280" w:lineRule="exact"/>
              <w:rPr>
                <w:rFonts w:cs="Arial"/>
                <w:b/>
                <w:bCs/>
                <w:sz w:val="20"/>
                <w:szCs w:val="20"/>
              </w:rPr>
            </w:pPr>
            <w:r w:rsidRPr="00842840">
              <w:rPr>
                <w:rFonts w:cs="Arial"/>
                <w:b/>
                <w:bCs/>
                <w:sz w:val="20"/>
                <w:szCs w:val="20"/>
              </w:rPr>
              <w:t>RATE</w:t>
            </w:r>
          </w:p>
        </w:tc>
        <w:tc>
          <w:tcPr>
            <w:tcW w:w="3918" w:type="dxa"/>
          </w:tcPr>
          <w:p w14:paraId="7A718B6A" w14:textId="77777777" w:rsidR="008E67EA" w:rsidRPr="00842840" w:rsidRDefault="008E67EA" w:rsidP="00B44A74">
            <w:pPr>
              <w:spacing w:line="280" w:lineRule="exact"/>
              <w:rPr>
                <w:rFonts w:cs="Arial"/>
                <w:b/>
                <w:bCs/>
                <w:sz w:val="20"/>
                <w:szCs w:val="20"/>
              </w:rPr>
            </w:pPr>
            <w:r w:rsidRPr="00842840">
              <w:rPr>
                <w:rFonts w:cs="Arial"/>
                <w:b/>
                <w:bCs/>
                <w:sz w:val="20"/>
                <w:szCs w:val="20"/>
              </w:rPr>
              <w:t>HOW TO APPLY</w:t>
            </w:r>
          </w:p>
        </w:tc>
      </w:tr>
      <w:tr w:rsidR="008E67EA" w:rsidRPr="00842840" w14:paraId="7A7F0314" w14:textId="77777777" w:rsidTr="00834983">
        <w:trPr>
          <w:trHeight w:val="1220"/>
        </w:trPr>
        <w:tc>
          <w:tcPr>
            <w:tcW w:w="1129" w:type="dxa"/>
          </w:tcPr>
          <w:p w14:paraId="685C4748" w14:textId="77777777" w:rsidR="008E67EA" w:rsidRPr="00842840" w:rsidRDefault="008E67EA" w:rsidP="00B44A74">
            <w:pPr>
              <w:spacing w:line="280" w:lineRule="exact"/>
              <w:rPr>
                <w:rFonts w:cs="Arial"/>
                <w:sz w:val="20"/>
                <w:szCs w:val="20"/>
              </w:rPr>
            </w:pPr>
            <w:r w:rsidRPr="005B7479">
              <w:rPr>
                <w:rFonts w:cs="Arial"/>
                <w:sz w:val="20"/>
                <w:szCs w:val="20"/>
              </w:rPr>
              <w:t>Mice</w:t>
            </w:r>
          </w:p>
        </w:tc>
        <w:tc>
          <w:tcPr>
            <w:tcW w:w="2127" w:type="dxa"/>
          </w:tcPr>
          <w:p w14:paraId="37277C7C" w14:textId="77777777" w:rsidR="008E67EA" w:rsidRPr="00842840" w:rsidRDefault="008E67EA" w:rsidP="00B44A74">
            <w:pPr>
              <w:spacing w:line="280" w:lineRule="exact"/>
              <w:rPr>
                <w:rFonts w:cs="Arial"/>
                <w:sz w:val="20"/>
                <w:szCs w:val="20"/>
              </w:rPr>
            </w:pPr>
            <w:r>
              <w:rPr>
                <w:rFonts w:cs="Arial"/>
                <w:sz w:val="20"/>
                <w:szCs w:val="20"/>
              </w:rPr>
              <w:t>In indoor household situations</w:t>
            </w:r>
          </w:p>
        </w:tc>
        <w:tc>
          <w:tcPr>
            <w:tcW w:w="1842" w:type="dxa"/>
          </w:tcPr>
          <w:p w14:paraId="00DF6709" w14:textId="77777777" w:rsidR="008E67EA" w:rsidRPr="00842840" w:rsidRDefault="008E67EA" w:rsidP="00B44A74">
            <w:pPr>
              <w:spacing w:line="280" w:lineRule="exact"/>
              <w:rPr>
                <w:rFonts w:cs="Arial"/>
                <w:sz w:val="20"/>
                <w:szCs w:val="20"/>
              </w:rPr>
            </w:pPr>
            <w:r>
              <w:rPr>
                <w:rFonts w:cs="Arial"/>
                <w:sz w:val="20"/>
                <w:szCs w:val="20"/>
              </w:rPr>
              <w:t>[As per current approved label]</w:t>
            </w:r>
          </w:p>
        </w:tc>
        <w:tc>
          <w:tcPr>
            <w:tcW w:w="3918" w:type="dxa"/>
          </w:tcPr>
          <w:p w14:paraId="15806A69" w14:textId="77777777" w:rsidR="008E67EA" w:rsidRPr="00842840" w:rsidRDefault="008E67EA" w:rsidP="00B44A74">
            <w:pPr>
              <w:spacing w:line="280" w:lineRule="exact"/>
              <w:rPr>
                <w:rFonts w:cs="Arial"/>
                <w:sz w:val="20"/>
                <w:szCs w:val="20"/>
              </w:rPr>
            </w:pPr>
            <w:r w:rsidRPr="005B7479">
              <w:rPr>
                <w:rFonts w:cs="Arial"/>
                <w:sz w:val="20"/>
                <w:szCs w:val="20"/>
              </w:rPr>
              <w:t>Place bait stations in dry locations throughout</w:t>
            </w:r>
            <w:r>
              <w:rPr>
                <w:rFonts w:cs="Arial"/>
                <w:sz w:val="20"/>
                <w:szCs w:val="20"/>
              </w:rPr>
              <w:t xml:space="preserve"> </w:t>
            </w:r>
            <w:r w:rsidRPr="005B7479">
              <w:rPr>
                <w:rFonts w:cs="Arial"/>
                <w:sz w:val="20"/>
                <w:szCs w:val="20"/>
              </w:rPr>
              <w:t>the infested area, on runs, near burrows and</w:t>
            </w:r>
            <w:r>
              <w:rPr>
                <w:rFonts w:cs="Arial"/>
                <w:sz w:val="20"/>
                <w:szCs w:val="20"/>
              </w:rPr>
              <w:t xml:space="preserve"> </w:t>
            </w:r>
            <w:r w:rsidRPr="005B7479">
              <w:rPr>
                <w:rFonts w:cs="Arial"/>
                <w:sz w:val="20"/>
                <w:szCs w:val="20"/>
              </w:rPr>
              <w:t>where droppings are seen, not more than 3 m</w:t>
            </w:r>
            <w:r>
              <w:rPr>
                <w:rFonts w:cs="Arial"/>
                <w:sz w:val="20"/>
                <w:szCs w:val="20"/>
              </w:rPr>
              <w:t xml:space="preserve"> </w:t>
            </w:r>
            <w:r w:rsidRPr="005B7479">
              <w:rPr>
                <w:rFonts w:cs="Arial"/>
                <w:sz w:val="20"/>
                <w:szCs w:val="20"/>
              </w:rPr>
              <w:t>apart</w:t>
            </w:r>
            <w:r>
              <w:rPr>
                <w:rFonts w:cs="Arial"/>
                <w:sz w:val="20"/>
                <w:szCs w:val="20"/>
              </w:rPr>
              <w:t>.</w:t>
            </w:r>
          </w:p>
        </w:tc>
      </w:tr>
      <w:tr w:rsidR="008E67EA" w:rsidRPr="00842840" w14:paraId="6CDCD00B" w14:textId="77777777" w:rsidTr="00834983">
        <w:trPr>
          <w:trHeight w:val="3958"/>
        </w:trPr>
        <w:tc>
          <w:tcPr>
            <w:tcW w:w="9016" w:type="dxa"/>
            <w:gridSpan w:val="4"/>
          </w:tcPr>
          <w:p w14:paraId="75A5FFCD" w14:textId="4B456CB1" w:rsidR="008E67EA" w:rsidRDefault="008E67EA" w:rsidP="00B44A74">
            <w:pPr>
              <w:spacing w:after="120" w:line="280" w:lineRule="exact"/>
              <w:rPr>
                <w:rFonts w:eastAsia="Calibri" w:cs="Arial"/>
                <w:b/>
                <w:bCs/>
                <w:sz w:val="20"/>
                <w:szCs w:val="20"/>
                <w:bdr w:val="none" w:sz="0" w:space="0" w:color="auto" w:frame="1"/>
                <w:lang w:val="en-GB"/>
              </w:rPr>
            </w:pPr>
            <w:r w:rsidRPr="001E6DA9">
              <w:rPr>
                <w:rFonts w:eastAsia="Calibri" w:cs="Arial"/>
                <w:b/>
                <w:bCs/>
                <w:sz w:val="20"/>
                <w:szCs w:val="20"/>
                <w:bdr w:val="none" w:sz="0" w:space="0" w:color="auto" w:frame="1"/>
                <w:lang w:val="en-GB"/>
              </w:rPr>
              <w:t>General Information and baiting strategy for mice:</w:t>
            </w:r>
          </w:p>
          <w:p w14:paraId="7C53427F" w14:textId="41679420" w:rsidR="008E67EA" w:rsidRDefault="008E67EA" w:rsidP="00B44A74">
            <w:pPr>
              <w:spacing w:after="120" w:line="280" w:lineRule="exact"/>
              <w:rPr>
                <w:rFonts w:eastAsia="Calibri" w:cs="Arial"/>
                <w:sz w:val="20"/>
                <w:szCs w:val="20"/>
                <w:bdr w:val="none" w:sz="0" w:space="0" w:color="auto" w:frame="1"/>
                <w:lang w:val="en-GB"/>
              </w:rPr>
            </w:pPr>
            <w:r w:rsidRPr="005B7479">
              <w:rPr>
                <w:rFonts w:eastAsia="Calibri" w:cs="Arial"/>
                <w:sz w:val="20"/>
                <w:szCs w:val="20"/>
                <w:bdr w:val="none" w:sz="0" w:space="0" w:color="auto" w:frame="1"/>
                <w:lang w:val="en-GB"/>
              </w:rPr>
              <w:t>Eliminate as far as practicable, all other food sources.</w:t>
            </w:r>
          </w:p>
          <w:p w14:paraId="212AF90D" w14:textId="3DAA6797" w:rsidR="008E67EA" w:rsidRDefault="008E67EA" w:rsidP="00B44A74">
            <w:pPr>
              <w:spacing w:after="120" w:line="280" w:lineRule="exact"/>
              <w:rPr>
                <w:rFonts w:eastAsia="Calibri" w:cs="Arial"/>
                <w:sz w:val="20"/>
                <w:szCs w:val="20"/>
                <w:bdr w:val="none" w:sz="0" w:space="0" w:color="auto" w:frame="1"/>
                <w:lang w:val="en-GB"/>
              </w:rPr>
            </w:pPr>
            <w:r w:rsidRPr="005B7479">
              <w:rPr>
                <w:rFonts w:eastAsia="Calibri" w:cs="Arial"/>
                <w:sz w:val="20"/>
                <w:szCs w:val="20"/>
                <w:bdr w:val="none" w:sz="0" w:space="0" w:color="auto" w:frame="1"/>
                <w:lang w:val="en-GB"/>
              </w:rPr>
              <w:t>Always place bait where it is inaccessible to children, animals and birds</w:t>
            </w:r>
            <w:r>
              <w:rPr>
                <w:rFonts w:eastAsia="Calibri" w:cs="Arial"/>
                <w:sz w:val="20"/>
                <w:szCs w:val="20"/>
                <w:bdr w:val="none" w:sz="0" w:space="0" w:color="auto" w:frame="1"/>
                <w:lang w:val="en-GB"/>
              </w:rPr>
              <w:t xml:space="preserve">. </w:t>
            </w:r>
            <w:r w:rsidRPr="001E6DA9">
              <w:rPr>
                <w:rFonts w:eastAsia="Calibri" w:cs="Arial"/>
                <w:sz w:val="20"/>
                <w:szCs w:val="20"/>
                <w:bdr w:val="none" w:sz="0" w:space="0" w:color="auto" w:frame="1"/>
                <w:lang w:val="en-GB"/>
              </w:rPr>
              <w:t>Use in tamper resistant bait stations only. If bait can be dislodged from bait station, fix tamper-resistant bait stations to the ground or other structures.</w:t>
            </w:r>
          </w:p>
          <w:p w14:paraId="08A12564" w14:textId="77777777" w:rsidR="008E67EA" w:rsidRPr="005B7479" w:rsidRDefault="008E67EA" w:rsidP="00B44A74">
            <w:pPr>
              <w:spacing w:after="120" w:line="280" w:lineRule="exact"/>
              <w:rPr>
                <w:rFonts w:eastAsia="Calibri" w:cs="Arial"/>
                <w:sz w:val="20"/>
                <w:szCs w:val="20"/>
                <w:bdr w:val="none" w:sz="0" w:space="0" w:color="auto" w:frame="1"/>
                <w:lang w:val="en-GB"/>
              </w:rPr>
            </w:pPr>
            <w:r>
              <w:rPr>
                <w:rFonts w:eastAsia="Calibri" w:cs="Arial"/>
                <w:sz w:val="20"/>
                <w:szCs w:val="20"/>
                <w:bdr w:val="none" w:sz="0" w:space="0" w:color="auto" w:frame="1"/>
                <w:lang w:val="en-GB"/>
              </w:rPr>
              <w:t>I</w:t>
            </w:r>
            <w:r w:rsidRPr="005B7479">
              <w:rPr>
                <w:rFonts w:eastAsia="Calibri" w:cs="Arial"/>
                <w:sz w:val="20"/>
                <w:szCs w:val="20"/>
                <w:bdr w:val="none" w:sz="0" w:space="0" w:color="auto" w:frame="1"/>
                <w:lang w:val="en-GB"/>
              </w:rPr>
              <w:t>nspect baits frequently, particularly in the first ten days. Replace eaten bait</w:t>
            </w:r>
            <w:r>
              <w:rPr>
                <w:rFonts w:cs="Arial"/>
                <w:sz w:val="20"/>
                <w:szCs w:val="20"/>
              </w:rPr>
              <w:t xml:space="preserve">. </w:t>
            </w:r>
            <w:r w:rsidRPr="005B7479">
              <w:rPr>
                <w:rFonts w:eastAsia="Calibri" w:cs="Arial"/>
                <w:sz w:val="20"/>
                <w:szCs w:val="20"/>
                <w:bdr w:val="none" w:sz="0" w:space="0" w:color="auto" w:frame="1"/>
                <w:lang w:val="en-GB"/>
              </w:rPr>
              <w:t>If bait is completely</w:t>
            </w:r>
            <w:r>
              <w:rPr>
                <w:rFonts w:eastAsia="Calibri" w:cs="Arial"/>
                <w:sz w:val="20"/>
                <w:szCs w:val="20"/>
                <w:bdr w:val="none" w:sz="0" w:space="0" w:color="auto" w:frame="1"/>
                <w:lang w:val="en-GB"/>
              </w:rPr>
              <w:t xml:space="preserve"> </w:t>
            </w:r>
            <w:r w:rsidRPr="005B7479">
              <w:rPr>
                <w:rFonts w:eastAsia="Calibri" w:cs="Arial"/>
                <w:sz w:val="20"/>
                <w:szCs w:val="20"/>
                <w:bdr w:val="none" w:sz="0" w:space="0" w:color="auto" w:frame="1"/>
                <w:lang w:val="en-GB"/>
              </w:rPr>
              <w:t>consumed, the number of bait stations should be increased. Continue replenishing bait until left</w:t>
            </w:r>
            <w:r>
              <w:rPr>
                <w:rFonts w:eastAsia="Calibri" w:cs="Arial"/>
                <w:sz w:val="20"/>
                <w:szCs w:val="20"/>
                <w:bdr w:val="none" w:sz="0" w:space="0" w:color="auto" w:frame="1"/>
                <w:lang w:val="en-GB"/>
              </w:rPr>
              <w:t xml:space="preserve"> </w:t>
            </w:r>
            <w:r w:rsidRPr="005B7479">
              <w:rPr>
                <w:rFonts w:eastAsia="Calibri" w:cs="Arial"/>
                <w:sz w:val="20"/>
                <w:szCs w:val="20"/>
                <w:bdr w:val="none" w:sz="0" w:space="0" w:color="auto" w:frame="1"/>
                <w:lang w:val="en-GB"/>
              </w:rPr>
              <w:t>untouched. Baiting for at least 2 weeks will be necessary to reduce mouse numbers. Most deaths</w:t>
            </w:r>
            <w:r>
              <w:rPr>
                <w:rFonts w:eastAsia="Calibri" w:cs="Arial"/>
                <w:sz w:val="20"/>
                <w:szCs w:val="20"/>
                <w:bdr w:val="none" w:sz="0" w:space="0" w:color="auto" w:frame="1"/>
                <w:lang w:val="en-GB"/>
              </w:rPr>
              <w:t xml:space="preserve"> </w:t>
            </w:r>
            <w:r w:rsidRPr="005B7479">
              <w:rPr>
                <w:rFonts w:eastAsia="Calibri" w:cs="Arial"/>
                <w:sz w:val="20"/>
                <w:szCs w:val="20"/>
                <w:bdr w:val="none" w:sz="0" w:space="0" w:color="auto" w:frame="1"/>
                <w:lang w:val="en-GB"/>
              </w:rPr>
              <w:t>occur 4 to 7 days after consumption of bait, but deaths may occur for up to 2 weeks.</w:t>
            </w:r>
          </w:p>
          <w:p w14:paraId="2924339D" w14:textId="77777777" w:rsidR="008E67EA" w:rsidRPr="005B7479" w:rsidRDefault="008E67EA" w:rsidP="00B44A74">
            <w:pPr>
              <w:spacing w:line="280" w:lineRule="exact"/>
              <w:rPr>
                <w:rFonts w:cs="Arial"/>
                <w:sz w:val="20"/>
                <w:szCs w:val="20"/>
              </w:rPr>
            </w:pPr>
            <w:r w:rsidRPr="005B7479">
              <w:rPr>
                <w:rFonts w:cs="Arial"/>
                <w:sz w:val="20"/>
                <w:szCs w:val="20"/>
              </w:rPr>
              <w:t>Following treatment remove all remains of bait and</w:t>
            </w:r>
            <w:r>
              <w:rPr>
                <w:rFonts w:cs="Arial"/>
                <w:sz w:val="20"/>
                <w:szCs w:val="20"/>
              </w:rPr>
              <w:t xml:space="preserve"> </w:t>
            </w:r>
            <w:r w:rsidRPr="005B7479">
              <w:rPr>
                <w:rFonts w:cs="Arial"/>
                <w:sz w:val="20"/>
                <w:szCs w:val="20"/>
              </w:rPr>
              <w:t>bait stations</w:t>
            </w:r>
            <w:r>
              <w:rPr>
                <w:rFonts w:cs="Arial"/>
                <w:sz w:val="20"/>
                <w:szCs w:val="20"/>
              </w:rPr>
              <w:t xml:space="preserve">. </w:t>
            </w:r>
            <w:r w:rsidRPr="003A1942">
              <w:rPr>
                <w:rFonts w:eastAsia="Calibri" w:cs="Arial"/>
                <w:sz w:val="20"/>
                <w:szCs w:val="20"/>
                <w:bdr w:val="none" w:sz="0" w:space="0" w:color="auto" w:frame="1"/>
                <w:lang w:val="en-GB"/>
              </w:rPr>
              <w:t>DO NOT use the product for longer than 35 days. If rodent activity is still observed after 35 days, seek advice from the product supplier or call a pest control service.</w:t>
            </w:r>
          </w:p>
        </w:tc>
      </w:tr>
    </w:tbl>
    <w:p w14:paraId="10792293" w14:textId="4E66DF0A" w:rsidR="008E67EA" w:rsidRDefault="008E67EA" w:rsidP="008E67EA">
      <w:pPr>
        <w:rPr>
          <w:rFonts w:ascii="Franklin Gothic Medium" w:eastAsia="Arial Unicode MS" w:hAnsi="Franklin Gothic Medium"/>
          <w:bCs/>
          <w:iCs/>
          <w:bdr w:val="none" w:sz="0" w:space="0" w:color="auto" w:frame="1"/>
          <w:lang w:val="en-GB" w:eastAsia="en-AU"/>
        </w:rPr>
      </w:pPr>
      <w:r w:rsidRPr="00842840">
        <w:rPr>
          <w:rFonts w:cs="Arial"/>
          <w:b/>
          <w:bCs/>
          <w:sz w:val="20"/>
          <w:szCs w:val="20"/>
        </w:rPr>
        <w:t>NOT TO BE USED FOR ANY PURPOSE, OR IN ANY MANNER, CONTRARY TO THIS LABEL UNLESS AUTHORISED.</w:t>
      </w:r>
      <w:r>
        <w:rPr>
          <w:rFonts w:ascii="Franklin Gothic Medium" w:eastAsia="Arial Unicode MS" w:hAnsi="Franklin Gothic Medium"/>
          <w:bCs/>
          <w:iCs/>
          <w:bdr w:val="none" w:sz="0" w:space="0" w:color="auto" w:frame="1"/>
          <w:lang w:val="en-GB" w:eastAsia="en-AU"/>
        </w:rPr>
        <w:br w:type="page"/>
      </w:r>
    </w:p>
    <w:p w14:paraId="1230151B" w14:textId="77777777" w:rsidR="008E67EA" w:rsidRDefault="008E67EA" w:rsidP="008E67EA">
      <w:pPr>
        <w:keepNext/>
        <w:keepLines/>
        <w:spacing w:before="400" w:after="240" w:line="280" w:lineRule="exact"/>
        <w:outlineLvl w:val="1"/>
        <w:rPr>
          <w:rFonts w:ascii="Franklin Gothic Medium" w:eastAsia="Arial Unicode MS" w:hAnsi="Franklin Gothic Medium"/>
          <w:bCs/>
          <w:iCs/>
          <w:bdr w:val="none" w:sz="0" w:space="0" w:color="auto" w:frame="1"/>
          <w:lang w:val="en-GB" w:eastAsia="en-AU"/>
        </w:rPr>
      </w:pPr>
      <w:r>
        <w:rPr>
          <w:rFonts w:ascii="Franklin Gothic Medium" w:eastAsia="Arial Unicode MS" w:hAnsi="Franklin Gothic Medium"/>
          <w:bCs/>
          <w:iCs/>
          <w:bdr w:val="none" w:sz="0" w:space="0" w:color="auto" w:frame="1"/>
          <w:lang w:val="en-GB" w:eastAsia="en-AU"/>
        </w:rPr>
        <w:lastRenderedPageBreak/>
        <w:t>Domestic pest-control product:</w:t>
      </w:r>
      <w:r w:rsidRPr="00FF36BF">
        <w:rPr>
          <w:rFonts w:ascii="Franklin Gothic Medium" w:eastAsia="Arial Unicode MS" w:hAnsi="Franklin Gothic Medium"/>
          <w:bCs/>
          <w:iCs/>
          <w:bdr w:val="none" w:sz="0" w:space="0" w:color="auto" w:frame="1"/>
          <w:lang w:val="en-GB" w:eastAsia="en-AU"/>
        </w:rPr>
        <w:t xml:space="preserve"> </w:t>
      </w:r>
      <w:r w:rsidRPr="00B73CCC">
        <w:rPr>
          <w:rFonts w:ascii="Franklin Gothic Medium" w:eastAsia="Arial Unicode MS" w:hAnsi="Franklin Gothic Medium"/>
          <w:bCs/>
          <w:iCs/>
          <w:bdr w:val="none" w:sz="0" w:space="0" w:color="auto" w:frame="1"/>
          <w:lang w:val="en-GB" w:eastAsia="en-AU"/>
        </w:rPr>
        <w:t>RB 0.05 g/kg or less in pellet formulation</w:t>
      </w:r>
    </w:p>
    <w:p w14:paraId="59A66D05" w14:textId="77777777" w:rsidR="008E67EA"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t xml:space="preserve">Template Label </w:t>
      </w:r>
      <w:r>
        <w:rPr>
          <w:rFonts w:cs="Arial"/>
          <w:b/>
          <w:bCs/>
          <w:sz w:val="20"/>
          <w:szCs w:val="20"/>
          <w:bdr w:val="none" w:sz="0" w:space="0" w:color="auto" w:frame="1"/>
          <w:lang w:val="en-GB" w:eastAsia="en-AU"/>
        </w:rPr>
        <w:t>6</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DD2A42" w14:paraId="0A7E678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0B14C34" w14:textId="77777777" w:rsidR="008E67EA" w:rsidRPr="00DD2A42" w:rsidRDefault="008E67EA" w:rsidP="00B44A74">
            <w:pPr>
              <w:spacing w:line="280" w:lineRule="exact"/>
              <w:rPr>
                <w:rFonts w:cs="Arial"/>
                <w:sz w:val="20"/>
                <w:szCs w:val="20"/>
              </w:rPr>
            </w:pPr>
            <w:r w:rsidRPr="00DD2A42">
              <w:rPr>
                <w:rFonts w:cs="Arial"/>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0CC55C9B" w14:textId="77777777" w:rsidR="008E67EA" w:rsidRPr="00DD2A42" w:rsidRDefault="008E67EA" w:rsidP="00B44A74">
            <w:pPr>
              <w:spacing w:line="280" w:lineRule="exact"/>
              <w:rPr>
                <w:rFonts w:cs="Arial"/>
                <w:sz w:val="20"/>
                <w:szCs w:val="20"/>
              </w:rPr>
            </w:pPr>
            <w:r w:rsidRPr="00DD2A42">
              <w:rPr>
                <w:rFonts w:cs="Arial"/>
                <w:sz w:val="20"/>
                <w:szCs w:val="20"/>
              </w:rPr>
              <w:t>[INSERT LABEL NAME]</w:t>
            </w:r>
            <w:r w:rsidRPr="00DD2A42" w:rsidDel="00FB4D18">
              <w:rPr>
                <w:rFonts w:cs="Arial"/>
                <w:sz w:val="20"/>
                <w:szCs w:val="20"/>
              </w:rPr>
              <w:t xml:space="preserve"> </w:t>
            </w:r>
          </w:p>
        </w:tc>
      </w:tr>
      <w:tr w:rsidR="008E67EA" w:rsidRPr="00DD2A42" w14:paraId="090259A3" w14:textId="77777777" w:rsidTr="00B44A74">
        <w:trPr>
          <w:jc w:val="center"/>
        </w:trPr>
        <w:tc>
          <w:tcPr>
            <w:tcW w:w="2415" w:type="dxa"/>
            <w:tcBorders>
              <w:top w:val="single" w:sz="4" w:space="0" w:color="auto"/>
              <w:left w:val="nil"/>
              <w:bottom w:val="single" w:sz="4" w:space="0" w:color="auto"/>
              <w:right w:val="nil"/>
            </w:tcBorders>
          </w:tcPr>
          <w:p w14:paraId="2E554E07" w14:textId="77777777" w:rsidR="008E67EA" w:rsidRPr="00DD2A4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99F22AF" w14:textId="77777777" w:rsidR="008E67EA" w:rsidRPr="00DD2A42" w:rsidRDefault="008E67EA" w:rsidP="00B44A74">
            <w:pPr>
              <w:spacing w:line="280" w:lineRule="exact"/>
              <w:rPr>
                <w:rFonts w:cs="Arial"/>
                <w:sz w:val="20"/>
                <w:szCs w:val="20"/>
              </w:rPr>
            </w:pPr>
          </w:p>
        </w:tc>
      </w:tr>
      <w:tr w:rsidR="008E67EA" w:rsidRPr="00DD2A42" w14:paraId="1B8C18D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A356F53" w14:textId="77777777" w:rsidR="008E67EA" w:rsidRPr="00DD2A42" w:rsidRDefault="008E67EA" w:rsidP="00B44A74">
            <w:pPr>
              <w:spacing w:line="280" w:lineRule="exact"/>
              <w:rPr>
                <w:rFonts w:cs="Arial"/>
                <w:sz w:val="20"/>
                <w:szCs w:val="20"/>
              </w:rPr>
            </w:pPr>
            <w:r w:rsidRPr="00DD2A42">
              <w:rPr>
                <w:rFonts w:cs="Arial"/>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2EFC83F7" w14:textId="77777777" w:rsidR="008E67EA" w:rsidRPr="00DD2A42" w:rsidRDefault="008E67EA" w:rsidP="00B44A74">
            <w:pPr>
              <w:spacing w:line="280" w:lineRule="exact"/>
              <w:rPr>
                <w:rFonts w:cs="Arial"/>
                <w:sz w:val="20"/>
                <w:szCs w:val="20"/>
              </w:rPr>
            </w:pPr>
            <w:r w:rsidRPr="00DD2A42">
              <w:rPr>
                <w:rFonts w:cs="Arial"/>
                <w:sz w:val="20"/>
                <w:szCs w:val="20"/>
              </w:rPr>
              <w:t>POISON</w:t>
            </w:r>
          </w:p>
          <w:p w14:paraId="285F7924" w14:textId="77777777" w:rsidR="008E67EA" w:rsidRPr="00DD2A42" w:rsidRDefault="008E67EA" w:rsidP="00B44A74">
            <w:pPr>
              <w:spacing w:line="280" w:lineRule="exact"/>
              <w:rPr>
                <w:rFonts w:cs="Arial"/>
                <w:sz w:val="20"/>
                <w:szCs w:val="20"/>
              </w:rPr>
            </w:pPr>
            <w:r w:rsidRPr="00DD2A42">
              <w:rPr>
                <w:rFonts w:cs="Arial"/>
                <w:sz w:val="20"/>
                <w:szCs w:val="20"/>
              </w:rPr>
              <w:t>KEEP OUT OF REACH OF CHILDREN</w:t>
            </w:r>
          </w:p>
          <w:p w14:paraId="71B72ED2" w14:textId="77777777" w:rsidR="008E67EA" w:rsidRPr="00DD2A42" w:rsidRDefault="008E67EA" w:rsidP="00B44A74">
            <w:pPr>
              <w:spacing w:line="280" w:lineRule="exact"/>
              <w:rPr>
                <w:rFonts w:cs="Arial"/>
                <w:sz w:val="20"/>
                <w:szCs w:val="20"/>
              </w:rPr>
            </w:pPr>
            <w:r w:rsidRPr="00DD2A42">
              <w:rPr>
                <w:rFonts w:cs="Arial"/>
                <w:sz w:val="20"/>
                <w:szCs w:val="20"/>
              </w:rPr>
              <w:t>READ SAFETY DIRECTIONS</w:t>
            </w:r>
          </w:p>
        </w:tc>
      </w:tr>
      <w:tr w:rsidR="008E67EA" w:rsidRPr="00DD2A42" w14:paraId="417CDD3E" w14:textId="77777777" w:rsidTr="00B44A74">
        <w:trPr>
          <w:jc w:val="center"/>
        </w:trPr>
        <w:tc>
          <w:tcPr>
            <w:tcW w:w="2415" w:type="dxa"/>
            <w:tcBorders>
              <w:top w:val="single" w:sz="4" w:space="0" w:color="auto"/>
              <w:left w:val="nil"/>
              <w:bottom w:val="single" w:sz="4" w:space="0" w:color="auto"/>
              <w:right w:val="nil"/>
            </w:tcBorders>
          </w:tcPr>
          <w:p w14:paraId="68A1AEF8" w14:textId="77777777" w:rsidR="008E67EA" w:rsidRPr="00DD2A4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DC24925" w14:textId="77777777" w:rsidR="008E67EA" w:rsidRPr="00DD2A42" w:rsidRDefault="008E67EA" w:rsidP="00B44A74">
            <w:pPr>
              <w:spacing w:line="280" w:lineRule="exact"/>
              <w:rPr>
                <w:rFonts w:cs="Arial"/>
                <w:sz w:val="20"/>
                <w:szCs w:val="20"/>
              </w:rPr>
            </w:pPr>
          </w:p>
        </w:tc>
      </w:tr>
      <w:tr w:rsidR="008E67EA" w:rsidRPr="00DD2A42" w14:paraId="77C2A9F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E407454" w14:textId="77777777" w:rsidR="008E67EA" w:rsidRPr="00DD2A42" w:rsidRDefault="008E67EA" w:rsidP="00B44A74">
            <w:pPr>
              <w:spacing w:line="280" w:lineRule="exact"/>
              <w:rPr>
                <w:rFonts w:cs="Arial"/>
                <w:sz w:val="20"/>
                <w:szCs w:val="20"/>
              </w:rPr>
            </w:pPr>
            <w:r w:rsidRPr="00DD2A42">
              <w:rPr>
                <w:rFonts w:cs="Arial"/>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39BBAE6E" w14:textId="5B876DDB" w:rsidR="008E67EA" w:rsidRDefault="008E67EA" w:rsidP="00B44A74">
            <w:pPr>
              <w:spacing w:line="280" w:lineRule="exact"/>
              <w:rPr>
                <w:rFonts w:cs="Arial"/>
                <w:sz w:val="20"/>
                <w:szCs w:val="20"/>
              </w:rPr>
            </w:pPr>
            <w:r w:rsidRPr="00DD2A42">
              <w:rPr>
                <w:rFonts w:cs="Arial"/>
                <w:sz w:val="20"/>
                <w:szCs w:val="20"/>
              </w:rPr>
              <w:t>ACTIVE CONSTITUENTS:</w:t>
            </w:r>
          </w:p>
          <w:p w14:paraId="701F8BCC" w14:textId="77777777" w:rsidR="008E67EA" w:rsidRPr="00DD2A42" w:rsidRDefault="008E67EA" w:rsidP="00B44A74">
            <w:pPr>
              <w:spacing w:line="280" w:lineRule="exact"/>
              <w:rPr>
                <w:rFonts w:cs="Arial"/>
                <w:sz w:val="20"/>
                <w:szCs w:val="20"/>
              </w:rPr>
            </w:pPr>
            <w:r w:rsidRPr="00DD2A42">
              <w:rPr>
                <w:rFonts w:cs="Arial"/>
                <w:sz w:val="20"/>
                <w:szCs w:val="20"/>
              </w:rPr>
              <w:t>0.05 g/kg BRODIFACOUM</w:t>
            </w:r>
          </w:p>
          <w:p w14:paraId="05430926" w14:textId="77777777" w:rsidR="008E67EA" w:rsidRPr="00DD2A42" w:rsidRDefault="008E67EA" w:rsidP="00B44A74">
            <w:pPr>
              <w:spacing w:line="280" w:lineRule="exact"/>
              <w:rPr>
                <w:rFonts w:cs="Arial"/>
                <w:sz w:val="20"/>
                <w:szCs w:val="20"/>
              </w:rPr>
            </w:pPr>
            <w:r w:rsidRPr="00DD2A42">
              <w:rPr>
                <w:rFonts w:cs="Arial"/>
                <w:sz w:val="20"/>
                <w:szCs w:val="20"/>
              </w:rPr>
              <w:t>0.04 g/kg FIPRONIL</w:t>
            </w:r>
          </w:p>
        </w:tc>
      </w:tr>
      <w:tr w:rsidR="008E67EA" w:rsidRPr="00DD2A42" w14:paraId="6E2F4DF0" w14:textId="77777777" w:rsidTr="00B44A74">
        <w:trPr>
          <w:jc w:val="center"/>
        </w:trPr>
        <w:tc>
          <w:tcPr>
            <w:tcW w:w="2415" w:type="dxa"/>
            <w:tcBorders>
              <w:top w:val="single" w:sz="4" w:space="0" w:color="auto"/>
              <w:left w:val="nil"/>
              <w:bottom w:val="single" w:sz="4" w:space="0" w:color="auto"/>
              <w:right w:val="nil"/>
            </w:tcBorders>
          </w:tcPr>
          <w:p w14:paraId="01FFDE59" w14:textId="77777777" w:rsidR="008E67EA" w:rsidRPr="00DD2A4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001BFFE" w14:textId="77777777" w:rsidR="008E67EA" w:rsidRPr="00DD2A42" w:rsidRDefault="008E67EA" w:rsidP="00B44A74">
            <w:pPr>
              <w:spacing w:line="280" w:lineRule="exact"/>
              <w:rPr>
                <w:rFonts w:cs="Arial"/>
                <w:sz w:val="20"/>
                <w:szCs w:val="20"/>
              </w:rPr>
            </w:pPr>
          </w:p>
        </w:tc>
      </w:tr>
      <w:tr w:rsidR="008E67EA" w:rsidRPr="00DD2A42" w14:paraId="3EF7D3D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7CDD8CA" w14:textId="77777777" w:rsidR="008E67EA" w:rsidRPr="00DD2A42" w:rsidRDefault="008E67EA" w:rsidP="00B44A74">
            <w:pPr>
              <w:spacing w:line="280" w:lineRule="exact"/>
              <w:rPr>
                <w:rFonts w:cs="Arial"/>
                <w:sz w:val="20"/>
                <w:szCs w:val="20"/>
              </w:rPr>
            </w:pPr>
            <w:r w:rsidRPr="00DD2A42">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1F0286BD" w14:textId="77777777" w:rsidR="008E67EA" w:rsidRPr="009F6CE5" w:rsidRDefault="008E67EA" w:rsidP="00B44A74">
            <w:pPr>
              <w:spacing w:line="280" w:lineRule="exact"/>
              <w:rPr>
                <w:rFonts w:cs="Arial"/>
                <w:sz w:val="20"/>
                <w:szCs w:val="20"/>
              </w:rPr>
            </w:pPr>
            <w:r w:rsidRPr="009F6CE5">
              <w:rPr>
                <w:rFonts w:cs="Arial"/>
                <w:sz w:val="20"/>
                <w:szCs w:val="20"/>
              </w:rPr>
              <w:t>For control of mice and the fleas and ticks they carry in domestic buildings</w:t>
            </w:r>
            <w:r>
              <w:rPr>
                <w:rFonts w:cs="Arial"/>
                <w:sz w:val="20"/>
                <w:szCs w:val="20"/>
              </w:rPr>
              <w:t>, and f</w:t>
            </w:r>
            <w:r w:rsidRPr="009F6CE5">
              <w:rPr>
                <w:rFonts w:cs="Arial"/>
                <w:sz w:val="20"/>
                <w:szCs w:val="20"/>
              </w:rPr>
              <w:t xml:space="preserve">or control of mice and the fleas and ticks they carry in and around domestic buildings. </w:t>
            </w:r>
          </w:p>
        </w:tc>
      </w:tr>
      <w:tr w:rsidR="008E67EA" w:rsidRPr="00DD2A42" w14:paraId="25B09E0E" w14:textId="77777777" w:rsidTr="00B44A74">
        <w:trPr>
          <w:jc w:val="center"/>
        </w:trPr>
        <w:tc>
          <w:tcPr>
            <w:tcW w:w="2415" w:type="dxa"/>
            <w:tcBorders>
              <w:top w:val="single" w:sz="4" w:space="0" w:color="auto"/>
              <w:left w:val="nil"/>
              <w:bottom w:val="single" w:sz="4" w:space="0" w:color="auto"/>
              <w:right w:val="nil"/>
            </w:tcBorders>
          </w:tcPr>
          <w:p w14:paraId="44865DAF" w14:textId="77777777" w:rsidR="008E67EA" w:rsidRPr="00DD2A4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1C4CB1A" w14:textId="77777777" w:rsidR="008E67EA" w:rsidRPr="00DD2A42" w:rsidRDefault="008E67EA" w:rsidP="00B44A74">
            <w:pPr>
              <w:spacing w:line="280" w:lineRule="exact"/>
              <w:rPr>
                <w:rFonts w:cs="Arial"/>
                <w:sz w:val="20"/>
                <w:szCs w:val="20"/>
              </w:rPr>
            </w:pPr>
          </w:p>
        </w:tc>
      </w:tr>
      <w:tr w:rsidR="008E67EA" w:rsidRPr="00DD2A42" w14:paraId="5C1EFAE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3AC5170" w14:textId="77777777" w:rsidR="008E67EA" w:rsidRPr="00DD2A42" w:rsidRDefault="008E67EA" w:rsidP="00B44A74">
            <w:pPr>
              <w:spacing w:line="280" w:lineRule="exact"/>
              <w:rPr>
                <w:rFonts w:cs="Arial"/>
                <w:sz w:val="20"/>
                <w:szCs w:val="20"/>
              </w:rPr>
            </w:pPr>
            <w:r w:rsidRPr="00DD2A42">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04BCDAB5" w14:textId="77777777" w:rsidR="008E67EA" w:rsidRPr="00DD2A42" w:rsidRDefault="008E67EA" w:rsidP="00B44A74">
            <w:pPr>
              <w:spacing w:line="280" w:lineRule="exact"/>
              <w:rPr>
                <w:rFonts w:cs="Arial"/>
                <w:sz w:val="20"/>
                <w:szCs w:val="20"/>
              </w:rPr>
            </w:pPr>
            <w:r w:rsidRPr="00DD2A42">
              <w:rPr>
                <w:rFonts w:cs="Arial"/>
                <w:sz w:val="20"/>
                <w:szCs w:val="20"/>
              </w:rPr>
              <w:t>[INSERT NET CONTENTS – MAXIMUM 150 g]</w:t>
            </w:r>
          </w:p>
        </w:tc>
      </w:tr>
      <w:tr w:rsidR="008E67EA" w:rsidRPr="00DD2A42" w14:paraId="2B5C31C6" w14:textId="77777777" w:rsidTr="00B44A74">
        <w:trPr>
          <w:jc w:val="center"/>
        </w:trPr>
        <w:tc>
          <w:tcPr>
            <w:tcW w:w="2415" w:type="dxa"/>
            <w:tcBorders>
              <w:top w:val="single" w:sz="4" w:space="0" w:color="auto"/>
              <w:left w:val="nil"/>
              <w:bottom w:val="single" w:sz="4" w:space="0" w:color="auto"/>
              <w:right w:val="nil"/>
            </w:tcBorders>
          </w:tcPr>
          <w:p w14:paraId="2B8BCBF4" w14:textId="77777777" w:rsidR="008E67EA" w:rsidRPr="00DD2A4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D1C224A" w14:textId="77777777" w:rsidR="008E67EA" w:rsidRPr="00DD2A42" w:rsidRDefault="008E67EA" w:rsidP="00B44A74">
            <w:pPr>
              <w:spacing w:line="280" w:lineRule="exact"/>
              <w:rPr>
                <w:rFonts w:cs="Arial"/>
                <w:sz w:val="20"/>
                <w:szCs w:val="20"/>
              </w:rPr>
            </w:pPr>
          </w:p>
        </w:tc>
      </w:tr>
      <w:tr w:rsidR="008E67EA" w:rsidRPr="00DD2A42" w14:paraId="3BBCF19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AEE37F3" w14:textId="77777777" w:rsidR="008E67EA" w:rsidRPr="00DD2A42" w:rsidRDefault="008E67EA" w:rsidP="00B44A74">
            <w:pPr>
              <w:spacing w:line="280" w:lineRule="exact"/>
              <w:rPr>
                <w:rFonts w:cs="Arial"/>
                <w:sz w:val="20"/>
                <w:szCs w:val="20"/>
              </w:rPr>
            </w:pPr>
            <w:r w:rsidRPr="00DD2A42">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6FE50F89" w14:textId="758E419F" w:rsidR="008E67EA" w:rsidRPr="00DD2A42" w:rsidRDefault="008E67EA" w:rsidP="00B44A74">
            <w:pPr>
              <w:spacing w:line="280" w:lineRule="exact"/>
              <w:rPr>
                <w:rFonts w:cs="Arial"/>
                <w:sz w:val="20"/>
                <w:szCs w:val="20"/>
              </w:rPr>
            </w:pPr>
            <w:r w:rsidRPr="00DD2A42">
              <w:rPr>
                <w:rFonts w:cs="Arial"/>
                <w:sz w:val="20"/>
                <w:szCs w:val="20"/>
              </w:rPr>
              <w:t>DO NOT place baits unless in tamper-resistant bait stations.</w:t>
            </w:r>
          </w:p>
          <w:p w14:paraId="4191E5B1" w14:textId="77777777" w:rsidR="008E67EA" w:rsidRPr="00DD2A42" w:rsidRDefault="008E67EA" w:rsidP="00B44A74">
            <w:pPr>
              <w:spacing w:line="280" w:lineRule="exact"/>
              <w:rPr>
                <w:rFonts w:cs="Arial"/>
                <w:sz w:val="20"/>
                <w:szCs w:val="20"/>
              </w:rPr>
            </w:pPr>
            <w:r w:rsidRPr="00DD2A42">
              <w:rPr>
                <w:rFonts w:cs="Arial"/>
                <w:sz w:val="20"/>
                <w:szCs w:val="20"/>
              </w:rPr>
              <w:t>DO NOT place bait stations outdoors around buildings for control of mice.</w:t>
            </w:r>
          </w:p>
          <w:p w14:paraId="152598EF" w14:textId="77777777" w:rsidR="008E67EA" w:rsidRPr="00DD2A42" w:rsidRDefault="008E67EA" w:rsidP="00B44A74">
            <w:pPr>
              <w:spacing w:line="280" w:lineRule="exact"/>
              <w:rPr>
                <w:rFonts w:cs="Arial"/>
                <w:sz w:val="20"/>
                <w:szCs w:val="20"/>
              </w:rPr>
            </w:pPr>
            <w:r w:rsidRPr="00DD2A42">
              <w:rPr>
                <w:rFonts w:cs="Arial"/>
                <w:sz w:val="20"/>
                <w:szCs w:val="20"/>
              </w:rPr>
              <w:t>DO NOT place bait stations more than 2 meters from buildings.</w:t>
            </w:r>
          </w:p>
          <w:p w14:paraId="5E68D64C" w14:textId="77777777" w:rsidR="008E67EA" w:rsidRPr="00DD2A42" w:rsidRDefault="008E67EA" w:rsidP="00B44A74">
            <w:pPr>
              <w:spacing w:line="280" w:lineRule="exact"/>
              <w:rPr>
                <w:rFonts w:cs="Arial"/>
                <w:sz w:val="20"/>
                <w:szCs w:val="20"/>
              </w:rPr>
            </w:pPr>
            <w:r w:rsidRPr="00DD2A42">
              <w:rPr>
                <w:rFonts w:cs="Arial"/>
                <w:sz w:val="20"/>
                <w:szCs w:val="20"/>
              </w:rPr>
              <w:t>DO NOT bait in areas where wildlife may be collected for human consumption.</w:t>
            </w:r>
          </w:p>
          <w:p w14:paraId="76F21AC4" w14:textId="77777777" w:rsidR="008E67EA" w:rsidRPr="00DD2A42" w:rsidRDefault="008E67EA" w:rsidP="00B44A74">
            <w:pPr>
              <w:spacing w:line="280" w:lineRule="exact"/>
              <w:rPr>
                <w:rFonts w:cs="Arial"/>
                <w:sz w:val="20"/>
                <w:szCs w:val="20"/>
              </w:rPr>
            </w:pPr>
            <w:r w:rsidRPr="00DD2A42">
              <w:rPr>
                <w:rFonts w:cs="Arial"/>
                <w:sz w:val="20"/>
                <w:szCs w:val="20"/>
              </w:rPr>
              <w:t>DO NOT place baits in and around animal, livestock and poultry houses, associated equipment, and food and feed processing areas.</w:t>
            </w:r>
          </w:p>
          <w:p w14:paraId="40F9C664" w14:textId="77777777" w:rsidR="008E67EA" w:rsidRPr="00DD2A42" w:rsidRDefault="008E67EA" w:rsidP="00B44A74">
            <w:pPr>
              <w:spacing w:line="280" w:lineRule="exact"/>
              <w:rPr>
                <w:rFonts w:cs="Arial"/>
                <w:sz w:val="20"/>
                <w:szCs w:val="20"/>
              </w:rPr>
            </w:pPr>
            <w:r w:rsidRPr="00DD2A42">
              <w:rPr>
                <w:rFonts w:cs="Arial"/>
                <w:sz w:val="20"/>
                <w:szCs w:val="20"/>
              </w:rPr>
              <w:t>DO NOT apply this product directly into burrows.</w:t>
            </w:r>
          </w:p>
          <w:p w14:paraId="493CC777" w14:textId="77777777" w:rsidR="008E67EA" w:rsidRPr="00DD2A42" w:rsidRDefault="008E67EA" w:rsidP="00B44A74">
            <w:pPr>
              <w:spacing w:line="280" w:lineRule="exact"/>
              <w:rPr>
                <w:rFonts w:cs="Arial"/>
                <w:sz w:val="20"/>
                <w:szCs w:val="20"/>
              </w:rPr>
            </w:pPr>
            <w:r w:rsidRPr="00DD2A42">
              <w:rPr>
                <w:rFonts w:cs="Arial"/>
                <w:sz w:val="20"/>
                <w:szCs w:val="20"/>
              </w:rPr>
              <w:t>DO NOT use the product in pulsed baiting treatments.</w:t>
            </w:r>
          </w:p>
        </w:tc>
      </w:tr>
      <w:tr w:rsidR="008E67EA" w:rsidRPr="00DD2A42" w14:paraId="2462C70B" w14:textId="77777777" w:rsidTr="00B44A74">
        <w:trPr>
          <w:jc w:val="center"/>
        </w:trPr>
        <w:tc>
          <w:tcPr>
            <w:tcW w:w="2415" w:type="dxa"/>
            <w:tcBorders>
              <w:top w:val="single" w:sz="4" w:space="0" w:color="auto"/>
              <w:left w:val="nil"/>
              <w:bottom w:val="single" w:sz="4" w:space="0" w:color="auto"/>
              <w:right w:val="nil"/>
            </w:tcBorders>
          </w:tcPr>
          <w:p w14:paraId="5A8D84D3" w14:textId="77777777" w:rsidR="008E67EA" w:rsidRPr="00DD2A4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22D715E" w14:textId="77777777" w:rsidR="008E67EA" w:rsidRPr="00DD2A42" w:rsidRDefault="008E67EA" w:rsidP="00B44A74">
            <w:pPr>
              <w:spacing w:line="280" w:lineRule="exact"/>
              <w:rPr>
                <w:rFonts w:cs="Arial"/>
                <w:sz w:val="20"/>
                <w:szCs w:val="20"/>
              </w:rPr>
            </w:pPr>
          </w:p>
        </w:tc>
      </w:tr>
      <w:tr w:rsidR="008E67EA" w:rsidRPr="00DD2A42" w14:paraId="7F19BAD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C7AA4B2" w14:textId="77777777" w:rsidR="008E67EA" w:rsidRPr="00DD2A42" w:rsidRDefault="008E67EA" w:rsidP="00B44A74">
            <w:pPr>
              <w:spacing w:line="280" w:lineRule="exact"/>
              <w:rPr>
                <w:rFonts w:cs="Arial"/>
                <w:sz w:val="20"/>
                <w:szCs w:val="20"/>
              </w:rPr>
            </w:pPr>
            <w:r w:rsidRPr="00DD2A42">
              <w:rPr>
                <w:rFonts w:cs="Arial"/>
                <w:sz w:val="20"/>
                <w:szCs w:val="20"/>
              </w:rPr>
              <w:t>How to Use</w:t>
            </w:r>
          </w:p>
        </w:tc>
        <w:tc>
          <w:tcPr>
            <w:tcW w:w="7755" w:type="dxa"/>
            <w:tcBorders>
              <w:top w:val="single" w:sz="4" w:space="0" w:color="auto"/>
              <w:left w:val="single" w:sz="4" w:space="0" w:color="auto"/>
              <w:bottom w:val="single" w:sz="4" w:space="0" w:color="auto"/>
              <w:right w:val="single" w:sz="4" w:space="0" w:color="auto"/>
            </w:tcBorders>
          </w:tcPr>
          <w:p w14:paraId="080D3E3F" w14:textId="77777777" w:rsidR="008E67EA" w:rsidRPr="00DD2A42" w:rsidRDefault="008E67EA" w:rsidP="00B44A74">
            <w:pPr>
              <w:spacing w:line="280" w:lineRule="exact"/>
              <w:rPr>
                <w:rFonts w:cs="Arial"/>
                <w:sz w:val="20"/>
                <w:szCs w:val="20"/>
              </w:rPr>
            </w:pPr>
            <w:r w:rsidRPr="00B832BB">
              <w:rPr>
                <w:rFonts w:cs="Arial"/>
                <w:sz w:val="20"/>
                <w:szCs w:val="20"/>
              </w:rPr>
              <w:t>[This section contains an attachment below]</w:t>
            </w:r>
          </w:p>
        </w:tc>
      </w:tr>
      <w:tr w:rsidR="008E67EA" w:rsidRPr="00DD2A42" w14:paraId="7B07E3C3" w14:textId="77777777" w:rsidTr="00B44A74">
        <w:trPr>
          <w:jc w:val="center"/>
        </w:trPr>
        <w:tc>
          <w:tcPr>
            <w:tcW w:w="2415" w:type="dxa"/>
            <w:tcBorders>
              <w:top w:val="single" w:sz="4" w:space="0" w:color="auto"/>
              <w:left w:val="nil"/>
              <w:bottom w:val="single" w:sz="4" w:space="0" w:color="auto"/>
              <w:right w:val="nil"/>
            </w:tcBorders>
          </w:tcPr>
          <w:p w14:paraId="1921E702" w14:textId="77777777" w:rsidR="008E67EA" w:rsidRPr="00DD2A4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4A7F8FD" w14:textId="77777777" w:rsidR="008E67EA" w:rsidRPr="00DD2A42" w:rsidRDefault="008E67EA" w:rsidP="00B44A74">
            <w:pPr>
              <w:spacing w:line="280" w:lineRule="exact"/>
              <w:rPr>
                <w:rFonts w:cs="Arial"/>
                <w:sz w:val="20"/>
                <w:szCs w:val="20"/>
              </w:rPr>
            </w:pPr>
          </w:p>
        </w:tc>
      </w:tr>
      <w:tr w:rsidR="008E67EA" w:rsidRPr="00DD2A42" w14:paraId="612AEBF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8B9B895" w14:textId="77777777" w:rsidR="008E67EA" w:rsidRPr="00DD2A42" w:rsidRDefault="008E67EA" w:rsidP="00B44A74">
            <w:pPr>
              <w:spacing w:line="280" w:lineRule="exact"/>
              <w:rPr>
                <w:rFonts w:cs="Arial"/>
                <w:sz w:val="20"/>
                <w:szCs w:val="20"/>
              </w:rPr>
            </w:pPr>
            <w:r w:rsidRPr="00DD2A42">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07EB1901" w14:textId="77777777" w:rsidR="008E67EA" w:rsidRPr="00DD2A42" w:rsidRDefault="008E67EA" w:rsidP="00B44A74">
            <w:pPr>
              <w:spacing w:line="280" w:lineRule="exact"/>
              <w:rPr>
                <w:rFonts w:cs="Arial"/>
                <w:sz w:val="20"/>
                <w:szCs w:val="20"/>
              </w:rPr>
            </w:pPr>
          </w:p>
        </w:tc>
      </w:tr>
      <w:tr w:rsidR="008E67EA" w:rsidRPr="00DD2A42" w14:paraId="387CF618" w14:textId="77777777" w:rsidTr="00B44A74">
        <w:trPr>
          <w:jc w:val="center"/>
        </w:trPr>
        <w:tc>
          <w:tcPr>
            <w:tcW w:w="2415" w:type="dxa"/>
            <w:tcBorders>
              <w:top w:val="single" w:sz="4" w:space="0" w:color="auto"/>
              <w:left w:val="nil"/>
              <w:bottom w:val="single" w:sz="4" w:space="0" w:color="auto"/>
              <w:right w:val="nil"/>
            </w:tcBorders>
          </w:tcPr>
          <w:p w14:paraId="46AC44B1" w14:textId="77777777" w:rsidR="008E67EA" w:rsidRPr="00DD2A4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9D416D6" w14:textId="77777777" w:rsidR="008E67EA" w:rsidRPr="00DD2A42" w:rsidRDefault="008E67EA" w:rsidP="00B44A74">
            <w:pPr>
              <w:spacing w:line="280" w:lineRule="exact"/>
              <w:rPr>
                <w:rFonts w:cs="Arial"/>
                <w:sz w:val="20"/>
                <w:szCs w:val="20"/>
              </w:rPr>
            </w:pPr>
          </w:p>
        </w:tc>
      </w:tr>
      <w:tr w:rsidR="008E67EA" w:rsidRPr="00DD2A42" w14:paraId="2FB1856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CF9D534" w14:textId="77777777" w:rsidR="008E67EA" w:rsidRPr="00DD2A42" w:rsidRDefault="008E67EA" w:rsidP="00B44A74">
            <w:pPr>
              <w:spacing w:line="280" w:lineRule="exact"/>
              <w:rPr>
                <w:rFonts w:cs="Arial"/>
                <w:sz w:val="20"/>
                <w:szCs w:val="20"/>
              </w:rPr>
            </w:pPr>
            <w:r w:rsidRPr="00DD2A42">
              <w:rPr>
                <w:rFonts w:cs="Arial"/>
                <w:sz w:val="20"/>
                <w:szCs w:val="20"/>
              </w:rPr>
              <w:t>How to Prepare</w:t>
            </w:r>
          </w:p>
        </w:tc>
        <w:tc>
          <w:tcPr>
            <w:tcW w:w="7755" w:type="dxa"/>
            <w:tcBorders>
              <w:top w:val="single" w:sz="4" w:space="0" w:color="auto"/>
              <w:left w:val="single" w:sz="4" w:space="0" w:color="auto"/>
              <w:bottom w:val="single" w:sz="4" w:space="0" w:color="auto"/>
              <w:right w:val="single" w:sz="4" w:space="0" w:color="auto"/>
            </w:tcBorders>
          </w:tcPr>
          <w:p w14:paraId="0775079B" w14:textId="77777777" w:rsidR="008E67EA" w:rsidRPr="00DD2A42" w:rsidRDefault="008E67EA" w:rsidP="00B44A74">
            <w:pPr>
              <w:spacing w:line="280" w:lineRule="exact"/>
              <w:rPr>
                <w:rFonts w:cs="Arial"/>
                <w:sz w:val="20"/>
                <w:szCs w:val="20"/>
              </w:rPr>
            </w:pPr>
          </w:p>
        </w:tc>
      </w:tr>
      <w:tr w:rsidR="008E67EA" w:rsidRPr="00DD2A42" w14:paraId="0EC14198" w14:textId="77777777" w:rsidTr="00B44A74">
        <w:trPr>
          <w:jc w:val="center"/>
        </w:trPr>
        <w:tc>
          <w:tcPr>
            <w:tcW w:w="2415" w:type="dxa"/>
            <w:tcBorders>
              <w:top w:val="single" w:sz="4" w:space="0" w:color="auto"/>
              <w:left w:val="nil"/>
              <w:bottom w:val="single" w:sz="4" w:space="0" w:color="auto"/>
              <w:right w:val="nil"/>
            </w:tcBorders>
          </w:tcPr>
          <w:p w14:paraId="485672F7" w14:textId="77777777" w:rsidR="008E67EA" w:rsidRPr="00DD2A4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7854553" w14:textId="77777777" w:rsidR="008E67EA" w:rsidRPr="00DD2A42" w:rsidRDefault="008E67EA" w:rsidP="00B44A74">
            <w:pPr>
              <w:spacing w:line="280" w:lineRule="exact"/>
              <w:rPr>
                <w:rFonts w:cs="Arial"/>
                <w:sz w:val="20"/>
                <w:szCs w:val="20"/>
              </w:rPr>
            </w:pPr>
          </w:p>
        </w:tc>
      </w:tr>
      <w:tr w:rsidR="008E67EA" w:rsidRPr="00DD2A42" w14:paraId="38563DD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6FE1FCA" w14:textId="77777777" w:rsidR="008E67EA" w:rsidRPr="00DD2A42" w:rsidRDefault="008E67EA" w:rsidP="00B44A74">
            <w:pPr>
              <w:spacing w:line="280" w:lineRule="exact"/>
              <w:rPr>
                <w:rFonts w:cs="Arial"/>
                <w:sz w:val="20"/>
                <w:szCs w:val="20"/>
              </w:rPr>
            </w:pPr>
            <w:r w:rsidRPr="00DD2A42">
              <w:rPr>
                <w:rFonts w:cs="Arial"/>
                <w:sz w:val="20"/>
                <w:szCs w:val="20"/>
              </w:rPr>
              <w:t>Resistance Warning:</w:t>
            </w:r>
          </w:p>
        </w:tc>
        <w:tc>
          <w:tcPr>
            <w:tcW w:w="7755" w:type="dxa"/>
            <w:tcBorders>
              <w:top w:val="single" w:sz="4" w:space="0" w:color="auto"/>
              <w:left w:val="single" w:sz="4" w:space="0" w:color="auto"/>
              <w:bottom w:val="single" w:sz="4" w:space="0" w:color="auto"/>
              <w:right w:val="single" w:sz="4" w:space="0" w:color="auto"/>
            </w:tcBorders>
          </w:tcPr>
          <w:p w14:paraId="7E164B5E" w14:textId="77777777" w:rsidR="008E67EA" w:rsidRPr="00DD2A42" w:rsidRDefault="008E67EA" w:rsidP="00B44A74">
            <w:pPr>
              <w:spacing w:line="280" w:lineRule="exact"/>
              <w:rPr>
                <w:rFonts w:cs="Arial"/>
                <w:sz w:val="20"/>
                <w:szCs w:val="20"/>
              </w:rPr>
            </w:pPr>
          </w:p>
        </w:tc>
      </w:tr>
      <w:tr w:rsidR="008E67EA" w:rsidRPr="00DD2A42" w14:paraId="56654094" w14:textId="77777777" w:rsidTr="00B44A74">
        <w:trPr>
          <w:jc w:val="center"/>
        </w:trPr>
        <w:tc>
          <w:tcPr>
            <w:tcW w:w="2415" w:type="dxa"/>
            <w:tcBorders>
              <w:top w:val="single" w:sz="4" w:space="0" w:color="auto"/>
              <w:left w:val="nil"/>
              <w:bottom w:val="single" w:sz="4" w:space="0" w:color="auto"/>
              <w:right w:val="nil"/>
            </w:tcBorders>
          </w:tcPr>
          <w:p w14:paraId="5F8E980C" w14:textId="77777777" w:rsidR="008E67EA" w:rsidRPr="00DD2A4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C6C00BD" w14:textId="77777777" w:rsidR="008E67EA" w:rsidRPr="00DD2A42" w:rsidRDefault="008E67EA" w:rsidP="00B44A74">
            <w:pPr>
              <w:spacing w:line="280" w:lineRule="exact"/>
              <w:rPr>
                <w:rFonts w:cs="Arial"/>
                <w:sz w:val="20"/>
                <w:szCs w:val="20"/>
              </w:rPr>
            </w:pPr>
          </w:p>
        </w:tc>
      </w:tr>
      <w:tr w:rsidR="008E67EA" w:rsidRPr="00DD2A42" w14:paraId="4B47E96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56B5997" w14:textId="77777777" w:rsidR="008E67EA" w:rsidRPr="00DD2A42" w:rsidRDefault="008E67EA" w:rsidP="00B44A74">
            <w:pPr>
              <w:spacing w:line="280" w:lineRule="exact"/>
              <w:rPr>
                <w:rFonts w:cs="Arial"/>
                <w:sz w:val="20"/>
                <w:szCs w:val="20"/>
              </w:rPr>
            </w:pPr>
            <w:r w:rsidRPr="00DD2A42">
              <w:rPr>
                <w:rFonts w:cs="Arial"/>
                <w:sz w:val="20"/>
                <w:szCs w:val="20"/>
              </w:rPr>
              <w:t>Precautions:</w:t>
            </w:r>
          </w:p>
        </w:tc>
        <w:tc>
          <w:tcPr>
            <w:tcW w:w="7755" w:type="dxa"/>
            <w:tcBorders>
              <w:top w:val="single" w:sz="4" w:space="0" w:color="auto"/>
              <w:left w:val="single" w:sz="4" w:space="0" w:color="auto"/>
              <w:bottom w:val="single" w:sz="4" w:space="0" w:color="auto"/>
              <w:right w:val="single" w:sz="4" w:space="0" w:color="auto"/>
            </w:tcBorders>
          </w:tcPr>
          <w:p w14:paraId="0258B7F2" w14:textId="77777777" w:rsidR="008E67EA" w:rsidRPr="00DD2A42" w:rsidRDefault="008E67EA" w:rsidP="00B44A74">
            <w:pPr>
              <w:spacing w:line="280" w:lineRule="exact"/>
              <w:rPr>
                <w:rFonts w:cs="Arial"/>
                <w:sz w:val="20"/>
                <w:szCs w:val="20"/>
              </w:rPr>
            </w:pPr>
            <w:r w:rsidRPr="00DD2A42">
              <w:rPr>
                <w:rFonts w:cs="Arial"/>
                <w:sz w:val="20"/>
                <w:szCs w:val="20"/>
              </w:rPr>
              <w:t>CAUTION</w:t>
            </w:r>
          </w:p>
          <w:p w14:paraId="20957A56" w14:textId="77777777" w:rsidR="008E67EA" w:rsidRPr="00DD2A42" w:rsidRDefault="008E67EA" w:rsidP="00B44A74">
            <w:pPr>
              <w:spacing w:line="280" w:lineRule="exact"/>
              <w:rPr>
                <w:rFonts w:cs="Arial"/>
                <w:sz w:val="20"/>
                <w:szCs w:val="20"/>
              </w:rPr>
            </w:pPr>
            <w:r w:rsidRPr="00DD2A42">
              <w:rPr>
                <w:rFonts w:cs="Arial"/>
                <w:sz w:val="20"/>
                <w:szCs w:val="20"/>
              </w:rPr>
              <w:t>Caution should be used when baiting near areas where hunting of wildlife may occur. Careful consideration of bait placement is necessary to avoid secondary exposure from contaminated wildlife that may be consumed.</w:t>
            </w:r>
          </w:p>
          <w:p w14:paraId="2182EA4C" w14:textId="77777777" w:rsidR="008E67EA" w:rsidRDefault="008E67EA" w:rsidP="00B44A74">
            <w:pPr>
              <w:spacing w:line="280" w:lineRule="exact"/>
              <w:rPr>
                <w:rFonts w:cs="Arial"/>
                <w:sz w:val="20"/>
                <w:szCs w:val="20"/>
              </w:rPr>
            </w:pPr>
            <w:r w:rsidRPr="00DD2A42">
              <w:rPr>
                <w:rFonts w:cs="Arial"/>
                <w:sz w:val="20"/>
                <w:szCs w:val="20"/>
              </w:rPr>
              <w:t>DO NOT place bait in areas where there is a possibility of contaminating food, livestock feed or surfaces that come in direct contact with food or livestock feed.</w:t>
            </w:r>
          </w:p>
          <w:p w14:paraId="366320CE" w14:textId="77777777" w:rsidR="008E67EA" w:rsidRPr="00DD2A42" w:rsidRDefault="008E67EA" w:rsidP="00B44A74">
            <w:pPr>
              <w:spacing w:line="280" w:lineRule="exact"/>
              <w:rPr>
                <w:rFonts w:cs="Arial"/>
                <w:sz w:val="20"/>
                <w:szCs w:val="20"/>
              </w:rPr>
            </w:pPr>
          </w:p>
          <w:p w14:paraId="13EE4559" w14:textId="77777777" w:rsidR="008E67EA" w:rsidRPr="00DD2A42" w:rsidRDefault="008E67EA" w:rsidP="00B44A74">
            <w:pPr>
              <w:spacing w:line="280" w:lineRule="exact"/>
              <w:rPr>
                <w:rFonts w:cs="Arial"/>
                <w:sz w:val="20"/>
                <w:szCs w:val="20"/>
              </w:rPr>
            </w:pPr>
            <w:r w:rsidRPr="00DD2A42">
              <w:rPr>
                <w:rFonts w:cs="Arial"/>
                <w:sz w:val="20"/>
                <w:szCs w:val="20"/>
              </w:rPr>
              <w:t>PROTECTION OF LIVESTOCK AND WILDLIFE</w:t>
            </w:r>
          </w:p>
          <w:p w14:paraId="36E717E3" w14:textId="77777777" w:rsidR="008E67EA" w:rsidRPr="00DD2A42" w:rsidRDefault="008E67EA" w:rsidP="00B44A74">
            <w:pPr>
              <w:spacing w:line="280" w:lineRule="exact"/>
              <w:rPr>
                <w:rFonts w:cs="Arial"/>
                <w:sz w:val="20"/>
                <w:szCs w:val="20"/>
              </w:rPr>
            </w:pPr>
            <w:r w:rsidRPr="00DD2A42">
              <w:rPr>
                <w:rFonts w:cs="Arial"/>
                <w:sz w:val="20"/>
                <w:szCs w:val="20"/>
              </w:rPr>
              <w:t>Hazardous to livestock, poultry and wildlife. DO NOT place baits in locations that are accessible to domestic animals, livestock, non-target native animals or birds.</w:t>
            </w:r>
          </w:p>
          <w:p w14:paraId="5A8C2DEA" w14:textId="6D787382" w:rsidR="008E67EA" w:rsidRPr="00DD2A42" w:rsidRDefault="008E67EA" w:rsidP="00B44A74">
            <w:pPr>
              <w:spacing w:line="280" w:lineRule="exact"/>
              <w:rPr>
                <w:rFonts w:cs="Arial"/>
                <w:sz w:val="20"/>
                <w:szCs w:val="20"/>
              </w:rPr>
            </w:pPr>
            <w:r w:rsidRPr="00DD2A42">
              <w:rPr>
                <w:rFonts w:cs="Arial"/>
                <w:sz w:val="20"/>
                <w:szCs w:val="20"/>
              </w:rPr>
              <w:t xml:space="preserve">Search for and dispose of dead rodents and slugs/snails in the infested area at each visit to prevent secondary poisoning. In case slugs/snails are present, move bait </w:t>
            </w:r>
            <w:r w:rsidRPr="00DD2A42">
              <w:rPr>
                <w:rFonts w:cs="Arial"/>
                <w:sz w:val="20"/>
                <w:szCs w:val="20"/>
              </w:rPr>
              <w:lastRenderedPageBreak/>
              <w:t>station to another location within the rodent infested site, away from slugs/snails. Dispose of slugs/snails, dead rodents and uneaten bait by wrapping in paper, placing in plastic bag and putting in garbage.</w:t>
            </w:r>
          </w:p>
          <w:p w14:paraId="4ECA4AAA" w14:textId="77777777" w:rsidR="008E67EA" w:rsidRPr="00DD2A42" w:rsidRDefault="008E67EA" w:rsidP="00B44A74">
            <w:pPr>
              <w:spacing w:line="280" w:lineRule="exact"/>
              <w:rPr>
                <w:rFonts w:cs="Arial"/>
                <w:sz w:val="20"/>
                <w:szCs w:val="20"/>
              </w:rPr>
            </w:pPr>
            <w:r w:rsidRPr="00DD2A42">
              <w:rPr>
                <w:rFonts w:cs="Arial"/>
                <w:sz w:val="20"/>
                <w:szCs w:val="20"/>
              </w:rPr>
              <w:t>DO NOT allow livestock or poultry to consume dead or moribund rats</w:t>
            </w:r>
            <w:r>
              <w:rPr>
                <w:rFonts w:cs="Arial"/>
                <w:sz w:val="20"/>
                <w:szCs w:val="20"/>
              </w:rPr>
              <w:t xml:space="preserve"> and mice</w:t>
            </w:r>
            <w:r w:rsidRPr="00DD2A42">
              <w:rPr>
                <w:rFonts w:cs="Arial"/>
                <w:sz w:val="20"/>
                <w:szCs w:val="20"/>
              </w:rPr>
              <w:t>. All dead or moribund animals and rodent faeces from baited rodents MUST be removed from areas accessible to livestock or poultry.</w:t>
            </w:r>
          </w:p>
          <w:p w14:paraId="419F41BC" w14:textId="77777777" w:rsidR="008E67EA" w:rsidRDefault="008E67EA" w:rsidP="00B44A74">
            <w:pPr>
              <w:spacing w:line="280" w:lineRule="exact"/>
              <w:rPr>
                <w:rFonts w:cs="Arial"/>
                <w:sz w:val="20"/>
                <w:szCs w:val="20"/>
              </w:rPr>
            </w:pPr>
            <w:r w:rsidRPr="00DD2A42">
              <w:rPr>
                <w:rFonts w:cs="Arial"/>
                <w:sz w:val="20"/>
                <w:szCs w:val="20"/>
              </w:rPr>
              <w:t>The use of this product for the control of protected native rodents requires permission from wildlife authorities.</w:t>
            </w:r>
          </w:p>
          <w:p w14:paraId="15A9AB4E" w14:textId="77777777" w:rsidR="008E67EA" w:rsidRPr="00DD2A42" w:rsidRDefault="008E67EA" w:rsidP="00B44A74">
            <w:pPr>
              <w:spacing w:line="280" w:lineRule="exact"/>
              <w:rPr>
                <w:rFonts w:cs="Arial"/>
                <w:sz w:val="20"/>
                <w:szCs w:val="20"/>
              </w:rPr>
            </w:pPr>
          </w:p>
          <w:p w14:paraId="291D994B" w14:textId="77777777" w:rsidR="008E67EA" w:rsidRPr="00DD2A42" w:rsidRDefault="008E67EA" w:rsidP="00B44A74">
            <w:pPr>
              <w:spacing w:line="280" w:lineRule="exact"/>
              <w:rPr>
                <w:rFonts w:cs="Arial"/>
                <w:sz w:val="20"/>
                <w:szCs w:val="20"/>
              </w:rPr>
            </w:pPr>
            <w:r w:rsidRPr="00DD2A42">
              <w:rPr>
                <w:rFonts w:cs="Arial"/>
                <w:sz w:val="20"/>
                <w:szCs w:val="20"/>
              </w:rPr>
              <w:t>PROTECTION OF FISH, CRUSTACEANS AND ENVIRONMENT</w:t>
            </w:r>
          </w:p>
          <w:p w14:paraId="6F8E906F" w14:textId="77777777" w:rsidR="008E67EA" w:rsidRPr="00DD2A42" w:rsidRDefault="008E67EA" w:rsidP="00B44A74">
            <w:pPr>
              <w:spacing w:line="280" w:lineRule="exact"/>
              <w:rPr>
                <w:rFonts w:cs="Arial"/>
                <w:sz w:val="20"/>
                <w:szCs w:val="20"/>
                <w:highlight w:val="yellow"/>
              </w:rPr>
            </w:pPr>
            <w:r w:rsidRPr="00DD2A42">
              <w:rPr>
                <w:rFonts w:cs="Arial"/>
                <w:sz w:val="20"/>
                <w:szCs w:val="20"/>
              </w:rPr>
              <w:t>Very toxic to aquatic life. DO NOT contaminate wetlands or watercourses with this product or used containers. Place the bait stations in areas not liable to flooding. When placing bait stations close to water drainage systems, ensure that bait contact with water is avoided.</w:t>
            </w:r>
          </w:p>
        </w:tc>
      </w:tr>
      <w:tr w:rsidR="008E67EA" w:rsidRPr="00DD2A42" w14:paraId="193BA165" w14:textId="77777777" w:rsidTr="00B44A74">
        <w:trPr>
          <w:jc w:val="center"/>
        </w:trPr>
        <w:tc>
          <w:tcPr>
            <w:tcW w:w="2415" w:type="dxa"/>
            <w:tcBorders>
              <w:top w:val="single" w:sz="4" w:space="0" w:color="auto"/>
              <w:left w:val="nil"/>
              <w:bottom w:val="single" w:sz="4" w:space="0" w:color="auto"/>
              <w:right w:val="nil"/>
            </w:tcBorders>
          </w:tcPr>
          <w:p w14:paraId="20D14692" w14:textId="77777777" w:rsidR="008E67EA" w:rsidRPr="00DD2A4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78D0D15" w14:textId="77777777" w:rsidR="008E67EA" w:rsidRPr="00DD2A42" w:rsidRDefault="008E67EA" w:rsidP="00B44A74">
            <w:pPr>
              <w:spacing w:line="280" w:lineRule="exact"/>
              <w:rPr>
                <w:rFonts w:cs="Arial"/>
                <w:sz w:val="20"/>
                <w:szCs w:val="20"/>
              </w:rPr>
            </w:pPr>
          </w:p>
        </w:tc>
      </w:tr>
      <w:tr w:rsidR="008E67EA" w:rsidRPr="00DD2A42" w14:paraId="2F8D177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FAB4D1A" w14:textId="77777777" w:rsidR="008E67EA" w:rsidRPr="00DD2A42" w:rsidRDefault="008E67EA" w:rsidP="00B44A74">
            <w:pPr>
              <w:spacing w:line="280" w:lineRule="exact"/>
              <w:rPr>
                <w:rFonts w:cs="Arial"/>
                <w:sz w:val="20"/>
                <w:szCs w:val="20"/>
              </w:rPr>
            </w:pPr>
            <w:r w:rsidRPr="00DD2A42">
              <w:rPr>
                <w:rFonts w:cs="Arial"/>
                <w:sz w:val="20"/>
                <w:szCs w:val="20"/>
              </w:rPr>
              <w:t>Protections:</w:t>
            </w:r>
          </w:p>
        </w:tc>
        <w:tc>
          <w:tcPr>
            <w:tcW w:w="7755" w:type="dxa"/>
            <w:tcBorders>
              <w:top w:val="single" w:sz="4" w:space="0" w:color="auto"/>
              <w:left w:val="single" w:sz="4" w:space="0" w:color="auto"/>
              <w:bottom w:val="single" w:sz="4" w:space="0" w:color="auto"/>
              <w:right w:val="single" w:sz="4" w:space="0" w:color="auto"/>
            </w:tcBorders>
          </w:tcPr>
          <w:p w14:paraId="09B994C6" w14:textId="77777777" w:rsidR="008E67EA" w:rsidRPr="00DD2A42" w:rsidRDefault="008E67EA" w:rsidP="00B44A74">
            <w:pPr>
              <w:spacing w:line="280" w:lineRule="exact"/>
              <w:rPr>
                <w:rFonts w:cs="Arial"/>
                <w:sz w:val="20"/>
                <w:szCs w:val="20"/>
              </w:rPr>
            </w:pPr>
          </w:p>
        </w:tc>
      </w:tr>
      <w:tr w:rsidR="008E67EA" w:rsidRPr="00DD2A42" w14:paraId="09EA5C65" w14:textId="77777777" w:rsidTr="00B44A74">
        <w:trPr>
          <w:jc w:val="center"/>
        </w:trPr>
        <w:tc>
          <w:tcPr>
            <w:tcW w:w="2415" w:type="dxa"/>
            <w:tcBorders>
              <w:top w:val="single" w:sz="4" w:space="0" w:color="auto"/>
              <w:left w:val="nil"/>
              <w:bottom w:val="single" w:sz="4" w:space="0" w:color="auto"/>
              <w:right w:val="nil"/>
            </w:tcBorders>
          </w:tcPr>
          <w:p w14:paraId="52CB1304" w14:textId="77777777" w:rsidR="008E67EA" w:rsidRPr="00DD2A4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3A55CEA" w14:textId="77777777" w:rsidR="008E67EA" w:rsidRPr="00DD2A42" w:rsidRDefault="008E67EA" w:rsidP="00B44A74">
            <w:pPr>
              <w:spacing w:line="280" w:lineRule="exact"/>
              <w:rPr>
                <w:rFonts w:cs="Arial"/>
                <w:sz w:val="20"/>
                <w:szCs w:val="20"/>
              </w:rPr>
            </w:pPr>
          </w:p>
        </w:tc>
      </w:tr>
      <w:tr w:rsidR="008E67EA" w:rsidRPr="00DD2A42" w14:paraId="0BB7A60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EE74AEE" w14:textId="77777777" w:rsidR="008E67EA" w:rsidRPr="00DD2A42" w:rsidRDefault="008E67EA" w:rsidP="00B44A74">
            <w:pPr>
              <w:spacing w:line="280" w:lineRule="exact"/>
              <w:rPr>
                <w:rFonts w:cs="Arial"/>
                <w:sz w:val="20"/>
                <w:szCs w:val="20"/>
              </w:rPr>
            </w:pPr>
            <w:r w:rsidRPr="00DD2A42">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0A328E2A" w14:textId="77777777" w:rsidR="008E67EA" w:rsidRPr="00DD2A42" w:rsidRDefault="008E67EA" w:rsidP="00B44A74">
            <w:pPr>
              <w:spacing w:line="280" w:lineRule="exact"/>
              <w:rPr>
                <w:rFonts w:cs="Arial"/>
                <w:sz w:val="20"/>
                <w:szCs w:val="20"/>
                <w:bdr w:val="none" w:sz="0" w:space="0" w:color="auto" w:frame="1"/>
                <w:lang w:val="en-GB" w:eastAsia="en-AU"/>
              </w:rPr>
            </w:pPr>
            <w:r w:rsidRPr="00DD2A42">
              <w:rPr>
                <w:rFonts w:cs="Arial"/>
                <w:sz w:val="20"/>
                <w:szCs w:val="20"/>
                <w:bdr w:val="none" w:sz="0" w:space="0" w:color="auto" w:frame="1"/>
                <w:lang w:val="en-GB" w:eastAsia="en-AU"/>
              </w:rPr>
              <w:t>STORAGE AND DISPOSAL</w:t>
            </w:r>
          </w:p>
          <w:p w14:paraId="5084A4EB" w14:textId="1DB306DF" w:rsidR="008E67EA" w:rsidRPr="00DD2A42" w:rsidRDefault="008E67EA" w:rsidP="00B44A74">
            <w:pPr>
              <w:spacing w:line="280" w:lineRule="exact"/>
              <w:rPr>
                <w:rFonts w:cs="Arial"/>
                <w:sz w:val="20"/>
                <w:szCs w:val="20"/>
              </w:rPr>
            </w:pPr>
            <w:r w:rsidRPr="00DD2A42">
              <w:rPr>
                <w:rFonts w:cs="Arial"/>
                <w:sz w:val="20"/>
                <w:szCs w:val="20"/>
              </w:rPr>
              <w:t>Store in original containers, tightly closed, in a safe place out of the reach of children.</w:t>
            </w:r>
            <w:r w:rsidR="002E77C5">
              <w:rPr>
                <w:rFonts w:cs="Arial"/>
                <w:sz w:val="20"/>
                <w:szCs w:val="20"/>
              </w:rPr>
              <w:t xml:space="preserve"> </w:t>
            </w:r>
            <w:r w:rsidRPr="00DD2A42">
              <w:rPr>
                <w:rFonts w:cs="Arial"/>
                <w:sz w:val="20"/>
                <w:szCs w:val="20"/>
              </w:rPr>
              <w:t xml:space="preserve">Dispose of empty containers </w:t>
            </w:r>
            <w:r>
              <w:rPr>
                <w:rFonts w:cs="Arial"/>
                <w:sz w:val="20"/>
                <w:szCs w:val="20"/>
              </w:rPr>
              <w:t xml:space="preserve">and unused product </w:t>
            </w:r>
            <w:r w:rsidRPr="00DD2A42">
              <w:rPr>
                <w:rFonts w:cs="Arial"/>
                <w:sz w:val="20"/>
                <w:szCs w:val="20"/>
              </w:rPr>
              <w:t>by wrapping in paper placing in plastic bag and putting in garbage.</w:t>
            </w:r>
          </w:p>
        </w:tc>
      </w:tr>
      <w:tr w:rsidR="008E67EA" w:rsidRPr="00DD2A42" w14:paraId="619F17E2" w14:textId="77777777" w:rsidTr="00B44A74">
        <w:trPr>
          <w:jc w:val="center"/>
        </w:trPr>
        <w:tc>
          <w:tcPr>
            <w:tcW w:w="2415" w:type="dxa"/>
            <w:tcBorders>
              <w:top w:val="single" w:sz="4" w:space="0" w:color="auto"/>
              <w:left w:val="nil"/>
              <w:bottom w:val="single" w:sz="4" w:space="0" w:color="auto"/>
              <w:right w:val="nil"/>
            </w:tcBorders>
          </w:tcPr>
          <w:p w14:paraId="1F6978DE" w14:textId="77777777" w:rsidR="008E67EA" w:rsidRPr="00DD2A4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C4EAF12" w14:textId="77777777" w:rsidR="008E67EA" w:rsidRPr="00DD2A42" w:rsidRDefault="008E67EA" w:rsidP="00B44A74">
            <w:pPr>
              <w:spacing w:line="280" w:lineRule="exact"/>
              <w:rPr>
                <w:rFonts w:cs="Arial"/>
                <w:sz w:val="20"/>
                <w:szCs w:val="20"/>
              </w:rPr>
            </w:pPr>
          </w:p>
        </w:tc>
      </w:tr>
      <w:tr w:rsidR="008E67EA" w:rsidRPr="00DD2A42" w14:paraId="45B31B29"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F642AD8" w14:textId="77777777" w:rsidR="008E67EA" w:rsidRPr="00DD2A42" w:rsidRDefault="008E67EA" w:rsidP="00B44A74">
            <w:pPr>
              <w:spacing w:line="280" w:lineRule="exact"/>
              <w:rPr>
                <w:rFonts w:cs="Arial"/>
                <w:sz w:val="20"/>
                <w:szCs w:val="20"/>
              </w:rPr>
            </w:pPr>
            <w:r w:rsidRPr="00DD2A42">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30CC6FF8" w14:textId="77777777" w:rsidR="008E67EA" w:rsidRPr="00DD2A42" w:rsidRDefault="008E67EA" w:rsidP="00B44A74">
            <w:pPr>
              <w:spacing w:line="280" w:lineRule="exact"/>
              <w:rPr>
                <w:rFonts w:cs="Arial"/>
                <w:sz w:val="20"/>
                <w:szCs w:val="20"/>
                <w:bdr w:val="none" w:sz="0" w:space="0" w:color="auto" w:frame="1"/>
                <w:lang w:val="en-GB" w:eastAsia="en-AU"/>
              </w:rPr>
            </w:pPr>
            <w:r w:rsidRPr="00DD2A42">
              <w:rPr>
                <w:rFonts w:cs="Arial"/>
                <w:sz w:val="20"/>
                <w:szCs w:val="20"/>
                <w:bdr w:val="none" w:sz="0" w:space="0" w:color="auto" w:frame="1"/>
                <w:lang w:val="en-GB" w:eastAsia="en-AU"/>
              </w:rPr>
              <w:t>SAFETY DIRECTIONS</w:t>
            </w:r>
          </w:p>
          <w:p w14:paraId="2DF04C38" w14:textId="77777777" w:rsidR="008E67EA" w:rsidRDefault="008E67EA" w:rsidP="00B44A74">
            <w:pPr>
              <w:spacing w:line="280" w:lineRule="exact"/>
              <w:rPr>
                <w:rFonts w:cs="Arial"/>
                <w:sz w:val="20"/>
                <w:szCs w:val="20"/>
              </w:rPr>
            </w:pPr>
            <w:r w:rsidRPr="00DD2A42">
              <w:rPr>
                <w:rFonts w:cs="Arial"/>
                <w:sz w:val="20"/>
                <w:szCs w:val="20"/>
              </w:rPr>
              <w:t>Repeated minor exposure may have a cumulative poisoning effect. Avoid contact with eyes and skin. Do not inhale dust. Do not touch bait, use scoop or measure. When using the product wear disposable gloves. If on skin and after each baiting, wash thoroughly with soap and water.</w:t>
            </w:r>
          </w:p>
          <w:p w14:paraId="76A8D2FD" w14:textId="6904B086" w:rsidR="008E67EA" w:rsidRPr="00DD2A42" w:rsidRDefault="008E67EA" w:rsidP="00B44A74">
            <w:pPr>
              <w:spacing w:line="280" w:lineRule="exact"/>
              <w:rPr>
                <w:rFonts w:cs="Arial"/>
                <w:sz w:val="20"/>
                <w:szCs w:val="20"/>
              </w:rPr>
            </w:pPr>
            <w:r w:rsidRPr="00DD2A42">
              <w:rPr>
                <w:rFonts w:cs="Arial"/>
                <w:sz w:val="20"/>
                <w:szCs w:val="20"/>
              </w:rPr>
              <w:t>During cleanup and disposal operations of bait and bait stations, wear a single layer of clothing and disposable gloves. Wear disposable gloves when handling rodent carcasses. Wash clothes after performing re-handling activities.</w:t>
            </w:r>
          </w:p>
        </w:tc>
      </w:tr>
      <w:tr w:rsidR="008E67EA" w:rsidRPr="00DD2A42" w14:paraId="1593686F" w14:textId="77777777" w:rsidTr="00B44A74">
        <w:trPr>
          <w:jc w:val="center"/>
        </w:trPr>
        <w:tc>
          <w:tcPr>
            <w:tcW w:w="2415" w:type="dxa"/>
            <w:tcBorders>
              <w:top w:val="single" w:sz="4" w:space="0" w:color="auto"/>
              <w:left w:val="nil"/>
              <w:bottom w:val="single" w:sz="4" w:space="0" w:color="auto"/>
              <w:right w:val="nil"/>
            </w:tcBorders>
          </w:tcPr>
          <w:p w14:paraId="0325D96D" w14:textId="77777777" w:rsidR="008E67EA" w:rsidRPr="00DD2A4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E12E2CB" w14:textId="77777777" w:rsidR="008E67EA" w:rsidRPr="00DD2A42" w:rsidRDefault="008E67EA" w:rsidP="00B44A74">
            <w:pPr>
              <w:spacing w:line="280" w:lineRule="exact"/>
              <w:rPr>
                <w:rFonts w:cs="Arial"/>
                <w:sz w:val="20"/>
                <w:szCs w:val="20"/>
              </w:rPr>
            </w:pPr>
          </w:p>
        </w:tc>
      </w:tr>
      <w:tr w:rsidR="008E67EA" w:rsidRPr="00DD2A42" w14:paraId="598225F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31A16E8" w14:textId="77777777" w:rsidR="008E67EA" w:rsidRPr="00DD2A42" w:rsidRDefault="008E67EA" w:rsidP="00B44A74">
            <w:pPr>
              <w:spacing w:line="280" w:lineRule="exact"/>
              <w:rPr>
                <w:rFonts w:cs="Arial"/>
                <w:sz w:val="20"/>
                <w:szCs w:val="20"/>
              </w:rPr>
            </w:pPr>
            <w:r w:rsidRPr="00DD2A42">
              <w:rPr>
                <w:rFonts w:cs="Arial"/>
                <w:sz w:val="20"/>
                <w:szCs w:val="20"/>
              </w:rPr>
              <w:t>First Aid Instructions:</w:t>
            </w:r>
          </w:p>
        </w:tc>
        <w:tc>
          <w:tcPr>
            <w:tcW w:w="7755" w:type="dxa"/>
            <w:tcBorders>
              <w:top w:val="single" w:sz="4" w:space="0" w:color="auto"/>
              <w:left w:val="single" w:sz="4" w:space="0" w:color="auto"/>
              <w:bottom w:val="single" w:sz="4" w:space="0" w:color="auto"/>
              <w:right w:val="single" w:sz="4" w:space="0" w:color="auto"/>
            </w:tcBorders>
          </w:tcPr>
          <w:p w14:paraId="2AED9F0B" w14:textId="77777777" w:rsidR="008E67EA" w:rsidRPr="00DD2A42" w:rsidRDefault="008E67EA" w:rsidP="00B44A74">
            <w:pPr>
              <w:spacing w:line="280" w:lineRule="exact"/>
              <w:rPr>
                <w:rFonts w:cs="Arial"/>
                <w:sz w:val="20"/>
                <w:szCs w:val="20"/>
                <w:bdr w:val="none" w:sz="0" w:space="0" w:color="auto" w:frame="1"/>
                <w:lang w:val="en-GB" w:eastAsia="en-AU"/>
              </w:rPr>
            </w:pPr>
            <w:r w:rsidRPr="00DD2A42">
              <w:rPr>
                <w:rFonts w:cs="Arial"/>
                <w:sz w:val="20"/>
                <w:szCs w:val="20"/>
                <w:bdr w:val="none" w:sz="0" w:space="0" w:color="auto" w:frame="1"/>
                <w:lang w:val="en-GB" w:eastAsia="en-AU"/>
              </w:rPr>
              <w:t>FIRST AID</w:t>
            </w:r>
          </w:p>
          <w:p w14:paraId="78FB3DE3" w14:textId="77777777" w:rsidR="008E67EA" w:rsidRPr="00DD2A42" w:rsidRDefault="008E67EA" w:rsidP="00B44A74">
            <w:pPr>
              <w:spacing w:line="280" w:lineRule="exact"/>
              <w:rPr>
                <w:rFonts w:cs="Arial"/>
                <w:sz w:val="20"/>
                <w:szCs w:val="20"/>
              </w:rPr>
            </w:pPr>
            <w:r w:rsidRPr="00DD2A42">
              <w:rPr>
                <w:rFonts w:cs="Arial"/>
                <w:sz w:val="20"/>
                <w:szCs w:val="20"/>
              </w:rPr>
              <w:t>If poisoning occurs, contact a doctor or Poisons Information Centre. Phone Australia 13 11 26, New Zealand 0800 764 766. Vitamin K1 (Phytomenadione) is antidotal.</w:t>
            </w:r>
          </w:p>
        </w:tc>
      </w:tr>
      <w:tr w:rsidR="008E67EA" w:rsidRPr="00DD2A42" w14:paraId="1DA27335" w14:textId="77777777" w:rsidTr="00B44A74">
        <w:trPr>
          <w:jc w:val="center"/>
        </w:trPr>
        <w:tc>
          <w:tcPr>
            <w:tcW w:w="2415" w:type="dxa"/>
            <w:tcBorders>
              <w:top w:val="single" w:sz="4" w:space="0" w:color="auto"/>
              <w:left w:val="nil"/>
              <w:bottom w:val="single" w:sz="4" w:space="0" w:color="auto"/>
              <w:right w:val="nil"/>
            </w:tcBorders>
          </w:tcPr>
          <w:p w14:paraId="70F6B81C" w14:textId="77777777" w:rsidR="008E67EA" w:rsidRPr="00DD2A4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4020C66" w14:textId="77777777" w:rsidR="008E67EA" w:rsidRPr="00DD2A42" w:rsidRDefault="008E67EA" w:rsidP="00B44A74">
            <w:pPr>
              <w:spacing w:line="280" w:lineRule="exact"/>
              <w:rPr>
                <w:rFonts w:cs="Arial"/>
                <w:sz w:val="20"/>
                <w:szCs w:val="20"/>
              </w:rPr>
            </w:pPr>
          </w:p>
        </w:tc>
      </w:tr>
      <w:tr w:rsidR="008E67EA" w:rsidRPr="00DD2A42" w14:paraId="2DBABE8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C2A7D09" w14:textId="77777777" w:rsidR="008E67EA" w:rsidRPr="00DD2A42" w:rsidRDefault="008E67EA" w:rsidP="00B44A74">
            <w:pPr>
              <w:spacing w:line="280" w:lineRule="exact"/>
              <w:rPr>
                <w:rFonts w:cs="Arial"/>
                <w:sz w:val="20"/>
                <w:szCs w:val="20"/>
              </w:rPr>
            </w:pPr>
            <w:r w:rsidRPr="00DD2A42">
              <w:rPr>
                <w:rFonts w:cs="Arial"/>
                <w:sz w:val="20"/>
                <w:szCs w:val="20"/>
              </w:rPr>
              <w:t>First Aid Warnings:</w:t>
            </w:r>
          </w:p>
        </w:tc>
        <w:tc>
          <w:tcPr>
            <w:tcW w:w="7755" w:type="dxa"/>
            <w:tcBorders>
              <w:top w:val="single" w:sz="4" w:space="0" w:color="auto"/>
              <w:left w:val="single" w:sz="4" w:space="0" w:color="auto"/>
              <w:bottom w:val="single" w:sz="4" w:space="0" w:color="auto"/>
              <w:right w:val="single" w:sz="4" w:space="0" w:color="auto"/>
            </w:tcBorders>
          </w:tcPr>
          <w:p w14:paraId="050BB8BC" w14:textId="77777777" w:rsidR="008E67EA" w:rsidRPr="00DD2A42" w:rsidRDefault="008E67EA" w:rsidP="00B44A74">
            <w:pPr>
              <w:spacing w:line="280" w:lineRule="exact"/>
              <w:rPr>
                <w:rFonts w:cs="Arial"/>
                <w:sz w:val="20"/>
                <w:szCs w:val="20"/>
              </w:rPr>
            </w:pPr>
          </w:p>
        </w:tc>
      </w:tr>
    </w:tbl>
    <w:p w14:paraId="56973F7E" w14:textId="77777777" w:rsidR="008E67EA" w:rsidRDefault="008E67EA" w:rsidP="008E67EA">
      <w:pPr>
        <w:spacing w:line="278" w:lineRule="auto"/>
        <w:rPr>
          <w:rFonts w:cs="Arial"/>
          <w:b/>
          <w:bCs/>
          <w:sz w:val="20"/>
          <w:szCs w:val="20"/>
        </w:rPr>
      </w:pPr>
      <w:r>
        <w:rPr>
          <w:rFonts w:cs="Arial"/>
          <w:b/>
          <w:bCs/>
          <w:sz w:val="20"/>
          <w:szCs w:val="20"/>
        </w:rPr>
        <w:br w:type="page"/>
      </w:r>
    </w:p>
    <w:p w14:paraId="036BB4CC" w14:textId="77777777" w:rsidR="008E67EA" w:rsidRDefault="008E67EA" w:rsidP="008E67EA">
      <w:pPr>
        <w:rPr>
          <w:rFonts w:cs="Arial"/>
          <w:b/>
          <w:bCs/>
          <w:sz w:val="20"/>
          <w:szCs w:val="20"/>
        </w:rPr>
      </w:pPr>
      <w:bookmarkStart w:id="340" w:name="_Hlk215599539"/>
      <w:r>
        <w:rPr>
          <w:rFonts w:cs="Arial"/>
          <w:b/>
          <w:bCs/>
          <w:sz w:val="20"/>
          <w:szCs w:val="20"/>
        </w:rPr>
        <w:lastRenderedPageBreak/>
        <w:t>HOW TO USE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034"/>
        <w:gridCol w:w="1417"/>
        <w:gridCol w:w="4469"/>
      </w:tblGrid>
      <w:tr w:rsidR="008E67EA" w:rsidRPr="00FF36BF" w14:paraId="726C74A8" w14:textId="77777777" w:rsidTr="00834983">
        <w:trPr>
          <w:trHeight w:val="340"/>
        </w:trPr>
        <w:tc>
          <w:tcPr>
            <w:tcW w:w="1080" w:type="dxa"/>
          </w:tcPr>
          <w:p w14:paraId="5603986D" w14:textId="77777777" w:rsidR="008E67EA" w:rsidRPr="00246206" w:rsidRDefault="008E67EA" w:rsidP="00B44A74">
            <w:pPr>
              <w:pStyle w:val="TableParagraph"/>
              <w:widowControl/>
              <w:adjustRightInd w:val="0"/>
              <w:spacing w:before="61"/>
              <w:ind w:left="0"/>
              <w:rPr>
                <w:rFonts w:eastAsiaTheme="minorHAnsi"/>
                <w:b/>
                <w:bCs/>
                <w:sz w:val="20"/>
                <w:szCs w:val="20"/>
                <w:lang w:val="en-AU"/>
              </w:rPr>
            </w:pPr>
            <w:r w:rsidRPr="00246206">
              <w:rPr>
                <w:rFonts w:eastAsiaTheme="minorHAnsi"/>
                <w:b/>
                <w:bCs/>
                <w:sz w:val="20"/>
                <w:szCs w:val="20"/>
                <w:lang w:val="en-AU"/>
              </w:rPr>
              <w:t>PEST</w:t>
            </w:r>
          </w:p>
        </w:tc>
        <w:tc>
          <w:tcPr>
            <w:tcW w:w="2034" w:type="dxa"/>
          </w:tcPr>
          <w:p w14:paraId="62FB6EC7" w14:textId="77777777" w:rsidR="008E67EA" w:rsidRPr="00246206" w:rsidRDefault="008E67EA" w:rsidP="00B44A74">
            <w:pPr>
              <w:pStyle w:val="TableParagraph"/>
              <w:widowControl/>
              <w:adjustRightInd w:val="0"/>
              <w:spacing w:before="61"/>
              <w:ind w:left="0"/>
              <w:rPr>
                <w:rFonts w:eastAsiaTheme="minorHAnsi"/>
                <w:b/>
                <w:bCs/>
                <w:sz w:val="20"/>
                <w:szCs w:val="20"/>
                <w:lang w:val="en-AU"/>
              </w:rPr>
            </w:pPr>
            <w:r w:rsidRPr="00246206">
              <w:rPr>
                <w:rFonts w:eastAsiaTheme="minorHAnsi"/>
                <w:b/>
                <w:bCs/>
                <w:sz w:val="20"/>
                <w:szCs w:val="20"/>
                <w:lang w:val="en-AU"/>
              </w:rPr>
              <w:t>SITUATION</w:t>
            </w:r>
          </w:p>
        </w:tc>
        <w:tc>
          <w:tcPr>
            <w:tcW w:w="1417" w:type="dxa"/>
          </w:tcPr>
          <w:p w14:paraId="62D5B8AF" w14:textId="77777777" w:rsidR="008E67EA" w:rsidRPr="00246206" w:rsidRDefault="008E67EA" w:rsidP="00B44A74">
            <w:pPr>
              <w:pStyle w:val="TableParagraph"/>
              <w:widowControl/>
              <w:adjustRightInd w:val="0"/>
              <w:spacing w:before="61"/>
              <w:ind w:left="0"/>
              <w:rPr>
                <w:rFonts w:eastAsiaTheme="minorHAnsi"/>
                <w:b/>
                <w:bCs/>
                <w:sz w:val="20"/>
                <w:szCs w:val="20"/>
                <w:lang w:val="en-AU"/>
              </w:rPr>
            </w:pPr>
            <w:r w:rsidRPr="00246206">
              <w:rPr>
                <w:rFonts w:eastAsiaTheme="minorHAnsi"/>
                <w:b/>
                <w:bCs/>
                <w:sz w:val="20"/>
                <w:szCs w:val="20"/>
                <w:lang w:val="en-AU"/>
              </w:rPr>
              <w:t>RATE</w:t>
            </w:r>
          </w:p>
        </w:tc>
        <w:tc>
          <w:tcPr>
            <w:tcW w:w="4469" w:type="dxa"/>
          </w:tcPr>
          <w:p w14:paraId="3C1AFD19" w14:textId="77777777" w:rsidR="008E67EA" w:rsidRPr="00246206" w:rsidRDefault="008E67EA" w:rsidP="00B44A74">
            <w:pPr>
              <w:pStyle w:val="TableParagraph"/>
              <w:widowControl/>
              <w:adjustRightInd w:val="0"/>
              <w:spacing w:before="61"/>
              <w:ind w:left="0"/>
              <w:rPr>
                <w:rFonts w:eastAsiaTheme="minorHAnsi"/>
                <w:b/>
                <w:bCs/>
                <w:sz w:val="20"/>
                <w:szCs w:val="20"/>
                <w:lang w:val="en-AU"/>
              </w:rPr>
            </w:pPr>
            <w:r w:rsidRPr="00246206">
              <w:rPr>
                <w:rFonts w:eastAsiaTheme="minorHAnsi"/>
                <w:b/>
                <w:bCs/>
                <w:sz w:val="20"/>
                <w:szCs w:val="20"/>
                <w:lang w:val="en-AU"/>
              </w:rPr>
              <w:t>HOW TO APPLY</w:t>
            </w:r>
          </w:p>
        </w:tc>
      </w:tr>
      <w:tr w:rsidR="008E67EA" w:rsidRPr="00FF36BF" w14:paraId="2A399A41" w14:textId="77777777" w:rsidTr="00834983">
        <w:trPr>
          <w:trHeight w:val="421"/>
        </w:trPr>
        <w:tc>
          <w:tcPr>
            <w:tcW w:w="1080" w:type="dxa"/>
          </w:tcPr>
          <w:p w14:paraId="45C4434C" w14:textId="77777777" w:rsidR="008E67EA" w:rsidRPr="005D3D45" w:rsidRDefault="008E67EA" w:rsidP="00B44A74">
            <w:pPr>
              <w:spacing w:line="280" w:lineRule="exact"/>
              <w:rPr>
                <w:rFonts w:cs="Arial"/>
                <w:sz w:val="20"/>
                <w:szCs w:val="20"/>
              </w:rPr>
            </w:pPr>
            <w:r>
              <w:rPr>
                <w:rFonts w:cs="Arial"/>
                <w:sz w:val="20"/>
                <w:szCs w:val="20"/>
              </w:rPr>
              <w:t>Rats</w:t>
            </w:r>
          </w:p>
        </w:tc>
        <w:tc>
          <w:tcPr>
            <w:tcW w:w="2034" w:type="dxa"/>
          </w:tcPr>
          <w:p w14:paraId="1556949A" w14:textId="77777777" w:rsidR="008E67EA" w:rsidRPr="005D3D45" w:rsidRDefault="008E67EA" w:rsidP="00B44A74">
            <w:pPr>
              <w:spacing w:line="280" w:lineRule="exact"/>
              <w:rPr>
                <w:rFonts w:cs="Arial"/>
                <w:sz w:val="20"/>
                <w:szCs w:val="20"/>
              </w:rPr>
            </w:pPr>
            <w:r w:rsidRPr="005D3D45">
              <w:rPr>
                <w:rFonts w:cs="Arial"/>
                <w:sz w:val="20"/>
                <w:szCs w:val="20"/>
              </w:rPr>
              <w:t>In</w:t>
            </w:r>
            <w:r>
              <w:rPr>
                <w:rFonts w:cs="Arial"/>
                <w:sz w:val="20"/>
                <w:szCs w:val="20"/>
              </w:rPr>
              <w:t xml:space="preserve"> and around</w:t>
            </w:r>
            <w:r w:rsidRPr="005D3D45">
              <w:rPr>
                <w:rFonts w:cs="Arial"/>
                <w:sz w:val="20"/>
                <w:szCs w:val="20"/>
              </w:rPr>
              <w:t xml:space="preserve"> </w:t>
            </w:r>
            <w:r>
              <w:rPr>
                <w:rFonts w:cs="Arial"/>
                <w:sz w:val="20"/>
                <w:szCs w:val="20"/>
              </w:rPr>
              <w:t xml:space="preserve">(within 2 meters) </w:t>
            </w:r>
            <w:r w:rsidRPr="005D3D45">
              <w:rPr>
                <w:rFonts w:cs="Arial"/>
                <w:sz w:val="20"/>
                <w:szCs w:val="20"/>
              </w:rPr>
              <w:t>domestic buildings</w:t>
            </w:r>
          </w:p>
        </w:tc>
        <w:tc>
          <w:tcPr>
            <w:tcW w:w="1417" w:type="dxa"/>
            <w:vMerge w:val="restart"/>
          </w:tcPr>
          <w:p w14:paraId="358F9131" w14:textId="77777777" w:rsidR="008E67EA" w:rsidRPr="005D3D45" w:rsidRDefault="008E67EA" w:rsidP="00B44A74">
            <w:pPr>
              <w:spacing w:line="280" w:lineRule="exact"/>
              <w:rPr>
                <w:rFonts w:cs="Arial"/>
                <w:sz w:val="20"/>
                <w:szCs w:val="20"/>
              </w:rPr>
            </w:pPr>
            <w:r>
              <w:rPr>
                <w:rFonts w:cs="Arial"/>
                <w:sz w:val="20"/>
                <w:szCs w:val="20"/>
              </w:rPr>
              <w:t>20 g bait/bait station</w:t>
            </w:r>
          </w:p>
        </w:tc>
        <w:tc>
          <w:tcPr>
            <w:tcW w:w="4469" w:type="dxa"/>
          </w:tcPr>
          <w:p w14:paraId="5FC1D5F2" w14:textId="77777777" w:rsidR="008E67EA" w:rsidRPr="005D3D45" w:rsidRDefault="008E67EA" w:rsidP="00B44A74">
            <w:pPr>
              <w:spacing w:line="280" w:lineRule="exact"/>
              <w:rPr>
                <w:rFonts w:cs="Arial"/>
                <w:sz w:val="20"/>
                <w:szCs w:val="20"/>
              </w:rPr>
            </w:pPr>
            <w:r>
              <w:rPr>
                <w:rFonts w:cs="Arial"/>
                <w:sz w:val="20"/>
                <w:szCs w:val="20"/>
              </w:rPr>
              <w:t>Place bait stations in infested area. Rats r</w:t>
            </w:r>
            <w:r w:rsidRPr="00131F68">
              <w:rPr>
                <w:rFonts w:cs="Arial"/>
                <w:sz w:val="20"/>
                <w:szCs w:val="20"/>
              </w:rPr>
              <w:t>equire large quantities of bait in one or two</w:t>
            </w:r>
            <w:r>
              <w:rPr>
                <w:rFonts w:cs="Arial"/>
                <w:sz w:val="20"/>
                <w:szCs w:val="20"/>
              </w:rPr>
              <w:t xml:space="preserve"> </w:t>
            </w:r>
            <w:r w:rsidRPr="00131F68">
              <w:rPr>
                <w:rFonts w:cs="Arial"/>
                <w:sz w:val="20"/>
                <w:szCs w:val="20"/>
              </w:rPr>
              <w:t>locations (2-4 bait stations per</w:t>
            </w:r>
            <w:r>
              <w:rPr>
                <w:rFonts w:cs="Arial"/>
                <w:sz w:val="20"/>
                <w:szCs w:val="20"/>
              </w:rPr>
              <w:t xml:space="preserve"> </w:t>
            </w:r>
            <w:r w:rsidRPr="00131F68">
              <w:rPr>
                <w:rFonts w:cs="Arial"/>
                <w:sz w:val="20"/>
                <w:szCs w:val="20"/>
              </w:rPr>
              <w:t>placement). D</w:t>
            </w:r>
            <w:r>
              <w:rPr>
                <w:rFonts w:cs="Arial"/>
                <w:sz w:val="20"/>
                <w:szCs w:val="20"/>
              </w:rPr>
              <w:t>O NOT</w:t>
            </w:r>
            <w:r w:rsidRPr="00131F68">
              <w:rPr>
                <w:rFonts w:cs="Arial"/>
                <w:sz w:val="20"/>
                <w:szCs w:val="20"/>
              </w:rPr>
              <w:t xml:space="preserve"> exceed 9</w:t>
            </w:r>
            <w:r>
              <w:rPr>
                <w:rFonts w:cs="Arial"/>
                <w:sz w:val="20"/>
                <w:szCs w:val="20"/>
              </w:rPr>
              <w:t xml:space="preserve"> </w:t>
            </w:r>
            <w:r w:rsidRPr="00131F68">
              <w:rPr>
                <w:rFonts w:cs="Arial"/>
                <w:sz w:val="20"/>
                <w:szCs w:val="20"/>
              </w:rPr>
              <w:t>m between placements.</w:t>
            </w:r>
          </w:p>
        </w:tc>
      </w:tr>
      <w:tr w:rsidR="008E67EA" w:rsidRPr="00FF36BF" w14:paraId="2073F459" w14:textId="77777777" w:rsidTr="00834983">
        <w:trPr>
          <w:trHeight w:val="421"/>
        </w:trPr>
        <w:tc>
          <w:tcPr>
            <w:tcW w:w="1080" w:type="dxa"/>
          </w:tcPr>
          <w:p w14:paraId="7EDF7452" w14:textId="77777777" w:rsidR="008E67EA" w:rsidRPr="005D3D45" w:rsidRDefault="008E67EA" w:rsidP="00B44A74">
            <w:pPr>
              <w:spacing w:line="280" w:lineRule="exact"/>
              <w:rPr>
                <w:rFonts w:cs="Arial"/>
                <w:sz w:val="20"/>
                <w:szCs w:val="20"/>
              </w:rPr>
            </w:pPr>
            <w:r>
              <w:rPr>
                <w:rFonts w:cs="Arial"/>
                <w:sz w:val="20"/>
                <w:szCs w:val="20"/>
              </w:rPr>
              <w:t>Mice</w:t>
            </w:r>
          </w:p>
        </w:tc>
        <w:tc>
          <w:tcPr>
            <w:tcW w:w="2034" w:type="dxa"/>
          </w:tcPr>
          <w:p w14:paraId="5D7E5D48" w14:textId="77777777" w:rsidR="008E67EA" w:rsidRPr="005D3D45" w:rsidRDefault="008E67EA" w:rsidP="00B44A74">
            <w:pPr>
              <w:spacing w:line="280" w:lineRule="exact"/>
              <w:rPr>
                <w:rFonts w:cs="Arial"/>
                <w:sz w:val="20"/>
                <w:szCs w:val="20"/>
              </w:rPr>
            </w:pPr>
            <w:r w:rsidRPr="005D3D45">
              <w:rPr>
                <w:rFonts w:cs="Arial"/>
                <w:sz w:val="20"/>
                <w:szCs w:val="20"/>
              </w:rPr>
              <w:t xml:space="preserve">In domestic buildings </w:t>
            </w:r>
          </w:p>
        </w:tc>
        <w:tc>
          <w:tcPr>
            <w:tcW w:w="1417" w:type="dxa"/>
            <w:vMerge/>
          </w:tcPr>
          <w:p w14:paraId="53CD77C9" w14:textId="77777777" w:rsidR="008E67EA" w:rsidRPr="005D3D45" w:rsidRDefault="008E67EA" w:rsidP="00B44A74">
            <w:pPr>
              <w:spacing w:line="280" w:lineRule="exact"/>
              <w:rPr>
                <w:rFonts w:cs="Arial"/>
                <w:sz w:val="20"/>
                <w:szCs w:val="20"/>
              </w:rPr>
            </w:pPr>
          </w:p>
        </w:tc>
        <w:tc>
          <w:tcPr>
            <w:tcW w:w="4469" w:type="dxa"/>
          </w:tcPr>
          <w:p w14:paraId="0C7931B0" w14:textId="77777777" w:rsidR="008E67EA" w:rsidRPr="005D3D45" w:rsidRDefault="008E67EA" w:rsidP="00B44A74">
            <w:pPr>
              <w:spacing w:line="280" w:lineRule="exact"/>
              <w:rPr>
                <w:rFonts w:cs="Arial"/>
                <w:sz w:val="20"/>
                <w:szCs w:val="20"/>
              </w:rPr>
            </w:pPr>
            <w:r>
              <w:rPr>
                <w:rFonts w:cs="Arial"/>
                <w:sz w:val="20"/>
                <w:szCs w:val="20"/>
              </w:rPr>
              <w:t>Place bait stations in infested area.</w:t>
            </w:r>
            <w:r>
              <w:t xml:space="preserve"> Mice r</w:t>
            </w:r>
            <w:r w:rsidRPr="00131F68">
              <w:rPr>
                <w:rFonts w:cs="Arial"/>
                <w:sz w:val="20"/>
                <w:szCs w:val="20"/>
              </w:rPr>
              <w:t>equire small quantities in several locations (20</w:t>
            </w:r>
            <w:r>
              <w:rPr>
                <w:rFonts w:cs="Arial"/>
                <w:sz w:val="20"/>
                <w:szCs w:val="20"/>
              </w:rPr>
              <w:t> </w:t>
            </w:r>
            <w:r w:rsidRPr="00131F68">
              <w:rPr>
                <w:rFonts w:cs="Arial"/>
                <w:sz w:val="20"/>
                <w:szCs w:val="20"/>
              </w:rPr>
              <w:t>g bait per placement). Larger</w:t>
            </w:r>
            <w:r>
              <w:rPr>
                <w:rFonts w:cs="Arial"/>
                <w:sz w:val="20"/>
                <w:szCs w:val="20"/>
              </w:rPr>
              <w:t xml:space="preserve"> </w:t>
            </w:r>
            <w:r w:rsidRPr="00131F68">
              <w:rPr>
                <w:rFonts w:cs="Arial"/>
                <w:sz w:val="20"/>
                <w:szCs w:val="20"/>
              </w:rPr>
              <w:t>placements (2-3 bait stations) may be needed at points of very high mouse activity. D</w:t>
            </w:r>
            <w:r>
              <w:rPr>
                <w:rFonts w:cs="Arial"/>
                <w:sz w:val="20"/>
                <w:szCs w:val="20"/>
              </w:rPr>
              <w:t xml:space="preserve">O NOT </w:t>
            </w:r>
            <w:r w:rsidRPr="00131F68">
              <w:rPr>
                <w:rFonts w:cs="Arial"/>
                <w:sz w:val="20"/>
                <w:szCs w:val="20"/>
              </w:rPr>
              <w:t>exceed 3</w:t>
            </w:r>
            <w:r>
              <w:rPr>
                <w:rFonts w:cs="Arial"/>
                <w:sz w:val="20"/>
                <w:szCs w:val="20"/>
              </w:rPr>
              <w:t xml:space="preserve"> </w:t>
            </w:r>
            <w:r w:rsidRPr="00131F68">
              <w:rPr>
                <w:rFonts w:cs="Arial"/>
                <w:sz w:val="20"/>
                <w:szCs w:val="20"/>
              </w:rPr>
              <w:t>m between bait stations.</w:t>
            </w:r>
          </w:p>
        </w:tc>
      </w:tr>
      <w:tr w:rsidR="008E67EA" w:rsidRPr="00FF36BF" w14:paraId="79949A0D" w14:textId="77777777" w:rsidTr="00834983">
        <w:trPr>
          <w:trHeight w:val="421"/>
        </w:trPr>
        <w:tc>
          <w:tcPr>
            <w:tcW w:w="9000" w:type="dxa"/>
            <w:gridSpan w:val="4"/>
          </w:tcPr>
          <w:p w14:paraId="1B71B1C8" w14:textId="77777777" w:rsidR="008E67EA" w:rsidRDefault="008E67EA" w:rsidP="00B44A74">
            <w:pPr>
              <w:spacing w:after="120" w:line="280" w:lineRule="exact"/>
              <w:rPr>
                <w:rFonts w:eastAsia="Calibri" w:cs="Arial"/>
                <w:b/>
                <w:bCs/>
                <w:sz w:val="20"/>
                <w:szCs w:val="20"/>
                <w:bdr w:val="none" w:sz="0" w:space="0" w:color="auto" w:frame="1"/>
                <w:lang w:val="en-GB"/>
              </w:rPr>
            </w:pPr>
            <w:r w:rsidRPr="001E6DA9">
              <w:rPr>
                <w:rFonts w:eastAsia="Calibri" w:cs="Arial"/>
                <w:b/>
                <w:bCs/>
                <w:sz w:val="20"/>
                <w:szCs w:val="20"/>
                <w:bdr w:val="none" w:sz="0" w:space="0" w:color="auto" w:frame="1"/>
                <w:lang w:val="en-GB"/>
              </w:rPr>
              <w:t xml:space="preserve">General Information and baiting strategy for and mice: </w:t>
            </w:r>
          </w:p>
          <w:p w14:paraId="73BE0904" w14:textId="45BDA51D" w:rsidR="008E67EA" w:rsidRDefault="008E67EA" w:rsidP="00B44A74">
            <w:pPr>
              <w:spacing w:after="120" w:line="280" w:lineRule="exact"/>
              <w:rPr>
                <w:rFonts w:eastAsia="Calibri" w:cs="Arial"/>
                <w:sz w:val="20"/>
                <w:szCs w:val="20"/>
                <w:bdr w:val="none" w:sz="0" w:space="0" w:color="auto" w:frame="1"/>
              </w:rPr>
            </w:pPr>
            <w:r w:rsidRPr="006E5319">
              <w:rPr>
                <w:rFonts w:eastAsia="Calibri" w:cs="Arial"/>
                <w:sz w:val="20"/>
                <w:szCs w:val="20"/>
                <w:bdr w:val="none" w:sz="0" w:space="0" w:color="auto" w:frame="1"/>
              </w:rPr>
              <w:t>Determine areas where rats and/or mice will most likely find and consume the bait. These are areas such as along walls or rafters, in corners and concealed places or any other locations where rats and mice or their signs have been observed. Eliminate, as far as practicable, all alternative food sources from these areas</w:t>
            </w:r>
            <w:r w:rsidR="00834983">
              <w:rPr>
                <w:rFonts w:eastAsia="Calibri" w:cs="Arial"/>
                <w:sz w:val="20"/>
                <w:szCs w:val="20"/>
                <w:bdr w:val="none" w:sz="0" w:space="0" w:color="auto" w:frame="1"/>
              </w:rPr>
              <w:t>.</w:t>
            </w:r>
          </w:p>
          <w:p w14:paraId="5C6CC39B" w14:textId="77777777" w:rsidR="008E67EA" w:rsidRPr="006E5319" w:rsidRDefault="008E67EA" w:rsidP="00B44A74">
            <w:pPr>
              <w:spacing w:after="120" w:line="280" w:lineRule="exact"/>
              <w:rPr>
                <w:rFonts w:eastAsia="Calibri" w:cs="Arial"/>
                <w:sz w:val="20"/>
                <w:szCs w:val="20"/>
                <w:bdr w:val="none" w:sz="0" w:space="0" w:color="auto" w:frame="1"/>
                <w:lang w:val="en-GB"/>
              </w:rPr>
            </w:pPr>
            <w:r w:rsidRPr="006E5319">
              <w:rPr>
                <w:rFonts w:eastAsia="Calibri" w:cs="Arial"/>
                <w:sz w:val="20"/>
                <w:szCs w:val="20"/>
                <w:bdr w:val="none" w:sz="0" w:space="0" w:color="auto" w:frame="1"/>
              </w:rPr>
              <w:t>Use in tamper resistant bait stations only. If bait can be dislodged from bait station, fix tamper-resistant bait stations to the ground or other structures.</w:t>
            </w:r>
            <w:r>
              <w:rPr>
                <w:rFonts w:eastAsia="Calibri" w:cs="Arial"/>
                <w:sz w:val="20"/>
                <w:szCs w:val="20"/>
                <w:bdr w:val="none" w:sz="0" w:space="0" w:color="auto" w:frame="1"/>
              </w:rPr>
              <w:t xml:space="preserve"> </w:t>
            </w:r>
            <w:r w:rsidRPr="006E5319">
              <w:rPr>
                <w:rFonts w:eastAsia="Calibri" w:cs="Arial"/>
                <w:sz w:val="20"/>
                <w:szCs w:val="20"/>
                <w:bdr w:val="none" w:sz="0" w:space="0" w:color="auto" w:frame="1"/>
              </w:rPr>
              <w:t>Record the number and locations of bait stations for the purpose of replenishment and later removal.</w:t>
            </w:r>
          </w:p>
          <w:p w14:paraId="5398F38A" w14:textId="77777777" w:rsidR="008E67EA" w:rsidRDefault="008E67EA" w:rsidP="00B44A74">
            <w:pPr>
              <w:spacing w:after="120" w:line="280" w:lineRule="exact"/>
              <w:rPr>
                <w:rFonts w:eastAsia="Calibri" w:cs="Arial"/>
                <w:sz w:val="20"/>
                <w:szCs w:val="20"/>
                <w:bdr w:val="none" w:sz="0" w:space="0" w:color="auto" w:frame="1"/>
                <w:lang w:val="en-GB"/>
              </w:rPr>
            </w:pPr>
            <w:r w:rsidRPr="006E5319">
              <w:rPr>
                <w:rFonts w:eastAsia="Calibri" w:cs="Arial"/>
                <w:sz w:val="20"/>
                <w:szCs w:val="20"/>
                <w:bdr w:val="none" w:sz="0" w:space="0" w:color="auto" w:frame="1"/>
                <w:lang w:val="en-GB"/>
              </w:rPr>
              <w:t>Inspect bait stations</w:t>
            </w:r>
            <w:r>
              <w:rPr>
                <w:rFonts w:eastAsia="Calibri" w:cs="Arial"/>
                <w:sz w:val="20"/>
                <w:szCs w:val="20"/>
                <w:bdr w:val="none" w:sz="0" w:space="0" w:color="auto" w:frame="1"/>
                <w:lang w:val="en-GB"/>
              </w:rPr>
              <w:t xml:space="preserve"> </w:t>
            </w:r>
            <w:r w:rsidRPr="006E5319">
              <w:rPr>
                <w:rFonts w:eastAsia="Calibri" w:cs="Arial"/>
                <w:sz w:val="20"/>
                <w:szCs w:val="20"/>
                <w:bdr w:val="none" w:sz="0" w:space="0" w:color="auto" w:frame="1"/>
                <w:lang w:val="en-GB"/>
              </w:rPr>
              <w:t>daily. Replace eaten baits and if they have been eaten quickly increase the number of bait</w:t>
            </w:r>
            <w:r>
              <w:rPr>
                <w:rFonts w:eastAsia="Calibri" w:cs="Arial"/>
                <w:sz w:val="20"/>
                <w:szCs w:val="20"/>
                <w:bdr w:val="none" w:sz="0" w:space="0" w:color="auto" w:frame="1"/>
                <w:lang w:val="en-GB"/>
              </w:rPr>
              <w:t xml:space="preserve"> </w:t>
            </w:r>
            <w:r w:rsidRPr="006E5319">
              <w:rPr>
                <w:rFonts w:eastAsia="Calibri" w:cs="Arial"/>
                <w:sz w:val="20"/>
                <w:szCs w:val="20"/>
                <w:bdr w:val="none" w:sz="0" w:space="0" w:color="auto" w:frame="1"/>
                <w:lang w:val="en-GB"/>
              </w:rPr>
              <w:t>stations. Continue observation and replenishment until no more bait has been taken.</w:t>
            </w:r>
            <w:r>
              <w:rPr>
                <w:rFonts w:eastAsia="Calibri" w:cs="Arial"/>
                <w:sz w:val="20"/>
                <w:szCs w:val="20"/>
                <w:bdr w:val="none" w:sz="0" w:space="0" w:color="auto" w:frame="1"/>
                <w:lang w:val="en-GB"/>
              </w:rPr>
              <w:t xml:space="preserve"> </w:t>
            </w:r>
            <w:r w:rsidRPr="006E5319">
              <w:rPr>
                <w:rFonts w:eastAsia="Calibri" w:cs="Arial"/>
                <w:sz w:val="20"/>
                <w:szCs w:val="20"/>
                <w:bdr w:val="none" w:sz="0" w:space="0" w:color="auto" w:frame="1"/>
                <w:lang w:val="en-GB"/>
              </w:rPr>
              <w:t>Most deaths occur 4 to 7 days after consumption of bait. Continue</w:t>
            </w:r>
            <w:r>
              <w:rPr>
                <w:rFonts w:eastAsia="Calibri" w:cs="Arial"/>
                <w:sz w:val="20"/>
                <w:szCs w:val="20"/>
                <w:bdr w:val="none" w:sz="0" w:space="0" w:color="auto" w:frame="1"/>
                <w:lang w:val="en-GB"/>
              </w:rPr>
              <w:t xml:space="preserve"> </w:t>
            </w:r>
            <w:r w:rsidRPr="006E5319">
              <w:rPr>
                <w:rFonts w:eastAsia="Calibri" w:cs="Arial"/>
                <w:sz w:val="20"/>
                <w:szCs w:val="20"/>
                <w:bdr w:val="none" w:sz="0" w:space="0" w:color="auto" w:frame="1"/>
                <w:lang w:val="en-GB"/>
              </w:rPr>
              <w:t xml:space="preserve">baiting for at least 2 weeks or until signs of rat or mouse activity cease. </w:t>
            </w:r>
          </w:p>
          <w:p w14:paraId="2DC3D3FE" w14:textId="77777777" w:rsidR="008E67EA" w:rsidRPr="005957E0" w:rsidRDefault="008E67EA" w:rsidP="00B44A74">
            <w:pPr>
              <w:spacing w:after="120" w:line="280" w:lineRule="exact"/>
              <w:rPr>
                <w:rFonts w:eastAsia="Calibri" w:cs="Arial"/>
                <w:sz w:val="20"/>
                <w:szCs w:val="20"/>
                <w:bdr w:val="none" w:sz="0" w:space="0" w:color="auto" w:frame="1"/>
                <w:lang w:val="en-GB"/>
              </w:rPr>
            </w:pPr>
            <w:bookmarkStart w:id="341" w:name="_Hlk212732353"/>
            <w:r w:rsidRPr="005957E0">
              <w:rPr>
                <w:rFonts w:eastAsia="Calibri" w:cs="Arial"/>
                <w:sz w:val="20"/>
                <w:szCs w:val="20"/>
                <w:bdr w:val="none" w:sz="0" w:space="0" w:color="auto" w:frame="1"/>
                <w:lang w:val="en-GB"/>
              </w:rPr>
              <w:t>DO NOT use the product for longer than 35 days. If rodent activity is still observed after 35 days, seek advice from the product supplier or call a pest control service.</w:t>
            </w:r>
          </w:p>
          <w:bookmarkEnd w:id="341"/>
          <w:p w14:paraId="4CA88F77" w14:textId="77777777" w:rsidR="008E67EA" w:rsidRPr="00246206" w:rsidRDefault="008E67EA" w:rsidP="00B44A74">
            <w:pPr>
              <w:spacing w:after="120" w:line="280" w:lineRule="exact"/>
              <w:rPr>
                <w:rFonts w:eastAsia="Calibri" w:cs="Arial"/>
                <w:sz w:val="20"/>
                <w:szCs w:val="20"/>
                <w:bdr w:val="none" w:sz="0" w:space="0" w:color="auto" w:frame="1"/>
                <w:lang w:val="en-GB"/>
              </w:rPr>
            </w:pPr>
            <w:r w:rsidRPr="006E5319">
              <w:rPr>
                <w:rFonts w:eastAsia="Calibri" w:cs="Arial"/>
                <w:sz w:val="20"/>
                <w:szCs w:val="20"/>
                <w:bdr w:val="none" w:sz="0" w:space="0" w:color="auto" w:frame="1"/>
                <w:lang w:val="en-GB"/>
              </w:rPr>
              <w:t>To</w:t>
            </w:r>
            <w:r>
              <w:rPr>
                <w:rFonts w:eastAsia="Calibri" w:cs="Arial"/>
                <w:sz w:val="20"/>
                <w:szCs w:val="20"/>
                <w:bdr w:val="none" w:sz="0" w:space="0" w:color="auto" w:frame="1"/>
                <w:lang w:val="en-GB"/>
              </w:rPr>
              <w:t xml:space="preserve"> </w:t>
            </w:r>
            <w:r w:rsidRPr="006E5319">
              <w:rPr>
                <w:rFonts w:eastAsia="Calibri" w:cs="Arial"/>
                <w:sz w:val="20"/>
                <w:szCs w:val="20"/>
                <w:bdr w:val="none" w:sz="0" w:space="0" w:color="auto" w:frame="1"/>
                <w:lang w:val="en-GB"/>
              </w:rPr>
              <w:t>prevent reinfestation, eliminate food, water and housing as much as possible. Remove</w:t>
            </w:r>
            <w:r>
              <w:rPr>
                <w:rFonts w:eastAsia="Calibri" w:cs="Arial"/>
                <w:sz w:val="20"/>
                <w:szCs w:val="20"/>
                <w:bdr w:val="none" w:sz="0" w:space="0" w:color="auto" w:frame="1"/>
                <w:lang w:val="en-GB"/>
              </w:rPr>
              <w:t xml:space="preserve"> </w:t>
            </w:r>
            <w:r w:rsidRPr="006E5319">
              <w:rPr>
                <w:rFonts w:eastAsia="Calibri" w:cs="Arial"/>
                <w:sz w:val="20"/>
                <w:szCs w:val="20"/>
                <w:bdr w:val="none" w:sz="0" w:space="0" w:color="auto" w:frame="1"/>
                <w:lang w:val="en-GB"/>
              </w:rPr>
              <w:t>any unused baits after rat and mice activity has ceased. If reinfestation does occur, repeat</w:t>
            </w:r>
            <w:r>
              <w:rPr>
                <w:rFonts w:eastAsia="Calibri" w:cs="Arial"/>
                <w:sz w:val="20"/>
                <w:szCs w:val="20"/>
                <w:bdr w:val="none" w:sz="0" w:space="0" w:color="auto" w:frame="1"/>
                <w:lang w:val="en-GB"/>
              </w:rPr>
              <w:t xml:space="preserve"> </w:t>
            </w:r>
            <w:r w:rsidRPr="006E5319">
              <w:rPr>
                <w:rFonts w:eastAsia="Calibri" w:cs="Arial"/>
                <w:sz w:val="20"/>
                <w:szCs w:val="20"/>
                <w:bdr w:val="none" w:sz="0" w:space="0" w:color="auto" w:frame="1"/>
                <w:lang w:val="en-GB"/>
              </w:rPr>
              <w:t>treatment.</w:t>
            </w:r>
          </w:p>
        </w:tc>
      </w:tr>
    </w:tbl>
    <w:bookmarkEnd w:id="340"/>
    <w:p w14:paraId="60A5D020" w14:textId="5E7AE02A" w:rsidR="008E67EA" w:rsidRDefault="008E67EA" w:rsidP="008E67EA">
      <w:pPr>
        <w:rPr>
          <w:rFonts w:ascii="Franklin Gothic Medium" w:eastAsia="Arial Unicode MS" w:hAnsi="Franklin Gothic Medium"/>
          <w:bCs/>
          <w:iCs/>
          <w:bdr w:val="none" w:sz="0" w:space="0" w:color="auto" w:frame="1"/>
          <w:lang w:val="en-GB" w:eastAsia="en-AU"/>
        </w:rPr>
      </w:pPr>
      <w:r w:rsidRPr="00FF36BF">
        <w:rPr>
          <w:rFonts w:cs="Arial"/>
          <w:b/>
          <w:bCs/>
          <w:sz w:val="20"/>
          <w:szCs w:val="20"/>
        </w:rPr>
        <w:t>NOT TO BE USED FOR ANY PURPOSE, OR IN ANY MANNER, CONTRARY TO THIS LABEL UNLESS AUTHORISED.</w:t>
      </w:r>
      <w:r>
        <w:rPr>
          <w:rFonts w:ascii="Franklin Gothic Medium" w:eastAsia="Arial Unicode MS" w:hAnsi="Franklin Gothic Medium"/>
          <w:bCs/>
          <w:iCs/>
          <w:bdr w:val="none" w:sz="0" w:space="0" w:color="auto" w:frame="1"/>
          <w:lang w:val="en-GB" w:eastAsia="en-AU"/>
        </w:rPr>
        <w:br w:type="page"/>
      </w:r>
    </w:p>
    <w:p w14:paraId="542E42CD" w14:textId="77777777" w:rsidR="008E67EA" w:rsidRDefault="008E67EA" w:rsidP="008E67EA">
      <w:pPr>
        <w:keepNext/>
        <w:keepLines/>
        <w:spacing w:before="400" w:after="240" w:line="280" w:lineRule="exact"/>
        <w:outlineLvl w:val="1"/>
        <w:rPr>
          <w:rFonts w:ascii="Franklin Gothic Medium" w:eastAsia="Arial Unicode MS" w:hAnsi="Franklin Gothic Medium"/>
          <w:bCs/>
          <w:iCs/>
          <w:bdr w:val="none" w:sz="0" w:space="0" w:color="auto" w:frame="1"/>
          <w:lang w:val="en-GB" w:eastAsia="en-AU"/>
        </w:rPr>
      </w:pPr>
      <w:r>
        <w:rPr>
          <w:rFonts w:ascii="Franklin Gothic Medium" w:eastAsia="Arial Unicode MS" w:hAnsi="Franklin Gothic Medium"/>
          <w:bCs/>
          <w:iCs/>
          <w:bdr w:val="none" w:sz="0" w:space="0" w:color="auto" w:frame="1"/>
          <w:lang w:val="en-GB" w:eastAsia="en-AU"/>
        </w:rPr>
        <w:lastRenderedPageBreak/>
        <w:t>Domestic pest-control product:</w:t>
      </w:r>
      <w:r w:rsidRPr="00FF36BF">
        <w:rPr>
          <w:rFonts w:ascii="Franklin Gothic Medium" w:eastAsia="Arial Unicode MS" w:hAnsi="Franklin Gothic Medium"/>
          <w:bCs/>
          <w:iCs/>
          <w:bdr w:val="none" w:sz="0" w:space="0" w:color="auto" w:frame="1"/>
          <w:lang w:val="en-GB" w:eastAsia="en-AU"/>
        </w:rPr>
        <w:t xml:space="preserve"> </w:t>
      </w:r>
      <w:r w:rsidRPr="00B73CCC">
        <w:rPr>
          <w:rFonts w:ascii="Franklin Gothic Medium" w:eastAsia="Arial Unicode MS" w:hAnsi="Franklin Gothic Medium"/>
          <w:bCs/>
          <w:iCs/>
          <w:bdr w:val="none" w:sz="0" w:space="0" w:color="auto" w:frame="1"/>
          <w:lang w:val="en-GB" w:eastAsia="en-AU"/>
        </w:rPr>
        <w:t>RB 0.05 g/kg or less in sachet or place pack</w:t>
      </w:r>
    </w:p>
    <w:p w14:paraId="0DC590E3" w14:textId="77777777" w:rsidR="008E67EA"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t xml:space="preserve">Template Label </w:t>
      </w:r>
      <w:r>
        <w:rPr>
          <w:rFonts w:cs="Arial"/>
          <w:b/>
          <w:bCs/>
          <w:sz w:val="20"/>
          <w:szCs w:val="20"/>
          <w:bdr w:val="none" w:sz="0" w:space="0" w:color="auto" w:frame="1"/>
          <w:lang w:val="en-GB" w:eastAsia="en-AU"/>
        </w:rPr>
        <w:t>7a</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977CB2" w14:paraId="1FC695A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F5402D8" w14:textId="77777777" w:rsidR="008E67EA" w:rsidRPr="00977CB2" w:rsidRDefault="008E67EA" w:rsidP="00B44A74">
            <w:pPr>
              <w:spacing w:line="280" w:lineRule="exact"/>
              <w:rPr>
                <w:rFonts w:cs="Arial"/>
                <w:sz w:val="20"/>
                <w:szCs w:val="20"/>
              </w:rPr>
            </w:pPr>
            <w:r w:rsidRPr="00977CB2">
              <w:rPr>
                <w:rFonts w:cs="Arial"/>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04FE0305" w14:textId="77777777" w:rsidR="008E67EA" w:rsidRPr="00977CB2" w:rsidRDefault="008E67EA" w:rsidP="00B44A74">
            <w:pPr>
              <w:spacing w:line="280" w:lineRule="exact"/>
              <w:rPr>
                <w:rFonts w:cs="Arial"/>
                <w:sz w:val="20"/>
                <w:szCs w:val="20"/>
              </w:rPr>
            </w:pPr>
            <w:r w:rsidRPr="00977CB2">
              <w:rPr>
                <w:rFonts w:cs="Arial"/>
                <w:sz w:val="20"/>
                <w:szCs w:val="20"/>
              </w:rPr>
              <w:t>[INSERT LABEL NAME]</w:t>
            </w:r>
          </w:p>
        </w:tc>
      </w:tr>
      <w:tr w:rsidR="008E67EA" w:rsidRPr="00977CB2" w14:paraId="063925E4" w14:textId="77777777" w:rsidTr="00B44A74">
        <w:trPr>
          <w:jc w:val="center"/>
        </w:trPr>
        <w:tc>
          <w:tcPr>
            <w:tcW w:w="2415" w:type="dxa"/>
            <w:tcBorders>
              <w:top w:val="single" w:sz="4" w:space="0" w:color="auto"/>
              <w:left w:val="nil"/>
              <w:bottom w:val="single" w:sz="4" w:space="0" w:color="auto"/>
              <w:right w:val="nil"/>
            </w:tcBorders>
          </w:tcPr>
          <w:p w14:paraId="20691D43" w14:textId="77777777" w:rsidR="008E67EA" w:rsidRPr="00977CB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B946023" w14:textId="77777777" w:rsidR="008E67EA" w:rsidRPr="00977CB2" w:rsidRDefault="008E67EA" w:rsidP="00B44A74">
            <w:pPr>
              <w:spacing w:line="280" w:lineRule="exact"/>
              <w:rPr>
                <w:rFonts w:cs="Arial"/>
                <w:sz w:val="20"/>
                <w:szCs w:val="20"/>
              </w:rPr>
            </w:pPr>
          </w:p>
        </w:tc>
      </w:tr>
      <w:tr w:rsidR="008E67EA" w:rsidRPr="00977CB2" w14:paraId="0ED276D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96F4304" w14:textId="77777777" w:rsidR="008E67EA" w:rsidRPr="00977CB2" w:rsidRDefault="008E67EA" w:rsidP="00B44A74">
            <w:pPr>
              <w:spacing w:line="280" w:lineRule="exact"/>
              <w:rPr>
                <w:rFonts w:cs="Arial"/>
                <w:sz w:val="20"/>
                <w:szCs w:val="20"/>
              </w:rPr>
            </w:pPr>
            <w:r w:rsidRPr="00977CB2">
              <w:rPr>
                <w:rFonts w:cs="Arial"/>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1C6ACA38" w14:textId="77777777" w:rsidR="008E67EA" w:rsidRPr="00977CB2" w:rsidRDefault="008E67EA" w:rsidP="00B44A74">
            <w:pPr>
              <w:spacing w:line="280" w:lineRule="exact"/>
              <w:rPr>
                <w:rFonts w:cs="Arial"/>
                <w:sz w:val="20"/>
                <w:szCs w:val="20"/>
              </w:rPr>
            </w:pPr>
            <w:r w:rsidRPr="00977CB2">
              <w:rPr>
                <w:rFonts w:cs="Arial"/>
                <w:sz w:val="20"/>
                <w:szCs w:val="20"/>
              </w:rPr>
              <w:t>POISON</w:t>
            </w:r>
          </w:p>
          <w:p w14:paraId="47DC910C" w14:textId="77777777" w:rsidR="008E67EA" w:rsidRPr="00977CB2" w:rsidRDefault="008E67EA" w:rsidP="00B44A74">
            <w:pPr>
              <w:spacing w:line="280" w:lineRule="exact"/>
              <w:rPr>
                <w:rFonts w:cs="Arial"/>
                <w:sz w:val="20"/>
                <w:szCs w:val="20"/>
              </w:rPr>
            </w:pPr>
            <w:r w:rsidRPr="00977CB2">
              <w:rPr>
                <w:rFonts w:cs="Arial"/>
                <w:sz w:val="20"/>
                <w:szCs w:val="20"/>
              </w:rPr>
              <w:t>KEEP OUT OF REACH OF CHILDREN</w:t>
            </w:r>
          </w:p>
          <w:p w14:paraId="73B556DE" w14:textId="77777777" w:rsidR="008E67EA" w:rsidRPr="00977CB2" w:rsidRDefault="008E67EA" w:rsidP="00B44A74">
            <w:pPr>
              <w:spacing w:line="280" w:lineRule="exact"/>
              <w:rPr>
                <w:rFonts w:cs="Arial"/>
                <w:sz w:val="20"/>
                <w:szCs w:val="20"/>
              </w:rPr>
            </w:pPr>
            <w:r w:rsidRPr="00977CB2">
              <w:rPr>
                <w:rFonts w:cs="Arial"/>
                <w:sz w:val="20"/>
                <w:szCs w:val="20"/>
              </w:rPr>
              <w:t>READ SAFETY DIRECTIONS BEFORE OPENING OR USING</w:t>
            </w:r>
          </w:p>
        </w:tc>
      </w:tr>
      <w:tr w:rsidR="008E67EA" w:rsidRPr="00977CB2" w14:paraId="06C6634F" w14:textId="77777777" w:rsidTr="00B44A74">
        <w:trPr>
          <w:jc w:val="center"/>
        </w:trPr>
        <w:tc>
          <w:tcPr>
            <w:tcW w:w="2415" w:type="dxa"/>
            <w:tcBorders>
              <w:top w:val="single" w:sz="4" w:space="0" w:color="auto"/>
              <w:left w:val="nil"/>
              <w:bottom w:val="single" w:sz="4" w:space="0" w:color="auto"/>
              <w:right w:val="nil"/>
            </w:tcBorders>
          </w:tcPr>
          <w:p w14:paraId="3B26CBA3" w14:textId="77777777" w:rsidR="008E67EA" w:rsidRPr="00977CB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A5EED67" w14:textId="77777777" w:rsidR="008E67EA" w:rsidRPr="00977CB2" w:rsidRDefault="008E67EA" w:rsidP="00B44A74">
            <w:pPr>
              <w:spacing w:line="280" w:lineRule="exact"/>
              <w:rPr>
                <w:rFonts w:cs="Arial"/>
                <w:sz w:val="20"/>
                <w:szCs w:val="20"/>
              </w:rPr>
            </w:pPr>
          </w:p>
        </w:tc>
      </w:tr>
      <w:tr w:rsidR="008E67EA" w:rsidRPr="00977CB2" w14:paraId="376319B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3DC8DD8" w14:textId="77777777" w:rsidR="008E67EA" w:rsidRPr="00977CB2" w:rsidRDefault="008E67EA" w:rsidP="00B44A74">
            <w:pPr>
              <w:spacing w:line="280" w:lineRule="exact"/>
              <w:rPr>
                <w:rFonts w:cs="Arial"/>
                <w:sz w:val="20"/>
                <w:szCs w:val="20"/>
              </w:rPr>
            </w:pPr>
            <w:r w:rsidRPr="00977CB2">
              <w:rPr>
                <w:rFonts w:cs="Arial"/>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3F3A372A" w14:textId="77777777" w:rsidR="008E67EA" w:rsidRPr="0002084E" w:rsidRDefault="008E67EA" w:rsidP="00B44A74">
            <w:pPr>
              <w:spacing w:line="280" w:lineRule="exact"/>
              <w:rPr>
                <w:rFonts w:cs="Arial"/>
                <w:sz w:val="20"/>
                <w:szCs w:val="20"/>
              </w:rPr>
            </w:pPr>
            <w:r w:rsidRPr="0002084E">
              <w:rPr>
                <w:rFonts w:cs="Arial"/>
                <w:sz w:val="20"/>
                <w:szCs w:val="20"/>
              </w:rPr>
              <w:t>ACTIVE CONSTITUENT: 0.05 g/kg BRODIFACOUM</w:t>
            </w:r>
          </w:p>
        </w:tc>
      </w:tr>
      <w:tr w:rsidR="008E67EA" w:rsidRPr="00977CB2" w14:paraId="6474C2DA" w14:textId="77777777" w:rsidTr="00B44A74">
        <w:trPr>
          <w:jc w:val="center"/>
        </w:trPr>
        <w:tc>
          <w:tcPr>
            <w:tcW w:w="2415" w:type="dxa"/>
            <w:tcBorders>
              <w:top w:val="single" w:sz="4" w:space="0" w:color="auto"/>
              <w:left w:val="nil"/>
              <w:bottom w:val="single" w:sz="4" w:space="0" w:color="auto"/>
              <w:right w:val="nil"/>
            </w:tcBorders>
          </w:tcPr>
          <w:p w14:paraId="6FDEDBBE" w14:textId="77777777" w:rsidR="008E67EA" w:rsidRPr="00977CB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3A10CCC" w14:textId="77777777" w:rsidR="008E67EA" w:rsidRPr="00977CB2" w:rsidRDefault="008E67EA" w:rsidP="00B44A74">
            <w:pPr>
              <w:spacing w:line="280" w:lineRule="exact"/>
              <w:rPr>
                <w:rFonts w:cs="Arial"/>
                <w:sz w:val="20"/>
                <w:szCs w:val="20"/>
              </w:rPr>
            </w:pPr>
          </w:p>
        </w:tc>
      </w:tr>
      <w:tr w:rsidR="008E67EA" w:rsidRPr="00977CB2" w14:paraId="59AEADA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E640FBE" w14:textId="77777777" w:rsidR="008E67EA" w:rsidRPr="00977CB2" w:rsidRDefault="008E67EA" w:rsidP="00B44A74">
            <w:pPr>
              <w:spacing w:line="280" w:lineRule="exact"/>
              <w:rPr>
                <w:rFonts w:cs="Arial"/>
                <w:sz w:val="20"/>
                <w:szCs w:val="20"/>
              </w:rPr>
            </w:pPr>
            <w:r w:rsidRPr="00977CB2">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0FBCD11B" w14:textId="77777777" w:rsidR="008E67EA" w:rsidRPr="00977CB2" w:rsidRDefault="008E67EA" w:rsidP="00B44A74">
            <w:pPr>
              <w:spacing w:line="280" w:lineRule="exact"/>
              <w:rPr>
                <w:rFonts w:cs="Arial"/>
                <w:sz w:val="20"/>
                <w:szCs w:val="20"/>
              </w:rPr>
            </w:pPr>
            <w:r w:rsidRPr="00977CB2">
              <w:rPr>
                <w:rFonts w:cs="Arial"/>
                <w:sz w:val="20"/>
                <w:szCs w:val="20"/>
              </w:rPr>
              <w:t xml:space="preserve">For control of mice in </w:t>
            </w:r>
            <w:r>
              <w:rPr>
                <w:rFonts w:cs="Arial"/>
                <w:sz w:val="20"/>
                <w:szCs w:val="20"/>
              </w:rPr>
              <w:t xml:space="preserve">domestic </w:t>
            </w:r>
            <w:r w:rsidRPr="00977CB2">
              <w:rPr>
                <w:rFonts w:cs="Arial"/>
                <w:sz w:val="20"/>
                <w:szCs w:val="20"/>
              </w:rPr>
              <w:t>buildings and rats in and around domestic buildings</w:t>
            </w:r>
          </w:p>
        </w:tc>
      </w:tr>
      <w:tr w:rsidR="008E67EA" w:rsidRPr="00977CB2" w14:paraId="34B844AD" w14:textId="77777777" w:rsidTr="00B44A74">
        <w:trPr>
          <w:jc w:val="center"/>
        </w:trPr>
        <w:tc>
          <w:tcPr>
            <w:tcW w:w="2415" w:type="dxa"/>
            <w:tcBorders>
              <w:top w:val="single" w:sz="4" w:space="0" w:color="auto"/>
              <w:left w:val="nil"/>
              <w:bottom w:val="single" w:sz="4" w:space="0" w:color="auto"/>
              <w:right w:val="nil"/>
            </w:tcBorders>
          </w:tcPr>
          <w:p w14:paraId="1D47FBDE" w14:textId="77777777" w:rsidR="008E67EA" w:rsidRPr="00977CB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D962938" w14:textId="77777777" w:rsidR="008E67EA" w:rsidRPr="00977CB2" w:rsidRDefault="008E67EA" w:rsidP="00B44A74">
            <w:pPr>
              <w:spacing w:line="280" w:lineRule="exact"/>
              <w:rPr>
                <w:rFonts w:cs="Arial"/>
                <w:sz w:val="20"/>
                <w:szCs w:val="20"/>
              </w:rPr>
            </w:pPr>
          </w:p>
        </w:tc>
      </w:tr>
      <w:tr w:rsidR="008E67EA" w:rsidRPr="00977CB2" w14:paraId="0BCC81F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C2F7A17" w14:textId="77777777" w:rsidR="008E67EA" w:rsidRPr="00977CB2" w:rsidRDefault="008E67EA" w:rsidP="00B44A74">
            <w:pPr>
              <w:spacing w:line="280" w:lineRule="exact"/>
              <w:rPr>
                <w:rFonts w:cs="Arial"/>
                <w:sz w:val="20"/>
                <w:szCs w:val="20"/>
              </w:rPr>
            </w:pPr>
            <w:r w:rsidRPr="00977CB2">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646B84A4" w14:textId="77777777" w:rsidR="008E67EA" w:rsidRPr="00977CB2" w:rsidRDefault="008E67EA" w:rsidP="00B44A74">
            <w:pPr>
              <w:spacing w:line="280" w:lineRule="exact"/>
              <w:rPr>
                <w:rFonts w:cs="Arial"/>
                <w:sz w:val="20"/>
                <w:szCs w:val="20"/>
              </w:rPr>
            </w:pPr>
            <w:r w:rsidRPr="00977CB2">
              <w:rPr>
                <w:rFonts w:cs="Arial"/>
                <w:sz w:val="20"/>
                <w:szCs w:val="20"/>
              </w:rPr>
              <w:t>[INSERT NET CONTENTS – MAXIMUM 150 g]</w:t>
            </w:r>
          </w:p>
        </w:tc>
      </w:tr>
      <w:tr w:rsidR="008E67EA" w:rsidRPr="00977CB2" w14:paraId="23D7B2B1" w14:textId="77777777" w:rsidTr="00B44A74">
        <w:trPr>
          <w:jc w:val="center"/>
        </w:trPr>
        <w:tc>
          <w:tcPr>
            <w:tcW w:w="2415" w:type="dxa"/>
            <w:tcBorders>
              <w:top w:val="single" w:sz="4" w:space="0" w:color="auto"/>
              <w:left w:val="nil"/>
              <w:bottom w:val="single" w:sz="4" w:space="0" w:color="auto"/>
              <w:right w:val="nil"/>
            </w:tcBorders>
          </w:tcPr>
          <w:p w14:paraId="3FA19F6A" w14:textId="77777777" w:rsidR="008E67EA" w:rsidRPr="00977CB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66D8D6F" w14:textId="77777777" w:rsidR="008E67EA" w:rsidRPr="00977CB2" w:rsidRDefault="008E67EA" w:rsidP="00B44A74">
            <w:pPr>
              <w:spacing w:line="280" w:lineRule="exact"/>
              <w:rPr>
                <w:rFonts w:cs="Arial"/>
                <w:sz w:val="20"/>
                <w:szCs w:val="20"/>
              </w:rPr>
            </w:pPr>
          </w:p>
        </w:tc>
      </w:tr>
      <w:tr w:rsidR="008E67EA" w:rsidRPr="00977CB2" w14:paraId="0F2F9F7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4EF0233" w14:textId="77777777" w:rsidR="008E67EA" w:rsidRPr="00977CB2" w:rsidRDefault="008E67EA" w:rsidP="00B44A74">
            <w:pPr>
              <w:spacing w:line="280" w:lineRule="exact"/>
              <w:rPr>
                <w:rFonts w:cs="Arial"/>
                <w:sz w:val="20"/>
                <w:szCs w:val="20"/>
              </w:rPr>
            </w:pPr>
            <w:r w:rsidRPr="00977CB2">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00342676" w14:textId="2AF699A1" w:rsidR="008E67EA" w:rsidRPr="00977CB2" w:rsidRDefault="008E67EA" w:rsidP="00B44A74">
            <w:pPr>
              <w:spacing w:line="280" w:lineRule="exact"/>
              <w:rPr>
                <w:rFonts w:cs="Arial"/>
                <w:sz w:val="20"/>
                <w:szCs w:val="20"/>
              </w:rPr>
            </w:pPr>
            <w:r w:rsidRPr="00977CB2">
              <w:rPr>
                <w:rFonts w:cs="Arial"/>
                <w:sz w:val="20"/>
                <w:szCs w:val="20"/>
              </w:rPr>
              <w:t>DO NOT place baits unless in tamper-resistant bait stations.</w:t>
            </w:r>
          </w:p>
          <w:p w14:paraId="6BB43EBA" w14:textId="77777777" w:rsidR="008E67EA" w:rsidRPr="00977CB2" w:rsidRDefault="008E67EA" w:rsidP="00B44A74">
            <w:pPr>
              <w:spacing w:line="280" w:lineRule="exact"/>
              <w:rPr>
                <w:rFonts w:cs="Arial"/>
                <w:sz w:val="20"/>
                <w:szCs w:val="20"/>
              </w:rPr>
            </w:pPr>
            <w:r w:rsidRPr="00977CB2">
              <w:rPr>
                <w:rFonts w:cs="Arial"/>
                <w:sz w:val="20"/>
                <w:szCs w:val="20"/>
              </w:rPr>
              <w:t>DO NOT place bait stations outdoors around buildings for control of mice.</w:t>
            </w:r>
          </w:p>
          <w:p w14:paraId="7CD758CF" w14:textId="77777777" w:rsidR="008E67EA" w:rsidRPr="00977CB2" w:rsidRDefault="008E67EA" w:rsidP="00B44A74">
            <w:pPr>
              <w:spacing w:line="280" w:lineRule="exact"/>
              <w:rPr>
                <w:rFonts w:cs="Arial"/>
                <w:sz w:val="20"/>
                <w:szCs w:val="20"/>
              </w:rPr>
            </w:pPr>
            <w:r w:rsidRPr="00977CB2">
              <w:rPr>
                <w:rFonts w:cs="Arial"/>
                <w:sz w:val="20"/>
                <w:szCs w:val="20"/>
              </w:rPr>
              <w:t>DO NOT place bait stations more than 2 meters from buildings.</w:t>
            </w:r>
          </w:p>
          <w:p w14:paraId="6C76F35C" w14:textId="77777777" w:rsidR="008E67EA" w:rsidRPr="00977CB2" w:rsidRDefault="008E67EA" w:rsidP="00B44A74">
            <w:pPr>
              <w:spacing w:line="280" w:lineRule="exact"/>
              <w:rPr>
                <w:rFonts w:cs="Arial"/>
                <w:sz w:val="20"/>
                <w:szCs w:val="20"/>
              </w:rPr>
            </w:pPr>
            <w:r w:rsidRPr="00977CB2">
              <w:rPr>
                <w:rFonts w:cs="Arial"/>
                <w:sz w:val="20"/>
                <w:szCs w:val="20"/>
              </w:rPr>
              <w:t>DO NOT bait in areas where wildlife may be collected for human consumption.</w:t>
            </w:r>
          </w:p>
          <w:p w14:paraId="2A62FB7F" w14:textId="77777777" w:rsidR="008E67EA" w:rsidRPr="00977CB2" w:rsidRDefault="008E67EA" w:rsidP="00B44A74">
            <w:pPr>
              <w:spacing w:line="280" w:lineRule="exact"/>
              <w:rPr>
                <w:rFonts w:cs="Arial"/>
                <w:sz w:val="20"/>
                <w:szCs w:val="20"/>
              </w:rPr>
            </w:pPr>
            <w:r w:rsidRPr="00977CB2">
              <w:rPr>
                <w:rFonts w:cs="Arial"/>
                <w:sz w:val="20"/>
                <w:szCs w:val="20"/>
              </w:rPr>
              <w:t>DO NOT place baits in and around animal, livestock and poultry houses, associated equipment, and food and feed processing areas.</w:t>
            </w:r>
          </w:p>
          <w:p w14:paraId="32570058" w14:textId="77777777" w:rsidR="008E67EA" w:rsidRPr="00977CB2" w:rsidRDefault="008E67EA" w:rsidP="00B44A74">
            <w:pPr>
              <w:spacing w:line="280" w:lineRule="exact"/>
              <w:rPr>
                <w:rFonts w:cs="Arial"/>
                <w:sz w:val="20"/>
                <w:szCs w:val="20"/>
              </w:rPr>
            </w:pPr>
            <w:r w:rsidRPr="00977CB2">
              <w:rPr>
                <w:rFonts w:cs="Arial"/>
                <w:sz w:val="20"/>
                <w:szCs w:val="20"/>
              </w:rPr>
              <w:t>DO NOT apply this product directly into burrows.</w:t>
            </w:r>
          </w:p>
          <w:p w14:paraId="4EB4F534" w14:textId="77777777" w:rsidR="008E67EA" w:rsidRPr="00977CB2" w:rsidRDefault="008E67EA" w:rsidP="00B44A74">
            <w:pPr>
              <w:spacing w:line="280" w:lineRule="exact"/>
              <w:rPr>
                <w:rFonts w:cs="Arial"/>
                <w:sz w:val="20"/>
                <w:szCs w:val="20"/>
              </w:rPr>
            </w:pPr>
            <w:r w:rsidRPr="00977CB2">
              <w:rPr>
                <w:rFonts w:cs="Arial"/>
                <w:sz w:val="20"/>
                <w:szCs w:val="20"/>
              </w:rPr>
              <w:t>DO NOT use the product in pulsed baiting treatments.</w:t>
            </w:r>
          </w:p>
        </w:tc>
      </w:tr>
      <w:tr w:rsidR="008E67EA" w:rsidRPr="00977CB2" w14:paraId="23AC3F39" w14:textId="77777777" w:rsidTr="00B44A74">
        <w:trPr>
          <w:jc w:val="center"/>
        </w:trPr>
        <w:tc>
          <w:tcPr>
            <w:tcW w:w="2415" w:type="dxa"/>
            <w:tcBorders>
              <w:top w:val="single" w:sz="4" w:space="0" w:color="auto"/>
              <w:left w:val="nil"/>
              <w:bottom w:val="single" w:sz="4" w:space="0" w:color="auto"/>
              <w:right w:val="nil"/>
            </w:tcBorders>
          </w:tcPr>
          <w:p w14:paraId="31045378" w14:textId="77777777" w:rsidR="008E67EA" w:rsidRPr="00977CB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E02FCE3" w14:textId="77777777" w:rsidR="008E67EA" w:rsidRPr="00977CB2" w:rsidRDefault="008E67EA" w:rsidP="00B44A74">
            <w:pPr>
              <w:spacing w:line="280" w:lineRule="exact"/>
              <w:rPr>
                <w:rFonts w:cs="Arial"/>
                <w:sz w:val="20"/>
                <w:szCs w:val="20"/>
              </w:rPr>
            </w:pPr>
          </w:p>
        </w:tc>
      </w:tr>
      <w:tr w:rsidR="008E67EA" w:rsidRPr="00977CB2" w14:paraId="197A1A89"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2022E5F" w14:textId="77777777" w:rsidR="008E67EA" w:rsidRPr="00977CB2" w:rsidRDefault="008E67EA" w:rsidP="00B44A74">
            <w:pPr>
              <w:spacing w:line="280" w:lineRule="exact"/>
              <w:rPr>
                <w:rFonts w:cs="Arial"/>
                <w:sz w:val="20"/>
                <w:szCs w:val="20"/>
              </w:rPr>
            </w:pPr>
            <w:r w:rsidRPr="00977CB2">
              <w:rPr>
                <w:rFonts w:cs="Arial"/>
                <w:sz w:val="20"/>
                <w:szCs w:val="20"/>
              </w:rPr>
              <w:t>How to Use</w:t>
            </w:r>
          </w:p>
        </w:tc>
        <w:tc>
          <w:tcPr>
            <w:tcW w:w="7755" w:type="dxa"/>
            <w:tcBorders>
              <w:top w:val="single" w:sz="4" w:space="0" w:color="auto"/>
              <w:left w:val="single" w:sz="4" w:space="0" w:color="auto"/>
              <w:bottom w:val="single" w:sz="4" w:space="0" w:color="auto"/>
              <w:right w:val="single" w:sz="4" w:space="0" w:color="auto"/>
            </w:tcBorders>
          </w:tcPr>
          <w:p w14:paraId="48B9C2FC" w14:textId="77777777" w:rsidR="008E67EA" w:rsidRPr="00977CB2" w:rsidRDefault="008E67EA" w:rsidP="00B44A74">
            <w:pPr>
              <w:spacing w:line="280" w:lineRule="exact"/>
              <w:rPr>
                <w:rFonts w:cs="Arial"/>
                <w:sz w:val="20"/>
                <w:szCs w:val="20"/>
              </w:rPr>
            </w:pPr>
            <w:r w:rsidRPr="00977CB2">
              <w:rPr>
                <w:rFonts w:cs="Arial"/>
                <w:sz w:val="20"/>
                <w:szCs w:val="20"/>
              </w:rPr>
              <w:t>[This section contains an attachment below]</w:t>
            </w:r>
          </w:p>
        </w:tc>
      </w:tr>
      <w:tr w:rsidR="008E67EA" w:rsidRPr="00977CB2" w14:paraId="2CF33120" w14:textId="77777777" w:rsidTr="00B44A74">
        <w:trPr>
          <w:jc w:val="center"/>
        </w:trPr>
        <w:tc>
          <w:tcPr>
            <w:tcW w:w="2415" w:type="dxa"/>
            <w:tcBorders>
              <w:top w:val="single" w:sz="4" w:space="0" w:color="auto"/>
              <w:left w:val="nil"/>
              <w:bottom w:val="single" w:sz="4" w:space="0" w:color="auto"/>
              <w:right w:val="nil"/>
            </w:tcBorders>
          </w:tcPr>
          <w:p w14:paraId="7C58BD34" w14:textId="77777777" w:rsidR="008E67EA" w:rsidRPr="00977CB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35F6002" w14:textId="77777777" w:rsidR="008E67EA" w:rsidRPr="00977CB2" w:rsidRDefault="008E67EA" w:rsidP="00B44A74">
            <w:pPr>
              <w:spacing w:line="280" w:lineRule="exact"/>
              <w:rPr>
                <w:rFonts w:cs="Arial"/>
                <w:sz w:val="20"/>
                <w:szCs w:val="20"/>
              </w:rPr>
            </w:pPr>
          </w:p>
        </w:tc>
      </w:tr>
      <w:tr w:rsidR="008E67EA" w:rsidRPr="00977CB2" w14:paraId="0929017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8B070F8" w14:textId="77777777" w:rsidR="008E67EA" w:rsidRPr="00977CB2" w:rsidRDefault="008E67EA" w:rsidP="00B44A74">
            <w:pPr>
              <w:spacing w:line="280" w:lineRule="exact"/>
              <w:rPr>
                <w:rFonts w:cs="Arial"/>
                <w:sz w:val="20"/>
                <w:szCs w:val="20"/>
              </w:rPr>
            </w:pPr>
            <w:r w:rsidRPr="00977CB2">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73EA937C" w14:textId="77777777" w:rsidR="008E67EA" w:rsidRPr="00977CB2" w:rsidRDefault="008E67EA" w:rsidP="00B44A74">
            <w:pPr>
              <w:spacing w:line="280" w:lineRule="exact"/>
              <w:rPr>
                <w:rFonts w:cs="Arial"/>
                <w:sz w:val="20"/>
                <w:szCs w:val="20"/>
              </w:rPr>
            </w:pPr>
          </w:p>
        </w:tc>
      </w:tr>
      <w:tr w:rsidR="008E67EA" w:rsidRPr="00977CB2" w14:paraId="46F080EF" w14:textId="77777777" w:rsidTr="00B44A74">
        <w:trPr>
          <w:jc w:val="center"/>
        </w:trPr>
        <w:tc>
          <w:tcPr>
            <w:tcW w:w="2415" w:type="dxa"/>
            <w:tcBorders>
              <w:top w:val="single" w:sz="4" w:space="0" w:color="auto"/>
              <w:left w:val="nil"/>
              <w:bottom w:val="single" w:sz="4" w:space="0" w:color="auto"/>
              <w:right w:val="nil"/>
            </w:tcBorders>
          </w:tcPr>
          <w:p w14:paraId="052B2BF3" w14:textId="77777777" w:rsidR="008E67EA" w:rsidRPr="00977CB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441AF57" w14:textId="77777777" w:rsidR="008E67EA" w:rsidRPr="00977CB2" w:rsidRDefault="008E67EA" w:rsidP="00B44A74">
            <w:pPr>
              <w:spacing w:line="280" w:lineRule="exact"/>
              <w:rPr>
                <w:rFonts w:cs="Arial"/>
                <w:sz w:val="20"/>
                <w:szCs w:val="20"/>
              </w:rPr>
            </w:pPr>
          </w:p>
        </w:tc>
      </w:tr>
      <w:tr w:rsidR="008E67EA" w:rsidRPr="00977CB2" w14:paraId="5B1A783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38F32FC" w14:textId="77777777" w:rsidR="008E67EA" w:rsidRPr="00977CB2" w:rsidRDefault="008E67EA" w:rsidP="00B44A74">
            <w:pPr>
              <w:spacing w:line="280" w:lineRule="exact"/>
              <w:rPr>
                <w:rFonts w:cs="Arial"/>
                <w:sz w:val="20"/>
                <w:szCs w:val="20"/>
              </w:rPr>
            </w:pPr>
            <w:r w:rsidRPr="00977CB2">
              <w:rPr>
                <w:rFonts w:cs="Arial"/>
                <w:sz w:val="20"/>
                <w:szCs w:val="20"/>
              </w:rPr>
              <w:t>How to Prepare</w:t>
            </w:r>
          </w:p>
        </w:tc>
        <w:tc>
          <w:tcPr>
            <w:tcW w:w="7755" w:type="dxa"/>
            <w:tcBorders>
              <w:top w:val="single" w:sz="4" w:space="0" w:color="auto"/>
              <w:left w:val="single" w:sz="4" w:space="0" w:color="auto"/>
              <w:bottom w:val="single" w:sz="4" w:space="0" w:color="auto"/>
              <w:right w:val="single" w:sz="4" w:space="0" w:color="auto"/>
            </w:tcBorders>
          </w:tcPr>
          <w:p w14:paraId="77A39F12" w14:textId="77777777" w:rsidR="008E67EA" w:rsidRPr="00977CB2" w:rsidRDefault="008E67EA" w:rsidP="00B44A74">
            <w:pPr>
              <w:spacing w:line="280" w:lineRule="exact"/>
              <w:rPr>
                <w:rFonts w:cs="Arial"/>
                <w:sz w:val="20"/>
                <w:szCs w:val="20"/>
              </w:rPr>
            </w:pPr>
          </w:p>
        </w:tc>
      </w:tr>
      <w:tr w:rsidR="008E67EA" w:rsidRPr="00977CB2" w14:paraId="2A1E4F01" w14:textId="77777777" w:rsidTr="00B44A74">
        <w:trPr>
          <w:jc w:val="center"/>
        </w:trPr>
        <w:tc>
          <w:tcPr>
            <w:tcW w:w="2415" w:type="dxa"/>
            <w:tcBorders>
              <w:top w:val="single" w:sz="4" w:space="0" w:color="auto"/>
              <w:left w:val="nil"/>
              <w:bottom w:val="single" w:sz="4" w:space="0" w:color="auto"/>
              <w:right w:val="nil"/>
            </w:tcBorders>
          </w:tcPr>
          <w:p w14:paraId="2182A76E" w14:textId="77777777" w:rsidR="008E67EA" w:rsidRPr="00977CB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C5DEB72" w14:textId="77777777" w:rsidR="008E67EA" w:rsidRPr="00977CB2" w:rsidRDefault="008E67EA" w:rsidP="00B44A74">
            <w:pPr>
              <w:spacing w:line="280" w:lineRule="exact"/>
              <w:rPr>
                <w:rFonts w:cs="Arial"/>
                <w:sz w:val="20"/>
                <w:szCs w:val="20"/>
              </w:rPr>
            </w:pPr>
          </w:p>
        </w:tc>
      </w:tr>
      <w:tr w:rsidR="008E67EA" w:rsidRPr="00977CB2" w14:paraId="0275ACE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7C9A3FD" w14:textId="77777777" w:rsidR="008E67EA" w:rsidRPr="00977CB2" w:rsidRDefault="008E67EA" w:rsidP="00B44A74">
            <w:pPr>
              <w:spacing w:line="280" w:lineRule="exact"/>
              <w:rPr>
                <w:rFonts w:cs="Arial"/>
                <w:sz w:val="20"/>
                <w:szCs w:val="20"/>
              </w:rPr>
            </w:pPr>
            <w:r w:rsidRPr="00977CB2">
              <w:rPr>
                <w:rFonts w:cs="Arial"/>
                <w:sz w:val="20"/>
                <w:szCs w:val="20"/>
              </w:rPr>
              <w:t>Resistance Warning:</w:t>
            </w:r>
          </w:p>
        </w:tc>
        <w:tc>
          <w:tcPr>
            <w:tcW w:w="7755" w:type="dxa"/>
            <w:tcBorders>
              <w:top w:val="single" w:sz="4" w:space="0" w:color="auto"/>
              <w:left w:val="single" w:sz="4" w:space="0" w:color="auto"/>
              <w:bottom w:val="single" w:sz="4" w:space="0" w:color="auto"/>
              <w:right w:val="single" w:sz="4" w:space="0" w:color="auto"/>
            </w:tcBorders>
          </w:tcPr>
          <w:p w14:paraId="3DA51DD1" w14:textId="77777777" w:rsidR="008E67EA" w:rsidRPr="00977CB2" w:rsidRDefault="008E67EA" w:rsidP="00B44A74">
            <w:pPr>
              <w:spacing w:line="280" w:lineRule="exact"/>
              <w:rPr>
                <w:rFonts w:cs="Arial"/>
                <w:sz w:val="20"/>
                <w:szCs w:val="20"/>
              </w:rPr>
            </w:pPr>
          </w:p>
        </w:tc>
      </w:tr>
      <w:tr w:rsidR="008E67EA" w:rsidRPr="00977CB2" w14:paraId="2AF21538" w14:textId="77777777" w:rsidTr="00B44A74">
        <w:trPr>
          <w:jc w:val="center"/>
        </w:trPr>
        <w:tc>
          <w:tcPr>
            <w:tcW w:w="2415" w:type="dxa"/>
            <w:tcBorders>
              <w:top w:val="single" w:sz="4" w:space="0" w:color="auto"/>
              <w:left w:val="nil"/>
              <w:bottom w:val="single" w:sz="4" w:space="0" w:color="auto"/>
              <w:right w:val="nil"/>
            </w:tcBorders>
          </w:tcPr>
          <w:p w14:paraId="7776C273" w14:textId="77777777" w:rsidR="008E67EA" w:rsidRPr="00977CB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20EC040" w14:textId="77777777" w:rsidR="008E67EA" w:rsidRPr="00977CB2" w:rsidRDefault="008E67EA" w:rsidP="00B44A74">
            <w:pPr>
              <w:spacing w:line="280" w:lineRule="exact"/>
              <w:rPr>
                <w:rFonts w:cs="Arial"/>
                <w:sz w:val="20"/>
                <w:szCs w:val="20"/>
              </w:rPr>
            </w:pPr>
          </w:p>
        </w:tc>
      </w:tr>
      <w:tr w:rsidR="008E67EA" w:rsidRPr="00977CB2" w14:paraId="56DABE3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424C123" w14:textId="77777777" w:rsidR="008E67EA" w:rsidRPr="00977CB2" w:rsidRDefault="008E67EA" w:rsidP="00B44A74">
            <w:pPr>
              <w:spacing w:line="280" w:lineRule="exact"/>
              <w:rPr>
                <w:rFonts w:cs="Arial"/>
                <w:sz w:val="20"/>
                <w:szCs w:val="20"/>
              </w:rPr>
            </w:pPr>
            <w:r w:rsidRPr="00977CB2">
              <w:rPr>
                <w:rFonts w:cs="Arial"/>
                <w:sz w:val="20"/>
                <w:szCs w:val="20"/>
              </w:rPr>
              <w:t>Precautions:</w:t>
            </w:r>
          </w:p>
        </w:tc>
        <w:tc>
          <w:tcPr>
            <w:tcW w:w="7755" w:type="dxa"/>
            <w:tcBorders>
              <w:top w:val="single" w:sz="4" w:space="0" w:color="auto"/>
              <w:left w:val="single" w:sz="4" w:space="0" w:color="auto"/>
              <w:bottom w:val="single" w:sz="4" w:space="0" w:color="auto"/>
              <w:right w:val="single" w:sz="4" w:space="0" w:color="auto"/>
            </w:tcBorders>
          </w:tcPr>
          <w:p w14:paraId="3112339B" w14:textId="77777777" w:rsidR="008E67EA" w:rsidRPr="00E11C08" w:rsidRDefault="008E67EA" w:rsidP="00B44A74">
            <w:pPr>
              <w:spacing w:line="280" w:lineRule="exact"/>
              <w:rPr>
                <w:rFonts w:cs="Arial"/>
                <w:sz w:val="20"/>
                <w:szCs w:val="20"/>
              </w:rPr>
            </w:pPr>
            <w:r w:rsidRPr="00E11C08">
              <w:rPr>
                <w:rFonts w:cs="Arial"/>
                <w:sz w:val="20"/>
                <w:szCs w:val="20"/>
              </w:rPr>
              <w:t>CAUTION</w:t>
            </w:r>
          </w:p>
          <w:p w14:paraId="22529D9F" w14:textId="77777777" w:rsidR="008E67EA" w:rsidRPr="00E11C08" w:rsidRDefault="008E67EA" w:rsidP="00B44A74">
            <w:pPr>
              <w:spacing w:line="280" w:lineRule="exact"/>
              <w:rPr>
                <w:rFonts w:cs="Arial"/>
                <w:sz w:val="20"/>
                <w:szCs w:val="20"/>
              </w:rPr>
            </w:pPr>
            <w:r w:rsidRPr="00E11C08">
              <w:rPr>
                <w:rFonts w:cs="Arial"/>
                <w:sz w:val="20"/>
                <w:szCs w:val="20"/>
              </w:rPr>
              <w:t>Caution should be used when baiting near areas where hunting of wildlife may occur. Careful consideration of bait placement is necessary to avoid secondary exposure from contaminated wildlife that may be consumed.</w:t>
            </w:r>
          </w:p>
          <w:p w14:paraId="5675AE35" w14:textId="77777777" w:rsidR="008E67EA" w:rsidRDefault="008E67EA" w:rsidP="00B44A74">
            <w:pPr>
              <w:spacing w:line="280" w:lineRule="exact"/>
              <w:rPr>
                <w:rFonts w:cs="Arial"/>
                <w:sz w:val="20"/>
                <w:szCs w:val="20"/>
              </w:rPr>
            </w:pPr>
            <w:r w:rsidRPr="00E11C08">
              <w:rPr>
                <w:rFonts w:cs="Arial"/>
                <w:sz w:val="20"/>
                <w:szCs w:val="20"/>
              </w:rPr>
              <w:t>DO NOT place bait in areas where there is a possibility of contaminating food, livestock feed or surfaces that come in direct contact with food or livestock feed.</w:t>
            </w:r>
          </w:p>
          <w:p w14:paraId="7BA91219" w14:textId="77777777" w:rsidR="008E67EA" w:rsidRPr="00E11C08" w:rsidRDefault="008E67EA" w:rsidP="00B44A74">
            <w:pPr>
              <w:spacing w:line="280" w:lineRule="exact"/>
              <w:rPr>
                <w:rFonts w:cs="Arial"/>
                <w:sz w:val="20"/>
                <w:szCs w:val="20"/>
              </w:rPr>
            </w:pPr>
          </w:p>
          <w:p w14:paraId="20284A09" w14:textId="77777777" w:rsidR="008E67EA" w:rsidRPr="00E11C08" w:rsidRDefault="008E67EA" w:rsidP="00B44A74">
            <w:pPr>
              <w:spacing w:line="280" w:lineRule="exact"/>
              <w:rPr>
                <w:rFonts w:cs="Arial"/>
                <w:sz w:val="20"/>
                <w:szCs w:val="20"/>
              </w:rPr>
            </w:pPr>
            <w:r w:rsidRPr="00E11C08">
              <w:rPr>
                <w:rFonts w:cs="Arial"/>
                <w:sz w:val="20"/>
                <w:szCs w:val="20"/>
              </w:rPr>
              <w:t>PROTECTION OF LIVESTOCK AND WILDLIFE</w:t>
            </w:r>
          </w:p>
          <w:p w14:paraId="44AD05F9" w14:textId="77777777" w:rsidR="008E67EA" w:rsidRPr="00E11C08" w:rsidRDefault="008E67EA" w:rsidP="00B44A74">
            <w:pPr>
              <w:spacing w:line="280" w:lineRule="exact"/>
              <w:rPr>
                <w:rFonts w:cs="Arial"/>
                <w:sz w:val="20"/>
                <w:szCs w:val="20"/>
              </w:rPr>
            </w:pPr>
            <w:r w:rsidRPr="00E11C08">
              <w:rPr>
                <w:rFonts w:cs="Arial"/>
                <w:sz w:val="20"/>
                <w:szCs w:val="20"/>
              </w:rPr>
              <w:t>Hazardous to livestock, poultry and wildlife. DO NOT place baits in locations that are accessible to domestic animals, livestock, non-target native animals or birds.</w:t>
            </w:r>
          </w:p>
          <w:p w14:paraId="3CCAFEF8" w14:textId="51707E51" w:rsidR="008E67EA" w:rsidRPr="00E11C08" w:rsidRDefault="008E67EA" w:rsidP="00B44A74">
            <w:pPr>
              <w:spacing w:line="280" w:lineRule="exact"/>
              <w:rPr>
                <w:rFonts w:cs="Arial"/>
                <w:sz w:val="20"/>
                <w:szCs w:val="20"/>
              </w:rPr>
            </w:pPr>
            <w:r w:rsidRPr="00E11C08">
              <w:rPr>
                <w:rFonts w:cs="Arial"/>
                <w:sz w:val="20"/>
                <w:szCs w:val="20"/>
              </w:rPr>
              <w:t xml:space="preserve">Search for and dispose of dead rodents and slugs/snails in the infested area at each visit to prevent secondary poisoning. In case slugs/snails are present, move bait station to another location within the rodent infested site, away from slugs/snails. </w:t>
            </w:r>
            <w:r w:rsidRPr="00E11C08">
              <w:rPr>
                <w:rFonts w:cs="Arial"/>
                <w:sz w:val="20"/>
                <w:szCs w:val="20"/>
              </w:rPr>
              <w:lastRenderedPageBreak/>
              <w:t>Dispose of slugs/snails, dead rodents and uneaten bait by wrapping in paper, placing in plastic bag and putting in garbage.</w:t>
            </w:r>
          </w:p>
          <w:p w14:paraId="52A43DF2" w14:textId="77777777" w:rsidR="008E67EA" w:rsidRPr="00E11C08" w:rsidRDefault="008E67EA" w:rsidP="00B44A74">
            <w:pPr>
              <w:spacing w:line="280" w:lineRule="exact"/>
              <w:rPr>
                <w:rFonts w:cs="Arial"/>
                <w:sz w:val="20"/>
                <w:szCs w:val="20"/>
              </w:rPr>
            </w:pPr>
            <w:r w:rsidRPr="00E11C08">
              <w:rPr>
                <w:rFonts w:cs="Arial"/>
                <w:sz w:val="20"/>
                <w:szCs w:val="20"/>
              </w:rPr>
              <w:t>DO NOT allow livestock or poultry to consume dead or moribund</w:t>
            </w:r>
            <w:r>
              <w:rPr>
                <w:rFonts w:cs="Arial"/>
                <w:sz w:val="20"/>
                <w:szCs w:val="20"/>
              </w:rPr>
              <w:t xml:space="preserve"> rats and</w:t>
            </w:r>
            <w:r w:rsidRPr="00E11C08">
              <w:rPr>
                <w:rFonts w:cs="Arial"/>
                <w:sz w:val="20"/>
                <w:szCs w:val="20"/>
              </w:rPr>
              <w:t xml:space="preserve"> mice. All dead or moribund animals and rodent faeces from baited rodents MUST be removed from areas accessible to livestock or poultry.</w:t>
            </w:r>
          </w:p>
          <w:p w14:paraId="01E93C31" w14:textId="77777777" w:rsidR="008E67EA" w:rsidRPr="004E0AA2" w:rsidRDefault="008E67EA" w:rsidP="00B44A74">
            <w:pPr>
              <w:spacing w:line="280" w:lineRule="exact"/>
              <w:rPr>
                <w:rFonts w:cs="Arial"/>
                <w:sz w:val="20"/>
                <w:szCs w:val="20"/>
              </w:rPr>
            </w:pPr>
            <w:r w:rsidRPr="004E0AA2">
              <w:rPr>
                <w:rFonts w:cs="Arial"/>
                <w:sz w:val="20"/>
                <w:szCs w:val="20"/>
              </w:rPr>
              <w:t>DO NOT let cats and dogs eat poisoned rats &amp; mice.</w:t>
            </w:r>
          </w:p>
          <w:p w14:paraId="6BB6DE05" w14:textId="77777777" w:rsidR="008E67EA" w:rsidRDefault="008E67EA" w:rsidP="00B44A74">
            <w:pPr>
              <w:spacing w:line="280" w:lineRule="exact"/>
              <w:rPr>
                <w:rFonts w:cs="Arial"/>
                <w:sz w:val="20"/>
                <w:szCs w:val="20"/>
              </w:rPr>
            </w:pPr>
            <w:r w:rsidRPr="004E0AA2">
              <w:rPr>
                <w:rFonts w:cs="Arial"/>
                <w:sz w:val="20"/>
                <w:szCs w:val="20"/>
              </w:rPr>
              <w:t>The use of this product for the control of protected native rodents requires permission from wildlife authorities.</w:t>
            </w:r>
          </w:p>
          <w:p w14:paraId="617044D3" w14:textId="77777777" w:rsidR="008E67EA" w:rsidRPr="00E11C08" w:rsidRDefault="008E67EA" w:rsidP="00B44A74">
            <w:pPr>
              <w:spacing w:line="280" w:lineRule="exact"/>
              <w:rPr>
                <w:rFonts w:cs="Arial"/>
                <w:sz w:val="20"/>
                <w:szCs w:val="20"/>
              </w:rPr>
            </w:pPr>
          </w:p>
          <w:p w14:paraId="2B0D4FDC" w14:textId="77777777" w:rsidR="008E67EA" w:rsidRPr="00E11C08" w:rsidRDefault="008E67EA" w:rsidP="00B44A74">
            <w:pPr>
              <w:spacing w:line="280" w:lineRule="exact"/>
              <w:rPr>
                <w:rFonts w:cs="Arial"/>
                <w:sz w:val="20"/>
                <w:szCs w:val="20"/>
              </w:rPr>
            </w:pPr>
            <w:r w:rsidRPr="00E11C08">
              <w:rPr>
                <w:rFonts w:cs="Arial"/>
                <w:sz w:val="20"/>
                <w:szCs w:val="20"/>
              </w:rPr>
              <w:t>PROTECTION OF FISH, CRUSTACEANS AND ENVIRONMENT</w:t>
            </w:r>
          </w:p>
          <w:p w14:paraId="38BD7267" w14:textId="77777777" w:rsidR="008E67EA" w:rsidRPr="00977CB2" w:rsidRDefault="008E67EA" w:rsidP="00B44A74">
            <w:pPr>
              <w:spacing w:line="280" w:lineRule="exact"/>
              <w:rPr>
                <w:rFonts w:cs="Arial"/>
                <w:sz w:val="20"/>
                <w:szCs w:val="20"/>
                <w:highlight w:val="yellow"/>
              </w:rPr>
            </w:pPr>
            <w:r w:rsidRPr="00E11C08">
              <w:rPr>
                <w:rFonts w:cs="Arial"/>
                <w:sz w:val="20"/>
                <w:szCs w:val="20"/>
              </w:rPr>
              <w:t>Very toxic to aquatic life. DO NOT contaminate wetlands or watercourses with this product or used containers. Place the bait stations in areas not liable to flooding. When placing bait stations close to water drainage systems, ensure that bait contact with water is avoided.</w:t>
            </w:r>
          </w:p>
        </w:tc>
      </w:tr>
      <w:tr w:rsidR="008E67EA" w:rsidRPr="00977CB2" w14:paraId="1D6A097F" w14:textId="77777777" w:rsidTr="00B44A74">
        <w:trPr>
          <w:jc w:val="center"/>
        </w:trPr>
        <w:tc>
          <w:tcPr>
            <w:tcW w:w="2415" w:type="dxa"/>
            <w:tcBorders>
              <w:top w:val="single" w:sz="4" w:space="0" w:color="auto"/>
              <w:left w:val="nil"/>
              <w:bottom w:val="single" w:sz="4" w:space="0" w:color="auto"/>
              <w:right w:val="nil"/>
            </w:tcBorders>
          </w:tcPr>
          <w:p w14:paraId="20BF69C5" w14:textId="77777777" w:rsidR="008E67EA" w:rsidRPr="00977CB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A4969BB" w14:textId="77777777" w:rsidR="008E67EA" w:rsidRPr="00977CB2" w:rsidRDefault="008E67EA" w:rsidP="00B44A74">
            <w:pPr>
              <w:spacing w:line="280" w:lineRule="exact"/>
              <w:rPr>
                <w:rFonts w:cs="Arial"/>
                <w:sz w:val="20"/>
                <w:szCs w:val="20"/>
              </w:rPr>
            </w:pPr>
          </w:p>
        </w:tc>
      </w:tr>
      <w:tr w:rsidR="008E67EA" w:rsidRPr="00977CB2" w14:paraId="43F3C03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7FB0975" w14:textId="77777777" w:rsidR="008E67EA" w:rsidRPr="00977CB2" w:rsidRDefault="008E67EA" w:rsidP="00B44A74">
            <w:pPr>
              <w:spacing w:line="280" w:lineRule="exact"/>
              <w:rPr>
                <w:rFonts w:cs="Arial"/>
                <w:sz w:val="20"/>
                <w:szCs w:val="20"/>
              </w:rPr>
            </w:pPr>
            <w:r w:rsidRPr="00977CB2">
              <w:rPr>
                <w:rFonts w:cs="Arial"/>
                <w:sz w:val="20"/>
                <w:szCs w:val="20"/>
              </w:rPr>
              <w:t>Protections:</w:t>
            </w:r>
          </w:p>
        </w:tc>
        <w:tc>
          <w:tcPr>
            <w:tcW w:w="7755" w:type="dxa"/>
            <w:tcBorders>
              <w:top w:val="single" w:sz="4" w:space="0" w:color="auto"/>
              <w:left w:val="single" w:sz="4" w:space="0" w:color="auto"/>
              <w:bottom w:val="single" w:sz="4" w:space="0" w:color="auto"/>
              <w:right w:val="single" w:sz="4" w:space="0" w:color="auto"/>
            </w:tcBorders>
          </w:tcPr>
          <w:p w14:paraId="44A68972" w14:textId="77777777" w:rsidR="008E67EA" w:rsidRPr="00977CB2" w:rsidRDefault="008E67EA" w:rsidP="00B44A74">
            <w:pPr>
              <w:spacing w:line="280" w:lineRule="exact"/>
              <w:rPr>
                <w:rFonts w:cs="Arial"/>
                <w:sz w:val="20"/>
                <w:szCs w:val="20"/>
              </w:rPr>
            </w:pPr>
          </w:p>
        </w:tc>
      </w:tr>
      <w:tr w:rsidR="008E67EA" w:rsidRPr="00977CB2" w14:paraId="3C07A963" w14:textId="77777777" w:rsidTr="00B44A74">
        <w:trPr>
          <w:jc w:val="center"/>
        </w:trPr>
        <w:tc>
          <w:tcPr>
            <w:tcW w:w="2415" w:type="dxa"/>
            <w:tcBorders>
              <w:top w:val="single" w:sz="4" w:space="0" w:color="auto"/>
              <w:left w:val="nil"/>
              <w:bottom w:val="single" w:sz="4" w:space="0" w:color="auto"/>
              <w:right w:val="nil"/>
            </w:tcBorders>
          </w:tcPr>
          <w:p w14:paraId="7922DE97" w14:textId="77777777" w:rsidR="008E67EA" w:rsidRPr="00977CB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9C23F6A" w14:textId="77777777" w:rsidR="008E67EA" w:rsidRPr="00977CB2" w:rsidRDefault="008E67EA" w:rsidP="00B44A74">
            <w:pPr>
              <w:spacing w:line="280" w:lineRule="exact"/>
              <w:rPr>
                <w:rFonts w:cs="Arial"/>
                <w:sz w:val="20"/>
                <w:szCs w:val="20"/>
              </w:rPr>
            </w:pPr>
          </w:p>
        </w:tc>
      </w:tr>
      <w:tr w:rsidR="008E67EA" w:rsidRPr="00977CB2" w14:paraId="1B7AF0F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CFA19AD" w14:textId="77777777" w:rsidR="008E67EA" w:rsidRPr="00977CB2" w:rsidRDefault="008E67EA" w:rsidP="00B44A74">
            <w:pPr>
              <w:spacing w:line="280" w:lineRule="exact"/>
              <w:rPr>
                <w:rFonts w:cs="Arial"/>
                <w:sz w:val="20"/>
                <w:szCs w:val="20"/>
              </w:rPr>
            </w:pPr>
            <w:r w:rsidRPr="00977CB2">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71B7CC19" w14:textId="77777777" w:rsidR="008E67EA" w:rsidRPr="00977CB2" w:rsidRDefault="008E67EA" w:rsidP="00B44A74">
            <w:pPr>
              <w:spacing w:line="280" w:lineRule="exact"/>
              <w:rPr>
                <w:rFonts w:cs="Arial"/>
                <w:sz w:val="20"/>
                <w:szCs w:val="20"/>
              </w:rPr>
            </w:pPr>
            <w:r w:rsidRPr="00977CB2">
              <w:rPr>
                <w:rFonts w:cs="Arial"/>
                <w:sz w:val="20"/>
                <w:szCs w:val="20"/>
              </w:rPr>
              <w:t>STORAGE AND DISPOSAL</w:t>
            </w:r>
          </w:p>
          <w:p w14:paraId="331DDB83" w14:textId="77777777" w:rsidR="008E67EA" w:rsidRPr="00977CB2" w:rsidRDefault="008E67EA" w:rsidP="00B44A74">
            <w:pPr>
              <w:spacing w:line="280" w:lineRule="exact"/>
              <w:rPr>
                <w:rFonts w:cs="Arial"/>
                <w:sz w:val="20"/>
                <w:szCs w:val="20"/>
              </w:rPr>
            </w:pPr>
            <w:r w:rsidRPr="00977CB2">
              <w:rPr>
                <w:rFonts w:cs="Arial"/>
                <w:sz w:val="20"/>
                <w:szCs w:val="20"/>
              </w:rPr>
              <w:t xml:space="preserve">Store in the closed, original container in a cool dry place out of reach of children. DO NOT store in direct sunlight. Dispose of empty containers </w:t>
            </w:r>
            <w:r>
              <w:rPr>
                <w:rFonts w:cs="Arial"/>
                <w:sz w:val="20"/>
                <w:szCs w:val="20"/>
              </w:rPr>
              <w:t xml:space="preserve">and unused product </w:t>
            </w:r>
            <w:r w:rsidRPr="00977CB2">
              <w:rPr>
                <w:rFonts w:cs="Arial"/>
                <w:sz w:val="20"/>
                <w:szCs w:val="20"/>
              </w:rPr>
              <w:t xml:space="preserve">by wrapping in paper placing in plastic bag and putting in garbage. </w:t>
            </w:r>
          </w:p>
        </w:tc>
      </w:tr>
      <w:tr w:rsidR="008E67EA" w:rsidRPr="00977CB2" w14:paraId="5F09DACE" w14:textId="77777777" w:rsidTr="00B44A74">
        <w:trPr>
          <w:jc w:val="center"/>
        </w:trPr>
        <w:tc>
          <w:tcPr>
            <w:tcW w:w="2415" w:type="dxa"/>
            <w:tcBorders>
              <w:top w:val="single" w:sz="4" w:space="0" w:color="auto"/>
              <w:left w:val="nil"/>
              <w:bottom w:val="single" w:sz="4" w:space="0" w:color="auto"/>
              <w:right w:val="nil"/>
            </w:tcBorders>
          </w:tcPr>
          <w:p w14:paraId="567A9B9A" w14:textId="77777777" w:rsidR="008E67EA" w:rsidRPr="00977CB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8B0506B" w14:textId="77777777" w:rsidR="008E67EA" w:rsidRPr="00977CB2" w:rsidRDefault="008E67EA" w:rsidP="00B44A74">
            <w:pPr>
              <w:spacing w:line="280" w:lineRule="exact"/>
              <w:rPr>
                <w:rFonts w:cs="Arial"/>
                <w:sz w:val="20"/>
                <w:szCs w:val="20"/>
              </w:rPr>
            </w:pPr>
          </w:p>
        </w:tc>
      </w:tr>
      <w:tr w:rsidR="008E67EA" w:rsidRPr="00977CB2" w14:paraId="376E509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81C0B0C" w14:textId="77777777" w:rsidR="008E67EA" w:rsidRPr="00977CB2" w:rsidRDefault="008E67EA" w:rsidP="00B44A74">
            <w:pPr>
              <w:spacing w:line="280" w:lineRule="exact"/>
              <w:rPr>
                <w:rFonts w:cs="Arial"/>
                <w:sz w:val="20"/>
                <w:szCs w:val="20"/>
              </w:rPr>
            </w:pPr>
            <w:r w:rsidRPr="00977CB2">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06E088A8" w14:textId="77777777" w:rsidR="008E67EA" w:rsidRPr="00977CB2" w:rsidRDefault="008E67EA" w:rsidP="00B44A74">
            <w:pPr>
              <w:spacing w:line="280" w:lineRule="exact"/>
              <w:rPr>
                <w:rFonts w:cs="Arial"/>
                <w:sz w:val="20"/>
                <w:szCs w:val="20"/>
              </w:rPr>
            </w:pPr>
            <w:r w:rsidRPr="00977CB2">
              <w:rPr>
                <w:rFonts w:cs="Arial"/>
                <w:sz w:val="20"/>
                <w:szCs w:val="20"/>
              </w:rPr>
              <w:t>SAFETY DIRECTIONS</w:t>
            </w:r>
          </w:p>
          <w:p w14:paraId="6EE73878" w14:textId="77777777" w:rsidR="008E67EA" w:rsidRPr="00977CB2" w:rsidRDefault="008E67EA" w:rsidP="00B44A74">
            <w:pPr>
              <w:spacing w:line="280" w:lineRule="exact"/>
              <w:rPr>
                <w:rFonts w:cs="Arial"/>
                <w:sz w:val="20"/>
                <w:szCs w:val="20"/>
              </w:rPr>
            </w:pPr>
            <w:r w:rsidRPr="00977CB2">
              <w:rPr>
                <w:rFonts w:cs="Arial"/>
                <w:sz w:val="20"/>
                <w:szCs w:val="20"/>
              </w:rPr>
              <w:t>Repeated minor exposure may have a cumulative poisoning effect. When using the product wear disposable gloves. During cleanup, disposal operations of bait and bait stations and when handling rodent carcasses wear single layer clothing and disposable gloves. If on skin and after each baiting, wash thoroughly with soap and water. After each day’s use wash contaminated clothing. Wash clothes after performing re-handling activities.</w:t>
            </w:r>
            <w:r w:rsidRPr="00977CB2" w:rsidDel="009B53C8">
              <w:rPr>
                <w:rFonts w:cs="Arial"/>
                <w:sz w:val="20"/>
                <w:szCs w:val="20"/>
              </w:rPr>
              <w:t xml:space="preserve"> </w:t>
            </w:r>
          </w:p>
        </w:tc>
      </w:tr>
      <w:tr w:rsidR="008E67EA" w:rsidRPr="00977CB2" w14:paraId="301EC5DE" w14:textId="77777777" w:rsidTr="00B44A74">
        <w:trPr>
          <w:jc w:val="center"/>
        </w:trPr>
        <w:tc>
          <w:tcPr>
            <w:tcW w:w="2415" w:type="dxa"/>
            <w:tcBorders>
              <w:top w:val="single" w:sz="4" w:space="0" w:color="auto"/>
              <w:left w:val="nil"/>
              <w:bottom w:val="single" w:sz="4" w:space="0" w:color="auto"/>
              <w:right w:val="nil"/>
            </w:tcBorders>
          </w:tcPr>
          <w:p w14:paraId="1E15F058" w14:textId="77777777" w:rsidR="008E67EA" w:rsidRPr="00977CB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AB22ABF" w14:textId="77777777" w:rsidR="008E67EA" w:rsidRPr="00977CB2" w:rsidRDefault="008E67EA" w:rsidP="00B44A74">
            <w:pPr>
              <w:spacing w:line="280" w:lineRule="exact"/>
              <w:rPr>
                <w:rFonts w:cs="Arial"/>
                <w:sz w:val="20"/>
                <w:szCs w:val="20"/>
              </w:rPr>
            </w:pPr>
          </w:p>
        </w:tc>
      </w:tr>
      <w:tr w:rsidR="008E67EA" w:rsidRPr="00977CB2" w14:paraId="6836F57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7999F61" w14:textId="77777777" w:rsidR="008E67EA" w:rsidRPr="00977CB2" w:rsidRDefault="008E67EA" w:rsidP="00B44A74">
            <w:pPr>
              <w:spacing w:line="280" w:lineRule="exact"/>
              <w:rPr>
                <w:rFonts w:cs="Arial"/>
                <w:sz w:val="20"/>
                <w:szCs w:val="20"/>
              </w:rPr>
            </w:pPr>
            <w:r w:rsidRPr="00977CB2">
              <w:rPr>
                <w:rFonts w:cs="Arial"/>
                <w:sz w:val="20"/>
                <w:szCs w:val="20"/>
              </w:rPr>
              <w:t>First Aid Instructions:</w:t>
            </w:r>
          </w:p>
        </w:tc>
        <w:tc>
          <w:tcPr>
            <w:tcW w:w="7755" w:type="dxa"/>
            <w:tcBorders>
              <w:top w:val="single" w:sz="4" w:space="0" w:color="auto"/>
              <w:left w:val="single" w:sz="4" w:space="0" w:color="auto"/>
              <w:bottom w:val="single" w:sz="4" w:space="0" w:color="auto"/>
              <w:right w:val="single" w:sz="4" w:space="0" w:color="auto"/>
            </w:tcBorders>
          </w:tcPr>
          <w:p w14:paraId="4B841BE3" w14:textId="77777777" w:rsidR="008E67EA" w:rsidRPr="00977CB2" w:rsidRDefault="008E67EA" w:rsidP="00B44A74">
            <w:pPr>
              <w:spacing w:line="280" w:lineRule="exact"/>
              <w:rPr>
                <w:rFonts w:cs="Arial"/>
                <w:sz w:val="20"/>
                <w:szCs w:val="20"/>
              </w:rPr>
            </w:pPr>
            <w:r w:rsidRPr="00977CB2">
              <w:rPr>
                <w:rFonts w:cs="Arial"/>
                <w:sz w:val="20"/>
                <w:szCs w:val="20"/>
              </w:rPr>
              <w:t>FIRST AID</w:t>
            </w:r>
          </w:p>
          <w:p w14:paraId="262EB087" w14:textId="77777777" w:rsidR="008E67EA" w:rsidRPr="00977CB2" w:rsidRDefault="008E67EA" w:rsidP="00B44A74">
            <w:pPr>
              <w:spacing w:line="280" w:lineRule="exact"/>
              <w:rPr>
                <w:rFonts w:cs="Arial"/>
                <w:sz w:val="20"/>
                <w:szCs w:val="20"/>
              </w:rPr>
            </w:pPr>
            <w:r w:rsidRPr="00977CB2">
              <w:rPr>
                <w:rFonts w:cs="Arial"/>
                <w:sz w:val="20"/>
                <w:szCs w:val="20"/>
              </w:rPr>
              <w:t>If poisoning occurs, contact a doctor or Poisons Information Centre. Phone Australia 13 11 26, New Zealand 0800 764 766. Vitamin K1 (Phytomenadione) is antidotal.</w:t>
            </w:r>
          </w:p>
        </w:tc>
      </w:tr>
      <w:tr w:rsidR="008E67EA" w:rsidRPr="00977CB2" w14:paraId="51EE5A3E" w14:textId="77777777" w:rsidTr="00B44A74">
        <w:trPr>
          <w:jc w:val="center"/>
        </w:trPr>
        <w:tc>
          <w:tcPr>
            <w:tcW w:w="2415" w:type="dxa"/>
            <w:tcBorders>
              <w:top w:val="single" w:sz="4" w:space="0" w:color="auto"/>
              <w:left w:val="nil"/>
              <w:bottom w:val="single" w:sz="4" w:space="0" w:color="auto"/>
              <w:right w:val="nil"/>
            </w:tcBorders>
          </w:tcPr>
          <w:p w14:paraId="1F72FE6B" w14:textId="77777777" w:rsidR="008E67EA" w:rsidRPr="00977CB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99706D8" w14:textId="77777777" w:rsidR="008E67EA" w:rsidRPr="00977CB2" w:rsidRDefault="008E67EA" w:rsidP="00B44A74">
            <w:pPr>
              <w:spacing w:line="280" w:lineRule="exact"/>
              <w:rPr>
                <w:rFonts w:cs="Arial"/>
                <w:sz w:val="20"/>
                <w:szCs w:val="20"/>
              </w:rPr>
            </w:pPr>
          </w:p>
        </w:tc>
      </w:tr>
      <w:tr w:rsidR="008E67EA" w:rsidRPr="00977CB2" w14:paraId="23E1828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008EB31" w14:textId="77777777" w:rsidR="008E67EA" w:rsidRPr="00977CB2" w:rsidRDefault="008E67EA" w:rsidP="00B44A74">
            <w:pPr>
              <w:spacing w:line="280" w:lineRule="exact"/>
              <w:rPr>
                <w:rFonts w:cs="Arial"/>
                <w:sz w:val="20"/>
                <w:szCs w:val="20"/>
              </w:rPr>
            </w:pPr>
            <w:r w:rsidRPr="00977CB2">
              <w:rPr>
                <w:rFonts w:cs="Arial"/>
                <w:sz w:val="20"/>
                <w:szCs w:val="20"/>
              </w:rPr>
              <w:t>First Aid Warnings:</w:t>
            </w:r>
          </w:p>
        </w:tc>
        <w:tc>
          <w:tcPr>
            <w:tcW w:w="7755" w:type="dxa"/>
            <w:tcBorders>
              <w:top w:val="single" w:sz="4" w:space="0" w:color="auto"/>
              <w:left w:val="single" w:sz="4" w:space="0" w:color="auto"/>
              <w:bottom w:val="single" w:sz="4" w:space="0" w:color="auto"/>
              <w:right w:val="single" w:sz="4" w:space="0" w:color="auto"/>
            </w:tcBorders>
          </w:tcPr>
          <w:p w14:paraId="31339B81" w14:textId="77777777" w:rsidR="008E67EA" w:rsidRPr="00977CB2" w:rsidRDefault="008E67EA" w:rsidP="00B44A74">
            <w:pPr>
              <w:spacing w:line="280" w:lineRule="exact"/>
              <w:rPr>
                <w:rFonts w:cs="Arial"/>
                <w:sz w:val="20"/>
                <w:szCs w:val="20"/>
              </w:rPr>
            </w:pPr>
          </w:p>
        </w:tc>
      </w:tr>
    </w:tbl>
    <w:p w14:paraId="5A949C34" w14:textId="77777777" w:rsidR="008E67EA" w:rsidRDefault="008E67EA" w:rsidP="008E67EA">
      <w:pPr>
        <w:spacing w:line="278" w:lineRule="auto"/>
        <w:rPr>
          <w:rFonts w:cs="Arial"/>
          <w:b/>
          <w:bCs/>
          <w:sz w:val="20"/>
          <w:szCs w:val="20"/>
        </w:rPr>
      </w:pPr>
      <w:r>
        <w:rPr>
          <w:rFonts w:cs="Arial"/>
          <w:b/>
          <w:bCs/>
          <w:sz w:val="20"/>
          <w:szCs w:val="20"/>
        </w:rPr>
        <w:br w:type="page"/>
      </w:r>
    </w:p>
    <w:p w14:paraId="12395D19" w14:textId="77777777" w:rsidR="008E67EA" w:rsidRDefault="008E67EA" w:rsidP="008E67EA">
      <w:pPr>
        <w:rPr>
          <w:rFonts w:cs="Arial"/>
          <w:b/>
          <w:bCs/>
          <w:sz w:val="20"/>
          <w:szCs w:val="20"/>
        </w:rPr>
      </w:pPr>
      <w:r>
        <w:rPr>
          <w:rFonts w:cs="Arial"/>
          <w:b/>
          <w:bCs/>
          <w:sz w:val="20"/>
          <w:szCs w:val="20"/>
        </w:rPr>
        <w:lastRenderedPageBreak/>
        <w:t>HOW TO USE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984"/>
        <w:gridCol w:w="1276"/>
        <w:gridCol w:w="3776"/>
      </w:tblGrid>
      <w:tr w:rsidR="008E67EA" w:rsidRPr="00FF36BF" w14:paraId="57BB058F" w14:textId="77777777" w:rsidTr="00834983">
        <w:trPr>
          <w:trHeight w:val="340"/>
        </w:trPr>
        <w:tc>
          <w:tcPr>
            <w:tcW w:w="1980" w:type="dxa"/>
          </w:tcPr>
          <w:p w14:paraId="3DB53244" w14:textId="77777777" w:rsidR="008E67EA" w:rsidRPr="00246206" w:rsidRDefault="008E67EA" w:rsidP="00B44A74">
            <w:pPr>
              <w:pStyle w:val="TableParagraph"/>
              <w:widowControl/>
              <w:adjustRightInd w:val="0"/>
              <w:spacing w:before="61"/>
              <w:ind w:left="0"/>
              <w:rPr>
                <w:rFonts w:eastAsiaTheme="minorHAnsi"/>
                <w:b/>
                <w:bCs/>
                <w:sz w:val="20"/>
                <w:szCs w:val="20"/>
                <w:lang w:val="en-AU"/>
              </w:rPr>
            </w:pPr>
            <w:r w:rsidRPr="00246206">
              <w:rPr>
                <w:rFonts w:eastAsiaTheme="minorHAnsi"/>
                <w:b/>
                <w:bCs/>
                <w:sz w:val="20"/>
                <w:szCs w:val="20"/>
                <w:lang w:val="en-AU"/>
              </w:rPr>
              <w:t>PEST</w:t>
            </w:r>
          </w:p>
        </w:tc>
        <w:tc>
          <w:tcPr>
            <w:tcW w:w="1984" w:type="dxa"/>
          </w:tcPr>
          <w:p w14:paraId="6B563EA8" w14:textId="77777777" w:rsidR="008E67EA" w:rsidRPr="00246206" w:rsidRDefault="008E67EA" w:rsidP="00B44A74">
            <w:pPr>
              <w:pStyle w:val="TableParagraph"/>
              <w:widowControl/>
              <w:adjustRightInd w:val="0"/>
              <w:spacing w:before="61"/>
              <w:ind w:left="0"/>
              <w:rPr>
                <w:rFonts w:eastAsiaTheme="minorHAnsi"/>
                <w:b/>
                <w:bCs/>
                <w:sz w:val="20"/>
                <w:szCs w:val="20"/>
                <w:lang w:val="en-AU"/>
              </w:rPr>
            </w:pPr>
            <w:r w:rsidRPr="00246206">
              <w:rPr>
                <w:rFonts w:eastAsiaTheme="minorHAnsi"/>
                <w:b/>
                <w:bCs/>
                <w:sz w:val="20"/>
                <w:szCs w:val="20"/>
                <w:lang w:val="en-AU"/>
              </w:rPr>
              <w:t>SITUATION</w:t>
            </w:r>
          </w:p>
        </w:tc>
        <w:tc>
          <w:tcPr>
            <w:tcW w:w="1276" w:type="dxa"/>
          </w:tcPr>
          <w:p w14:paraId="66AE98B5" w14:textId="77777777" w:rsidR="008E67EA" w:rsidRPr="00246206" w:rsidRDefault="008E67EA" w:rsidP="00B44A74">
            <w:pPr>
              <w:pStyle w:val="TableParagraph"/>
              <w:widowControl/>
              <w:adjustRightInd w:val="0"/>
              <w:spacing w:before="61"/>
              <w:ind w:left="0"/>
              <w:rPr>
                <w:rFonts w:eastAsiaTheme="minorHAnsi"/>
                <w:b/>
                <w:bCs/>
                <w:sz w:val="20"/>
                <w:szCs w:val="20"/>
                <w:lang w:val="en-AU"/>
              </w:rPr>
            </w:pPr>
            <w:r w:rsidRPr="00246206">
              <w:rPr>
                <w:rFonts w:eastAsiaTheme="minorHAnsi"/>
                <w:b/>
                <w:bCs/>
                <w:sz w:val="20"/>
                <w:szCs w:val="20"/>
                <w:lang w:val="en-AU"/>
              </w:rPr>
              <w:t>RATE</w:t>
            </w:r>
          </w:p>
        </w:tc>
        <w:tc>
          <w:tcPr>
            <w:tcW w:w="3776" w:type="dxa"/>
          </w:tcPr>
          <w:p w14:paraId="53254453" w14:textId="77777777" w:rsidR="008E67EA" w:rsidRPr="00246206" w:rsidRDefault="008E67EA" w:rsidP="00B44A74">
            <w:pPr>
              <w:pStyle w:val="TableParagraph"/>
              <w:widowControl/>
              <w:adjustRightInd w:val="0"/>
              <w:spacing w:before="61"/>
              <w:ind w:left="0"/>
              <w:rPr>
                <w:rFonts w:eastAsiaTheme="minorHAnsi"/>
                <w:b/>
                <w:bCs/>
                <w:sz w:val="20"/>
                <w:szCs w:val="20"/>
                <w:lang w:val="en-AU"/>
              </w:rPr>
            </w:pPr>
            <w:r w:rsidRPr="00246206">
              <w:rPr>
                <w:rFonts w:eastAsiaTheme="minorHAnsi"/>
                <w:b/>
                <w:bCs/>
                <w:sz w:val="20"/>
                <w:szCs w:val="20"/>
                <w:lang w:val="en-AU"/>
              </w:rPr>
              <w:t>HOW TO APPLY</w:t>
            </w:r>
          </w:p>
        </w:tc>
      </w:tr>
      <w:tr w:rsidR="008E67EA" w:rsidRPr="00FF36BF" w14:paraId="179A05A7" w14:textId="77777777" w:rsidTr="00834983">
        <w:trPr>
          <w:trHeight w:val="421"/>
        </w:trPr>
        <w:tc>
          <w:tcPr>
            <w:tcW w:w="1980" w:type="dxa"/>
          </w:tcPr>
          <w:p w14:paraId="3CD11DE2" w14:textId="77777777" w:rsidR="008E67EA" w:rsidRPr="005D3D45" w:rsidRDefault="008E67EA" w:rsidP="00B44A74">
            <w:pPr>
              <w:spacing w:line="280" w:lineRule="exact"/>
              <w:rPr>
                <w:rFonts w:cs="Arial"/>
                <w:sz w:val="20"/>
                <w:szCs w:val="20"/>
              </w:rPr>
            </w:pPr>
            <w:r>
              <w:rPr>
                <w:rFonts w:cs="Arial"/>
                <w:sz w:val="20"/>
                <w:szCs w:val="20"/>
              </w:rPr>
              <w:t xml:space="preserve">Rats </w:t>
            </w:r>
            <w:r w:rsidRPr="007212AD">
              <w:rPr>
                <w:rFonts w:cs="Arial"/>
                <w:sz w:val="20"/>
                <w:szCs w:val="20"/>
              </w:rPr>
              <w:t>(</w:t>
            </w:r>
            <w:r w:rsidRPr="007212AD">
              <w:rPr>
                <w:rFonts w:cs="Arial"/>
                <w:i/>
                <w:iCs/>
                <w:sz w:val="20"/>
                <w:szCs w:val="20"/>
              </w:rPr>
              <w:t>Rattus rattus, Rattus norvegicus</w:t>
            </w:r>
            <w:r w:rsidRPr="007212AD">
              <w:rPr>
                <w:rFonts w:cs="Arial"/>
                <w:sz w:val="20"/>
                <w:szCs w:val="20"/>
              </w:rPr>
              <w:t>)</w:t>
            </w:r>
          </w:p>
        </w:tc>
        <w:tc>
          <w:tcPr>
            <w:tcW w:w="1984" w:type="dxa"/>
          </w:tcPr>
          <w:p w14:paraId="3D744643" w14:textId="77777777" w:rsidR="008E67EA" w:rsidRPr="005D3D45" w:rsidRDefault="008E67EA" w:rsidP="00B44A74">
            <w:pPr>
              <w:spacing w:line="280" w:lineRule="exact"/>
              <w:rPr>
                <w:rFonts w:cs="Arial"/>
                <w:sz w:val="20"/>
                <w:szCs w:val="20"/>
              </w:rPr>
            </w:pPr>
            <w:r w:rsidRPr="005D3D45">
              <w:rPr>
                <w:rFonts w:cs="Arial"/>
                <w:sz w:val="20"/>
                <w:szCs w:val="20"/>
              </w:rPr>
              <w:t>In</w:t>
            </w:r>
            <w:r>
              <w:rPr>
                <w:rFonts w:cs="Arial"/>
                <w:sz w:val="20"/>
                <w:szCs w:val="20"/>
              </w:rPr>
              <w:t xml:space="preserve"> and around</w:t>
            </w:r>
            <w:r w:rsidRPr="005D3D45">
              <w:rPr>
                <w:rFonts w:cs="Arial"/>
                <w:sz w:val="20"/>
                <w:szCs w:val="20"/>
              </w:rPr>
              <w:t xml:space="preserve"> </w:t>
            </w:r>
            <w:r>
              <w:rPr>
                <w:rFonts w:cs="Arial"/>
                <w:sz w:val="20"/>
                <w:szCs w:val="20"/>
              </w:rPr>
              <w:t xml:space="preserve">(within 2 meters) </w:t>
            </w:r>
            <w:r w:rsidRPr="005D3D45">
              <w:rPr>
                <w:rFonts w:cs="Arial"/>
                <w:sz w:val="20"/>
                <w:szCs w:val="20"/>
              </w:rPr>
              <w:t>domestic buildings</w:t>
            </w:r>
          </w:p>
        </w:tc>
        <w:tc>
          <w:tcPr>
            <w:tcW w:w="1276" w:type="dxa"/>
          </w:tcPr>
          <w:p w14:paraId="30B8460B" w14:textId="77777777" w:rsidR="008E67EA" w:rsidRPr="005D3D45" w:rsidRDefault="008E67EA" w:rsidP="00B44A74">
            <w:pPr>
              <w:spacing w:line="280" w:lineRule="exact"/>
              <w:rPr>
                <w:rFonts w:cs="Arial"/>
                <w:sz w:val="20"/>
                <w:szCs w:val="20"/>
              </w:rPr>
            </w:pPr>
            <w:r>
              <w:rPr>
                <w:rFonts w:cs="Arial"/>
                <w:sz w:val="20"/>
                <w:szCs w:val="20"/>
              </w:rPr>
              <w:t>[As per current approved label]</w:t>
            </w:r>
          </w:p>
        </w:tc>
        <w:tc>
          <w:tcPr>
            <w:tcW w:w="3776" w:type="dxa"/>
            <w:vMerge w:val="restart"/>
          </w:tcPr>
          <w:p w14:paraId="2863D556" w14:textId="63AAD88B" w:rsidR="008E67EA" w:rsidRPr="006D6426" w:rsidRDefault="008E67EA" w:rsidP="00B44A74">
            <w:pPr>
              <w:spacing w:after="120" w:line="280" w:lineRule="exact"/>
              <w:rPr>
                <w:rFonts w:eastAsia="Calibri" w:cs="Arial"/>
                <w:sz w:val="20"/>
                <w:szCs w:val="20"/>
                <w:bdr w:val="none" w:sz="0" w:space="0" w:color="auto" w:frame="1"/>
              </w:rPr>
            </w:pPr>
            <w:r w:rsidRPr="006D6426">
              <w:rPr>
                <w:rFonts w:eastAsia="Calibri" w:cs="Arial"/>
                <w:sz w:val="20"/>
                <w:szCs w:val="20"/>
                <w:bdr w:val="none" w:sz="0" w:space="0" w:color="auto" w:frame="1"/>
              </w:rPr>
              <w:t>Place bait stations in infested area, where there are signs of rodent activity, along walls or rafters and in dark, sheltered places. DO NOT touch bait.</w:t>
            </w:r>
          </w:p>
          <w:p w14:paraId="18FC06B5" w14:textId="77777777" w:rsidR="008E67EA" w:rsidRPr="005D3D45" w:rsidRDefault="008E67EA" w:rsidP="00B44A74">
            <w:pPr>
              <w:spacing w:after="120" w:line="280" w:lineRule="exact"/>
              <w:rPr>
                <w:rFonts w:cs="Arial"/>
                <w:sz w:val="20"/>
                <w:szCs w:val="20"/>
              </w:rPr>
            </w:pPr>
            <w:r w:rsidRPr="006D6426">
              <w:rPr>
                <w:rFonts w:eastAsia="Calibri" w:cs="Arial"/>
                <w:sz w:val="20"/>
                <w:szCs w:val="20"/>
                <w:bdr w:val="none" w:sz="0" w:space="0" w:color="auto" w:frame="1"/>
              </w:rPr>
              <w:t>The feeding behaviour of mice and rats differ. Mice require several feeding locations not more than 3 m apart. Rats require [as per current approved label, 1-2 or 2-4] baits in 1 or 2 locations not more than 9 m apart</w:t>
            </w:r>
            <w:r w:rsidRPr="0002084E" w:rsidDel="0002084E">
              <w:rPr>
                <w:rFonts w:cs="Arial"/>
                <w:sz w:val="20"/>
                <w:szCs w:val="20"/>
              </w:rPr>
              <w:t xml:space="preserve"> </w:t>
            </w:r>
          </w:p>
        </w:tc>
      </w:tr>
      <w:tr w:rsidR="008E67EA" w:rsidRPr="00FF36BF" w14:paraId="5081D81B" w14:textId="77777777" w:rsidTr="00834983">
        <w:trPr>
          <w:trHeight w:val="1785"/>
        </w:trPr>
        <w:tc>
          <w:tcPr>
            <w:tcW w:w="1980" w:type="dxa"/>
          </w:tcPr>
          <w:p w14:paraId="0AD79E7B" w14:textId="77777777" w:rsidR="008E67EA" w:rsidRPr="005D3D45" w:rsidRDefault="008E67EA" w:rsidP="00B44A74">
            <w:pPr>
              <w:spacing w:line="280" w:lineRule="exact"/>
              <w:rPr>
                <w:rFonts w:cs="Arial"/>
                <w:sz w:val="20"/>
                <w:szCs w:val="20"/>
              </w:rPr>
            </w:pPr>
            <w:r>
              <w:rPr>
                <w:rFonts w:cs="Arial"/>
                <w:sz w:val="20"/>
                <w:szCs w:val="20"/>
              </w:rPr>
              <w:t xml:space="preserve">Mice </w:t>
            </w:r>
            <w:r w:rsidRPr="007212AD">
              <w:rPr>
                <w:rFonts w:cs="Arial"/>
                <w:sz w:val="20"/>
                <w:szCs w:val="20"/>
              </w:rPr>
              <w:t>(</w:t>
            </w:r>
            <w:r w:rsidRPr="007212AD">
              <w:rPr>
                <w:rFonts w:cs="Arial"/>
                <w:i/>
                <w:iCs/>
                <w:sz w:val="20"/>
                <w:szCs w:val="20"/>
              </w:rPr>
              <w:t>Mus musculus</w:t>
            </w:r>
            <w:r w:rsidRPr="007212AD">
              <w:rPr>
                <w:rFonts w:cs="Arial"/>
                <w:sz w:val="20"/>
                <w:szCs w:val="20"/>
              </w:rPr>
              <w:t>)</w:t>
            </w:r>
          </w:p>
        </w:tc>
        <w:tc>
          <w:tcPr>
            <w:tcW w:w="1984" w:type="dxa"/>
          </w:tcPr>
          <w:p w14:paraId="0CE77AC0" w14:textId="77777777" w:rsidR="008E67EA" w:rsidRPr="005D3D45" w:rsidRDefault="008E67EA" w:rsidP="00B44A74">
            <w:pPr>
              <w:spacing w:line="280" w:lineRule="exact"/>
              <w:rPr>
                <w:rFonts w:cs="Arial"/>
                <w:sz w:val="20"/>
                <w:szCs w:val="20"/>
              </w:rPr>
            </w:pPr>
            <w:r w:rsidRPr="005D3D45">
              <w:rPr>
                <w:rFonts w:cs="Arial"/>
                <w:sz w:val="20"/>
                <w:szCs w:val="20"/>
              </w:rPr>
              <w:t xml:space="preserve">In domestic buildings </w:t>
            </w:r>
          </w:p>
        </w:tc>
        <w:tc>
          <w:tcPr>
            <w:tcW w:w="1276" w:type="dxa"/>
          </w:tcPr>
          <w:p w14:paraId="275CD5B8" w14:textId="77777777" w:rsidR="008E67EA" w:rsidRPr="005D3D45" w:rsidRDefault="008E67EA" w:rsidP="00B44A74">
            <w:pPr>
              <w:spacing w:line="280" w:lineRule="exact"/>
              <w:rPr>
                <w:rFonts w:cs="Arial"/>
                <w:sz w:val="20"/>
                <w:szCs w:val="20"/>
              </w:rPr>
            </w:pPr>
            <w:r>
              <w:rPr>
                <w:rFonts w:cs="Arial"/>
                <w:sz w:val="20"/>
                <w:szCs w:val="20"/>
              </w:rPr>
              <w:t>1 bait/bait station</w:t>
            </w:r>
          </w:p>
        </w:tc>
        <w:tc>
          <w:tcPr>
            <w:tcW w:w="3776" w:type="dxa"/>
            <w:vMerge/>
          </w:tcPr>
          <w:p w14:paraId="2F7FAFA3" w14:textId="77777777" w:rsidR="008E67EA" w:rsidRPr="005D3D45" w:rsidRDefault="008E67EA" w:rsidP="00B44A74">
            <w:pPr>
              <w:spacing w:line="280" w:lineRule="exact"/>
              <w:rPr>
                <w:rFonts w:cs="Arial"/>
                <w:sz w:val="20"/>
                <w:szCs w:val="20"/>
              </w:rPr>
            </w:pPr>
          </w:p>
        </w:tc>
      </w:tr>
      <w:tr w:rsidR="008E67EA" w:rsidRPr="00FF36BF" w14:paraId="7AD72F98" w14:textId="77777777" w:rsidTr="00834983">
        <w:trPr>
          <w:trHeight w:val="421"/>
        </w:trPr>
        <w:tc>
          <w:tcPr>
            <w:tcW w:w="9016" w:type="dxa"/>
            <w:gridSpan w:val="4"/>
          </w:tcPr>
          <w:p w14:paraId="204C601F" w14:textId="2C4234A6" w:rsidR="008E67EA" w:rsidRDefault="008E67EA" w:rsidP="00B44A74">
            <w:pPr>
              <w:spacing w:after="120" w:line="280" w:lineRule="exact"/>
              <w:rPr>
                <w:rFonts w:eastAsia="Calibri" w:cs="Arial"/>
                <w:b/>
                <w:bCs/>
                <w:sz w:val="20"/>
                <w:szCs w:val="20"/>
                <w:bdr w:val="none" w:sz="0" w:space="0" w:color="auto" w:frame="1"/>
                <w:lang w:val="en-GB"/>
              </w:rPr>
            </w:pPr>
            <w:r w:rsidRPr="001E6DA9">
              <w:rPr>
                <w:rFonts w:eastAsia="Calibri" w:cs="Arial"/>
                <w:b/>
                <w:bCs/>
                <w:sz w:val="20"/>
                <w:szCs w:val="20"/>
                <w:bdr w:val="none" w:sz="0" w:space="0" w:color="auto" w:frame="1"/>
                <w:lang w:val="en-GB"/>
              </w:rPr>
              <w:t xml:space="preserve">General Information and baiting strategy for </w:t>
            </w:r>
            <w:r>
              <w:rPr>
                <w:rFonts w:eastAsia="Calibri" w:cs="Arial"/>
                <w:b/>
                <w:bCs/>
                <w:sz w:val="20"/>
                <w:szCs w:val="20"/>
                <w:bdr w:val="none" w:sz="0" w:space="0" w:color="auto" w:frame="1"/>
                <w:lang w:val="en-GB"/>
              </w:rPr>
              <w:t>effective control</w:t>
            </w:r>
            <w:r w:rsidRPr="001E6DA9">
              <w:rPr>
                <w:rFonts w:eastAsia="Calibri" w:cs="Arial"/>
                <w:b/>
                <w:bCs/>
                <w:sz w:val="20"/>
                <w:szCs w:val="20"/>
                <w:bdr w:val="none" w:sz="0" w:space="0" w:color="auto" w:frame="1"/>
                <w:lang w:val="en-GB"/>
              </w:rPr>
              <w:t>:</w:t>
            </w:r>
          </w:p>
          <w:p w14:paraId="2D1056B6" w14:textId="77777777" w:rsidR="008E67EA" w:rsidRPr="0002084E" w:rsidRDefault="008E67EA" w:rsidP="00B44A74">
            <w:pPr>
              <w:spacing w:after="120" w:line="280" w:lineRule="exact"/>
              <w:rPr>
                <w:rFonts w:eastAsia="Calibri" w:cs="Arial"/>
                <w:sz w:val="20"/>
                <w:szCs w:val="20"/>
                <w:bdr w:val="none" w:sz="0" w:space="0" w:color="auto" w:frame="1"/>
              </w:rPr>
            </w:pPr>
            <w:r w:rsidRPr="0002084E">
              <w:rPr>
                <w:rFonts w:eastAsia="Calibri" w:cs="Arial"/>
                <w:sz w:val="20"/>
                <w:szCs w:val="20"/>
                <w:bdr w:val="none" w:sz="0" w:space="0" w:color="auto" w:frame="1"/>
              </w:rPr>
              <w:t>Eliminate as far as practical, all alternative food sources.</w:t>
            </w:r>
          </w:p>
          <w:p w14:paraId="66DB4899" w14:textId="77777777" w:rsidR="008E67EA" w:rsidRPr="0002084E" w:rsidRDefault="008E67EA" w:rsidP="00B44A74">
            <w:pPr>
              <w:spacing w:after="120" w:line="280" w:lineRule="exact"/>
              <w:rPr>
                <w:rFonts w:eastAsia="Calibri" w:cs="Arial"/>
                <w:sz w:val="20"/>
                <w:szCs w:val="20"/>
                <w:bdr w:val="none" w:sz="0" w:space="0" w:color="auto" w:frame="1"/>
              </w:rPr>
            </w:pPr>
            <w:r w:rsidRPr="006E5319">
              <w:rPr>
                <w:rFonts w:eastAsia="Calibri" w:cs="Arial"/>
                <w:sz w:val="20"/>
                <w:szCs w:val="20"/>
                <w:bdr w:val="none" w:sz="0" w:space="0" w:color="auto" w:frame="1"/>
              </w:rPr>
              <w:t>Use in tamper resistant bait stations only. If bait can be dislodged from bait station, fix tamper-resistant bait stations to the ground or other structures.</w:t>
            </w:r>
            <w:r>
              <w:rPr>
                <w:rFonts w:eastAsia="Calibri" w:cs="Arial"/>
                <w:sz w:val="20"/>
                <w:szCs w:val="20"/>
                <w:bdr w:val="none" w:sz="0" w:space="0" w:color="auto" w:frame="1"/>
              </w:rPr>
              <w:t xml:space="preserve"> </w:t>
            </w:r>
            <w:r w:rsidRPr="0002084E">
              <w:rPr>
                <w:rFonts w:eastAsia="Calibri" w:cs="Arial"/>
                <w:sz w:val="20"/>
                <w:szCs w:val="20"/>
                <w:bdr w:val="none" w:sz="0" w:space="0" w:color="auto" w:frame="1"/>
              </w:rPr>
              <w:t>Record the number and location of baits for later replenishment and or removal.</w:t>
            </w:r>
          </w:p>
          <w:p w14:paraId="057D168A" w14:textId="77777777" w:rsidR="008E67EA" w:rsidRDefault="008E67EA" w:rsidP="00B44A74">
            <w:pPr>
              <w:spacing w:after="120" w:line="280" w:lineRule="exact"/>
              <w:rPr>
                <w:rFonts w:eastAsia="Calibri" w:cs="Arial"/>
                <w:sz w:val="20"/>
                <w:szCs w:val="20"/>
                <w:bdr w:val="none" w:sz="0" w:space="0" w:color="auto" w:frame="1"/>
              </w:rPr>
            </w:pPr>
            <w:r w:rsidRPr="0002084E">
              <w:rPr>
                <w:rFonts w:eastAsia="Calibri" w:cs="Arial"/>
                <w:sz w:val="20"/>
                <w:szCs w:val="20"/>
                <w:bdr w:val="none" w:sz="0" w:space="0" w:color="auto" w:frame="1"/>
              </w:rPr>
              <w:t>Inspect baits daily. Replace eaten baits</w:t>
            </w:r>
            <w:r>
              <w:t xml:space="preserve"> a</w:t>
            </w:r>
            <w:r w:rsidRPr="004E0AA2">
              <w:rPr>
                <w:rFonts w:eastAsia="Calibri" w:cs="Arial"/>
                <w:sz w:val="20"/>
                <w:szCs w:val="20"/>
                <w:bdr w:val="none" w:sz="0" w:space="0" w:color="auto" w:frame="1"/>
              </w:rPr>
              <w:t>nd increase number of bait stations if bait is being eaten</w:t>
            </w:r>
            <w:r>
              <w:rPr>
                <w:rFonts w:eastAsia="Calibri" w:cs="Arial"/>
                <w:sz w:val="20"/>
                <w:szCs w:val="20"/>
                <w:bdr w:val="none" w:sz="0" w:space="0" w:color="auto" w:frame="1"/>
              </w:rPr>
              <w:t xml:space="preserve"> </w:t>
            </w:r>
            <w:r w:rsidRPr="004E0AA2">
              <w:rPr>
                <w:rFonts w:eastAsia="Calibri" w:cs="Arial"/>
                <w:sz w:val="20"/>
                <w:szCs w:val="20"/>
                <w:bdr w:val="none" w:sz="0" w:space="0" w:color="auto" w:frame="1"/>
              </w:rPr>
              <w:t>quickly</w:t>
            </w:r>
            <w:r w:rsidRPr="0002084E">
              <w:rPr>
                <w:rFonts w:eastAsia="Calibri" w:cs="Arial"/>
                <w:sz w:val="20"/>
                <w:szCs w:val="20"/>
                <w:bdr w:val="none" w:sz="0" w:space="0" w:color="auto" w:frame="1"/>
              </w:rPr>
              <w:t>. Continue observation and replenishment until no</w:t>
            </w:r>
            <w:r>
              <w:rPr>
                <w:rFonts w:eastAsia="Calibri" w:cs="Arial"/>
                <w:sz w:val="20"/>
                <w:szCs w:val="20"/>
                <w:bdr w:val="none" w:sz="0" w:space="0" w:color="auto" w:frame="1"/>
              </w:rPr>
              <w:t xml:space="preserve"> </w:t>
            </w:r>
            <w:r w:rsidRPr="0002084E">
              <w:rPr>
                <w:rFonts w:eastAsia="Calibri" w:cs="Arial"/>
                <w:sz w:val="20"/>
                <w:szCs w:val="20"/>
                <w:bdr w:val="none" w:sz="0" w:space="0" w:color="auto" w:frame="1"/>
              </w:rPr>
              <w:t>more baits are taken. Most</w:t>
            </w:r>
            <w:r>
              <w:rPr>
                <w:rFonts w:eastAsia="Calibri" w:cs="Arial"/>
                <w:sz w:val="20"/>
                <w:szCs w:val="20"/>
                <w:bdr w:val="none" w:sz="0" w:space="0" w:color="auto" w:frame="1"/>
              </w:rPr>
              <w:t xml:space="preserve"> </w:t>
            </w:r>
            <w:r w:rsidRPr="0002084E">
              <w:rPr>
                <w:rFonts w:eastAsia="Calibri" w:cs="Arial"/>
                <w:sz w:val="20"/>
                <w:szCs w:val="20"/>
                <w:bdr w:val="none" w:sz="0" w:space="0" w:color="auto" w:frame="1"/>
              </w:rPr>
              <w:t>deaths occur 4 to 7 days after consumption of bait. Baiting for at least 2 weeks will be</w:t>
            </w:r>
            <w:r>
              <w:rPr>
                <w:rFonts w:eastAsia="Calibri" w:cs="Arial"/>
                <w:sz w:val="20"/>
                <w:szCs w:val="20"/>
                <w:bdr w:val="none" w:sz="0" w:space="0" w:color="auto" w:frame="1"/>
              </w:rPr>
              <w:t xml:space="preserve"> </w:t>
            </w:r>
            <w:r w:rsidRPr="0002084E">
              <w:rPr>
                <w:rFonts w:eastAsia="Calibri" w:cs="Arial"/>
                <w:sz w:val="20"/>
                <w:szCs w:val="20"/>
                <w:bdr w:val="none" w:sz="0" w:space="0" w:color="auto" w:frame="1"/>
              </w:rPr>
              <w:t>necessary to reduce rat/mouse numbers.</w:t>
            </w:r>
          </w:p>
          <w:p w14:paraId="2AD65066" w14:textId="77777777" w:rsidR="008E67EA" w:rsidRPr="00246206" w:rsidRDefault="008E67EA" w:rsidP="00B44A74">
            <w:pPr>
              <w:spacing w:after="120" w:line="280" w:lineRule="exact"/>
              <w:rPr>
                <w:rFonts w:eastAsia="Calibri" w:cs="Arial"/>
                <w:sz w:val="20"/>
                <w:szCs w:val="20"/>
                <w:bdr w:val="none" w:sz="0" w:space="0" w:color="auto" w:frame="1"/>
                <w:lang w:val="en-GB"/>
              </w:rPr>
            </w:pPr>
            <w:r w:rsidRPr="0002084E">
              <w:rPr>
                <w:rFonts w:eastAsia="Calibri" w:cs="Arial"/>
                <w:sz w:val="20"/>
                <w:szCs w:val="20"/>
                <w:bdr w:val="none" w:sz="0" w:space="0" w:color="auto" w:frame="1"/>
              </w:rPr>
              <w:t xml:space="preserve">Ensure baits are removed when rodent activity has ceased. </w:t>
            </w:r>
            <w:r w:rsidRPr="004E0AA2">
              <w:rPr>
                <w:rFonts w:eastAsia="Calibri" w:cs="Arial"/>
                <w:sz w:val="20"/>
                <w:szCs w:val="20"/>
                <w:bdr w:val="none" w:sz="0" w:space="0" w:color="auto" w:frame="1"/>
              </w:rPr>
              <w:t>DO NOT use the product for longer than 35 days. If rodent activity is still observed after 35 days, seek advice from the product supplier or call a pest control service.</w:t>
            </w:r>
          </w:p>
        </w:tc>
      </w:tr>
    </w:tbl>
    <w:p w14:paraId="271F60A3" w14:textId="02EA8A38" w:rsidR="008E67EA" w:rsidRDefault="008E67EA" w:rsidP="008E67EA">
      <w:pPr>
        <w:rPr>
          <w:rFonts w:cs="Arial"/>
          <w:b/>
          <w:bCs/>
          <w:sz w:val="20"/>
          <w:szCs w:val="20"/>
          <w:bdr w:val="none" w:sz="0" w:space="0" w:color="auto" w:frame="1"/>
          <w:lang w:val="en-GB" w:eastAsia="en-AU"/>
        </w:rPr>
      </w:pPr>
      <w:r w:rsidRPr="00E176C4">
        <w:rPr>
          <w:rFonts w:cs="Arial"/>
          <w:b/>
          <w:bCs/>
          <w:sz w:val="20"/>
          <w:szCs w:val="20"/>
        </w:rPr>
        <w:t>NOT TO BE USED FOR ANY PURPOSE, OR IN ANY MANNER, CONTRARY TO THIS LABEL UNLESS AUTHORISED.</w:t>
      </w:r>
      <w:r>
        <w:rPr>
          <w:rFonts w:cs="Arial"/>
          <w:b/>
          <w:bCs/>
          <w:sz w:val="20"/>
          <w:szCs w:val="20"/>
          <w:bdr w:val="none" w:sz="0" w:space="0" w:color="auto" w:frame="1"/>
          <w:lang w:val="en-GB" w:eastAsia="en-AU"/>
        </w:rPr>
        <w:br w:type="page"/>
      </w:r>
    </w:p>
    <w:p w14:paraId="79CB18E4" w14:textId="77777777" w:rsidR="008E67EA"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lastRenderedPageBreak/>
        <w:t xml:space="preserve">Template Label </w:t>
      </w:r>
      <w:r>
        <w:rPr>
          <w:rFonts w:cs="Arial"/>
          <w:b/>
          <w:bCs/>
          <w:sz w:val="20"/>
          <w:szCs w:val="20"/>
          <w:bdr w:val="none" w:sz="0" w:space="0" w:color="auto" w:frame="1"/>
          <w:lang w:val="en-GB" w:eastAsia="en-AU"/>
        </w:rPr>
        <w:t>7b</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E176C4" w14:paraId="56DD987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F86CE32" w14:textId="77777777" w:rsidR="008E67EA" w:rsidRPr="00E176C4" w:rsidRDefault="008E67EA" w:rsidP="00B44A74">
            <w:pPr>
              <w:spacing w:line="280" w:lineRule="exact"/>
              <w:rPr>
                <w:rFonts w:cs="Arial"/>
                <w:sz w:val="20"/>
                <w:szCs w:val="20"/>
              </w:rPr>
            </w:pPr>
            <w:r w:rsidRPr="00E176C4">
              <w:rPr>
                <w:rFonts w:cs="Arial"/>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71A15F9A" w14:textId="77777777" w:rsidR="008E67EA" w:rsidRPr="00E11C08" w:rsidRDefault="008E67EA" w:rsidP="00B44A74">
            <w:pPr>
              <w:spacing w:line="280" w:lineRule="exact"/>
              <w:rPr>
                <w:rFonts w:cs="Arial"/>
                <w:sz w:val="20"/>
                <w:szCs w:val="20"/>
              </w:rPr>
            </w:pPr>
            <w:r w:rsidRPr="00E11C08">
              <w:rPr>
                <w:rFonts w:cs="Arial"/>
                <w:sz w:val="20"/>
                <w:szCs w:val="20"/>
              </w:rPr>
              <w:t>[INSERT LABEL NAME]</w:t>
            </w:r>
            <w:r w:rsidRPr="00E11C08" w:rsidDel="00E11C08">
              <w:rPr>
                <w:rFonts w:cs="Arial"/>
                <w:sz w:val="20"/>
                <w:szCs w:val="20"/>
              </w:rPr>
              <w:t xml:space="preserve"> </w:t>
            </w:r>
          </w:p>
        </w:tc>
      </w:tr>
      <w:tr w:rsidR="008E67EA" w:rsidRPr="00E176C4" w14:paraId="2C8CECE2" w14:textId="77777777" w:rsidTr="00B44A74">
        <w:trPr>
          <w:jc w:val="center"/>
        </w:trPr>
        <w:tc>
          <w:tcPr>
            <w:tcW w:w="2415" w:type="dxa"/>
            <w:tcBorders>
              <w:top w:val="single" w:sz="4" w:space="0" w:color="auto"/>
              <w:left w:val="nil"/>
              <w:bottom w:val="single" w:sz="4" w:space="0" w:color="auto"/>
              <w:right w:val="nil"/>
            </w:tcBorders>
          </w:tcPr>
          <w:p w14:paraId="0E301C3A" w14:textId="77777777" w:rsidR="008E67EA" w:rsidRPr="00E176C4"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6B7999C" w14:textId="77777777" w:rsidR="008E67EA" w:rsidRPr="00E11C08" w:rsidRDefault="008E67EA" w:rsidP="00B44A74">
            <w:pPr>
              <w:spacing w:line="280" w:lineRule="exact"/>
              <w:rPr>
                <w:rFonts w:cs="Arial"/>
                <w:sz w:val="20"/>
                <w:szCs w:val="20"/>
              </w:rPr>
            </w:pPr>
          </w:p>
        </w:tc>
      </w:tr>
      <w:tr w:rsidR="008E67EA" w:rsidRPr="00E176C4" w14:paraId="2EBCCF9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5687391" w14:textId="77777777" w:rsidR="008E67EA" w:rsidRPr="00E176C4" w:rsidRDefault="008E67EA" w:rsidP="00B44A74">
            <w:pPr>
              <w:spacing w:line="280" w:lineRule="exact"/>
              <w:rPr>
                <w:rFonts w:cs="Arial"/>
                <w:sz w:val="20"/>
                <w:szCs w:val="20"/>
              </w:rPr>
            </w:pPr>
            <w:r w:rsidRPr="00E176C4">
              <w:rPr>
                <w:rFonts w:cs="Arial"/>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032656E0" w14:textId="77777777" w:rsidR="008E67EA" w:rsidRPr="00E11C08" w:rsidRDefault="008E67EA" w:rsidP="00B44A74">
            <w:pPr>
              <w:spacing w:line="280" w:lineRule="exact"/>
              <w:rPr>
                <w:rFonts w:cs="Arial"/>
                <w:sz w:val="20"/>
                <w:szCs w:val="20"/>
              </w:rPr>
            </w:pPr>
            <w:r w:rsidRPr="00E11C08">
              <w:rPr>
                <w:rFonts w:cs="Arial"/>
                <w:sz w:val="20"/>
                <w:szCs w:val="20"/>
              </w:rPr>
              <w:t>POISON</w:t>
            </w:r>
          </w:p>
          <w:p w14:paraId="70DF70A4" w14:textId="77777777" w:rsidR="008E67EA" w:rsidRPr="00E11C08" w:rsidRDefault="008E67EA" w:rsidP="00B44A74">
            <w:pPr>
              <w:spacing w:line="280" w:lineRule="exact"/>
              <w:rPr>
                <w:rFonts w:cs="Arial"/>
                <w:sz w:val="20"/>
                <w:szCs w:val="20"/>
              </w:rPr>
            </w:pPr>
            <w:r w:rsidRPr="00E11C08">
              <w:rPr>
                <w:rFonts w:cs="Arial"/>
                <w:sz w:val="20"/>
                <w:szCs w:val="20"/>
              </w:rPr>
              <w:t>KEEP OUT OF REACH OF CHILDREN</w:t>
            </w:r>
          </w:p>
          <w:p w14:paraId="46F1364C" w14:textId="77777777" w:rsidR="008E67EA" w:rsidRPr="00E11C08" w:rsidRDefault="008E67EA" w:rsidP="00B44A74">
            <w:pPr>
              <w:spacing w:line="280" w:lineRule="exact"/>
              <w:rPr>
                <w:rFonts w:cs="Arial"/>
                <w:sz w:val="20"/>
                <w:szCs w:val="20"/>
              </w:rPr>
            </w:pPr>
            <w:r w:rsidRPr="00E11C08">
              <w:rPr>
                <w:rFonts w:cs="Arial"/>
                <w:sz w:val="20"/>
                <w:szCs w:val="20"/>
              </w:rPr>
              <w:t>READ SAFETY DIRECTIONS</w:t>
            </w:r>
          </w:p>
        </w:tc>
      </w:tr>
      <w:tr w:rsidR="008E67EA" w:rsidRPr="00E176C4" w14:paraId="05FEDCD0" w14:textId="77777777" w:rsidTr="00B44A74">
        <w:trPr>
          <w:jc w:val="center"/>
        </w:trPr>
        <w:tc>
          <w:tcPr>
            <w:tcW w:w="2415" w:type="dxa"/>
            <w:tcBorders>
              <w:top w:val="single" w:sz="4" w:space="0" w:color="auto"/>
              <w:left w:val="nil"/>
              <w:bottom w:val="single" w:sz="4" w:space="0" w:color="auto"/>
              <w:right w:val="nil"/>
            </w:tcBorders>
          </w:tcPr>
          <w:p w14:paraId="1C7570E3" w14:textId="77777777" w:rsidR="008E67EA" w:rsidRPr="00E176C4"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0786671" w14:textId="77777777" w:rsidR="008E67EA" w:rsidRPr="00E11C08" w:rsidRDefault="008E67EA" w:rsidP="00B44A74">
            <w:pPr>
              <w:spacing w:line="280" w:lineRule="exact"/>
              <w:rPr>
                <w:rFonts w:cs="Arial"/>
                <w:sz w:val="20"/>
                <w:szCs w:val="20"/>
              </w:rPr>
            </w:pPr>
          </w:p>
        </w:tc>
      </w:tr>
      <w:tr w:rsidR="008E67EA" w:rsidRPr="00E176C4" w14:paraId="5AA1DB9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D69D049" w14:textId="77777777" w:rsidR="008E67EA" w:rsidRPr="00E176C4" w:rsidRDefault="008E67EA" w:rsidP="00B44A74">
            <w:pPr>
              <w:spacing w:line="280" w:lineRule="exact"/>
              <w:rPr>
                <w:rFonts w:cs="Arial"/>
                <w:sz w:val="20"/>
                <w:szCs w:val="20"/>
              </w:rPr>
            </w:pPr>
            <w:r w:rsidRPr="00E176C4">
              <w:rPr>
                <w:rFonts w:cs="Arial"/>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7F684740" w14:textId="7AC52583" w:rsidR="008E67EA" w:rsidRDefault="008E67EA" w:rsidP="00B44A74">
            <w:pPr>
              <w:spacing w:line="280" w:lineRule="exact"/>
              <w:rPr>
                <w:rFonts w:cs="Arial"/>
                <w:sz w:val="20"/>
                <w:szCs w:val="20"/>
              </w:rPr>
            </w:pPr>
            <w:r w:rsidRPr="00E11C08">
              <w:rPr>
                <w:rFonts w:cs="Arial"/>
                <w:sz w:val="20"/>
                <w:szCs w:val="20"/>
              </w:rPr>
              <w:t>ACTIVE CONSTITUENTS:</w:t>
            </w:r>
          </w:p>
          <w:p w14:paraId="5E824E12" w14:textId="77777777" w:rsidR="008E67EA" w:rsidRPr="00E11C08" w:rsidRDefault="008E67EA" w:rsidP="00B44A74">
            <w:pPr>
              <w:spacing w:line="280" w:lineRule="exact"/>
              <w:rPr>
                <w:rFonts w:cs="Arial"/>
                <w:sz w:val="20"/>
                <w:szCs w:val="20"/>
              </w:rPr>
            </w:pPr>
            <w:r w:rsidRPr="00E11C08">
              <w:rPr>
                <w:rFonts w:cs="Arial"/>
                <w:sz w:val="20"/>
                <w:szCs w:val="20"/>
              </w:rPr>
              <w:t>0.05 g/kg BRODIFACOUM</w:t>
            </w:r>
          </w:p>
          <w:p w14:paraId="47F9F110" w14:textId="77777777" w:rsidR="008E67EA" w:rsidRPr="00E11C08" w:rsidRDefault="008E67EA" w:rsidP="00B44A74">
            <w:pPr>
              <w:spacing w:line="280" w:lineRule="exact"/>
              <w:rPr>
                <w:rFonts w:cs="Arial"/>
                <w:sz w:val="20"/>
                <w:szCs w:val="20"/>
              </w:rPr>
            </w:pPr>
            <w:r w:rsidRPr="00E11C08">
              <w:rPr>
                <w:rFonts w:cs="Arial"/>
                <w:sz w:val="20"/>
                <w:szCs w:val="20"/>
              </w:rPr>
              <w:t>0.04 g/kg FIPRONIL</w:t>
            </w:r>
          </w:p>
        </w:tc>
      </w:tr>
      <w:tr w:rsidR="008E67EA" w:rsidRPr="00E176C4" w14:paraId="15300B37" w14:textId="77777777" w:rsidTr="00B44A74">
        <w:trPr>
          <w:jc w:val="center"/>
        </w:trPr>
        <w:tc>
          <w:tcPr>
            <w:tcW w:w="2415" w:type="dxa"/>
            <w:tcBorders>
              <w:top w:val="single" w:sz="4" w:space="0" w:color="auto"/>
              <w:left w:val="nil"/>
              <w:bottom w:val="single" w:sz="4" w:space="0" w:color="auto"/>
              <w:right w:val="nil"/>
            </w:tcBorders>
          </w:tcPr>
          <w:p w14:paraId="0E70FA9B" w14:textId="77777777" w:rsidR="008E67EA" w:rsidRPr="00E176C4"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F4AD73D" w14:textId="77777777" w:rsidR="008E67EA" w:rsidRPr="00E11C08" w:rsidRDefault="008E67EA" w:rsidP="00B44A74">
            <w:pPr>
              <w:spacing w:line="280" w:lineRule="exact"/>
              <w:rPr>
                <w:rFonts w:cs="Arial"/>
                <w:sz w:val="20"/>
                <w:szCs w:val="20"/>
              </w:rPr>
            </w:pPr>
          </w:p>
        </w:tc>
      </w:tr>
      <w:tr w:rsidR="008E67EA" w:rsidRPr="00E176C4" w14:paraId="0FCC135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F2AFE77" w14:textId="77777777" w:rsidR="008E67EA" w:rsidRPr="00E176C4" w:rsidRDefault="008E67EA" w:rsidP="00B44A74">
            <w:pPr>
              <w:spacing w:line="280" w:lineRule="exact"/>
              <w:rPr>
                <w:rFonts w:cs="Arial"/>
                <w:sz w:val="20"/>
                <w:szCs w:val="20"/>
              </w:rPr>
            </w:pPr>
            <w:r w:rsidRPr="00E176C4">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5F7111FD" w14:textId="77777777" w:rsidR="008E67EA" w:rsidRPr="00E91A7E" w:rsidRDefault="008E67EA" w:rsidP="00B44A74">
            <w:pPr>
              <w:spacing w:line="280" w:lineRule="exact"/>
              <w:rPr>
                <w:rFonts w:cs="Arial"/>
                <w:sz w:val="20"/>
                <w:szCs w:val="20"/>
                <w:highlight w:val="yellow"/>
              </w:rPr>
            </w:pPr>
            <w:r w:rsidRPr="009F6CE5">
              <w:rPr>
                <w:rFonts w:cs="Arial"/>
                <w:sz w:val="20"/>
                <w:szCs w:val="20"/>
              </w:rPr>
              <w:t>For control of mice and the fleas and ticks they carry in domestic buildings</w:t>
            </w:r>
            <w:r>
              <w:rPr>
                <w:rFonts w:cs="Arial"/>
                <w:sz w:val="20"/>
                <w:szCs w:val="20"/>
              </w:rPr>
              <w:t>, and f</w:t>
            </w:r>
            <w:r w:rsidRPr="009F6CE5">
              <w:rPr>
                <w:rFonts w:cs="Arial"/>
                <w:sz w:val="20"/>
                <w:szCs w:val="20"/>
              </w:rPr>
              <w:t xml:space="preserve">or control of mice and the fleas and ticks they carry in and around domestic buildings. </w:t>
            </w:r>
          </w:p>
        </w:tc>
      </w:tr>
      <w:tr w:rsidR="008E67EA" w:rsidRPr="00E176C4" w14:paraId="5B37AD07" w14:textId="77777777" w:rsidTr="00B44A74">
        <w:trPr>
          <w:jc w:val="center"/>
        </w:trPr>
        <w:tc>
          <w:tcPr>
            <w:tcW w:w="2415" w:type="dxa"/>
            <w:tcBorders>
              <w:top w:val="single" w:sz="4" w:space="0" w:color="auto"/>
              <w:left w:val="nil"/>
              <w:bottom w:val="single" w:sz="4" w:space="0" w:color="auto"/>
              <w:right w:val="nil"/>
            </w:tcBorders>
          </w:tcPr>
          <w:p w14:paraId="230FCBAD" w14:textId="77777777" w:rsidR="008E67EA" w:rsidRPr="00E176C4"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0056D1D" w14:textId="77777777" w:rsidR="008E67EA" w:rsidRPr="00E11C08" w:rsidRDefault="008E67EA" w:rsidP="00B44A74">
            <w:pPr>
              <w:spacing w:line="280" w:lineRule="exact"/>
              <w:rPr>
                <w:rFonts w:cs="Arial"/>
                <w:sz w:val="20"/>
                <w:szCs w:val="20"/>
              </w:rPr>
            </w:pPr>
          </w:p>
        </w:tc>
      </w:tr>
      <w:tr w:rsidR="008E67EA" w:rsidRPr="00E176C4" w14:paraId="1D8C525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1F5C7EE" w14:textId="77777777" w:rsidR="008E67EA" w:rsidRPr="00E176C4" w:rsidRDefault="008E67EA" w:rsidP="00B44A74">
            <w:pPr>
              <w:spacing w:line="280" w:lineRule="exact"/>
              <w:rPr>
                <w:rFonts w:cs="Arial"/>
                <w:sz w:val="20"/>
                <w:szCs w:val="20"/>
              </w:rPr>
            </w:pPr>
            <w:r w:rsidRPr="00E176C4">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4D039588" w14:textId="77777777" w:rsidR="008E67EA" w:rsidRPr="00E11C08" w:rsidRDefault="008E67EA" w:rsidP="00B44A74">
            <w:pPr>
              <w:spacing w:line="280" w:lineRule="exact"/>
              <w:rPr>
                <w:rFonts w:cs="Arial"/>
                <w:sz w:val="20"/>
                <w:szCs w:val="20"/>
              </w:rPr>
            </w:pPr>
            <w:r w:rsidRPr="00DD2A42">
              <w:rPr>
                <w:rFonts w:cs="Arial"/>
                <w:sz w:val="20"/>
                <w:szCs w:val="20"/>
              </w:rPr>
              <w:t>[INSERT NET CONTENTS – MAXIMUM 150 g]</w:t>
            </w:r>
          </w:p>
        </w:tc>
      </w:tr>
      <w:tr w:rsidR="008E67EA" w:rsidRPr="00E176C4" w14:paraId="1900E280" w14:textId="77777777" w:rsidTr="00B44A74">
        <w:trPr>
          <w:jc w:val="center"/>
        </w:trPr>
        <w:tc>
          <w:tcPr>
            <w:tcW w:w="2415" w:type="dxa"/>
            <w:tcBorders>
              <w:top w:val="single" w:sz="4" w:space="0" w:color="auto"/>
              <w:left w:val="nil"/>
              <w:bottom w:val="single" w:sz="4" w:space="0" w:color="auto"/>
              <w:right w:val="nil"/>
            </w:tcBorders>
          </w:tcPr>
          <w:p w14:paraId="2B4056A2" w14:textId="77777777" w:rsidR="008E67EA" w:rsidRPr="00E176C4"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E485C11" w14:textId="77777777" w:rsidR="008E67EA" w:rsidRPr="00E11C08" w:rsidRDefault="008E67EA" w:rsidP="00B44A74">
            <w:pPr>
              <w:spacing w:line="280" w:lineRule="exact"/>
              <w:rPr>
                <w:rFonts w:cs="Arial"/>
                <w:sz w:val="20"/>
                <w:szCs w:val="20"/>
              </w:rPr>
            </w:pPr>
          </w:p>
        </w:tc>
      </w:tr>
      <w:tr w:rsidR="008E67EA" w:rsidRPr="00E176C4" w14:paraId="1E46F939"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1FE18AC" w14:textId="77777777" w:rsidR="008E67EA" w:rsidRPr="00E176C4" w:rsidRDefault="008E67EA" w:rsidP="00B44A74">
            <w:pPr>
              <w:spacing w:line="280" w:lineRule="exact"/>
              <w:rPr>
                <w:rFonts w:cs="Arial"/>
                <w:sz w:val="20"/>
                <w:szCs w:val="20"/>
              </w:rPr>
            </w:pPr>
            <w:r w:rsidRPr="00E176C4">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1C0565F6" w14:textId="783D0202" w:rsidR="008E67EA" w:rsidRPr="00E11C08" w:rsidRDefault="008E67EA" w:rsidP="00B44A74">
            <w:pPr>
              <w:spacing w:line="280" w:lineRule="exact"/>
              <w:rPr>
                <w:rFonts w:cs="Arial"/>
                <w:sz w:val="20"/>
                <w:szCs w:val="20"/>
              </w:rPr>
            </w:pPr>
            <w:r w:rsidRPr="00E11C08">
              <w:rPr>
                <w:rFonts w:cs="Arial"/>
                <w:sz w:val="20"/>
                <w:szCs w:val="20"/>
              </w:rPr>
              <w:t>DO NOT place baits unless in tamper-resistant bait stations.</w:t>
            </w:r>
          </w:p>
          <w:p w14:paraId="1625624A" w14:textId="77777777" w:rsidR="008E67EA" w:rsidRPr="00E11C08" w:rsidRDefault="008E67EA" w:rsidP="00B44A74">
            <w:pPr>
              <w:spacing w:line="280" w:lineRule="exact"/>
              <w:rPr>
                <w:rFonts w:cs="Arial"/>
                <w:sz w:val="20"/>
                <w:szCs w:val="20"/>
              </w:rPr>
            </w:pPr>
            <w:r w:rsidRPr="00E11C08">
              <w:rPr>
                <w:rFonts w:cs="Arial"/>
                <w:sz w:val="20"/>
                <w:szCs w:val="20"/>
              </w:rPr>
              <w:t>DO NOT place bait stations outdoors around buildings for control of mice.</w:t>
            </w:r>
          </w:p>
          <w:p w14:paraId="33387525" w14:textId="77777777" w:rsidR="008E67EA" w:rsidRPr="00E11C08" w:rsidRDefault="008E67EA" w:rsidP="00B44A74">
            <w:pPr>
              <w:spacing w:line="280" w:lineRule="exact"/>
              <w:rPr>
                <w:rFonts w:cs="Arial"/>
                <w:sz w:val="20"/>
                <w:szCs w:val="20"/>
              </w:rPr>
            </w:pPr>
            <w:r w:rsidRPr="00E11C08">
              <w:rPr>
                <w:rFonts w:cs="Arial"/>
                <w:sz w:val="20"/>
                <w:szCs w:val="20"/>
              </w:rPr>
              <w:t>DO NOT place bait stations more than 2 meters from buildings.</w:t>
            </w:r>
          </w:p>
          <w:p w14:paraId="17F2D221" w14:textId="77777777" w:rsidR="008E67EA" w:rsidRPr="00E11C08" w:rsidRDefault="008E67EA" w:rsidP="00B44A74">
            <w:pPr>
              <w:spacing w:line="280" w:lineRule="exact"/>
              <w:rPr>
                <w:rFonts w:cs="Arial"/>
                <w:sz w:val="20"/>
                <w:szCs w:val="20"/>
              </w:rPr>
            </w:pPr>
            <w:r w:rsidRPr="00E11C08">
              <w:rPr>
                <w:rFonts w:cs="Arial"/>
                <w:sz w:val="20"/>
                <w:szCs w:val="20"/>
              </w:rPr>
              <w:t>DO NOT bait in areas where wildlife may be collected for human consumption.</w:t>
            </w:r>
          </w:p>
          <w:p w14:paraId="5973EC9E" w14:textId="77777777" w:rsidR="008E67EA" w:rsidRPr="00E11C08" w:rsidRDefault="008E67EA" w:rsidP="00B44A74">
            <w:pPr>
              <w:spacing w:line="280" w:lineRule="exact"/>
              <w:rPr>
                <w:rFonts w:cs="Arial"/>
                <w:sz w:val="20"/>
                <w:szCs w:val="20"/>
              </w:rPr>
            </w:pPr>
            <w:r w:rsidRPr="00E11C08">
              <w:rPr>
                <w:rFonts w:cs="Arial"/>
                <w:sz w:val="20"/>
                <w:szCs w:val="20"/>
              </w:rPr>
              <w:t>DO NOT place baits in and around animal, livestock and poultry houses, associated equipment, and food and feed processing areas.</w:t>
            </w:r>
          </w:p>
          <w:p w14:paraId="4F493ED1" w14:textId="77777777" w:rsidR="008E67EA" w:rsidRPr="00E11C08" w:rsidRDefault="008E67EA" w:rsidP="00B44A74">
            <w:pPr>
              <w:spacing w:line="280" w:lineRule="exact"/>
              <w:rPr>
                <w:rFonts w:cs="Arial"/>
                <w:sz w:val="20"/>
                <w:szCs w:val="20"/>
              </w:rPr>
            </w:pPr>
            <w:r w:rsidRPr="00E11C08">
              <w:rPr>
                <w:rFonts w:cs="Arial"/>
                <w:sz w:val="20"/>
                <w:szCs w:val="20"/>
              </w:rPr>
              <w:t>DO NOT apply this product directly into burrows.</w:t>
            </w:r>
          </w:p>
          <w:p w14:paraId="47FBB476" w14:textId="77777777" w:rsidR="008E67EA" w:rsidRPr="00E11C08" w:rsidRDefault="008E67EA" w:rsidP="00B44A74">
            <w:pPr>
              <w:spacing w:line="280" w:lineRule="exact"/>
              <w:rPr>
                <w:rFonts w:cs="Arial"/>
                <w:sz w:val="20"/>
                <w:szCs w:val="20"/>
              </w:rPr>
            </w:pPr>
            <w:r w:rsidRPr="00E11C08">
              <w:rPr>
                <w:rFonts w:cs="Arial"/>
                <w:sz w:val="20"/>
                <w:szCs w:val="20"/>
              </w:rPr>
              <w:t>DO NOT use the product in pulsed baiting treatments.</w:t>
            </w:r>
          </w:p>
        </w:tc>
      </w:tr>
      <w:tr w:rsidR="008E67EA" w:rsidRPr="00E176C4" w14:paraId="12749500" w14:textId="77777777" w:rsidTr="00B44A74">
        <w:trPr>
          <w:jc w:val="center"/>
        </w:trPr>
        <w:tc>
          <w:tcPr>
            <w:tcW w:w="2415" w:type="dxa"/>
            <w:tcBorders>
              <w:top w:val="single" w:sz="4" w:space="0" w:color="auto"/>
              <w:left w:val="nil"/>
              <w:bottom w:val="single" w:sz="4" w:space="0" w:color="auto"/>
              <w:right w:val="nil"/>
            </w:tcBorders>
          </w:tcPr>
          <w:p w14:paraId="23D3B7D5" w14:textId="77777777" w:rsidR="008E67EA" w:rsidRPr="00E176C4"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C401BBB" w14:textId="77777777" w:rsidR="008E67EA" w:rsidRPr="00E11C08" w:rsidRDefault="008E67EA" w:rsidP="00B44A74">
            <w:pPr>
              <w:spacing w:line="280" w:lineRule="exact"/>
              <w:rPr>
                <w:rFonts w:cs="Arial"/>
                <w:sz w:val="20"/>
                <w:szCs w:val="20"/>
              </w:rPr>
            </w:pPr>
          </w:p>
        </w:tc>
      </w:tr>
      <w:tr w:rsidR="008E67EA" w:rsidRPr="00E176C4" w14:paraId="41A58FB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D84E018" w14:textId="77777777" w:rsidR="008E67EA" w:rsidRPr="00E176C4" w:rsidRDefault="008E67EA" w:rsidP="00B44A74">
            <w:pPr>
              <w:spacing w:line="280" w:lineRule="exact"/>
              <w:rPr>
                <w:rFonts w:cs="Arial"/>
                <w:sz w:val="20"/>
                <w:szCs w:val="20"/>
              </w:rPr>
            </w:pPr>
            <w:r w:rsidRPr="00E176C4">
              <w:rPr>
                <w:rFonts w:cs="Arial"/>
                <w:sz w:val="20"/>
                <w:szCs w:val="20"/>
              </w:rPr>
              <w:t>How to Use</w:t>
            </w:r>
          </w:p>
        </w:tc>
        <w:tc>
          <w:tcPr>
            <w:tcW w:w="7755" w:type="dxa"/>
            <w:tcBorders>
              <w:top w:val="single" w:sz="4" w:space="0" w:color="auto"/>
              <w:left w:val="single" w:sz="4" w:space="0" w:color="auto"/>
              <w:bottom w:val="single" w:sz="4" w:space="0" w:color="auto"/>
              <w:right w:val="single" w:sz="4" w:space="0" w:color="auto"/>
            </w:tcBorders>
          </w:tcPr>
          <w:p w14:paraId="0D95A9F3" w14:textId="77777777" w:rsidR="008E67EA" w:rsidRPr="00E11C08" w:rsidRDefault="008E67EA" w:rsidP="00B44A74">
            <w:pPr>
              <w:spacing w:line="280" w:lineRule="exact"/>
              <w:rPr>
                <w:rFonts w:cs="Arial"/>
                <w:sz w:val="20"/>
                <w:szCs w:val="20"/>
              </w:rPr>
            </w:pPr>
            <w:r w:rsidRPr="00B832BB">
              <w:rPr>
                <w:rFonts w:cs="Arial"/>
                <w:sz w:val="20"/>
                <w:szCs w:val="20"/>
              </w:rPr>
              <w:t>[This section contains an attachment below]</w:t>
            </w:r>
          </w:p>
        </w:tc>
      </w:tr>
      <w:tr w:rsidR="008E67EA" w:rsidRPr="00E176C4" w14:paraId="7834C472" w14:textId="77777777" w:rsidTr="00B44A74">
        <w:trPr>
          <w:jc w:val="center"/>
        </w:trPr>
        <w:tc>
          <w:tcPr>
            <w:tcW w:w="2415" w:type="dxa"/>
            <w:tcBorders>
              <w:top w:val="single" w:sz="4" w:space="0" w:color="auto"/>
              <w:left w:val="nil"/>
              <w:bottom w:val="single" w:sz="4" w:space="0" w:color="auto"/>
              <w:right w:val="nil"/>
            </w:tcBorders>
          </w:tcPr>
          <w:p w14:paraId="0787416A" w14:textId="77777777" w:rsidR="008E67EA" w:rsidRPr="00E176C4"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AE5427E" w14:textId="77777777" w:rsidR="008E67EA" w:rsidRPr="00E11C08" w:rsidRDefault="008E67EA" w:rsidP="00B44A74">
            <w:pPr>
              <w:spacing w:line="280" w:lineRule="exact"/>
              <w:rPr>
                <w:rFonts w:cs="Arial"/>
                <w:sz w:val="20"/>
                <w:szCs w:val="20"/>
              </w:rPr>
            </w:pPr>
          </w:p>
        </w:tc>
      </w:tr>
      <w:tr w:rsidR="008E67EA" w:rsidRPr="00E176C4" w14:paraId="64CDC19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B61402E" w14:textId="77777777" w:rsidR="008E67EA" w:rsidRPr="00E176C4" w:rsidRDefault="008E67EA" w:rsidP="00B44A74">
            <w:pPr>
              <w:spacing w:line="280" w:lineRule="exact"/>
              <w:rPr>
                <w:rFonts w:cs="Arial"/>
                <w:sz w:val="20"/>
                <w:szCs w:val="20"/>
              </w:rPr>
            </w:pPr>
            <w:r w:rsidRPr="00E176C4">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7CE7D470" w14:textId="77777777" w:rsidR="008E67EA" w:rsidRPr="00E11C08" w:rsidRDefault="008E67EA" w:rsidP="00B44A74">
            <w:pPr>
              <w:spacing w:line="280" w:lineRule="exact"/>
              <w:rPr>
                <w:rFonts w:cs="Arial"/>
                <w:sz w:val="20"/>
                <w:szCs w:val="20"/>
              </w:rPr>
            </w:pPr>
          </w:p>
        </w:tc>
      </w:tr>
      <w:tr w:rsidR="008E67EA" w:rsidRPr="00E176C4" w14:paraId="342D0D70" w14:textId="77777777" w:rsidTr="00B44A74">
        <w:trPr>
          <w:jc w:val="center"/>
        </w:trPr>
        <w:tc>
          <w:tcPr>
            <w:tcW w:w="2415" w:type="dxa"/>
            <w:tcBorders>
              <w:top w:val="single" w:sz="4" w:space="0" w:color="auto"/>
              <w:left w:val="nil"/>
              <w:bottom w:val="single" w:sz="4" w:space="0" w:color="auto"/>
              <w:right w:val="nil"/>
            </w:tcBorders>
          </w:tcPr>
          <w:p w14:paraId="44880C07" w14:textId="77777777" w:rsidR="008E67EA" w:rsidRPr="00E176C4"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2424A67" w14:textId="77777777" w:rsidR="008E67EA" w:rsidRPr="00E11C08" w:rsidRDefault="008E67EA" w:rsidP="00B44A74">
            <w:pPr>
              <w:spacing w:line="280" w:lineRule="exact"/>
              <w:rPr>
                <w:rFonts w:cs="Arial"/>
                <w:sz w:val="20"/>
                <w:szCs w:val="20"/>
              </w:rPr>
            </w:pPr>
          </w:p>
        </w:tc>
      </w:tr>
      <w:tr w:rsidR="008E67EA" w:rsidRPr="00E176C4" w14:paraId="439BF33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F69481F" w14:textId="77777777" w:rsidR="008E67EA" w:rsidRPr="00E176C4" w:rsidRDefault="008E67EA" w:rsidP="00B44A74">
            <w:pPr>
              <w:spacing w:line="280" w:lineRule="exact"/>
              <w:rPr>
                <w:rFonts w:cs="Arial"/>
                <w:sz w:val="20"/>
                <w:szCs w:val="20"/>
              </w:rPr>
            </w:pPr>
            <w:r w:rsidRPr="00E176C4">
              <w:rPr>
                <w:rFonts w:cs="Arial"/>
                <w:sz w:val="20"/>
                <w:szCs w:val="20"/>
              </w:rPr>
              <w:t>How to Prepare</w:t>
            </w:r>
          </w:p>
        </w:tc>
        <w:tc>
          <w:tcPr>
            <w:tcW w:w="7755" w:type="dxa"/>
            <w:tcBorders>
              <w:top w:val="single" w:sz="4" w:space="0" w:color="auto"/>
              <w:left w:val="single" w:sz="4" w:space="0" w:color="auto"/>
              <w:bottom w:val="single" w:sz="4" w:space="0" w:color="auto"/>
              <w:right w:val="single" w:sz="4" w:space="0" w:color="auto"/>
            </w:tcBorders>
          </w:tcPr>
          <w:p w14:paraId="45009D36" w14:textId="77777777" w:rsidR="008E67EA" w:rsidRPr="00E11C08" w:rsidRDefault="008E67EA" w:rsidP="00B44A74">
            <w:pPr>
              <w:spacing w:line="280" w:lineRule="exact"/>
              <w:rPr>
                <w:rFonts w:cs="Arial"/>
                <w:sz w:val="20"/>
                <w:szCs w:val="20"/>
              </w:rPr>
            </w:pPr>
          </w:p>
        </w:tc>
      </w:tr>
      <w:tr w:rsidR="008E67EA" w:rsidRPr="00E176C4" w14:paraId="2E692438" w14:textId="77777777" w:rsidTr="00B44A74">
        <w:trPr>
          <w:jc w:val="center"/>
        </w:trPr>
        <w:tc>
          <w:tcPr>
            <w:tcW w:w="2415" w:type="dxa"/>
            <w:tcBorders>
              <w:top w:val="single" w:sz="4" w:space="0" w:color="auto"/>
              <w:left w:val="nil"/>
              <w:bottom w:val="single" w:sz="4" w:space="0" w:color="auto"/>
              <w:right w:val="nil"/>
            </w:tcBorders>
          </w:tcPr>
          <w:p w14:paraId="50CD58B8" w14:textId="77777777" w:rsidR="008E67EA" w:rsidRPr="00E176C4"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0D17457" w14:textId="77777777" w:rsidR="008E67EA" w:rsidRPr="00E11C08" w:rsidRDefault="008E67EA" w:rsidP="00B44A74">
            <w:pPr>
              <w:spacing w:line="280" w:lineRule="exact"/>
              <w:rPr>
                <w:rFonts w:cs="Arial"/>
                <w:sz w:val="20"/>
                <w:szCs w:val="20"/>
              </w:rPr>
            </w:pPr>
          </w:p>
        </w:tc>
      </w:tr>
      <w:tr w:rsidR="008E67EA" w:rsidRPr="00E176C4" w14:paraId="27C0289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29F4081" w14:textId="77777777" w:rsidR="008E67EA" w:rsidRPr="00E176C4" w:rsidRDefault="008E67EA" w:rsidP="00B44A74">
            <w:pPr>
              <w:spacing w:line="280" w:lineRule="exact"/>
              <w:rPr>
                <w:rFonts w:cs="Arial"/>
                <w:sz w:val="20"/>
                <w:szCs w:val="20"/>
              </w:rPr>
            </w:pPr>
            <w:r w:rsidRPr="00E176C4">
              <w:rPr>
                <w:rFonts w:cs="Arial"/>
                <w:sz w:val="20"/>
                <w:szCs w:val="20"/>
              </w:rPr>
              <w:t>Resistance Warning:</w:t>
            </w:r>
          </w:p>
        </w:tc>
        <w:tc>
          <w:tcPr>
            <w:tcW w:w="7755" w:type="dxa"/>
            <w:tcBorders>
              <w:top w:val="single" w:sz="4" w:space="0" w:color="auto"/>
              <w:left w:val="single" w:sz="4" w:space="0" w:color="auto"/>
              <w:bottom w:val="single" w:sz="4" w:space="0" w:color="auto"/>
              <w:right w:val="single" w:sz="4" w:space="0" w:color="auto"/>
            </w:tcBorders>
          </w:tcPr>
          <w:p w14:paraId="027A4545" w14:textId="77777777" w:rsidR="008E67EA" w:rsidRPr="00E11C08" w:rsidRDefault="008E67EA" w:rsidP="00B44A74">
            <w:pPr>
              <w:spacing w:line="280" w:lineRule="exact"/>
              <w:rPr>
                <w:rFonts w:cs="Arial"/>
                <w:sz w:val="20"/>
                <w:szCs w:val="20"/>
              </w:rPr>
            </w:pPr>
          </w:p>
        </w:tc>
      </w:tr>
      <w:tr w:rsidR="008E67EA" w:rsidRPr="00E176C4" w14:paraId="2B5458E5" w14:textId="77777777" w:rsidTr="00B44A74">
        <w:trPr>
          <w:jc w:val="center"/>
        </w:trPr>
        <w:tc>
          <w:tcPr>
            <w:tcW w:w="2415" w:type="dxa"/>
            <w:tcBorders>
              <w:top w:val="single" w:sz="4" w:space="0" w:color="auto"/>
              <w:left w:val="nil"/>
              <w:bottom w:val="single" w:sz="4" w:space="0" w:color="auto"/>
              <w:right w:val="nil"/>
            </w:tcBorders>
          </w:tcPr>
          <w:p w14:paraId="11E19EAC" w14:textId="77777777" w:rsidR="008E67EA" w:rsidRPr="00E176C4"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790DBFE" w14:textId="77777777" w:rsidR="008E67EA" w:rsidRPr="00E11C08" w:rsidRDefault="008E67EA" w:rsidP="00B44A74">
            <w:pPr>
              <w:spacing w:line="280" w:lineRule="exact"/>
              <w:rPr>
                <w:rFonts w:cs="Arial"/>
                <w:sz w:val="20"/>
                <w:szCs w:val="20"/>
              </w:rPr>
            </w:pPr>
          </w:p>
        </w:tc>
      </w:tr>
      <w:tr w:rsidR="008E67EA" w:rsidRPr="00E176C4" w14:paraId="2224B98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DE316D1" w14:textId="77777777" w:rsidR="008E67EA" w:rsidRPr="00E176C4" w:rsidRDefault="008E67EA" w:rsidP="00B44A74">
            <w:pPr>
              <w:spacing w:line="280" w:lineRule="exact"/>
              <w:rPr>
                <w:rFonts w:cs="Arial"/>
                <w:sz w:val="20"/>
                <w:szCs w:val="20"/>
              </w:rPr>
            </w:pPr>
            <w:r w:rsidRPr="00E176C4">
              <w:rPr>
                <w:rFonts w:cs="Arial"/>
                <w:sz w:val="20"/>
                <w:szCs w:val="20"/>
              </w:rPr>
              <w:t>Precautions:</w:t>
            </w:r>
          </w:p>
        </w:tc>
        <w:tc>
          <w:tcPr>
            <w:tcW w:w="7755" w:type="dxa"/>
            <w:tcBorders>
              <w:top w:val="single" w:sz="4" w:space="0" w:color="auto"/>
              <w:left w:val="single" w:sz="4" w:space="0" w:color="auto"/>
              <w:bottom w:val="single" w:sz="4" w:space="0" w:color="auto"/>
              <w:right w:val="single" w:sz="4" w:space="0" w:color="auto"/>
            </w:tcBorders>
          </w:tcPr>
          <w:p w14:paraId="6BEF30A8" w14:textId="77777777" w:rsidR="008E67EA" w:rsidRPr="00E11C08" w:rsidRDefault="008E67EA" w:rsidP="00B44A74">
            <w:pPr>
              <w:spacing w:line="280" w:lineRule="exact"/>
              <w:rPr>
                <w:rFonts w:cs="Arial"/>
                <w:sz w:val="20"/>
                <w:szCs w:val="20"/>
              </w:rPr>
            </w:pPr>
            <w:r w:rsidRPr="00E11C08">
              <w:rPr>
                <w:rFonts w:cs="Arial"/>
                <w:sz w:val="20"/>
                <w:szCs w:val="20"/>
              </w:rPr>
              <w:t>CAUTION</w:t>
            </w:r>
          </w:p>
          <w:p w14:paraId="522A89FA" w14:textId="77777777" w:rsidR="008E67EA" w:rsidRPr="00E11C08" w:rsidRDefault="008E67EA" w:rsidP="00B44A74">
            <w:pPr>
              <w:spacing w:line="280" w:lineRule="exact"/>
              <w:rPr>
                <w:rFonts w:cs="Arial"/>
                <w:sz w:val="20"/>
                <w:szCs w:val="20"/>
              </w:rPr>
            </w:pPr>
            <w:r w:rsidRPr="00E11C08">
              <w:rPr>
                <w:rFonts w:cs="Arial"/>
                <w:sz w:val="20"/>
                <w:szCs w:val="20"/>
              </w:rPr>
              <w:t>Caution should be used when baiting near areas where hunting of wildlife may occur. Careful consideration of bait placement is necessary to avoid secondary exposure from contaminated wildlife that may be consumed.</w:t>
            </w:r>
          </w:p>
          <w:p w14:paraId="44FC19DB" w14:textId="77777777" w:rsidR="008E67EA" w:rsidRDefault="008E67EA" w:rsidP="00B44A74">
            <w:pPr>
              <w:spacing w:line="280" w:lineRule="exact"/>
              <w:rPr>
                <w:rFonts w:cs="Arial"/>
                <w:sz w:val="20"/>
                <w:szCs w:val="20"/>
              </w:rPr>
            </w:pPr>
            <w:r w:rsidRPr="00E11C08">
              <w:rPr>
                <w:rFonts w:cs="Arial"/>
                <w:sz w:val="20"/>
                <w:szCs w:val="20"/>
              </w:rPr>
              <w:t>DO NOT place bait in areas where there is a possibility of contaminating food, livestock feed or surfaces that come in direct contact with food or livestock feed.</w:t>
            </w:r>
          </w:p>
          <w:p w14:paraId="1678BED4" w14:textId="77777777" w:rsidR="008E67EA" w:rsidRPr="00E11C08" w:rsidRDefault="008E67EA" w:rsidP="00B44A74">
            <w:pPr>
              <w:spacing w:line="280" w:lineRule="exact"/>
              <w:rPr>
                <w:rFonts w:cs="Arial"/>
                <w:sz w:val="20"/>
                <w:szCs w:val="20"/>
              </w:rPr>
            </w:pPr>
          </w:p>
          <w:p w14:paraId="313D7D72" w14:textId="77777777" w:rsidR="008E67EA" w:rsidRPr="00E11C08" w:rsidRDefault="008E67EA" w:rsidP="00B44A74">
            <w:pPr>
              <w:spacing w:line="280" w:lineRule="exact"/>
              <w:rPr>
                <w:rFonts w:cs="Arial"/>
                <w:sz w:val="20"/>
                <w:szCs w:val="20"/>
              </w:rPr>
            </w:pPr>
            <w:r w:rsidRPr="00E11C08">
              <w:rPr>
                <w:rFonts w:cs="Arial"/>
                <w:sz w:val="20"/>
                <w:szCs w:val="20"/>
              </w:rPr>
              <w:t>PROTECTION OF LIVESTOCK AND WILDLIFE</w:t>
            </w:r>
          </w:p>
          <w:p w14:paraId="1F023B42" w14:textId="77777777" w:rsidR="008E67EA" w:rsidRPr="00E11C08" w:rsidRDefault="008E67EA" w:rsidP="00B44A74">
            <w:pPr>
              <w:spacing w:line="280" w:lineRule="exact"/>
              <w:rPr>
                <w:rFonts w:cs="Arial"/>
                <w:sz w:val="20"/>
                <w:szCs w:val="20"/>
              </w:rPr>
            </w:pPr>
            <w:r w:rsidRPr="00E11C08">
              <w:rPr>
                <w:rFonts w:cs="Arial"/>
                <w:sz w:val="20"/>
                <w:szCs w:val="20"/>
              </w:rPr>
              <w:t>Hazardous to livestock, poultry and wildlife. DO NOT place baits in locations that are accessible to domestic animals, livestock, non-target native animals or birds.</w:t>
            </w:r>
          </w:p>
          <w:p w14:paraId="33A81956" w14:textId="5782FB64" w:rsidR="008E67EA" w:rsidRPr="00E11C08" w:rsidRDefault="008E67EA" w:rsidP="00B44A74">
            <w:pPr>
              <w:spacing w:line="280" w:lineRule="exact"/>
              <w:rPr>
                <w:rFonts w:cs="Arial"/>
                <w:sz w:val="20"/>
                <w:szCs w:val="20"/>
              </w:rPr>
            </w:pPr>
            <w:r w:rsidRPr="00E11C08">
              <w:rPr>
                <w:rFonts w:cs="Arial"/>
                <w:sz w:val="20"/>
                <w:szCs w:val="20"/>
              </w:rPr>
              <w:t xml:space="preserve">Search for and dispose of dead rodents and slugs/snails in the infested area at each visit to prevent secondary poisoning. In case slugs/snails are present, move bait station to another location within the rodent infested site, away from slugs/snails. </w:t>
            </w:r>
            <w:r w:rsidRPr="00E11C08">
              <w:rPr>
                <w:rFonts w:cs="Arial"/>
                <w:sz w:val="20"/>
                <w:szCs w:val="20"/>
              </w:rPr>
              <w:lastRenderedPageBreak/>
              <w:t>Dispose of slugs/snails, dead rodents and uneaten bait by wrapping in paper, placing in plastic bag and putting in garbage.</w:t>
            </w:r>
          </w:p>
          <w:p w14:paraId="52E0C139" w14:textId="77777777" w:rsidR="008E67EA" w:rsidRPr="00E11C08" w:rsidRDefault="008E67EA" w:rsidP="00B44A74">
            <w:pPr>
              <w:spacing w:line="280" w:lineRule="exact"/>
              <w:rPr>
                <w:rFonts w:cs="Arial"/>
                <w:sz w:val="20"/>
                <w:szCs w:val="20"/>
              </w:rPr>
            </w:pPr>
            <w:r w:rsidRPr="00E11C08">
              <w:rPr>
                <w:rFonts w:cs="Arial"/>
                <w:sz w:val="20"/>
                <w:szCs w:val="20"/>
              </w:rPr>
              <w:t>DO NOT allow livestock or poultry to consume dead or moribund</w:t>
            </w:r>
            <w:r>
              <w:rPr>
                <w:rFonts w:cs="Arial"/>
                <w:sz w:val="20"/>
                <w:szCs w:val="20"/>
              </w:rPr>
              <w:t xml:space="preserve"> rats and</w:t>
            </w:r>
            <w:r w:rsidRPr="00E11C08">
              <w:rPr>
                <w:rFonts w:cs="Arial"/>
                <w:sz w:val="20"/>
                <w:szCs w:val="20"/>
              </w:rPr>
              <w:t xml:space="preserve"> mice. All dead or moribund animals and rodent faeces from baited rodents MUST be removed from areas accessible to livestock or poultry.</w:t>
            </w:r>
          </w:p>
          <w:p w14:paraId="13617E67" w14:textId="77777777" w:rsidR="008E67EA" w:rsidRDefault="008E67EA" w:rsidP="00B44A74">
            <w:pPr>
              <w:spacing w:line="280" w:lineRule="exact"/>
              <w:rPr>
                <w:rFonts w:cs="Arial"/>
                <w:sz w:val="20"/>
                <w:szCs w:val="20"/>
              </w:rPr>
            </w:pPr>
            <w:r w:rsidRPr="00E11C08">
              <w:rPr>
                <w:rFonts w:cs="Arial"/>
                <w:sz w:val="20"/>
                <w:szCs w:val="20"/>
              </w:rPr>
              <w:t>DO NOT let cats and dogs eat poisoned rats &amp; mice.</w:t>
            </w:r>
          </w:p>
          <w:p w14:paraId="1E3AEEF7" w14:textId="77777777" w:rsidR="008E67EA" w:rsidRDefault="008E67EA" w:rsidP="00B44A74">
            <w:pPr>
              <w:spacing w:line="280" w:lineRule="exact"/>
              <w:rPr>
                <w:rFonts w:cs="Arial"/>
                <w:sz w:val="20"/>
                <w:szCs w:val="20"/>
              </w:rPr>
            </w:pPr>
            <w:r w:rsidRPr="00E11C08">
              <w:rPr>
                <w:rFonts w:cs="Arial"/>
                <w:sz w:val="20"/>
                <w:szCs w:val="20"/>
              </w:rPr>
              <w:t>The use of this product for the control of protected native rodents requires permission from wildlife authorities.</w:t>
            </w:r>
          </w:p>
          <w:p w14:paraId="55EE4063" w14:textId="77777777" w:rsidR="008E67EA" w:rsidRPr="00E11C08" w:rsidRDefault="008E67EA" w:rsidP="00B44A74">
            <w:pPr>
              <w:spacing w:line="280" w:lineRule="exact"/>
              <w:rPr>
                <w:rFonts w:cs="Arial"/>
                <w:sz w:val="20"/>
                <w:szCs w:val="20"/>
              </w:rPr>
            </w:pPr>
          </w:p>
          <w:p w14:paraId="3028FAD2" w14:textId="77777777" w:rsidR="008E67EA" w:rsidRPr="00E11C08" w:rsidRDefault="008E67EA" w:rsidP="00B44A74">
            <w:pPr>
              <w:spacing w:line="280" w:lineRule="exact"/>
              <w:rPr>
                <w:rFonts w:cs="Arial"/>
                <w:sz w:val="20"/>
                <w:szCs w:val="20"/>
              </w:rPr>
            </w:pPr>
            <w:r w:rsidRPr="00E11C08">
              <w:rPr>
                <w:rFonts w:cs="Arial"/>
                <w:sz w:val="20"/>
                <w:szCs w:val="20"/>
              </w:rPr>
              <w:t>PROTECTION OF FISH, CRUSTACEANS AND ENVIRONMENT</w:t>
            </w:r>
          </w:p>
          <w:p w14:paraId="2F2B1080" w14:textId="77777777" w:rsidR="008E67EA" w:rsidRPr="00E11C08" w:rsidRDefault="008E67EA" w:rsidP="00B44A74">
            <w:pPr>
              <w:spacing w:line="280" w:lineRule="exact"/>
              <w:rPr>
                <w:rFonts w:cs="Arial"/>
                <w:sz w:val="20"/>
                <w:szCs w:val="20"/>
                <w:highlight w:val="yellow"/>
              </w:rPr>
            </w:pPr>
            <w:r w:rsidRPr="00E11C08">
              <w:rPr>
                <w:rFonts w:cs="Arial"/>
                <w:sz w:val="20"/>
                <w:szCs w:val="20"/>
              </w:rPr>
              <w:t>Very toxic to aquatic life. DO NOT contaminate wetlands or watercourses with this product or used containers. Place the bait stations in areas not liable to flooding. When placing bait stations close to water drainage systems, ensure that bait contact with water is avoided.</w:t>
            </w:r>
          </w:p>
        </w:tc>
      </w:tr>
      <w:tr w:rsidR="008E67EA" w:rsidRPr="00E176C4" w14:paraId="6219AA1C" w14:textId="77777777" w:rsidTr="00B44A74">
        <w:trPr>
          <w:jc w:val="center"/>
        </w:trPr>
        <w:tc>
          <w:tcPr>
            <w:tcW w:w="2415" w:type="dxa"/>
            <w:tcBorders>
              <w:top w:val="single" w:sz="4" w:space="0" w:color="auto"/>
              <w:left w:val="nil"/>
              <w:bottom w:val="single" w:sz="4" w:space="0" w:color="auto"/>
              <w:right w:val="nil"/>
            </w:tcBorders>
          </w:tcPr>
          <w:p w14:paraId="75EEE86D" w14:textId="77777777" w:rsidR="008E67EA" w:rsidRPr="00E176C4"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957A31E" w14:textId="77777777" w:rsidR="008E67EA" w:rsidRPr="00E11C08" w:rsidRDefault="008E67EA" w:rsidP="00B44A74">
            <w:pPr>
              <w:spacing w:line="280" w:lineRule="exact"/>
              <w:rPr>
                <w:rFonts w:cs="Arial"/>
                <w:sz w:val="20"/>
                <w:szCs w:val="20"/>
              </w:rPr>
            </w:pPr>
          </w:p>
        </w:tc>
      </w:tr>
      <w:tr w:rsidR="008E67EA" w:rsidRPr="00E176C4" w14:paraId="16ADF9A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D9FE9D0" w14:textId="77777777" w:rsidR="008E67EA" w:rsidRPr="00E176C4" w:rsidRDefault="008E67EA" w:rsidP="00B44A74">
            <w:pPr>
              <w:spacing w:line="280" w:lineRule="exact"/>
              <w:rPr>
                <w:rFonts w:cs="Arial"/>
                <w:sz w:val="20"/>
                <w:szCs w:val="20"/>
              </w:rPr>
            </w:pPr>
            <w:r w:rsidRPr="00E176C4">
              <w:rPr>
                <w:rFonts w:cs="Arial"/>
                <w:sz w:val="20"/>
                <w:szCs w:val="20"/>
              </w:rPr>
              <w:t>Protections:</w:t>
            </w:r>
          </w:p>
        </w:tc>
        <w:tc>
          <w:tcPr>
            <w:tcW w:w="7755" w:type="dxa"/>
            <w:tcBorders>
              <w:top w:val="single" w:sz="4" w:space="0" w:color="auto"/>
              <w:left w:val="single" w:sz="4" w:space="0" w:color="auto"/>
              <w:bottom w:val="single" w:sz="4" w:space="0" w:color="auto"/>
              <w:right w:val="single" w:sz="4" w:space="0" w:color="auto"/>
            </w:tcBorders>
          </w:tcPr>
          <w:p w14:paraId="4AD98AC8" w14:textId="77777777" w:rsidR="008E67EA" w:rsidRPr="00E11C08" w:rsidRDefault="008E67EA" w:rsidP="00B44A74">
            <w:pPr>
              <w:spacing w:line="280" w:lineRule="exact"/>
              <w:rPr>
                <w:rFonts w:cs="Arial"/>
                <w:sz w:val="20"/>
                <w:szCs w:val="20"/>
              </w:rPr>
            </w:pPr>
          </w:p>
        </w:tc>
      </w:tr>
      <w:tr w:rsidR="008E67EA" w:rsidRPr="00E176C4" w14:paraId="0AD4D813" w14:textId="77777777" w:rsidTr="00B44A74">
        <w:trPr>
          <w:jc w:val="center"/>
        </w:trPr>
        <w:tc>
          <w:tcPr>
            <w:tcW w:w="2415" w:type="dxa"/>
            <w:tcBorders>
              <w:top w:val="single" w:sz="4" w:space="0" w:color="auto"/>
              <w:left w:val="nil"/>
              <w:bottom w:val="single" w:sz="4" w:space="0" w:color="auto"/>
              <w:right w:val="nil"/>
            </w:tcBorders>
          </w:tcPr>
          <w:p w14:paraId="2B4FD4E3" w14:textId="77777777" w:rsidR="008E67EA" w:rsidRPr="00E176C4"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0A6D20C" w14:textId="77777777" w:rsidR="008E67EA" w:rsidRPr="00E11C08" w:rsidRDefault="008E67EA" w:rsidP="00B44A74">
            <w:pPr>
              <w:spacing w:line="280" w:lineRule="exact"/>
              <w:rPr>
                <w:rFonts w:cs="Arial"/>
                <w:sz w:val="20"/>
                <w:szCs w:val="20"/>
              </w:rPr>
            </w:pPr>
          </w:p>
        </w:tc>
      </w:tr>
      <w:tr w:rsidR="008E67EA" w:rsidRPr="00E176C4" w14:paraId="3662088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2720FD8" w14:textId="77777777" w:rsidR="008E67EA" w:rsidRPr="00E176C4" w:rsidRDefault="008E67EA" w:rsidP="00B44A74">
            <w:pPr>
              <w:spacing w:line="280" w:lineRule="exact"/>
              <w:rPr>
                <w:rFonts w:cs="Arial"/>
                <w:sz w:val="20"/>
                <w:szCs w:val="20"/>
              </w:rPr>
            </w:pPr>
            <w:r w:rsidRPr="00E176C4">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0CD69B20" w14:textId="77777777" w:rsidR="008E67EA" w:rsidRDefault="008E67EA" w:rsidP="00B44A74">
            <w:pPr>
              <w:spacing w:line="280" w:lineRule="exact"/>
              <w:rPr>
                <w:rFonts w:cs="Arial"/>
                <w:sz w:val="20"/>
                <w:szCs w:val="20"/>
              </w:rPr>
            </w:pPr>
            <w:r w:rsidRPr="00F37250">
              <w:rPr>
                <w:rFonts w:cs="Arial"/>
                <w:sz w:val="20"/>
                <w:szCs w:val="20"/>
              </w:rPr>
              <w:t>STORAGE AND DISPOSAL</w:t>
            </w:r>
          </w:p>
          <w:p w14:paraId="2009E34F" w14:textId="77777777" w:rsidR="008E67EA" w:rsidRPr="00E11C08" w:rsidRDefault="008E67EA" w:rsidP="00B44A74">
            <w:pPr>
              <w:spacing w:line="280" w:lineRule="exact"/>
              <w:rPr>
                <w:rFonts w:cs="Arial"/>
                <w:sz w:val="20"/>
                <w:szCs w:val="20"/>
              </w:rPr>
            </w:pPr>
            <w:r w:rsidRPr="00E11C08">
              <w:rPr>
                <w:rFonts w:cs="Arial"/>
                <w:sz w:val="20"/>
                <w:szCs w:val="20"/>
              </w:rPr>
              <w:t>Store in the closed, original container in a cool, dry place out of the reach of children. Do not store in direct sunlight. Dispose of empty containers</w:t>
            </w:r>
            <w:r>
              <w:rPr>
                <w:rFonts w:cs="Arial"/>
                <w:sz w:val="20"/>
                <w:szCs w:val="20"/>
              </w:rPr>
              <w:t xml:space="preserve"> and unused product</w:t>
            </w:r>
            <w:r w:rsidRPr="00E11C08">
              <w:rPr>
                <w:rFonts w:cs="Arial"/>
                <w:sz w:val="20"/>
                <w:szCs w:val="20"/>
              </w:rPr>
              <w:t xml:space="preserve"> by wrapping in paper placing in plastic bag and putting in garbage.</w:t>
            </w:r>
          </w:p>
        </w:tc>
      </w:tr>
      <w:tr w:rsidR="008E67EA" w:rsidRPr="00E176C4" w14:paraId="4E501D59" w14:textId="77777777" w:rsidTr="00B44A74">
        <w:trPr>
          <w:jc w:val="center"/>
        </w:trPr>
        <w:tc>
          <w:tcPr>
            <w:tcW w:w="2415" w:type="dxa"/>
            <w:tcBorders>
              <w:top w:val="single" w:sz="4" w:space="0" w:color="auto"/>
              <w:left w:val="nil"/>
              <w:bottom w:val="single" w:sz="4" w:space="0" w:color="auto"/>
              <w:right w:val="nil"/>
            </w:tcBorders>
          </w:tcPr>
          <w:p w14:paraId="69EDA058" w14:textId="77777777" w:rsidR="008E67EA" w:rsidRPr="00E176C4"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C2D3B7D" w14:textId="77777777" w:rsidR="008E67EA" w:rsidRPr="00E11C08" w:rsidRDefault="008E67EA" w:rsidP="00B44A74">
            <w:pPr>
              <w:spacing w:line="280" w:lineRule="exact"/>
              <w:rPr>
                <w:rFonts w:cs="Arial"/>
                <w:sz w:val="20"/>
                <w:szCs w:val="20"/>
              </w:rPr>
            </w:pPr>
          </w:p>
        </w:tc>
      </w:tr>
      <w:tr w:rsidR="008E67EA" w:rsidRPr="00E176C4" w14:paraId="15D75B9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282D198" w14:textId="77777777" w:rsidR="008E67EA" w:rsidRPr="00E176C4" w:rsidRDefault="008E67EA" w:rsidP="00B44A74">
            <w:pPr>
              <w:spacing w:line="280" w:lineRule="exact"/>
              <w:rPr>
                <w:rFonts w:cs="Arial"/>
                <w:sz w:val="20"/>
                <w:szCs w:val="20"/>
              </w:rPr>
            </w:pPr>
            <w:r w:rsidRPr="00E176C4">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1FAFB480" w14:textId="77777777" w:rsidR="008E67EA" w:rsidRPr="00614EC9" w:rsidRDefault="008E67EA" w:rsidP="00B44A74">
            <w:pPr>
              <w:spacing w:line="280" w:lineRule="exact"/>
              <w:rPr>
                <w:rFonts w:cs="Arial"/>
                <w:sz w:val="20"/>
                <w:szCs w:val="20"/>
              </w:rPr>
            </w:pPr>
            <w:r w:rsidRPr="00614EC9">
              <w:rPr>
                <w:rFonts w:cs="Arial"/>
                <w:sz w:val="20"/>
                <w:szCs w:val="20"/>
              </w:rPr>
              <w:t>SAFETY DIRECTIONS</w:t>
            </w:r>
          </w:p>
          <w:p w14:paraId="32AC44C7" w14:textId="77777777" w:rsidR="008E67EA" w:rsidRPr="00E11C08" w:rsidRDefault="008E67EA" w:rsidP="00B44A74">
            <w:pPr>
              <w:spacing w:line="280" w:lineRule="exact"/>
              <w:rPr>
                <w:rFonts w:cs="Arial"/>
                <w:sz w:val="20"/>
                <w:szCs w:val="20"/>
              </w:rPr>
            </w:pPr>
            <w:r w:rsidRPr="000E0E35">
              <w:rPr>
                <w:rFonts w:cs="Arial"/>
                <w:sz w:val="20"/>
                <w:szCs w:val="20"/>
              </w:rPr>
              <w:t>Repeated minor exposure may have a cumulative poisoning effect. When using the product wear disposable gloves. During cleanup, disposal operations of bait and bait stations and when handling rodent carcasses wear single layer clothing and disposable gloves. If on skin and after each baiting, wash thoroughly with soap and water. After each day’s use wash contaminated clothing.</w:t>
            </w:r>
            <w:r>
              <w:rPr>
                <w:rFonts w:cs="Arial"/>
                <w:sz w:val="20"/>
                <w:szCs w:val="20"/>
              </w:rPr>
              <w:t xml:space="preserve"> </w:t>
            </w:r>
            <w:r w:rsidRPr="00E11C08">
              <w:rPr>
                <w:rFonts w:cs="Arial"/>
                <w:sz w:val="20"/>
                <w:szCs w:val="20"/>
              </w:rPr>
              <w:t>Wash clothes after performing re-handling activities.</w:t>
            </w:r>
          </w:p>
        </w:tc>
      </w:tr>
      <w:tr w:rsidR="008E67EA" w:rsidRPr="00E176C4" w14:paraId="11538FE7" w14:textId="77777777" w:rsidTr="00B44A74">
        <w:trPr>
          <w:jc w:val="center"/>
        </w:trPr>
        <w:tc>
          <w:tcPr>
            <w:tcW w:w="2415" w:type="dxa"/>
            <w:tcBorders>
              <w:top w:val="single" w:sz="4" w:space="0" w:color="auto"/>
              <w:left w:val="nil"/>
              <w:bottom w:val="single" w:sz="4" w:space="0" w:color="auto"/>
              <w:right w:val="nil"/>
            </w:tcBorders>
          </w:tcPr>
          <w:p w14:paraId="01E071EB" w14:textId="77777777" w:rsidR="008E67EA" w:rsidRPr="00E176C4"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A7EE63E" w14:textId="77777777" w:rsidR="008E67EA" w:rsidRPr="00E11C08" w:rsidRDefault="008E67EA" w:rsidP="00B44A74">
            <w:pPr>
              <w:spacing w:line="280" w:lineRule="exact"/>
              <w:rPr>
                <w:rFonts w:cs="Arial"/>
                <w:sz w:val="20"/>
                <w:szCs w:val="20"/>
              </w:rPr>
            </w:pPr>
          </w:p>
        </w:tc>
      </w:tr>
      <w:tr w:rsidR="008E67EA" w:rsidRPr="00E176C4" w14:paraId="300D883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DC43DF3" w14:textId="77777777" w:rsidR="008E67EA" w:rsidRPr="00E176C4" w:rsidRDefault="008E67EA" w:rsidP="00B44A74">
            <w:pPr>
              <w:spacing w:line="280" w:lineRule="exact"/>
              <w:rPr>
                <w:rFonts w:cs="Arial"/>
                <w:sz w:val="20"/>
                <w:szCs w:val="20"/>
              </w:rPr>
            </w:pPr>
            <w:r w:rsidRPr="00E176C4">
              <w:rPr>
                <w:rFonts w:cs="Arial"/>
                <w:sz w:val="20"/>
                <w:szCs w:val="20"/>
              </w:rPr>
              <w:t>First Aid Instructions:</w:t>
            </w:r>
          </w:p>
        </w:tc>
        <w:tc>
          <w:tcPr>
            <w:tcW w:w="7755" w:type="dxa"/>
            <w:tcBorders>
              <w:top w:val="single" w:sz="4" w:space="0" w:color="auto"/>
              <w:left w:val="single" w:sz="4" w:space="0" w:color="auto"/>
              <w:bottom w:val="single" w:sz="4" w:space="0" w:color="auto"/>
              <w:right w:val="single" w:sz="4" w:space="0" w:color="auto"/>
            </w:tcBorders>
          </w:tcPr>
          <w:p w14:paraId="7C89737B" w14:textId="77777777" w:rsidR="008E67EA" w:rsidRPr="00614EC9" w:rsidRDefault="008E67EA" w:rsidP="00B44A74">
            <w:pPr>
              <w:spacing w:line="280" w:lineRule="exact"/>
              <w:rPr>
                <w:rFonts w:cs="Arial"/>
                <w:sz w:val="20"/>
                <w:szCs w:val="20"/>
              </w:rPr>
            </w:pPr>
            <w:r w:rsidRPr="00614EC9">
              <w:rPr>
                <w:rFonts w:cs="Arial"/>
                <w:sz w:val="20"/>
                <w:szCs w:val="20"/>
              </w:rPr>
              <w:t>FIRST AID</w:t>
            </w:r>
          </w:p>
          <w:p w14:paraId="40203E94" w14:textId="77777777" w:rsidR="008E67EA" w:rsidRPr="00E11C08" w:rsidRDefault="008E67EA" w:rsidP="00B44A74">
            <w:pPr>
              <w:spacing w:line="280" w:lineRule="exact"/>
              <w:rPr>
                <w:rFonts w:cs="Arial"/>
                <w:sz w:val="20"/>
                <w:szCs w:val="20"/>
              </w:rPr>
            </w:pPr>
            <w:r w:rsidRPr="00E11C08">
              <w:rPr>
                <w:rFonts w:cs="Arial"/>
                <w:sz w:val="20"/>
                <w:szCs w:val="20"/>
              </w:rPr>
              <w:t>If poisoning occurs, contact a doctor or Poisons Information Centre. Phone Australia 13 11 26, New Zealand 0800 764 766. Vitamin K1 (Phytomenadione) is antidotal.</w:t>
            </w:r>
          </w:p>
        </w:tc>
      </w:tr>
      <w:tr w:rsidR="008E67EA" w:rsidRPr="00E176C4" w14:paraId="6A5C8907" w14:textId="77777777" w:rsidTr="00B44A74">
        <w:trPr>
          <w:jc w:val="center"/>
        </w:trPr>
        <w:tc>
          <w:tcPr>
            <w:tcW w:w="2415" w:type="dxa"/>
            <w:tcBorders>
              <w:top w:val="single" w:sz="4" w:space="0" w:color="auto"/>
              <w:left w:val="nil"/>
              <w:bottom w:val="single" w:sz="4" w:space="0" w:color="auto"/>
              <w:right w:val="nil"/>
            </w:tcBorders>
          </w:tcPr>
          <w:p w14:paraId="122F4E4C" w14:textId="77777777" w:rsidR="008E67EA" w:rsidRPr="00E176C4"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BDB6272" w14:textId="77777777" w:rsidR="008E67EA" w:rsidRPr="00E11C08" w:rsidRDefault="008E67EA" w:rsidP="00B44A74">
            <w:pPr>
              <w:spacing w:line="280" w:lineRule="exact"/>
              <w:rPr>
                <w:rFonts w:cs="Arial"/>
                <w:sz w:val="20"/>
                <w:szCs w:val="20"/>
              </w:rPr>
            </w:pPr>
          </w:p>
        </w:tc>
      </w:tr>
      <w:tr w:rsidR="008E67EA" w:rsidRPr="00E176C4" w14:paraId="57E4C169"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B01B4AB" w14:textId="77777777" w:rsidR="008E67EA" w:rsidRPr="00E176C4" w:rsidRDefault="008E67EA" w:rsidP="00B44A74">
            <w:pPr>
              <w:spacing w:line="280" w:lineRule="exact"/>
              <w:rPr>
                <w:rFonts w:cs="Arial"/>
                <w:sz w:val="20"/>
                <w:szCs w:val="20"/>
              </w:rPr>
            </w:pPr>
            <w:r w:rsidRPr="00E176C4">
              <w:rPr>
                <w:rFonts w:cs="Arial"/>
                <w:sz w:val="20"/>
                <w:szCs w:val="20"/>
              </w:rPr>
              <w:t>First Aid Warnings:</w:t>
            </w:r>
          </w:p>
        </w:tc>
        <w:tc>
          <w:tcPr>
            <w:tcW w:w="7755" w:type="dxa"/>
            <w:tcBorders>
              <w:top w:val="single" w:sz="4" w:space="0" w:color="auto"/>
              <w:left w:val="single" w:sz="4" w:space="0" w:color="auto"/>
              <w:bottom w:val="single" w:sz="4" w:space="0" w:color="auto"/>
              <w:right w:val="single" w:sz="4" w:space="0" w:color="auto"/>
            </w:tcBorders>
          </w:tcPr>
          <w:p w14:paraId="0B7D103E" w14:textId="77777777" w:rsidR="008E67EA" w:rsidRPr="00E11C08" w:rsidRDefault="008E67EA" w:rsidP="00B44A74">
            <w:pPr>
              <w:spacing w:line="280" w:lineRule="exact"/>
              <w:rPr>
                <w:rFonts w:cs="Arial"/>
                <w:sz w:val="20"/>
                <w:szCs w:val="20"/>
              </w:rPr>
            </w:pPr>
          </w:p>
        </w:tc>
      </w:tr>
    </w:tbl>
    <w:p w14:paraId="185ACD3F" w14:textId="77777777" w:rsidR="008E67EA" w:rsidRDefault="008E67EA" w:rsidP="008E67EA">
      <w:pPr>
        <w:rPr>
          <w:rFonts w:cs="Arial"/>
          <w:b/>
          <w:bCs/>
          <w:sz w:val="20"/>
          <w:szCs w:val="20"/>
        </w:rPr>
      </w:pPr>
      <w:r>
        <w:rPr>
          <w:rFonts w:cs="Arial"/>
          <w:b/>
          <w:bCs/>
          <w:sz w:val="20"/>
          <w:szCs w:val="20"/>
        </w:rPr>
        <w:br w:type="page"/>
      </w:r>
    </w:p>
    <w:p w14:paraId="6E809F9C" w14:textId="77777777" w:rsidR="008E67EA" w:rsidRPr="00E176C4" w:rsidRDefault="008E67EA" w:rsidP="008E67EA">
      <w:pPr>
        <w:rPr>
          <w:rFonts w:cs="Arial"/>
          <w:b/>
          <w:bCs/>
          <w:sz w:val="20"/>
          <w:szCs w:val="20"/>
        </w:rPr>
      </w:pPr>
    </w:p>
    <w:p w14:paraId="57780693" w14:textId="77777777" w:rsidR="008E67EA" w:rsidRDefault="008E67EA" w:rsidP="008E67EA">
      <w:pPr>
        <w:rPr>
          <w:rFonts w:cs="Arial"/>
          <w:b/>
          <w:bCs/>
          <w:sz w:val="20"/>
          <w:szCs w:val="20"/>
        </w:rPr>
      </w:pPr>
      <w:r>
        <w:rPr>
          <w:rFonts w:cs="Arial"/>
          <w:b/>
          <w:bCs/>
          <w:sz w:val="20"/>
          <w:szCs w:val="20"/>
        </w:rPr>
        <w:t>HOW TO USE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034"/>
        <w:gridCol w:w="1559"/>
        <w:gridCol w:w="4327"/>
      </w:tblGrid>
      <w:tr w:rsidR="008E67EA" w:rsidRPr="00FF36BF" w14:paraId="40005AE8" w14:textId="77777777" w:rsidTr="00834983">
        <w:trPr>
          <w:trHeight w:val="340"/>
        </w:trPr>
        <w:tc>
          <w:tcPr>
            <w:tcW w:w="1080" w:type="dxa"/>
          </w:tcPr>
          <w:p w14:paraId="32A12C9D" w14:textId="77777777" w:rsidR="008E67EA" w:rsidRPr="00246206" w:rsidRDefault="008E67EA" w:rsidP="00B44A74">
            <w:pPr>
              <w:pStyle w:val="TableParagraph"/>
              <w:widowControl/>
              <w:adjustRightInd w:val="0"/>
              <w:spacing w:before="61"/>
              <w:ind w:left="0"/>
              <w:rPr>
                <w:rFonts w:eastAsiaTheme="minorHAnsi"/>
                <w:b/>
                <w:bCs/>
                <w:sz w:val="20"/>
                <w:szCs w:val="20"/>
                <w:lang w:val="en-AU"/>
              </w:rPr>
            </w:pPr>
            <w:r w:rsidRPr="00246206">
              <w:rPr>
                <w:rFonts w:eastAsiaTheme="minorHAnsi"/>
                <w:b/>
                <w:bCs/>
                <w:sz w:val="20"/>
                <w:szCs w:val="20"/>
                <w:lang w:val="en-AU"/>
              </w:rPr>
              <w:t>PEST</w:t>
            </w:r>
          </w:p>
        </w:tc>
        <w:tc>
          <w:tcPr>
            <w:tcW w:w="2034" w:type="dxa"/>
          </w:tcPr>
          <w:p w14:paraId="6C395C7F" w14:textId="77777777" w:rsidR="008E67EA" w:rsidRPr="00246206" w:rsidRDefault="008E67EA" w:rsidP="00B44A74">
            <w:pPr>
              <w:pStyle w:val="TableParagraph"/>
              <w:widowControl/>
              <w:adjustRightInd w:val="0"/>
              <w:spacing w:before="61"/>
              <w:ind w:left="0"/>
              <w:rPr>
                <w:rFonts w:eastAsiaTheme="minorHAnsi"/>
                <w:b/>
                <w:bCs/>
                <w:sz w:val="20"/>
                <w:szCs w:val="20"/>
                <w:lang w:val="en-AU"/>
              </w:rPr>
            </w:pPr>
            <w:r w:rsidRPr="00246206">
              <w:rPr>
                <w:rFonts w:eastAsiaTheme="minorHAnsi"/>
                <w:b/>
                <w:bCs/>
                <w:sz w:val="20"/>
                <w:szCs w:val="20"/>
                <w:lang w:val="en-AU"/>
              </w:rPr>
              <w:t>SITUATION</w:t>
            </w:r>
          </w:p>
        </w:tc>
        <w:tc>
          <w:tcPr>
            <w:tcW w:w="1559" w:type="dxa"/>
          </w:tcPr>
          <w:p w14:paraId="6F9E6FB1" w14:textId="77777777" w:rsidR="008E67EA" w:rsidRPr="00246206" w:rsidRDefault="008E67EA" w:rsidP="00B44A74">
            <w:pPr>
              <w:pStyle w:val="TableParagraph"/>
              <w:widowControl/>
              <w:adjustRightInd w:val="0"/>
              <w:spacing w:before="61"/>
              <w:ind w:left="0"/>
              <w:rPr>
                <w:rFonts w:eastAsiaTheme="minorHAnsi"/>
                <w:b/>
                <w:bCs/>
                <w:sz w:val="20"/>
                <w:szCs w:val="20"/>
                <w:lang w:val="en-AU"/>
              </w:rPr>
            </w:pPr>
            <w:r w:rsidRPr="00246206">
              <w:rPr>
                <w:rFonts w:eastAsiaTheme="minorHAnsi"/>
                <w:b/>
                <w:bCs/>
                <w:sz w:val="20"/>
                <w:szCs w:val="20"/>
                <w:lang w:val="en-AU"/>
              </w:rPr>
              <w:t>RATE</w:t>
            </w:r>
          </w:p>
        </w:tc>
        <w:tc>
          <w:tcPr>
            <w:tcW w:w="4327" w:type="dxa"/>
          </w:tcPr>
          <w:p w14:paraId="2C2FC75F" w14:textId="77777777" w:rsidR="008E67EA" w:rsidRPr="00246206" w:rsidRDefault="008E67EA" w:rsidP="00B44A74">
            <w:pPr>
              <w:pStyle w:val="TableParagraph"/>
              <w:widowControl/>
              <w:adjustRightInd w:val="0"/>
              <w:spacing w:before="61"/>
              <w:ind w:left="0"/>
              <w:rPr>
                <w:rFonts w:eastAsiaTheme="minorHAnsi"/>
                <w:b/>
                <w:bCs/>
                <w:sz w:val="20"/>
                <w:szCs w:val="20"/>
                <w:lang w:val="en-AU"/>
              </w:rPr>
            </w:pPr>
            <w:r w:rsidRPr="00246206">
              <w:rPr>
                <w:rFonts w:eastAsiaTheme="minorHAnsi"/>
                <w:b/>
                <w:bCs/>
                <w:sz w:val="20"/>
                <w:szCs w:val="20"/>
                <w:lang w:val="en-AU"/>
              </w:rPr>
              <w:t>HOW TO APPLY</w:t>
            </w:r>
          </w:p>
        </w:tc>
      </w:tr>
      <w:tr w:rsidR="008E67EA" w:rsidRPr="00FF36BF" w14:paraId="1805B360" w14:textId="77777777" w:rsidTr="00834983">
        <w:trPr>
          <w:trHeight w:val="421"/>
        </w:trPr>
        <w:tc>
          <w:tcPr>
            <w:tcW w:w="1080" w:type="dxa"/>
          </w:tcPr>
          <w:p w14:paraId="68AC567D" w14:textId="77777777" w:rsidR="008E67EA" w:rsidRPr="005D3D45" w:rsidRDefault="008E67EA" w:rsidP="00B44A74">
            <w:pPr>
              <w:spacing w:line="280" w:lineRule="exact"/>
              <w:rPr>
                <w:rFonts w:cs="Arial"/>
                <w:sz w:val="20"/>
                <w:szCs w:val="20"/>
              </w:rPr>
            </w:pPr>
            <w:r>
              <w:rPr>
                <w:rFonts w:cs="Arial"/>
                <w:sz w:val="20"/>
                <w:szCs w:val="20"/>
              </w:rPr>
              <w:t>Rats</w:t>
            </w:r>
          </w:p>
        </w:tc>
        <w:tc>
          <w:tcPr>
            <w:tcW w:w="2034" w:type="dxa"/>
          </w:tcPr>
          <w:p w14:paraId="367EDBF1" w14:textId="77777777" w:rsidR="008E67EA" w:rsidRPr="005D3D45" w:rsidRDefault="008E67EA" w:rsidP="00B44A74">
            <w:pPr>
              <w:spacing w:line="280" w:lineRule="exact"/>
              <w:rPr>
                <w:rFonts w:cs="Arial"/>
                <w:sz w:val="20"/>
                <w:szCs w:val="20"/>
              </w:rPr>
            </w:pPr>
            <w:r w:rsidRPr="005D3D45">
              <w:rPr>
                <w:rFonts w:cs="Arial"/>
                <w:sz w:val="20"/>
                <w:szCs w:val="20"/>
              </w:rPr>
              <w:t>In</w:t>
            </w:r>
            <w:r>
              <w:rPr>
                <w:rFonts w:cs="Arial"/>
                <w:sz w:val="20"/>
                <w:szCs w:val="20"/>
              </w:rPr>
              <w:t xml:space="preserve"> and around</w:t>
            </w:r>
            <w:r w:rsidRPr="005D3D45">
              <w:rPr>
                <w:rFonts w:cs="Arial"/>
                <w:sz w:val="20"/>
                <w:szCs w:val="20"/>
              </w:rPr>
              <w:t xml:space="preserve"> </w:t>
            </w:r>
            <w:r>
              <w:rPr>
                <w:rFonts w:cs="Arial"/>
                <w:sz w:val="20"/>
                <w:szCs w:val="20"/>
              </w:rPr>
              <w:t xml:space="preserve">(within 2 meters) </w:t>
            </w:r>
            <w:r w:rsidRPr="005D3D45">
              <w:rPr>
                <w:rFonts w:cs="Arial"/>
                <w:sz w:val="20"/>
                <w:szCs w:val="20"/>
              </w:rPr>
              <w:t>domestic buildings</w:t>
            </w:r>
          </w:p>
        </w:tc>
        <w:tc>
          <w:tcPr>
            <w:tcW w:w="1559" w:type="dxa"/>
            <w:vMerge w:val="restart"/>
          </w:tcPr>
          <w:p w14:paraId="3BC880EC" w14:textId="77777777" w:rsidR="008E67EA" w:rsidRPr="005D3D45" w:rsidRDefault="008E67EA" w:rsidP="00B44A74">
            <w:pPr>
              <w:spacing w:line="280" w:lineRule="exact"/>
              <w:rPr>
                <w:rFonts w:cs="Arial"/>
                <w:sz w:val="20"/>
                <w:szCs w:val="20"/>
              </w:rPr>
            </w:pPr>
            <w:r>
              <w:rPr>
                <w:rFonts w:cs="Arial"/>
                <w:sz w:val="20"/>
                <w:szCs w:val="20"/>
              </w:rPr>
              <w:t>20 g bait/bait station</w:t>
            </w:r>
          </w:p>
        </w:tc>
        <w:tc>
          <w:tcPr>
            <w:tcW w:w="4327" w:type="dxa"/>
          </w:tcPr>
          <w:p w14:paraId="1606A572" w14:textId="77777777" w:rsidR="008E67EA" w:rsidRPr="005D3D45" w:rsidRDefault="008E67EA" w:rsidP="00B44A74">
            <w:pPr>
              <w:spacing w:line="280" w:lineRule="exact"/>
              <w:rPr>
                <w:rFonts w:cs="Arial"/>
                <w:sz w:val="20"/>
                <w:szCs w:val="20"/>
              </w:rPr>
            </w:pPr>
            <w:r>
              <w:rPr>
                <w:rFonts w:cs="Arial"/>
                <w:sz w:val="20"/>
                <w:szCs w:val="20"/>
              </w:rPr>
              <w:t>Place bait stations in infested area. Rats r</w:t>
            </w:r>
            <w:r w:rsidRPr="00131F68">
              <w:rPr>
                <w:rFonts w:cs="Arial"/>
                <w:sz w:val="20"/>
                <w:szCs w:val="20"/>
              </w:rPr>
              <w:t>equire large quantities of bait in one or two</w:t>
            </w:r>
            <w:r>
              <w:rPr>
                <w:rFonts w:cs="Arial"/>
                <w:sz w:val="20"/>
                <w:szCs w:val="20"/>
              </w:rPr>
              <w:t xml:space="preserve"> </w:t>
            </w:r>
            <w:r w:rsidRPr="00131F68">
              <w:rPr>
                <w:rFonts w:cs="Arial"/>
                <w:sz w:val="20"/>
                <w:szCs w:val="20"/>
              </w:rPr>
              <w:t>locations (2-4 bait stations per</w:t>
            </w:r>
            <w:r>
              <w:rPr>
                <w:rFonts w:cs="Arial"/>
                <w:sz w:val="20"/>
                <w:szCs w:val="20"/>
              </w:rPr>
              <w:t xml:space="preserve"> </w:t>
            </w:r>
            <w:r w:rsidRPr="00131F68">
              <w:rPr>
                <w:rFonts w:cs="Arial"/>
                <w:sz w:val="20"/>
                <w:szCs w:val="20"/>
              </w:rPr>
              <w:t>placement). D</w:t>
            </w:r>
            <w:r>
              <w:rPr>
                <w:rFonts w:cs="Arial"/>
                <w:sz w:val="20"/>
                <w:szCs w:val="20"/>
              </w:rPr>
              <w:t>O NOT</w:t>
            </w:r>
            <w:r w:rsidRPr="00131F68">
              <w:rPr>
                <w:rFonts w:cs="Arial"/>
                <w:sz w:val="20"/>
                <w:szCs w:val="20"/>
              </w:rPr>
              <w:t xml:space="preserve"> exceed 9</w:t>
            </w:r>
            <w:r>
              <w:rPr>
                <w:rFonts w:cs="Arial"/>
                <w:sz w:val="20"/>
                <w:szCs w:val="20"/>
              </w:rPr>
              <w:t xml:space="preserve"> </w:t>
            </w:r>
            <w:r w:rsidRPr="00131F68">
              <w:rPr>
                <w:rFonts w:cs="Arial"/>
                <w:sz w:val="20"/>
                <w:szCs w:val="20"/>
              </w:rPr>
              <w:t xml:space="preserve">m between placements. </w:t>
            </w:r>
          </w:p>
        </w:tc>
      </w:tr>
      <w:tr w:rsidR="008E67EA" w:rsidRPr="00FF36BF" w14:paraId="7163C038" w14:textId="77777777" w:rsidTr="00834983">
        <w:trPr>
          <w:trHeight w:val="421"/>
        </w:trPr>
        <w:tc>
          <w:tcPr>
            <w:tcW w:w="1080" w:type="dxa"/>
          </w:tcPr>
          <w:p w14:paraId="2DBF1CC1" w14:textId="77777777" w:rsidR="008E67EA" w:rsidRPr="005D3D45" w:rsidRDefault="008E67EA" w:rsidP="00B44A74">
            <w:pPr>
              <w:spacing w:line="280" w:lineRule="exact"/>
              <w:rPr>
                <w:rFonts w:cs="Arial"/>
                <w:sz w:val="20"/>
                <w:szCs w:val="20"/>
              </w:rPr>
            </w:pPr>
            <w:r>
              <w:rPr>
                <w:rFonts w:cs="Arial"/>
                <w:sz w:val="20"/>
                <w:szCs w:val="20"/>
              </w:rPr>
              <w:t>Mice</w:t>
            </w:r>
          </w:p>
        </w:tc>
        <w:tc>
          <w:tcPr>
            <w:tcW w:w="2034" w:type="dxa"/>
          </w:tcPr>
          <w:p w14:paraId="17BED868" w14:textId="77777777" w:rsidR="008E67EA" w:rsidRPr="005D3D45" w:rsidRDefault="008E67EA" w:rsidP="00B44A74">
            <w:pPr>
              <w:spacing w:line="280" w:lineRule="exact"/>
              <w:rPr>
                <w:rFonts w:cs="Arial"/>
                <w:sz w:val="20"/>
                <w:szCs w:val="20"/>
              </w:rPr>
            </w:pPr>
            <w:r w:rsidRPr="005D3D45">
              <w:rPr>
                <w:rFonts w:cs="Arial"/>
                <w:sz w:val="20"/>
                <w:szCs w:val="20"/>
              </w:rPr>
              <w:t xml:space="preserve">In domestic buildings </w:t>
            </w:r>
          </w:p>
        </w:tc>
        <w:tc>
          <w:tcPr>
            <w:tcW w:w="1559" w:type="dxa"/>
            <w:vMerge/>
          </w:tcPr>
          <w:p w14:paraId="0F80BB6A" w14:textId="77777777" w:rsidR="008E67EA" w:rsidRPr="005D3D45" w:rsidRDefault="008E67EA" w:rsidP="00B44A74">
            <w:pPr>
              <w:spacing w:line="280" w:lineRule="exact"/>
              <w:rPr>
                <w:rFonts w:cs="Arial"/>
                <w:sz w:val="20"/>
                <w:szCs w:val="20"/>
              </w:rPr>
            </w:pPr>
          </w:p>
        </w:tc>
        <w:tc>
          <w:tcPr>
            <w:tcW w:w="4327" w:type="dxa"/>
          </w:tcPr>
          <w:p w14:paraId="58A29CBC" w14:textId="77777777" w:rsidR="008E67EA" w:rsidRPr="005D3D45" w:rsidRDefault="008E67EA" w:rsidP="00B44A74">
            <w:pPr>
              <w:spacing w:line="280" w:lineRule="exact"/>
              <w:rPr>
                <w:rFonts w:cs="Arial"/>
                <w:sz w:val="20"/>
                <w:szCs w:val="20"/>
              </w:rPr>
            </w:pPr>
            <w:r>
              <w:rPr>
                <w:rFonts w:cs="Arial"/>
                <w:sz w:val="20"/>
                <w:szCs w:val="20"/>
              </w:rPr>
              <w:t>Place bait stations in infested area.</w:t>
            </w:r>
            <w:r>
              <w:t xml:space="preserve"> Mice r</w:t>
            </w:r>
            <w:r w:rsidRPr="00131F68">
              <w:rPr>
                <w:rFonts w:cs="Arial"/>
                <w:sz w:val="20"/>
                <w:szCs w:val="20"/>
              </w:rPr>
              <w:t>equire small quantities in several locations (20</w:t>
            </w:r>
            <w:r>
              <w:rPr>
                <w:rFonts w:cs="Arial"/>
                <w:sz w:val="20"/>
                <w:szCs w:val="20"/>
              </w:rPr>
              <w:t xml:space="preserve"> </w:t>
            </w:r>
            <w:r w:rsidRPr="00131F68">
              <w:rPr>
                <w:rFonts w:cs="Arial"/>
                <w:sz w:val="20"/>
                <w:szCs w:val="20"/>
              </w:rPr>
              <w:t>g bait per placement). Larger</w:t>
            </w:r>
            <w:r>
              <w:rPr>
                <w:rFonts w:cs="Arial"/>
                <w:sz w:val="20"/>
                <w:szCs w:val="20"/>
              </w:rPr>
              <w:t xml:space="preserve"> </w:t>
            </w:r>
            <w:r w:rsidRPr="00131F68">
              <w:rPr>
                <w:rFonts w:cs="Arial"/>
                <w:sz w:val="20"/>
                <w:szCs w:val="20"/>
              </w:rPr>
              <w:t>placements (2-3 bait stations) may be needed at points of very high mouse activity. D</w:t>
            </w:r>
            <w:r>
              <w:rPr>
                <w:rFonts w:cs="Arial"/>
                <w:sz w:val="20"/>
                <w:szCs w:val="20"/>
              </w:rPr>
              <w:t xml:space="preserve">O NOT </w:t>
            </w:r>
            <w:r w:rsidRPr="00131F68">
              <w:rPr>
                <w:rFonts w:cs="Arial"/>
                <w:sz w:val="20"/>
                <w:szCs w:val="20"/>
              </w:rPr>
              <w:t>exceed 3</w:t>
            </w:r>
            <w:r>
              <w:rPr>
                <w:rFonts w:cs="Arial"/>
                <w:sz w:val="20"/>
                <w:szCs w:val="20"/>
              </w:rPr>
              <w:t xml:space="preserve"> </w:t>
            </w:r>
            <w:r w:rsidRPr="00131F68">
              <w:rPr>
                <w:rFonts w:cs="Arial"/>
                <w:sz w:val="20"/>
                <w:szCs w:val="20"/>
              </w:rPr>
              <w:t xml:space="preserve">m between bait stations. </w:t>
            </w:r>
          </w:p>
        </w:tc>
      </w:tr>
      <w:tr w:rsidR="008E67EA" w:rsidRPr="00FF36BF" w14:paraId="47E61AA2" w14:textId="77777777" w:rsidTr="00834983">
        <w:trPr>
          <w:trHeight w:val="421"/>
        </w:trPr>
        <w:tc>
          <w:tcPr>
            <w:tcW w:w="9000" w:type="dxa"/>
            <w:gridSpan w:val="4"/>
          </w:tcPr>
          <w:p w14:paraId="1AD22213" w14:textId="430BE073" w:rsidR="008E67EA" w:rsidRDefault="008E67EA" w:rsidP="00B44A74">
            <w:pPr>
              <w:spacing w:after="120" w:line="280" w:lineRule="exact"/>
              <w:rPr>
                <w:rFonts w:eastAsia="Calibri" w:cs="Arial"/>
                <w:b/>
                <w:bCs/>
                <w:sz w:val="20"/>
                <w:szCs w:val="20"/>
                <w:bdr w:val="none" w:sz="0" w:space="0" w:color="auto" w:frame="1"/>
                <w:lang w:val="en-GB"/>
              </w:rPr>
            </w:pPr>
            <w:r w:rsidRPr="001E6DA9">
              <w:rPr>
                <w:rFonts w:eastAsia="Calibri" w:cs="Arial"/>
                <w:b/>
                <w:bCs/>
                <w:sz w:val="20"/>
                <w:szCs w:val="20"/>
                <w:bdr w:val="none" w:sz="0" w:space="0" w:color="auto" w:frame="1"/>
                <w:lang w:val="en-GB"/>
              </w:rPr>
              <w:t>General Information and baiting strategy for</w:t>
            </w:r>
            <w:r>
              <w:rPr>
                <w:rFonts w:eastAsia="Calibri" w:cs="Arial"/>
                <w:b/>
                <w:bCs/>
                <w:sz w:val="20"/>
                <w:szCs w:val="20"/>
                <w:bdr w:val="none" w:sz="0" w:space="0" w:color="auto" w:frame="1"/>
                <w:lang w:val="en-GB"/>
              </w:rPr>
              <w:t xml:space="preserve"> rats</w:t>
            </w:r>
            <w:r w:rsidRPr="001E6DA9">
              <w:rPr>
                <w:rFonts w:eastAsia="Calibri" w:cs="Arial"/>
                <w:b/>
                <w:bCs/>
                <w:sz w:val="20"/>
                <w:szCs w:val="20"/>
                <w:bdr w:val="none" w:sz="0" w:space="0" w:color="auto" w:frame="1"/>
                <w:lang w:val="en-GB"/>
              </w:rPr>
              <w:t xml:space="preserve"> and mice:</w:t>
            </w:r>
          </w:p>
          <w:p w14:paraId="0A7204F4" w14:textId="39AE78EA" w:rsidR="008E67EA" w:rsidRDefault="008E67EA" w:rsidP="00B44A74">
            <w:pPr>
              <w:spacing w:after="120" w:line="280" w:lineRule="exact"/>
              <w:rPr>
                <w:rFonts w:eastAsia="Calibri" w:cs="Arial"/>
                <w:sz w:val="20"/>
                <w:szCs w:val="20"/>
                <w:bdr w:val="none" w:sz="0" w:space="0" w:color="auto" w:frame="1"/>
              </w:rPr>
            </w:pPr>
            <w:r w:rsidRPr="006E5319">
              <w:rPr>
                <w:rFonts w:eastAsia="Calibri" w:cs="Arial"/>
                <w:sz w:val="20"/>
                <w:szCs w:val="20"/>
                <w:bdr w:val="none" w:sz="0" w:space="0" w:color="auto" w:frame="1"/>
              </w:rPr>
              <w:t>Determine areas where rats and/or mice will most likely find and consume the bait. These are areas such as along walls or rafters, in corners and concealed places or any other locations where rats and mice or their signs have been observed. Eliminate, as far as practicable, all alternative food sources from these areas</w:t>
            </w:r>
            <w:r w:rsidR="00834983">
              <w:rPr>
                <w:rFonts w:eastAsia="Calibri" w:cs="Arial"/>
                <w:sz w:val="20"/>
                <w:szCs w:val="20"/>
                <w:bdr w:val="none" w:sz="0" w:space="0" w:color="auto" w:frame="1"/>
              </w:rPr>
              <w:t>.</w:t>
            </w:r>
          </w:p>
          <w:p w14:paraId="5334B425" w14:textId="77777777" w:rsidR="008E67EA" w:rsidRPr="006E5319" w:rsidRDefault="008E67EA" w:rsidP="00B44A74">
            <w:pPr>
              <w:spacing w:after="120" w:line="280" w:lineRule="exact"/>
              <w:rPr>
                <w:rFonts w:eastAsia="Calibri" w:cs="Arial"/>
                <w:sz w:val="20"/>
                <w:szCs w:val="20"/>
                <w:bdr w:val="none" w:sz="0" w:space="0" w:color="auto" w:frame="1"/>
                <w:lang w:val="en-GB"/>
              </w:rPr>
            </w:pPr>
            <w:r w:rsidRPr="006E5319">
              <w:rPr>
                <w:rFonts w:eastAsia="Calibri" w:cs="Arial"/>
                <w:sz w:val="20"/>
                <w:szCs w:val="20"/>
                <w:bdr w:val="none" w:sz="0" w:space="0" w:color="auto" w:frame="1"/>
              </w:rPr>
              <w:t>Use in tamper resistant bait stations only. If bait can be dislodged from bait station, fix tamper-resistant bait stations to the ground or other structures.</w:t>
            </w:r>
            <w:r>
              <w:rPr>
                <w:rFonts w:eastAsia="Calibri" w:cs="Arial"/>
                <w:sz w:val="20"/>
                <w:szCs w:val="20"/>
                <w:bdr w:val="none" w:sz="0" w:space="0" w:color="auto" w:frame="1"/>
              </w:rPr>
              <w:t xml:space="preserve"> </w:t>
            </w:r>
            <w:r w:rsidRPr="006E5319">
              <w:rPr>
                <w:rFonts w:eastAsia="Calibri" w:cs="Arial"/>
                <w:sz w:val="20"/>
                <w:szCs w:val="20"/>
                <w:bdr w:val="none" w:sz="0" w:space="0" w:color="auto" w:frame="1"/>
              </w:rPr>
              <w:t>Record the number and locations of bait stations for the purpose of replenishment and later removal.</w:t>
            </w:r>
          </w:p>
          <w:p w14:paraId="27EFCF6D" w14:textId="56F2FE1F" w:rsidR="008E67EA" w:rsidRDefault="008E67EA" w:rsidP="00B44A74">
            <w:pPr>
              <w:spacing w:after="120" w:line="280" w:lineRule="exact"/>
              <w:rPr>
                <w:rFonts w:eastAsia="Calibri" w:cs="Arial"/>
                <w:sz w:val="20"/>
                <w:szCs w:val="20"/>
                <w:bdr w:val="none" w:sz="0" w:space="0" w:color="auto" w:frame="1"/>
                <w:lang w:val="en-GB"/>
              </w:rPr>
            </w:pPr>
            <w:r w:rsidRPr="006E5319">
              <w:rPr>
                <w:rFonts w:eastAsia="Calibri" w:cs="Arial"/>
                <w:sz w:val="20"/>
                <w:szCs w:val="20"/>
                <w:bdr w:val="none" w:sz="0" w:space="0" w:color="auto" w:frame="1"/>
                <w:lang w:val="en-GB"/>
              </w:rPr>
              <w:t>Inspect bait stations</w:t>
            </w:r>
            <w:r>
              <w:rPr>
                <w:rFonts w:eastAsia="Calibri" w:cs="Arial"/>
                <w:sz w:val="20"/>
                <w:szCs w:val="20"/>
                <w:bdr w:val="none" w:sz="0" w:space="0" w:color="auto" w:frame="1"/>
                <w:lang w:val="en-GB"/>
              </w:rPr>
              <w:t xml:space="preserve"> </w:t>
            </w:r>
            <w:r w:rsidRPr="006E5319">
              <w:rPr>
                <w:rFonts w:eastAsia="Calibri" w:cs="Arial"/>
                <w:sz w:val="20"/>
                <w:szCs w:val="20"/>
                <w:bdr w:val="none" w:sz="0" w:space="0" w:color="auto" w:frame="1"/>
                <w:lang w:val="en-GB"/>
              </w:rPr>
              <w:t>daily. Replace eaten baits and if they have been eaten quickly increase the number of bait</w:t>
            </w:r>
            <w:r>
              <w:rPr>
                <w:rFonts w:eastAsia="Calibri" w:cs="Arial"/>
                <w:sz w:val="20"/>
                <w:szCs w:val="20"/>
                <w:bdr w:val="none" w:sz="0" w:space="0" w:color="auto" w:frame="1"/>
                <w:lang w:val="en-GB"/>
              </w:rPr>
              <w:t xml:space="preserve"> </w:t>
            </w:r>
            <w:r w:rsidRPr="006E5319">
              <w:rPr>
                <w:rFonts w:eastAsia="Calibri" w:cs="Arial"/>
                <w:sz w:val="20"/>
                <w:szCs w:val="20"/>
                <w:bdr w:val="none" w:sz="0" w:space="0" w:color="auto" w:frame="1"/>
                <w:lang w:val="en-GB"/>
              </w:rPr>
              <w:t>stations. Continue observation and replenishment until no more bait has been taken.</w:t>
            </w:r>
            <w:r>
              <w:rPr>
                <w:rFonts w:eastAsia="Calibri" w:cs="Arial"/>
                <w:sz w:val="20"/>
                <w:szCs w:val="20"/>
                <w:bdr w:val="none" w:sz="0" w:space="0" w:color="auto" w:frame="1"/>
                <w:lang w:val="en-GB"/>
              </w:rPr>
              <w:t xml:space="preserve"> </w:t>
            </w:r>
            <w:r w:rsidRPr="006E5319">
              <w:rPr>
                <w:rFonts w:eastAsia="Calibri" w:cs="Arial"/>
                <w:sz w:val="20"/>
                <w:szCs w:val="20"/>
                <w:bdr w:val="none" w:sz="0" w:space="0" w:color="auto" w:frame="1"/>
                <w:lang w:val="en-GB"/>
              </w:rPr>
              <w:t>Most deaths occur 4 to 7 days after consumption of bait. Continue</w:t>
            </w:r>
            <w:r>
              <w:rPr>
                <w:rFonts w:eastAsia="Calibri" w:cs="Arial"/>
                <w:sz w:val="20"/>
                <w:szCs w:val="20"/>
                <w:bdr w:val="none" w:sz="0" w:space="0" w:color="auto" w:frame="1"/>
                <w:lang w:val="en-GB"/>
              </w:rPr>
              <w:t xml:space="preserve"> </w:t>
            </w:r>
            <w:r w:rsidRPr="006E5319">
              <w:rPr>
                <w:rFonts w:eastAsia="Calibri" w:cs="Arial"/>
                <w:sz w:val="20"/>
                <w:szCs w:val="20"/>
                <w:bdr w:val="none" w:sz="0" w:space="0" w:color="auto" w:frame="1"/>
                <w:lang w:val="en-GB"/>
              </w:rPr>
              <w:t>baiting for at least 2 weeks or until signs of rat or mouse activity cease.</w:t>
            </w:r>
          </w:p>
          <w:p w14:paraId="35F55639" w14:textId="77777777" w:rsidR="008E67EA" w:rsidRPr="005957E0" w:rsidRDefault="008E67EA" w:rsidP="00B44A74">
            <w:pPr>
              <w:spacing w:after="120" w:line="280" w:lineRule="exact"/>
              <w:rPr>
                <w:rFonts w:eastAsia="Calibri" w:cs="Arial"/>
                <w:sz w:val="20"/>
                <w:szCs w:val="20"/>
                <w:bdr w:val="none" w:sz="0" w:space="0" w:color="auto" w:frame="1"/>
                <w:lang w:val="en-GB"/>
              </w:rPr>
            </w:pPr>
            <w:r w:rsidRPr="005957E0">
              <w:rPr>
                <w:rFonts w:eastAsia="Calibri" w:cs="Arial"/>
                <w:sz w:val="20"/>
                <w:szCs w:val="20"/>
                <w:bdr w:val="none" w:sz="0" w:space="0" w:color="auto" w:frame="1"/>
                <w:lang w:val="en-GB"/>
              </w:rPr>
              <w:t>DO NOT use the product for longer than 35 days. If rodent activity is still observed after 35 days, seek advice from the product supplier or call a pest control service.</w:t>
            </w:r>
          </w:p>
          <w:p w14:paraId="1FF9A971" w14:textId="77777777" w:rsidR="008E67EA" w:rsidRPr="00246206" w:rsidRDefault="008E67EA" w:rsidP="00B44A74">
            <w:pPr>
              <w:spacing w:after="120" w:line="280" w:lineRule="exact"/>
              <w:rPr>
                <w:rFonts w:eastAsia="Calibri" w:cs="Arial"/>
                <w:sz w:val="20"/>
                <w:szCs w:val="20"/>
                <w:bdr w:val="none" w:sz="0" w:space="0" w:color="auto" w:frame="1"/>
                <w:lang w:val="en-GB"/>
              </w:rPr>
            </w:pPr>
            <w:r w:rsidRPr="006E5319">
              <w:rPr>
                <w:rFonts w:eastAsia="Calibri" w:cs="Arial"/>
                <w:sz w:val="20"/>
                <w:szCs w:val="20"/>
                <w:bdr w:val="none" w:sz="0" w:space="0" w:color="auto" w:frame="1"/>
                <w:lang w:val="en-GB"/>
              </w:rPr>
              <w:t>To</w:t>
            </w:r>
            <w:r>
              <w:rPr>
                <w:rFonts w:eastAsia="Calibri" w:cs="Arial"/>
                <w:sz w:val="20"/>
                <w:szCs w:val="20"/>
                <w:bdr w:val="none" w:sz="0" w:space="0" w:color="auto" w:frame="1"/>
                <w:lang w:val="en-GB"/>
              </w:rPr>
              <w:t xml:space="preserve"> </w:t>
            </w:r>
            <w:r w:rsidRPr="006E5319">
              <w:rPr>
                <w:rFonts w:eastAsia="Calibri" w:cs="Arial"/>
                <w:sz w:val="20"/>
                <w:szCs w:val="20"/>
                <w:bdr w:val="none" w:sz="0" w:space="0" w:color="auto" w:frame="1"/>
                <w:lang w:val="en-GB"/>
              </w:rPr>
              <w:t>prevent reinfestation, eliminate food, water and housing as much as possible. Remove</w:t>
            </w:r>
            <w:r>
              <w:rPr>
                <w:rFonts w:eastAsia="Calibri" w:cs="Arial"/>
                <w:sz w:val="20"/>
                <w:szCs w:val="20"/>
                <w:bdr w:val="none" w:sz="0" w:space="0" w:color="auto" w:frame="1"/>
                <w:lang w:val="en-GB"/>
              </w:rPr>
              <w:t xml:space="preserve"> </w:t>
            </w:r>
            <w:r w:rsidRPr="006E5319">
              <w:rPr>
                <w:rFonts w:eastAsia="Calibri" w:cs="Arial"/>
                <w:sz w:val="20"/>
                <w:szCs w:val="20"/>
                <w:bdr w:val="none" w:sz="0" w:space="0" w:color="auto" w:frame="1"/>
                <w:lang w:val="en-GB"/>
              </w:rPr>
              <w:t>any unused baits after rat and mice activity has ceased. If reinfestation does occur, repeat</w:t>
            </w:r>
            <w:r>
              <w:rPr>
                <w:rFonts w:eastAsia="Calibri" w:cs="Arial"/>
                <w:sz w:val="20"/>
                <w:szCs w:val="20"/>
                <w:bdr w:val="none" w:sz="0" w:space="0" w:color="auto" w:frame="1"/>
                <w:lang w:val="en-GB"/>
              </w:rPr>
              <w:t xml:space="preserve"> </w:t>
            </w:r>
            <w:r w:rsidRPr="006E5319">
              <w:rPr>
                <w:rFonts w:eastAsia="Calibri" w:cs="Arial"/>
                <w:sz w:val="20"/>
                <w:szCs w:val="20"/>
                <w:bdr w:val="none" w:sz="0" w:space="0" w:color="auto" w:frame="1"/>
                <w:lang w:val="en-GB"/>
              </w:rPr>
              <w:t>treatment.</w:t>
            </w:r>
          </w:p>
        </w:tc>
      </w:tr>
    </w:tbl>
    <w:p w14:paraId="44D5BCF1" w14:textId="37A0BF1E" w:rsidR="008E67EA" w:rsidRDefault="008E67EA" w:rsidP="008E67EA">
      <w:pPr>
        <w:rPr>
          <w:rFonts w:cs="Arial"/>
          <w:b/>
          <w:bCs/>
          <w:sz w:val="20"/>
          <w:szCs w:val="20"/>
          <w:bdr w:val="none" w:sz="0" w:space="0" w:color="auto" w:frame="1"/>
          <w:lang w:val="en-GB" w:eastAsia="en-AU"/>
        </w:rPr>
      </w:pPr>
      <w:r w:rsidRPr="00E176C4">
        <w:rPr>
          <w:rFonts w:cs="Arial"/>
          <w:b/>
          <w:bCs/>
          <w:sz w:val="20"/>
          <w:szCs w:val="20"/>
        </w:rPr>
        <w:t>NOT TO BE USED FOR ANY PURPOSE, OR IN ANY MANNER, CONTRARY TO THIS LABEL UNLESS AUTHORISED.</w:t>
      </w:r>
      <w:r>
        <w:rPr>
          <w:rFonts w:cs="Arial"/>
          <w:b/>
          <w:bCs/>
          <w:sz w:val="20"/>
          <w:szCs w:val="20"/>
          <w:bdr w:val="none" w:sz="0" w:space="0" w:color="auto" w:frame="1"/>
          <w:lang w:val="en-GB" w:eastAsia="en-AU"/>
        </w:rPr>
        <w:br w:type="page"/>
      </w:r>
    </w:p>
    <w:p w14:paraId="56BE4C01" w14:textId="77777777" w:rsidR="008E67EA"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lastRenderedPageBreak/>
        <w:t xml:space="preserve">Template Label </w:t>
      </w:r>
      <w:r>
        <w:rPr>
          <w:rFonts w:cs="Arial"/>
          <w:b/>
          <w:bCs/>
          <w:sz w:val="20"/>
          <w:szCs w:val="20"/>
          <w:bdr w:val="none" w:sz="0" w:space="0" w:color="auto" w:frame="1"/>
          <w:lang w:val="en-GB" w:eastAsia="en-AU"/>
        </w:rPr>
        <w:t>7c</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977CB2" w14:paraId="633EB3D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D76B620" w14:textId="77777777" w:rsidR="008E67EA" w:rsidRPr="00977CB2" w:rsidRDefault="008E67EA" w:rsidP="00B44A74">
            <w:pPr>
              <w:spacing w:line="280" w:lineRule="exact"/>
              <w:rPr>
                <w:rFonts w:cs="Arial"/>
                <w:sz w:val="20"/>
                <w:szCs w:val="20"/>
              </w:rPr>
            </w:pPr>
            <w:r w:rsidRPr="00977CB2">
              <w:rPr>
                <w:rFonts w:cs="Arial"/>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2E35DBD1" w14:textId="77777777" w:rsidR="008E67EA" w:rsidRPr="00977CB2" w:rsidRDefault="008E67EA" w:rsidP="00B44A74">
            <w:pPr>
              <w:spacing w:line="280" w:lineRule="exact"/>
              <w:rPr>
                <w:rFonts w:cs="Arial"/>
                <w:sz w:val="20"/>
                <w:szCs w:val="20"/>
              </w:rPr>
            </w:pPr>
            <w:r w:rsidRPr="00977CB2">
              <w:rPr>
                <w:rFonts w:cs="Arial"/>
                <w:sz w:val="20"/>
                <w:szCs w:val="20"/>
              </w:rPr>
              <w:t>[INSERT LABEL NAME]</w:t>
            </w:r>
          </w:p>
        </w:tc>
      </w:tr>
      <w:tr w:rsidR="008E67EA" w:rsidRPr="00977CB2" w14:paraId="386F2ED9" w14:textId="77777777" w:rsidTr="00B44A74">
        <w:trPr>
          <w:jc w:val="center"/>
        </w:trPr>
        <w:tc>
          <w:tcPr>
            <w:tcW w:w="2415" w:type="dxa"/>
            <w:tcBorders>
              <w:top w:val="single" w:sz="4" w:space="0" w:color="auto"/>
              <w:left w:val="nil"/>
              <w:bottom w:val="single" w:sz="4" w:space="0" w:color="auto"/>
              <w:right w:val="nil"/>
            </w:tcBorders>
          </w:tcPr>
          <w:p w14:paraId="77874EC5" w14:textId="77777777" w:rsidR="008E67EA" w:rsidRPr="00977CB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CE5D6D3" w14:textId="77777777" w:rsidR="008E67EA" w:rsidRPr="00977CB2" w:rsidRDefault="008E67EA" w:rsidP="00B44A74">
            <w:pPr>
              <w:spacing w:line="280" w:lineRule="exact"/>
              <w:rPr>
                <w:rFonts w:cs="Arial"/>
                <w:sz w:val="20"/>
                <w:szCs w:val="20"/>
              </w:rPr>
            </w:pPr>
          </w:p>
        </w:tc>
      </w:tr>
      <w:tr w:rsidR="008E67EA" w:rsidRPr="00977CB2" w14:paraId="774106E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C651EA4" w14:textId="77777777" w:rsidR="008E67EA" w:rsidRPr="00977CB2" w:rsidRDefault="008E67EA" w:rsidP="00B44A74">
            <w:pPr>
              <w:spacing w:line="280" w:lineRule="exact"/>
              <w:rPr>
                <w:rFonts w:cs="Arial"/>
                <w:sz w:val="20"/>
                <w:szCs w:val="20"/>
              </w:rPr>
            </w:pPr>
            <w:r w:rsidRPr="00977CB2">
              <w:rPr>
                <w:rFonts w:cs="Arial"/>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6E552AF4" w14:textId="77777777" w:rsidR="008E67EA" w:rsidRPr="00977CB2" w:rsidRDefault="008E67EA" w:rsidP="00B44A74">
            <w:pPr>
              <w:spacing w:line="280" w:lineRule="exact"/>
              <w:rPr>
                <w:rFonts w:cs="Arial"/>
                <w:sz w:val="20"/>
                <w:szCs w:val="20"/>
              </w:rPr>
            </w:pPr>
            <w:r w:rsidRPr="00977CB2">
              <w:rPr>
                <w:rFonts w:cs="Arial"/>
                <w:sz w:val="20"/>
                <w:szCs w:val="20"/>
              </w:rPr>
              <w:t>POISON</w:t>
            </w:r>
          </w:p>
          <w:p w14:paraId="545DC761" w14:textId="77777777" w:rsidR="008E67EA" w:rsidRPr="00977CB2" w:rsidRDefault="008E67EA" w:rsidP="00B44A74">
            <w:pPr>
              <w:spacing w:line="280" w:lineRule="exact"/>
              <w:rPr>
                <w:rFonts w:cs="Arial"/>
                <w:sz w:val="20"/>
                <w:szCs w:val="20"/>
              </w:rPr>
            </w:pPr>
            <w:r w:rsidRPr="00977CB2">
              <w:rPr>
                <w:rFonts w:cs="Arial"/>
                <w:sz w:val="20"/>
                <w:szCs w:val="20"/>
              </w:rPr>
              <w:t>KEEP OUT OF REACH OF CHILDREN</w:t>
            </w:r>
          </w:p>
          <w:p w14:paraId="2CB6AE14" w14:textId="77777777" w:rsidR="008E67EA" w:rsidRPr="00977CB2" w:rsidRDefault="008E67EA" w:rsidP="00B44A74">
            <w:pPr>
              <w:spacing w:line="280" w:lineRule="exact"/>
              <w:rPr>
                <w:rFonts w:cs="Arial"/>
                <w:sz w:val="20"/>
                <w:szCs w:val="20"/>
              </w:rPr>
            </w:pPr>
            <w:r w:rsidRPr="00977CB2">
              <w:rPr>
                <w:rFonts w:cs="Arial"/>
                <w:sz w:val="20"/>
                <w:szCs w:val="20"/>
              </w:rPr>
              <w:t>READ SAFETY DIRECTIONS BEFORE OPENING OR USING</w:t>
            </w:r>
          </w:p>
        </w:tc>
      </w:tr>
      <w:tr w:rsidR="008E67EA" w:rsidRPr="00977CB2" w14:paraId="4E0558E5" w14:textId="77777777" w:rsidTr="00B44A74">
        <w:trPr>
          <w:jc w:val="center"/>
        </w:trPr>
        <w:tc>
          <w:tcPr>
            <w:tcW w:w="2415" w:type="dxa"/>
            <w:tcBorders>
              <w:top w:val="single" w:sz="4" w:space="0" w:color="auto"/>
              <w:left w:val="nil"/>
              <w:bottom w:val="single" w:sz="4" w:space="0" w:color="auto"/>
              <w:right w:val="nil"/>
            </w:tcBorders>
          </w:tcPr>
          <w:p w14:paraId="14B3FE94" w14:textId="77777777" w:rsidR="008E67EA" w:rsidRPr="00977CB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83A4211" w14:textId="77777777" w:rsidR="008E67EA" w:rsidRPr="00977CB2" w:rsidRDefault="008E67EA" w:rsidP="00B44A74">
            <w:pPr>
              <w:spacing w:line="280" w:lineRule="exact"/>
              <w:rPr>
                <w:rFonts w:cs="Arial"/>
                <w:sz w:val="20"/>
                <w:szCs w:val="20"/>
              </w:rPr>
            </w:pPr>
          </w:p>
        </w:tc>
      </w:tr>
      <w:tr w:rsidR="008E67EA" w:rsidRPr="00977CB2" w14:paraId="2945786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E303769" w14:textId="77777777" w:rsidR="008E67EA" w:rsidRPr="00977CB2" w:rsidRDefault="008E67EA" w:rsidP="00B44A74">
            <w:pPr>
              <w:spacing w:line="280" w:lineRule="exact"/>
              <w:rPr>
                <w:rFonts w:cs="Arial"/>
                <w:sz w:val="20"/>
                <w:szCs w:val="20"/>
              </w:rPr>
            </w:pPr>
            <w:r w:rsidRPr="00977CB2">
              <w:rPr>
                <w:rFonts w:cs="Arial"/>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5ACA9866" w14:textId="77777777" w:rsidR="008E67EA" w:rsidRPr="00FD51DE" w:rsidRDefault="008E67EA" w:rsidP="00B44A74">
            <w:pPr>
              <w:spacing w:line="280" w:lineRule="exact"/>
              <w:rPr>
                <w:rFonts w:cs="Arial"/>
                <w:sz w:val="20"/>
                <w:szCs w:val="20"/>
              </w:rPr>
            </w:pPr>
            <w:r w:rsidRPr="00FD51DE">
              <w:rPr>
                <w:rFonts w:cs="Arial"/>
                <w:sz w:val="20"/>
                <w:szCs w:val="20"/>
              </w:rPr>
              <w:t>ACTIVE CONSTITUENT: 0.025 g/kg BRODIFACOUM</w:t>
            </w:r>
          </w:p>
        </w:tc>
      </w:tr>
      <w:tr w:rsidR="008E67EA" w:rsidRPr="00977CB2" w14:paraId="0DBD59F7" w14:textId="77777777" w:rsidTr="00B44A74">
        <w:trPr>
          <w:jc w:val="center"/>
        </w:trPr>
        <w:tc>
          <w:tcPr>
            <w:tcW w:w="2415" w:type="dxa"/>
            <w:tcBorders>
              <w:top w:val="single" w:sz="4" w:space="0" w:color="auto"/>
              <w:left w:val="nil"/>
              <w:bottom w:val="single" w:sz="4" w:space="0" w:color="auto"/>
              <w:right w:val="nil"/>
            </w:tcBorders>
          </w:tcPr>
          <w:p w14:paraId="692961E8" w14:textId="77777777" w:rsidR="008E67EA" w:rsidRPr="00977CB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39DF498" w14:textId="77777777" w:rsidR="008E67EA" w:rsidRPr="00977CB2" w:rsidRDefault="008E67EA" w:rsidP="00B44A74">
            <w:pPr>
              <w:spacing w:line="280" w:lineRule="exact"/>
              <w:rPr>
                <w:rFonts w:cs="Arial"/>
                <w:sz w:val="20"/>
                <w:szCs w:val="20"/>
              </w:rPr>
            </w:pPr>
          </w:p>
        </w:tc>
      </w:tr>
      <w:tr w:rsidR="008E67EA" w:rsidRPr="00977CB2" w14:paraId="0CE8894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4311E31" w14:textId="77777777" w:rsidR="008E67EA" w:rsidRPr="00977CB2" w:rsidRDefault="008E67EA" w:rsidP="00B44A74">
            <w:pPr>
              <w:spacing w:line="280" w:lineRule="exact"/>
              <w:rPr>
                <w:rFonts w:cs="Arial"/>
                <w:sz w:val="20"/>
                <w:szCs w:val="20"/>
              </w:rPr>
            </w:pPr>
            <w:r w:rsidRPr="00977CB2">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5B5FFFE3" w14:textId="77777777" w:rsidR="008E67EA" w:rsidRPr="00977CB2" w:rsidRDefault="008E67EA" w:rsidP="00B44A74">
            <w:pPr>
              <w:spacing w:line="280" w:lineRule="exact"/>
              <w:rPr>
                <w:rFonts w:cs="Arial"/>
                <w:sz w:val="20"/>
                <w:szCs w:val="20"/>
              </w:rPr>
            </w:pPr>
            <w:r w:rsidRPr="00977CB2">
              <w:rPr>
                <w:rFonts w:cs="Arial"/>
                <w:sz w:val="20"/>
                <w:szCs w:val="20"/>
              </w:rPr>
              <w:t>For control of mice in buildings and rats in and around domestic buildings</w:t>
            </w:r>
          </w:p>
        </w:tc>
      </w:tr>
      <w:tr w:rsidR="008E67EA" w:rsidRPr="00977CB2" w14:paraId="549FE79E" w14:textId="77777777" w:rsidTr="00B44A74">
        <w:trPr>
          <w:jc w:val="center"/>
        </w:trPr>
        <w:tc>
          <w:tcPr>
            <w:tcW w:w="2415" w:type="dxa"/>
            <w:tcBorders>
              <w:top w:val="single" w:sz="4" w:space="0" w:color="auto"/>
              <w:left w:val="nil"/>
              <w:bottom w:val="single" w:sz="4" w:space="0" w:color="auto"/>
              <w:right w:val="nil"/>
            </w:tcBorders>
          </w:tcPr>
          <w:p w14:paraId="4FE6114C" w14:textId="77777777" w:rsidR="008E67EA" w:rsidRPr="00977CB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8328187" w14:textId="77777777" w:rsidR="008E67EA" w:rsidRPr="00977CB2" w:rsidRDefault="008E67EA" w:rsidP="00B44A74">
            <w:pPr>
              <w:spacing w:line="280" w:lineRule="exact"/>
              <w:rPr>
                <w:rFonts w:cs="Arial"/>
                <w:sz w:val="20"/>
                <w:szCs w:val="20"/>
              </w:rPr>
            </w:pPr>
          </w:p>
        </w:tc>
      </w:tr>
      <w:tr w:rsidR="008E67EA" w:rsidRPr="00977CB2" w14:paraId="23B4993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5856E7E" w14:textId="77777777" w:rsidR="008E67EA" w:rsidRPr="00977CB2" w:rsidRDefault="008E67EA" w:rsidP="00B44A74">
            <w:pPr>
              <w:spacing w:line="280" w:lineRule="exact"/>
              <w:rPr>
                <w:rFonts w:cs="Arial"/>
                <w:sz w:val="20"/>
                <w:szCs w:val="20"/>
              </w:rPr>
            </w:pPr>
            <w:r w:rsidRPr="00977CB2">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3AECA64D" w14:textId="77777777" w:rsidR="008E67EA" w:rsidRPr="00977CB2" w:rsidRDefault="008E67EA" w:rsidP="00B44A74">
            <w:pPr>
              <w:spacing w:line="280" w:lineRule="exact"/>
              <w:rPr>
                <w:rFonts w:cs="Arial"/>
                <w:sz w:val="20"/>
                <w:szCs w:val="20"/>
              </w:rPr>
            </w:pPr>
            <w:r w:rsidRPr="00977CB2">
              <w:rPr>
                <w:rFonts w:cs="Arial"/>
                <w:sz w:val="20"/>
                <w:szCs w:val="20"/>
              </w:rPr>
              <w:t>[INSERT NET CONTENTS – MAXIMUM 150 g]</w:t>
            </w:r>
          </w:p>
        </w:tc>
      </w:tr>
      <w:tr w:rsidR="008E67EA" w:rsidRPr="00977CB2" w14:paraId="48487228" w14:textId="77777777" w:rsidTr="00B44A74">
        <w:trPr>
          <w:jc w:val="center"/>
        </w:trPr>
        <w:tc>
          <w:tcPr>
            <w:tcW w:w="2415" w:type="dxa"/>
            <w:tcBorders>
              <w:top w:val="single" w:sz="4" w:space="0" w:color="auto"/>
              <w:left w:val="nil"/>
              <w:bottom w:val="single" w:sz="4" w:space="0" w:color="auto"/>
              <w:right w:val="nil"/>
            </w:tcBorders>
          </w:tcPr>
          <w:p w14:paraId="626774A7" w14:textId="77777777" w:rsidR="008E67EA" w:rsidRPr="00977CB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5F30D0D" w14:textId="77777777" w:rsidR="008E67EA" w:rsidRPr="00977CB2" w:rsidRDefault="008E67EA" w:rsidP="00B44A74">
            <w:pPr>
              <w:spacing w:line="280" w:lineRule="exact"/>
              <w:rPr>
                <w:rFonts w:cs="Arial"/>
                <w:sz w:val="20"/>
                <w:szCs w:val="20"/>
              </w:rPr>
            </w:pPr>
          </w:p>
        </w:tc>
      </w:tr>
      <w:tr w:rsidR="008E67EA" w:rsidRPr="00977CB2" w14:paraId="3AA52CD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E50387B" w14:textId="77777777" w:rsidR="008E67EA" w:rsidRPr="00977CB2" w:rsidRDefault="008E67EA" w:rsidP="00B44A74">
            <w:pPr>
              <w:spacing w:line="280" w:lineRule="exact"/>
              <w:rPr>
                <w:rFonts w:cs="Arial"/>
                <w:sz w:val="20"/>
                <w:szCs w:val="20"/>
              </w:rPr>
            </w:pPr>
            <w:r w:rsidRPr="00977CB2">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06939942" w14:textId="2CD0C0AF" w:rsidR="008E67EA" w:rsidRPr="00977CB2" w:rsidRDefault="008E67EA" w:rsidP="00B44A74">
            <w:pPr>
              <w:spacing w:line="280" w:lineRule="exact"/>
              <w:rPr>
                <w:rFonts w:cs="Arial"/>
                <w:sz w:val="20"/>
                <w:szCs w:val="20"/>
              </w:rPr>
            </w:pPr>
            <w:r w:rsidRPr="00977CB2">
              <w:rPr>
                <w:rFonts w:cs="Arial"/>
                <w:sz w:val="20"/>
                <w:szCs w:val="20"/>
              </w:rPr>
              <w:t>DO NOT place baits unless in tamper-resistant bait stations.</w:t>
            </w:r>
          </w:p>
          <w:p w14:paraId="676B32E5" w14:textId="77777777" w:rsidR="008E67EA" w:rsidRPr="00977CB2" w:rsidRDefault="008E67EA" w:rsidP="00B44A74">
            <w:pPr>
              <w:spacing w:line="280" w:lineRule="exact"/>
              <w:rPr>
                <w:rFonts w:cs="Arial"/>
                <w:sz w:val="20"/>
                <w:szCs w:val="20"/>
              </w:rPr>
            </w:pPr>
            <w:r w:rsidRPr="00977CB2">
              <w:rPr>
                <w:rFonts w:cs="Arial"/>
                <w:sz w:val="20"/>
                <w:szCs w:val="20"/>
              </w:rPr>
              <w:t>DO NOT place bait stations outdoors around buildings for control of mice.</w:t>
            </w:r>
          </w:p>
          <w:p w14:paraId="168C64B1" w14:textId="77777777" w:rsidR="008E67EA" w:rsidRPr="00977CB2" w:rsidRDefault="008E67EA" w:rsidP="00B44A74">
            <w:pPr>
              <w:spacing w:line="280" w:lineRule="exact"/>
              <w:rPr>
                <w:rFonts w:cs="Arial"/>
                <w:sz w:val="20"/>
                <w:szCs w:val="20"/>
              </w:rPr>
            </w:pPr>
            <w:r w:rsidRPr="00977CB2">
              <w:rPr>
                <w:rFonts w:cs="Arial"/>
                <w:sz w:val="20"/>
                <w:szCs w:val="20"/>
              </w:rPr>
              <w:t>DO NOT place bait stations more than 2 meters from buildings.</w:t>
            </w:r>
          </w:p>
          <w:p w14:paraId="22FFAA8D" w14:textId="77777777" w:rsidR="008E67EA" w:rsidRPr="00977CB2" w:rsidRDefault="008E67EA" w:rsidP="00B44A74">
            <w:pPr>
              <w:spacing w:line="280" w:lineRule="exact"/>
              <w:rPr>
                <w:rFonts w:cs="Arial"/>
                <w:sz w:val="20"/>
                <w:szCs w:val="20"/>
              </w:rPr>
            </w:pPr>
            <w:r w:rsidRPr="00977CB2">
              <w:rPr>
                <w:rFonts w:cs="Arial"/>
                <w:sz w:val="20"/>
                <w:szCs w:val="20"/>
              </w:rPr>
              <w:t>DO NOT bait in areas where wildlife may be collected for human consumption.</w:t>
            </w:r>
          </w:p>
          <w:p w14:paraId="453EAB4E" w14:textId="77777777" w:rsidR="008E67EA" w:rsidRPr="00977CB2" w:rsidRDefault="008E67EA" w:rsidP="00B44A74">
            <w:pPr>
              <w:spacing w:line="280" w:lineRule="exact"/>
              <w:rPr>
                <w:rFonts w:cs="Arial"/>
                <w:sz w:val="20"/>
                <w:szCs w:val="20"/>
              </w:rPr>
            </w:pPr>
            <w:r w:rsidRPr="00977CB2">
              <w:rPr>
                <w:rFonts w:cs="Arial"/>
                <w:sz w:val="20"/>
                <w:szCs w:val="20"/>
              </w:rPr>
              <w:t>DO NOT place baits in and around animal, livestock and poultry houses, associated equipment, and food and feed processing areas.</w:t>
            </w:r>
          </w:p>
          <w:p w14:paraId="103E9F23" w14:textId="77777777" w:rsidR="008E67EA" w:rsidRPr="00977CB2" w:rsidRDefault="008E67EA" w:rsidP="00B44A74">
            <w:pPr>
              <w:spacing w:line="280" w:lineRule="exact"/>
              <w:rPr>
                <w:rFonts w:cs="Arial"/>
                <w:sz w:val="20"/>
                <w:szCs w:val="20"/>
              </w:rPr>
            </w:pPr>
            <w:r w:rsidRPr="00977CB2">
              <w:rPr>
                <w:rFonts w:cs="Arial"/>
                <w:sz w:val="20"/>
                <w:szCs w:val="20"/>
              </w:rPr>
              <w:t>DO NOT apply this product directly into burrows.</w:t>
            </w:r>
          </w:p>
          <w:p w14:paraId="4D6BC659" w14:textId="77777777" w:rsidR="008E67EA" w:rsidRPr="00977CB2" w:rsidRDefault="008E67EA" w:rsidP="00B44A74">
            <w:pPr>
              <w:spacing w:line="280" w:lineRule="exact"/>
              <w:rPr>
                <w:rFonts w:cs="Arial"/>
                <w:sz w:val="20"/>
                <w:szCs w:val="20"/>
              </w:rPr>
            </w:pPr>
            <w:r w:rsidRPr="00977CB2">
              <w:rPr>
                <w:rFonts w:cs="Arial"/>
                <w:sz w:val="20"/>
                <w:szCs w:val="20"/>
              </w:rPr>
              <w:t>DO NOT use the product in pulsed baiting treatments.</w:t>
            </w:r>
          </w:p>
        </w:tc>
      </w:tr>
      <w:tr w:rsidR="008E67EA" w:rsidRPr="00977CB2" w14:paraId="6FAA9A46" w14:textId="77777777" w:rsidTr="00B44A74">
        <w:trPr>
          <w:jc w:val="center"/>
        </w:trPr>
        <w:tc>
          <w:tcPr>
            <w:tcW w:w="2415" w:type="dxa"/>
            <w:tcBorders>
              <w:top w:val="single" w:sz="4" w:space="0" w:color="auto"/>
              <w:left w:val="nil"/>
              <w:bottom w:val="single" w:sz="4" w:space="0" w:color="auto"/>
              <w:right w:val="nil"/>
            </w:tcBorders>
          </w:tcPr>
          <w:p w14:paraId="6DB6B64E" w14:textId="77777777" w:rsidR="008E67EA" w:rsidRPr="00977CB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57CCBFE" w14:textId="77777777" w:rsidR="008E67EA" w:rsidRPr="00977CB2" w:rsidRDefault="008E67EA" w:rsidP="00B44A74">
            <w:pPr>
              <w:spacing w:line="280" w:lineRule="exact"/>
              <w:rPr>
                <w:rFonts w:cs="Arial"/>
                <w:sz w:val="20"/>
                <w:szCs w:val="20"/>
              </w:rPr>
            </w:pPr>
          </w:p>
        </w:tc>
      </w:tr>
      <w:tr w:rsidR="008E67EA" w:rsidRPr="00977CB2" w14:paraId="0A822919"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EED68CF" w14:textId="77777777" w:rsidR="008E67EA" w:rsidRPr="00977CB2" w:rsidRDefault="008E67EA" w:rsidP="00B44A74">
            <w:pPr>
              <w:spacing w:line="280" w:lineRule="exact"/>
              <w:rPr>
                <w:rFonts w:cs="Arial"/>
                <w:sz w:val="20"/>
                <w:szCs w:val="20"/>
              </w:rPr>
            </w:pPr>
            <w:r w:rsidRPr="00977CB2">
              <w:rPr>
                <w:rFonts w:cs="Arial"/>
                <w:sz w:val="20"/>
                <w:szCs w:val="20"/>
              </w:rPr>
              <w:t>How to Use</w:t>
            </w:r>
          </w:p>
        </w:tc>
        <w:tc>
          <w:tcPr>
            <w:tcW w:w="7755" w:type="dxa"/>
            <w:tcBorders>
              <w:top w:val="single" w:sz="4" w:space="0" w:color="auto"/>
              <w:left w:val="single" w:sz="4" w:space="0" w:color="auto"/>
              <w:bottom w:val="single" w:sz="4" w:space="0" w:color="auto"/>
              <w:right w:val="single" w:sz="4" w:space="0" w:color="auto"/>
            </w:tcBorders>
          </w:tcPr>
          <w:p w14:paraId="74DAD74A" w14:textId="77777777" w:rsidR="008E67EA" w:rsidRPr="00977CB2" w:rsidRDefault="008E67EA" w:rsidP="00B44A74">
            <w:pPr>
              <w:spacing w:line="280" w:lineRule="exact"/>
              <w:rPr>
                <w:rFonts w:cs="Arial"/>
                <w:sz w:val="20"/>
                <w:szCs w:val="20"/>
              </w:rPr>
            </w:pPr>
            <w:r w:rsidRPr="00977CB2">
              <w:rPr>
                <w:rFonts w:cs="Arial"/>
                <w:sz w:val="20"/>
                <w:szCs w:val="20"/>
              </w:rPr>
              <w:t>[This section contains an attachment below]</w:t>
            </w:r>
          </w:p>
        </w:tc>
      </w:tr>
      <w:tr w:rsidR="008E67EA" w:rsidRPr="00977CB2" w14:paraId="747C3796" w14:textId="77777777" w:rsidTr="00B44A74">
        <w:trPr>
          <w:jc w:val="center"/>
        </w:trPr>
        <w:tc>
          <w:tcPr>
            <w:tcW w:w="2415" w:type="dxa"/>
            <w:tcBorders>
              <w:top w:val="single" w:sz="4" w:space="0" w:color="auto"/>
              <w:left w:val="nil"/>
              <w:bottom w:val="single" w:sz="4" w:space="0" w:color="auto"/>
              <w:right w:val="nil"/>
            </w:tcBorders>
          </w:tcPr>
          <w:p w14:paraId="3E6F5742" w14:textId="77777777" w:rsidR="008E67EA" w:rsidRPr="00977CB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0735B23" w14:textId="77777777" w:rsidR="008E67EA" w:rsidRPr="00977CB2" w:rsidRDefault="008E67EA" w:rsidP="00B44A74">
            <w:pPr>
              <w:spacing w:line="280" w:lineRule="exact"/>
              <w:rPr>
                <w:rFonts w:cs="Arial"/>
                <w:sz w:val="20"/>
                <w:szCs w:val="20"/>
              </w:rPr>
            </w:pPr>
          </w:p>
        </w:tc>
      </w:tr>
      <w:tr w:rsidR="008E67EA" w:rsidRPr="00977CB2" w14:paraId="1F55FCC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C6D6895" w14:textId="77777777" w:rsidR="008E67EA" w:rsidRPr="00977CB2" w:rsidRDefault="008E67EA" w:rsidP="00B44A74">
            <w:pPr>
              <w:spacing w:line="280" w:lineRule="exact"/>
              <w:rPr>
                <w:rFonts w:cs="Arial"/>
                <w:sz w:val="20"/>
                <w:szCs w:val="20"/>
              </w:rPr>
            </w:pPr>
            <w:r w:rsidRPr="00977CB2">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6C51F5F7" w14:textId="77777777" w:rsidR="008E67EA" w:rsidRPr="00977CB2" w:rsidRDefault="008E67EA" w:rsidP="00B44A74">
            <w:pPr>
              <w:spacing w:line="280" w:lineRule="exact"/>
              <w:rPr>
                <w:rFonts w:cs="Arial"/>
                <w:sz w:val="20"/>
                <w:szCs w:val="20"/>
              </w:rPr>
            </w:pPr>
          </w:p>
        </w:tc>
      </w:tr>
      <w:tr w:rsidR="008E67EA" w:rsidRPr="00977CB2" w14:paraId="60C1B9F2" w14:textId="77777777" w:rsidTr="00B44A74">
        <w:trPr>
          <w:jc w:val="center"/>
        </w:trPr>
        <w:tc>
          <w:tcPr>
            <w:tcW w:w="2415" w:type="dxa"/>
            <w:tcBorders>
              <w:top w:val="single" w:sz="4" w:space="0" w:color="auto"/>
              <w:left w:val="nil"/>
              <w:bottom w:val="single" w:sz="4" w:space="0" w:color="auto"/>
              <w:right w:val="nil"/>
            </w:tcBorders>
          </w:tcPr>
          <w:p w14:paraId="40CEC4BE" w14:textId="77777777" w:rsidR="008E67EA" w:rsidRPr="00977CB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75E892F" w14:textId="77777777" w:rsidR="008E67EA" w:rsidRPr="00977CB2" w:rsidRDefault="008E67EA" w:rsidP="00B44A74">
            <w:pPr>
              <w:spacing w:line="280" w:lineRule="exact"/>
              <w:rPr>
                <w:rFonts w:cs="Arial"/>
                <w:sz w:val="20"/>
                <w:szCs w:val="20"/>
              </w:rPr>
            </w:pPr>
          </w:p>
        </w:tc>
      </w:tr>
      <w:tr w:rsidR="008E67EA" w:rsidRPr="00977CB2" w14:paraId="36814CB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3076C02" w14:textId="77777777" w:rsidR="008E67EA" w:rsidRPr="00977CB2" w:rsidRDefault="008E67EA" w:rsidP="00B44A74">
            <w:pPr>
              <w:spacing w:line="280" w:lineRule="exact"/>
              <w:rPr>
                <w:rFonts w:cs="Arial"/>
                <w:sz w:val="20"/>
                <w:szCs w:val="20"/>
              </w:rPr>
            </w:pPr>
            <w:r w:rsidRPr="00977CB2">
              <w:rPr>
                <w:rFonts w:cs="Arial"/>
                <w:sz w:val="20"/>
                <w:szCs w:val="20"/>
              </w:rPr>
              <w:t>How to Prepare</w:t>
            </w:r>
          </w:p>
        </w:tc>
        <w:tc>
          <w:tcPr>
            <w:tcW w:w="7755" w:type="dxa"/>
            <w:tcBorders>
              <w:top w:val="single" w:sz="4" w:space="0" w:color="auto"/>
              <w:left w:val="single" w:sz="4" w:space="0" w:color="auto"/>
              <w:bottom w:val="single" w:sz="4" w:space="0" w:color="auto"/>
              <w:right w:val="single" w:sz="4" w:space="0" w:color="auto"/>
            </w:tcBorders>
          </w:tcPr>
          <w:p w14:paraId="4EC73C34" w14:textId="5F7CCACB" w:rsidR="008E67EA" w:rsidRDefault="008E67EA" w:rsidP="00B44A74">
            <w:pPr>
              <w:spacing w:line="280" w:lineRule="exact"/>
              <w:rPr>
                <w:rFonts w:cs="Arial"/>
                <w:sz w:val="20"/>
                <w:szCs w:val="20"/>
              </w:rPr>
            </w:pPr>
            <w:r w:rsidRPr="00FD51DE">
              <w:rPr>
                <w:rFonts w:cs="Arial"/>
                <w:sz w:val="20"/>
                <w:szCs w:val="20"/>
              </w:rPr>
              <w:t>GENERAL INSTRUCTIONS</w:t>
            </w:r>
          </w:p>
          <w:p w14:paraId="4C5D6890" w14:textId="77777777" w:rsidR="008E67EA" w:rsidRPr="00977CB2" w:rsidRDefault="008E67EA" w:rsidP="00B44A74">
            <w:pPr>
              <w:spacing w:line="280" w:lineRule="exact"/>
              <w:rPr>
                <w:rFonts w:cs="Arial"/>
                <w:sz w:val="20"/>
                <w:szCs w:val="20"/>
              </w:rPr>
            </w:pPr>
            <w:r w:rsidRPr="00FD51DE">
              <w:rPr>
                <w:rFonts w:cs="Arial"/>
                <w:sz w:val="20"/>
                <w:szCs w:val="20"/>
              </w:rPr>
              <w:t>Do not open bait packs. Rats and mice will chew through the bait packs.</w:t>
            </w:r>
          </w:p>
        </w:tc>
      </w:tr>
      <w:tr w:rsidR="008E67EA" w:rsidRPr="00977CB2" w14:paraId="2FE10F65" w14:textId="77777777" w:rsidTr="00B44A74">
        <w:trPr>
          <w:jc w:val="center"/>
        </w:trPr>
        <w:tc>
          <w:tcPr>
            <w:tcW w:w="2415" w:type="dxa"/>
            <w:tcBorders>
              <w:top w:val="single" w:sz="4" w:space="0" w:color="auto"/>
              <w:left w:val="nil"/>
              <w:bottom w:val="single" w:sz="4" w:space="0" w:color="auto"/>
              <w:right w:val="nil"/>
            </w:tcBorders>
          </w:tcPr>
          <w:p w14:paraId="196880EA" w14:textId="77777777" w:rsidR="008E67EA" w:rsidRPr="00977CB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9265D95" w14:textId="77777777" w:rsidR="008E67EA" w:rsidRPr="00977CB2" w:rsidRDefault="008E67EA" w:rsidP="00B44A74">
            <w:pPr>
              <w:spacing w:line="280" w:lineRule="exact"/>
              <w:rPr>
                <w:rFonts w:cs="Arial"/>
                <w:sz w:val="20"/>
                <w:szCs w:val="20"/>
              </w:rPr>
            </w:pPr>
          </w:p>
        </w:tc>
      </w:tr>
      <w:tr w:rsidR="008E67EA" w:rsidRPr="00977CB2" w14:paraId="6819F08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8186F9A" w14:textId="77777777" w:rsidR="008E67EA" w:rsidRPr="00977CB2" w:rsidRDefault="008E67EA" w:rsidP="00B44A74">
            <w:pPr>
              <w:spacing w:line="280" w:lineRule="exact"/>
              <w:rPr>
                <w:rFonts w:cs="Arial"/>
                <w:sz w:val="20"/>
                <w:szCs w:val="20"/>
              </w:rPr>
            </w:pPr>
            <w:r w:rsidRPr="00977CB2">
              <w:rPr>
                <w:rFonts w:cs="Arial"/>
                <w:sz w:val="20"/>
                <w:szCs w:val="20"/>
              </w:rPr>
              <w:t>Resistance Warning:</w:t>
            </w:r>
          </w:p>
        </w:tc>
        <w:tc>
          <w:tcPr>
            <w:tcW w:w="7755" w:type="dxa"/>
            <w:tcBorders>
              <w:top w:val="single" w:sz="4" w:space="0" w:color="auto"/>
              <w:left w:val="single" w:sz="4" w:space="0" w:color="auto"/>
              <w:bottom w:val="single" w:sz="4" w:space="0" w:color="auto"/>
              <w:right w:val="single" w:sz="4" w:space="0" w:color="auto"/>
            </w:tcBorders>
          </w:tcPr>
          <w:p w14:paraId="0C7E65F4" w14:textId="77777777" w:rsidR="008E67EA" w:rsidRPr="00977CB2" w:rsidRDefault="008E67EA" w:rsidP="00B44A74">
            <w:pPr>
              <w:spacing w:line="280" w:lineRule="exact"/>
              <w:rPr>
                <w:rFonts w:cs="Arial"/>
                <w:sz w:val="20"/>
                <w:szCs w:val="20"/>
              </w:rPr>
            </w:pPr>
          </w:p>
        </w:tc>
      </w:tr>
      <w:tr w:rsidR="008E67EA" w:rsidRPr="00977CB2" w14:paraId="4CB958D1" w14:textId="77777777" w:rsidTr="00B44A74">
        <w:trPr>
          <w:jc w:val="center"/>
        </w:trPr>
        <w:tc>
          <w:tcPr>
            <w:tcW w:w="2415" w:type="dxa"/>
            <w:tcBorders>
              <w:top w:val="single" w:sz="4" w:space="0" w:color="auto"/>
              <w:left w:val="nil"/>
              <w:bottom w:val="single" w:sz="4" w:space="0" w:color="auto"/>
              <w:right w:val="nil"/>
            </w:tcBorders>
          </w:tcPr>
          <w:p w14:paraId="462DF976" w14:textId="77777777" w:rsidR="008E67EA" w:rsidRPr="00977CB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CC7EC18" w14:textId="77777777" w:rsidR="008E67EA" w:rsidRPr="00977CB2" w:rsidRDefault="008E67EA" w:rsidP="00B44A74">
            <w:pPr>
              <w:spacing w:line="280" w:lineRule="exact"/>
              <w:rPr>
                <w:rFonts w:cs="Arial"/>
                <w:sz w:val="20"/>
                <w:szCs w:val="20"/>
              </w:rPr>
            </w:pPr>
          </w:p>
        </w:tc>
      </w:tr>
      <w:tr w:rsidR="008E67EA" w:rsidRPr="00977CB2" w14:paraId="13F1467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D912CC1" w14:textId="77777777" w:rsidR="008E67EA" w:rsidRPr="00977CB2" w:rsidRDefault="008E67EA" w:rsidP="00B44A74">
            <w:pPr>
              <w:spacing w:line="280" w:lineRule="exact"/>
              <w:rPr>
                <w:rFonts w:cs="Arial"/>
                <w:sz w:val="20"/>
                <w:szCs w:val="20"/>
              </w:rPr>
            </w:pPr>
            <w:r w:rsidRPr="00977CB2">
              <w:rPr>
                <w:rFonts w:cs="Arial"/>
                <w:sz w:val="20"/>
                <w:szCs w:val="20"/>
              </w:rPr>
              <w:t>Precautions:</w:t>
            </w:r>
          </w:p>
        </w:tc>
        <w:tc>
          <w:tcPr>
            <w:tcW w:w="7755" w:type="dxa"/>
            <w:tcBorders>
              <w:top w:val="single" w:sz="4" w:space="0" w:color="auto"/>
              <w:left w:val="single" w:sz="4" w:space="0" w:color="auto"/>
              <w:bottom w:val="single" w:sz="4" w:space="0" w:color="auto"/>
              <w:right w:val="single" w:sz="4" w:space="0" w:color="auto"/>
            </w:tcBorders>
          </w:tcPr>
          <w:p w14:paraId="456ED85B" w14:textId="77777777" w:rsidR="008E67EA" w:rsidRPr="00E11C08" w:rsidRDefault="008E67EA" w:rsidP="00B44A74">
            <w:pPr>
              <w:spacing w:line="280" w:lineRule="exact"/>
              <w:rPr>
                <w:rFonts w:cs="Arial"/>
                <w:sz w:val="20"/>
                <w:szCs w:val="20"/>
              </w:rPr>
            </w:pPr>
            <w:r w:rsidRPr="00E11C08">
              <w:rPr>
                <w:rFonts w:cs="Arial"/>
                <w:sz w:val="20"/>
                <w:szCs w:val="20"/>
              </w:rPr>
              <w:t>CAUTION</w:t>
            </w:r>
          </w:p>
          <w:p w14:paraId="486EF8CB" w14:textId="77777777" w:rsidR="008E67EA" w:rsidRPr="00E11C08" w:rsidRDefault="008E67EA" w:rsidP="00B44A74">
            <w:pPr>
              <w:spacing w:line="280" w:lineRule="exact"/>
              <w:rPr>
                <w:rFonts w:cs="Arial"/>
                <w:sz w:val="20"/>
                <w:szCs w:val="20"/>
              </w:rPr>
            </w:pPr>
            <w:r w:rsidRPr="00E11C08">
              <w:rPr>
                <w:rFonts w:cs="Arial"/>
                <w:sz w:val="20"/>
                <w:szCs w:val="20"/>
              </w:rPr>
              <w:t>Caution should be used when baiting near areas where hunting of wildlife may occur. Careful consideration of bait placement is necessary to avoid secondary exposure from contaminated wildlife that may be consumed.</w:t>
            </w:r>
          </w:p>
          <w:p w14:paraId="644B6680" w14:textId="77777777" w:rsidR="008E67EA" w:rsidRDefault="008E67EA" w:rsidP="00B44A74">
            <w:pPr>
              <w:spacing w:line="280" w:lineRule="exact"/>
              <w:rPr>
                <w:rFonts w:cs="Arial"/>
                <w:sz w:val="20"/>
                <w:szCs w:val="20"/>
              </w:rPr>
            </w:pPr>
            <w:r w:rsidRPr="00E11C08">
              <w:rPr>
                <w:rFonts w:cs="Arial"/>
                <w:sz w:val="20"/>
                <w:szCs w:val="20"/>
              </w:rPr>
              <w:t>DO NOT place bait in areas where there is a possibility of contaminating food, livestock feed or surfaces that come in direct contact with food or livestock feed.</w:t>
            </w:r>
          </w:p>
          <w:p w14:paraId="3BA825C6" w14:textId="77777777" w:rsidR="008E67EA" w:rsidRPr="00E11C08" w:rsidRDefault="008E67EA" w:rsidP="00B44A74">
            <w:pPr>
              <w:spacing w:line="280" w:lineRule="exact"/>
              <w:rPr>
                <w:rFonts w:cs="Arial"/>
                <w:sz w:val="20"/>
                <w:szCs w:val="20"/>
              </w:rPr>
            </w:pPr>
          </w:p>
          <w:p w14:paraId="3CBDFEA3" w14:textId="77777777" w:rsidR="008E67EA" w:rsidRPr="00E11C08" w:rsidRDefault="008E67EA" w:rsidP="00B44A74">
            <w:pPr>
              <w:spacing w:line="280" w:lineRule="exact"/>
              <w:rPr>
                <w:rFonts w:cs="Arial"/>
                <w:sz w:val="20"/>
                <w:szCs w:val="20"/>
              </w:rPr>
            </w:pPr>
            <w:r w:rsidRPr="00E11C08">
              <w:rPr>
                <w:rFonts w:cs="Arial"/>
                <w:sz w:val="20"/>
                <w:szCs w:val="20"/>
              </w:rPr>
              <w:t>PROTECTION OF LIVESTOCK AND WILDLIFE</w:t>
            </w:r>
          </w:p>
          <w:p w14:paraId="5FDE87A8" w14:textId="77777777" w:rsidR="008E67EA" w:rsidRPr="00E11C08" w:rsidRDefault="008E67EA" w:rsidP="00B44A74">
            <w:pPr>
              <w:spacing w:line="280" w:lineRule="exact"/>
              <w:rPr>
                <w:rFonts w:cs="Arial"/>
                <w:sz w:val="20"/>
                <w:szCs w:val="20"/>
              </w:rPr>
            </w:pPr>
            <w:r w:rsidRPr="00E11C08">
              <w:rPr>
                <w:rFonts w:cs="Arial"/>
                <w:sz w:val="20"/>
                <w:szCs w:val="20"/>
              </w:rPr>
              <w:t>Hazardous to livestock, poultry and wildlife. DO NOT place baits in locations that are accessible to domestic animals, livestock, non-target native animals or birds.</w:t>
            </w:r>
          </w:p>
          <w:p w14:paraId="77072D11" w14:textId="517CCA0D" w:rsidR="008E67EA" w:rsidRPr="00E11C08" w:rsidRDefault="008E67EA" w:rsidP="00B44A74">
            <w:pPr>
              <w:spacing w:line="280" w:lineRule="exact"/>
              <w:rPr>
                <w:rFonts w:cs="Arial"/>
                <w:sz w:val="20"/>
                <w:szCs w:val="20"/>
              </w:rPr>
            </w:pPr>
            <w:r w:rsidRPr="00E11C08">
              <w:rPr>
                <w:rFonts w:cs="Arial"/>
                <w:sz w:val="20"/>
                <w:szCs w:val="20"/>
              </w:rPr>
              <w:t>Search for and dispose of dead rodents and slugs/snails in the infested area at each visit to prevent secondary poisoning. In case slugs/snails are present, move bait station to another location within the rodent infested site, away from slugs/snails. Dispose of slugs/snails, dead rodents and uneaten bait by wrapping in paper, placing in plastic bag and putting in garbage.</w:t>
            </w:r>
          </w:p>
          <w:p w14:paraId="6958DABC" w14:textId="77777777" w:rsidR="008E67EA" w:rsidRPr="00E11C08" w:rsidRDefault="008E67EA" w:rsidP="00B44A74">
            <w:pPr>
              <w:spacing w:line="280" w:lineRule="exact"/>
              <w:rPr>
                <w:rFonts w:cs="Arial"/>
                <w:sz w:val="20"/>
                <w:szCs w:val="20"/>
              </w:rPr>
            </w:pPr>
            <w:r w:rsidRPr="00E11C08">
              <w:rPr>
                <w:rFonts w:cs="Arial"/>
                <w:sz w:val="20"/>
                <w:szCs w:val="20"/>
              </w:rPr>
              <w:lastRenderedPageBreak/>
              <w:t>DO NOT allow livestock or poultry to consume dead or moribund</w:t>
            </w:r>
            <w:r>
              <w:rPr>
                <w:rFonts w:cs="Arial"/>
                <w:sz w:val="20"/>
                <w:szCs w:val="20"/>
              </w:rPr>
              <w:t xml:space="preserve"> rats and</w:t>
            </w:r>
            <w:r w:rsidRPr="00E11C08">
              <w:rPr>
                <w:rFonts w:cs="Arial"/>
                <w:sz w:val="20"/>
                <w:szCs w:val="20"/>
              </w:rPr>
              <w:t xml:space="preserve"> mice. All dead or moribund animals and rodent faeces from baited rodents MUST be removed from areas accessible to livestock or poultry.</w:t>
            </w:r>
          </w:p>
          <w:p w14:paraId="10CC5E5A" w14:textId="77777777" w:rsidR="008E67EA" w:rsidRDefault="008E67EA" w:rsidP="00B44A74">
            <w:pPr>
              <w:spacing w:line="280" w:lineRule="exact"/>
              <w:rPr>
                <w:rFonts w:cs="Arial"/>
                <w:sz w:val="20"/>
                <w:szCs w:val="20"/>
              </w:rPr>
            </w:pPr>
            <w:r>
              <w:rPr>
                <w:rFonts w:cs="Arial"/>
                <w:sz w:val="20"/>
                <w:szCs w:val="20"/>
              </w:rPr>
              <w:t>D</w:t>
            </w:r>
            <w:r w:rsidRPr="00FD51DE">
              <w:rPr>
                <w:rFonts w:cs="Arial"/>
                <w:sz w:val="20"/>
                <w:szCs w:val="20"/>
              </w:rPr>
              <w:t>O NOT use this product to</w:t>
            </w:r>
            <w:r>
              <w:rPr>
                <w:rFonts w:cs="Arial"/>
                <w:sz w:val="20"/>
                <w:szCs w:val="20"/>
              </w:rPr>
              <w:t xml:space="preserve"> </w:t>
            </w:r>
            <w:r w:rsidRPr="00FD51DE">
              <w:rPr>
                <w:rFonts w:cs="Arial"/>
                <w:sz w:val="20"/>
                <w:szCs w:val="20"/>
              </w:rPr>
              <w:t>control native animals.</w:t>
            </w:r>
          </w:p>
          <w:p w14:paraId="0B4C666F" w14:textId="77777777" w:rsidR="008E67EA" w:rsidRPr="00E11C08" w:rsidRDefault="008E67EA" w:rsidP="00B44A74">
            <w:pPr>
              <w:spacing w:line="280" w:lineRule="exact"/>
              <w:rPr>
                <w:rFonts w:cs="Arial"/>
                <w:sz w:val="20"/>
                <w:szCs w:val="20"/>
              </w:rPr>
            </w:pPr>
          </w:p>
          <w:p w14:paraId="0D026B99" w14:textId="77777777" w:rsidR="008E67EA" w:rsidRPr="00E11C08" w:rsidRDefault="008E67EA" w:rsidP="00B44A74">
            <w:pPr>
              <w:spacing w:line="280" w:lineRule="exact"/>
              <w:rPr>
                <w:rFonts w:cs="Arial"/>
                <w:sz w:val="20"/>
                <w:szCs w:val="20"/>
              </w:rPr>
            </w:pPr>
            <w:r w:rsidRPr="00E11C08">
              <w:rPr>
                <w:rFonts w:cs="Arial"/>
                <w:sz w:val="20"/>
                <w:szCs w:val="20"/>
              </w:rPr>
              <w:t>PROTECTION OF FISH, CRUSTACEANS AND ENVIRONMENT</w:t>
            </w:r>
          </w:p>
          <w:p w14:paraId="30E673B2" w14:textId="77777777" w:rsidR="008E67EA" w:rsidRPr="00977CB2" w:rsidRDefault="008E67EA" w:rsidP="00B44A74">
            <w:pPr>
              <w:spacing w:line="280" w:lineRule="exact"/>
              <w:rPr>
                <w:rFonts w:cs="Arial"/>
                <w:sz w:val="20"/>
                <w:szCs w:val="20"/>
                <w:highlight w:val="yellow"/>
              </w:rPr>
            </w:pPr>
            <w:r w:rsidRPr="00E11C08">
              <w:rPr>
                <w:rFonts w:cs="Arial"/>
                <w:sz w:val="20"/>
                <w:szCs w:val="20"/>
              </w:rPr>
              <w:t>Very toxic to aquatic life. DO NOT contaminate wetlands or watercourses with this product or used containers. Place the bait stations in areas not liable to flooding. When placing bait stations close to water drainage systems, ensure that bait contact with water is avoided.</w:t>
            </w:r>
          </w:p>
        </w:tc>
      </w:tr>
      <w:tr w:rsidR="008E67EA" w:rsidRPr="00977CB2" w14:paraId="75BE140F" w14:textId="77777777" w:rsidTr="00B44A74">
        <w:trPr>
          <w:jc w:val="center"/>
        </w:trPr>
        <w:tc>
          <w:tcPr>
            <w:tcW w:w="2415" w:type="dxa"/>
            <w:tcBorders>
              <w:top w:val="single" w:sz="4" w:space="0" w:color="auto"/>
              <w:left w:val="nil"/>
              <w:bottom w:val="single" w:sz="4" w:space="0" w:color="auto"/>
              <w:right w:val="nil"/>
            </w:tcBorders>
          </w:tcPr>
          <w:p w14:paraId="2A28EBB2" w14:textId="77777777" w:rsidR="008E67EA" w:rsidRPr="00977CB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EE6C26F" w14:textId="77777777" w:rsidR="008E67EA" w:rsidRPr="00977CB2" w:rsidRDefault="008E67EA" w:rsidP="00B44A74">
            <w:pPr>
              <w:spacing w:line="280" w:lineRule="exact"/>
              <w:rPr>
                <w:rFonts w:cs="Arial"/>
                <w:sz w:val="20"/>
                <w:szCs w:val="20"/>
              </w:rPr>
            </w:pPr>
          </w:p>
        </w:tc>
      </w:tr>
      <w:tr w:rsidR="008E67EA" w:rsidRPr="00977CB2" w14:paraId="68528EF9"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814677B" w14:textId="77777777" w:rsidR="008E67EA" w:rsidRPr="00977CB2" w:rsidRDefault="008E67EA" w:rsidP="00B44A74">
            <w:pPr>
              <w:spacing w:line="280" w:lineRule="exact"/>
              <w:rPr>
                <w:rFonts w:cs="Arial"/>
                <w:sz w:val="20"/>
                <w:szCs w:val="20"/>
              </w:rPr>
            </w:pPr>
            <w:r w:rsidRPr="00977CB2">
              <w:rPr>
                <w:rFonts w:cs="Arial"/>
                <w:sz w:val="20"/>
                <w:szCs w:val="20"/>
              </w:rPr>
              <w:t>Protections:</w:t>
            </w:r>
          </w:p>
        </w:tc>
        <w:tc>
          <w:tcPr>
            <w:tcW w:w="7755" w:type="dxa"/>
            <w:tcBorders>
              <w:top w:val="single" w:sz="4" w:space="0" w:color="auto"/>
              <w:left w:val="single" w:sz="4" w:space="0" w:color="auto"/>
              <w:bottom w:val="single" w:sz="4" w:space="0" w:color="auto"/>
              <w:right w:val="single" w:sz="4" w:space="0" w:color="auto"/>
            </w:tcBorders>
          </w:tcPr>
          <w:p w14:paraId="61D2A00A" w14:textId="77777777" w:rsidR="008E67EA" w:rsidRPr="00977CB2" w:rsidRDefault="008E67EA" w:rsidP="00B44A74">
            <w:pPr>
              <w:spacing w:line="280" w:lineRule="exact"/>
              <w:rPr>
                <w:rFonts w:cs="Arial"/>
                <w:sz w:val="20"/>
                <w:szCs w:val="20"/>
              </w:rPr>
            </w:pPr>
          </w:p>
        </w:tc>
      </w:tr>
      <w:tr w:rsidR="008E67EA" w:rsidRPr="00977CB2" w14:paraId="4BF90D28" w14:textId="77777777" w:rsidTr="00B44A74">
        <w:trPr>
          <w:jc w:val="center"/>
        </w:trPr>
        <w:tc>
          <w:tcPr>
            <w:tcW w:w="2415" w:type="dxa"/>
            <w:tcBorders>
              <w:top w:val="single" w:sz="4" w:space="0" w:color="auto"/>
              <w:left w:val="nil"/>
              <w:bottom w:val="single" w:sz="4" w:space="0" w:color="auto"/>
              <w:right w:val="nil"/>
            </w:tcBorders>
          </w:tcPr>
          <w:p w14:paraId="4243E383" w14:textId="77777777" w:rsidR="008E67EA" w:rsidRPr="00977CB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17BF880" w14:textId="77777777" w:rsidR="008E67EA" w:rsidRPr="00977CB2" w:rsidRDefault="008E67EA" w:rsidP="00B44A74">
            <w:pPr>
              <w:spacing w:line="280" w:lineRule="exact"/>
              <w:rPr>
                <w:rFonts w:cs="Arial"/>
                <w:sz w:val="20"/>
                <w:szCs w:val="20"/>
              </w:rPr>
            </w:pPr>
          </w:p>
        </w:tc>
      </w:tr>
      <w:tr w:rsidR="008E67EA" w:rsidRPr="00977CB2" w14:paraId="2043584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C7A9C63" w14:textId="77777777" w:rsidR="008E67EA" w:rsidRPr="00977CB2" w:rsidRDefault="008E67EA" w:rsidP="00B44A74">
            <w:pPr>
              <w:spacing w:line="280" w:lineRule="exact"/>
              <w:rPr>
                <w:rFonts w:cs="Arial"/>
                <w:sz w:val="20"/>
                <w:szCs w:val="20"/>
              </w:rPr>
            </w:pPr>
            <w:r w:rsidRPr="00977CB2">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76CE482B" w14:textId="77777777" w:rsidR="008E67EA" w:rsidRPr="00977CB2" w:rsidRDefault="008E67EA" w:rsidP="00B44A74">
            <w:pPr>
              <w:spacing w:line="280" w:lineRule="exact"/>
              <w:rPr>
                <w:rFonts w:cs="Arial"/>
                <w:sz w:val="20"/>
                <w:szCs w:val="20"/>
              </w:rPr>
            </w:pPr>
            <w:r w:rsidRPr="00977CB2">
              <w:rPr>
                <w:rFonts w:cs="Arial"/>
                <w:sz w:val="20"/>
                <w:szCs w:val="20"/>
              </w:rPr>
              <w:t>STORAGE AND DISPOSAL</w:t>
            </w:r>
          </w:p>
          <w:p w14:paraId="62B3A164" w14:textId="77777777" w:rsidR="008E67EA" w:rsidRPr="00977CB2" w:rsidRDefault="008E67EA" w:rsidP="00B44A74">
            <w:pPr>
              <w:spacing w:line="280" w:lineRule="exact"/>
              <w:rPr>
                <w:rFonts w:cs="Arial"/>
                <w:sz w:val="20"/>
                <w:szCs w:val="20"/>
              </w:rPr>
            </w:pPr>
            <w:r w:rsidRPr="00977CB2">
              <w:rPr>
                <w:rFonts w:cs="Arial"/>
                <w:sz w:val="20"/>
                <w:szCs w:val="20"/>
              </w:rPr>
              <w:t xml:space="preserve">Store in the closed, original container in a cool dry place out of reach of children. DO NOT store in direct sunlight. Dispose of empty containers </w:t>
            </w:r>
            <w:r>
              <w:rPr>
                <w:rFonts w:cs="Arial"/>
                <w:sz w:val="20"/>
                <w:szCs w:val="20"/>
              </w:rPr>
              <w:t xml:space="preserve">and unused product </w:t>
            </w:r>
            <w:r w:rsidRPr="00977CB2">
              <w:rPr>
                <w:rFonts w:cs="Arial"/>
                <w:sz w:val="20"/>
                <w:szCs w:val="20"/>
              </w:rPr>
              <w:t xml:space="preserve">by wrapping in paper placing in plastic bag and putting in garbage. </w:t>
            </w:r>
          </w:p>
        </w:tc>
      </w:tr>
      <w:tr w:rsidR="008E67EA" w:rsidRPr="00977CB2" w14:paraId="012DC13B" w14:textId="77777777" w:rsidTr="00B44A74">
        <w:trPr>
          <w:jc w:val="center"/>
        </w:trPr>
        <w:tc>
          <w:tcPr>
            <w:tcW w:w="2415" w:type="dxa"/>
            <w:tcBorders>
              <w:top w:val="single" w:sz="4" w:space="0" w:color="auto"/>
              <w:left w:val="nil"/>
              <w:bottom w:val="single" w:sz="4" w:space="0" w:color="auto"/>
              <w:right w:val="nil"/>
            </w:tcBorders>
          </w:tcPr>
          <w:p w14:paraId="529DE17F" w14:textId="77777777" w:rsidR="008E67EA" w:rsidRPr="00977CB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DE0B934" w14:textId="77777777" w:rsidR="008E67EA" w:rsidRPr="00977CB2" w:rsidRDefault="008E67EA" w:rsidP="00B44A74">
            <w:pPr>
              <w:spacing w:line="280" w:lineRule="exact"/>
              <w:rPr>
                <w:rFonts w:cs="Arial"/>
                <w:sz w:val="20"/>
                <w:szCs w:val="20"/>
              </w:rPr>
            </w:pPr>
          </w:p>
        </w:tc>
      </w:tr>
      <w:tr w:rsidR="008E67EA" w:rsidRPr="00977CB2" w14:paraId="3081FFE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35AB6E5" w14:textId="77777777" w:rsidR="008E67EA" w:rsidRPr="00977CB2" w:rsidRDefault="008E67EA" w:rsidP="00B44A74">
            <w:pPr>
              <w:spacing w:line="280" w:lineRule="exact"/>
              <w:rPr>
                <w:rFonts w:cs="Arial"/>
                <w:sz w:val="20"/>
                <w:szCs w:val="20"/>
              </w:rPr>
            </w:pPr>
            <w:r w:rsidRPr="00977CB2">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5A274D73" w14:textId="77777777" w:rsidR="008E67EA" w:rsidRPr="00977CB2" w:rsidRDefault="008E67EA" w:rsidP="00B44A74">
            <w:pPr>
              <w:spacing w:line="280" w:lineRule="exact"/>
              <w:rPr>
                <w:rFonts w:cs="Arial"/>
                <w:sz w:val="20"/>
                <w:szCs w:val="20"/>
              </w:rPr>
            </w:pPr>
            <w:r w:rsidRPr="00977CB2">
              <w:rPr>
                <w:rFonts w:cs="Arial"/>
                <w:sz w:val="20"/>
                <w:szCs w:val="20"/>
              </w:rPr>
              <w:t>SAFETY DIRECTIONS</w:t>
            </w:r>
          </w:p>
          <w:p w14:paraId="30D32D6A" w14:textId="77777777" w:rsidR="008E67EA" w:rsidRPr="00977CB2" w:rsidRDefault="008E67EA" w:rsidP="00B44A74">
            <w:pPr>
              <w:spacing w:line="280" w:lineRule="exact"/>
              <w:rPr>
                <w:rFonts w:cs="Arial"/>
                <w:sz w:val="20"/>
                <w:szCs w:val="20"/>
              </w:rPr>
            </w:pPr>
            <w:r w:rsidRPr="00977CB2">
              <w:rPr>
                <w:rFonts w:cs="Arial"/>
                <w:sz w:val="20"/>
                <w:szCs w:val="20"/>
              </w:rPr>
              <w:t>Repeated minor exposure may have a cumulative poisoning effect. When using the product wear disposable gloves. During cleanup, disposal operations of bait and bait stations and when handling rodent carcasses wear single layer clothing and disposable gloves. If on skin and after each baiting, wash thoroughly with soap and water. After each day’s use wash contaminated clothing. Wash clothes after performing re-handling activities.</w:t>
            </w:r>
            <w:r w:rsidRPr="00977CB2" w:rsidDel="009B53C8">
              <w:rPr>
                <w:rFonts w:cs="Arial"/>
                <w:sz w:val="20"/>
                <w:szCs w:val="20"/>
              </w:rPr>
              <w:t xml:space="preserve"> </w:t>
            </w:r>
          </w:p>
        </w:tc>
      </w:tr>
      <w:tr w:rsidR="008E67EA" w:rsidRPr="00977CB2" w14:paraId="7E7E9458" w14:textId="77777777" w:rsidTr="00B44A74">
        <w:trPr>
          <w:jc w:val="center"/>
        </w:trPr>
        <w:tc>
          <w:tcPr>
            <w:tcW w:w="2415" w:type="dxa"/>
            <w:tcBorders>
              <w:top w:val="single" w:sz="4" w:space="0" w:color="auto"/>
              <w:left w:val="nil"/>
              <w:bottom w:val="single" w:sz="4" w:space="0" w:color="auto"/>
              <w:right w:val="nil"/>
            </w:tcBorders>
          </w:tcPr>
          <w:p w14:paraId="0643ADFF" w14:textId="77777777" w:rsidR="008E67EA" w:rsidRPr="00977CB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D76B805" w14:textId="77777777" w:rsidR="008E67EA" w:rsidRPr="00977CB2" w:rsidRDefault="008E67EA" w:rsidP="00B44A74">
            <w:pPr>
              <w:spacing w:line="280" w:lineRule="exact"/>
              <w:rPr>
                <w:rFonts w:cs="Arial"/>
                <w:sz w:val="20"/>
                <w:szCs w:val="20"/>
              </w:rPr>
            </w:pPr>
          </w:p>
        </w:tc>
      </w:tr>
      <w:tr w:rsidR="008E67EA" w:rsidRPr="00977CB2" w14:paraId="000E3F0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90DEFF9" w14:textId="77777777" w:rsidR="008E67EA" w:rsidRPr="00977CB2" w:rsidRDefault="008E67EA" w:rsidP="00B44A74">
            <w:pPr>
              <w:spacing w:line="280" w:lineRule="exact"/>
              <w:rPr>
                <w:rFonts w:cs="Arial"/>
                <w:sz w:val="20"/>
                <w:szCs w:val="20"/>
              </w:rPr>
            </w:pPr>
            <w:r w:rsidRPr="00977CB2">
              <w:rPr>
                <w:rFonts w:cs="Arial"/>
                <w:sz w:val="20"/>
                <w:szCs w:val="20"/>
              </w:rPr>
              <w:t>First Aid Instructions:</w:t>
            </w:r>
          </w:p>
        </w:tc>
        <w:tc>
          <w:tcPr>
            <w:tcW w:w="7755" w:type="dxa"/>
            <w:tcBorders>
              <w:top w:val="single" w:sz="4" w:space="0" w:color="auto"/>
              <w:left w:val="single" w:sz="4" w:space="0" w:color="auto"/>
              <w:bottom w:val="single" w:sz="4" w:space="0" w:color="auto"/>
              <w:right w:val="single" w:sz="4" w:space="0" w:color="auto"/>
            </w:tcBorders>
          </w:tcPr>
          <w:p w14:paraId="06BC14FA" w14:textId="77777777" w:rsidR="008E67EA" w:rsidRPr="00977CB2" w:rsidRDefault="008E67EA" w:rsidP="00B44A74">
            <w:pPr>
              <w:spacing w:line="280" w:lineRule="exact"/>
              <w:rPr>
                <w:rFonts w:cs="Arial"/>
                <w:sz w:val="20"/>
                <w:szCs w:val="20"/>
              </w:rPr>
            </w:pPr>
            <w:r w:rsidRPr="00977CB2">
              <w:rPr>
                <w:rFonts w:cs="Arial"/>
                <w:sz w:val="20"/>
                <w:szCs w:val="20"/>
              </w:rPr>
              <w:t>FIRST AID</w:t>
            </w:r>
          </w:p>
          <w:p w14:paraId="787D7569" w14:textId="77777777" w:rsidR="008E67EA" w:rsidRPr="00977CB2" w:rsidRDefault="008E67EA" w:rsidP="00B44A74">
            <w:pPr>
              <w:spacing w:line="280" w:lineRule="exact"/>
              <w:rPr>
                <w:rFonts w:cs="Arial"/>
                <w:sz w:val="20"/>
                <w:szCs w:val="20"/>
              </w:rPr>
            </w:pPr>
            <w:r w:rsidRPr="00977CB2">
              <w:rPr>
                <w:rFonts w:cs="Arial"/>
                <w:sz w:val="20"/>
                <w:szCs w:val="20"/>
              </w:rPr>
              <w:t>If poisoning occurs, contact a doctor or Poisons Information Centre. Phone Australia 13 11 26, New Zealand 0800 764 766. Vitamin K1 (Phytomenadione) is antidotal.</w:t>
            </w:r>
          </w:p>
        </w:tc>
      </w:tr>
      <w:tr w:rsidR="008E67EA" w:rsidRPr="00977CB2" w14:paraId="69925253" w14:textId="77777777" w:rsidTr="00B44A74">
        <w:trPr>
          <w:jc w:val="center"/>
        </w:trPr>
        <w:tc>
          <w:tcPr>
            <w:tcW w:w="2415" w:type="dxa"/>
            <w:tcBorders>
              <w:top w:val="single" w:sz="4" w:space="0" w:color="auto"/>
              <w:left w:val="nil"/>
              <w:bottom w:val="single" w:sz="4" w:space="0" w:color="auto"/>
              <w:right w:val="nil"/>
            </w:tcBorders>
          </w:tcPr>
          <w:p w14:paraId="3D938E3C" w14:textId="77777777" w:rsidR="008E67EA" w:rsidRPr="00977CB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0C46638" w14:textId="77777777" w:rsidR="008E67EA" w:rsidRPr="00977CB2" w:rsidRDefault="008E67EA" w:rsidP="00B44A74">
            <w:pPr>
              <w:spacing w:line="280" w:lineRule="exact"/>
              <w:rPr>
                <w:rFonts w:cs="Arial"/>
                <w:sz w:val="20"/>
                <w:szCs w:val="20"/>
              </w:rPr>
            </w:pPr>
          </w:p>
        </w:tc>
      </w:tr>
      <w:tr w:rsidR="008E67EA" w:rsidRPr="00977CB2" w14:paraId="3EBC212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D6D2E25" w14:textId="77777777" w:rsidR="008E67EA" w:rsidRPr="00977CB2" w:rsidRDefault="008E67EA" w:rsidP="00B44A74">
            <w:pPr>
              <w:spacing w:line="280" w:lineRule="exact"/>
              <w:rPr>
                <w:rFonts w:cs="Arial"/>
                <w:sz w:val="20"/>
                <w:szCs w:val="20"/>
              </w:rPr>
            </w:pPr>
            <w:r w:rsidRPr="00977CB2">
              <w:rPr>
                <w:rFonts w:cs="Arial"/>
                <w:sz w:val="20"/>
                <w:szCs w:val="20"/>
              </w:rPr>
              <w:t>First Aid Warnings:</w:t>
            </w:r>
          </w:p>
        </w:tc>
        <w:tc>
          <w:tcPr>
            <w:tcW w:w="7755" w:type="dxa"/>
            <w:tcBorders>
              <w:top w:val="single" w:sz="4" w:space="0" w:color="auto"/>
              <w:left w:val="single" w:sz="4" w:space="0" w:color="auto"/>
              <w:bottom w:val="single" w:sz="4" w:space="0" w:color="auto"/>
              <w:right w:val="single" w:sz="4" w:space="0" w:color="auto"/>
            </w:tcBorders>
          </w:tcPr>
          <w:p w14:paraId="508FFBCF" w14:textId="77777777" w:rsidR="008E67EA" w:rsidRPr="00977CB2" w:rsidRDefault="008E67EA" w:rsidP="00B44A74">
            <w:pPr>
              <w:spacing w:line="280" w:lineRule="exact"/>
              <w:rPr>
                <w:rFonts w:cs="Arial"/>
                <w:sz w:val="20"/>
                <w:szCs w:val="20"/>
              </w:rPr>
            </w:pPr>
          </w:p>
        </w:tc>
      </w:tr>
    </w:tbl>
    <w:p w14:paraId="71726ED8" w14:textId="77777777" w:rsidR="008E67EA" w:rsidRDefault="008E67EA" w:rsidP="008E67EA">
      <w:pPr>
        <w:spacing w:line="278" w:lineRule="auto"/>
        <w:rPr>
          <w:rFonts w:cs="Arial"/>
          <w:b/>
          <w:bCs/>
          <w:sz w:val="20"/>
          <w:szCs w:val="20"/>
        </w:rPr>
      </w:pPr>
      <w:r>
        <w:rPr>
          <w:rFonts w:cs="Arial"/>
          <w:b/>
          <w:bCs/>
          <w:sz w:val="20"/>
          <w:szCs w:val="20"/>
        </w:rPr>
        <w:br w:type="page"/>
      </w:r>
    </w:p>
    <w:p w14:paraId="4E133580" w14:textId="77777777" w:rsidR="008E67EA" w:rsidRDefault="008E67EA" w:rsidP="008E67EA">
      <w:pPr>
        <w:rPr>
          <w:rFonts w:cs="Arial"/>
          <w:b/>
          <w:bCs/>
          <w:sz w:val="20"/>
          <w:szCs w:val="20"/>
        </w:rPr>
      </w:pPr>
      <w:r>
        <w:rPr>
          <w:rFonts w:cs="Arial"/>
          <w:b/>
          <w:bCs/>
          <w:sz w:val="20"/>
          <w:szCs w:val="20"/>
        </w:rPr>
        <w:lastRenderedPageBreak/>
        <w:t>HOW TO USE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984"/>
        <w:gridCol w:w="1134"/>
        <w:gridCol w:w="3918"/>
      </w:tblGrid>
      <w:tr w:rsidR="008E67EA" w:rsidRPr="00FF36BF" w14:paraId="70CBC687" w14:textId="77777777" w:rsidTr="00834983">
        <w:trPr>
          <w:trHeight w:val="340"/>
        </w:trPr>
        <w:tc>
          <w:tcPr>
            <w:tcW w:w="1980" w:type="dxa"/>
          </w:tcPr>
          <w:p w14:paraId="51F85208" w14:textId="77777777" w:rsidR="008E67EA" w:rsidRPr="00246206" w:rsidRDefault="008E67EA" w:rsidP="00B44A74">
            <w:pPr>
              <w:pStyle w:val="TableParagraph"/>
              <w:widowControl/>
              <w:adjustRightInd w:val="0"/>
              <w:spacing w:before="61"/>
              <w:ind w:left="0"/>
              <w:rPr>
                <w:rFonts w:eastAsiaTheme="minorHAnsi"/>
                <w:b/>
                <w:bCs/>
                <w:sz w:val="20"/>
                <w:szCs w:val="20"/>
                <w:lang w:val="en-AU"/>
              </w:rPr>
            </w:pPr>
            <w:r w:rsidRPr="00246206">
              <w:rPr>
                <w:rFonts w:eastAsiaTheme="minorHAnsi"/>
                <w:b/>
                <w:bCs/>
                <w:sz w:val="20"/>
                <w:szCs w:val="20"/>
                <w:lang w:val="en-AU"/>
              </w:rPr>
              <w:t>PEST</w:t>
            </w:r>
          </w:p>
        </w:tc>
        <w:tc>
          <w:tcPr>
            <w:tcW w:w="1984" w:type="dxa"/>
          </w:tcPr>
          <w:p w14:paraId="3E6FD147" w14:textId="77777777" w:rsidR="008E67EA" w:rsidRPr="00246206" w:rsidRDefault="008E67EA" w:rsidP="00B44A74">
            <w:pPr>
              <w:pStyle w:val="TableParagraph"/>
              <w:widowControl/>
              <w:adjustRightInd w:val="0"/>
              <w:spacing w:before="61"/>
              <w:ind w:left="0"/>
              <w:rPr>
                <w:rFonts w:eastAsiaTheme="minorHAnsi"/>
                <w:b/>
                <w:bCs/>
                <w:sz w:val="20"/>
                <w:szCs w:val="20"/>
                <w:lang w:val="en-AU"/>
              </w:rPr>
            </w:pPr>
            <w:r w:rsidRPr="00246206">
              <w:rPr>
                <w:rFonts w:eastAsiaTheme="minorHAnsi"/>
                <w:b/>
                <w:bCs/>
                <w:sz w:val="20"/>
                <w:szCs w:val="20"/>
                <w:lang w:val="en-AU"/>
              </w:rPr>
              <w:t>SITUATION</w:t>
            </w:r>
          </w:p>
        </w:tc>
        <w:tc>
          <w:tcPr>
            <w:tcW w:w="1134" w:type="dxa"/>
          </w:tcPr>
          <w:p w14:paraId="62BC587F" w14:textId="77777777" w:rsidR="008E67EA" w:rsidRPr="00246206" w:rsidRDefault="008E67EA" w:rsidP="00B44A74">
            <w:pPr>
              <w:pStyle w:val="TableParagraph"/>
              <w:widowControl/>
              <w:adjustRightInd w:val="0"/>
              <w:spacing w:before="61"/>
              <w:ind w:left="0"/>
              <w:rPr>
                <w:rFonts w:eastAsiaTheme="minorHAnsi"/>
                <w:b/>
                <w:bCs/>
                <w:sz w:val="20"/>
                <w:szCs w:val="20"/>
                <w:lang w:val="en-AU"/>
              </w:rPr>
            </w:pPr>
            <w:r w:rsidRPr="00246206">
              <w:rPr>
                <w:rFonts w:eastAsiaTheme="minorHAnsi"/>
                <w:b/>
                <w:bCs/>
                <w:sz w:val="20"/>
                <w:szCs w:val="20"/>
                <w:lang w:val="en-AU"/>
              </w:rPr>
              <w:t>RATE</w:t>
            </w:r>
          </w:p>
        </w:tc>
        <w:tc>
          <w:tcPr>
            <w:tcW w:w="3918" w:type="dxa"/>
          </w:tcPr>
          <w:p w14:paraId="6E9BF9D1" w14:textId="77777777" w:rsidR="008E67EA" w:rsidRPr="00246206" w:rsidRDefault="008E67EA" w:rsidP="00B44A74">
            <w:pPr>
              <w:pStyle w:val="TableParagraph"/>
              <w:widowControl/>
              <w:adjustRightInd w:val="0"/>
              <w:spacing w:before="61"/>
              <w:ind w:left="0"/>
              <w:rPr>
                <w:rFonts w:eastAsiaTheme="minorHAnsi"/>
                <w:b/>
                <w:bCs/>
                <w:sz w:val="20"/>
                <w:szCs w:val="20"/>
                <w:lang w:val="en-AU"/>
              </w:rPr>
            </w:pPr>
            <w:r w:rsidRPr="00246206">
              <w:rPr>
                <w:rFonts w:eastAsiaTheme="minorHAnsi"/>
                <w:b/>
                <w:bCs/>
                <w:sz w:val="20"/>
                <w:szCs w:val="20"/>
                <w:lang w:val="en-AU"/>
              </w:rPr>
              <w:t>HOW TO APPLY</w:t>
            </w:r>
          </w:p>
        </w:tc>
      </w:tr>
      <w:tr w:rsidR="008E67EA" w:rsidRPr="00FF36BF" w14:paraId="32DCA078" w14:textId="77777777" w:rsidTr="00834983">
        <w:trPr>
          <w:trHeight w:val="937"/>
        </w:trPr>
        <w:tc>
          <w:tcPr>
            <w:tcW w:w="1980" w:type="dxa"/>
          </w:tcPr>
          <w:p w14:paraId="548C0FC5" w14:textId="77777777" w:rsidR="008E67EA" w:rsidRPr="005D3D45" w:rsidRDefault="008E67EA" w:rsidP="00B44A74">
            <w:pPr>
              <w:spacing w:line="280" w:lineRule="exact"/>
              <w:rPr>
                <w:rFonts w:cs="Arial"/>
                <w:sz w:val="20"/>
                <w:szCs w:val="20"/>
              </w:rPr>
            </w:pPr>
            <w:r>
              <w:rPr>
                <w:rFonts w:cs="Arial"/>
                <w:sz w:val="20"/>
                <w:szCs w:val="20"/>
              </w:rPr>
              <w:t xml:space="preserve">Rats </w:t>
            </w:r>
            <w:r w:rsidRPr="007212AD">
              <w:rPr>
                <w:rFonts w:cs="Arial"/>
                <w:sz w:val="20"/>
                <w:szCs w:val="20"/>
              </w:rPr>
              <w:t>(</w:t>
            </w:r>
            <w:r w:rsidRPr="007212AD">
              <w:rPr>
                <w:rFonts w:cs="Arial"/>
                <w:i/>
                <w:iCs/>
                <w:sz w:val="20"/>
                <w:szCs w:val="20"/>
              </w:rPr>
              <w:t>Rattus rattus, Rattus norvegicus</w:t>
            </w:r>
            <w:r w:rsidRPr="007212AD">
              <w:rPr>
                <w:rFonts w:cs="Arial"/>
                <w:sz w:val="20"/>
                <w:szCs w:val="20"/>
              </w:rPr>
              <w:t>)</w:t>
            </w:r>
          </w:p>
        </w:tc>
        <w:tc>
          <w:tcPr>
            <w:tcW w:w="1984" w:type="dxa"/>
          </w:tcPr>
          <w:p w14:paraId="1C45D39B" w14:textId="77777777" w:rsidR="008E67EA" w:rsidRPr="005D3D45" w:rsidRDefault="008E67EA" w:rsidP="00B44A74">
            <w:pPr>
              <w:spacing w:line="280" w:lineRule="exact"/>
              <w:rPr>
                <w:rFonts w:cs="Arial"/>
                <w:sz w:val="20"/>
                <w:szCs w:val="20"/>
              </w:rPr>
            </w:pPr>
            <w:r w:rsidRPr="005D3D45">
              <w:rPr>
                <w:rFonts w:cs="Arial"/>
                <w:sz w:val="20"/>
                <w:szCs w:val="20"/>
              </w:rPr>
              <w:t>In</w:t>
            </w:r>
            <w:r>
              <w:rPr>
                <w:rFonts w:cs="Arial"/>
                <w:sz w:val="20"/>
                <w:szCs w:val="20"/>
              </w:rPr>
              <w:t xml:space="preserve"> and around</w:t>
            </w:r>
            <w:r w:rsidRPr="005D3D45">
              <w:rPr>
                <w:rFonts w:cs="Arial"/>
                <w:sz w:val="20"/>
                <w:szCs w:val="20"/>
              </w:rPr>
              <w:t xml:space="preserve"> </w:t>
            </w:r>
            <w:r>
              <w:rPr>
                <w:rFonts w:cs="Arial"/>
                <w:sz w:val="20"/>
                <w:szCs w:val="20"/>
              </w:rPr>
              <w:t xml:space="preserve">(within 2 meters) </w:t>
            </w:r>
            <w:r w:rsidRPr="005D3D45">
              <w:rPr>
                <w:rFonts w:cs="Arial"/>
                <w:sz w:val="20"/>
                <w:szCs w:val="20"/>
              </w:rPr>
              <w:t>domestic buildings</w:t>
            </w:r>
          </w:p>
        </w:tc>
        <w:tc>
          <w:tcPr>
            <w:tcW w:w="1134" w:type="dxa"/>
          </w:tcPr>
          <w:p w14:paraId="3DD3AF62" w14:textId="77777777" w:rsidR="008E67EA" w:rsidRPr="005D3D45" w:rsidRDefault="008E67EA" w:rsidP="00B44A74">
            <w:pPr>
              <w:spacing w:line="280" w:lineRule="exact"/>
              <w:rPr>
                <w:rFonts w:cs="Arial"/>
                <w:sz w:val="20"/>
                <w:szCs w:val="20"/>
              </w:rPr>
            </w:pPr>
            <w:r>
              <w:rPr>
                <w:rFonts w:cs="Arial"/>
                <w:sz w:val="20"/>
                <w:szCs w:val="20"/>
              </w:rPr>
              <w:t>2 to 4 baits/bait station</w:t>
            </w:r>
          </w:p>
        </w:tc>
        <w:tc>
          <w:tcPr>
            <w:tcW w:w="3918" w:type="dxa"/>
            <w:vMerge w:val="restart"/>
          </w:tcPr>
          <w:p w14:paraId="7CFC26C7" w14:textId="3B603BAD" w:rsidR="008E67EA" w:rsidRDefault="008E67EA" w:rsidP="00B44A74">
            <w:pPr>
              <w:spacing w:line="280" w:lineRule="exact"/>
              <w:rPr>
                <w:rFonts w:cs="Arial"/>
                <w:sz w:val="20"/>
                <w:szCs w:val="20"/>
              </w:rPr>
            </w:pPr>
            <w:r>
              <w:rPr>
                <w:rFonts w:cs="Arial"/>
                <w:sz w:val="20"/>
                <w:szCs w:val="20"/>
              </w:rPr>
              <w:t xml:space="preserve">Place bait stations in infested area, </w:t>
            </w:r>
            <w:r w:rsidRPr="0002084E">
              <w:rPr>
                <w:rFonts w:cs="Arial"/>
                <w:sz w:val="20"/>
                <w:szCs w:val="20"/>
              </w:rPr>
              <w:t>where there are signs of rodent activity, along walls or rafters and in dark, sheltered places</w:t>
            </w:r>
            <w:r>
              <w:rPr>
                <w:rFonts w:cs="Arial"/>
                <w:sz w:val="20"/>
                <w:szCs w:val="20"/>
              </w:rPr>
              <w:t>.</w:t>
            </w:r>
          </w:p>
          <w:p w14:paraId="70689ADF" w14:textId="77777777" w:rsidR="008E67EA" w:rsidRPr="00FD51DE" w:rsidRDefault="008E67EA" w:rsidP="00B44A74">
            <w:pPr>
              <w:spacing w:line="280" w:lineRule="exact"/>
              <w:rPr>
                <w:rFonts w:cs="Arial"/>
                <w:sz w:val="20"/>
                <w:szCs w:val="20"/>
              </w:rPr>
            </w:pPr>
            <w:r w:rsidRPr="00E136C5">
              <w:rPr>
                <w:rFonts w:cs="Arial"/>
                <w:b/>
                <w:bCs/>
                <w:i/>
                <w:iCs/>
                <w:sz w:val="20"/>
                <w:szCs w:val="20"/>
              </w:rPr>
              <w:t>For Rats:</w:t>
            </w:r>
            <w:r w:rsidRPr="00FD51DE">
              <w:rPr>
                <w:rFonts w:cs="Arial"/>
                <w:sz w:val="20"/>
                <w:szCs w:val="20"/>
              </w:rPr>
              <w:t xml:space="preserve"> Place </w:t>
            </w:r>
            <w:r>
              <w:rPr>
                <w:rFonts w:cs="Arial"/>
                <w:sz w:val="20"/>
                <w:szCs w:val="20"/>
              </w:rPr>
              <w:t>bait stations</w:t>
            </w:r>
            <w:r w:rsidRPr="00FD51DE">
              <w:rPr>
                <w:rFonts w:cs="Arial"/>
                <w:sz w:val="20"/>
                <w:szCs w:val="20"/>
              </w:rPr>
              <w:t xml:space="preserve"> at</w:t>
            </w:r>
          </w:p>
          <w:p w14:paraId="780A6381" w14:textId="77777777" w:rsidR="008E67EA" w:rsidRPr="00FD51DE" w:rsidRDefault="008E67EA" w:rsidP="00B44A74">
            <w:pPr>
              <w:spacing w:line="280" w:lineRule="exact"/>
              <w:rPr>
                <w:rFonts w:cs="Arial"/>
                <w:sz w:val="20"/>
                <w:szCs w:val="20"/>
              </w:rPr>
            </w:pPr>
            <w:r w:rsidRPr="00FD51DE">
              <w:rPr>
                <w:rFonts w:cs="Arial"/>
                <w:sz w:val="20"/>
                <w:szCs w:val="20"/>
              </w:rPr>
              <w:t>intervals of 5-9 m</w:t>
            </w:r>
            <w:r>
              <w:rPr>
                <w:rFonts w:cs="Arial"/>
                <w:sz w:val="20"/>
                <w:szCs w:val="20"/>
              </w:rPr>
              <w:t xml:space="preserve"> in infested areas</w:t>
            </w:r>
            <w:r w:rsidRPr="00FD51DE">
              <w:rPr>
                <w:rFonts w:cs="Arial"/>
                <w:sz w:val="20"/>
                <w:szCs w:val="20"/>
              </w:rPr>
              <w:t xml:space="preserve">. </w:t>
            </w:r>
            <w:r>
              <w:rPr>
                <w:rFonts w:cs="Arial"/>
                <w:sz w:val="20"/>
                <w:szCs w:val="20"/>
              </w:rPr>
              <w:t xml:space="preserve">DO NOT exceed </w:t>
            </w:r>
            <w:r w:rsidRPr="00FD51DE">
              <w:rPr>
                <w:rFonts w:cs="Arial"/>
                <w:sz w:val="20"/>
                <w:szCs w:val="20"/>
              </w:rPr>
              <w:t>9 m</w:t>
            </w:r>
            <w:r>
              <w:rPr>
                <w:rFonts w:cs="Arial"/>
                <w:sz w:val="20"/>
                <w:szCs w:val="20"/>
              </w:rPr>
              <w:t xml:space="preserve"> between bait locations</w:t>
            </w:r>
            <w:r w:rsidRPr="00FD51DE">
              <w:rPr>
                <w:rFonts w:cs="Arial"/>
                <w:sz w:val="20"/>
                <w:szCs w:val="20"/>
              </w:rPr>
              <w:t>.</w:t>
            </w:r>
          </w:p>
          <w:p w14:paraId="41984DDD" w14:textId="77777777" w:rsidR="008E67EA" w:rsidRPr="00FD51DE" w:rsidRDefault="008E67EA" w:rsidP="00B44A74">
            <w:pPr>
              <w:spacing w:line="280" w:lineRule="exact"/>
              <w:rPr>
                <w:rFonts w:cs="Arial"/>
                <w:sz w:val="20"/>
                <w:szCs w:val="20"/>
              </w:rPr>
            </w:pPr>
            <w:r w:rsidRPr="00E136C5">
              <w:rPr>
                <w:rFonts w:cs="Arial"/>
                <w:b/>
                <w:bCs/>
                <w:i/>
                <w:iCs/>
                <w:sz w:val="20"/>
                <w:szCs w:val="20"/>
              </w:rPr>
              <w:t>For Mice:</w:t>
            </w:r>
            <w:r w:rsidRPr="00FD51DE">
              <w:rPr>
                <w:rFonts w:cs="Arial"/>
                <w:sz w:val="20"/>
                <w:szCs w:val="20"/>
              </w:rPr>
              <w:t xml:space="preserve"> Place 1 to 2 bait </w:t>
            </w:r>
            <w:r>
              <w:rPr>
                <w:rFonts w:cs="Arial"/>
                <w:sz w:val="20"/>
                <w:szCs w:val="20"/>
              </w:rPr>
              <w:t xml:space="preserve">stations </w:t>
            </w:r>
            <w:r w:rsidRPr="00FD51DE">
              <w:rPr>
                <w:rFonts w:cs="Arial"/>
                <w:sz w:val="20"/>
                <w:szCs w:val="20"/>
              </w:rPr>
              <w:t>at 2-3</w:t>
            </w:r>
          </w:p>
          <w:p w14:paraId="0AEFF6D3" w14:textId="77777777" w:rsidR="008E67EA" w:rsidRPr="005D3D45" w:rsidRDefault="008E67EA" w:rsidP="00B44A74">
            <w:pPr>
              <w:spacing w:line="280" w:lineRule="exact"/>
              <w:rPr>
                <w:rFonts w:cs="Arial"/>
                <w:sz w:val="20"/>
                <w:szCs w:val="20"/>
              </w:rPr>
            </w:pPr>
            <w:r w:rsidRPr="00FD51DE">
              <w:rPr>
                <w:rFonts w:cs="Arial"/>
                <w:sz w:val="20"/>
                <w:szCs w:val="20"/>
              </w:rPr>
              <w:t>m intervals in infested areas</w:t>
            </w:r>
            <w:r>
              <w:rPr>
                <w:rFonts w:cs="Arial"/>
                <w:sz w:val="20"/>
                <w:szCs w:val="20"/>
              </w:rPr>
              <w:t xml:space="preserve">. </w:t>
            </w:r>
            <w:r w:rsidRPr="00FD51DE">
              <w:rPr>
                <w:rFonts w:cs="Arial"/>
                <w:sz w:val="20"/>
                <w:szCs w:val="20"/>
              </w:rPr>
              <w:t xml:space="preserve">DO NOT exceed 3 m between </w:t>
            </w:r>
            <w:r>
              <w:rPr>
                <w:rFonts w:cs="Arial"/>
                <w:sz w:val="20"/>
                <w:szCs w:val="20"/>
              </w:rPr>
              <w:t xml:space="preserve">bait </w:t>
            </w:r>
            <w:r w:rsidRPr="00FD51DE">
              <w:rPr>
                <w:rFonts w:cs="Arial"/>
                <w:sz w:val="20"/>
                <w:szCs w:val="20"/>
              </w:rPr>
              <w:t>locations</w:t>
            </w:r>
            <w:r>
              <w:rPr>
                <w:rFonts w:cs="Arial"/>
                <w:sz w:val="20"/>
                <w:szCs w:val="20"/>
              </w:rPr>
              <w:t>.</w:t>
            </w:r>
          </w:p>
        </w:tc>
      </w:tr>
      <w:tr w:rsidR="008E67EA" w:rsidRPr="00FF36BF" w14:paraId="00F4A01D" w14:textId="77777777" w:rsidTr="00834983">
        <w:trPr>
          <w:trHeight w:val="1785"/>
        </w:trPr>
        <w:tc>
          <w:tcPr>
            <w:tcW w:w="1980" w:type="dxa"/>
          </w:tcPr>
          <w:p w14:paraId="5504EEB0" w14:textId="77777777" w:rsidR="008E67EA" w:rsidRPr="005D3D45" w:rsidRDefault="008E67EA" w:rsidP="00B44A74">
            <w:pPr>
              <w:spacing w:line="280" w:lineRule="exact"/>
              <w:rPr>
                <w:rFonts w:cs="Arial"/>
                <w:sz w:val="20"/>
                <w:szCs w:val="20"/>
              </w:rPr>
            </w:pPr>
            <w:r>
              <w:rPr>
                <w:rFonts w:cs="Arial"/>
                <w:sz w:val="20"/>
                <w:szCs w:val="20"/>
              </w:rPr>
              <w:t xml:space="preserve">Mice </w:t>
            </w:r>
            <w:r w:rsidRPr="007212AD">
              <w:rPr>
                <w:rFonts w:cs="Arial"/>
                <w:sz w:val="20"/>
                <w:szCs w:val="20"/>
              </w:rPr>
              <w:t>(</w:t>
            </w:r>
            <w:r w:rsidRPr="007212AD">
              <w:rPr>
                <w:rFonts w:cs="Arial"/>
                <w:i/>
                <w:iCs/>
                <w:sz w:val="20"/>
                <w:szCs w:val="20"/>
              </w:rPr>
              <w:t>Mus musculus</w:t>
            </w:r>
            <w:r w:rsidRPr="007212AD">
              <w:rPr>
                <w:rFonts w:cs="Arial"/>
                <w:sz w:val="20"/>
                <w:szCs w:val="20"/>
              </w:rPr>
              <w:t>)</w:t>
            </w:r>
          </w:p>
        </w:tc>
        <w:tc>
          <w:tcPr>
            <w:tcW w:w="1984" w:type="dxa"/>
          </w:tcPr>
          <w:p w14:paraId="3945C0A3" w14:textId="77777777" w:rsidR="008E67EA" w:rsidRPr="005D3D45" w:rsidRDefault="008E67EA" w:rsidP="00B44A74">
            <w:pPr>
              <w:spacing w:line="280" w:lineRule="exact"/>
              <w:rPr>
                <w:rFonts w:cs="Arial"/>
                <w:sz w:val="20"/>
                <w:szCs w:val="20"/>
              </w:rPr>
            </w:pPr>
            <w:r w:rsidRPr="005D3D45">
              <w:rPr>
                <w:rFonts w:cs="Arial"/>
                <w:sz w:val="20"/>
                <w:szCs w:val="20"/>
              </w:rPr>
              <w:t xml:space="preserve">In domestic buildings </w:t>
            </w:r>
          </w:p>
        </w:tc>
        <w:tc>
          <w:tcPr>
            <w:tcW w:w="1134" w:type="dxa"/>
          </w:tcPr>
          <w:p w14:paraId="43FBF9DE" w14:textId="77777777" w:rsidR="008E67EA" w:rsidRPr="005D3D45" w:rsidRDefault="008E67EA" w:rsidP="00B44A74">
            <w:pPr>
              <w:spacing w:line="280" w:lineRule="exact"/>
              <w:rPr>
                <w:rFonts w:cs="Arial"/>
                <w:sz w:val="20"/>
                <w:szCs w:val="20"/>
              </w:rPr>
            </w:pPr>
            <w:r>
              <w:rPr>
                <w:rFonts w:cs="Arial"/>
                <w:sz w:val="20"/>
                <w:szCs w:val="20"/>
              </w:rPr>
              <w:t>1 to 2 baits/bait station</w:t>
            </w:r>
          </w:p>
        </w:tc>
        <w:tc>
          <w:tcPr>
            <w:tcW w:w="3918" w:type="dxa"/>
            <w:vMerge/>
          </w:tcPr>
          <w:p w14:paraId="34AD8C85" w14:textId="77777777" w:rsidR="008E67EA" w:rsidRPr="005D3D45" w:rsidRDefault="008E67EA" w:rsidP="00B44A74">
            <w:pPr>
              <w:spacing w:line="280" w:lineRule="exact"/>
              <w:rPr>
                <w:rFonts w:cs="Arial"/>
                <w:sz w:val="20"/>
                <w:szCs w:val="20"/>
              </w:rPr>
            </w:pPr>
          </w:p>
        </w:tc>
      </w:tr>
      <w:tr w:rsidR="008E67EA" w:rsidRPr="00FF36BF" w14:paraId="3420B694" w14:textId="77777777" w:rsidTr="00834983">
        <w:trPr>
          <w:trHeight w:val="421"/>
        </w:trPr>
        <w:tc>
          <w:tcPr>
            <w:tcW w:w="9016" w:type="dxa"/>
            <w:gridSpan w:val="4"/>
          </w:tcPr>
          <w:p w14:paraId="43AF2B30" w14:textId="75DE2559" w:rsidR="008E67EA" w:rsidRDefault="008E67EA" w:rsidP="00B44A74">
            <w:pPr>
              <w:spacing w:after="120" w:line="280" w:lineRule="exact"/>
              <w:rPr>
                <w:rFonts w:eastAsia="Calibri" w:cs="Arial"/>
                <w:b/>
                <w:bCs/>
                <w:sz w:val="20"/>
                <w:szCs w:val="20"/>
                <w:bdr w:val="none" w:sz="0" w:space="0" w:color="auto" w:frame="1"/>
                <w:lang w:val="en-GB"/>
              </w:rPr>
            </w:pPr>
            <w:r w:rsidRPr="001E6DA9">
              <w:rPr>
                <w:rFonts w:eastAsia="Calibri" w:cs="Arial"/>
                <w:b/>
                <w:bCs/>
                <w:sz w:val="20"/>
                <w:szCs w:val="20"/>
                <w:bdr w:val="none" w:sz="0" w:space="0" w:color="auto" w:frame="1"/>
                <w:lang w:val="en-GB"/>
              </w:rPr>
              <w:t xml:space="preserve">General Information and baiting strategy for </w:t>
            </w:r>
            <w:r>
              <w:rPr>
                <w:rFonts w:eastAsia="Calibri" w:cs="Arial"/>
                <w:b/>
                <w:bCs/>
                <w:sz w:val="20"/>
                <w:szCs w:val="20"/>
                <w:bdr w:val="none" w:sz="0" w:space="0" w:color="auto" w:frame="1"/>
                <w:lang w:val="en-GB"/>
              </w:rPr>
              <w:t>effective control</w:t>
            </w:r>
            <w:r w:rsidRPr="001E6DA9">
              <w:rPr>
                <w:rFonts w:eastAsia="Calibri" w:cs="Arial"/>
                <w:b/>
                <w:bCs/>
                <w:sz w:val="20"/>
                <w:szCs w:val="20"/>
                <w:bdr w:val="none" w:sz="0" w:space="0" w:color="auto" w:frame="1"/>
                <w:lang w:val="en-GB"/>
              </w:rPr>
              <w:t>:</w:t>
            </w:r>
          </w:p>
          <w:p w14:paraId="3218A230" w14:textId="77777777" w:rsidR="008E67EA" w:rsidRPr="0002084E" w:rsidRDefault="008E67EA" w:rsidP="00B44A74">
            <w:pPr>
              <w:spacing w:after="120" w:line="280" w:lineRule="exact"/>
              <w:rPr>
                <w:rFonts w:eastAsia="Calibri" w:cs="Arial"/>
                <w:sz w:val="20"/>
                <w:szCs w:val="20"/>
                <w:bdr w:val="none" w:sz="0" w:space="0" w:color="auto" w:frame="1"/>
              </w:rPr>
            </w:pPr>
            <w:r w:rsidRPr="0002084E">
              <w:rPr>
                <w:rFonts w:eastAsia="Calibri" w:cs="Arial"/>
                <w:sz w:val="20"/>
                <w:szCs w:val="20"/>
                <w:bdr w:val="none" w:sz="0" w:space="0" w:color="auto" w:frame="1"/>
              </w:rPr>
              <w:t>Eliminate as far as practical, all alternative food sources.</w:t>
            </w:r>
          </w:p>
          <w:p w14:paraId="7612D0E5" w14:textId="77777777" w:rsidR="008E67EA" w:rsidRPr="0002084E" w:rsidRDefault="008E67EA" w:rsidP="00B44A74">
            <w:pPr>
              <w:spacing w:after="120" w:line="280" w:lineRule="exact"/>
              <w:rPr>
                <w:rFonts w:eastAsia="Calibri" w:cs="Arial"/>
                <w:sz w:val="20"/>
                <w:szCs w:val="20"/>
                <w:bdr w:val="none" w:sz="0" w:space="0" w:color="auto" w:frame="1"/>
              </w:rPr>
            </w:pPr>
            <w:r w:rsidRPr="006E5319">
              <w:rPr>
                <w:rFonts w:eastAsia="Calibri" w:cs="Arial"/>
                <w:sz w:val="20"/>
                <w:szCs w:val="20"/>
                <w:bdr w:val="none" w:sz="0" w:space="0" w:color="auto" w:frame="1"/>
              </w:rPr>
              <w:t>Use in tamper resistant bait stations only.</w:t>
            </w:r>
            <w:r w:rsidRPr="00FD51DE">
              <w:rPr>
                <w:rFonts w:eastAsia="Calibri" w:cs="Arial"/>
                <w:sz w:val="20"/>
                <w:szCs w:val="20"/>
                <w:bdr w:val="none" w:sz="0" w:space="0" w:color="auto" w:frame="1"/>
              </w:rPr>
              <w:t xml:space="preserve"> </w:t>
            </w:r>
            <w:r w:rsidRPr="006E5319">
              <w:rPr>
                <w:rFonts w:eastAsia="Calibri" w:cs="Arial"/>
                <w:sz w:val="20"/>
                <w:szCs w:val="20"/>
                <w:bdr w:val="none" w:sz="0" w:space="0" w:color="auto" w:frame="1"/>
              </w:rPr>
              <w:t>If bait can be dislodged from bait station, fix tamper-resistant bait stations to the ground or other structures.</w:t>
            </w:r>
            <w:r>
              <w:rPr>
                <w:rFonts w:eastAsia="Calibri" w:cs="Arial"/>
                <w:sz w:val="20"/>
                <w:szCs w:val="20"/>
                <w:bdr w:val="none" w:sz="0" w:space="0" w:color="auto" w:frame="1"/>
              </w:rPr>
              <w:t xml:space="preserve"> </w:t>
            </w:r>
            <w:r w:rsidRPr="00FD51DE">
              <w:rPr>
                <w:rFonts w:eastAsia="Calibri" w:cs="Arial"/>
                <w:sz w:val="20"/>
                <w:szCs w:val="20"/>
                <w:bdr w:val="none" w:sz="0" w:space="0" w:color="auto" w:frame="1"/>
              </w:rPr>
              <w:t xml:space="preserve">It is </w:t>
            </w:r>
            <w:r>
              <w:rPr>
                <w:rFonts w:eastAsia="Calibri" w:cs="Arial"/>
                <w:sz w:val="20"/>
                <w:szCs w:val="20"/>
                <w:bdr w:val="none" w:sz="0" w:space="0" w:color="auto" w:frame="1"/>
              </w:rPr>
              <w:t xml:space="preserve">also </w:t>
            </w:r>
            <w:r w:rsidRPr="00FD51DE">
              <w:rPr>
                <w:rFonts w:eastAsia="Calibri" w:cs="Arial"/>
                <w:sz w:val="20"/>
                <w:szCs w:val="20"/>
                <w:bdr w:val="none" w:sz="0" w:space="0" w:color="auto" w:frame="1"/>
              </w:rPr>
              <w:t>recommended that weather</w:t>
            </w:r>
            <w:r>
              <w:rPr>
                <w:rFonts w:eastAsia="Calibri" w:cs="Arial"/>
                <w:sz w:val="20"/>
                <w:szCs w:val="20"/>
                <w:bdr w:val="none" w:sz="0" w:space="0" w:color="auto" w:frame="1"/>
              </w:rPr>
              <w:t>-</w:t>
            </w:r>
            <w:r w:rsidRPr="00FD51DE">
              <w:rPr>
                <w:rFonts w:eastAsia="Calibri" w:cs="Arial"/>
                <w:sz w:val="20"/>
                <w:szCs w:val="20"/>
                <w:bdr w:val="none" w:sz="0" w:space="0" w:color="auto" w:frame="1"/>
              </w:rPr>
              <w:t xml:space="preserve">resistant bait stations be used where possible. </w:t>
            </w:r>
            <w:r w:rsidRPr="0002084E">
              <w:rPr>
                <w:rFonts w:eastAsia="Calibri" w:cs="Arial"/>
                <w:sz w:val="20"/>
                <w:szCs w:val="20"/>
                <w:bdr w:val="none" w:sz="0" w:space="0" w:color="auto" w:frame="1"/>
              </w:rPr>
              <w:t>Record the number and location of baits for later replenishment and or removal.</w:t>
            </w:r>
          </w:p>
          <w:p w14:paraId="4AE4C9A4" w14:textId="77777777" w:rsidR="008E67EA" w:rsidRDefault="008E67EA" w:rsidP="00B44A74">
            <w:pPr>
              <w:spacing w:after="120" w:line="280" w:lineRule="exact"/>
              <w:rPr>
                <w:rFonts w:eastAsia="Calibri" w:cs="Arial"/>
                <w:sz w:val="20"/>
                <w:szCs w:val="20"/>
                <w:bdr w:val="none" w:sz="0" w:space="0" w:color="auto" w:frame="1"/>
              </w:rPr>
            </w:pPr>
            <w:r w:rsidRPr="0002084E">
              <w:rPr>
                <w:rFonts w:eastAsia="Calibri" w:cs="Arial"/>
                <w:sz w:val="20"/>
                <w:szCs w:val="20"/>
                <w:bdr w:val="none" w:sz="0" w:space="0" w:color="auto" w:frame="1"/>
              </w:rPr>
              <w:t>Inspect baits daily. Replace eaten baits</w:t>
            </w:r>
            <w:r w:rsidRPr="00FD51DE">
              <w:rPr>
                <w:rFonts w:eastAsia="Calibri" w:cs="Arial"/>
                <w:sz w:val="20"/>
                <w:szCs w:val="20"/>
                <w:bdr w:val="none" w:sz="0" w:space="0" w:color="auto" w:frame="1"/>
              </w:rPr>
              <w:t xml:space="preserve"> to establish control of rodent populations. If quickly eaten, increase number of baits as multiple rodents may be consuming bait placements. </w:t>
            </w:r>
            <w:r w:rsidRPr="0002084E">
              <w:rPr>
                <w:rFonts w:eastAsia="Calibri" w:cs="Arial"/>
                <w:sz w:val="20"/>
                <w:szCs w:val="20"/>
                <w:bdr w:val="none" w:sz="0" w:space="0" w:color="auto" w:frame="1"/>
              </w:rPr>
              <w:t>Continue observation and replenishment until no</w:t>
            </w:r>
            <w:r>
              <w:rPr>
                <w:rFonts w:eastAsia="Calibri" w:cs="Arial"/>
                <w:sz w:val="20"/>
                <w:szCs w:val="20"/>
                <w:bdr w:val="none" w:sz="0" w:space="0" w:color="auto" w:frame="1"/>
              </w:rPr>
              <w:t xml:space="preserve"> </w:t>
            </w:r>
            <w:r w:rsidRPr="0002084E">
              <w:rPr>
                <w:rFonts w:eastAsia="Calibri" w:cs="Arial"/>
                <w:sz w:val="20"/>
                <w:szCs w:val="20"/>
                <w:bdr w:val="none" w:sz="0" w:space="0" w:color="auto" w:frame="1"/>
              </w:rPr>
              <w:t>more baits are taken. Most</w:t>
            </w:r>
            <w:r>
              <w:rPr>
                <w:rFonts w:eastAsia="Calibri" w:cs="Arial"/>
                <w:sz w:val="20"/>
                <w:szCs w:val="20"/>
                <w:bdr w:val="none" w:sz="0" w:space="0" w:color="auto" w:frame="1"/>
              </w:rPr>
              <w:t xml:space="preserve"> </w:t>
            </w:r>
            <w:r w:rsidRPr="0002084E">
              <w:rPr>
                <w:rFonts w:eastAsia="Calibri" w:cs="Arial"/>
                <w:sz w:val="20"/>
                <w:szCs w:val="20"/>
                <w:bdr w:val="none" w:sz="0" w:space="0" w:color="auto" w:frame="1"/>
              </w:rPr>
              <w:t>deaths occur 4 to 7 days after consumption of bait. Baiting for at least 2 weeks will be</w:t>
            </w:r>
            <w:r>
              <w:rPr>
                <w:rFonts w:eastAsia="Calibri" w:cs="Arial"/>
                <w:sz w:val="20"/>
                <w:szCs w:val="20"/>
                <w:bdr w:val="none" w:sz="0" w:space="0" w:color="auto" w:frame="1"/>
              </w:rPr>
              <w:t xml:space="preserve"> </w:t>
            </w:r>
            <w:r w:rsidRPr="0002084E">
              <w:rPr>
                <w:rFonts w:eastAsia="Calibri" w:cs="Arial"/>
                <w:sz w:val="20"/>
                <w:szCs w:val="20"/>
                <w:bdr w:val="none" w:sz="0" w:space="0" w:color="auto" w:frame="1"/>
              </w:rPr>
              <w:t>necessary to reduce rat/mouse numbers.</w:t>
            </w:r>
          </w:p>
          <w:p w14:paraId="46187A82" w14:textId="77777777" w:rsidR="008E67EA" w:rsidRPr="00FD51DE" w:rsidRDefault="008E67EA" w:rsidP="00B44A74">
            <w:pPr>
              <w:spacing w:after="120" w:line="280" w:lineRule="exact"/>
              <w:rPr>
                <w:rFonts w:eastAsia="Calibri" w:cs="Arial"/>
                <w:sz w:val="20"/>
                <w:szCs w:val="20"/>
                <w:bdr w:val="none" w:sz="0" w:space="0" w:color="auto" w:frame="1"/>
              </w:rPr>
            </w:pPr>
            <w:r w:rsidRPr="0002084E">
              <w:rPr>
                <w:rFonts w:eastAsia="Calibri" w:cs="Arial"/>
                <w:sz w:val="20"/>
                <w:szCs w:val="20"/>
                <w:bdr w:val="none" w:sz="0" w:space="0" w:color="auto" w:frame="1"/>
              </w:rPr>
              <w:t xml:space="preserve">Ensure baits are removed when rodent activity has ceased. </w:t>
            </w:r>
            <w:r w:rsidRPr="004E0AA2">
              <w:rPr>
                <w:rFonts w:eastAsia="Calibri" w:cs="Arial"/>
                <w:sz w:val="20"/>
                <w:szCs w:val="20"/>
                <w:bdr w:val="none" w:sz="0" w:space="0" w:color="auto" w:frame="1"/>
              </w:rPr>
              <w:t>DO NOT use the product for longer than 35 days. If rodent activity is still observed after 35 days, seek advice from the product supplier or call a pest control service.</w:t>
            </w:r>
          </w:p>
        </w:tc>
      </w:tr>
    </w:tbl>
    <w:p w14:paraId="046DE598" w14:textId="664BCECD" w:rsidR="008E67EA" w:rsidRPr="00834983" w:rsidRDefault="008E67EA" w:rsidP="008E67EA">
      <w:pPr>
        <w:rPr>
          <w:rFonts w:eastAsia="Arial Unicode MS" w:hAnsi="Arial Unicode MS" w:cs="Arial Unicode MS"/>
          <w:szCs w:val="18"/>
          <w:highlight w:val="yellow"/>
          <w:u w:color="000000"/>
          <w:bdr w:val="nil"/>
          <w:lang w:val="en-GB" w:eastAsia="en-AU"/>
        </w:rPr>
      </w:pPr>
      <w:r w:rsidRPr="00E176C4">
        <w:rPr>
          <w:rFonts w:cs="Arial"/>
          <w:b/>
          <w:bCs/>
          <w:sz w:val="20"/>
          <w:szCs w:val="20"/>
        </w:rPr>
        <w:t>NOT TO BE USED FOR ANY PURPOSE, OR IN ANY MANNER, CONTRARY TO THIS LABEL UNLESS AUTHORISED.</w:t>
      </w:r>
      <w:r>
        <w:rPr>
          <w:color w:val="FF0000"/>
          <w:highlight w:val="yellow"/>
        </w:rPr>
        <w:br w:type="page"/>
      </w:r>
    </w:p>
    <w:p w14:paraId="070DA0E9" w14:textId="77777777" w:rsidR="008E67EA" w:rsidRPr="00DA343B" w:rsidRDefault="008E67EA" w:rsidP="008E67EA">
      <w:pPr>
        <w:pStyle w:val="Heading1"/>
        <w:rPr>
          <w:rFonts w:ascii="Franklin Gothic Medium" w:eastAsia="Arial Unicode MS" w:hAnsi="Franklin Gothic Medium"/>
          <w:color w:val="000000" w:themeColor="text1"/>
          <w:sz w:val="28"/>
          <w:szCs w:val="28"/>
          <w:bdr w:val="none" w:sz="0" w:space="0" w:color="auto" w:frame="1"/>
          <w:lang w:val="en-GB" w:eastAsia="en-AU"/>
        </w:rPr>
      </w:pPr>
      <w:r w:rsidRPr="00DA343B">
        <w:rPr>
          <w:rFonts w:ascii="Franklin Gothic Medium" w:eastAsia="Arial Unicode MS" w:hAnsi="Franklin Gothic Medium"/>
          <w:color w:val="000000" w:themeColor="text1"/>
          <w:sz w:val="28"/>
          <w:szCs w:val="28"/>
          <w:bdr w:val="none" w:sz="0" w:space="0" w:color="auto" w:frame="1"/>
          <w:lang w:val="en-GB" w:eastAsia="en-AU"/>
        </w:rPr>
        <w:lastRenderedPageBreak/>
        <w:t>Bromadiolone</w:t>
      </w:r>
    </w:p>
    <w:p w14:paraId="30E2AFF6" w14:textId="77777777" w:rsidR="008E67EA" w:rsidRDefault="008E67EA" w:rsidP="008E67EA">
      <w:pPr>
        <w:keepNext/>
        <w:keepLines/>
        <w:spacing w:before="400" w:after="240" w:line="280" w:lineRule="exact"/>
        <w:outlineLvl w:val="1"/>
        <w:rPr>
          <w:rFonts w:ascii="Franklin Gothic Medium" w:eastAsia="Arial Unicode MS" w:hAnsi="Franklin Gothic Medium"/>
          <w:bCs/>
          <w:iCs/>
          <w:bdr w:val="none" w:sz="0" w:space="0" w:color="auto" w:frame="1"/>
          <w:lang w:val="en-GB" w:eastAsia="en-AU"/>
        </w:rPr>
      </w:pPr>
      <w:r w:rsidRPr="00FF36BF">
        <w:rPr>
          <w:rFonts w:ascii="Franklin Gothic Medium" w:eastAsia="Arial Unicode MS" w:hAnsi="Franklin Gothic Medium"/>
          <w:bCs/>
          <w:iCs/>
          <w:bdr w:val="none" w:sz="0" w:space="0" w:color="auto" w:frame="1"/>
          <w:lang w:val="en-GB" w:eastAsia="en-AU"/>
        </w:rPr>
        <w:t>Commercial</w:t>
      </w:r>
      <w:r>
        <w:rPr>
          <w:rFonts w:ascii="Franklin Gothic Medium" w:eastAsia="Arial Unicode MS" w:hAnsi="Franklin Gothic Medium"/>
          <w:bCs/>
          <w:iCs/>
          <w:bdr w:val="none" w:sz="0" w:space="0" w:color="auto" w:frame="1"/>
          <w:lang w:val="en-GB" w:eastAsia="en-AU"/>
        </w:rPr>
        <w:t xml:space="preserve"> pest-control product:</w:t>
      </w:r>
      <w:r w:rsidRPr="00FF36BF">
        <w:rPr>
          <w:rFonts w:ascii="Franklin Gothic Medium" w:eastAsia="Arial Unicode MS" w:hAnsi="Franklin Gothic Medium"/>
          <w:bCs/>
          <w:iCs/>
          <w:bdr w:val="none" w:sz="0" w:space="0" w:color="auto" w:frame="1"/>
          <w:lang w:val="en-GB" w:eastAsia="en-AU"/>
        </w:rPr>
        <w:t xml:space="preserve"> </w:t>
      </w:r>
      <w:r w:rsidRPr="00DA343B">
        <w:rPr>
          <w:rFonts w:ascii="Franklin Gothic Medium" w:eastAsia="Arial Unicode MS" w:hAnsi="Franklin Gothic Medium"/>
          <w:bCs/>
          <w:iCs/>
          <w:bdr w:val="none" w:sz="0" w:space="0" w:color="auto" w:frame="1"/>
          <w:lang w:val="en-GB" w:eastAsia="en-AU"/>
        </w:rPr>
        <w:t>RB 0.05 g/kg or less in block formulation</w:t>
      </w:r>
    </w:p>
    <w:p w14:paraId="03853561" w14:textId="77777777" w:rsidR="008E67EA"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t xml:space="preserve">Template Label </w:t>
      </w:r>
      <w:r>
        <w:rPr>
          <w:rFonts w:cs="Arial"/>
          <w:b/>
          <w:bCs/>
          <w:sz w:val="20"/>
          <w:szCs w:val="20"/>
          <w:bdr w:val="none" w:sz="0" w:space="0" w:color="auto" w:frame="1"/>
          <w:lang w:val="en-GB" w:eastAsia="en-AU"/>
        </w:rPr>
        <w:t>8a</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B30D04" w14:paraId="1A90FE4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85D88E1" w14:textId="77777777" w:rsidR="008E67EA" w:rsidRPr="00B30D04" w:rsidRDefault="008E67EA" w:rsidP="00B44A74">
            <w:pPr>
              <w:spacing w:line="280" w:lineRule="exact"/>
              <w:rPr>
                <w:rFonts w:cs="Arial"/>
                <w:sz w:val="20"/>
                <w:szCs w:val="20"/>
              </w:rPr>
            </w:pPr>
            <w:r w:rsidRPr="00B30D04">
              <w:rPr>
                <w:rFonts w:cs="Arial"/>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2758F3E2" w14:textId="77777777" w:rsidR="008E67EA" w:rsidRPr="00B30D04" w:rsidRDefault="008E67EA" w:rsidP="00B44A74">
            <w:pPr>
              <w:spacing w:line="280" w:lineRule="exact"/>
              <w:rPr>
                <w:rFonts w:cs="Arial"/>
                <w:sz w:val="20"/>
                <w:szCs w:val="20"/>
              </w:rPr>
            </w:pPr>
            <w:r w:rsidRPr="00B30D04">
              <w:rPr>
                <w:rFonts w:cs="Arial"/>
                <w:sz w:val="20"/>
                <w:szCs w:val="20"/>
              </w:rPr>
              <w:t>[INSERT LABEL NAME]</w:t>
            </w:r>
            <w:r w:rsidRPr="00B30D04" w:rsidDel="00B32C4E">
              <w:rPr>
                <w:rFonts w:cs="Arial"/>
                <w:sz w:val="20"/>
                <w:szCs w:val="20"/>
              </w:rPr>
              <w:t xml:space="preserve"> </w:t>
            </w:r>
          </w:p>
        </w:tc>
      </w:tr>
      <w:tr w:rsidR="008E67EA" w:rsidRPr="00B30D04" w14:paraId="7122AC7B" w14:textId="77777777" w:rsidTr="00B44A74">
        <w:trPr>
          <w:jc w:val="center"/>
        </w:trPr>
        <w:tc>
          <w:tcPr>
            <w:tcW w:w="2415" w:type="dxa"/>
            <w:tcBorders>
              <w:top w:val="single" w:sz="4" w:space="0" w:color="auto"/>
              <w:left w:val="nil"/>
              <w:bottom w:val="single" w:sz="4" w:space="0" w:color="auto"/>
              <w:right w:val="nil"/>
            </w:tcBorders>
          </w:tcPr>
          <w:p w14:paraId="47775663" w14:textId="77777777" w:rsidR="008E67EA" w:rsidRPr="00B30D04"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839EC15" w14:textId="77777777" w:rsidR="008E67EA" w:rsidRPr="00B30D04" w:rsidRDefault="008E67EA" w:rsidP="00B44A74">
            <w:pPr>
              <w:spacing w:line="280" w:lineRule="exact"/>
              <w:rPr>
                <w:rFonts w:cs="Arial"/>
                <w:sz w:val="20"/>
                <w:szCs w:val="20"/>
              </w:rPr>
            </w:pPr>
          </w:p>
        </w:tc>
      </w:tr>
      <w:tr w:rsidR="008E67EA" w:rsidRPr="00B30D04" w14:paraId="3E9FBC2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A3FD621" w14:textId="77777777" w:rsidR="008E67EA" w:rsidRPr="00B30D04" w:rsidRDefault="008E67EA" w:rsidP="00B44A74">
            <w:pPr>
              <w:spacing w:line="280" w:lineRule="exact"/>
              <w:rPr>
                <w:rFonts w:cs="Arial"/>
                <w:sz w:val="20"/>
                <w:szCs w:val="20"/>
              </w:rPr>
            </w:pPr>
            <w:r w:rsidRPr="00B30D04">
              <w:rPr>
                <w:rFonts w:cs="Arial"/>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5E069C1C" w14:textId="77777777" w:rsidR="008E67EA" w:rsidRPr="00B30D04" w:rsidRDefault="008E67EA" w:rsidP="00B44A74">
            <w:pPr>
              <w:spacing w:line="280" w:lineRule="exact"/>
              <w:rPr>
                <w:rFonts w:cs="Arial"/>
                <w:sz w:val="20"/>
                <w:szCs w:val="20"/>
              </w:rPr>
            </w:pPr>
            <w:r w:rsidRPr="00B30D04">
              <w:rPr>
                <w:rFonts w:cs="Arial"/>
                <w:color w:val="000000"/>
                <w:sz w:val="20"/>
                <w:szCs w:val="20"/>
              </w:rPr>
              <w:t>POISON</w:t>
            </w:r>
            <w:r w:rsidRPr="00B30D04">
              <w:rPr>
                <w:rFonts w:cs="Arial"/>
                <w:color w:val="000000"/>
                <w:sz w:val="20"/>
                <w:szCs w:val="20"/>
              </w:rPr>
              <w:br/>
              <w:t>KEEP OUT OF REACH OF CHILDREN</w:t>
            </w:r>
            <w:r w:rsidRPr="00B30D04">
              <w:rPr>
                <w:rFonts w:cs="Arial"/>
                <w:color w:val="000000"/>
                <w:sz w:val="20"/>
                <w:szCs w:val="20"/>
              </w:rPr>
              <w:br/>
              <w:t>READ SAFETY DIRECTIONS BEFORE OPENING OR USING</w:t>
            </w:r>
          </w:p>
        </w:tc>
      </w:tr>
      <w:tr w:rsidR="008E67EA" w:rsidRPr="00B30D04" w14:paraId="5AEC66CF" w14:textId="77777777" w:rsidTr="00B44A74">
        <w:trPr>
          <w:jc w:val="center"/>
        </w:trPr>
        <w:tc>
          <w:tcPr>
            <w:tcW w:w="2415" w:type="dxa"/>
            <w:tcBorders>
              <w:top w:val="single" w:sz="4" w:space="0" w:color="auto"/>
              <w:left w:val="nil"/>
              <w:bottom w:val="single" w:sz="4" w:space="0" w:color="auto"/>
              <w:right w:val="nil"/>
            </w:tcBorders>
          </w:tcPr>
          <w:p w14:paraId="110135A7" w14:textId="77777777" w:rsidR="008E67EA" w:rsidRPr="00B30D04"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673FE36" w14:textId="77777777" w:rsidR="008E67EA" w:rsidRPr="00B30D04" w:rsidRDefault="008E67EA" w:rsidP="00B44A74">
            <w:pPr>
              <w:spacing w:line="280" w:lineRule="exact"/>
              <w:rPr>
                <w:rFonts w:cs="Arial"/>
                <w:sz w:val="20"/>
                <w:szCs w:val="20"/>
              </w:rPr>
            </w:pPr>
          </w:p>
        </w:tc>
      </w:tr>
      <w:tr w:rsidR="008E67EA" w:rsidRPr="00B30D04" w14:paraId="6C3922E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A310384" w14:textId="77777777" w:rsidR="008E67EA" w:rsidRPr="00B30D04" w:rsidRDefault="008E67EA" w:rsidP="00B44A74">
            <w:pPr>
              <w:spacing w:line="280" w:lineRule="exact"/>
              <w:rPr>
                <w:rFonts w:cs="Arial"/>
                <w:sz w:val="20"/>
                <w:szCs w:val="20"/>
              </w:rPr>
            </w:pPr>
            <w:r w:rsidRPr="00B30D04">
              <w:rPr>
                <w:rFonts w:cs="Arial"/>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0560C383" w14:textId="77777777" w:rsidR="008E67EA" w:rsidRPr="00B30D04" w:rsidRDefault="008E67EA" w:rsidP="00B44A74">
            <w:pPr>
              <w:spacing w:line="280" w:lineRule="exact"/>
              <w:rPr>
                <w:rFonts w:cs="Arial"/>
                <w:sz w:val="20"/>
                <w:szCs w:val="20"/>
              </w:rPr>
            </w:pPr>
            <w:r w:rsidRPr="00B30D04">
              <w:rPr>
                <w:rFonts w:cs="Arial"/>
                <w:color w:val="000000"/>
                <w:sz w:val="20"/>
                <w:szCs w:val="20"/>
              </w:rPr>
              <w:t>ACTIVE CONSTITUENT: 0.05 g/kg BROMADIOLONE</w:t>
            </w:r>
          </w:p>
        </w:tc>
      </w:tr>
      <w:tr w:rsidR="008E67EA" w:rsidRPr="00B30D04" w14:paraId="295D2732" w14:textId="77777777" w:rsidTr="00B44A74">
        <w:trPr>
          <w:jc w:val="center"/>
        </w:trPr>
        <w:tc>
          <w:tcPr>
            <w:tcW w:w="2415" w:type="dxa"/>
            <w:tcBorders>
              <w:top w:val="single" w:sz="4" w:space="0" w:color="auto"/>
              <w:left w:val="nil"/>
              <w:bottom w:val="single" w:sz="4" w:space="0" w:color="auto"/>
              <w:right w:val="nil"/>
            </w:tcBorders>
          </w:tcPr>
          <w:p w14:paraId="66FDA9A0" w14:textId="77777777" w:rsidR="008E67EA" w:rsidRPr="00B30D04"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C613C90" w14:textId="77777777" w:rsidR="008E67EA" w:rsidRPr="00B30D04" w:rsidRDefault="008E67EA" w:rsidP="00B44A74">
            <w:pPr>
              <w:spacing w:line="280" w:lineRule="exact"/>
              <w:rPr>
                <w:rFonts w:cs="Arial"/>
                <w:sz w:val="20"/>
                <w:szCs w:val="20"/>
              </w:rPr>
            </w:pPr>
          </w:p>
        </w:tc>
      </w:tr>
      <w:tr w:rsidR="008E67EA" w:rsidRPr="00B30D04" w14:paraId="7A27930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5B57C8E" w14:textId="77777777" w:rsidR="008E67EA" w:rsidRPr="00B30D04" w:rsidRDefault="008E67EA" w:rsidP="00B44A74">
            <w:pPr>
              <w:spacing w:line="280" w:lineRule="exact"/>
              <w:rPr>
                <w:rFonts w:cs="Arial"/>
                <w:sz w:val="20"/>
                <w:szCs w:val="20"/>
              </w:rPr>
            </w:pPr>
            <w:r w:rsidRPr="00B30D04">
              <w:rPr>
                <w:rFonts w:cs="Arial"/>
                <w:sz w:val="20"/>
                <w:szCs w:val="20"/>
              </w:rPr>
              <w:t>Mode of Action:</w:t>
            </w:r>
          </w:p>
        </w:tc>
        <w:tc>
          <w:tcPr>
            <w:tcW w:w="7755" w:type="dxa"/>
            <w:tcBorders>
              <w:top w:val="single" w:sz="4" w:space="0" w:color="auto"/>
              <w:left w:val="single" w:sz="4" w:space="0" w:color="auto"/>
              <w:bottom w:val="single" w:sz="4" w:space="0" w:color="auto"/>
              <w:right w:val="single" w:sz="4" w:space="0" w:color="auto"/>
            </w:tcBorders>
          </w:tcPr>
          <w:p w14:paraId="4E785A28" w14:textId="77777777" w:rsidR="008E67EA" w:rsidRPr="00B30D04" w:rsidRDefault="008E67EA" w:rsidP="00B44A74">
            <w:pPr>
              <w:spacing w:line="280" w:lineRule="exact"/>
              <w:jc w:val="both"/>
              <w:rPr>
                <w:rFonts w:cs="Arial"/>
                <w:sz w:val="20"/>
                <w:szCs w:val="20"/>
              </w:rPr>
            </w:pPr>
          </w:p>
        </w:tc>
      </w:tr>
      <w:tr w:rsidR="008E67EA" w:rsidRPr="00B30D04" w14:paraId="1BF43EB8" w14:textId="77777777" w:rsidTr="00B44A74">
        <w:trPr>
          <w:jc w:val="center"/>
        </w:trPr>
        <w:tc>
          <w:tcPr>
            <w:tcW w:w="2415" w:type="dxa"/>
            <w:tcBorders>
              <w:top w:val="single" w:sz="4" w:space="0" w:color="auto"/>
              <w:left w:val="nil"/>
              <w:bottom w:val="single" w:sz="4" w:space="0" w:color="auto"/>
              <w:right w:val="nil"/>
            </w:tcBorders>
          </w:tcPr>
          <w:p w14:paraId="5B41A12E" w14:textId="77777777" w:rsidR="008E67EA" w:rsidRPr="00B30D04"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FD14FED" w14:textId="77777777" w:rsidR="008E67EA" w:rsidRPr="00B30D04" w:rsidRDefault="008E67EA" w:rsidP="00B44A74">
            <w:pPr>
              <w:spacing w:line="280" w:lineRule="exact"/>
              <w:rPr>
                <w:rFonts w:cs="Arial"/>
                <w:sz w:val="20"/>
                <w:szCs w:val="20"/>
              </w:rPr>
            </w:pPr>
          </w:p>
        </w:tc>
      </w:tr>
      <w:tr w:rsidR="008E67EA" w:rsidRPr="00B30D04" w14:paraId="00AD4FF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416E9FF" w14:textId="77777777" w:rsidR="008E67EA" w:rsidRPr="00B30D04" w:rsidRDefault="008E67EA" w:rsidP="00B44A74">
            <w:pPr>
              <w:spacing w:line="280" w:lineRule="exact"/>
              <w:rPr>
                <w:rFonts w:cs="Arial"/>
                <w:sz w:val="20"/>
                <w:szCs w:val="20"/>
              </w:rPr>
            </w:pPr>
            <w:r w:rsidRPr="00B30D04">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7E1B843F" w14:textId="77777777" w:rsidR="008E67EA" w:rsidRPr="00B30D04" w:rsidRDefault="008E67EA" w:rsidP="00B44A74">
            <w:pPr>
              <w:spacing w:line="280" w:lineRule="exact"/>
              <w:rPr>
                <w:rFonts w:cs="Arial"/>
                <w:color w:val="000000"/>
                <w:sz w:val="20"/>
                <w:szCs w:val="20"/>
              </w:rPr>
            </w:pPr>
            <w:r w:rsidRPr="00B30D04">
              <w:rPr>
                <w:rFonts w:cs="Arial"/>
                <w:color w:val="000000"/>
                <w:sz w:val="20"/>
                <w:szCs w:val="20"/>
              </w:rPr>
              <w:t xml:space="preserve">For control of mice in </w:t>
            </w:r>
            <w:r>
              <w:rPr>
                <w:rFonts w:cs="Arial"/>
                <w:color w:val="000000"/>
                <w:sz w:val="20"/>
                <w:szCs w:val="20"/>
              </w:rPr>
              <w:t>d</w:t>
            </w:r>
            <w:r w:rsidRPr="006F19C2">
              <w:rPr>
                <w:rFonts w:cs="Arial"/>
                <w:color w:val="000000"/>
                <w:sz w:val="20"/>
                <w:szCs w:val="20"/>
              </w:rPr>
              <w:t>omestic, commercial, public services</w:t>
            </w:r>
            <w:r>
              <w:rPr>
                <w:rFonts w:cs="Arial"/>
                <w:color w:val="000000"/>
                <w:sz w:val="20"/>
                <w:szCs w:val="20"/>
              </w:rPr>
              <w:t>,</w:t>
            </w:r>
            <w:r w:rsidRPr="006F19C2">
              <w:rPr>
                <w:rFonts w:cs="Arial"/>
                <w:color w:val="000000"/>
                <w:sz w:val="20"/>
                <w:szCs w:val="20"/>
              </w:rPr>
              <w:t xml:space="preserve"> industria</w:t>
            </w:r>
            <w:r>
              <w:rPr>
                <w:rFonts w:cs="Arial"/>
                <w:color w:val="000000"/>
                <w:sz w:val="20"/>
                <w:szCs w:val="20"/>
              </w:rPr>
              <w:t>l</w:t>
            </w:r>
            <w:r w:rsidRPr="006F19C2">
              <w:rPr>
                <w:rFonts w:cs="Arial"/>
                <w:color w:val="000000"/>
                <w:sz w:val="20"/>
                <w:szCs w:val="20"/>
              </w:rPr>
              <w:t xml:space="preserve"> and</w:t>
            </w:r>
            <w:r>
              <w:rPr>
                <w:rFonts w:cs="Arial"/>
                <w:color w:val="000000"/>
                <w:sz w:val="20"/>
                <w:szCs w:val="20"/>
              </w:rPr>
              <w:t xml:space="preserve"> agricultural</w:t>
            </w:r>
            <w:r w:rsidRPr="00B30D04">
              <w:rPr>
                <w:rFonts w:cs="Arial"/>
                <w:color w:val="000000"/>
                <w:sz w:val="20"/>
                <w:szCs w:val="20"/>
              </w:rPr>
              <w:t xml:space="preserve"> buildings and rats in and around </w:t>
            </w:r>
            <w:r>
              <w:rPr>
                <w:rFonts w:cs="Arial"/>
                <w:color w:val="000000"/>
                <w:sz w:val="20"/>
                <w:szCs w:val="20"/>
              </w:rPr>
              <w:t>d</w:t>
            </w:r>
            <w:r w:rsidRPr="006F19C2">
              <w:rPr>
                <w:rFonts w:cs="Arial"/>
                <w:color w:val="000000"/>
                <w:sz w:val="20"/>
                <w:szCs w:val="20"/>
              </w:rPr>
              <w:t>omestic, commercial, public services</w:t>
            </w:r>
            <w:r>
              <w:rPr>
                <w:rFonts w:cs="Arial"/>
                <w:color w:val="000000"/>
                <w:sz w:val="20"/>
                <w:szCs w:val="20"/>
              </w:rPr>
              <w:t>,</w:t>
            </w:r>
            <w:r w:rsidRPr="006F19C2">
              <w:rPr>
                <w:rFonts w:cs="Arial"/>
                <w:color w:val="000000"/>
                <w:sz w:val="20"/>
                <w:szCs w:val="20"/>
              </w:rPr>
              <w:t xml:space="preserve"> industria</w:t>
            </w:r>
            <w:r>
              <w:rPr>
                <w:rFonts w:cs="Arial"/>
                <w:color w:val="000000"/>
                <w:sz w:val="20"/>
                <w:szCs w:val="20"/>
              </w:rPr>
              <w:t>l</w:t>
            </w:r>
            <w:r w:rsidRPr="006F19C2">
              <w:rPr>
                <w:rFonts w:cs="Arial"/>
                <w:color w:val="000000"/>
                <w:sz w:val="20"/>
                <w:szCs w:val="20"/>
              </w:rPr>
              <w:t xml:space="preserve"> and</w:t>
            </w:r>
            <w:r>
              <w:rPr>
                <w:rFonts w:cs="Arial"/>
                <w:color w:val="000000"/>
                <w:sz w:val="20"/>
                <w:szCs w:val="20"/>
              </w:rPr>
              <w:t xml:space="preserve"> agricultural</w:t>
            </w:r>
            <w:r w:rsidRPr="00B30D04">
              <w:rPr>
                <w:rFonts w:cs="Arial"/>
                <w:color w:val="000000"/>
                <w:sz w:val="20"/>
                <w:szCs w:val="20"/>
              </w:rPr>
              <w:t xml:space="preserve"> buildings. </w:t>
            </w:r>
          </w:p>
        </w:tc>
      </w:tr>
      <w:tr w:rsidR="008E67EA" w:rsidRPr="00B30D04" w14:paraId="02B54944" w14:textId="77777777" w:rsidTr="00B44A74">
        <w:trPr>
          <w:jc w:val="center"/>
        </w:trPr>
        <w:tc>
          <w:tcPr>
            <w:tcW w:w="2415" w:type="dxa"/>
            <w:tcBorders>
              <w:top w:val="single" w:sz="4" w:space="0" w:color="auto"/>
              <w:left w:val="nil"/>
              <w:bottom w:val="single" w:sz="4" w:space="0" w:color="auto"/>
              <w:right w:val="nil"/>
            </w:tcBorders>
          </w:tcPr>
          <w:p w14:paraId="13E15993" w14:textId="77777777" w:rsidR="008E67EA" w:rsidRPr="00B30D04"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73621A3" w14:textId="77777777" w:rsidR="008E67EA" w:rsidRPr="00B30D04" w:rsidRDefault="008E67EA" w:rsidP="00B44A74">
            <w:pPr>
              <w:spacing w:line="280" w:lineRule="exact"/>
              <w:rPr>
                <w:rFonts w:cs="Arial"/>
                <w:sz w:val="20"/>
                <w:szCs w:val="20"/>
              </w:rPr>
            </w:pPr>
          </w:p>
        </w:tc>
      </w:tr>
      <w:tr w:rsidR="008E67EA" w:rsidRPr="00B30D04" w14:paraId="1CC791E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FC865CE" w14:textId="77777777" w:rsidR="008E67EA" w:rsidRPr="00B30D04" w:rsidRDefault="008E67EA" w:rsidP="00B44A74">
            <w:pPr>
              <w:spacing w:line="280" w:lineRule="exact"/>
              <w:rPr>
                <w:rFonts w:cs="Arial"/>
                <w:sz w:val="20"/>
                <w:szCs w:val="20"/>
              </w:rPr>
            </w:pPr>
            <w:r w:rsidRPr="00B30D04">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45F68134" w14:textId="77777777" w:rsidR="008E67EA" w:rsidRPr="00B30D04" w:rsidRDefault="008E67EA" w:rsidP="00B44A74">
            <w:pPr>
              <w:spacing w:line="280" w:lineRule="exact"/>
              <w:rPr>
                <w:rFonts w:cs="Arial"/>
                <w:sz w:val="20"/>
                <w:szCs w:val="20"/>
              </w:rPr>
            </w:pPr>
            <w:r w:rsidRPr="00B30D04">
              <w:rPr>
                <w:rFonts w:cs="Arial"/>
                <w:sz w:val="20"/>
                <w:szCs w:val="20"/>
              </w:rPr>
              <w:t>[INSERT NET CONTENTS]</w:t>
            </w:r>
          </w:p>
        </w:tc>
      </w:tr>
      <w:tr w:rsidR="008E67EA" w:rsidRPr="00B30D04" w14:paraId="3CF1880D" w14:textId="77777777" w:rsidTr="00B44A74">
        <w:trPr>
          <w:jc w:val="center"/>
        </w:trPr>
        <w:tc>
          <w:tcPr>
            <w:tcW w:w="2415" w:type="dxa"/>
            <w:tcBorders>
              <w:top w:val="single" w:sz="4" w:space="0" w:color="auto"/>
              <w:left w:val="nil"/>
              <w:bottom w:val="single" w:sz="4" w:space="0" w:color="auto"/>
              <w:right w:val="nil"/>
            </w:tcBorders>
          </w:tcPr>
          <w:p w14:paraId="2F3598AC" w14:textId="77777777" w:rsidR="008E67EA" w:rsidRPr="00B30D04"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62ED015" w14:textId="77777777" w:rsidR="008E67EA" w:rsidRPr="00B30D04" w:rsidRDefault="008E67EA" w:rsidP="00B44A74">
            <w:pPr>
              <w:spacing w:line="280" w:lineRule="exact"/>
              <w:rPr>
                <w:rFonts w:cs="Arial"/>
                <w:sz w:val="20"/>
                <w:szCs w:val="20"/>
              </w:rPr>
            </w:pPr>
          </w:p>
        </w:tc>
      </w:tr>
      <w:tr w:rsidR="008E67EA" w:rsidRPr="00B30D04" w14:paraId="585FC4D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8FD2D12" w14:textId="77777777" w:rsidR="008E67EA" w:rsidRPr="00B30D04" w:rsidRDefault="008E67EA" w:rsidP="00B44A74">
            <w:pPr>
              <w:spacing w:line="280" w:lineRule="exact"/>
              <w:rPr>
                <w:rFonts w:cs="Arial"/>
                <w:sz w:val="20"/>
                <w:szCs w:val="20"/>
              </w:rPr>
            </w:pPr>
            <w:r w:rsidRPr="00B30D04">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43B6D6EB" w14:textId="77777777" w:rsidR="008E67EA" w:rsidRPr="00B30D04" w:rsidRDefault="008E67EA" w:rsidP="00B44A74">
            <w:pPr>
              <w:spacing w:line="280" w:lineRule="exact"/>
              <w:rPr>
                <w:rFonts w:cs="Arial"/>
                <w:sz w:val="20"/>
                <w:szCs w:val="20"/>
              </w:rPr>
            </w:pPr>
            <w:r w:rsidRPr="00B30D04">
              <w:rPr>
                <w:rFonts w:cs="Arial"/>
                <w:color w:val="000000"/>
                <w:sz w:val="20"/>
                <w:szCs w:val="20"/>
              </w:rPr>
              <w:t>RESTRAINTS</w:t>
            </w:r>
            <w:r w:rsidRPr="00B30D04">
              <w:rPr>
                <w:rFonts w:cs="Arial"/>
                <w:color w:val="000000"/>
                <w:sz w:val="20"/>
                <w:szCs w:val="20"/>
              </w:rPr>
              <w:br/>
              <w:t>DO NOT use this product unless you have a current qualification in the nationally recognised training course for rodent pest management CPPUPM3006 - Manage pests by applying pesticides, or an equivalent unit of competency.</w:t>
            </w:r>
            <w:r w:rsidRPr="00B30D04">
              <w:rPr>
                <w:rFonts w:cs="Arial"/>
                <w:color w:val="000000"/>
                <w:sz w:val="20"/>
                <w:szCs w:val="20"/>
              </w:rPr>
              <w:br/>
              <w:t>DO NOT place baits in areas that are accessible to children. In child-accessible areas baits must be placed in tamper-</w:t>
            </w:r>
            <w:r>
              <w:rPr>
                <w:rFonts w:cs="Arial"/>
                <w:color w:val="000000"/>
                <w:sz w:val="20"/>
                <w:szCs w:val="20"/>
              </w:rPr>
              <w:t>resistant</w:t>
            </w:r>
            <w:r w:rsidRPr="00B30D04">
              <w:rPr>
                <w:rFonts w:cs="Arial"/>
                <w:color w:val="000000"/>
                <w:sz w:val="20"/>
                <w:szCs w:val="20"/>
              </w:rPr>
              <w:t xml:space="preserve"> bait stations. If bait can be dislodged from bait station, bait station must be secured in place. </w:t>
            </w:r>
            <w:r w:rsidRPr="00B30D04">
              <w:rPr>
                <w:rFonts w:cs="Arial"/>
                <w:color w:val="000000"/>
                <w:sz w:val="20"/>
                <w:szCs w:val="20"/>
              </w:rPr>
              <w:br/>
              <w:t>DO NOT place bait outdoors unless it is in a tamper-</w:t>
            </w:r>
            <w:r>
              <w:rPr>
                <w:rFonts w:cs="Arial"/>
                <w:color w:val="000000"/>
                <w:sz w:val="20"/>
                <w:szCs w:val="20"/>
              </w:rPr>
              <w:t>resistant</w:t>
            </w:r>
            <w:r w:rsidRPr="00B30D04">
              <w:rPr>
                <w:rFonts w:cs="Arial"/>
                <w:color w:val="000000"/>
                <w:sz w:val="20"/>
                <w:szCs w:val="20"/>
              </w:rPr>
              <w:t xml:space="preserve"> bait station which is secured in place.</w:t>
            </w:r>
            <w:r w:rsidRPr="00B30D04">
              <w:rPr>
                <w:rFonts w:cs="Arial"/>
                <w:color w:val="000000"/>
                <w:sz w:val="20"/>
                <w:szCs w:val="20"/>
              </w:rPr>
              <w:br/>
              <w:t>DO NOT place bait stations more than 2 meters from buildings.</w:t>
            </w:r>
            <w:r w:rsidRPr="00B30D04">
              <w:rPr>
                <w:rFonts w:cs="Arial"/>
                <w:color w:val="000000"/>
                <w:sz w:val="20"/>
                <w:szCs w:val="20"/>
              </w:rPr>
              <w:br/>
              <w:t>DO NOT place bait stations outdoors around buildings for control of mice.</w:t>
            </w:r>
            <w:r w:rsidRPr="00B30D04">
              <w:rPr>
                <w:rFonts w:cs="Arial"/>
                <w:color w:val="000000"/>
                <w:sz w:val="20"/>
                <w:szCs w:val="20"/>
              </w:rPr>
              <w:br/>
              <w:t>DO NOT bait in areas where wildlife may be collected for human consumption.</w:t>
            </w:r>
            <w:r w:rsidRPr="00B30D04">
              <w:rPr>
                <w:rFonts w:cs="Arial"/>
                <w:color w:val="000000"/>
                <w:sz w:val="20"/>
                <w:szCs w:val="20"/>
              </w:rPr>
              <w:br/>
              <w:t>DO NOT place in animal or livestock housing unless used in tamper-</w:t>
            </w:r>
            <w:r>
              <w:rPr>
                <w:rFonts w:cs="Arial"/>
                <w:color w:val="000000"/>
                <w:sz w:val="20"/>
                <w:szCs w:val="20"/>
              </w:rPr>
              <w:t>resistant</w:t>
            </w:r>
            <w:r w:rsidRPr="00B30D04">
              <w:rPr>
                <w:rFonts w:cs="Arial"/>
                <w:color w:val="000000"/>
                <w:sz w:val="20"/>
                <w:szCs w:val="20"/>
              </w:rPr>
              <w:t xml:space="preserve"> and weather</w:t>
            </w:r>
            <w:r>
              <w:rPr>
                <w:rFonts w:cs="Arial"/>
                <w:color w:val="000000"/>
                <w:sz w:val="20"/>
                <w:szCs w:val="20"/>
              </w:rPr>
              <w:t>-</w:t>
            </w:r>
            <w:r w:rsidRPr="00B30D04">
              <w:rPr>
                <w:rFonts w:cs="Arial"/>
                <w:color w:val="000000"/>
                <w:sz w:val="20"/>
                <w:szCs w:val="20"/>
              </w:rPr>
              <w:t>resistant bait stations fixed to the ground or other structures.</w:t>
            </w:r>
            <w:r w:rsidRPr="00B30D04">
              <w:rPr>
                <w:rFonts w:cs="Arial"/>
                <w:color w:val="000000"/>
                <w:sz w:val="20"/>
                <w:szCs w:val="20"/>
              </w:rPr>
              <w:br/>
              <w:t>DO NOT place bait or bait stations above areas which would allow them to contaminate pig and poultry food or drinking water.</w:t>
            </w:r>
            <w:r w:rsidRPr="00B30D04">
              <w:rPr>
                <w:rFonts w:cs="Arial"/>
                <w:color w:val="000000"/>
                <w:sz w:val="20"/>
                <w:szCs w:val="20"/>
              </w:rPr>
              <w:br/>
              <w:t>DO NOT apply this product directly into burrows.</w:t>
            </w:r>
          </w:p>
        </w:tc>
      </w:tr>
      <w:tr w:rsidR="008E67EA" w:rsidRPr="00B30D04" w14:paraId="744D3BBF" w14:textId="77777777" w:rsidTr="00B44A74">
        <w:trPr>
          <w:jc w:val="center"/>
        </w:trPr>
        <w:tc>
          <w:tcPr>
            <w:tcW w:w="2415" w:type="dxa"/>
            <w:tcBorders>
              <w:top w:val="single" w:sz="4" w:space="0" w:color="auto"/>
              <w:left w:val="nil"/>
              <w:bottom w:val="single" w:sz="4" w:space="0" w:color="auto"/>
              <w:right w:val="nil"/>
            </w:tcBorders>
          </w:tcPr>
          <w:p w14:paraId="6D106E22" w14:textId="77777777" w:rsidR="008E67EA" w:rsidRPr="00B30D04"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A5E075D" w14:textId="77777777" w:rsidR="008E67EA" w:rsidRPr="00B30D04" w:rsidRDefault="008E67EA" w:rsidP="00B44A74">
            <w:pPr>
              <w:spacing w:line="280" w:lineRule="exact"/>
              <w:rPr>
                <w:rFonts w:cs="Arial"/>
                <w:sz w:val="20"/>
                <w:szCs w:val="20"/>
              </w:rPr>
            </w:pPr>
          </w:p>
        </w:tc>
      </w:tr>
      <w:tr w:rsidR="008E67EA" w:rsidRPr="00B30D04" w14:paraId="7EBA9F2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1F9FABB" w14:textId="77777777" w:rsidR="008E67EA" w:rsidRPr="00B30D04" w:rsidRDefault="008E67EA" w:rsidP="00B44A74">
            <w:pPr>
              <w:spacing w:line="280" w:lineRule="exact"/>
              <w:rPr>
                <w:rFonts w:cs="Arial"/>
                <w:sz w:val="20"/>
                <w:szCs w:val="20"/>
              </w:rPr>
            </w:pPr>
            <w:r w:rsidRPr="00B30D04">
              <w:rPr>
                <w:rFonts w:cs="Arial"/>
                <w:sz w:val="20"/>
                <w:szCs w:val="20"/>
              </w:rPr>
              <w:t>Directions for Use:</w:t>
            </w:r>
          </w:p>
        </w:tc>
        <w:tc>
          <w:tcPr>
            <w:tcW w:w="7755" w:type="dxa"/>
            <w:tcBorders>
              <w:top w:val="single" w:sz="4" w:space="0" w:color="auto"/>
              <w:left w:val="single" w:sz="4" w:space="0" w:color="auto"/>
              <w:bottom w:val="single" w:sz="4" w:space="0" w:color="auto"/>
              <w:right w:val="single" w:sz="4" w:space="0" w:color="auto"/>
            </w:tcBorders>
          </w:tcPr>
          <w:p w14:paraId="7E14CAF2" w14:textId="77777777" w:rsidR="008E67EA" w:rsidRPr="00B30D04" w:rsidRDefault="008E67EA" w:rsidP="00B44A74">
            <w:pPr>
              <w:spacing w:line="280" w:lineRule="exact"/>
              <w:rPr>
                <w:rFonts w:cs="Arial"/>
                <w:b/>
                <w:bCs/>
                <w:i/>
                <w:iCs/>
                <w:sz w:val="20"/>
                <w:szCs w:val="20"/>
              </w:rPr>
            </w:pPr>
            <w:r w:rsidRPr="00713087">
              <w:rPr>
                <w:rFonts w:cs="Arial"/>
                <w:sz w:val="20"/>
                <w:szCs w:val="20"/>
              </w:rPr>
              <w:t>[This section contains an attachment below]</w:t>
            </w:r>
          </w:p>
        </w:tc>
      </w:tr>
      <w:tr w:rsidR="008E67EA" w:rsidRPr="00B30D04" w14:paraId="1E2A7AFC" w14:textId="77777777" w:rsidTr="00B44A74">
        <w:trPr>
          <w:jc w:val="center"/>
        </w:trPr>
        <w:tc>
          <w:tcPr>
            <w:tcW w:w="2415" w:type="dxa"/>
            <w:tcBorders>
              <w:top w:val="single" w:sz="4" w:space="0" w:color="auto"/>
              <w:left w:val="nil"/>
              <w:bottom w:val="single" w:sz="4" w:space="0" w:color="auto"/>
              <w:right w:val="nil"/>
            </w:tcBorders>
          </w:tcPr>
          <w:p w14:paraId="58784ABF" w14:textId="77777777" w:rsidR="008E67EA" w:rsidRPr="00B30D04"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9D8686A" w14:textId="77777777" w:rsidR="008E67EA" w:rsidRPr="00B30D04" w:rsidRDefault="008E67EA" w:rsidP="00B44A74">
            <w:pPr>
              <w:spacing w:line="280" w:lineRule="exact"/>
              <w:rPr>
                <w:rFonts w:cs="Arial"/>
                <w:sz w:val="20"/>
                <w:szCs w:val="20"/>
              </w:rPr>
            </w:pPr>
          </w:p>
        </w:tc>
      </w:tr>
      <w:tr w:rsidR="008E67EA" w:rsidRPr="00B30D04" w14:paraId="497F2FF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EBCCC2B" w14:textId="77777777" w:rsidR="008E67EA" w:rsidRPr="00B30D04" w:rsidRDefault="008E67EA" w:rsidP="00B44A74">
            <w:pPr>
              <w:spacing w:line="280" w:lineRule="exact"/>
              <w:rPr>
                <w:rFonts w:cs="Arial"/>
                <w:sz w:val="20"/>
                <w:szCs w:val="20"/>
              </w:rPr>
            </w:pPr>
            <w:r w:rsidRPr="00B30D04">
              <w:rPr>
                <w:rFonts w:cs="Arial"/>
                <w:sz w:val="20"/>
                <w:szCs w:val="20"/>
              </w:rPr>
              <w:t>Other Limitations:</w:t>
            </w:r>
          </w:p>
        </w:tc>
        <w:tc>
          <w:tcPr>
            <w:tcW w:w="7755" w:type="dxa"/>
            <w:tcBorders>
              <w:top w:val="single" w:sz="4" w:space="0" w:color="auto"/>
              <w:left w:val="single" w:sz="4" w:space="0" w:color="auto"/>
              <w:bottom w:val="single" w:sz="4" w:space="0" w:color="auto"/>
              <w:right w:val="single" w:sz="4" w:space="0" w:color="auto"/>
            </w:tcBorders>
          </w:tcPr>
          <w:p w14:paraId="0BF1776C" w14:textId="77777777" w:rsidR="008E67EA" w:rsidRPr="00B30D04" w:rsidRDefault="008E67EA" w:rsidP="00B44A74">
            <w:pPr>
              <w:spacing w:line="280" w:lineRule="exact"/>
              <w:rPr>
                <w:rFonts w:cs="Arial"/>
                <w:sz w:val="20"/>
                <w:szCs w:val="20"/>
              </w:rPr>
            </w:pPr>
          </w:p>
        </w:tc>
      </w:tr>
      <w:tr w:rsidR="008E67EA" w:rsidRPr="00B30D04" w14:paraId="3E9D71A1" w14:textId="77777777" w:rsidTr="00B44A74">
        <w:trPr>
          <w:jc w:val="center"/>
        </w:trPr>
        <w:tc>
          <w:tcPr>
            <w:tcW w:w="2415" w:type="dxa"/>
            <w:tcBorders>
              <w:top w:val="single" w:sz="4" w:space="0" w:color="auto"/>
              <w:left w:val="nil"/>
              <w:bottom w:val="single" w:sz="4" w:space="0" w:color="auto"/>
              <w:right w:val="nil"/>
            </w:tcBorders>
          </w:tcPr>
          <w:p w14:paraId="2F61013C" w14:textId="77777777" w:rsidR="008E67EA" w:rsidRPr="00B30D04"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7792C18" w14:textId="77777777" w:rsidR="008E67EA" w:rsidRPr="00B30D04" w:rsidRDefault="008E67EA" w:rsidP="00B44A74">
            <w:pPr>
              <w:spacing w:line="280" w:lineRule="exact"/>
              <w:rPr>
                <w:rFonts w:cs="Arial"/>
                <w:sz w:val="20"/>
                <w:szCs w:val="20"/>
              </w:rPr>
            </w:pPr>
          </w:p>
        </w:tc>
      </w:tr>
      <w:tr w:rsidR="008E67EA" w:rsidRPr="00B30D04" w14:paraId="68B5F4B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91D1052" w14:textId="77777777" w:rsidR="008E67EA" w:rsidRPr="00B30D04" w:rsidRDefault="008E67EA" w:rsidP="00B44A74">
            <w:pPr>
              <w:spacing w:line="280" w:lineRule="exact"/>
              <w:rPr>
                <w:rFonts w:cs="Arial"/>
                <w:sz w:val="20"/>
                <w:szCs w:val="20"/>
              </w:rPr>
            </w:pPr>
            <w:r w:rsidRPr="00B30D04">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2B07E3AC" w14:textId="77777777" w:rsidR="008E67EA" w:rsidRPr="00B30D04" w:rsidRDefault="008E67EA" w:rsidP="00B44A74">
            <w:pPr>
              <w:spacing w:line="280" w:lineRule="exact"/>
              <w:rPr>
                <w:rFonts w:cs="Arial"/>
                <w:sz w:val="20"/>
                <w:szCs w:val="20"/>
              </w:rPr>
            </w:pPr>
          </w:p>
        </w:tc>
      </w:tr>
      <w:tr w:rsidR="008E67EA" w:rsidRPr="00B30D04" w14:paraId="4DA4CA8B" w14:textId="77777777" w:rsidTr="00B44A74">
        <w:trPr>
          <w:jc w:val="center"/>
        </w:trPr>
        <w:tc>
          <w:tcPr>
            <w:tcW w:w="2415" w:type="dxa"/>
            <w:tcBorders>
              <w:top w:val="single" w:sz="4" w:space="0" w:color="auto"/>
              <w:left w:val="nil"/>
              <w:bottom w:val="single" w:sz="4" w:space="0" w:color="auto"/>
              <w:right w:val="nil"/>
            </w:tcBorders>
          </w:tcPr>
          <w:p w14:paraId="27799893" w14:textId="77777777" w:rsidR="008E67EA" w:rsidRPr="00B30D04"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EDF0A8D" w14:textId="77777777" w:rsidR="008E67EA" w:rsidRPr="00B30D04" w:rsidRDefault="008E67EA" w:rsidP="00B44A74">
            <w:pPr>
              <w:spacing w:line="280" w:lineRule="exact"/>
              <w:rPr>
                <w:rFonts w:cs="Arial"/>
                <w:sz w:val="20"/>
                <w:szCs w:val="20"/>
              </w:rPr>
            </w:pPr>
          </w:p>
        </w:tc>
      </w:tr>
      <w:tr w:rsidR="008E67EA" w:rsidRPr="00B30D04" w14:paraId="57C7CBC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5FB1222" w14:textId="77777777" w:rsidR="008E67EA" w:rsidRPr="00B30D04" w:rsidRDefault="008E67EA" w:rsidP="00B44A74">
            <w:pPr>
              <w:spacing w:line="280" w:lineRule="exact"/>
              <w:rPr>
                <w:rFonts w:cs="Arial"/>
                <w:sz w:val="20"/>
                <w:szCs w:val="20"/>
              </w:rPr>
            </w:pPr>
            <w:r w:rsidRPr="00B30D04">
              <w:rPr>
                <w:rFonts w:cs="Arial"/>
                <w:sz w:val="20"/>
                <w:szCs w:val="20"/>
              </w:rPr>
              <w:t>Trade Advice:</w:t>
            </w:r>
          </w:p>
        </w:tc>
        <w:tc>
          <w:tcPr>
            <w:tcW w:w="7755" w:type="dxa"/>
            <w:tcBorders>
              <w:top w:val="single" w:sz="4" w:space="0" w:color="auto"/>
              <w:left w:val="single" w:sz="4" w:space="0" w:color="auto"/>
              <w:bottom w:val="single" w:sz="4" w:space="0" w:color="auto"/>
              <w:right w:val="single" w:sz="4" w:space="0" w:color="auto"/>
            </w:tcBorders>
          </w:tcPr>
          <w:p w14:paraId="4BF381CF" w14:textId="77777777" w:rsidR="008E67EA" w:rsidRPr="00B30D04" w:rsidRDefault="008E67EA" w:rsidP="00B44A74">
            <w:pPr>
              <w:spacing w:line="280" w:lineRule="exact"/>
              <w:rPr>
                <w:rFonts w:cs="Arial"/>
                <w:sz w:val="20"/>
                <w:szCs w:val="20"/>
              </w:rPr>
            </w:pPr>
          </w:p>
        </w:tc>
      </w:tr>
      <w:tr w:rsidR="008E67EA" w:rsidRPr="00B30D04" w14:paraId="40D38260" w14:textId="77777777" w:rsidTr="00B44A74">
        <w:trPr>
          <w:jc w:val="center"/>
        </w:trPr>
        <w:tc>
          <w:tcPr>
            <w:tcW w:w="2415" w:type="dxa"/>
            <w:tcBorders>
              <w:top w:val="single" w:sz="4" w:space="0" w:color="auto"/>
              <w:left w:val="nil"/>
              <w:bottom w:val="single" w:sz="4" w:space="0" w:color="auto"/>
              <w:right w:val="nil"/>
            </w:tcBorders>
          </w:tcPr>
          <w:p w14:paraId="26E14226" w14:textId="77777777" w:rsidR="008E67EA" w:rsidRPr="00B30D04"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AB36FC4" w14:textId="77777777" w:rsidR="008E67EA" w:rsidRPr="00B30D04" w:rsidRDefault="008E67EA" w:rsidP="00B44A74">
            <w:pPr>
              <w:spacing w:line="280" w:lineRule="exact"/>
              <w:rPr>
                <w:rFonts w:cs="Arial"/>
                <w:sz w:val="20"/>
                <w:szCs w:val="20"/>
              </w:rPr>
            </w:pPr>
          </w:p>
        </w:tc>
      </w:tr>
      <w:tr w:rsidR="008E67EA" w:rsidRPr="00B30D04" w14:paraId="275425A9"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D3D845B" w14:textId="77777777" w:rsidR="008E67EA" w:rsidRPr="00B30D04" w:rsidRDefault="008E67EA" w:rsidP="00B44A74">
            <w:pPr>
              <w:spacing w:line="280" w:lineRule="exact"/>
              <w:rPr>
                <w:rFonts w:cs="Arial"/>
                <w:sz w:val="20"/>
                <w:szCs w:val="20"/>
              </w:rPr>
            </w:pPr>
            <w:r w:rsidRPr="00B30D04">
              <w:rPr>
                <w:rFonts w:cs="Arial"/>
                <w:sz w:val="20"/>
                <w:szCs w:val="20"/>
              </w:rPr>
              <w:t>General Directions:</w:t>
            </w:r>
          </w:p>
        </w:tc>
        <w:tc>
          <w:tcPr>
            <w:tcW w:w="7755" w:type="dxa"/>
            <w:tcBorders>
              <w:top w:val="single" w:sz="4" w:space="0" w:color="auto"/>
              <w:left w:val="single" w:sz="4" w:space="0" w:color="auto"/>
              <w:bottom w:val="single" w:sz="4" w:space="0" w:color="auto"/>
              <w:right w:val="single" w:sz="4" w:space="0" w:color="auto"/>
            </w:tcBorders>
          </w:tcPr>
          <w:p w14:paraId="0C0B449E" w14:textId="77777777" w:rsidR="008E67EA" w:rsidRPr="00B30D04" w:rsidRDefault="008E67EA" w:rsidP="00B44A74">
            <w:pPr>
              <w:spacing w:line="280" w:lineRule="exact"/>
              <w:rPr>
                <w:rFonts w:cs="Arial"/>
                <w:sz w:val="20"/>
                <w:szCs w:val="20"/>
              </w:rPr>
            </w:pPr>
          </w:p>
        </w:tc>
      </w:tr>
      <w:tr w:rsidR="008E67EA" w:rsidRPr="00B30D04" w14:paraId="6286D165" w14:textId="77777777" w:rsidTr="00B44A74">
        <w:trPr>
          <w:jc w:val="center"/>
        </w:trPr>
        <w:tc>
          <w:tcPr>
            <w:tcW w:w="2415" w:type="dxa"/>
            <w:tcBorders>
              <w:top w:val="single" w:sz="4" w:space="0" w:color="auto"/>
              <w:left w:val="nil"/>
              <w:bottom w:val="single" w:sz="4" w:space="0" w:color="auto"/>
              <w:right w:val="nil"/>
            </w:tcBorders>
          </w:tcPr>
          <w:p w14:paraId="62358A13" w14:textId="77777777" w:rsidR="008E67EA" w:rsidRPr="00B30D04"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AFEF842" w14:textId="77777777" w:rsidR="008E67EA" w:rsidRPr="00B30D04" w:rsidRDefault="008E67EA" w:rsidP="00B44A74">
            <w:pPr>
              <w:spacing w:line="280" w:lineRule="exact"/>
              <w:rPr>
                <w:rFonts w:cs="Arial"/>
                <w:sz w:val="20"/>
                <w:szCs w:val="20"/>
              </w:rPr>
            </w:pPr>
          </w:p>
        </w:tc>
      </w:tr>
      <w:tr w:rsidR="008E67EA" w:rsidRPr="00B30D04" w14:paraId="5E8734B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91BEC3A" w14:textId="77777777" w:rsidR="008E67EA" w:rsidRPr="00B30D04" w:rsidRDefault="008E67EA" w:rsidP="00B44A74">
            <w:pPr>
              <w:spacing w:line="280" w:lineRule="exact"/>
              <w:rPr>
                <w:rFonts w:cs="Arial"/>
                <w:sz w:val="20"/>
                <w:szCs w:val="20"/>
              </w:rPr>
            </w:pPr>
            <w:r w:rsidRPr="00B30D04">
              <w:rPr>
                <w:rFonts w:cs="Arial"/>
                <w:sz w:val="20"/>
                <w:szCs w:val="20"/>
              </w:rPr>
              <w:t>Resistance Warning:</w:t>
            </w:r>
          </w:p>
        </w:tc>
        <w:tc>
          <w:tcPr>
            <w:tcW w:w="7755" w:type="dxa"/>
            <w:tcBorders>
              <w:top w:val="single" w:sz="4" w:space="0" w:color="auto"/>
              <w:left w:val="single" w:sz="4" w:space="0" w:color="auto"/>
              <w:bottom w:val="single" w:sz="4" w:space="0" w:color="auto"/>
              <w:right w:val="single" w:sz="4" w:space="0" w:color="auto"/>
            </w:tcBorders>
          </w:tcPr>
          <w:p w14:paraId="6F42536B" w14:textId="77777777" w:rsidR="008E67EA" w:rsidRPr="00B30D04" w:rsidRDefault="008E67EA" w:rsidP="00B44A74">
            <w:pPr>
              <w:spacing w:line="280" w:lineRule="exact"/>
              <w:rPr>
                <w:rFonts w:cs="Arial"/>
                <w:sz w:val="20"/>
                <w:szCs w:val="20"/>
              </w:rPr>
            </w:pPr>
          </w:p>
        </w:tc>
      </w:tr>
      <w:tr w:rsidR="008E67EA" w:rsidRPr="00B30D04" w14:paraId="0ACADA70" w14:textId="77777777" w:rsidTr="00B44A74">
        <w:trPr>
          <w:jc w:val="center"/>
        </w:trPr>
        <w:tc>
          <w:tcPr>
            <w:tcW w:w="2415" w:type="dxa"/>
            <w:tcBorders>
              <w:top w:val="single" w:sz="4" w:space="0" w:color="auto"/>
              <w:left w:val="nil"/>
              <w:bottom w:val="single" w:sz="4" w:space="0" w:color="auto"/>
              <w:right w:val="nil"/>
            </w:tcBorders>
          </w:tcPr>
          <w:p w14:paraId="03FE52A3" w14:textId="77777777" w:rsidR="008E67EA" w:rsidRPr="00B30D04"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EB4D7E2" w14:textId="77777777" w:rsidR="008E67EA" w:rsidRPr="00B30D04" w:rsidRDefault="008E67EA" w:rsidP="00B44A74">
            <w:pPr>
              <w:spacing w:line="280" w:lineRule="exact"/>
              <w:rPr>
                <w:rFonts w:cs="Arial"/>
                <w:sz w:val="20"/>
                <w:szCs w:val="20"/>
              </w:rPr>
            </w:pPr>
          </w:p>
        </w:tc>
      </w:tr>
      <w:tr w:rsidR="008E67EA" w:rsidRPr="00B30D04" w14:paraId="7361F69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32AAC4B" w14:textId="77777777" w:rsidR="008E67EA" w:rsidRPr="00B30D04" w:rsidRDefault="008E67EA" w:rsidP="00B44A74">
            <w:pPr>
              <w:spacing w:line="280" w:lineRule="exact"/>
              <w:rPr>
                <w:rFonts w:cs="Arial"/>
                <w:sz w:val="20"/>
                <w:szCs w:val="20"/>
              </w:rPr>
            </w:pPr>
            <w:r w:rsidRPr="00B30D04">
              <w:rPr>
                <w:rFonts w:cs="Arial"/>
                <w:sz w:val="20"/>
                <w:szCs w:val="20"/>
              </w:rPr>
              <w:t>Precautions:</w:t>
            </w:r>
          </w:p>
        </w:tc>
        <w:tc>
          <w:tcPr>
            <w:tcW w:w="7755" w:type="dxa"/>
            <w:tcBorders>
              <w:top w:val="single" w:sz="4" w:space="0" w:color="auto"/>
              <w:left w:val="single" w:sz="4" w:space="0" w:color="auto"/>
              <w:bottom w:val="single" w:sz="4" w:space="0" w:color="auto"/>
              <w:right w:val="single" w:sz="4" w:space="0" w:color="auto"/>
            </w:tcBorders>
          </w:tcPr>
          <w:p w14:paraId="3720762A" w14:textId="77777777" w:rsidR="008E67EA" w:rsidRPr="00B30D04" w:rsidRDefault="008E67EA" w:rsidP="00B44A74">
            <w:pPr>
              <w:spacing w:line="280" w:lineRule="exact"/>
              <w:rPr>
                <w:rFonts w:cs="Arial"/>
                <w:b/>
                <w:bCs/>
                <w:i/>
                <w:iCs/>
                <w:sz w:val="20"/>
                <w:szCs w:val="20"/>
              </w:rPr>
            </w:pPr>
            <w:r w:rsidRPr="00B30D04">
              <w:rPr>
                <w:rFonts w:cs="Arial"/>
                <w:color w:val="000000"/>
                <w:sz w:val="20"/>
                <w:szCs w:val="20"/>
              </w:rPr>
              <w:t>PRECAUTIONS</w:t>
            </w:r>
            <w:r w:rsidRPr="00B30D04">
              <w:rPr>
                <w:rFonts w:cs="Arial"/>
                <w:color w:val="000000"/>
                <w:sz w:val="20"/>
                <w:szCs w:val="20"/>
              </w:rPr>
              <w:br/>
              <w:t>Caution should be used when baiting near areas where hunting of wildlife may occur. Careful consideration of bait placement is necessary to avoid secondary exposure from contaminated wildlife that may be consumed.</w:t>
            </w:r>
            <w:r w:rsidRPr="00B30D04">
              <w:rPr>
                <w:rFonts w:cs="Arial"/>
                <w:color w:val="000000"/>
                <w:sz w:val="20"/>
                <w:szCs w:val="20"/>
              </w:rPr>
              <w:br/>
              <w:t>DO NOT place bait in areas where there is a possibility of contaminating food, livestock feed or surfaces that come in direct contact with food or livestock feed.</w:t>
            </w:r>
          </w:p>
        </w:tc>
      </w:tr>
      <w:tr w:rsidR="008E67EA" w:rsidRPr="00B30D04" w14:paraId="3C586119" w14:textId="77777777" w:rsidTr="00B44A74">
        <w:trPr>
          <w:jc w:val="center"/>
        </w:trPr>
        <w:tc>
          <w:tcPr>
            <w:tcW w:w="2415" w:type="dxa"/>
            <w:tcBorders>
              <w:top w:val="single" w:sz="4" w:space="0" w:color="auto"/>
              <w:left w:val="nil"/>
              <w:bottom w:val="single" w:sz="4" w:space="0" w:color="auto"/>
              <w:right w:val="nil"/>
            </w:tcBorders>
          </w:tcPr>
          <w:p w14:paraId="103D9D5B" w14:textId="77777777" w:rsidR="008E67EA" w:rsidRPr="00B30D04"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6CA5CD7" w14:textId="77777777" w:rsidR="008E67EA" w:rsidRPr="00B30D04" w:rsidRDefault="008E67EA" w:rsidP="00B44A74">
            <w:pPr>
              <w:spacing w:line="280" w:lineRule="exact"/>
              <w:rPr>
                <w:rFonts w:cs="Arial"/>
                <w:sz w:val="20"/>
                <w:szCs w:val="20"/>
              </w:rPr>
            </w:pPr>
          </w:p>
        </w:tc>
      </w:tr>
      <w:tr w:rsidR="008E67EA" w:rsidRPr="00B30D04" w14:paraId="6E9B9A3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591D061" w14:textId="77777777" w:rsidR="008E67EA" w:rsidRPr="00B30D04" w:rsidRDefault="008E67EA" w:rsidP="00B44A74">
            <w:pPr>
              <w:spacing w:line="280" w:lineRule="exact"/>
              <w:rPr>
                <w:rFonts w:cs="Arial"/>
                <w:sz w:val="20"/>
                <w:szCs w:val="20"/>
              </w:rPr>
            </w:pPr>
            <w:r w:rsidRPr="00B30D04">
              <w:rPr>
                <w:rFonts w:cs="Arial"/>
                <w:sz w:val="20"/>
                <w:szCs w:val="20"/>
              </w:rPr>
              <w:t>Protection Statements:</w:t>
            </w:r>
          </w:p>
        </w:tc>
        <w:tc>
          <w:tcPr>
            <w:tcW w:w="7755" w:type="dxa"/>
            <w:tcBorders>
              <w:top w:val="single" w:sz="4" w:space="0" w:color="auto"/>
              <w:left w:val="single" w:sz="4" w:space="0" w:color="auto"/>
              <w:bottom w:val="single" w:sz="4" w:space="0" w:color="auto"/>
              <w:right w:val="single" w:sz="4" w:space="0" w:color="auto"/>
            </w:tcBorders>
          </w:tcPr>
          <w:p w14:paraId="65F3D9F9" w14:textId="77777777" w:rsidR="008E67EA" w:rsidRDefault="008E67EA" w:rsidP="00B44A74">
            <w:pPr>
              <w:spacing w:line="280" w:lineRule="exact"/>
              <w:rPr>
                <w:rFonts w:cs="Arial"/>
                <w:color w:val="000000"/>
                <w:sz w:val="20"/>
                <w:szCs w:val="20"/>
              </w:rPr>
            </w:pPr>
            <w:r w:rsidRPr="00B30D04">
              <w:rPr>
                <w:rFonts w:cs="Arial"/>
                <w:color w:val="000000"/>
                <w:sz w:val="20"/>
                <w:szCs w:val="20"/>
              </w:rPr>
              <w:t>PROTECTION OF LIVESTOCK AND WILDLIFE</w:t>
            </w:r>
            <w:r w:rsidRPr="00B30D04">
              <w:rPr>
                <w:rFonts w:cs="Arial"/>
                <w:color w:val="000000"/>
                <w:sz w:val="20"/>
                <w:szCs w:val="20"/>
              </w:rPr>
              <w:br/>
              <w:t>Hazardous to livestock, poultry and wildlife. DO NOT place baits in locations that are accessible to domestic animals, livestock, non-target native animals or birds.</w:t>
            </w:r>
            <w:r w:rsidRPr="00B30D04">
              <w:rPr>
                <w:rFonts w:cs="Arial"/>
                <w:color w:val="000000"/>
                <w:sz w:val="20"/>
                <w:szCs w:val="20"/>
              </w:rPr>
              <w:br/>
              <w:t xml:space="preserve">Search for and dispose of dead rodents and slugs/snails in the infested area at each visit to prevent secondary poisoning. In case slugs/snails are present, move bait station to another location within the rodent infested site, away from slugs/snails. Dispose of slugs/snails in a way non-target animals are not exposed. Dispose of dead rodents and uneaten bait in compliance with local, state or territory government regulations. </w:t>
            </w:r>
            <w:r w:rsidRPr="00B30D04">
              <w:rPr>
                <w:rFonts w:cs="Arial"/>
                <w:color w:val="000000"/>
                <w:sz w:val="20"/>
                <w:szCs w:val="20"/>
              </w:rPr>
              <w:br/>
              <w:t>DO NOT allow livestock or poultry to consume dead or moribund mice and rats. All dead or moribund animals and rodent faeces from baited rodents MUST be removed from areas accessible to livestock or poultry.</w:t>
            </w:r>
            <w:r w:rsidRPr="00B30D04">
              <w:rPr>
                <w:rFonts w:cs="Arial"/>
                <w:color w:val="000000"/>
                <w:sz w:val="20"/>
                <w:szCs w:val="20"/>
              </w:rPr>
              <w:br/>
              <w:t>The use of this product for the control of protected native rodents requires permission from wildlife authorities.</w:t>
            </w:r>
          </w:p>
          <w:p w14:paraId="56FE2343" w14:textId="77777777" w:rsidR="008E67EA" w:rsidRPr="00B30D04" w:rsidRDefault="008E67EA" w:rsidP="00B44A74">
            <w:pPr>
              <w:spacing w:line="280" w:lineRule="exact"/>
              <w:rPr>
                <w:rFonts w:cs="Arial"/>
                <w:color w:val="000000"/>
                <w:sz w:val="20"/>
                <w:szCs w:val="20"/>
              </w:rPr>
            </w:pPr>
            <w:r w:rsidRPr="00B30D04">
              <w:rPr>
                <w:rFonts w:cs="Arial"/>
                <w:color w:val="000000"/>
                <w:sz w:val="20"/>
                <w:szCs w:val="20"/>
              </w:rPr>
              <w:br/>
              <w:t>PROTECTION OF FISH, CRUSTACEANS AND ENVIRONMENT</w:t>
            </w:r>
            <w:r w:rsidRPr="00B30D04">
              <w:rPr>
                <w:rFonts w:cs="Arial"/>
                <w:color w:val="000000"/>
                <w:sz w:val="20"/>
                <w:szCs w:val="20"/>
              </w:rPr>
              <w:br/>
              <w:t>Toxic to aquatic life. DO NOT contaminate wetlands or watercourses with this product or used containers. Place the bait stations in areas not liable to flooding. When placing bait stations close to water drainage systems, ensure that bait contact with water is avoided.</w:t>
            </w:r>
          </w:p>
        </w:tc>
      </w:tr>
      <w:tr w:rsidR="008E67EA" w:rsidRPr="00B30D04" w14:paraId="748000BB" w14:textId="77777777" w:rsidTr="00B44A74">
        <w:trPr>
          <w:jc w:val="center"/>
        </w:trPr>
        <w:tc>
          <w:tcPr>
            <w:tcW w:w="2415" w:type="dxa"/>
            <w:tcBorders>
              <w:top w:val="single" w:sz="4" w:space="0" w:color="auto"/>
              <w:left w:val="nil"/>
              <w:bottom w:val="single" w:sz="4" w:space="0" w:color="auto"/>
              <w:right w:val="nil"/>
            </w:tcBorders>
          </w:tcPr>
          <w:p w14:paraId="6277A710" w14:textId="77777777" w:rsidR="008E67EA" w:rsidRPr="00B30D04"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350F97D" w14:textId="77777777" w:rsidR="008E67EA" w:rsidRPr="00B30D04" w:rsidRDefault="008E67EA" w:rsidP="00B44A74">
            <w:pPr>
              <w:spacing w:line="280" w:lineRule="exact"/>
              <w:rPr>
                <w:rFonts w:cs="Arial"/>
                <w:color w:val="000000"/>
                <w:sz w:val="20"/>
                <w:szCs w:val="20"/>
              </w:rPr>
            </w:pPr>
          </w:p>
        </w:tc>
      </w:tr>
      <w:tr w:rsidR="008E67EA" w:rsidRPr="00B30D04" w14:paraId="4D7ADED9"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DA8FB58" w14:textId="77777777" w:rsidR="008E67EA" w:rsidRPr="00B30D04" w:rsidRDefault="008E67EA" w:rsidP="00B44A74">
            <w:pPr>
              <w:spacing w:line="280" w:lineRule="exact"/>
              <w:rPr>
                <w:rFonts w:cs="Arial"/>
                <w:sz w:val="20"/>
                <w:szCs w:val="20"/>
              </w:rPr>
            </w:pPr>
            <w:r w:rsidRPr="00B30D04">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06BF5117" w14:textId="77777777" w:rsidR="008E67EA" w:rsidRPr="00B30D04" w:rsidRDefault="008E67EA" w:rsidP="00B44A74">
            <w:pPr>
              <w:spacing w:line="280" w:lineRule="exact"/>
              <w:rPr>
                <w:rFonts w:cs="Arial"/>
                <w:color w:val="000000"/>
                <w:sz w:val="20"/>
                <w:szCs w:val="20"/>
              </w:rPr>
            </w:pPr>
            <w:r w:rsidRPr="00B30D04">
              <w:rPr>
                <w:rFonts w:cs="Arial"/>
                <w:color w:val="000000"/>
                <w:sz w:val="20"/>
                <w:szCs w:val="20"/>
              </w:rPr>
              <w:t>STORAGE AND DISPOSAL</w:t>
            </w:r>
          </w:p>
          <w:p w14:paraId="7496850B" w14:textId="77777777" w:rsidR="008E67EA" w:rsidRPr="00B30D04" w:rsidRDefault="008E67EA" w:rsidP="00B44A74">
            <w:pPr>
              <w:spacing w:line="280" w:lineRule="exact"/>
              <w:rPr>
                <w:rFonts w:cs="Arial"/>
                <w:color w:val="000000"/>
                <w:sz w:val="20"/>
                <w:szCs w:val="20"/>
              </w:rPr>
            </w:pPr>
            <w:r w:rsidRPr="00B30D04">
              <w:rPr>
                <w:rFonts w:cs="Arial"/>
                <w:color w:val="000000"/>
                <w:sz w:val="20"/>
                <w:szCs w:val="20"/>
              </w:rPr>
              <w:t>Store in the closed, original container in a well-ventilated area, as cool as possible.</w:t>
            </w:r>
            <w:r w:rsidRPr="00B30D04">
              <w:rPr>
                <w:rFonts w:cs="Arial"/>
                <w:color w:val="000000"/>
                <w:sz w:val="20"/>
                <w:szCs w:val="20"/>
              </w:rPr>
              <w:br/>
              <w:t xml:space="preserve">DO NOT store for prolonged periods in direct sunlight. Triple rinse containers before disposal. Break, crush or puncture and deliver empty packaging to an approved waste management facility. If an approved waste management facility is not available, dispose of empty packaging in compliance with relevant local, state or territory government regulations. </w:t>
            </w:r>
            <w:r w:rsidRPr="005E538D">
              <w:rPr>
                <w:rFonts w:cs="Arial"/>
                <w:sz w:val="20"/>
                <w:szCs w:val="20"/>
                <w:bdr w:val="none" w:sz="0" w:space="0" w:color="auto" w:frame="1"/>
                <w:lang w:val="en-GB" w:eastAsia="en-AU"/>
              </w:rPr>
              <w:t xml:space="preserve">Dispose of unused product in compliance with relevant local, state or territory government regulations. </w:t>
            </w:r>
            <w:r w:rsidRPr="00B30D04">
              <w:rPr>
                <w:rFonts w:cs="Arial"/>
                <w:color w:val="000000"/>
                <w:sz w:val="20"/>
                <w:szCs w:val="20"/>
              </w:rPr>
              <w:t>DO NOT burn empty containers or product.</w:t>
            </w:r>
          </w:p>
        </w:tc>
      </w:tr>
      <w:tr w:rsidR="008E67EA" w:rsidRPr="00B30D04" w14:paraId="3A67E9A1" w14:textId="77777777" w:rsidTr="00B44A74">
        <w:trPr>
          <w:jc w:val="center"/>
        </w:trPr>
        <w:tc>
          <w:tcPr>
            <w:tcW w:w="2415" w:type="dxa"/>
            <w:tcBorders>
              <w:top w:val="single" w:sz="4" w:space="0" w:color="auto"/>
              <w:left w:val="nil"/>
              <w:bottom w:val="single" w:sz="4" w:space="0" w:color="auto"/>
              <w:right w:val="nil"/>
            </w:tcBorders>
          </w:tcPr>
          <w:p w14:paraId="7DC3FB60" w14:textId="77777777" w:rsidR="008E67EA" w:rsidRPr="00B30D04"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28F9C31" w14:textId="77777777" w:rsidR="008E67EA" w:rsidRPr="00B30D04" w:rsidRDefault="008E67EA" w:rsidP="00B44A74">
            <w:pPr>
              <w:spacing w:line="280" w:lineRule="exact"/>
              <w:rPr>
                <w:rFonts w:cs="Arial"/>
                <w:color w:val="000000"/>
                <w:sz w:val="20"/>
                <w:szCs w:val="20"/>
              </w:rPr>
            </w:pPr>
          </w:p>
        </w:tc>
      </w:tr>
      <w:tr w:rsidR="008E67EA" w:rsidRPr="00B30D04" w14:paraId="3FAA66D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F7A998F" w14:textId="77777777" w:rsidR="008E67EA" w:rsidRPr="00B30D04" w:rsidRDefault="008E67EA" w:rsidP="00B44A74">
            <w:pPr>
              <w:spacing w:line="280" w:lineRule="exact"/>
              <w:rPr>
                <w:rFonts w:cs="Arial"/>
                <w:sz w:val="20"/>
                <w:szCs w:val="20"/>
              </w:rPr>
            </w:pPr>
            <w:r w:rsidRPr="00B30D04">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5D61D525" w14:textId="77777777" w:rsidR="008E67EA" w:rsidRPr="00B30D04" w:rsidRDefault="008E67EA" w:rsidP="00B44A74">
            <w:pPr>
              <w:spacing w:line="280" w:lineRule="exact"/>
              <w:rPr>
                <w:rFonts w:cs="Arial"/>
                <w:color w:val="000000"/>
                <w:sz w:val="20"/>
                <w:szCs w:val="20"/>
              </w:rPr>
            </w:pPr>
            <w:r w:rsidRPr="00B30D04">
              <w:rPr>
                <w:rFonts w:cs="Arial"/>
                <w:color w:val="000000"/>
                <w:sz w:val="20"/>
                <w:szCs w:val="20"/>
              </w:rPr>
              <w:t>SAFETY DIRECTIONS</w:t>
            </w:r>
          </w:p>
          <w:p w14:paraId="0D3AD040" w14:textId="6E897BD5" w:rsidR="008E67EA" w:rsidRPr="00B30D04" w:rsidRDefault="008E67EA" w:rsidP="00B44A74">
            <w:pPr>
              <w:spacing w:line="280" w:lineRule="exact"/>
              <w:rPr>
                <w:rFonts w:cs="Arial"/>
                <w:color w:val="000000"/>
                <w:sz w:val="20"/>
                <w:szCs w:val="20"/>
              </w:rPr>
            </w:pPr>
            <w:r w:rsidRPr="00B30D04">
              <w:rPr>
                <w:rFonts w:cs="Arial"/>
                <w:color w:val="000000"/>
                <w:sz w:val="20"/>
                <w:szCs w:val="20"/>
              </w:rPr>
              <w:t>Repeated minor exposure may have a cumulative poisoning effect. Do not touch bait, use scoop or measure. When using the product wear disposable gloves. If on skin and after each baiting, wash thoroughly with soap and water.</w:t>
            </w:r>
          </w:p>
          <w:p w14:paraId="2453D8A1" w14:textId="42386A1C" w:rsidR="008E67EA" w:rsidRPr="00B30D04" w:rsidRDefault="008E67EA" w:rsidP="00B44A74">
            <w:pPr>
              <w:spacing w:line="280" w:lineRule="exact"/>
              <w:rPr>
                <w:rFonts w:cs="Arial"/>
                <w:color w:val="000000"/>
                <w:sz w:val="20"/>
                <w:szCs w:val="20"/>
              </w:rPr>
            </w:pPr>
            <w:r w:rsidRPr="00B30D04">
              <w:rPr>
                <w:rFonts w:cs="Arial"/>
                <w:color w:val="000000"/>
                <w:sz w:val="20"/>
                <w:szCs w:val="20"/>
              </w:rPr>
              <w:lastRenderedPageBreak/>
              <w:t>During cleanup and disposal operations of bait and bait stations, wear a single layer of clothing and disposable gloves. Wear disposable gloves when handling rodent carcasses. Wash clothes after performing re-handling activities.</w:t>
            </w:r>
          </w:p>
        </w:tc>
      </w:tr>
      <w:tr w:rsidR="008E67EA" w:rsidRPr="00B30D04" w14:paraId="70732837" w14:textId="77777777" w:rsidTr="00B44A74">
        <w:trPr>
          <w:jc w:val="center"/>
        </w:trPr>
        <w:tc>
          <w:tcPr>
            <w:tcW w:w="2415" w:type="dxa"/>
            <w:tcBorders>
              <w:top w:val="single" w:sz="4" w:space="0" w:color="auto"/>
              <w:left w:val="nil"/>
              <w:bottom w:val="single" w:sz="4" w:space="0" w:color="auto"/>
              <w:right w:val="nil"/>
            </w:tcBorders>
          </w:tcPr>
          <w:p w14:paraId="073905FA" w14:textId="77777777" w:rsidR="008E67EA" w:rsidRPr="00B30D04"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1A70B8F" w14:textId="77777777" w:rsidR="008E67EA" w:rsidRPr="00B30D04" w:rsidRDefault="008E67EA" w:rsidP="00B44A74">
            <w:pPr>
              <w:spacing w:line="280" w:lineRule="exact"/>
              <w:rPr>
                <w:rFonts w:cs="Arial"/>
                <w:color w:val="000000"/>
                <w:sz w:val="20"/>
                <w:szCs w:val="20"/>
              </w:rPr>
            </w:pPr>
          </w:p>
        </w:tc>
      </w:tr>
      <w:tr w:rsidR="008E67EA" w:rsidRPr="00B30D04" w14:paraId="4A61F4D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CDAB9D3" w14:textId="77777777" w:rsidR="008E67EA" w:rsidRPr="00B30D04" w:rsidRDefault="008E67EA" w:rsidP="00B44A74">
            <w:pPr>
              <w:spacing w:line="280" w:lineRule="exact"/>
              <w:rPr>
                <w:rFonts w:cs="Arial"/>
                <w:sz w:val="20"/>
                <w:szCs w:val="20"/>
              </w:rPr>
            </w:pPr>
            <w:r w:rsidRPr="00B30D04">
              <w:rPr>
                <w:rFonts w:cs="Arial"/>
                <w:sz w:val="20"/>
                <w:szCs w:val="20"/>
              </w:rPr>
              <w:t>First Aid Instructions:</w:t>
            </w:r>
          </w:p>
        </w:tc>
        <w:tc>
          <w:tcPr>
            <w:tcW w:w="7755" w:type="dxa"/>
            <w:tcBorders>
              <w:top w:val="single" w:sz="4" w:space="0" w:color="auto"/>
              <w:left w:val="single" w:sz="4" w:space="0" w:color="auto"/>
              <w:bottom w:val="single" w:sz="4" w:space="0" w:color="auto"/>
              <w:right w:val="single" w:sz="4" w:space="0" w:color="auto"/>
            </w:tcBorders>
          </w:tcPr>
          <w:p w14:paraId="3E17803C" w14:textId="77777777" w:rsidR="008E67EA" w:rsidRPr="00B30D04" w:rsidRDefault="008E67EA" w:rsidP="00B44A74">
            <w:pPr>
              <w:spacing w:line="280" w:lineRule="exact"/>
              <w:rPr>
                <w:rFonts w:cs="Arial"/>
                <w:color w:val="000000"/>
                <w:sz w:val="20"/>
                <w:szCs w:val="20"/>
              </w:rPr>
            </w:pPr>
            <w:r w:rsidRPr="00B30D04">
              <w:rPr>
                <w:rFonts w:cs="Arial"/>
                <w:color w:val="000000"/>
                <w:sz w:val="20"/>
                <w:szCs w:val="20"/>
              </w:rPr>
              <w:t>FIRST AID</w:t>
            </w:r>
          </w:p>
          <w:p w14:paraId="269F5A8F" w14:textId="77777777" w:rsidR="008E67EA" w:rsidRPr="00B30D04" w:rsidRDefault="008E67EA" w:rsidP="00B44A74">
            <w:pPr>
              <w:spacing w:line="280" w:lineRule="exact"/>
              <w:rPr>
                <w:rFonts w:cs="Arial"/>
                <w:color w:val="000000"/>
                <w:sz w:val="20"/>
                <w:szCs w:val="20"/>
              </w:rPr>
            </w:pPr>
            <w:r w:rsidRPr="00B30D04">
              <w:rPr>
                <w:rFonts w:cs="Arial"/>
                <w:color w:val="000000"/>
                <w:sz w:val="20"/>
                <w:szCs w:val="20"/>
              </w:rPr>
              <w:t>If poisoning occurs, contact a doctor or Poisons Information Centre. Phone Australia 13 11 26, New Zealand 0800 764 766. Vitamin K1 (Phytomenadione) is antidotal.</w:t>
            </w:r>
          </w:p>
        </w:tc>
      </w:tr>
      <w:tr w:rsidR="008E67EA" w:rsidRPr="00B30D04" w14:paraId="550E3F29" w14:textId="77777777" w:rsidTr="00B44A74">
        <w:trPr>
          <w:jc w:val="center"/>
        </w:trPr>
        <w:tc>
          <w:tcPr>
            <w:tcW w:w="2415" w:type="dxa"/>
            <w:tcBorders>
              <w:top w:val="single" w:sz="4" w:space="0" w:color="auto"/>
              <w:left w:val="nil"/>
              <w:bottom w:val="single" w:sz="4" w:space="0" w:color="auto"/>
              <w:right w:val="nil"/>
            </w:tcBorders>
          </w:tcPr>
          <w:p w14:paraId="2AFAD497" w14:textId="77777777" w:rsidR="008E67EA" w:rsidRPr="00B30D04"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3BA81B0" w14:textId="77777777" w:rsidR="008E67EA" w:rsidRPr="00B30D04" w:rsidRDefault="008E67EA" w:rsidP="00B44A74">
            <w:pPr>
              <w:spacing w:line="280" w:lineRule="exact"/>
              <w:rPr>
                <w:rFonts w:cs="Arial"/>
                <w:sz w:val="20"/>
                <w:szCs w:val="20"/>
              </w:rPr>
            </w:pPr>
          </w:p>
        </w:tc>
      </w:tr>
      <w:tr w:rsidR="008E67EA" w:rsidRPr="00B30D04" w14:paraId="697DD68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E99FC69" w14:textId="77777777" w:rsidR="008E67EA" w:rsidRPr="00B30D04" w:rsidRDefault="008E67EA" w:rsidP="00B44A74">
            <w:pPr>
              <w:spacing w:line="280" w:lineRule="exact"/>
              <w:rPr>
                <w:rFonts w:cs="Arial"/>
                <w:sz w:val="20"/>
                <w:szCs w:val="20"/>
              </w:rPr>
            </w:pPr>
            <w:r w:rsidRPr="00B30D04">
              <w:rPr>
                <w:rFonts w:cs="Arial"/>
                <w:sz w:val="20"/>
                <w:szCs w:val="20"/>
              </w:rPr>
              <w:t>First Aid Warnings:</w:t>
            </w:r>
          </w:p>
        </w:tc>
        <w:tc>
          <w:tcPr>
            <w:tcW w:w="7755" w:type="dxa"/>
            <w:tcBorders>
              <w:top w:val="single" w:sz="4" w:space="0" w:color="auto"/>
              <w:left w:val="single" w:sz="4" w:space="0" w:color="auto"/>
              <w:bottom w:val="single" w:sz="4" w:space="0" w:color="auto"/>
              <w:right w:val="single" w:sz="4" w:space="0" w:color="auto"/>
            </w:tcBorders>
          </w:tcPr>
          <w:p w14:paraId="14750CEF" w14:textId="77777777" w:rsidR="008E67EA" w:rsidRPr="00B30D04" w:rsidRDefault="008E67EA" w:rsidP="00B44A74">
            <w:pPr>
              <w:spacing w:line="280" w:lineRule="exact"/>
              <w:rPr>
                <w:rFonts w:cs="Arial"/>
                <w:sz w:val="20"/>
                <w:szCs w:val="20"/>
              </w:rPr>
            </w:pPr>
          </w:p>
        </w:tc>
      </w:tr>
    </w:tbl>
    <w:p w14:paraId="1B9D0C76" w14:textId="77777777" w:rsidR="008E67EA" w:rsidRDefault="008E67EA" w:rsidP="008E67EA">
      <w:pPr>
        <w:spacing w:line="280" w:lineRule="exact"/>
        <w:rPr>
          <w:rFonts w:cs="Arial"/>
          <w:b/>
          <w:bCs/>
          <w:sz w:val="20"/>
          <w:szCs w:val="20"/>
        </w:rPr>
      </w:pPr>
    </w:p>
    <w:p w14:paraId="72F3BC8B" w14:textId="77777777" w:rsidR="008E67EA" w:rsidRDefault="008E67EA" w:rsidP="008E67EA">
      <w:pPr>
        <w:spacing w:line="280" w:lineRule="exact"/>
        <w:rPr>
          <w:rFonts w:cs="Arial"/>
          <w:b/>
          <w:bCs/>
          <w:sz w:val="20"/>
          <w:szCs w:val="20"/>
        </w:rPr>
      </w:pPr>
      <w:r w:rsidRPr="00617F01">
        <w:rPr>
          <w:rFonts w:cs="Arial"/>
          <w:b/>
          <w:bCs/>
          <w:sz w:val="20"/>
          <w:szCs w:val="20"/>
        </w:rPr>
        <w:t>DIRECTIONS FOR USE</w:t>
      </w:r>
    </w:p>
    <w:tbl>
      <w:tblPr>
        <w:tblStyle w:val="TableGrid"/>
        <w:tblW w:w="48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gridCol w:w="1213"/>
        <w:gridCol w:w="1200"/>
        <w:gridCol w:w="3919"/>
      </w:tblGrid>
      <w:tr w:rsidR="008E67EA" w:rsidRPr="00C118CC" w14:paraId="3DA3E6DE" w14:textId="77777777" w:rsidTr="00834983">
        <w:trPr>
          <w:trHeight w:val="340"/>
        </w:trPr>
        <w:tc>
          <w:tcPr>
            <w:tcW w:w="1629" w:type="pct"/>
          </w:tcPr>
          <w:p w14:paraId="0B950ABF" w14:textId="77777777" w:rsidR="008E67EA" w:rsidRPr="002F6425" w:rsidRDefault="008E67EA" w:rsidP="00B44A74">
            <w:pPr>
              <w:spacing w:line="280" w:lineRule="exact"/>
              <w:rPr>
                <w:rFonts w:cs="Arial"/>
                <w:b/>
                <w:bCs/>
                <w:spacing w:val="-2"/>
                <w:w w:val="105"/>
                <w:szCs w:val="18"/>
              </w:rPr>
            </w:pPr>
            <w:r w:rsidRPr="002F6425">
              <w:rPr>
                <w:rFonts w:cs="Arial"/>
                <w:b/>
                <w:bCs/>
                <w:szCs w:val="18"/>
              </w:rPr>
              <w:t>SITUATION</w:t>
            </w:r>
          </w:p>
        </w:tc>
        <w:tc>
          <w:tcPr>
            <w:tcW w:w="629" w:type="pct"/>
          </w:tcPr>
          <w:p w14:paraId="6FCA0ABD" w14:textId="77777777" w:rsidR="008E67EA" w:rsidRPr="002F6425" w:rsidRDefault="008E67EA" w:rsidP="00B44A74">
            <w:pPr>
              <w:pStyle w:val="TableParagraph"/>
              <w:spacing w:before="61"/>
              <w:rPr>
                <w:b/>
                <w:bCs/>
                <w:spacing w:val="-4"/>
                <w:sz w:val="18"/>
                <w:szCs w:val="18"/>
              </w:rPr>
            </w:pPr>
            <w:r w:rsidRPr="002F6425">
              <w:rPr>
                <w:b/>
                <w:bCs/>
                <w:sz w:val="18"/>
                <w:szCs w:val="18"/>
              </w:rPr>
              <w:t>PEST</w:t>
            </w:r>
          </w:p>
        </w:tc>
        <w:tc>
          <w:tcPr>
            <w:tcW w:w="646" w:type="pct"/>
          </w:tcPr>
          <w:p w14:paraId="350AEE32" w14:textId="77777777" w:rsidR="008E67EA" w:rsidRPr="002F6425" w:rsidRDefault="008E67EA" w:rsidP="00B44A74">
            <w:pPr>
              <w:pStyle w:val="TableParagraph"/>
              <w:spacing w:before="61"/>
              <w:rPr>
                <w:b/>
                <w:bCs/>
                <w:sz w:val="18"/>
                <w:szCs w:val="18"/>
              </w:rPr>
            </w:pPr>
            <w:r w:rsidRPr="002F6425">
              <w:rPr>
                <w:b/>
                <w:bCs/>
                <w:sz w:val="18"/>
                <w:szCs w:val="18"/>
              </w:rPr>
              <w:t>RATE</w:t>
            </w:r>
          </w:p>
        </w:tc>
        <w:tc>
          <w:tcPr>
            <w:tcW w:w="2096" w:type="pct"/>
          </w:tcPr>
          <w:p w14:paraId="7F60BF9D" w14:textId="77777777" w:rsidR="008E67EA" w:rsidRPr="002F6425" w:rsidRDefault="008E67EA" w:rsidP="00B44A74">
            <w:pPr>
              <w:pStyle w:val="TableParagraph"/>
              <w:spacing w:before="61"/>
              <w:rPr>
                <w:b/>
                <w:bCs/>
                <w:color w:val="7030A0"/>
                <w:sz w:val="18"/>
                <w:szCs w:val="18"/>
              </w:rPr>
            </w:pPr>
            <w:r w:rsidRPr="002F6425">
              <w:rPr>
                <w:b/>
                <w:bCs/>
                <w:sz w:val="18"/>
                <w:szCs w:val="18"/>
              </w:rPr>
              <w:t>CRITICAL COMMENTS</w:t>
            </w:r>
          </w:p>
        </w:tc>
      </w:tr>
      <w:tr w:rsidR="008E67EA" w:rsidRPr="00C118CC" w14:paraId="48206C1F" w14:textId="77777777" w:rsidTr="00834983">
        <w:trPr>
          <w:trHeight w:val="2751"/>
        </w:trPr>
        <w:tc>
          <w:tcPr>
            <w:tcW w:w="1629" w:type="pct"/>
          </w:tcPr>
          <w:p w14:paraId="53DC9DCD" w14:textId="77777777" w:rsidR="008E67EA" w:rsidRPr="002F6425" w:rsidRDefault="008E67EA" w:rsidP="00B44A74">
            <w:pPr>
              <w:spacing w:line="240" w:lineRule="exact"/>
              <w:rPr>
                <w:rFonts w:cs="Arial"/>
                <w:b/>
                <w:spacing w:val="-2"/>
                <w:w w:val="105"/>
                <w:szCs w:val="18"/>
              </w:rPr>
            </w:pPr>
            <w:r w:rsidRPr="002F6425">
              <w:rPr>
                <w:rFonts w:cs="Arial"/>
                <w:b/>
                <w:spacing w:val="-2"/>
                <w:w w:val="105"/>
                <w:szCs w:val="18"/>
              </w:rPr>
              <w:t>Clean Out Treatment</w:t>
            </w:r>
            <w:r>
              <w:rPr>
                <w:rFonts w:cs="Arial"/>
                <w:b/>
                <w:spacing w:val="-2"/>
                <w:w w:val="105"/>
                <w:szCs w:val="18"/>
              </w:rPr>
              <w:t>s</w:t>
            </w:r>
            <w:r w:rsidRPr="002F6425">
              <w:rPr>
                <w:rFonts w:cs="Arial"/>
                <w:b/>
                <w:spacing w:val="-2"/>
                <w:w w:val="105"/>
                <w:szCs w:val="18"/>
              </w:rPr>
              <w:t xml:space="preserve"> </w:t>
            </w:r>
          </w:p>
          <w:p w14:paraId="519EA26E" w14:textId="77777777" w:rsidR="008E67EA" w:rsidRPr="006F19C2" w:rsidRDefault="008E67EA" w:rsidP="00B44A74">
            <w:pPr>
              <w:spacing w:line="240" w:lineRule="exact"/>
              <w:rPr>
                <w:rFonts w:cs="Arial"/>
                <w:bCs/>
                <w:spacing w:val="-2"/>
                <w:w w:val="105"/>
                <w:szCs w:val="18"/>
              </w:rPr>
            </w:pPr>
            <w:r w:rsidRPr="006F19C2">
              <w:rPr>
                <w:rFonts w:cs="Arial"/>
                <w:bCs/>
                <w:spacing w:val="-2"/>
                <w:w w:val="105"/>
                <w:szCs w:val="18"/>
              </w:rPr>
              <w:t>In and around</w:t>
            </w:r>
            <w:r>
              <w:rPr>
                <w:rFonts w:cs="Arial"/>
                <w:bCs/>
                <w:spacing w:val="-2"/>
                <w:w w:val="105"/>
                <w:szCs w:val="18"/>
              </w:rPr>
              <w:t xml:space="preserve"> (within 2 meters) </w:t>
            </w:r>
            <w:r w:rsidRPr="006F19C2">
              <w:rPr>
                <w:rFonts w:cs="Arial"/>
                <w:bCs/>
                <w:spacing w:val="-2"/>
                <w:w w:val="105"/>
                <w:szCs w:val="18"/>
              </w:rPr>
              <w:t>domestic homes,</w:t>
            </w:r>
            <w:r>
              <w:rPr>
                <w:rFonts w:cs="Arial"/>
                <w:bCs/>
                <w:spacing w:val="-2"/>
                <w:w w:val="105"/>
                <w:szCs w:val="18"/>
              </w:rPr>
              <w:t xml:space="preserve"> </w:t>
            </w:r>
            <w:r w:rsidRPr="006F19C2">
              <w:rPr>
                <w:rFonts w:cs="Arial"/>
                <w:bCs/>
                <w:spacing w:val="-2"/>
                <w:w w:val="105"/>
                <w:szCs w:val="18"/>
              </w:rPr>
              <w:t>industrial and</w:t>
            </w:r>
            <w:r>
              <w:rPr>
                <w:rFonts w:cs="Arial"/>
                <w:bCs/>
                <w:spacing w:val="-2"/>
                <w:w w:val="105"/>
                <w:szCs w:val="18"/>
              </w:rPr>
              <w:t xml:space="preserve"> </w:t>
            </w:r>
            <w:r w:rsidRPr="006F19C2">
              <w:rPr>
                <w:rFonts w:cs="Arial"/>
                <w:bCs/>
                <w:spacing w:val="-2"/>
                <w:w w:val="105"/>
                <w:szCs w:val="18"/>
              </w:rPr>
              <w:t>commercial buildings,</w:t>
            </w:r>
            <w:r>
              <w:rPr>
                <w:rFonts w:cs="Arial"/>
                <w:bCs/>
                <w:spacing w:val="-2"/>
                <w:w w:val="105"/>
                <w:szCs w:val="18"/>
              </w:rPr>
              <w:t xml:space="preserve"> </w:t>
            </w:r>
            <w:r w:rsidRPr="006F19C2">
              <w:rPr>
                <w:rFonts w:cs="Arial"/>
                <w:bCs/>
                <w:spacing w:val="-2"/>
                <w:w w:val="105"/>
                <w:szCs w:val="18"/>
              </w:rPr>
              <w:t>animal houses,</w:t>
            </w:r>
          </w:p>
          <w:p w14:paraId="4DCA3173" w14:textId="77777777" w:rsidR="008E67EA" w:rsidRPr="00867EDB" w:rsidRDefault="008E67EA" w:rsidP="00B44A74">
            <w:pPr>
              <w:spacing w:line="240" w:lineRule="exact"/>
              <w:rPr>
                <w:rFonts w:cs="Arial"/>
                <w:bCs/>
                <w:spacing w:val="-2"/>
                <w:w w:val="105"/>
                <w:szCs w:val="18"/>
              </w:rPr>
            </w:pPr>
            <w:r w:rsidRPr="006F19C2">
              <w:rPr>
                <w:rFonts w:cs="Arial"/>
                <w:bCs/>
                <w:spacing w:val="-2"/>
                <w:w w:val="105"/>
                <w:szCs w:val="18"/>
              </w:rPr>
              <w:t>farms, wharves, public</w:t>
            </w:r>
            <w:r>
              <w:rPr>
                <w:rFonts w:cs="Arial"/>
                <w:bCs/>
                <w:spacing w:val="-2"/>
                <w:w w:val="105"/>
                <w:szCs w:val="18"/>
              </w:rPr>
              <w:t xml:space="preserve"> </w:t>
            </w:r>
            <w:r w:rsidRPr="006F19C2">
              <w:rPr>
                <w:rFonts w:cs="Arial"/>
                <w:bCs/>
                <w:spacing w:val="-2"/>
                <w:w w:val="105"/>
                <w:szCs w:val="18"/>
              </w:rPr>
              <w:t>service buildings, food</w:t>
            </w:r>
            <w:r>
              <w:rPr>
                <w:rFonts w:cs="Arial"/>
                <w:bCs/>
                <w:spacing w:val="-2"/>
                <w:w w:val="105"/>
                <w:szCs w:val="18"/>
              </w:rPr>
              <w:t xml:space="preserve"> </w:t>
            </w:r>
            <w:r w:rsidRPr="006F19C2">
              <w:rPr>
                <w:rFonts w:cs="Arial"/>
                <w:bCs/>
                <w:spacing w:val="-2"/>
                <w:w w:val="105"/>
                <w:szCs w:val="18"/>
              </w:rPr>
              <w:t>factories, hospitals</w:t>
            </w:r>
            <w:r>
              <w:rPr>
                <w:rFonts w:cs="Arial"/>
                <w:bCs/>
                <w:spacing w:val="-2"/>
                <w:w w:val="105"/>
                <w:szCs w:val="18"/>
              </w:rPr>
              <w:t>. I</w:t>
            </w:r>
            <w:r w:rsidRPr="006F19C2">
              <w:rPr>
                <w:rFonts w:cs="Arial"/>
                <w:bCs/>
                <w:spacing w:val="-2"/>
                <w:w w:val="105"/>
                <w:szCs w:val="18"/>
              </w:rPr>
              <w:t>nside transport</w:t>
            </w:r>
            <w:r>
              <w:rPr>
                <w:rFonts w:cs="Arial"/>
                <w:bCs/>
                <w:spacing w:val="-2"/>
                <w:w w:val="105"/>
                <w:szCs w:val="18"/>
              </w:rPr>
              <w:t xml:space="preserve"> </w:t>
            </w:r>
            <w:r w:rsidRPr="006F19C2">
              <w:rPr>
                <w:rFonts w:cs="Arial"/>
                <w:bCs/>
                <w:spacing w:val="-2"/>
                <w:w w:val="105"/>
                <w:szCs w:val="18"/>
              </w:rPr>
              <w:t>vehicles (including</w:t>
            </w:r>
            <w:r>
              <w:rPr>
                <w:rFonts w:cs="Arial"/>
                <w:bCs/>
                <w:spacing w:val="-2"/>
                <w:w w:val="105"/>
                <w:szCs w:val="18"/>
              </w:rPr>
              <w:t xml:space="preserve"> </w:t>
            </w:r>
            <w:r w:rsidRPr="006F19C2">
              <w:rPr>
                <w:rFonts w:cs="Arial"/>
                <w:bCs/>
                <w:spacing w:val="-2"/>
                <w:w w:val="105"/>
                <w:szCs w:val="18"/>
              </w:rPr>
              <w:t>ships) and around</w:t>
            </w:r>
            <w:r>
              <w:rPr>
                <w:rFonts w:cs="Arial"/>
                <w:bCs/>
                <w:spacing w:val="-2"/>
                <w:w w:val="105"/>
                <w:szCs w:val="18"/>
              </w:rPr>
              <w:t xml:space="preserve"> (within 2 meters) </w:t>
            </w:r>
            <w:r w:rsidRPr="006F19C2">
              <w:rPr>
                <w:rFonts w:cs="Arial"/>
                <w:bCs/>
                <w:spacing w:val="-2"/>
                <w:w w:val="105"/>
                <w:szCs w:val="18"/>
              </w:rPr>
              <w:t>grain terminals.</w:t>
            </w:r>
          </w:p>
        </w:tc>
        <w:tc>
          <w:tcPr>
            <w:tcW w:w="629" w:type="pct"/>
          </w:tcPr>
          <w:p w14:paraId="60D7DA4C" w14:textId="77777777" w:rsidR="008E67EA" w:rsidRPr="00867EDB" w:rsidRDefault="008E67EA" w:rsidP="00B44A74">
            <w:pPr>
              <w:spacing w:line="240" w:lineRule="exact"/>
              <w:rPr>
                <w:rFonts w:cs="Arial"/>
                <w:bCs/>
                <w:spacing w:val="-2"/>
                <w:w w:val="105"/>
                <w:szCs w:val="18"/>
              </w:rPr>
            </w:pPr>
            <w:r w:rsidRPr="00867EDB">
              <w:rPr>
                <w:rFonts w:cs="Arial"/>
                <w:bCs/>
                <w:spacing w:val="-2"/>
                <w:w w:val="105"/>
                <w:szCs w:val="18"/>
              </w:rPr>
              <w:t>Rats</w:t>
            </w:r>
          </w:p>
          <w:p w14:paraId="53DE876D" w14:textId="77777777" w:rsidR="008E67EA" w:rsidRPr="00641519" w:rsidRDefault="008E67EA" w:rsidP="00B44A74">
            <w:pPr>
              <w:spacing w:line="240" w:lineRule="exact"/>
              <w:rPr>
                <w:rFonts w:cs="Arial"/>
                <w:bCs/>
                <w:i/>
                <w:iCs/>
                <w:spacing w:val="-2"/>
                <w:w w:val="105"/>
                <w:szCs w:val="18"/>
              </w:rPr>
            </w:pPr>
            <w:r w:rsidRPr="00867EDB">
              <w:rPr>
                <w:rFonts w:cs="Arial"/>
                <w:bCs/>
                <w:spacing w:val="-2"/>
                <w:w w:val="105"/>
                <w:szCs w:val="18"/>
              </w:rPr>
              <w:t>(</w:t>
            </w:r>
            <w:r w:rsidRPr="002F6425">
              <w:rPr>
                <w:rFonts w:cs="Arial"/>
                <w:bCs/>
                <w:i/>
                <w:iCs/>
                <w:spacing w:val="-2"/>
                <w:w w:val="105"/>
                <w:szCs w:val="18"/>
              </w:rPr>
              <w:t>Rattus rattus, R. norvegicus)</w:t>
            </w:r>
          </w:p>
        </w:tc>
        <w:tc>
          <w:tcPr>
            <w:tcW w:w="646" w:type="pct"/>
          </w:tcPr>
          <w:p w14:paraId="1AFE3711" w14:textId="77777777" w:rsidR="008E67EA" w:rsidRDefault="008E67EA" w:rsidP="00B44A74">
            <w:pPr>
              <w:spacing w:line="240" w:lineRule="exact"/>
              <w:rPr>
                <w:rFonts w:cs="Arial"/>
                <w:bCs/>
                <w:spacing w:val="-2"/>
                <w:w w:val="105"/>
                <w:szCs w:val="18"/>
              </w:rPr>
            </w:pPr>
            <w:r>
              <w:rPr>
                <w:rFonts w:cs="Arial"/>
                <w:bCs/>
                <w:spacing w:val="-2"/>
                <w:w w:val="105"/>
                <w:szCs w:val="18"/>
              </w:rPr>
              <w:t xml:space="preserve">2 – 8 28 g blocks/bait station </w:t>
            </w:r>
          </w:p>
          <w:p w14:paraId="2593522E" w14:textId="77777777" w:rsidR="008E67EA" w:rsidRPr="000D6A93" w:rsidRDefault="008E67EA" w:rsidP="00B44A74">
            <w:pPr>
              <w:spacing w:line="240" w:lineRule="exact"/>
              <w:rPr>
                <w:rFonts w:cs="Arial"/>
                <w:bCs/>
                <w:i/>
                <w:iCs/>
                <w:spacing w:val="-2"/>
                <w:w w:val="105"/>
                <w:szCs w:val="18"/>
              </w:rPr>
            </w:pPr>
            <w:r w:rsidRPr="000D6A93">
              <w:rPr>
                <w:rFonts w:cs="Arial"/>
                <w:bCs/>
                <w:i/>
                <w:iCs/>
                <w:spacing w:val="-2"/>
                <w:w w:val="105"/>
                <w:szCs w:val="18"/>
              </w:rPr>
              <w:t xml:space="preserve">OR </w:t>
            </w:r>
          </w:p>
          <w:p w14:paraId="50B1C6AA" w14:textId="2B608CF2" w:rsidR="008E67EA" w:rsidRPr="00867EDB" w:rsidRDefault="008E67EA" w:rsidP="00834983">
            <w:pPr>
              <w:spacing w:line="240" w:lineRule="exact"/>
              <w:rPr>
                <w:rFonts w:cs="Arial"/>
                <w:bCs/>
                <w:spacing w:val="-2"/>
                <w:w w:val="105"/>
                <w:szCs w:val="18"/>
              </w:rPr>
            </w:pPr>
            <w:r>
              <w:rPr>
                <w:rFonts w:cs="Arial"/>
                <w:bCs/>
                <w:spacing w:val="-2"/>
                <w:w w:val="105"/>
                <w:szCs w:val="18"/>
              </w:rPr>
              <w:t>one 450 g block/bait station</w:t>
            </w:r>
          </w:p>
        </w:tc>
        <w:tc>
          <w:tcPr>
            <w:tcW w:w="2096" w:type="pct"/>
            <w:vMerge w:val="restart"/>
          </w:tcPr>
          <w:p w14:paraId="4F1F3888" w14:textId="77777777" w:rsidR="008E67EA" w:rsidRDefault="008E67EA" w:rsidP="00B44A74">
            <w:pPr>
              <w:spacing w:after="120" w:line="240" w:lineRule="exact"/>
              <w:rPr>
                <w:rFonts w:cs="Arial"/>
                <w:bCs/>
                <w:spacing w:val="-2"/>
                <w:w w:val="105"/>
                <w:szCs w:val="18"/>
              </w:rPr>
            </w:pPr>
            <w:r w:rsidRPr="006F19C2">
              <w:rPr>
                <w:rFonts w:cs="Arial"/>
                <w:bCs/>
                <w:spacing w:val="-2"/>
                <w:w w:val="105"/>
                <w:szCs w:val="18"/>
              </w:rPr>
              <w:t>Determine areas where rats and/or mice will most likely find and consume bait. Generally,</w:t>
            </w:r>
            <w:r>
              <w:rPr>
                <w:rFonts w:cs="Arial"/>
                <w:bCs/>
                <w:spacing w:val="-2"/>
                <w:w w:val="105"/>
                <w:szCs w:val="18"/>
              </w:rPr>
              <w:t xml:space="preserve"> </w:t>
            </w:r>
            <w:r w:rsidRPr="006F19C2">
              <w:rPr>
                <w:rFonts w:cs="Arial"/>
                <w:bCs/>
                <w:spacing w:val="-2"/>
                <w:w w:val="105"/>
                <w:szCs w:val="18"/>
              </w:rPr>
              <w:t>these areas are along walls, by gnawed openings or beside burrows, in corners and</w:t>
            </w:r>
            <w:r>
              <w:rPr>
                <w:rFonts w:cs="Arial"/>
                <w:bCs/>
                <w:spacing w:val="-2"/>
                <w:w w:val="105"/>
                <w:szCs w:val="18"/>
              </w:rPr>
              <w:t xml:space="preserve"> </w:t>
            </w:r>
            <w:r w:rsidRPr="006F19C2">
              <w:rPr>
                <w:rFonts w:cs="Arial"/>
                <w:bCs/>
                <w:spacing w:val="-2"/>
                <w:w w:val="105"/>
                <w:szCs w:val="18"/>
              </w:rPr>
              <w:t>concealed places between floors and walls or in locations where rodents or their signs</w:t>
            </w:r>
            <w:r>
              <w:rPr>
                <w:rFonts w:cs="Arial"/>
                <w:bCs/>
                <w:spacing w:val="-2"/>
                <w:w w:val="105"/>
                <w:szCs w:val="18"/>
              </w:rPr>
              <w:t xml:space="preserve"> </w:t>
            </w:r>
            <w:r w:rsidRPr="006F19C2">
              <w:rPr>
                <w:rFonts w:cs="Arial"/>
                <w:bCs/>
                <w:spacing w:val="-2"/>
                <w:w w:val="105"/>
                <w:szCs w:val="18"/>
              </w:rPr>
              <w:t>have been observed.</w:t>
            </w:r>
          </w:p>
          <w:p w14:paraId="7BC88BE6" w14:textId="77777777" w:rsidR="008E67EA" w:rsidRDefault="008E67EA" w:rsidP="00B44A74">
            <w:pPr>
              <w:spacing w:after="120" w:line="240" w:lineRule="exact"/>
              <w:rPr>
                <w:rFonts w:cs="Arial"/>
                <w:bCs/>
                <w:spacing w:val="-2"/>
                <w:w w:val="105"/>
                <w:szCs w:val="18"/>
              </w:rPr>
            </w:pPr>
            <w:r>
              <w:rPr>
                <w:rFonts w:cs="Arial"/>
                <w:bCs/>
                <w:spacing w:val="-2"/>
                <w:w w:val="105"/>
                <w:szCs w:val="18"/>
              </w:rPr>
              <w:t>Place b</w:t>
            </w:r>
            <w:r w:rsidRPr="006F19C2">
              <w:rPr>
                <w:rFonts w:cs="Arial"/>
                <w:bCs/>
                <w:spacing w:val="-2"/>
                <w:w w:val="105"/>
                <w:szCs w:val="18"/>
              </w:rPr>
              <w:t>ait</w:t>
            </w:r>
            <w:r>
              <w:rPr>
                <w:rFonts w:cs="Arial"/>
                <w:bCs/>
                <w:spacing w:val="-2"/>
                <w:w w:val="105"/>
                <w:szCs w:val="18"/>
              </w:rPr>
              <w:t xml:space="preserve"> stations in infested area,</w:t>
            </w:r>
            <w:r w:rsidRPr="006F19C2">
              <w:rPr>
                <w:rFonts w:cs="Arial"/>
                <w:bCs/>
                <w:spacing w:val="-2"/>
                <w:w w:val="105"/>
                <w:szCs w:val="18"/>
              </w:rPr>
              <w:t xml:space="preserve"> where evidence of rodent activity is observed</w:t>
            </w:r>
            <w:r>
              <w:rPr>
                <w:rFonts w:cs="Arial"/>
                <w:bCs/>
                <w:spacing w:val="-2"/>
                <w:w w:val="105"/>
                <w:szCs w:val="18"/>
              </w:rPr>
              <w:t xml:space="preserve"> or</w:t>
            </w:r>
            <w:r w:rsidRPr="006F19C2">
              <w:rPr>
                <w:rFonts w:cs="Arial"/>
                <w:bCs/>
                <w:spacing w:val="-2"/>
                <w:w w:val="105"/>
                <w:szCs w:val="18"/>
              </w:rPr>
              <w:t xml:space="preserve"> where conditions might encourage rodent activity.</w:t>
            </w:r>
          </w:p>
          <w:p w14:paraId="57ABF63B" w14:textId="77777777" w:rsidR="008E67EA" w:rsidRPr="000D6A93" w:rsidRDefault="008E67EA" w:rsidP="00B44A74">
            <w:pPr>
              <w:spacing w:after="120" w:line="240" w:lineRule="exact"/>
              <w:rPr>
                <w:rFonts w:cs="Arial"/>
                <w:bCs/>
                <w:spacing w:val="-2"/>
                <w:w w:val="105"/>
                <w:szCs w:val="18"/>
              </w:rPr>
            </w:pPr>
            <w:r w:rsidRPr="000D6A93">
              <w:rPr>
                <w:rFonts w:cs="Arial"/>
                <w:bCs/>
                <w:spacing w:val="-2"/>
                <w:w w:val="105"/>
                <w:szCs w:val="18"/>
              </w:rPr>
              <w:t>DO NOT exceed 3 m between bait stations for mice, or 9 m between bait stations for rats.</w:t>
            </w:r>
          </w:p>
          <w:p w14:paraId="7B12230D" w14:textId="77777777" w:rsidR="008E67EA" w:rsidRDefault="008E67EA" w:rsidP="00B44A74">
            <w:pPr>
              <w:spacing w:after="120" w:line="240" w:lineRule="exact"/>
              <w:rPr>
                <w:rFonts w:cs="Arial"/>
                <w:bCs/>
                <w:spacing w:val="-2"/>
                <w:w w:val="105"/>
                <w:szCs w:val="18"/>
              </w:rPr>
            </w:pPr>
            <w:r w:rsidRPr="0013304D">
              <w:rPr>
                <w:rFonts w:cs="Arial"/>
                <w:bCs/>
                <w:spacing w:val="-2"/>
                <w:w w:val="105"/>
                <w:szCs w:val="18"/>
              </w:rPr>
              <w:t>Use the greater number of baits and shorter distance between bait placements when</w:t>
            </w:r>
            <w:r>
              <w:rPr>
                <w:rFonts w:cs="Arial"/>
                <w:bCs/>
                <w:spacing w:val="-2"/>
                <w:w w:val="105"/>
                <w:szCs w:val="18"/>
              </w:rPr>
              <w:t xml:space="preserve"> </w:t>
            </w:r>
            <w:r w:rsidRPr="0013304D">
              <w:rPr>
                <w:rFonts w:cs="Arial"/>
                <w:bCs/>
                <w:spacing w:val="-2"/>
                <w:w w:val="105"/>
                <w:szCs w:val="18"/>
              </w:rPr>
              <w:t>infestations are heavy.</w:t>
            </w:r>
          </w:p>
          <w:p w14:paraId="01D79FF7" w14:textId="77777777" w:rsidR="008E67EA" w:rsidRPr="00867EDB" w:rsidRDefault="008E67EA" w:rsidP="00B44A74">
            <w:pPr>
              <w:spacing w:after="120" w:line="240" w:lineRule="exact"/>
              <w:rPr>
                <w:rFonts w:cs="Arial"/>
                <w:bCs/>
                <w:spacing w:val="-2"/>
                <w:w w:val="105"/>
                <w:szCs w:val="18"/>
              </w:rPr>
            </w:pPr>
            <w:r>
              <w:rPr>
                <w:rFonts w:cs="Arial"/>
                <w:bCs/>
                <w:spacing w:val="-2"/>
                <w:w w:val="105"/>
                <w:szCs w:val="18"/>
              </w:rPr>
              <w:t xml:space="preserve">See also baiting strategy for clean out treatments. </w:t>
            </w:r>
          </w:p>
        </w:tc>
      </w:tr>
      <w:tr w:rsidR="008E67EA" w:rsidRPr="00C118CC" w14:paraId="287E1AA0" w14:textId="77777777" w:rsidTr="00834983">
        <w:trPr>
          <w:trHeight w:val="402"/>
        </w:trPr>
        <w:tc>
          <w:tcPr>
            <w:tcW w:w="1629" w:type="pct"/>
          </w:tcPr>
          <w:p w14:paraId="1EE0AD3E" w14:textId="77777777" w:rsidR="008E67EA" w:rsidRDefault="008E67EA" w:rsidP="00B44A74">
            <w:pPr>
              <w:spacing w:line="240" w:lineRule="exact"/>
              <w:rPr>
                <w:rFonts w:cs="Arial"/>
                <w:bCs/>
                <w:spacing w:val="-2"/>
                <w:w w:val="105"/>
                <w:szCs w:val="18"/>
              </w:rPr>
            </w:pPr>
            <w:r w:rsidRPr="002F6425">
              <w:rPr>
                <w:rFonts w:cs="Arial"/>
                <w:b/>
                <w:spacing w:val="-2"/>
                <w:w w:val="105"/>
                <w:szCs w:val="18"/>
              </w:rPr>
              <w:t>Clean Out Treatment</w:t>
            </w:r>
            <w:r>
              <w:rPr>
                <w:rFonts w:cs="Arial"/>
                <w:b/>
                <w:spacing w:val="-2"/>
                <w:w w:val="105"/>
                <w:szCs w:val="18"/>
              </w:rPr>
              <w:t>s</w:t>
            </w:r>
          </w:p>
          <w:p w14:paraId="2C62F50C" w14:textId="77777777" w:rsidR="008E67EA" w:rsidRPr="00867EDB" w:rsidRDefault="008E67EA" w:rsidP="00B44A74">
            <w:pPr>
              <w:spacing w:line="240" w:lineRule="exact"/>
              <w:rPr>
                <w:rFonts w:cs="Arial"/>
                <w:bCs/>
                <w:spacing w:val="-2"/>
                <w:w w:val="105"/>
                <w:szCs w:val="18"/>
              </w:rPr>
            </w:pPr>
            <w:r w:rsidRPr="006F19C2">
              <w:rPr>
                <w:rFonts w:cs="Arial"/>
                <w:bCs/>
                <w:spacing w:val="-2"/>
                <w:w w:val="105"/>
                <w:szCs w:val="18"/>
              </w:rPr>
              <w:t xml:space="preserve">In </w:t>
            </w:r>
            <w:r>
              <w:rPr>
                <w:rFonts w:cs="Arial"/>
                <w:bCs/>
                <w:spacing w:val="-2"/>
                <w:w w:val="105"/>
                <w:szCs w:val="18"/>
              </w:rPr>
              <w:t>d</w:t>
            </w:r>
            <w:r w:rsidRPr="006F19C2">
              <w:rPr>
                <w:rFonts w:cs="Arial"/>
                <w:bCs/>
                <w:spacing w:val="-2"/>
                <w:w w:val="105"/>
                <w:szCs w:val="18"/>
              </w:rPr>
              <w:t>omestic homes,</w:t>
            </w:r>
            <w:r>
              <w:rPr>
                <w:rFonts w:cs="Arial"/>
                <w:bCs/>
                <w:spacing w:val="-2"/>
                <w:w w:val="105"/>
                <w:szCs w:val="18"/>
              </w:rPr>
              <w:t xml:space="preserve"> </w:t>
            </w:r>
            <w:r w:rsidRPr="006F19C2">
              <w:rPr>
                <w:rFonts w:cs="Arial"/>
                <w:bCs/>
                <w:spacing w:val="-2"/>
                <w:w w:val="105"/>
                <w:szCs w:val="18"/>
              </w:rPr>
              <w:t>industrial and</w:t>
            </w:r>
            <w:r>
              <w:rPr>
                <w:rFonts w:cs="Arial"/>
                <w:bCs/>
                <w:spacing w:val="-2"/>
                <w:w w:val="105"/>
                <w:szCs w:val="18"/>
              </w:rPr>
              <w:t xml:space="preserve"> </w:t>
            </w:r>
            <w:r w:rsidRPr="006F19C2">
              <w:rPr>
                <w:rFonts w:cs="Arial"/>
                <w:bCs/>
                <w:spacing w:val="-2"/>
                <w:w w:val="105"/>
                <w:szCs w:val="18"/>
              </w:rPr>
              <w:t>commercial buildings,</w:t>
            </w:r>
            <w:r>
              <w:rPr>
                <w:rFonts w:cs="Arial"/>
                <w:bCs/>
                <w:spacing w:val="-2"/>
                <w:w w:val="105"/>
                <w:szCs w:val="18"/>
              </w:rPr>
              <w:t xml:space="preserve"> </w:t>
            </w:r>
            <w:r w:rsidRPr="006F19C2">
              <w:rPr>
                <w:rFonts w:cs="Arial"/>
                <w:bCs/>
                <w:spacing w:val="-2"/>
                <w:w w:val="105"/>
                <w:szCs w:val="18"/>
              </w:rPr>
              <w:t>animal houses,</w:t>
            </w:r>
            <w:r>
              <w:rPr>
                <w:rFonts w:cs="Arial"/>
                <w:bCs/>
                <w:spacing w:val="-2"/>
                <w:w w:val="105"/>
                <w:szCs w:val="18"/>
              </w:rPr>
              <w:t xml:space="preserve"> </w:t>
            </w:r>
            <w:r w:rsidRPr="006F19C2">
              <w:rPr>
                <w:rFonts w:cs="Arial"/>
                <w:bCs/>
                <w:spacing w:val="-2"/>
                <w:w w:val="105"/>
                <w:szCs w:val="18"/>
              </w:rPr>
              <w:t>farms, wharves, public</w:t>
            </w:r>
            <w:r>
              <w:rPr>
                <w:rFonts w:cs="Arial"/>
                <w:bCs/>
                <w:spacing w:val="-2"/>
                <w:w w:val="105"/>
                <w:szCs w:val="18"/>
              </w:rPr>
              <w:t xml:space="preserve"> </w:t>
            </w:r>
            <w:r w:rsidRPr="006F19C2">
              <w:rPr>
                <w:rFonts w:cs="Arial"/>
                <w:bCs/>
                <w:spacing w:val="-2"/>
                <w:w w:val="105"/>
                <w:szCs w:val="18"/>
              </w:rPr>
              <w:t>service buildings, food</w:t>
            </w:r>
            <w:r>
              <w:rPr>
                <w:rFonts w:cs="Arial"/>
                <w:bCs/>
                <w:spacing w:val="-2"/>
                <w:w w:val="105"/>
                <w:szCs w:val="18"/>
              </w:rPr>
              <w:t xml:space="preserve"> </w:t>
            </w:r>
            <w:r w:rsidRPr="006F19C2">
              <w:rPr>
                <w:rFonts w:cs="Arial"/>
                <w:bCs/>
                <w:spacing w:val="-2"/>
                <w:w w:val="105"/>
                <w:szCs w:val="18"/>
              </w:rPr>
              <w:t>factories, hospitals</w:t>
            </w:r>
            <w:r>
              <w:rPr>
                <w:rFonts w:cs="Arial"/>
                <w:bCs/>
                <w:spacing w:val="-2"/>
                <w:w w:val="105"/>
                <w:szCs w:val="18"/>
              </w:rPr>
              <w:t xml:space="preserve">, and </w:t>
            </w:r>
            <w:r w:rsidRPr="006F19C2">
              <w:rPr>
                <w:rFonts w:cs="Arial"/>
                <w:bCs/>
                <w:spacing w:val="-2"/>
                <w:w w:val="105"/>
                <w:szCs w:val="18"/>
              </w:rPr>
              <w:t>transport</w:t>
            </w:r>
            <w:r>
              <w:rPr>
                <w:rFonts w:cs="Arial"/>
                <w:bCs/>
                <w:spacing w:val="-2"/>
                <w:w w:val="105"/>
                <w:szCs w:val="18"/>
              </w:rPr>
              <w:t xml:space="preserve"> </w:t>
            </w:r>
            <w:r w:rsidRPr="006F19C2">
              <w:rPr>
                <w:rFonts w:cs="Arial"/>
                <w:bCs/>
                <w:spacing w:val="-2"/>
                <w:w w:val="105"/>
                <w:szCs w:val="18"/>
              </w:rPr>
              <w:t>vehicles (including</w:t>
            </w:r>
            <w:r>
              <w:rPr>
                <w:rFonts w:cs="Arial"/>
                <w:bCs/>
                <w:spacing w:val="-2"/>
                <w:w w:val="105"/>
                <w:szCs w:val="18"/>
              </w:rPr>
              <w:t xml:space="preserve"> </w:t>
            </w:r>
            <w:r w:rsidRPr="006F19C2">
              <w:rPr>
                <w:rFonts w:cs="Arial"/>
                <w:bCs/>
                <w:spacing w:val="-2"/>
                <w:w w:val="105"/>
                <w:szCs w:val="18"/>
              </w:rPr>
              <w:t>ships)</w:t>
            </w:r>
            <w:r>
              <w:rPr>
                <w:rFonts w:cs="Arial"/>
                <w:bCs/>
                <w:spacing w:val="-2"/>
                <w:w w:val="105"/>
                <w:szCs w:val="18"/>
              </w:rPr>
              <w:t>.</w:t>
            </w:r>
          </w:p>
        </w:tc>
        <w:tc>
          <w:tcPr>
            <w:tcW w:w="629" w:type="pct"/>
          </w:tcPr>
          <w:p w14:paraId="6B5F98CF" w14:textId="77777777" w:rsidR="008E67EA" w:rsidRPr="00867EDB" w:rsidRDefault="008E67EA" w:rsidP="00B44A74">
            <w:pPr>
              <w:spacing w:line="240" w:lineRule="exact"/>
              <w:rPr>
                <w:rFonts w:cs="Arial"/>
                <w:bCs/>
                <w:spacing w:val="-2"/>
                <w:w w:val="105"/>
                <w:szCs w:val="18"/>
              </w:rPr>
            </w:pPr>
            <w:r w:rsidRPr="00867EDB">
              <w:rPr>
                <w:rFonts w:cs="Arial"/>
                <w:bCs/>
                <w:spacing w:val="-2"/>
                <w:w w:val="105"/>
                <w:szCs w:val="18"/>
              </w:rPr>
              <w:t>Mice</w:t>
            </w:r>
          </w:p>
          <w:p w14:paraId="4B9D100F" w14:textId="320BEF6A" w:rsidR="008E67EA" w:rsidRPr="00867EDB" w:rsidRDefault="008E67EA" w:rsidP="00834983">
            <w:pPr>
              <w:spacing w:line="240" w:lineRule="exact"/>
              <w:rPr>
                <w:rFonts w:cs="Arial"/>
                <w:bCs/>
                <w:spacing w:val="-2"/>
                <w:w w:val="105"/>
                <w:szCs w:val="18"/>
              </w:rPr>
            </w:pPr>
            <w:r w:rsidRPr="002F6425">
              <w:rPr>
                <w:rFonts w:cs="Arial"/>
                <w:bCs/>
                <w:i/>
                <w:iCs/>
                <w:spacing w:val="-2"/>
                <w:w w:val="105"/>
                <w:szCs w:val="18"/>
              </w:rPr>
              <w:t>(Mus domesticus)</w:t>
            </w:r>
          </w:p>
        </w:tc>
        <w:tc>
          <w:tcPr>
            <w:tcW w:w="646" w:type="pct"/>
          </w:tcPr>
          <w:p w14:paraId="637DF068" w14:textId="77777777" w:rsidR="008E67EA" w:rsidRDefault="008E67EA" w:rsidP="00B44A74">
            <w:pPr>
              <w:spacing w:line="240" w:lineRule="exact"/>
              <w:rPr>
                <w:rFonts w:cs="Arial"/>
                <w:bCs/>
                <w:spacing w:val="-2"/>
                <w:w w:val="105"/>
                <w:szCs w:val="18"/>
              </w:rPr>
            </w:pPr>
            <w:r>
              <w:rPr>
                <w:rFonts w:cs="Arial"/>
                <w:bCs/>
                <w:spacing w:val="-2"/>
                <w:w w:val="105"/>
                <w:szCs w:val="18"/>
              </w:rPr>
              <w:t xml:space="preserve">1 – 2 28 g blocks/bait station </w:t>
            </w:r>
          </w:p>
          <w:p w14:paraId="717CA144" w14:textId="77777777" w:rsidR="008E67EA" w:rsidRPr="000D6A93" w:rsidRDefault="008E67EA" w:rsidP="00B44A74">
            <w:pPr>
              <w:spacing w:line="240" w:lineRule="exact"/>
              <w:rPr>
                <w:rFonts w:cs="Arial"/>
                <w:bCs/>
                <w:i/>
                <w:iCs/>
                <w:spacing w:val="-2"/>
                <w:w w:val="105"/>
                <w:szCs w:val="18"/>
              </w:rPr>
            </w:pPr>
            <w:r w:rsidRPr="000D6A93">
              <w:rPr>
                <w:rFonts w:cs="Arial"/>
                <w:bCs/>
                <w:i/>
                <w:iCs/>
                <w:spacing w:val="-2"/>
                <w:w w:val="105"/>
                <w:szCs w:val="18"/>
              </w:rPr>
              <w:t xml:space="preserve">OR </w:t>
            </w:r>
          </w:p>
          <w:p w14:paraId="1F345D50" w14:textId="0EEC84A3" w:rsidR="008E67EA" w:rsidRPr="00867EDB" w:rsidRDefault="008E67EA" w:rsidP="00834983">
            <w:pPr>
              <w:spacing w:line="240" w:lineRule="exact"/>
              <w:rPr>
                <w:rFonts w:cs="Arial"/>
                <w:bCs/>
                <w:spacing w:val="-2"/>
                <w:w w:val="105"/>
                <w:szCs w:val="18"/>
              </w:rPr>
            </w:pPr>
            <w:r>
              <w:rPr>
                <w:rFonts w:cs="Arial"/>
                <w:bCs/>
                <w:spacing w:val="-2"/>
                <w:w w:val="105"/>
                <w:szCs w:val="18"/>
              </w:rPr>
              <w:t>one 450 g block in a bait station in infested area</w:t>
            </w:r>
          </w:p>
        </w:tc>
        <w:tc>
          <w:tcPr>
            <w:tcW w:w="2096" w:type="pct"/>
            <w:vMerge/>
          </w:tcPr>
          <w:p w14:paraId="36EC762B" w14:textId="77777777" w:rsidR="008E67EA" w:rsidRPr="00867EDB" w:rsidRDefault="008E67EA" w:rsidP="00B44A74">
            <w:pPr>
              <w:spacing w:line="240" w:lineRule="exact"/>
              <w:rPr>
                <w:rFonts w:cs="Arial"/>
                <w:bCs/>
                <w:spacing w:val="-2"/>
                <w:w w:val="105"/>
                <w:szCs w:val="18"/>
              </w:rPr>
            </w:pPr>
          </w:p>
        </w:tc>
      </w:tr>
      <w:tr w:rsidR="008E67EA" w:rsidRPr="00C118CC" w14:paraId="1751CB06" w14:textId="77777777" w:rsidTr="00834983">
        <w:trPr>
          <w:trHeight w:val="2795"/>
        </w:trPr>
        <w:tc>
          <w:tcPr>
            <w:tcW w:w="1629" w:type="pct"/>
          </w:tcPr>
          <w:p w14:paraId="08D03F26" w14:textId="77777777" w:rsidR="008E67EA" w:rsidRPr="002F6425" w:rsidRDefault="008E67EA" w:rsidP="00B44A74">
            <w:pPr>
              <w:spacing w:line="240" w:lineRule="exact"/>
              <w:rPr>
                <w:rFonts w:cs="Arial"/>
                <w:b/>
                <w:spacing w:val="-2"/>
                <w:w w:val="105"/>
                <w:szCs w:val="18"/>
              </w:rPr>
            </w:pPr>
            <w:r w:rsidRPr="002F6425">
              <w:rPr>
                <w:rFonts w:cs="Arial"/>
                <w:b/>
                <w:spacing w:val="-2"/>
                <w:w w:val="105"/>
                <w:szCs w:val="18"/>
              </w:rPr>
              <w:t xml:space="preserve">Monitoring and/or Maintenance Treatments </w:t>
            </w:r>
          </w:p>
          <w:p w14:paraId="3813522C" w14:textId="77777777" w:rsidR="008E67EA" w:rsidRPr="006F19C2" w:rsidRDefault="008E67EA" w:rsidP="00B44A74">
            <w:pPr>
              <w:spacing w:line="240" w:lineRule="exact"/>
              <w:rPr>
                <w:rFonts w:cs="Arial"/>
                <w:bCs/>
                <w:spacing w:val="-2"/>
                <w:w w:val="105"/>
                <w:szCs w:val="18"/>
              </w:rPr>
            </w:pPr>
            <w:r w:rsidRPr="006F19C2">
              <w:rPr>
                <w:rFonts w:cs="Arial"/>
                <w:bCs/>
                <w:spacing w:val="-2"/>
                <w:w w:val="105"/>
                <w:szCs w:val="18"/>
              </w:rPr>
              <w:t>In and around</w:t>
            </w:r>
            <w:r>
              <w:rPr>
                <w:rFonts w:cs="Arial"/>
                <w:bCs/>
                <w:spacing w:val="-2"/>
                <w:w w:val="105"/>
                <w:szCs w:val="18"/>
              </w:rPr>
              <w:t xml:space="preserve"> (within 2 meters) </w:t>
            </w:r>
            <w:r w:rsidRPr="006F19C2">
              <w:rPr>
                <w:rFonts w:cs="Arial"/>
                <w:bCs/>
                <w:spacing w:val="-2"/>
                <w:w w:val="105"/>
                <w:szCs w:val="18"/>
              </w:rPr>
              <w:t>domestic homes,</w:t>
            </w:r>
            <w:r>
              <w:rPr>
                <w:rFonts w:cs="Arial"/>
                <w:bCs/>
                <w:spacing w:val="-2"/>
                <w:w w:val="105"/>
                <w:szCs w:val="18"/>
              </w:rPr>
              <w:t xml:space="preserve"> </w:t>
            </w:r>
            <w:r w:rsidRPr="006F19C2">
              <w:rPr>
                <w:rFonts w:cs="Arial"/>
                <w:bCs/>
                <w:spacing w:val="-2"/>
                <w:w w:val="105"/>
                <w:szCs w:val="18"/>
              </w:rPr>
              <w:t>industrial and</w:t>
            </w:r>
            <w:r>
              <w:rPr>
                <w:rFonts w:cs="Arial"/>
                <w:bCs/>
                <w:spacing w:val="-2"/>
                <w:w w:val="105"/>
                <w:szCs w:val="18"/>
              </w:rPr>
              <w:t xml:space="preserve"> </w:t>
            </w:r>
            <w:r w:rsidRPr="006F19C2">
              <w:rPr>
                <w:rFonts w:cs="Arial"/>
                <w:bCs/>
                <w:spacing w:val="-2"/>
                <w:w w:val="105"/>
                <w:szCs w:val="18"/>
              </w:rPr>
              <w:t>commercial buildings,</w:t>
            </w:r>
            <w:r>
              <w:rPr>
                <w:rFonts w:cs="Arial"/>
                <w:bCs/>
                <w:spacing w:val="-2"/>
                <w:w w:val="105"/>
                <w:szCs w:val="18"/>
              </w:rPr>
              <w:t xml:space="preserve"> </w:t>
            </w:r>
            <w:r w:rsidRPr="006F19C2">
              <w:rPr>
                <w:rFonts w:cs="Arial"/>
                <w:bCs/>
                <w:spacing w:val="-2"/>
                <w:w w:val="105"/>
                <w:szCs w:val="18"/>
              </w:rPr>
              <w:t>animal houses,</w:t>
            </w:r>
          </w:p>
          <w:p w14:paraId="584432C2" w14:textId="77777777" w:rsidR="008E67EA" w:rsidRPr="006F19C2" w:rsidRDefault="008E67EA" w:rsidP="00B44A74">
            <w:pPr>
              <w:spacing w:line="240" w:lineRule="exact"/>
              <w:rPr>
                <w:rFonts w:cs="Arial"/>
                <w:bCs/>
                <w:spacing w:val="-2"/>
                <w:w w:val="105"/>
                <w:szCs w:val="18"/>
              </w:rPr>
            </w:pPr>
            <w:r w:rsidRPr="006F19C2">
              <w:rPr>
                <w:rFonts w:cs="Arial"/>
                <w:bCs/>
                <w:spacing w:val="-2"/>
                <w:w w:val="105"/>
                <w:szCs w:val="18"/>
              </w:rPr>
              <w:t>farms, wharves, public</w:t>
            </w:r>
            <w:r>
              <w:rPr>
                <w:rFonts w:cs="Arial"/>
                <w:bCs/>
                <w:spacing w:val="-2"/>
                <w:w w:val="105"/>
                <w:szCs w:val="18"/>
              </w:rPr>
              <w:t xml:space="preserve"> </w:t>
            </w:r>
            <w:r w:rsidRPr="006F19C2">
              <w:rPr>
                <w:rFonts w:cs="Arial"/>
                <w:bCs/>
                <w:spacing w:val="-2"/>
                <w:w w:val="105"/>
                <w:szCs w:val="18"/>
              </w:rPr>
              <w:t>service buildings, food</w:t>
            </w:r>
            <w:r>
              <w:rPr>
                <w:rFonts w:cs="Arial"/>
                <w:bCs/>
                <w:spacing w:val="-2"/>
                <w:w w:val="105"/>
                <w:szCs w:val="18"/>
              </w:rPr>
              <w:t xml:space="preserve"> </w:t>
            </w:r>
            <w:r w:rsidRPr="006F19C2">
              <w:rPr>
                <w:rFonts w:cs="Arial"/>
                <w:bCs/>
                <w:spacing w:val="-2"/>
                <w:w w:val="105"/>
                <w:szCs w:val="18"/>
              </w:rPr>
              <w:t>factories, hospitals</w:t>
            </w:r>
            <w:r>
              <w:rPr>
                <w:rFonts w:cs="Arial"/>
                <w:bCs/>
                <w:spacing w:val="-2"/>
                <w:w w:val="105"/>
                <w:szCs w:val="18"/>
              </w:rPr>
              <w:t>. I</w:t>
            </w:r>
            <w:r w:rsidRPr="006F19C2">
              <w:rPr>
                <w:rFonts w:cs="Arial"/>
                <w:bCs/>
                <w:spacing w:val="-2"/>
                <w:w w:val="105"/>
                <w:szCs w:val="18"/>
              </w:rPr>
              <w:t>nside transport</w:t>
            </w:r>
            <w:r>
              <w:rPr>
                <w:rFonts w:cs="Arial"/>
                <w:bCs/>
                <w:spacing w:val="-2"/>
                <w:w w:val="105"/>
                <w:szCs w:val="18"/>
              </w:rPr>
              <w:t xml:space="preserve"> </w:t>
            </w:r>
            <w:r w:rsidRPr="006F19C2">
              <w:rPr>
                <w:rFonts w:cs="Arial"/>
                <w:bCs/>
                <w:spacing w:val="-2"/>
                <w:w w:val="105"/>
                <w:szCs w:val="18"/>
              </w:rPr>
              <w:t>vehicles (including</w:t>
            </w:r>
          </w:p>
          <w:p w14:paraId="4B5C0EF9" w14:textId="77777777" w:rsidR="008E67EA" w:rsidRDefault="008E67EA" w:rsidP="00B44A74">
            <w:pPr>
              <w:spacing w:line="240" w:lineRule="exact"/>
              <w:rPr>
                <w:rFonts w:cs="Arial"/>
                <w:bCs/>
                <w:spacing w:val="-2"/>
                <w:w w:val="105"/>
                <w:szCs w:val="18"/>
              </w:rPr>
            </w:pPr>
            <w:r w:rsidRPr="006F19C2">
              <w:rPr>
                <w:rFonts w:cs="Arial"/>
                <w:bCs/>
                <w:spacing w:val="-2"/>
                <w:w w:val="105"/>
                <w:szCs w:val="18"/>
              </w:rPr>
              <w:t>ships) and around</w:t>
            </w:r>
            <w:r>
              <w:rPr>
                <w:rFonts w:cs="Arial"/>
                <w:bCs/>
                <w:spacing w:val="-2"/>
                <w:w w:val="105"/>
                <w:szCs w:val="18"/>
              </w:rPr>
              <w:t xml:space="preserve"> (within 2 meters) </w:t>
            </w:r>
            <w:r w:rsidRPr="006F19C2">
              <w:rPr>
                <w:rFonts w:cs="Arial"/>
                <w:bCs/>
                <w:spacing w:val="-2"/>
                <w:w w:val="105"/>
                <w:szCs w:val="18"/>
              </w:rPr>
              <w:t>grain terminals.</w:t>
            </w:r>
          </w:p>
        </w:tc>
        <w:tc>
          <w:tcPr>
            <w:tcW w:w="629" w:type="pct"/>
          </w:tcPr>
          <w:p w14:paraId="25B73FC6" w14:textId="77777777" w:rsidR="008E67EA" w:rsidRPr="00867EDB" w:rsidRDefault="008E67EA" w:rsidP="00B44A74">
            <w:pPr>
              <w:spacing w:line="240" w:lineRule="exact"/>
              <w:rPr>
                <w:rFonts w:cs="Arial"/>
                <w:bCs/>
                <w:spacing w:val="-2"/>
                <w:w w:val="105"/>
                <w:szCs w:val="18"/>
              </w:rPr>
            </w:pPr>
            <w:r w:rsidRPr="00867EDB">
              <w:rPr>
                <w:rFonts w:cs="Arial"/>
                <w:bCs/>
                <w:spacing w:val="-2"/>
                <w:w w:val="105"/>
                <w:szCs w:val="18"/>
              </w:rPr>
              <w:t>Rats</w:t>
            </w:r>
          </w:p>
          <w:p w14:paraId="2DF53F50" w14:textId="22A90D80" w:rsidR="008E67EA" w:rsidRPr="00867EDB" w:rsidRDefault="008E67EA" w:rsidP="00834983">
            <w:pPr>
              <w:spacing w:line="240" w:lineRule="exact"/>
              <w:rPr>
                <w:rFonts w:cs="Arial"/>
                <w:bCs/>
                <w:spacing w:val="-2"/>
                <w:w w:val="105"/>
                <w:szCs w:val="18"/>
              </w:rPr>
            </w:pPr>
            <w:r w:rsidRPr="002F6425">
              <w:rPr>
                <w:rFonts w:cs="Arial"/>
                <w:bCs/>
                <w:i/>
                <w:iCs/>
                <w:spacing w:val="-2"/>
                <w:w w:val="105"/>
                <w:szCs w:val="18"/>
              </w:rPr>
              <w:t>(Rattus rattus, R. norvegicus)</w:t>
            </w:r>
          </w:p>
        </w:tc>
        <w:tc>
          <w:tcPr>
            <w:tcW w:w="646" w:type="pct"/>
          </w:tcPr>
          <w:p w14:paraId="348AABAB" w14:textId="77777777" w:rsidR="008E67EA" w:rsidRPr="00867EDB" w:rsidRDefault="008E67EA" w:rsidP="00B44A74">
            <w:pPr>
              <w:spacing w:line="240" w:lineRule="exact"/>
              <w:rPr>
                <w:rFonts w:cs="Arial"/>
                <w:bCs/>
                <w:spacing w:val="-2"/>
                <w:w w:val="105"/>
                <w:szCs w:val="18"/>
              </w:rPr>
            </w:pPr>
            <w:r>
              <w:rPr>
                <w:rFonts w:cs="Arial"/>
                <w:bCs/>
                <w:spacing w:val="-2"/>
                <w:w w:val="105"/>
                <w:szCs w:val="18"/>
              </w:rPr>
              <w:t xml:space="preserve">2 28 g blocks/bait station </w:t>
            </w:r>
          </w:p>
        </w:tc>
        <w:tc>
          <w:tcPr>
            <w:tcW w:w="2096" w:type="pct"/>
            <w:vMerge w:val="restart"/>
          </w:tcPr>
          <w:p w14:paraId="46E8942A" w14:textId="77777777" w:rsidR="008E67EA" w:rsidRDefault="008E67EA" w:rsidP="00B44A74">
            <w:pPr>
              <w:spacing w:after="120" w:line="240" w:lineRule="exact"/>
              <w:rPr>
                <w:rFonts w:cs="Arial"/>
                <w:bCs/>
                <w:spacing w:val="-2"/>
                <w:w w:val="105"/>
                <w:szCs w:val="18"/>
              </w:rPr>
            </w:pPr>
            <w:r w:rsidRPr="00867EDB">
              <w:rPr>
                <w:rFonts w:cs="Arial"/>
                <w:bCs/>
                <w:spacing w:val="-2"/>
                <w:w w:val="105"/>
                <w:szCs w:val="18"/>
              </w:rPr>
              <w:t>Place bait stations</w:t>
            </w:r>
            <w:r w:rsidRPr="002F6425">
              <w:rPr>
                <w:rFonts w:cs="Arial"/>
                <w:bCs/>
                <w:spacing w:val="-2"/>
                <w:w w:val="105"/>
                <w:szCs w:val="18"/>
              </w:rPr>
              <w:t xml:space="preserve"> </w:t>
            </w:r>
            <w:r>
              <w:rPr>
                <w:rFonts w:cs="Arial"/>
                <w:bCs/>
                <w:spacing w:val="-2"/>
                <w:w w:val="105"/>
                <w:szCs w:val="18"/>
              </w:rPr>
              <w:t>at</w:t>
            </w:r>
            <w:r w:rsidRPr="002F6425">
              <w:rPr>
                <w:rFonts w:cs="Arial"/>
                <w:bCs/>
                <w:spacing w:val="-2"/>
                <w:w w:val="105"/>
                <w:szCs w:val="18"/>
              </w:rPr>
              <w:t xml:space="preserve"> intervals of between 15 and 30</w:t>
            </w:r>
            <w:r>
              <w:rPr>
                <w:rFonts w:cs="Arial"/>
                <w:bCs/>
                <w:spacing w:val="-2"/>
                <w:w w:val="105"/>
                <w:szCs w:val="18"/>
              </w:rPr>
              <w:t xml:space="preserve"> m </w:t>
            </w:r>
            <w:r w:rsidRPr="002F6425">
              <w:rPr>
                <w:rFonts w:cs="Arial"/>
                <w:bCs/>
                <w:spacing w:val="-2"/>
                <w:w w:val="105"/>
                <w:szCs w:val="18"/>
              </w:rPr>
              <w:t xml:space="preserve">in areas </w:t>
            </w:r>
            <w:r w:rsidRPr="000D6A93">
              <w:rPr>
                <w:rFonts w:cs="Arial"/>
                <w:bCs/>
                <w:spacing w:val="-2"/>
                <w:w w:val="105"/>
                <w:szCs w:val="18"/>
              </w:rPr>
              <w:t xml:space="preserve">where a continuous risk of </w:t>
            </w:r>
            <w:r>
              <w:rPr>
                <w:rFonts w:cs="Arial"/>
                <w:bCs/>
                <w:spacing w:val="-2"/>
                <w:w w:val="105"/>
                <w:szCs w:val="18"/>
              </w:rPr>
              <w:t xml:space="preserve">rat or </w:t>
            </w:r>
            <w:r w:rsidRPr="000D6A93">
              <w:rPr>
                <w:rFonts w:cs="Arial"/>
                <w:bCs/>
                <w:spacing w:val="-2"/>
                <w:w w:val="105"/>
                <w:szCs w:val="18"/>
              </w:rPr>
              <w:t>mouse activity is present</w:t>
            </w:r>
            <w:r>
              <w:rPr>
                <w:rFonts w:cs="Arial"/>
                <w:bCs/>
                <w:spacing w:val="-2"/>
                <w:w w:val="105"/>
                <w:szCs w:val="18"/>
              </w:rPr>
              <w:t xml:space="preserve"> </w:t>
            </w:r>
            <w:r w:rsidRPr="002F6425">
              <w:rPr>
                <w:rFonts w:cs="Arial"/>
                <w:bCs/>
                <w:spacing w:val="-2"/>
                <w:w w:val="105"/>
                <w:szCs w:val="18"/>
              </w:rPr>
              <w:t>prone to rodent</w:t>
            </w:r>
            <w:r>
              <w:rPr>
                <w:rFonts w:cs="Arial"/>
                <w:bCs/>
                <w:spacing w:val="-2"/>
                <w:w w:val="105"/>
                <w:szCs w:val="18"/>
              </w:rPr>
              <w:t xml:space="preserve"> </w:t>
            </w:r>
            <w:r w:rsidRPr="002F6425">
              <w:rPr>
                <w:rFonts w:cs="Arial"/>
                <w:bCs/>
                <w:spacing w:val="-2"/>
                <w:w w:val="105"/>
                <w:szCs w:val="18"/>
              </w:rPr>
              <w:t>infestation.</w:t>
            </w:r>
          </w:p>
          <w:p w14:paraId="6388EF50" w14:textId="77777777" w:rsidR="008E67EA" w:rsidRPr="00867EDB" w:rsidRDefault="008E67EA" w:rsidP="00B44A74">
            <w:pPr>
              <w:spacing w:after="120" w:line="240" w:lineRule="exact"/>
              <w:rPr>
                <w:rFonts w:cs="Arial"/>
                <w:bCs/>
                <w:spacing w:val="-2"/>
                <w:w w:val="105"/>
                <w:szCs w:val="18"/>
              </w:rPr>
            </w:pPr>
            <w:r>
              <w:rPr>
                <w:rFonts w:cs="Arial"/>
                <w:bCs/>
                <w:spacing w:val="-2"/>
                <w:w w:val="105"/>
                <w:szCs w:val="18"/>
              </w:rPr>
              <w:t>See also baiting strategy for monitoring and/or maintenance treatments.</w:t>
            </w:r>
          </w:p>
        </w:tc>
      </w:tr>
      <w:tr w:rsidR="008E67EA" w:rsidRPr="00C118CC" w14:paraId="1A754958" w14:textId="77777777" w:rsidTr="00834983">
        <w:trPr>
          <w:trHeight w:val="2017"/>
        </w:trPr>
        <w:tc>
          <w:tcPr>
            <w:tcW w:w="1629" w:type="pct"/>
          </w:tcPr>
          <w:p w14:paraId="37E65B6E" w14:textId="77777777" w:rsidR="008E67EA" w:rsidRPr="002F6425" w:rsidRDefault="008E67EA" w:rsidP="00B44A74">
            <w:pPr>
              <w:spacing w:line="240" w:lineRule="exact"/>
              <w:rPr>
                <w:rFonts w:cs="Arial"/>
                <w:b/>
                <w:spacing w:val="-2"/>
                <w:w w:val="105"/>
                <w:szCs w:val="18"/>
              </w:rPr>
            </w:pPr>
            <w:r w:rsidRPr="002F6425">
              <w:rPr>
                <w:rFonts w:cs="Arial"/>
                <w:b/>
                <w:spacing w:val="-2"/>
                <w:w w:val="105"/>
                <w:szCs w:val="18"/>
              </w:rPr>
              <w:t xml:space="preserve">Monitoring and/or Maintenance Treatments </w:t>
            </w:r>
          </w:p>
          <w:p w14:paraId="1B4E51EC" w14:textId="77777777" w:rsidR="008E67EA" w:rsidRDefault="008E67EA" w:rsidP="00B44A74">
            <w:pPr>
              <w:spacing w:line="240" w:lineRule="exact"/>
              <w:rPr>
                <w:rFonts w:cs="Arial"/>
                <w:bCs/>
                <w:spacing w:val="-2"/>
                <w:w w:val="105"/>
                <w:szCs w:val="18"/>
              </w:rPr>
            </w:pPr>
            <w:r w:rsidRPr="006F19C2">
              <w:rPr>
                <w:rFonts w:cs="Arial"/>
                <w:bCs/>
                <w:spacing w:val="-2"/>
                <w:w w:val="105"/>
                <w:szCs w:val="18"/>
              </w:rPr>
              <w:t xml:space="preserve">In </w:t>
            </w:r>
            <w:r>
              <w:rPr>
                <w:rFonts w:cs="Arial"/>
                <w:bCs/>
                <w:spacing w:val="-2"/>
                <w:w w:val="105"/>
                <w:szCs w:val="18"/>
              </w:rPr>
              <w:t>d</w:t>
            </w:r>
            <w:r w:rsidRPr="006F19C2">
              <w:rPr>
                <w:rFonts w:cs="Arial"/>
                <w:bCs/>
                <w:spacing w:val="-2"/>
                <w:w w:val="105"/>
                <w:szCs w:val="18"/>
              </w:rPr>
              <w:t>omestic homes,</w:t>
            </w:r>
            <w:r>
              <w:rPr>
                <w:rFonts w:cs="Arial"/>
                <w:bCs/>
                <w:spacing w:val="-2"/>
                <w:w w:val="105"/>
                <w:szCs w:val="18"/>
              </w:rPr>
              <w:t xml:space="preserve"> </w:t>
            </w:r>
            <w:r w:rsidRPr="006F19C2">
              <w:rPr>
                <w:rFonts w:cs="Arial"/>
                <w:bCs/>
                <w:spacing w:val="-2"/>
                <w:w w:val="105"/>
                <w:szCs w:val="18"/>
              </w:rPr>
              <w:t>industrial and</w:t>
            </w:r>
            <w:r>
              <w:rPr>
                <w:rFonts w:cs="Arial"/>
                <w:bCs/>
                <w:spacing w:val="-2"/>
                <w:w w:val="105"/>
                <w:szCs w:val="18"/>
              </w:rPr>
              <w:t xml:space="preserve"> </w:t>
            </w:r>
            <w:r w:rsidRPr="006F19C2">
              <w:rPr>
                <w:rFonts w:cs="Arial"/>
                <w:bCs/>
                <w:spacing w:val="-2"/>
                <w:w w:val="105"/>
                <w:szCs w:val="18"/>
              </w:rPr>
              <w:t>commercial buildings,</w:t>
            </w:r>
            <w:r>
              <w:rPr>
                <w:rFonts w:cs="Arial"/>
                <w:bCs/>
                <w:spacing w:val="-2"/>
                <w:w w:val="105"/>
                <w:szCs w:val="18"/>
              </w:rPr>
              <w:t xml:space="preserve"> </w:t>
            </w:r>
            <w:r w:rsidRPr="006F19C2">
              <w:rPr>
                <w:rFonts w:cs="Arial"/>
                <w:bCs/>
                <w:spacing w:val="-2"/>
                <w:w w:val="105"/>
                <w:szCs w:val="18"/>
              </w:rPr>
              <w:t>animal houses,</w:t>
            </w:r>
            <w:r>
              <w:rPr>
                <w:rFonts w:cs="Arial"/>
                <w:bCs/>
                <w:spacing w:val="-2"/>
                <w:w w:val="105"/>
                <w:szCs w:val="18"/>
              </w:rPr>
              <w:t xml:space="preserve"> </w:t>
            </w:r>
            <w:r w:rsidRPr="006F19C2">
              <w:rPr>
                <w:rFonts w:cs="Arial"/>
                <w:bCs/>
                <w:spacing w:val="-2"/>
                <w:w w:val="105"/>
                <w:szCs w:val="18"/>
              </w:rPr>
              <w:t>farms, wharves, public</w:t>
            </w:r>
            <w:r>
              <w:rPr>
                <w:rFonts w:cs="Arial"/>
                <w:bCs/>
                <w:spacing w:val="-2"/>
                <w:w w:val="105"/>
                <w:szCs w:val="18"/>
              </w:rPr>
              <w:t xml:space="preserve"> </w:t>
            </w:r>
            <w:r w:rsidRPr="006F19C2">
              <w:rPr>
                <w:rFonts w:cs="Arial"/>
                <w:bCs/>
                <w:spacing w:val="-2"/>
                <w:w w:val="105"/>
                <w:szCs w:val="18"/>
              </w:rPr>
              <w:t>service buildings, food</w:t>
            </w:r>
            <w:r>
              <w:rPr>
                <w:rFonts w:cs="Arial"/>
                <w:bCs/>
                <w:spacing w:val="-2"/>
                <w:w w:val="105"/>
                <w:szCs w:val="18"/>
              </w:rPr>
              <w:t xml:space="preserve"> </w:t>
            </w:r>
            <w:r w:rsidRPr="006F19C2">
              <w:rPr>
                <w:rFonts w:cs="Arial"/>
                <w:bCs/>
                <w:spacing w:val="-2"/>
                <w:w w:val="105"/>
                <w:szCs w:val="18"/>
              </w:rPr>
              <w:t>factories, hospitals</w:t>
            </w:r>
            <w:r>
              <w:rPr>
                <w:rFonts w:cs="Arial"/>
                <w:bCs/>
                <w:spacing w:val="-2"/>
                <w:w w:val="105"/>
                <w:szCs w:val="18"/>
              </w:rPr>
              <w:t xml:space="preserve">, and </w:t>
            </w:r>
            <w:r w:rsidRPr="006F19C2">
              <w:rPr>
                <w:rFonts w:cs="Arial"/>
                <w:bCs/>
                <w:spacing w:val="-2"/>
                <w:w w:val="105"/>
                <w:szCs w:val="18"/>
              </w:rPr>
              <w:t>transport</w:t>
            </w:r>
            <w:r>
              <w:rPr>
                <w:rFonts w:cs="Arial"/>
                <w:bCs/>
                <w:spacing w:val="-2"/>
                <w:w w:val="105"/>
                <w:szCs w:val="18"/>
              </w:rPr>
              <w:t xml:space="preserve"> </w:t>
            </w:r>
            <w:r w:rsidRPr="006F19C2">
              <w:rPr>
                <w:rFonts w:cs="Arial"/>
                <w:bCs/>
                <w:spacing w:val="-2"/>
                <w:w w:val="105"/>
                <w:szCs w:val="18"/>
              </w:rPr>
              <w:t>vehicles (including</w:t>
            </w:r>
            <w:r>
              <w:rPr>
                <w:rFonts w:cs="Arial"/>
                <w:bCs/>
                <w:spacing w:val="-2"/>
                <w:w w:val="105"/>
                <w:szCs w:val="18"/>
              </w:rPr>
              <w:t xml:space="preserve"> </w:t>
            </w:r>
            <w:r w:rsidRPr="006F19C2">
              <w:rPr>
                <w:rFonts w:cs="Arial"/>
                <w:bCs/>
                <w:spacing w:val="-2"/>
                <w:w w:val="105"/>
                <w:szCs w:val="18"/>
              </w:rPr>
              <w:t>ships)</w:t>
            </w:r>
            <w:r>
              <w:rPr>
                <w:rFonts w:cs="Arial"/>
                <w:bCs/>
                <w:spacing w:val="-2"/>
                <w:w w:val="105"/>
                <w:szCs w:val="18"/>
              </w:rPr>
              <w:t>.</w:t>
            </w:r>
          </w:p>
        </w:tc>
        <w:tc>
          <w:tcPr>
            <w:tcW w:w="629" w:type="pct"/>
          </w:tcPr>
          <w:p w14:paraId="26A97EBD" w14:textId="77777777" w:rsidR="008E67EA" w:rsidRPr="00867EDB" w:rsidRDefault="008E67EA" w:rsidP="00B44A74">
            <w:pPr>
              <w:spacing w:line="240" w:lineRule="exact"/>
              <w:rPr>
                <w:rFonts w:cs="Arial"/>
                <w:bCs/>
                <w:spacing w:val="-2"/>
                <w:w w:val="105"/>
                <w:szCs w:val="18"/>
              </w:rPr>
            </w:pPr>
            <w:r w:rsidRPr="00867EDB">
              <w:rPr>
                <w:rFonts w:cs="Arial"/>
                <w:bCs/>
                <w:spacing w:val="-2"/>
                <w:w w:val="105"/>
                <w:szCs w:val="18"/>
              </w:rPr>
              <w:t>Mice</w:t>
            </w:r>
          </w:p>
          <w:p w14:paraId="0F4D6883" w14:textId="4A77A863" w:rsidR="008E67EA" w:rsidRPr="00867EDB" w:rsidRDefault="008E67EA" w:rsidP="00834983">
            <w:pPr>
              <w:spacing w:line="240" w:lineRule="exact"/>
              <w:rPr>
                <w:rFonts w:cs="Arial"/>
                <w:bCs/>
                <w:spacing w:val="-2"/>
                <w:w w:val="105"/>
                <w:szCs w:val="18"/>
              </w:rPr>
            </w:pPr>
            <w:r w:rsidRPr="002F6425">
              <w:rPr>
                <w:rFonts w:cs="Arial"/>
                <w:bCs/>
                <w:i/>
                <w:iCs/>
                <w:spacing w:val="-2"/>
                <w:w w:val="105"/>
                <w:szCs w:val="18"/>
              </w:rPr>
              <w:t>(Mus domesticus)</w:t>
            </w:r>
          </w:p>
        </w:tc>
        <w:tc>
          <w:tcPr>
            <w:tcW w:w="646" w:type="pct"/>
          </w:tcPr>
          <w:p w14:paraId="27AF1413" w14:textId="77777777" w:rsidR="008E67EA" w:rsidRPr="00867EDB" w:rsidRDefault="008E67EA" w:rsidP="00B44A74">
            <w:pPr>
              <w:spacing w:line="240" w:lineRule="exact"/>
              <w:rPr>
                <w:rFonts w:cs="Arial"/>
                <w:bCs/>
                <w:spacing w:val="-2"/>
                <w:w w:val="105"/>
                <w:szCs w:val="18"/>
              </w:rPr>
            </w:pPr>
            <w:r>
              <w:rPr>
                <w:rFonts w:cs="Arial"/>
                <w:bCs/>
                <w:spacing w:val="-2"/>
                <w:w w:val="105"/>
                <w:szCs w:val="18"/>
              </w:rPr>
              <w:t xml:space="preserve">one 28 g block/bait station </w:t>
            </w:r>
          </w:p>
        </w:tc>
        <w:tc>
          <w:tcPr>
            <w:tcW w:w="2096" w:type="pct"/>
            <w:vMerge/>
          </w:tcPr>
          <w:p w14:paraId="02A1F65F" w14:textId="77777777" w:rsidR="008E67EA" w:rsidRPr="00867EDB" w:rsidRDefault="008E67EA" w:rsidP="00B44A74">
            <w:pPr>
              <w:spacing w:line="240" w:lineRule="exact"/>
              <w:rPr>
                <w:rFonts w:cs="Arial"/>
                <w:bCs/>
                <w:spacing w:val="-2"/>
                <w:w w:val="105"/>
                <w:szCs w:val="18"/>
              </w:rPr>
            </w:pPr>
          </w:p>
        </w:tc>
      </w:tr>
    </w:tbl>
    <w:p w14:paraId="7E00A6C6" w14:textId="77777777" w:rsidR="00834983" w:rsidRDefault="00834983" w:rsidP="008E67EA">
      <w:pPr>
        <w:spacing w:line="280" w:lineRule="exact"/>
        <w:rPr>
          <w:rFonts w:cs="Arial"/>
          <w:b/>
          <w:bCs/>
          <w:color w:val="000000" w:themeColor="text1"/>
          <w:sz w:val="20"/>
          <w:szCs w:val="20"/>
        </w:rPr>
      </w:pPr>
      <w:r>
        <w:rPr>
          <w:rFonts w:cs="Arial"/>
          <w:b/>
          <w:bCs/>
          <w:color w:val="000000" w:themeColor="text1"/>
          <w:sz w:val="20"/>
          <w:szCs w:val="20"/>
        </w:rPr>
        <w:br w:type="page"/>
      </w:r>
    </w:p>
    <w:p w14:paraId="208B7C9B" w14:textId="38E9D798" w:rsidR="008E67EA" w:rsidRPr="00867EDB" w:rsidRDefault="008E67EA" w:rsidP="008E67EA">
      <w:pPr>
        <w:spacing w:line="280" w:lineRule="exact"/>
        <w:rPr>
          <w:rFonts w:cs="Arial"/>
          <w:b/>
          <w:bCs/>
          <w:color w:val="000000" w:themeColor="text1"/>
          <w:sz w:val="20"/>
          <w:szCs w:val="20"/>
        </w:rPr>
      </w:pPr>
      <w:r w:rsidRPr="00867EDB">
        <w:rPr>
          <w:rFonts w:cs="Arial"/>
          <w:b/>
          <w:bCs/>
          <w:color w:val="000000" w:themeColor="text1"/>
          <w:sz w:val="20"/>
          <w:szCs w:val="20"/>
        </w:rPr>
        <w:lastRenderedPageBreak/>
        <w:t>Baiting Strategy</w:t>
      </w:r>
    </w:p>
    <w:p w14:paraId="2238034D" w14:textId="77777777" w:rsidR="008E67EA" w:rsidRPr="00B832BB"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Eliminate all alternative food sources as far as practical.</w:t>
      </w:r>
    </w:p>
    <w:p w14:paraId="59E37544" w14:textId="77777777" w:rsidR="008E67EA"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B832BB">
        <w:rPr>
          <w:rFonts w:eastAsia="Calibri" w:cs="Arial"/>
          <w:sz w:val="20"/>
          <w:szCs w:val="20"/>
          <w:bdr w:val="none" w:sz="0" w:space="0" w:color="auto" w:frame="1"/>
          <w:lang w:val="en-GB" w:eastAsia="en-AU"/>
        </w:rPr>
        <w:t>When used in food producing animal housing situations careful consideration is necessary regarding the placement of bait stations to ensure any rodenticide contamination of water, feed or livestock is prevented.</w:t>
      </w:r>
    </w:p>
    <w:p w14:paraId="061698CF" w14:textId="77777777" w:rsidR="008E67EA" w:rsidRPr="00B832BB" w:rsidRDefault="008E67EA" w:rsidP="008E67EA">
      <w:pPr>
        <w:pStyle w:val="ListParagraph"/>
        <w:spacing w:after="120" w:line="280" w:lineRule="exact"/>
        <w:ind w:left="426"/>
        <w:rPr>
          <w:rFonts w:eastAsia="Calibri" w:cs="Arial"/>
          <w:sz w:val="20"/>
          <w:szCs w:val="20"/>
          <w:bdr w:val="none" w:sz="0" w:space="0" w:color="auto" w:frame="1"/>
          <w:lang w:val="en-GB" w:eastAsia="en-AU"/>
        </w:rPr>
      </w:pPr>
    </w:p>
    <w:p w14:paraId="2BF0EE47" w14:textId="77777777" w:rsidR="008E67EA" w:rsidRPr="00867EDB" w:rsidRDefault="008E67EA" w:rsidP="008E67EA">
      <w:pPr>
        <w:spacing w:line="280" w:lineRule="exact"/>
        <w:rPr>
          <w:rFonts w:cs="Arial"/>
          <w:b/>
          <w:bCs/>
          <w:i/>
          <w:iCs/>
          <w:color w:val="000000" w:themeColor="text1"/>
          <w:sz w:val="20"/>
          <w:szCs w:val="20"/>
        </w:rPr>
      </w:pPr>
      <w:r w:rsidRPr="00867EDB">
        <w:rPr>
          <w:rFonts w:cs="Arial"/>
          <w:b/>
          <w:bCs/>
          <w:i/>
          <w:iCs/>
          <w:color w:val="000000" w:themeColor="text1"/>
          <w:sz w:val="20"/>
          <w:szCs w:val="20"/>
        </w:rPr>
        <w:t xml:space="preserve">Clean Out Treatments (Pulse Baiting) </w:t>
      </w:r>
    </w:p>
    <w:p w14:paraId="54F1F2A8" w14:textId="77777777" w:rsidR="008E67EA"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Survey site prior to treatment, including assessment of the extent of infestation and identification of any indications of the presence of non-target animals.</w:t>
      </w:r>
    </w:p>
    <w:p w14:paraId="60F70134" w14:textId="77777777" w:rsidR="008E67EA" w:rsidRPr="00F50857"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B01447">
        <w:rPr>
          <w:rFonts w:eastAsia="Calibri" w:cs="Arial"/>
          <w:sz w:val="20"/>
          <w:szCs w:val="20"/>
          <w:bdr w:val="none" w:sz="0" w:space="0" w:color="auto" w:frame="1"/>
          <w:lang w:val="en-GB" w:eastAsia="en-AU"/>
        </w:rPr>
        <w:t xml:space="preserve">Record the number and locations of bait stations for </w:t>
      </w:r>
      <w:r>
        <w:rPr>
          <w:rFonts w:eastAsia="Calibri" w:cs="Arial"/>
          <w:sz w:val="20"/>
          <w:szCs w:val="20"/>
          <w:bdr w:val="none" w:sz="0" w:space="0" w:color="auto" w:frame="1"/>
          <w:lang w:val="en-GB" w:eastAsia="en-AU"/>
        </w:rPr>
        <w:t xml:space="preserve">the </w:t>
      </w:r>
      <w:r w:rsidRPr="00B01447">
        <w:rPr>
          <w:rFonts w:eastAsia="Calibri" w:cs="Arial"/>
          <w:sz w:val="20"/>
          <w:szCs w:val="20"/>
          <w:bdr w:val="none" w:sz="0" w:space="0" w:color="auto" w:frame="1"/>
          <w:lang w:val="en-GB" w:eastAsia="en-AU"/>
        </w:rPr>
        <w:t>purpose of inspection, replacement and later removal.</w:t>
      </w:r>
    </w:p>
    <w:p w14:paraId="7EF6107D" w14:textId="7A0B01D9" w:rsidR="008E67EA" w:rsidRPr="0013304D"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Pr>
          <w:rFonts w:eastAsia="Calibri" w:cs="Arial"/>
          <w:sz w:val="20"/>
          <w:szCs w:val="20"/>
          <w:bdr w:val="none" w:sz="0" w:space="0" w:color="auto" w:frame="1"/>
          <w:lang w:val="en-GB" w:eastAsia="en-AU"/>
        </w:rPr>
        <w:t>Place secured bait blocks</w:t>
      </w:r>
      <w:r w:rsidRPr="00641519">
        <w:rPr>
          <w:rFonts w:eastAsia="Calibri" w:cs="Arial"/>
          <w:sz w:val="20"/>
          <w:szCs w:val="20"/>
          <w:bdr w:val="none" w:sz="0" w:space="0" w:color="auto" w:frame="1"/>
          <w:lang w:val="en-GB" w:eastAsia="en-AU"/>
        </w:rPr>
        <w:t xml:space="preserve"> </w:t>
      </w:r>
      <w:r>
        <w:rPr>
          <w:rFonts w:eastAsia="Calibri" w:cs="Arial"/>
          <w:sz w:val="20"/>
          <w:szCs w:val="20"/>
          <w:bdr w:val="none" w:sz="0" w:space="0" w:color="auto" w:frame="1"/>
          <w:lang w:val="en-GB" w:eastAsia="en-AU"/>
        </w:rPr>
        <w:t>where inaccessible t</w:t>
      </w:r>
      <w:r w:rsidRPr="00641519">
        <w:rPr>
          <w:rFonts w:eastAsia="Calibri" w:cs="Arial"/>
          <w:sz w:val="20"/>
          <w:szCs w:val="20"/>
          <w:bdr w:val="none" w:sz="0" w:space="0" w:color="auto" w:frame="1"/>
          <w:lang w:val="en-GB" w:eastAsia="en-AU"/>
        </w:rPr>
        <w:t>o non-target animals.</w:t>
      </w:r>
      <w:r w:rsidRPr="00F50857">
        <w:t xml:space="preserve"> </w:t>
      </w:r>
      <w:r>
        <w:rPr>
          <w:rFonts w:eastAsia="Calibri" w:cs="Arial"/>
          <w:sz w:val="20"/>
          <w:szCs w:val="20"/>
          <w:bdr w:val="none" w:sz="0" w:space="0" w:color="auto" w:frame="1"/>
          <w:lang w:val="en-GB" w:eastAsia="en-AU"/>
        </w:rPr>
        <w:t xml:space="preserve">Always use </w:t>
      </w:r>
      <w:r w:rsidRPr="00A86A4B">
        <w:rPr>
          <w:rFonts w:cs="Arial"/>
          <w:sz w:val="20"/>
          <w:szCs w:val="20"/>
          <w:bdr w:val="none" w:sz="0" w:space="0" w:color="auto" w:frame="1"/>
          <w:lang w:val="en-GB" w:eastAsia="en-AU"/>
        </w:rPr>
        <w:t>tamper</w:t>
      </w:r>
      <w:r>
        <w:rPr>
          <w:rFonts w:cs="Arial"/>
          <w:sz w:val="20"/>
          <w:szCs w:val="20"/>
          <w:bdr w:val="none" w:sz="0" w:space="0" w:color="auto" w:frame="1"/>
          <w:lang w:val="en-GB" w:eastAsia="en-AU"/>
        </w:rPr>
        <w:t>-resistant bait stations that are secured in place in child accessible areas, outdoors and in animal or livestock housing.</w:t>
      </w:r>
    </w:p>
    <w:p w14:paraId="40E37B21" w14:textId="77777777" w:rsidR="008E67EA" w:rsidRPr="00304271"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304271">
        <w:rPr>
          <w:rFonts w:eastAsia="Calibri" w:cs="Arial"/>
          <w:sz w:val="20"/>
          <w:szCs w:val="20"/>
          <w:bdr w:val="none" w:sz="0" w:space="0" w:color="auto" w:frame="1"/>
          <w:lang w:eastAsia="en-AU"/>
        </w:rPr>
        <w:t xml:space="preserve">Inspect bait stations after 3 or 4 days after initial baiting and replace any bait that has been consumed. Repeat inspection 4 days later and then at least weekly, replacing any </w:t>
      </w:r>
      <w:r>
        <w:rPr>
          <w:rFonts w:eastAsia="Calibri" w:cs="Arial"/>
          <w:sz w:val="20"/>
          <w:szCs w:val="20"/>
          <w:bdr w:val="none" w:sz="0" w:space="0" w:color="auto" w:frame="1"/>
          <w:lang w:eastAsia="en-AU"/>
        </w:rPr>
        <w:t>c</w:t>
      </w:r>
      <w:r w:rsidRPr="00304271">
        <w:rPr>
          <w:rFonts w:eastAsia="Calibri" w:cs="Arial"/>
          <w:sz w:val="20"/>
          <w:szCs w:val="20"/>
          <w:bdr w:val="none" w:sz="0" w:space="0" w:color="auto" w:frame="1"/>
          <w:lang w:eastAsia="en-AU"/>
        </w:rPr>
        <w:t>onsumed, contaminated, or spoiled baits.</w:t>
      </w:r>
    </w:p>
    <w:p w14:paraId="71F7743B" w14:textId="77777777" w:rsidR="008E67EA" w:rsidRPr="00641519"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 xml:space="preserve">Discontinue the treatment when effective control has been achieved and remove all </w:t>
      </w:r>
      <w:r>
        <w:rPr>
          <w:rFonts w:eastAsia="Calibri" w:cs="Arial"/>
          <w:sz w:val="20"/>
          <w:szCs w:val="20"/>
          <w:bdr w:val="none" w:sz="0" w:space="0" w:color="auto" w:frame="1"/>
          <w:lang w:val="en-GB" w:eastAsia="en-AU"/>
        </w:rPr>
        <w:t>bait</w:t>
      </w:r>
      <w:r w:rsidRPr="00641519">
        <w:rPr>
          <w:rFonts w:eastAsia="Calibri" w:cs="Arial"/>
          <w:sz w:val="20"/>
          <w:szCs w:val="20"/>
          <w:bdr w:val="none" w:sz="0" w:space="0" w:color="auto" w:frame="1"/>
          <w:lang w:val="en-GB" w:eastAsia="en-AU"/>
        </w:rPr>
        <w:t xml:space="preserve"> and bait stations unless a maintenance treatment is to be undertaken.</w:t>
      </w:r>
    </w:p>
    <w:p w14:paraId="3D32F412" w14:textId="77777777" w:rsidR="008E67EA" w:rsidRPr="00641519"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DO NOT use the product beyond 35 days without an evaluation of the state of the infestation and of the efficacy of the treatment.</w:t>
      </w:r>
    </w:p>
    <w:p w14:paraId="66CA1B19" w14:textId="77777777" w:rsidR="008E67EA"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0D6A93">
        <w:rPr>
          <w:rFonts w:eastAsia="Calibri" w:cs="Arial"/>
          <w:sz w:val="20"/>
          <w:szCs w:val="20"/>
          <w:bdr w:val="none" w:sz="0" w:space="0" w:color="auto" w:frame="1"/>
          <w:lang w:val="en-GB" w:eastAsia="en-AU"/>
        </w:rPr>
        <w:t>Remove all uneaten bait at the end of treatment.</w:t>
      </w:r>
      <w:r>
        <w:rPr>
          <w:rFonts w:eastAsia="Calibri" w:cs="Arial"/>
          <w:sz w:val="20"/>
          <w:szCs w:val="20"/>
          <w:bdr w:val="none" w:sz="0" w:space="0" w:color="auto" w:frame="1"/>
          <w:lang w:val="en-GB" w:eastAsia="en-AU"/>
        </w:rPr>
        <w:t xml:space="preserve"> </w:t>
      </w:r>
    </w:p>
    <w:p w14:paraId="727E6FA3" w14:textId="77777777" w:rsidR="008E67EA" w:rsidRPr="000D6A93"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0D6A93">
        <w:rPr>
          <w:rFonts w:eastAsia="Calibri" w:cs="Arial"/>
          <w:sz w:val="20"/>
          <w:szCs w:val="20"/>
          <w:bdr w:val="none" w:sz="0" w:space="0" w:color="auto" w:frame="1"/>
          <w:lang w:eastAsia="en-AU"/>
        </w:rPr>
        <w:t>To prevent reinfestation, eliminate food, water and harbourage as much as possible. If</w:t>
      </w:r>
      <w:r>
        <w:rPr>
          <w:rFonts w:eastAsia="Calibri" w:cs="Arial"/>
          <w:sz w:val="20"/>
          <w:szCs w:val="20"/>
          <w:bdr w:val="none" w:sz="0" w:space="0" w:color="auto" w:frame="1"/>
          <w:lang w:eastAsia="en-AU"/>
        </w:rPr>
        <w:t xml:space="preserve"> </w:t>
      </w:r>
      <w:r w:rsidRPr="000D6A93">
        <w:rPr>
          <w:rFonts w:eastAsia="Calibri" w:cs="Arial"/>
          <w:sz w:val="20"/>
          <w:szCs w:val="20"/>
          <w:bdr w:val="none" w:sz="0" w:space="0" w:color="auto" w:frame="1"/>
          <w:lang w:eastAsia="en-AU"/>
        </w:rPr>
        <w:t>reinfestation should occur, repeat treatment</w:t>
      </w:r>
    </w:p>
    <w:p w14:paraId="778DAD15" w14:textId="1352CEDB" w:rsidR="008E67EA" w:rsidRPr="00867EDB" w:rsidRDefault="008E67EA" w:rsidP="008E67EA">
      <w:pPr>
        <w:spacing w:line="280" w:lineRule="exact"/>
        <w:rPr>
          <w:rFonts w:cs="Arial"/>
          <w:b/>
          <w:bCs/>
          <w:i/>
          <w:iCs/>
          <w:color w:val="000000" w:themeColor="text1"/>
          <w:sz w:val="20"/>
          <w:szCs w:val="20"/>
        </w:rPr>
      </w:pPr>
      <w:r w:rsidRPr="00867EDB">
        <w:rPr>
          <w:rFonts w:cs="Arial"/>
          <w:b/>
          <w:bCs/>
          <w:i/>
          <w:iCs/>
          <w:color w:val="000000" w:themeColor="text1"/>
          <w:sz w:val="20"/>
          <w:szCs w:val="20"/>
        </w:rPr>
        <w:t>Monitoring and/or Maintenance Treatments</w:t>
      </w:r>
    </w:p>
    <w:p w14:paraId="1135FBFD" w14:textId="77777777" w:rsidR="008E67EA" w:rsidRPr="00B832BB"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Monitoring and maintenance treatments are required at sensitive sites where there is no current rodent infestation but where the prevention of such infestation is essential to prevent significant risks to human health. Such treatments may be a condition for audit approval within food safety guidelines. However, use of this product must comply with the conditions of this label.</w:t>
      </w:r>
    </w:p>
    <w:p w14:paraId="5F10C80A" w14:textId="77777777" w:rsidR="008E67EA"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3976C7">
        <w:rPr>
          <w:rFonts w:eastAsia="Calibri" w:cs="Arial"/>
          <w:sz w:val="20"/>
          <w:szCs w:val="20"/>
          <w:bdr w:val="none" w:sz="0" w:space="0" w:color="auto" w:frame="1"/>
          <w:lang w:eastAsia="en-AU"/>
        </w:rPr>
        <w:t>Always record the number and locations of bait stations for the purpose of bait replacement and later removal.</w:t>
      </w:r>
    </w:p>
    <w:p w14:paraId="21D70B24" w14:textId="77777777" w:rsidR="008E67EA" w:rsidRPr="00304271"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304271">
        <w:rPr>
          <w:rFonts w:eastAsia="Calibri" w:cs="Arial"/>
          <w:sz w:val="20"/>
          <w:szCs w:val="20"/>
          <w:bdr w:val="none" w:sz="0" w:space="0" w:color="auto" w:frame="1"/>
          <w:lang w:eastAsia="en-AU"/>
        </w:rPr>
        <w:t>Always use tamper resistant bait stations for monitoring and maintenance programs to prevent access to the bait by non-target species. Fix the stations securely to the substrate.</w:t>
      </w:r>
    </w:p>
    <w:p w14:paraId="51D31FF2" w14:textId="77777777" w:rsidR="008E67EA" w:rsidRPr="00641519"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 xml:space="preserve">Bait stations should be </w:t>
      </w:r>
      <w:r>
        <w:rPr>
          <w:rFonts w:eastAsia="Calibri" w:cs="Arial"/>
          <w:sz w:val="20"/>
          <w:szCs w:val="20"/>
          <w:bdr w:val="none" w:sz="0" w:space="0" w:color="auto" w:frame="1"/>
          <w:lang w:val="en-GB" w:eastAsia="en-AU"/>
        </w:rPr>
        <w:t>inspected</w:t>
      </w:r>
      <w:r w:rsidRPr="00641519">
        <w:rPr>
          <w:rFonts w:eastAsia="Calibri" w:cs="Arial"/>
          <w:sz w:val="20"/>
          <w:szCs w:val="20"/>
          <w:bdr w:val="none" w:sz="0" w:space="0" w:color="auto" w:frame="1"/>
          <w:lang w:val="en-GB" w:eastAsia="en-AU"/>
        </w:rPr>
        <w:t xml:space="preserve"> at regular intervals</w:t>
      </w:r>
      <w:r>
        <w:rPr>
          <w:rFonts w:eastAsia="Calibri" w:cs="Arial"/>
          <w:sz w:val="20"/>
          <w:szCs w:val="20"/>
          <w:bdr w:val="none" w:sz="0" w:space="0" w:color="auto" w:frame="1"/>
          <w:lang w:val="en-GB" w:eastAsia="en-AU"/>
        </w:rPr>
        <w:t xml:space="preserve"> no more than 7 days apart</w:t>
      </w:r>
      <w:r w:rsidRPr="00641519">
        <w:rPr>
          <w:rFonts w:eastAsia="Calibri" w:cs="Arial"/>
          <w:sz w:val="20"/>
          <w:szCs w:val="20"/>
          <w:bdr w:val="none" w:sz="0" w:space="0" w:color="auto" w:frame="1"/>
          <w:lang w:val="en-GB" w:eastAsia="en-AU"/>
        </w:rPr>
        <w:t xml:space="preserve"> according to an agreed and documented schedule.</w:t>
      </w:r>
      <w:r w:rsidRPr="002B4020">
        <w:t xml:space="preserve"> </w:t>
      </w:r>
      <w:r w:rsidRPr="002B4020">
        <w:rPr>
          <w:rFonts w:eastAsia="Calibri" w:cs="Arial"/>
          <w:sz w:val="20"/>
          <w:szCs w:val="20"/>
          <w:bdr w:val="none" w:sz="0" w:space="0" w:color="auto" w:frame="1"/>
          <w:lang w:eastAsia="en-AU"/>
        </w:rPr>
        <w:t>Replace contaminated or spoilt bait immediately.</w:t>
      </w:r>
    </w:p>
    <w:p w14:paraId="2B7D65C6" w14:textId="77777777" w:rsidR="008E67EA" w:rsidRPr="00641519"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Use placebo or unpoisoned bait blocks if the placement of the bait presents a hazard to non-target animals.</w:t>
      </w:r>
    </w:p>
    <w:p w14:paraId="04B63520" w14:textId="77777777" w:rsidR="008E67EA" w:rsidRPr="00641519"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eastAsia="en-AU"/>
        </w:rPr>
        <w:t>When a rodent infestation is detected</w:t>
      </w:r>
      <w:r>
        <w:rPr>
          <w:rFonts w:eastAsia="Calibri" w:cs="Arial"/>
          <w:sz w:val="20"/>
          <w:szCs w:val="20"/>
          <w:bdr w:val="none" w:sz="0" w:space="0" w:color="auto" w:frame="1"/>
          <w:lang w:eastAsia="en-AU"/>
        </w:rPr>
        <w:t>,</w:t>
      </w:r>
      <w:r w:rsidRPr="00641519">
        <w:rPr>
          <w:rFonts w:eastAsia="Calibri" w:cs="Arial"/>
          <w:sz w:val="20"/>
          <w:szCs w:val="20"/>
          <w:bdr w:val="none" w:sz="0" w:space="0" w:color="auto" w:frame="1"/>
          <w:lang w:eastAsia="en-AU"/>
        </w:rPr>
        <w:t xml:space="preserve"> </w:t>
      </w:r>
      <w:r>
        <w:rPr>
          <w:rFonts w:eastAsia="Calibri" w:cs="Arial"/>
          <w:sz w:val="20"/>
          <w:szCs w:val="20"/>
          <w:bdr w:val="none" w:sz="0" w:space="0" w:color="auto" w:frame="1"/>
          <w:lang w:eastAsia="en-AU"/>
        </w:rPr>
        <w:t xml:space="preserve">the operator should </w:t>
      </w:r>
      <w:r w:rsidRPr="00641519">
        <w:rPr>
          <w:rFonts w:eastAsia="Calibri" w:cs="Arial"/>
          <w:sz w:val="20"/>
          <w:szCs w:val="20"/>
          <w:bdr w:val="none" w:sz="0" w:space="0" w:color="auto" w:frame="1"/>
          <w:lang w:eastAsia="en-AU"/>
        </w:rPr>
        <w:t>revert to the directions for</w:t>
      </w:r>
      <w:r>
        <w:rPr>
          <w:rFonts w:eastAsia="Calibri" w:cs="Arial"/>
          <w:sz w:val="20"/>
          <w:szCs w:val="20"/>
          <w:bdr w:val="none" w:sz="0" w:space="0" w:color="auto" w:frame="1"/>
          <w:lang w:eastAsia="en-AU"/>
        </w:rPr>
        <w:t xml:space="preserve"> </w:t>
      </w:r>
      <w:r w:rsidRPr="00304271">
        <w:rPr>
          <w:rFonts w:eastAsia="Calibri" w:cs="Arial"/>
          <w:sz w:val="20"/>
          <w:szCs w:val="20"/>
          <w:bdr w:val="none" w:sz="0" w:space="0" w:color="auto" w:frame="1"/>
          <w:lang w:eastAsia="en-AU"/>
        </w:rPr>
        <w:t>active infestation/clean</w:t>
      </w:r>
      <w:r>
        <w:rPr>
          <w:rFonts w:eastAsia="Calibri" w:cs="Arial"/>
          <w:sz w:val="20"/>
          <w:szCs w:val="20"/>
          <w:bdr w:val="none" w:sz="0" w:space="0" w:color="auto" w:frame="1"/>
          <w:lang w:eastAsia="en-AU"/>
        </w:rPr>
        <w:t>-</w:t>
      </w:r>
      <w:r w:rsidRPr="00304271">
        <w:rPr>
          <w:rFonts w:eastAsia="Calibri" w:cs="Arial"/>
          <w:sz w:val="20"/>
          <w:szCs w:val="20"/>
          <w:bdr w:val="none" w:sz="0" w:space="0" w:color="auto" w:frame="1"/>
          <w:lang w:eastAsia="en-AU"/>
        </w:rPr>
        <w:t>out treatments.</w:t>
      </w:r>
    </w:p>
    <w:p w14:paraId="605650FC" w14:textId="3E18A6CD" w:rsidR="008E67EA" w:rsidRDefault="008E67EA" w:rsidP="00834983">
      <w:pPr>
        <w:spacing w:line="280" w:lineRule="exact"/>
        <w:rPr>
          <w:rFonts w:cs="Arial"/>
          <w:b/>
          <w:bCs/>
          <w:sz w:val="20"/>
          <w:szCs w:val="20"/>
          <w:bdr w:val="none" w:sz="0" w:space="0" w:color="auto" w:frame="1"/>
          <w:lang w:val="en-GB" w:eastAsia="en-AU"/>
        </w:rPr>
      </w:pPr>
      <w:r w:rsidRPr="002F6425">
        <w:rPr>
          <w:rFonts w:cs="Arial"/>
          <w:b/>
          <w:bCs/>
          <w:color w:val="000000" w:themeColor="text1"/>
          <w:sz w:val="20"/>
          <w:szCs w:val="20"/>
        </w:rPr>
        <w:t>NOT TO BE USED FOR ANY PURPOSE, OR IN ANY MANNER, CONTRARY TO THIS LABEL UNLESS</w:t>
      </w:r>
      <w:r>
        <w:rPr>
          <w:rFonts w:cs="Arial"/>
          <w:b/>
          <w:bCs/>
          <w:color w:val="000000" w:themeColor="text1"/>
          <w:sz w:val="20"/>
          <w:szCs w:val="20"/>
        </w:rPr>
        <w:t xml:space="preserve"> </w:t>
      </w:r>
      <w:r w:rsidRPr="002F6425">
        <w:rPr>
          <w:rFonts w:cs="Arial"/>
          <w:b/>
          <w:bCs/>
          <w:color w:val="000000" w:themeColor="text1"/>
          <w:sz w:val="20"/>
          <w:szCs w:val="20"/>
        </w:rPr>
        <w:t>AUTHORISED UNDER APPROPRIATE LEGISLATION</w:t>
      </w:r>
      <w:r>
        <w:rPr>
          <w:rFonts w:cs="Arial"/>
          <w:b/>
          <w:bCs/>
          <w:sz w:val="20"/>
          <w:szCs w:val="20"/>
          <w:bdr w:val="none" w:sz="0" w:space="0" w:color="auto" w:frame="1"/>
          <w:lang w:val="en-GB" w:eastAsia="en-AU"/>
        </w:rPr>
        <w:br w:type="page"/>
      </w:r>
    </w:p>
    <w:p w14:paraId="6A6DC669" w14:textId="77777777" w:rsidR="008E67EA"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lastRenderedPageBreak/>
        <w:t xml:space="preserve">Template Label </w:t>
      </w:r>
      <w:r>
        <w:rPr>
          <w:rFonts w:cs="Arial"/>
          <w:b/>
          <w:bCs/>
          <w:sz w:val="20"/>
          <w:szCs w:val="20"/>
          <w:bdr w:val="none" w:sz="0" w:space="0" w:color="auto" w:frame="1"/>
          <w:lang w:val="en-GB" w:eastAsia="en-AU"/>
        </w:rPr>
        <w:t>8b</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163597" w14:paraId="73F09A4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0619572" w14:textId="77777777" w:rsidR="008E67EA" w:rsidRPr="00163597" w:rsidRDefault="008E67EA" w:rsidP="00B44A74">
            <w:pPr>
              <w:spacing w:line="280" w:lineRule="exact"/>
              <w:rPr>
                <w:rFonts w:cs="Arial"/>
                <w:sz w:val="20"/>
                <w:szCs w:val="20"/>
              </w:rPr>
            </w:pPr>
            <w:r w:rsidRPr="00163597">
              <w:rPr>
                <w:rFonts w:cs="Arial"/>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0AAEEE17" w14:textId="77777777" w:rsidR="008E67EA" w:rsidRPr="00163597" w:rsidRDefault="008E67EA" w:rsidP="00B44A74">
            <w:pPr>
              <w:spacing w:line="280" w:lineRule="exact"/>
              <w:rPr>
                <w:rFonts w:cs="Arial"/>
                <w:sz w:val="20"/>
                <w:szCs w:val="20"/>
              </w:rPr>
            </w:pPr>
            <w:r w:rsidRPr="00163597">
              <w:rPr>
                <w:rFonts w:cs="Arial"/>
                <w:sz w:val="20"/>
                <w:szCs w:val="20"/>
              </w:rPr>
              <w:t>[INSERT LABEL NAME]</w:t>
            </w:r>
            <w:r w:rsidRPr="00163597" w:rsidDel="002E1B63">
              <w:rPr>
                <w:rFonts w:cs="Arial"/>
                <w:sz w:val="20"/>
                <w:szCs w:val="20"/>
              </w:rPr>
              <w:t xml:space="preserve"> </w:t>
            </w:r>
          </w:p>
        </w:tc>
      </w:tr>
      <w:tr w:rsidR="008E67EA" w:rsidRPr="00163597" w14:paraId="3AEDFA73" w14:textId="77777777" w:rsidTr="00B44A74">
        <w:trPr>
          <w:jc w:val="center"/>
        </w:trPr>
        <w:tc>
          <w:tcPr>
            <w:tcW w:w="2415" w:type="dxa"/>
            <w:tcBorders>
              <w:top w:val="single" w:sz="4" w:space="0" w:color="auto"/>
              <w:left w:val="nil"/>
              <w:bottom w:val="single" w:sz="4" w:space="0" w:color="auto"/>
              <w:right w:val="nil"/>
            </w:tcBorders>
          </w:tcPr>
          <w:p w14:paraId="705AAEC4" w14:textId="77777777" w:rsidR="008E67EA" w:rsidRPr="0016359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1EF787B" w14:textId="77777777" w:rsidR="008E67EA" w:rsidRPr="00163597" w:rsidRDefault="008E67EA" w:rsidP="00B44A74">
            <w:pPr>
              <w:spacing w:line="280" w:lineRule="exact"/>
              <w:rPr>
                <w:rFonts w:cs="Arial"/>
                <w:sz w:val="20"/>
                <w:szCs w:val="20"/>
              </w:rPr>
            </w:pPr>
          </w:p>
        </w:tc>
      </w:tr>
      <w:tr w:rsidR="008E67EA" w:rsidRPr="00163597" w14:paraId="1FD1B46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6ADD99B" w14:textId="77777777" w:rsidR="008E67EA" w:rsidRPr="00163597" w:rsidRDefault="008E67EA" w:rsidP="00B44A74">
            <w:pPr>
              <w:spacing w:line="280" w:lineRule="exact"/>
              <w:rPr>
                <w:rFonts w:cs="Arial"/>
                <w:sz w:val="20"/>
                <w:szCs w:val="20"/>
              </w:rPr>
            </w:pPr>
            <w:r w:rsidRPr="00163597">
              <w:rPr>
                <w:rFonts w:cs="Arial"/>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6681E241" w14:textId="77777777" w:rsidR="008E67EA" w:rsidRPr="00163597" w:rsidRDefault="008E67EA" w:rsidP="00B44A74">
            <w:pPr>
              <w:spacing w:line="280" w:lineRule="exact"/>
              <w:rPr>
                <w:rFonts w:cs="Arial"/>
                <w:sz w:val="20"/>
                <w:szCs w:val="20"/>
              </w:rPr>
            </w:pPr>
            <w:r w:rsidRPr="00163597">
              <w:rPr>
                <w:rFonts w:cs="Arial"/>
                <w:color w:val="000000"/>
                <w:sz w:val="20"/>
                <w:szCs w:val="20"/>
              </w:rPr>
              <w:t>POISON</w:t>
            </w:r>
            <w:r w:rsidRPr="00163597">
              <w:rPr>
                <w:rFonts w:cs="Arial"/>
                <w:color w:val="000000"/>
                <w:sz w:val="20"/>
                <w:szCs w:val="20"/>
              </w:rPr>
              <w:br/>
              <w:t>KEEP OUT OF REACH OF CHILDREN</w:t>
            </w:r>
            <w:r w:rsidRPr="00163597">
              <w:rPr>
                <w:rFonts w:cs="Arial"/>
                <w:color w:val="000000"/>
                <w:sz w:val="20"/>
                <w:szCs w:val="20"/>
              </w:rPr>
              <w:br/>
              <w:t>READ SAFETY DIRECTIONS BEFORE OPENING OR USING</w:t>
            </w:r>
          </w:p>
        </w:tc>
      </w:tr>
      <w:tr w:rsidR="008E67EA" w:rsidRPr="00163597" w14:paraId="7B248AC5" w14:textId="77777777" w:rsidTr="00B44A74">
        <w:trPr>
          <w:jc w:val="center"/>
        </w:trPr>
        <w:tc>
          <w:tcPr>
            <w:tcW w:w="2415" w:type="dxa"/>
            <w:tcBorders>
              <w:top w:val="single" w:sz="4" w:space="0" w:color="auto"/>
              <w:left w:val="nil"/>
              <w:bottom w:val="single" w:sz="4" w:space="0" w:color="auto"/>
              <w:right w:val="nil"/>
            </w:tcBorders>
          </w:tcPr>
          <w:p w14:paraId="4B019BC5" w14:textId="77777777" w:rsidR="008E67EA" w:rsidRPr="0016359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7C1A6B1" w14:textId="77777777" w:rsidR="008E67EA" w:rsidRPr="00163597" w:rsidRDefault="008E67EA" w:rsidP="00B44A74">
            <w:pPr>
              <w:spacing w:line="280" w:lineRule="exact"/>
              <w:rPr>
                <w:rFonts w:cs="Arial"/>
                <w:sz w:val="20"/>
                <w:szCs w:val="20"/>
              </w:rPr>
            </w:pPr>
          </w:p>
        </w:tc>
      </w:tr>
      <w:tr w:rsidR="008E67EA" w:rsidRPr="00163597" w14:paraId="08EEA25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3ECA9CB" w14:textId="77777777" w:rsidR="008E67EA" w:rsidRPr="00163597" w:rsidRDefault="008E67EA" w:rsidP="00B44A74">
            <w:pPr>
              <w:spacing w:line="280" w:lineRule="exact"/>
              <w:rPr>
                <w:rFonts w:cs="Arial"/>
                <w:sz w:val="20"/>
                <w:szCs w:val="20"/>
              </w:rPr>
            </w:pPr>
            <w:r w:rsidRPr="00163597">
              <w:rPr>
                <w:rFonts w:cs="Arial"/>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693A9EE5" w14:textId="77777777" w:rsidR="008E67EA" w:rsidRPr="00163597" w:rsidRDefault="008E67EA" w:rsidP="00B44A74">
            <w:pPr>
              <w:spacing w:line="280" w:lineRule="exact"/>
              <w:rPr>
                <w:rFonts w:cs="Arial"/>
                <w:sz w:val="20"/>
                <w:szCs w:val="20"/>
              </w:rPr>
            </w:pPr>
            <w:r>
              <w:rPr>
                <w:rFonts w:cs="Arial"/>
                <w:color w:val="000000"/>
                <w:sz w:val="20"/>
                <w:szCs w:val="20"/>
              </w:rPr>
              <w:t xml:space="preserve">ACTIVE CONSTITUENT: </w:t>
            </w:r>
            <w:r w:rsidRPr="00163597">
              <w:rPr>
                <w:rFonts w:cs="Arial"/>
                <w:color w:val="000000"/>
                <w:sz w:val="20"/>
                <w:szCs w:val="20"/>
              </w:rPr>
              <w:t>0.05 g/kg BROMADIOLONE</w:t>
            </w:r>
          </w:p>
        </w:tc>
      </w:tr>
      <w:tr w:rsidR="008E67EA" w:rsidRPr="00163597" w14:paraId="4798AF98" w14:textId="77777777" w:rsidTr="00B44A74">
        <w:trPr>
          <w:jc w:val="center"/>
        </w:trPr>
        <w:tc>
          <w:tcPr>
            <w:tcW w:w="2415" w:type="dxa"/>
            <w:tcBorders>
              <w:top w:val="single" w:sz="4" w:space="0" w:color="auto"/>
              <w:left w:val="nil"/>
              <w:bottom w:val="single" w:sz="4" w:space="0" w:color="auto"/>
              <w:right w:val="nil"/>
            </w:tcBorders>
          </w:tcPr>
          <w:p w14:paraId="45D6B3B4" w14:textId="77777777" w:rsidR="008E67EA" w:rsidRPr="0016359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8B8E0E6" w14:textId="77777777" w:rsidR="008E67EA" w:rsidRPr="00163597" w:rsidRDefault="008E67EA" w:rsidP="00B44A74">
            <w:pPr>
              <w:spacing w:line="280" w:lineRule="exact"/>
              <w:rPr>
                <w:rFonts w:cs="Arial"/>
                <w:sz w:val="20"/>
                <w:szCs w:val="20"/>
              </w:rPr>
            </w:pPr>
          </w:p>
        </w:tc>
      </w:tr>
      <w:tr w:rsidR="008E67EA" w:rsidRPr="00163597" w14:paraId="29D715B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7954478" w14:textId="77777777" w:rsidR="008E67EA" w:rsidRPr="00163597" w:rsidRDefault="008E67EA" w:rsidP="00B44A74">
            <w:pPr>
              <w:spacing w:line="280" w:lineRule="exact"/>
              <w:rPr>
                <w:rFonts w:cs="Arial"/>
                <w:sz w:val="20"/>
                <w:szCs w:val="20"/>
              </w:rPr>
            </w:pPr>
            <w:r w:rsidRPr="00163597">
              <w:rPr>
                <w:rFonts w:cs="Arial"/>
                <w:sz w:val="20"/>
                <w:szCs w:val="20"/>
              </w:rPr>
              <w:t>Mode of Action:</w:t>
            </w:r>
          </w:p>
        </w:tc>
        <w:tc>
          <w:tcPr>
            <w:tcW w:w="7755" w:type="dxa"/>
            <w:tcBorders>
              <w:top w:val="single" w:sz="4" w:space="0" w:color="auto"/>
              <w:left w:val="single" w:sz="4" w:space="0" w:color="auto"/>
              <w:bottom w:val="single" w:sz="4" w:space="0" w:color="auto"/>
              <w:right w:val="single" w:sz="4" w:space="0" w:color="auto"/>
            </w:tcBorders>
          </w:tcPr>
          <w:p w14:paraId="447078CC" w14:textId="77777777" w:rsidR="008E67EA" w:rsidRPr="00163597" w:rsidRDefault="008E67EA" w:rsidP="00B44A74">
            <w:pPr>
              <w:spacing w:line="280" w:lineRule="exact"/>
              <w:jc w:val="both"/>
              <w:rPr>
                <w:rFonts w:cs="Arial"/>
                <w:sz w:val="20"/>
                <w:szCs w:val="20"/>
              </w:rPr>
            </w:pPr>
          </w:p>
        </w:tc>
      </w:tr>
      <w:tr w:rsidR="008E67EA" w:rsidRPr="00163597" w14:paraId="55656767" w14:textId="77777777" w:rsidTr="00B44A74">
        <w:trPr>
          <w:jc w:val="center"/>
        </w:trPr>
        <w:tc>
          <w:tcPr>
            <w:tcW w:w="2415" w:type="dxa"/>
            <w:tcBorders>
              <w:top w:val="single" w:sz="4" w:space="0" w:color="auto"/>
              <w:left w:val="nil"/>
              <w:bottom w:val="single" w:sz="4" w:space="0" w:color="auto"/>
              <w:right w:val="nil"/>
            </w:tcBorders>
          </w:tcPr>
          <w:p w14:paraId="3B68944D" w14:textId="77777777" w:rsidR="008E67EA" w:rsidRPr="0016359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60E15C1" w14:textId="77777777" w:rsidR="008E67EA" w:rsidRPr="00163597" w:rsidRDefault="008E67EA" w:rsidP="00B44A74">
            <w:pPr>
              <w:spacing w:line="280" w:lineRule="exact"/>
              <w:rPr>
                <w:rFonts w:cs="Arial"/>
                <w:sz w:val="20"/>
                <w:szCs w:val="20"/>
              </w:rPr>
            </w:pPr>
          </w:p>
        </w:tc>
      </w:tr>
      <w:tr w:rsidR="008E67EA" w:rsidRPr="00163597" w14:paraId="187CBF9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E3CAF8A" w14:textId="77777777" w:rsidR="008E67EA" w:rsidRPr="00163597" w:rsidRDefault="008E67EA" w:rsidP="00B44A74">
            <w:pPr>
              <w:spacing w:line="280" w:lineRule="exact"/>
              <w:rPr>
                <w:rFonts w:cs="Arial"/>
                <w:sz w:val="20"/>
                <w:szCs w:val="20"/>
              </w:rPr>
            </w:pPr>
            <w:r w:rsidRPr="00163597">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692701CB" w14:textId="6237CDC8" w:rsidR="008E67EA" w:rsidRPr="00163597" w:rsidRDefault="008E67EA" w:rsidP="00B44A74">
            <w:pPr>
              <w:spacing w:line="280" w:lineRule="exact"/>
              <w:rPr>
                <w:rFonts w:cs="Arial"/>
                <w:color w:val="000000"/>
                <w:sz w:val="20"/>
                <w:szCs w:val="20"/>
              </w:rPr>
            </w:pPr>
            <w:r w:rsidRPr="00163597">
              <w:rPr>
                <w:rFonts w:cs="Arial"/>
                <w:color w:val="000000"/>
                <w:sz w:val="20"/>
                <w:szCs w:val="20"/>
              </w:rPr>
              <w:t>For control of mice in domestic, commercial, public services, industrial and agricultural buildings and rats in and around domestic, commercial, public services.</w:t>
            </w:r>
            <w:r w:rsidR="00A34D88">
              <w:rPr>
                <w:rFonts w:cs="Arial"/>
                <w:color w:val="000000"/>
                <w:sz w:val="20"/>
                <w:szCs w:val="20"/>
              </w:rPr>
              <w:t xml:space="preserve"> </w:t>
            </w:r>
            <w:r w:rsidRPr="00163597">
              <w:rPr>
                <w:rFonts w:cs="Arial"/>
                <w:color w:val="000000"/>
                <w:sz w:val="20"/>
                <w:szCs w:val="20"/>
              </w:rPr>
              <w:t>Industrial and agricultural buildings.</w:t>
            </w:r>
          </w:p>
        </w:tc>
      </w:tr>
      <w:tr w:rsidR="008E67EA" w:rsidRPr="00163597" w14:paraId="35A0D700" w14:textId="77777777" w:rsidTr="00B44A74">
        <w:trPr>
          <w:jc w:val="center"/>
        </w:trPr>
        <w:tc>
          <w:tcPr>
            <w:tcW w:w="2415" w:type="dxa"/>
            <w:tcBorders>
              <w:top w:val="single" w:sz="4" w:space="0" w:color="auto"/>
              <w:left w:val="nil"/>
              <w:bottom w:val="single" w:sz="4" w:space="0" w:color="auto"/>
              <w:right w:val="nil"/>
            </w:tcBorders>
          </w:tcPr>
          <w:p w14:paraId="04CE941E" w14:textId="77777777" w:rsidR="008E67EA" w:rsidRPr="0016359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4150656" w14:textId="77777777" w:rsidR="008E67EA" w:rsidRPr="00163597" w:rsidRDefault="008E67EA" w:rsidP="00B44A74">
            <w:pPr>
              <w:spacing w:line="280" w:lineRule="exact"/>
              <w:rPr>
                <w:rFonts w:cs="Arial"/>
                <w:sz w:val="20"/>
                <w:szCs w:val="20"/>
              </w:rPr>
            </w:pPr>
          </w:p>
        </w:tc>
      </w:tr>
      <w:tr w:rsidR="008E67EA" w:rsidRPr="00163597" w14:paraId="646544B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664F8F5" w14:textId="77777777" w:rsidR="008E67EA" w:rsidRPr="00163597" w:rsidRDefault="008E67EA" w:rsidP="00B44A74">
            <w:pPr>
              <w:spacing w:line="280" w:lineRule="exact"/>
              <w:rPr>
                <w:rFonts w:cs="Arial"/>
                <w:sz w:val="20"/>
                <w:szCs w:val="20"/>
              </w:rPr>
            </w:pPr>
            <w:r w:rsidRPr="00163597">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1AAFC6AB" w14:textId="77777777" w:rsidR="008E67EA" w:rsidRPr="00163597" w:rsidRDefault="008E67EA" w:rsidP="00B44A74">
            <w:pPr>
              <w:spacing w:line="280" w:lineRule="exact"/>
              <w:rPr>
                <w:rFonts w:cs="Arial"/>
                <w:sz w:val="20"/>
                <w:szCs w:val="20"/>
              </w:rPr>
            </w:pPr>
            <w:r w:rsidRPr="00163597">
              <w:rPr>
                <w:rFonts w:cs="Arial"/>
                <w:sz w:val="20"/>
                <w:szCs w:val="20"/>
              </w:rPr>
              <w:t>[INSERT NET CONTENTS]</w:t>
            </w:r>
          </w:p>
        </w:tc>
      </w:tr>
      <w:tr w:rsidR="008E67EA" w:rsidRPr="00163597" w14:paraId="2F07341B" w14:textId="77777777" w:rsidTr="00B44A74">
        <w:trPr>
          <w:jc w:val="center"/>
        </w:trPr>
        <w:tc>
          <w:tcPr>
            <w:tcW w:w="2415" w:type="dxa"/>
            <w:tcBorders>
              <w:top w:val="single" w:sz="4" w:space="0" w:color="auto"/>
              <w:left w:val="nil"/>
              <w:bottom w:val="single" w:sz="4" w:space="0" w:color="auto"/>
              <w:right w:val="nil"/>
            </w:tcBorders>
          </w:tcPr>
          <w:p w14:paraId="1C0B16D3" w14:textId="77777777" w:rsidR="008E67EA" w:rsidRPr="0016359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0776268" w14:textId="77777777" w:rsidR="008E67EA" w:rsidRPr="00163597" w:rsidRDefault="008E67EA" w:rsidP="00B44A74">
            <w:pPr>
              <w:spacing w:line="280" w:lineRule="exact"/>
              <w:rPr>
                <w:rFonts w:cs="Arial"/>
                <w:sz w:val="20"/>
                <w:szCs w:val="20"/>
              </w:rPr>
            </w:pPr>
          </w:p>
        </w:tc>
      </w:tr>
      <w:tr w:rsidR="008E67EA" w:rsidRPr="00163597" w14:paraId="4D741A7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266C141" w14:textId="77777777" w:rsidR="008E67EA" w:rsidRPr="00163597" w:rsidRDefault="008E67EA" w:rsidP="00B44A74">
            <w:pPr>
              <w:spacing w:line="280" w:lineRule="exact"/>
              <w:rPr>
                <w:rFonts w:cs="Arial"/>
                <w:sz w:val="20"/>
                <w:szCs w:val="20"/>
              </w:rPr>
            </w:pPr>
            <w:r w:rsidRPr="00163597">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7B10C575" w14:textId="77777777" w:rsidR="008E67EA" w:rsidRPr="00163597" w:rsidRDefault="008E67EA" w:rsidP="00B44A74">
            <w:pPr>
              <w:spacing w:line="280" w:lineRule="exact"/>
              <w:rPr>
                <w:rFonts w:cs="Arial"/>
                <w:sz w:val="20"/>
                <w:szCs w:val="20"/>
              </w:rPr>
            </w:pPr>
            <w:r w:rsidRPr="00163597">
              <w:rPr>
                <w:rFonts w:cs="Arial"/>
                <w:color w:val="000000"/>
                <w:sz w:val="20"/>
                <w:szCs w:val="20"/>
              </w:rPr>
              <w:t>RESTRAINTS</w:t>
            </w:r>
            <w:r w:rsidRPr="00163597">
              <w:rPr>
                <w:rFonts w:cs="Arial"/>
                <w:color w:val="000000"/>
                <w:sz w:val="20"/>
                <w:szCs w:val="20"/>
              </w:rPr>
              <w:br/>
              <w:t>DO NOT use this product unless you have a current qualification in the nationally recognised training course for rodent pest management CPPUPM3006 - Manage pests by applying pesticides, or an equivalent unit of competency.</w:t>
            </w:r>
            <w:r w:rsidRPr="00163597">
              <w:rPr>
                <w:rFonts w:cs="Arial"/>
                <w:color w:val="000000"/>
                <w:sz w:val="20"/>
                <w:szCs w:val="20"/>
              </w:rPr>
              <w:br/>
              <w:t>DO NOT place baits in areas that are accessible to children. In child-accessible areas baits must be placed in tamper-</w:t>
            </w:r>
            <w:r>
              <w:rPr>
                <w:rFonts w:cs="Arial"/>
                <w:color w:val="000000"/>
                <w:sz w:val="20"/>
                <w:szCs w:val="20"/>
              </w:rPr>
              <w:t>resistant</w:t>
            </w:r>
            <w:r w:rsidRPr="00163597">
              <w:rPr>
                <w:rFonts w:cs="Arial"/>
                <w:color w:val="000000"/>
                <w:sz w:val="20"/>
                <w:szCs w:val="20"/>
              </w:rPr>
              <w:t xml:space="preserve"> bait stations. If bait can be dislodged from bait station, bait station must be secured in place. </w:t>
            </w:r>
            <w:r w:rsidRPr="00163597">
              <w:rPr>
                <w:rFonts w:cs="Arial"/>
                <w:color w:val="000000"/>
                <w:sz w:val="20"/>
                <w:szCs w:val="20"/>
              </w:rPr>
              <w:br/>
              <w:t>DO NOT place bait outdoors unless it is in a tamper</w:t>
            </w:r>
            <w:r>
              <w:rPr>
                <w:rFonts w:cs="Arial"/>
                <w:color w:val="000000"/>
                <w:sz w:val="20"/>
                <w:szCs w:val="20"/>
              </w:rPr>
              <w:t>-resistant</w:t>
            </w:r>
            <w:r w:rsidRPr="00163597">
              <w:rPr>
                <w:rFonts w:cs="Arial"/>
                <w:color w:val="000000"/>
                <w:sz w:val="20"/>
                <w:szCs w:val="20"/>
              </w:rPr>
              <w:t xml:space="preserve"> bait station which is secured in place.</w:t>
            </w:r>
            <w:r w:rsidRPr="00163597">
              <w:rPr>
                <w:rFonts w:cs="Arial"/>
                <w:color w:val="000000"/>
                <w:sz w:val="20"/>
                <w:szCs w:val="20"/>
              </w:rPr>
              <w:br/>
              <w:t>DO NOT place bait stations more than 2 meters from buildings.</w:t>
            </w:r>
            <w:r w:rsidRPr="00163597">
              <w:rPr>
                <w:rFonts w:cs="Arial"/>
                <w:color w:val="000000"/>
                <w:sz w:val="20"/>
                <w:szCs w:val="20"/>
              </w:rPr>
              <w:br/>
              <w:t>DO NOT place bait stations outdoors around buildings for control of mice.</w:t>
            </w:r>
            <w:r w:rsidRPr="00163597">
              <w:rPr>
                <w:rFonts w:cs="Arial"/>
                <w:color w:val="000000"/>
                <w:sz w:val="20"/>
                <w:szCs w:val="20"/>
              </w:rPr>
              <w:br/>
              <w:t>DO NOT bait in areas where wildlife may be collected for human consumption.</w:t>
            </w:r>
            <w:r w:rsidRPr="00163597">
              <w:rPr>
                <w:rFonts w:cs="Arial"/>
                <w:color w:val="000000"/>
                <w:sz w:val="20"/>
                <w:szCs w:val="20"/>
              </w:rPr>
              <w:br/>
              <w:t>DO NOT place in animal or livestock housing unless used in tamper</w:t>
            </w:r>
            <w:r>
              <w:rPr>
                <w:rFonts w:cs="Arial"/>
                <w:color w:val="000000"/>
                <w:sz w:val="20"/>
                <w:szCs w:val="20"/>
              </w:rPr>
              <w:t>-resistant</w:t>
            </w:r>
            <w:r w:rsidRPr="00163597">
              <w:rPr>
                <w:rFonts w:cs="Arial"/>
                <w:color w:val="000000"/>
                <w:sz w:val="20"/>
                <w:szCs w:val="20"/>
              </w:rPr>
              <w:t xml:space="preserve"> and weather</w:t>
            </w:r>
            <w:r>
              <w:rPr>
                <w:rFonts w:cs="Arial"/>
                <w:color w:val="000000"/>
                <w:sz w:val="20"/>
                <w:szCs w:val="20"/>
              </w:rPr>
              <w:t>-</w:t>
            </w:r>
            <w:r w:rsidRPr="00163597">
              <w:rPr>
                <w:rFonts w:cs="Arial"/>
                <w:color w:val="000000"/>
                <w:sz w:val="20"/>
                <w:szCs w:val="20"/>
              </w:rPr>
              <w:t>resistant bait stations fixed to the ground or other structures.</w:t>
            </w:r>
            <w:r w:rsidRPr="00163597">
              <w:rPr>
                <w:rFonts w:cs="Arial"/>
                <w:color w:val="000000"/>
                <w:sz w:val="20"/>
                <w:szCs w:val="20"/>
              </w:rPr>
              <w:br/>
              <w:t>DO NOT place bait or bait stations above areas which would allow them to contaminate pig and poultry food or drinking water.</w:t>
            </w:r>
            <w:r w:rsidRPr="00163597">
              <w:rPr>
                <w:rFonts w:cs="Arial"/>
                <w:color w:val="000000"/>
                <w:sz w:val="20"/>
                <w:szCs w:val="20"/>
              </w:rPr>
              <w:br/>
              <w:t>DO NOT apply this product directly into burrows.</w:t>
            </w:r>
          </w:p>
        </w:tc>
      </w:tr>
      <w:tr w:rsidR="008E67EA" w:rsidRPr="00163597" w14:paraId="48F7B00E" w14:textId="77777777" w:rsidTr="00B44A74">
        <w:trPr>
          <w:jc w:val="center"/>
        </w:trPr>
        <w:tc>
          <w:tcPr>
            <w:tcW w:w="2415" w:type="dxa"/>
            <w:tcBorders>
              <w:top w:val="single" w:sz="4" w:space="0" w:color="auto"/>
              <w:left w:val="nil"/>
              <w:bottom w:val="single" w:sz="4" w:space="0" w:color="auto"/>
              <w:right w:val="nil"/>
            </w:tcBorders>
          </w:tcPr>
          <w:p w14:paraId="7A27C534" w14:textId="77777777" w:rsidR="008E67EA" w:rsidRPr="0016359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2C55FC3" w14:textId="77777777" w:rsidR="008E67EA" w:rsidRPr="00163597" w:rsidRDefault="008E67EA" w:rsidP="00B44A74">
            <w:pPr>
              <w:spacing w:line="280" w:lineRule="exact"/>
              <w:rPr>
                <w:rFonts w:cs="Arial"/>
                <w:sz w:val="20"/>
                <w:szCs w:val="20"/>
              </w:rPr>
            </w:pPr>
          </w:p>
        </w:tc>
      </w:tr>
      <w:tr w:rsidR="008E67EA" w:rsidRPr="00163597" w14:paraId="3F4B5F5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129D85C" w14:textId="77777777" w:rsidR="008E67EA" w:rsidRPr="00163597" w:rsidRDefault="008E67EA" w:rsidP="00B44A74">
            <w:pPr>
              <w:spacing w:line="280" w:lineRule="exact"/>
              <w:rPr>
                <w:rFonts w:cs="Arial"/>
                <w:sz w:val="20"/>
                <w:szCs w:val="20"/>
              </w:rPr>
            </w:pPr>
            <w:r w:rsidRPr="00163597">
              <w:rPr>
                <w:rFonts w:cs="Arial"/>
                <w:sz w:val="20"/>
                <w:szCs w:val="20"/>
              </w:rPr>
              <w:t>Directions for Use:</w:t>
            </w:r>
          </w:p>
        </w:tc>
        <w:tc>
          <w:tcPr>
            <w:tcW w:w="7755" w:type="dxa"/>
            <w:tcBorders>
              <w:top w:val="single" w:sz="4" w:space="0" w:color="auto"/>
              <w:left w:val="single" w:sz="4" w:space="0" w:color="auto"/>
              <w:bottom w:val="single" w:sz="4" w:space="0" w:color="auto"/>
              <w:right w:val="single" w:sz="4" w:space="0" w:color="auto"/>
            </w:tcBorders>
          </w:tcPr>
          <w:p w14:paraId="1D5E2202" w14:textId="77777777" w:rsidR="008E67EA" w:rsidRPr="00163597" w:rsidRDefault="008E67EA" w:rsidP="00B44A74">
            <w:pPr>
              <w:spacing w:line="280" w:lineRule="exact"/>
              <w:rPr>
                <w:rFonts w:cs="Arial"/>
                <w:sz w:val="20"/>
                <w:szCs w:val="20"/>
              </w:rPr>
            </w:pPr>
            <w:r w:rsidRPr="00713087">
              <w:rPr>
                <w:rFonts w:cs="Arial"/>
                <w:sz w:val="20"/>
                <w:szCs w:val="20"/>
              </w:rPr>
              <w:t>[This section contains an attachment below]</w:t>
            </w:r>
          </w:p>
        </w:tc>
      </w:tr>
      <w:tr w:rsidR="008E67EA" w:rsidRPr="00163597" w14:paraId="1D8C3C9C" w14:textId="77777777" w:rsidTr="00B44A74">
        <w:trPr>
          <w:jc w:val="center"/>
        </w:trPr>
        <w:tc>
          <w:tcPr>
            <w:tcW w:w="2415" w:type="dxa"/>
            <w:tcBorders>
              <w:top w:val="single" w:sz="4" w:space="0" w:color="auto"/>
              <w:left w:val="nil"/>
              <w:bottom w:val="single" w:sz="4" w:space="0" w:color="auto"/>
              <w:right w:val="nil"/>
            </w:tcBorders>
          </w:tcPr>
          <w:p w14:paraId="4996A5A4" w14:textId="77777777" w:rsidR="008E67EA" w:rsidRPr="0016359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35D4E29" w14:textId="77777777" w:rsidR="008E67EA" w:rsidRPr="00163597" w:rsidRDefault="008E67EA" w:rsidP="00B44A74">
            <w:pPr>
              <w:spacing w:line="280" w:lineRule="exact"/>
              <w:rPr>
                <w:rFonts w:cs="Arial"/>
                <w:sz w:val="20"/>
                <w:szCs w:val="20"/>
              </w:rPr>
            </w:pPr>
          </w:p>
        </w:tc>
      </w:tr>
      <w:tr w:rsidR="008E67EA" w:rsidRPr="00163597" w14:paraId="0D14E1F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7FDEB9D" w14:textId="77777777" w:rsidR="008E67EA" w:rsidRPr="00163597" w:rsidRDefault="008E67EA" w:rsidP="00B44A74">
            <w:pPr>
              <w:spacing w:line="280" w:lineRule="exact"/>
              <w:rPr>
                <w:rFonts w:cs="Arial"/>
                <w:sz w:val="20"/>
                <w:szCs w:val="20"/>
              </w:rPr>
            </w:pPr>
            <w:r w:rsidRPr="00163597">
              <w:rPr>
                <w:rFonts w:cs="Arial"/>
                <w:sz w:val="20"/>
                <w:szCs w:val="20"/>
              </w:rPr>
              <w:t>Other Limitations:</w:t>
            </w:r>
          </w:p>
        </w:tc>
        <w:tc>
          <w:tcPr>
            <w:tcW w:w="7755" w:type="dxa"/>
            <w:tcBorders>
              <w:top w:val="single" w:sz="4" w:space="0" w:color="auto"/>
              <w:left w:val="single" w:sz="4" w:space="0" w:color="auto"/>
              <w:bottom w:val="single" w:sz="4" w:space="0" w:color="auto"/>
              <w:right w:val="single" w:sz="4" w:space="0" w:color="auto"/>
            </w:tcBorders>
          </w:tcPr>
          <w:p w14:paraId="5344AFB0" w14:textId="77777777" w:rsidR="008E67EA" w:rsidRPr="00163597" w:rsidRDefault="008E67EA" w:rsidP="00B44A74">
            <w:pPr>
              <w:spacing w:line="280" w:lineRule="exact"/>
              <w:rPr>
                <w:rFonts w:cs="Arial"/>
                <w:sz w:val="20"/>
                <w:szCs w:val="20"/>
              </w:rPr>
            </w:pPr>
          </w:p>
        </w:tc>
      </w:tr>
      <w:tr w:rsidR="008E67EA" w:rsidRPr="00163597" w14:paraId="18F25CDF" w14:textId="77777777" w:rsidTr="00B44A74">
        <w:trPr>
          <w:jc w:val="center"/>
        </w:trPr>
        <w:tc>
          <w:tcPr>
            <w:tcW w:w="2415" w:type="dxa"/>
            <w:tcBorders>
              <w:top w:val="single" w:sz="4" w:space="0" w:color="auto"/>
              <w:left w:val="nil"/>
              <w:bottom w:val="single" w:sz="4" w:space="0" w:color="auto"/>
              <w:right w:val="nil"/>
            </w:tcBorders>
          </w:tcPr>
          <w:p w14:paraId="752E3B5D" w14:textId="77777777" w:rsidR="008E67EA" w:rsidRPr="0016359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9A84F2E" w14:textId="77777777" w:rsidR="008E67EA" w:rsidRPr="00163597" w:rsidRDefault="008E67EA" w:rsidP="00B44A74">
            <w:pPr>
              <w:spacing w:line="280" w:lineRule="exact"/>
              <w:rPr>
                <w:rFonts w:cs="Arial"/>
                <w:sz w:val="20"/>
                <w:szCs w:val="20"/>
              </w:rPr>
            </w:pPr>
          </w:p>
        </w:tc>
      </w:tr>
      <w:tr w:rsidR="008E67EA" w:rsidRPr="00163597" w14:paraId="6090236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4E1A397" w14:textId="77777777" w:rsidR="008E67EA" w:rsidRPr="00163597" w:rsidRDefault="008E67EA" w:rsidP="00B44A74">
            <w:pPr>
              <w:spacing w:line="280" w:lineRule="exact"/>
              <w:rPr>
                <w:rFonts w:cs="Arial"/>
                <w:sz w:val="20"/>
                <w:szCs w:val="20"/>
              </w:rPr>
            </w:pPr>
            <w:r w:rsidRPr="00163597">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7F4DA3C1" w14:textId="77777777" w:rsidR="008E67EA" w:rsidRPr="00163597" w:rsidRDefault="008E67EA" w:rsidP="00B44A74">
            <w:pPr>
              <w:spacing w:line="280" w:lineRule="exact"/>
              <w:rPr>
                <w:rFonts w:cs="Arial"/>
                <w:sz w:val="20"/>
                <w:szCs w:val="20"/>
              </w:rPr>
            </w:pPr>
          </w:p>
        </w:tc>
      </w:tr>
      <w:tr w:rsidR="008E67EA" w:rsidRPr="00163597" w14:paraId="3FA48463" w14:textId="77777777" w:rsidTr="00B44A74">
        <w:trPr>
          <w:jc w:val="center"/>
        </w:trPr>
        <w:tc>
          <w:tcPr>
            <w:tcW w:w="2415" w:type="dxa"/>
            <w:tcBorders>
              <w:top w:val="single" w:sz="4" w:space="0" w:color="auto"/>
              <w:left w:val="nil"/>
              <w:bottom w:val="single" w:sz="4" w:space="0" w:color="auto"/>
              <w:right w:val="nil"/>
            </w:tcBorders>
          </w:tcPr>
          <w:p w14:paraId="14AA8BF9" w14:textId="77777777" w:rsidR="008E67EA" w:rsidRPr="0016359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DC87E5C" w14:textId="77777777" w:rsidR="008E67EA" w:rsidRPr="00163597" w:rsidRDefault="008E67EA" w:rsidP="00B44A74">
            <w:pPr>
              <w:spacing w:line="280" w:lineRule="exact"/>
              <w:rPr>
                <w:rFonts w:cs="Arial"/>
                <w:sz w:val="20"/>
                <w:szCs w:val="20"/>
              </w:rPr>
            </w:pPr>
          </w:p>
        </w:tc>
      </w:tr>
      <w:tr w:rsidR="008E67EA" w:rsidRPr="00163597" w14:paraId="0508753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5779246" w14:textId="77777777" w:rsidR="008E67EA" w:rsidRPr="00163597" w:rsidRDefault="008E67EA" w:rsidP="00B44A74">
            <w:pPr>
              <w:spacing w:line="280" w:lineRule="exact"/>
              <w:rPr>
                <w:rFonts w:cs="Arial"/>
                <w:sz w:val="20"/>
                <w:szCs w:val="20"/>
              </w:rPr>
            </w:pPr>
            <w:r w:rsidRPr="00163597">
              <w:rPr>
                <w:rFonts w:cs="Arial"/>
                <w:sz w:val="20"/>
                <w:szCs w:val="20"/>
              </w:rPr>
              <w:t>Trade Advice:</w:t>
            </w:r>
          </w:p>
        </w:tc>
        <w:tc>
          <w:tcPr>
            <w:tcW w:w="7755" w:type="dxa"/>
            <w:tcBorders>
              <w:top w:val="single" w:sz="4" w:space="0" w:color="auto"/>
              <w:left w:val="single" w:sz="4" w:space="0" w:color="auto"/>
              <w:bottom w:val="single" w:sz="4" w:space="0" w:color="auto"/>
              <w:right w:val="single" w:sz="4" w:space="0" w:color="auto"/>
            </w:tcBorders>
          </w:tcPr>
          <w:p w14:paraId="773345C4" w14:textId="77777777" w:rsidR="008E67EA" w:rsidRPr="00163597" w:rsidRDefault="008E67EA" w:rsidP="00B44A74">
            <w:pPr>
              <w:spacing w:line="280" w:lineRule="exact"/>
              <w:rPr>
                <w:rFonts w:cs="Arial"/>
                <w:sz w:val="20"/>
                <w:szCs w:val="20"/>
              </w:rPr>
            </w:pPr>
          </w:p>
        </w:tc>
      </w:tr>
      <w:tr w:rsidR="008E67EA" w:rsidRPr="00163597" w14:paraId="4E3B2480" w14:textId="77777777" w:rsidTr="00B44A74">
        <w:trPr>
          <w:jc w:val="center"/>
        </w:trPr>
        <w:tc>
          <w:tcPr>
            <w:tcW w:w="2415" w:type="dxa"/>
            <w:tcBorders>
              <w:top w:val="single" w:sz="4" w:space="0" w:color="auto"/>
              <w:left w:val="nil"/>
              <w:bottom w:val="single" w:sz="4" w:space="0" w:color="auto"/>
              <w:right w:val="nil"/>
            </w:tcBorders>
          </w:tcPr>
          <w:p w14:paraId="30850F41" w14:textId="77777777" w:rsidR="008E67EA" w:rsidRPr="0016359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BA6EF66" w14:textId="77777777" w:rsidR="008E67EA" w:rsidRPr="00163597" w:rsidRDefault="008E67EA" w:rsidP="00B44A74">
            <w:pPr>
              <w:spacing w:line="280" w:lineRule="exact"/>
              <w:rPr>
                <w:rFonts w:cs="Arial"/>
                <w:sz w:val="20"/>
                <w:szCs w:val="20"/>
              </w:rPr>
            </w:pPr>
          </w:p>
        </w:tc>
      </w:tr>
      <w:tr w:rsidR="008E67EA" w:rsidRPr="00163597" w14:paraId="46DF391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DF4137F" w14:textId="77777777" w:rsidR="008E67EA" w:rsidRPr="00163597" w:rsidRDefault="008E67EA" w:rsidP="00B44A74">
            <w:pPr>
              <w:spacing w:line="280" w:lineRule="exact"/>
              <w:rPr>
                <w:rFonts w:cs="Arial"/>
                <w:sz w:val="20"/>
                <w:szCs w:val="20"/>
              </w:rPr>
            </w:pPr>
            <w:r w:rsidRPr="00163597">
              <w:rPr>
                <w:rFonts w:cs="Arial"/>
                <w:sz w:val="20"/>
                <w:szCs w:val="20"/>
              </w:rPr>
              <w:t>General Directions:</w:t>
            </w:r>
          </w:p>
        </w:tc>
        <w:tc>
          <w:tcPr>
            <w:tcW w:w="7755" w:type="dxa"/>
            <w:tcBorders>
              <w:top w:val="single" w:sz="4" w:space="0" w:color="auto"/>
              <w:left w:val="single" w:sz="4" w:space="0" w:color="auto"/>
              <w:bottom w:val="single" w:sz="4" w:space="0" w:color="auto"/>
              <w:right w:val="single" w:sz="4" w:space="0" w:color="auto"/>
            </w:tcBorders>
          </w:tcPr>
          <w:p w14:paraId="279CD68A" w14:textId="77777777" w:rsidR="008E67EA" w:rsidRPr="00163597" w:rsidRDefault="008E67EA" w:rsidP="00B44A74">
            <w:pPr>
              <w:spacing w:line="280" w:lineRule="exact"/>
              <w:rPr>
                <w:rFonts w:cs="Arial"/>
                <w:sz w:val="20"/>
                <w:szCs w:val="20"/>
              </w:rPr>
            </w:pPr>
          </w:p>
        </w:tc>
      </w:tr>
      <w:tr w:rsidR="008E67EA" w:rsidRPr="00163597" w14:paraId="48293EAA" w14:textId="77777777" w:rsidTr="00B44A74">
        <w:trPr>
          <w:jc w:val="center"/>
        </w:trPr>
        <w:tc>
          <w:tcPr>
            <w:tcW w:w="2415" w:type="dxa"/>
            <w:tcBorders>
              <w:top w:val="single" w:sz="4" w:space="0" w:color="auto"/>
              <w:left w:val="nil"/>
              <w:bottom w:val="single" w:sz="4" w:space="0" w:color="auto"/>
              <w:right w:val="nil"/>
            </w:tcBorders>
          </w:tcPr>
          <w:p w14:paraId="7C9DC95F" w14:textId="77777777" w:rsidR="008E67EA" w:rsidRPr="0016359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C432D2F" w14:textId="77777777" w:rsidR="008E67EA" w:rsidRPr="00163597" w:rsidRDefault="008E67EA" w:rsidP="00B44A74">
            <w:pPr>
              <w:spacing w:line="280" w:lineRule="exact"/>
              <w:rPr>
                <w:rFonts w:cs="Arial"/>
                <w:sz w:val="20"/>
                <w:szCs w:val="20"/>
              </w:rPr>
            </w:pPr>
          </w:p>
        </w:tc>
      </w:tr>
      <w:tr w:rsidR="008E67EA" w:rsidRPr="00163597" w14:paraId="1833634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155CA62" w14:textId="77777777" w:rsidR="008E67EA" w:rsidRPr="00163597" w:rsidRDefault="008E67EA" w:rsidP="00B44A74">
            <w:pPr>
              <w:spacing w:line="280" w:lineRule="exact"/>
              <w:rPr>
                <w:rFonts w:cs="Arial"/>
                <w:sz w:val="20"/>
                <w:szCs w:val="20"/>
              </w:rPr>
            </w:pPr>
            <w:r w:rsidRPr="00163597">
              <w:rPr>
                <w:rFonts w:cs="Arial"/>
                <w:sz w:val="20"/>
                <w:szCs w:val="20"/>
              </w:rPr>
              <w:t>Resistance Warning:</w:t>
            </w:r>
          </w:p>
        </w:tc>
        <w:tc>
          <w:tcPr>
            <w:tcW w:w="7755" w:type="dxa"/>
            <w:tcBorders>
              <w:top w:val="single" w:sz="4" w:space="0" w:color="auto"/>
              <w:left w:val="single" w:sz="4" w:space="0" w:color="auto"/>
              <w:bottom w:val="single" w:sz="4" w:space="0" w:color="auto"/>
              <w:right w:val="single" w:sz="4" w:space="0" w:color="auto"/>
            </w:tcBorders>
          </w:tcPr>
          <w:p w14:paraId="03420E83" w14:textId="77777777" w:rsidR="008E67EA" w:rsidRPr="00163597" w:rsidRDefault="008E67EA" w:rsidP="00B44A74">
            <w:pPr>
              <w:spacing w:line="280" w:lineRule="exact"/>
              <w:rPr>
                <w:rFonts w:cs="Arial"/>
                <w:sz w:val="20"/>
                <w:szCs w:val="20"/>
              </w:rPr>
            </w:pPr>
          </w:p>
        </w:tc>
      </w:tr>
      <w:tr w:rsidR="008E67EA" w:rsidRPr="00163597" w14:paraId="32487E25" w14:textId="77777777" w:rsidTr="00B44A74">
        <w:trPr>
          <w:jc w:val="center"/>
        </w:trPr>
        <w:tc>
          <w:tcPr>
            <w:tcW w:w="2415" w:type="dxa"/>
            <w:tcBorders>
              <w:top w:val="single" w:sz="4" w:space="0" w:color="auto"/>
              <w:left w:val="nil"/>
              <w:bottom w:val="single" w:sz="4" w:space="0" w:color="auto"/>
              <w:right w:val="nil"/>
            </w:tcBorders>
          </w:tcPr>
          <w:p w14:paraId="06744A4E" w14:textId="77777777" w:rsidR="008E67EA" w:rsidRPr="0016359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6533C99" w14:textId="77777777" w:rsidR="008E67EA" w:rsidRPr="00163597" w:rsidRDefault="008E67EA" w:rsidP="00B44A74">
            <w:pPr>
              <w:spacing w:line="280" w:lineRule="exact"/>
              <w:rPr>
                <w:rFonts w:cs="Arial"/>
                <w:sz w:val="20"/>
                <w:szCs w:val="20"/>
              </w:rPr>
            </w:pPr>
          </w:p>
        </w:tc>
      </w:tr>
      <w:tr w:rsidR="008E67EA" w:rsidRPr="00163597" w14:paraId="6E1F831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21C0CA3" w14:textId="77777777" w:rsidR="008E67EA" w:rsidRPr="00163597" w:rsidRDefault="008E67EA" w:rsidP="00B44A74">
            <w:pPr>
              <w:spacing w:line="280" w:lineRule="exact"/>
              <w:rPr>
                <w:rFonts w:cs="Arial"/>
                <w:sz w:val="20"/>
                <w:szCs w:val="20"/>
              </w:rPr>
            </w:pPr>
            <w:r w:rsidRPr="00163597">
              <w:rPr>
                <w:rFonts w:cs="Arial"/>
                <w:sz w:val="20"/>
                <w:szCs w:val="20"/>
              </w:rPr>
              <w:t>Precautions:</w:t>
            </w:r>
          </w:p>
        </w:tc>
        <w:tc>
          <w:tcPr>
            <w:tcW w:w="7755" w:type="dxa"/>
            <w:tcBorders>
              <w:top w:val="single" w:sz="4" w:space="0" w:color="auto"/>
              <w:left w:val="single" w:sz="4" w:space="0" w:color="auto"/>
              <w:bottom w:val="single" w:sz="4" w:space="0" w:color="auto"/>
              <w:right w:val="single" w:sz="4" w:space="0" w:color="auto"/>
            </w:tcBorders>
          </w:tcPr>
          <w:p w14:paraId="291D8FB9" w14:textId="77777777" w:rsidR="008E67EA" w:rsidRPr="00163597" w:rsidRDefault="008E67EA" w:rsidP="00B44A74">
            <w:pPr>
              <w:spacing w:line="280" w:lineRule="exact"/>
              <w:rPr>
                <w:rFonts w:cs="Arial"/>
                <w:b/>
                <w:bCs/>
                <w:i/>
                <w:iCs/>
                <w:sz w:val="20"/>
                <w:szCs w:val="20"/>
              </w:rPr>
            </w:pPr>
            <w:r w:rsidRPr="00163597">
              <w:rPr>
                <w:rFonts w:cs="Arial"/>
                <w:color w:val="000000"/>
                <w:sz w:val="20"/>
                <w:szCs w:val="20"/>
              </w:rPr>
              <w:t>PRECAUTIONS</w:t>
            </w:r>
            <w:r w:rsidRPr="00163597">
              <w:rPr>
                <w:rFonts w:cs="Arial"/>
                <w:color w:val="000000"/>
                <w:sz w:val="20"/>
                <w:szCs w:val="20"/>
              </w:rPr>
              <w:br/>
              <w:t>Caution should be used when baiting near areas where hunting of wildlife may occur. Careful consideration of bait placement is necessary to avoid secondary exposure from contaminated wildlife that may be consumed.</w:t>
            </w:r>
            <w:r w:rsidRPr="00163597">
              <w:rPr>
                <w:rFonts w:cs="Arial"/>
                <w:color w:val="000000"/>
                <w:sz w:val="20"/>
                <w:szCs w:val="20"/>
              </w:rPr>
              <w:br/>
              <w:t>DO NOT place bait in areas where there is a possibility of contaminating food, livestock feed or surfaces that come in direct contact with food or livestock feed.</w:t>
            </w:r>
          </w:p>
        </w:tc>
      </w:tr>
      <w:tr w:rsidR="008E67EA" w:rsidRPr="00163597" w14:paraId="28CAE1CD" w14:textId="77777777" w:rsidTr="00B44A74">
        <w:trPr>
          <w:jc w:val="center"/>
        </w:trPr>
        <w:tc>
          <w:tcPr>
            <w:tcW w:w="2415" w:type="dxa"/>
            <w:tcBorders>
              <w:top w:val="single" w:sz="4" w:space="0" w:color="auto"/>
              <w:left w:val="nil"/>
              <w:bottom w:val="single" w:sz="4" w:space="0" w:color="auto"/>
              <w:right w:val="nil"/>
            </w:tcBorders>
          </w:tcPr>
          <w:p w14:paraId="49F63113" w14:textId="77777777" w:rsidR="008E67EA" w:rsidRPr="0016359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4C586A4" w14:textId="77777777" w:rsidR="008E67EA" w:rsidRPr="00163597" w:rsidRDefault="008E67EA" w:rsidP="00B44A74">
            <w:pPr>
              <w:spacing w:line="280" w:lineRule="exact"/>
              <w:rPr>
                <w:rFonts w:cs="Arial"/>
                <w:sz w:val="20"/>
                <w:szCs w:val="20"/>
              </w:rPr>
            </w:pPr>
          </w:p>
        </w:tc>
      </w:tr>
      <w:tr w:rsidR="008E67EA" w:rsidRPr="00163597" w14:paraId="67E6CB4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A452D00" w14:textId="77777777" w:rsidR="008E67EA" w:rsidRPr="00163597" w:rsidRDefault="008E67EA" w:rsidP="00B44A74">
            <w:pPr>
              <w:spacing w:line="280" w:lineRule="exact"/>
              <w:rPr>
                <w:rFonts w:cs="Arial"/>
                <w:sz w:val="20"/>
                <w:szCs w:val="20"/>
              </w:rPr>
            </w:pPr>
            <w:r w:rsidRPr="00163597">
              <w:rPr>
                <w:rFonts w:cs="Arial"/>
                <w:sz w:val="20"/>
                <w:szCs w:val="20"/>
              </w:rPr>
              <w:t>Protection Statements:</w:t>
            </w:r>
          </w:p>
        </w:tc>
        <w:tc>
          <w:tcPr>
            <w:tcW w:w="7755" w:type="dxa"/>
            <w:tcBorders>
              <w:top w:val="single" w:sz="4" w:space="0" w:color="auto"/>
              <w:left w:val="single" w:sz="4" w:space="0" w:color="auto"/>
              <w:bottom w:val="single" w:sz="4" w:space="0" w:color="auto"/>
              <w:right w:val="single" w:sz="4" w:space="0" w:color="auto"/>
            </w:tcBorders>
          </w:tcPr>
          <w:p w14:paraId="1ADBFCF8" w14:textId="77777777" w:rsidR="008E67EA" w:rsidRDefault="008E67EA" w:rsidP="00B44A74">
            <w:pPr>
              <w:spacing w:line="280" w:lineRule="exact"/>
              <w:rPr>
                <w:rFonts w:cs="Arial"/>
                <w:color w:val="000000"/>
                <w:sz w:val="20"/>
                <w:szCs w:val="20"/>
              </w:rPr>
            </w:pPr>
            <w:r w:rsidRPr="00163597">
              <w:rPr>
                <w:rFonts w:cs="Arial"/>
                <w:color w:val="000000"/>
                <w:sz w:val="20"/>
                <w:szCs w:val="20"/>
              </w:rPr>
              <w:t>PROTECTION OF LIVESTOCK AND WILDLIFE</w:t>
            </w:r>
            <w:r w:rsidRPr="00163597">
              <w:rPr>
                <w:rFonts w:cs="Arial"/>
                <w:color w:val="000000"/>
                <w:sz w:val="20"/>
                <w:szCs w:val="20"/>
              </w:rPr>
              <w:br/>
              <w:t>Hazardous to livestock, poultry and wildlife. DO NOT place baits in locations that are accessible to domestic animals, livestock, non-target native animals or birds.</w:t>
            </w:r>
            <w:r w:rsidRPr="00163597">
              <w:rPr>
                <w:rFonts w:cs="Arial"/>
                <w:color w:val="000000"/>
                <w:sz w:val="20"/>
                <w:szCs w:val="20"/>
              </w:rPr>
              <w:br/>
              <w:t xml:space="preserve">Search for and dispose of dead rodents and slugs/snails in the infested area at each visit to prevent secondary poisoning. In case slugs/snails are present, move bait station to another location within the rodent infested site, away from slugs/snails. Dispose of slugs/snails in a way non-target animals are not exposed. Dispose of dead rodents and uneaten bait in compliance with local, state or territory government regulations. </w:t>
            </w:r>
            <w:r w:rsidRPr="00163597">
              <w:rPr>
                <w:rFonts w:cs="Arial"/>
                <w:color w:val="000000"/>
                <w:sz w:val="20"/>
                <w:szCs w:val="20"/>
              </w:rPr>
              <w:br/>
              <w:t>DO NOT allow livestock or poultry to consume dead or moribund mice and rats. All dead or moribund animals and rodent faeces from baited rodents MUST be removed from areas accessible to livestock or poultry.</w:t>
            </w:r>
            <w:r w:rsidRPr="00163597">
              <w:rPr>
                <w:rFonts w:cs="Arial"/>
                <w:color w:val="000000"/>
                <w:sz w:val="20"/>
                <w:szCs w:val="20"/>
              </w:rPr>
              <w:br/>
              <w:t>The use of this product for the control of protected native rodents requires permission from wildlife authorities.</w:t>
            </w:r>
          </w:p>
          <w:p w14:paraId="048470C4" w14:textId="5D0D36FC" w:rsidR="008E67EA" w:rsidRPr="00163597" w:rsidRDefault="008E67EA" w:rsidP="00B44A74">
            <w:pPr>
              <w:spacing w:line="280" w:lineRule="exact"/>
              <w:rPr>
                <w:rFonts w:cs="Arial"/>
                <w:sz w:val="20"/>
                <w:szCs w:val="20"/>
              </w:rPr>
            </w:pPr>
            <w:r w:rsidRPr="00163597">
              <w:rPr>
                <w:rFonts w:cs="Arial"/>
                <w:color w:val="000000"/>
                <w:sz w:val="20"/>
                <w:szCs w:val="20"/>
              </w:rPr>
              <w:br/>
              <w:t>PROTECTION OF FISH, CRUSTACEANS AND ENVIRONMENT</w:t>
            </w:r>
            <w:r w:rsidRPr="00163597">
              <w:rPr>
                <w:rFonts w:cs="Arial"/>
                <w:color w:val="000000"/>
                <w:sz w:val="20"/>
                <w:szCs w:val="20"/>
              </w:rPr>
              <w:br/>
              <w:t>Toxic to aquatic life. DO NOT contaminate wetlands or watercourses with this product or used containers. Place the bait stations in areas not liable to flooding. When placing bait stations close to water drainage systems, ensure that bait contact with water is avoided.</w:t>
            </w:r>
          </w:p>
        </w:tc>
      </w:tr>
      <w:tr w:rsidR="008E67EA" w:rsidRPr="00163597" w14:paraId="3E790051" w14:textId="77777777" w:rsidTr="00B44A74">
        <w:trPr>
          <w:jc w:val="center"/>
        </w:trPr>
        <w:tc>
          <w:tcPr>
            <w:tcW w:w="2415" w:type="dxa"/>
            <w:tcBorders>
              <w:top w:val="single" w:sz="4" w:space="0" w:color="auto"/>
              <w:left w:val="nil"/>
              <w:bottom w:val="single" w:sz="4" w:space="0" w:color="auto"/>
              <w:right w:val="nil"/>
            </w:tcBorders>
          </w:tcPr>
          <w:p w14:paraId="1C11F003" w14:textId="77777777" w:rsidR="008E67EA" w:rsidRPr="0016359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7316EEA" w14:textId="77777777" w:rsidR="008E67EA" w:rsidRPr="00163597" w:rsidRDefault="008E67EA" w:rsidP="00B44A74">
            <w:pPr>
              <w:spacing w:line="280" w:lineRule="exact"/>
              <w:rPr>
                <w:rFonts w:cs="Arial"/>
                <w:sz w:val="20"/>
                <w:szCs w:val="20"/>
              </w:rPr>
            </w:pPr>
          </w:p>
        </w:tc>
      </w:tr>
      <w:tr w:rsidR="008E67EA" w:rsidRPr="00163597" w14:paraId="0648D60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30E0043" w14:textId="77777777" w:rsidR="008E67EA" w:rsidRPr="00163597" w:rsidRDefault="008E67EA" w:rsidP="00B44A74">
            <w:pPr>
              <w:spacing w:line="280" w:lineRule="exact"/>
              <w:rPr>
                <w:rFonts w:cs="Arial"/>
                <w:sz w:val="20"/>
                <w:szCs w:val="20"/>
              </w:rPr>
            </w:pPr>
            <w:r w:rsidRPr="00163597">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0B2CE635" w14:textId="77777777" w:rsidR="008E67EA" w:rsidRPr="004D4C8A" w:rsidRDefault="008E67EA" w:rsidP="00B44A74">
            <w:pPr>
              <w:spacing w:line="280" w:lineRule="exact"/>
              <w:rPr>
                <w:rFonts w:cs="Arial"/>
                <w:color w:val="000000"/>
                <w:sz w:val="20"/>
                <w:szCs w:val="20"/>
              </w:rPr>
            </w:pPr>
            <w:r w:rsidRPr="004D4C8A">
              <w:rPr>
                <w:rFonts w:cs="Arial"/>
                <w:color w:val="000000"/>
                <w:sz w:val="20"/>
                <w:szCs w:val="20"/>
              </w:rPr>
              <w:t>STORAGE AND DISPOSAL</w:t>
            </w:r>
          </w:p>
          <w:p w14:paraId="548826E4" w14:textId="77777777" w:rsidR="008E67EA" w:rsidRPr="00163597" w:rsidRDefault="008E67EA" w:rsidP="00B44A74">
            <w:pPr>
              <w:spacing w:line="280" w:lineRule="exact"/>
              <w:rPr>
                <w:rFonts w:cs="Arial"/>
                <w:sz w:val="20"/>
                <w:szCs w:val="20"/>
              </w:rPr>
            </w:pPr>
            <w:r w:rsidRPr="00163597">
              <w:rPr>
                <w:rFonts w:cs="Arial"/>
                <w:color w:val="000000"/>
                <w:sz w:val="20"/>
                <w:szCs w:val="20"/>
              </w:rPr>
              <w:t>Store in a tightly closed, original container in a dry well-ventilated area, as cool</w:t>
            </w:r>
            <w:r w:rsidRPr="00163597">
              <w:rPr>
                <w:rFonts w:cs="Arial"/>
                <w:color w:val="000000"/>
                <w:sz w:val="20"/>
                <w:szCs w:val="20"/>
              </w:rPr>
              <w:br/>
              <w:t xml:space="preserve">as possible out of direct sunlight. Triple rinse containers before disposal. Break, crush or puncture and deliver empty packaging to an approved waste management facility. If an approved waste management facility is not available, dispose of empty packaging in compliance with relevant local, state or territory government regulations. </w:t>
            </w:r>
            <w:r w:rsidRPr="004D4C8A">
              <w:rPr>
                <w:rFonts w:cs="Arial"/>
                <w:color w:val="000000"/>
                <w:sz w:val="20"/>
                <w:szCs w:val="20"/>
              </w:rPr>
              <w:t>Dispose of unused product in compliance with relevant local, state or territory government regulations.</w:t>
            </w:r>
            <w:r w:rsidRPr="00713087">
              <w:rPr>
                <w:rFonts w:cs="Arial"/>
                <w:color w:val="000000"/>
                <w:sz w:val="20"/>
                <w:szCs w:val="20"/>
              </w:rPr>
              <w:t xml:space="preserve"> </w:t>
            </w:r>
            <w:r w:rsidRPr="00163597">
              <w:rPr>
                <w:rFonts w:cs="Arial"/>
                <w:color w:val="000000"/>
                <w:sz w:val="20"/>
                <w:szCs w:val="20"/>
              </w:rPr>
              <w:t>DO NOT burn empty containers or product.</w:t>
            </w:r>
          </w:p>
        </w:tc>
      </w:tr>
      <w:tr w:rsidR="008E67EA" w:rsidRPr="00163597" w14:paraId="158A0A11" w14:textId="77777777" w:rsidTr="00B44A74">
        <w:trPr>
          <w:jc w:val="center"/>
        </w:trPr>
        <w:tc>
          <w:tcPr>
            <w:tcW w:w="2415" w:type="dxa"/>
            <w:tcBorders>
              <w:top w:val="single" w:sz="4" w:space="0" w:color="auto"/>
              <w:left w:val="nil"/>
              <w:bottom w:val="single" w:sz="4" w:space="0" w:color="auto"/>
              <w:right w:val="nil"/>
            </w:tcBorders>
          </w:tcPr>
          <w:p w14:paraId="334815F9" w14:textId="77777777" w:rsidR="008E67EA" w:rsidRPr="0016359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F7FD136" w14:textId="77777777" w:rsidR="008E67EA" w:rsidRPr="00163597" w:rsidRDefault="008E67EA" w:rsidP="00B44A74">
            <w:pPr>
              <w:spacing w:line="280" w:lineRule="exact"/>
              <w:rPr>
                <w:rFonts w:cs="Arial"/>
                <w:sz w:val="20"/>
                <w:szCs w:val="20"/>
              </w:rPr>
            </w:pPr>
          </w:p>
        </w:tc>
      </w:tr>
      <w:tr w:rsidR="008E67EA" w:rsidRPr="00163597" w14:paraId="1502A61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BB0F4FB" w14:textId="77777777" w:rsidR="008E67EA" w:rsidRPr="00163597" w:rsidRDefault="008E67EA" w:rsidP="00B44A74">
            <w:pPr>
              <w:spacing w:line="280" w:lineRule="exact"/>
              <w:rPr>
                <w:rFonts w:cs="Arial"/>
                <w:sz w:val="20"/>
                <w:szCs w:val="20"/>
              </w:rPr>
            </w:pPr>
            <w:r w:rsidRPr="00163597">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7EB333F8" w14:textId="77777777" w:rsidR="008E67EA" w:rsidRPr="004D4C8A" w:rsidRDefault="008E67EA" w:rsidP="00B44A74">
            <w:pPr>
              <w:spacing w:line="280" w:lineRule="exact"/>
              <w:rPr>
                <w:rFonts w:cs="Arial"/>
                <w:color w:val="000000"/>
                <w:sz w:val="20"/>
                <w:szCs w:val="20"/>
              </w:rPr>
            </w:pPr>
            <w:r w:rsidRPr="004D4C8A">
              <w:rPr>
                <w:rFonts w:cs="Arial"/>
                <w:color w:val="000000"/>
                <w:sz w:val="20"/>
                <w:szCs w:val="20"/>
              </w:rPr>
              <w:t>SAFETY DIRECTIONS</w:t>
            </w:r>
          </w:p>
          <w:p w14:paraId="3BDDBBC9" w14:textId="273D7B84" w:rsidR="008E67EA" w:rsidRPr="00163597" w:rsidRDefault="008E67EA" w:rsidP="00B44A74">
            <w:pPr>
              <w:spacing w:line="280" w:lineRule="exact"/>
              <w:rPr>
                <w:rFonts w:cs="Arial"/>
                <w:color w:val="000000"/>
                <w:sz w:val="20"/>
                <w:szCs w:val="20"/>
              </w:rPr>
            </w:pPr>
            <w:r w:rsidRPr="00163597">
              <w:rPr>
                <w:rFonts w:cs="Arial"/>
                <w:color w:val="000000"/>
                <w:sz w:val="20"/>
                <w:szCs w:val="20"/>
              </w:rPr>
              <w:t>Repeated minor exposure may have a cumulative poisoning effect. Do not touch bait, use scoop or measure. When using the product wear disposable gloves. If on skin and after each baiting, wash thoroughly with soap and water.</w:t>
            </w:r>
          </w:p>
          <w:p w14:paraId="4479F040" w14:textId="52C3E3E8" w:rsidR="008E67EA" w:rsidRPr="004D4C8A" w:rsidRDefault="008E67EA" w:rsidP="00B44A74">
            <w:pPr>
              <w:spacing w:line="280" w:lineRule="exact"/>
              <w:rPr>
                <w:rFonts w:cs="Arial"/>
                <w:color w:val="000000"/>
                <w:sz w:val="20"/>
                <w:szCs w:val="20"/>
              </w:rPr>
            </w:pPr>
            <w:r w:rsidRPr="00163597">
              <w:rPr>
                <w:rFonts w:cs="Arial"/>
                <w:color w:val="000000"/>
                <w:sz w:val="20"/>
                <w:szCs w:val="20"/>
              </w:rPr>
              <w:t>During cleanup and disposal operations of bait and bait stations, wear a single layer of clothing and disposable gloves. Wear disposable gloves when handling rodent carcasses. Wash clothes after performing re-handling activities.</w:t>
            </w:r>
          </w:p>
        </w:tc>
      </w:tr>
      <w:tr w:rsidR="008E67EA" w:rsidRPr="00163597" w14:paraId="040256A4" w14:textId="77777777" w:rsidTr="00B44A74">
        <w:trPr>
          <w:jc w:val="center"/>
        </w:trPr>
        <w:tc>
          <w:tcPr>
            <w:tcW w:w="2415" w:type="dxa"/>
            <w:tcBorders>
              <w:top w:val="single" w:sz="4" w:space="0" w:color="auto"/>
              <w:left w:val="nil"/>
              <w:bottom w:val="single" w:sz="4" w:space="0" w:color="auto"/>
              <w:right w:val="nil"/>
            </w:tcBorders>
          </w:tcPr>
          <w:p w14:paraId="21AB585D" w14:textId="77777777" w:rsidR="008E67EA" w:rsidRPr="0016359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569B99B" w14:textId="77777777" w:rsidR="008E67EA" w:rsidRPr="004D4C8A" w:rsidRDefault="008E67EA" w:rsidP="00B44A74">
            <w:pPr>
              <w:spacing w:line="280" w:lineRule="exact"/>
              <w:rPr>
                <w:rFonts w:cs="Arial"/>
                <w:color w:val="000000"/>
                <w:sz w:val="20"/>
                <w:szCs w:val="20"/>
              </w:rPr>
            </w:pPr>
          </w:p>
        </w:tc>
      </w:tr>
      <w:tr w:rsidR="008E67EA" w:rsidRPr="00163597" w14:paraId="4277BF2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8C27132" w14:textId="77777777" w:rsidR="008E67EA" w:rsidRPr="00163597" w:rsidRDefault="008E67EA" w:rsidP="00B44A74">
            <w:pPr>
              <w:spacing w:line="280" w:lineRule="exact"/>
              <w:rPr>
                <w:rFonts w:cs="Arial"/>
                <w:sz w:val="20"/>
                <w:szCs w:val="20"/>
              </w:rPr>
            </w:pPr>
            <w:r w:rsidRPr="00163597">
              <w:rPr>
                <w:rFonts w:cs="Arial"/>
                <w:sz w:val="20"/>
                <w:szCs w:val="20"/>
              </w:rPr>
              <w:t>First Aid Instructions:</w:t>
            </w:r>
          </w:p>
        </w:tc>
        <w:tc>
          <w:tcPr>
            <w:tcW w:w="7755" w:type="dxa"/>
            <w:tcBorders>
              <w:top w:val="single" w:sz="4" w:space="0" w:color="auto"/>
              <w:left w:val="single" w:sz="4" w:space="0" w:color="auto"/>
              <w:bottom w:val="single" w:sz="4" w:space="0" w:color="auto"/>
              <w:right w:val="single" w:sz="4" w:space="0" w:color="auto"/>
            </w:tcBorders>
          </w:tcPr>
          <w:p w14:paraId="067D7E08" w14:textId="77777777" w:rsidR="008E67EA" w:rsidRPr="004D4C8A" w:rsidRDefault="008E67EA" w:rsidP="00B44A74">
            <w:pPr>
              <w:spacing w:line="280" w:lineRule="exact"/>
              <w:rPr>
                <w:rFonts w:cs="Arial"/>
                <w:color w:val="000000"/>
                <w:sz w:val="20"/>
                <w:szCs w:val="20"/>
              </w:rPr>
            </w:pPr>
            <w:r w:rsidRPr="004D4C8A">
              <w:rPr>
                <w:rFonts w:cs="Arial"/>
                <w:color w:val="000000"/>
                <w:sz w:val="20"/>
                <w:szCs w:val="20"/>
              </w:rPr>
              <w:t>FIRST AID</w:t>
            </w:r>
          </w:p>
          <w:p w14:paraId="1758BDD8" w14:textId="77777777" w:rsidR="008E67EA" w:rsidRPr="004D4C8A" w:rsidRDefault="008E67EA" w:rsidP="00B44A74">
            <w:pPr>
              <w:spacing w:line="280" w:lineRule="exact"/>
              <w:rPr>
                <w:rFonts w:cs="Arial"/>
                <w:color w:val="000000"/>
                <w:sz w:val="20"/>
                <w:szCs w:val="20"/>
              </w:rPr>
            </w:pPr>
            <w:r w:rsidRPr="00163597">
              <w:rPr>
                <w:rFonts w:cs="Arial"/>
                <w:color w:val="000000"/>
                <w:sz w:val="20"/>
                <w:szCs w:val="20"/>
              </w:rPr>
              <w:t>If poisoning occurs, contact a doctor or Poisons Information Centre. Phone Australia 13 11 26, New Zealand 0800 764 766. Vitamin K1 (Phytomenadione) is antidotal.</w:t>
            </w:r>
          </w:p>
        </w:tc>
      </w:tr>
      <w:tr w:rsidR="008E67EA" w:rsidRPr="00163597" w14:paraId="52B87DAE" w14:textId="77777777" w:rsidTr="00B44A74">
        <w:trPr>
          <w:jc w:val="center"/>
        </w:trPr>
        <w:tc>
          <w:tcPr>
            <w:tcW w:w="2415" w:type="dxa"/>
            <w:tcBorders>
              <w:top w:val="single" w:sz="4" w:space="0" w:color="auto"/>
              <w:left w:val="nil"/>
              <w:bottom w:val="single" w:sz="4" w:space="0" w:color="auto"/>
              <w:right w:val="nil"/>
            </w:tcBorders>
          </w:tcPr>
          <w:p w14:paraId="06ECA059" w14:textId="77777777" w:rsidR="008E67EA" w:rsidRPr="0016359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ED028C2" w14:textId="77777777" w:rsidR="008E67EA" w:rsidRPr="00163597" w:rsidRDefault="008E67EA" w:rsidP="00B44A74">
            <w:pPr>
              <w:spacing w:line="280" w:lineRule="exact"/>
              <w:rPr>
                <w:rFonts w:cs="Arial"/>
                <w:sz w:val="20"/>
                <w:szCs w:val="20"/>
              </w:rPr>
            </w:pPr>
          </w:p>
        </w:tc>
      </w:tr>
      <w:tr w:rsidR="008E67EA" w:rsidRPr="00163597" w14:paraId="55ACF28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ABA68EF" w14:textId="77777777" w:rsidR="008E67EA" w:rsidRPr="00163597" w:rsidRDefault="008E67EA" w:rsidP="00B44A74">
            <w:pPr>
              <w:spacing w:line="280" w:lineRule="exact"/>
              <w:rPr>
                <w:rFonts w:cs="Arial"/>
                <w:sz w:val="20"/>
                <w:szCs w:val="20"/>
              </w:rPr>
            </w:pPr>
            <w:r w:rsidRPr="00163597">
              <w:rPr>
                <w:rFonts w:cs="Arial"/>
                <w:sz w:val="20"/>
                <w:szCs w:val="20"/>
              </w:rPr>
              <w:t>First Aid Warnings:</w:t>
            </w:r>
          </w:p>
        </w:tc>
        <w:tc>
          <w:tcPr>
            <w:tcW w:w="7755" w:type="dxa"/>
            <w:tcBorders>
              <w:top w:val="single" w:sz="4" w:space="0" w:color="auto"/>
              <w:left w:val="single" w:sz="4" w:space="0" w:color="auto"/>
              <w:bottom w:val="single" w:sz="4" w:space="0" w:color="auto"/>
              <w:right w:val="single" w:sz="4" w:space="0" w:color="auto"/>
            </w:tcBorders>
          </w:tcPr>
          <w:p w14:paraId="2C5861CE" w14:textId="77777777" w:rsidR="008E67EA" w:rsidRPr="00163597" w:rsidRDefault="008E67EA" w:rsidP="00B44A74">
            <w:pPr>
              <w:spacing w:line="280" w:lineRule="exact"/>
              <w:rPr>
                <w:rFonts w:cs="Arial"/>
                <w:sz w:val="20"/>
                <w:szCs w:val="20"/>
              </w:rPr>
            </w:pPr>
          </w:p>
        </w:tc>
      </w:tr>
    </w:tbl>
    <w:p w14:paraId="66E104F3" w14:textId="77777777" w:rsidR="008E67EA" w:rsidRPr="00163597" w:rsidRDefault="008E67EA" w:rsidP="008E67EA">
      <w:pPr>
        <w:rPr>
          <w:rFonts w:cs="Arial"/>
          <w:sz w:val="20"/>
          <w:szCs w:val="20"/>
        </w:rPr>
      </w:pPr>
    </w:p>
    <w:p w14:paraId="6187CB4C" w14:textId="77777777" w:rsidR="008E67EA" w:rsidRPr="00FF36BF" w:rsidRDefault="008E67EA" w:rsidP="008E67EA">
      <w:pPr>
        <w:spacing w:line="280" w:lineRule="exact"/>
        <w:rPr>
          <w:rFonts w:cs="Arial"/>
          <w:b/>
          <w:bCs/>
          <w:sz w:val="20"/>
          <w:szCs w:val="20"/>
        </w:rPr>
      </w:pPr>
      <w:bookmarkStart w:id="342" w:name="_Hlk215085313"/>
      <w:r w:rsidRPr="00FF36BF">
        <w:rPr>
          <w:rFonts w:cs="Arial"/>
          <w:b/>
          <w:bCs/>
          <w:sz w:val="20"/>
          <w:szCs w:val="20"/>
        </w:rPr>
        <w:t>DIRECTIONS FOR USE</w:t>
      </w:r>
    </w:p>
    <w:tbl>
      <w:tblPr>
        <w:tblStyle w:val="TableGrid"/>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276"/>
        <w:gridCol w:w="1134"/>
        <w:gridCol w:w="3193"/>
      </w:tblGrid>
      <w:tr w:rsidR="008E67EA" w:rsidRPr="00A27FD2" w14:paraId="7BDE58D3" w14:textId="77777777" w:rsidTr="00834983">
        <w:trPr>
          <w:trHeight w:val="340"/>
        </w:trPr>
        <w:tc>
          <w:tcPr>
            <w:tcW w:w="3397" w:type="dxa"/>
          </w:tcPr>
          <w:p w14:paraId="318F0777" w14:textId="77777777" w:rsidR="008E67EA" w:rsidRPr="00382A84" w:rsidRDefault="008E67EA" w:rsidP="00B44A74">
            <w:pPr>
              <w:spacing w:line="280" w:lineRule="exact"/>
              <w:rPr>
                <w:rFonts w:cs="Arial"/>
                <w:b/>
                <w:bCs/>
                <w:szCs w:val="18"/>
              </w:rPr>
            </w:pPr>
            <w:r w:rsidRPr="00382A84">
              <w:rPr>
                <w:rFonts w:cs="Arial"/>
                <w:b/>
                <w:bCs/>
                <w:szCs w:val="18"/>
              </w:rPr>
              <w:t>SITUATION</w:t>
            </w:r>
          </w:p>
        </w:tc>
        <w:tc>
          <w:tcPr>
            <w:tcW w:w="1276" w:type="dxa"/>
          </w:tcPr>
          <w:p w14:paraId="571E2670" w14:textId="77777777" w:rsidR="008E67EA" w:rsidRPr="00382A84" w:rsidRDefault="008E67EA" w:rsidP="00B44A74">
            <w:pPr>
              <w:spacing w:line="280" w:lineRule="exact"/>
              <w:rPr>
                <w:rFonts w:cs="Arial"/>
                <w:b/>
                <w:bCs/>
                <w:szCs w:val="18"/>
              </w:rPr>
            </w:pPr>
            <w:r w:rsidRPr="00382A84">
              <w:rPr>
                <w:rFonts w:cs="Arial"/>
                <w:b/>
                <w:bCs/>
                <w:szCs w:val="18"/>
              </w:rPr>
              <w:t>PEST</w:t>
            </w:r>
          </w:p>
        </w:tc>
        <w:tc>
          <w:tcPr>
            <w:tcW w:w="1134" w:type="dxa"/>
          </w:tcPr>
          <w:p w14:paraId="3AB57818" w14:textId="77777777" w:rsidR="008E67EA" w:rsidRPr="00382A84" w:rsidRDefault="008E67EA" w:rsidP="00B44A74">
            <w:pPr>
              <w:spacing w:line="280" w:lineRule="exact"/>
              <w:rPr>
                <w:rFonts w:cs="Arial"/>
                <w:b/>
                <w:bCs/>
                <w:szCs w:val="18"/>
              </w:rPr>
            </w:pPr>
            <w:r w:rsidRPr="00382A84">
              <w:rPr>
                <w:rFonts w:cs="Arial"/>
                <w:b/>
                <w:bCs/>
                <w:szCs w:val="18"/>
              </w:rPr>
              <w:t>RATE</w:t>
            </w:r>
          </w:p>
        </w:tc>
        <w:tc>
          <w:tcPr>
            <w:tcW w:w="3193" w:type="dxa"/>
          </w:tcPr>
          <w:p w14:paraId="5ECD0FA7" w14:textId="77777777" w:rsidR="008E67EA" w:rsidRPr="00382A84" w:rsidRDefault="008E67EA" w:rsidP="00B44A74">
            <w:pPr>
              <w:spacing w:line="280" w:lineRule="exact"/>
              <w:rPr>
                <w:rFonts w:cs="Arial"/>
                <w:b/>
                <w:bCs/>
                <w:szCs w:val="18"/>
              </w:rPr>
            </w:pPr>
            <w:r w:rsidRPr="00382A84">
              <w:rPr>
                <w:rFonts w:cs="Arial"/>
                <w:b/>
                <w:bCs/>
                <w:szCs w:val="18"/>
              </w:rPr>
              <w:t>CRITICAL COMMENTS</w:t>
            </w:r>
          </w:p>
        </w:tc>
      </w:tr>
      <w:tr w:rsidR="008E67EA" w:rsidRPr="00A27FD2" w14:paraId="4BB15D84" w14:textId="77777777" w:rsidTr="00834983">
        <w:trPr>
          <w:trHeight w:val="841"/>
        </w:trPr>
        <w:tc>
          <w:tcPr>
            <w:tcW w:w="3397" w:type="dxa"/>
          </w:tcPr>
          <w:p w14:paraId="1C028AB8" w14:textId="77777777" w:rsidR="008E67EA" w:rsidRPr="00382A84" w:rsidRDefault="008E67EA" w:rsidP="00B44A74">
            <w:pPr>
              <w:spacing w:after="120" w:line="240" w:lineRule="exact"/>
              <w:rPr>
                <w:rFonts w:cs="Arial"/>
                <w:bCs/>
                <w:spacing w:val="-2"/>
                <w:w w:val="105"/>
                <w:szCs w:val="18"/>
              </w:rPr>
            </w:pPr>
            <w:r w:rsidRPr="00382A84">
              <w:rPr>
                <w:rFonts w:cs="Arial"/>
                <w:bCs/>
                <w:spacing w:val="-2"/>
                <w:w w:val="105"/>
                <w:szCs w:val="18"/>
              </w:rPr>
              <w:t xml:space="preserve">In </w:t>
            </w:r>
            <w:r>
              <w:rPr>
                <w:rFonts w:cs="Arial"/>
                <w:bCs/>
                <w:spacing w:val="-2"/>
                <w:w w:val="105"/>
                <w:szCs w:val="18"/>
              </w:rPr>
              <w:t>d</w:t>
            </w:r>
            <w:r w:rsidRPr="006469D5">
              <w:rPr>
                <w:rFonts w:cs="Arial"/>
                <w:bCs/>
                <w:spacing w:val="-2"/>
                <w:w w:val="105"/>
                <w:szCs w:val="18"/>
              </w:rPr>
              <w:t>omestic homes, industrial and commercial buildings, animal</w:t>
            </w:r>
            <w:r>
              <w:rPr>
                <w:rFonts w:cs="Arial"/>
                <w:bCs/>
                <w:spacing w:val="-2"/>
                <w:w w:val="105"/>
                <w:szCs w:val="18"/>
              </w:rPr>
              <w:t xml:space="preserve"> </w:t>
            </w:r>
            <w:r w:rsidRPr="006469D5">
              <w:rPr>
                <w:rFonts w:cs="Arial"/>
                <w:bCs/>
                <w:spacing w:val="-2"/>
                <w:w w:val="105"/>
                <w:szCs w:val="18"/>
              </w:rPr>
              <w:t xml:space="preserve">houses, farms, wharves, public service buildings, food factories, hospitals, </w:t>
            </w:r>
            <w:r>
              <w:rPr>
                <w:rFonts w:cs="Arial"/>
                <w:bCs/>
                <w:spacing w:val="-2"/>
                <w:w w:val="105"/>
                <w:szCs w:val="18"/>
              </w:rPr>
              <w:t xml:space="preserve">and </w:t>
            </w:r>
            <w:r w:rsidRPr="006469D5">
              <w:rPr>
                <w:rFonts w:cs="Arial"/>
                <w:bCs/>
                <w:spacing w:val="-2"/>
                <w:w w:val="105"/>
                <w:szCs w:val="18"/>
              </w:rPr>
              <w:t>transport</w:t>
            </w:r>
            <w:r>
              <w:rPr>
                <w:rFonts w:cs="Arial"/>
                <w:bCs/>
                <w:spacing w:val="-2"/>
                <w:w w:val="105"/>
                <w:szCs w:val="18"/>
              </w:rPr>
              <w:t xml:space="preserve"> </w:t>
            </w:r>
            <w:r w:rsidRPr="006469D5">
              <w:rPr>
                <w:rFonts w:cs="Arial"/>
                <w:bCs/>
                <w:spacing w:val="-2"/>
                <w:w w:val="105"/>
                <w:szCs w:val="18"/>
              </w:rPr>
              <w:t>vehicles (including ships)</w:t>
            </w:r>
            <w:r>
              <w:rPr>
                <w:rFonts w:cs="Arial"/>
                <w:bCs/>
                <w:spacing w:val="-2"/>
                <w:w w:val="105"/>
                <w:szCs w:val="18"/>
              </w:rPr>
              <w:t>.</w:t>
            </w:r>
          </w:p>
        </w:tc>
        <w:tc>
          <w:tcPr>
            <w:tcW w:w="1276" w:type="dxa"/>
          </w:tcPr>
          <w:p w14:paraId="28907642" w14:textId="77777777" w:rsidR="008E67EA" w:rsidRPr="006469D5" w:rsidRDefault="008E67EA" w:rsidP="00B44A74">
            <w:pPr>
              <w:spacing w:after="120" w:line="240" w:lineRule="exact"/>
              <w:rPr>
                <w:rFonts w:cs="Arial"/>
                <w:szCs w:val="18"/>
              </w:rPr>
            </w:pPr>
            <w:r w:rsidRPr="006469D5">
              <w:rPr>
                <w:rFonts w:cs="Arial"/>
                <w:bCs/>
                <w:spacing w:val="-2"/>
                <w:w w:val="105"/>
                <w:szCs w:val="18"/>
              </w:rPr>
              <w:t>Mice (</w:t>
            </w:r>
            <w:r w:rsidRPr="006469D5">
              <w:rPr>
                <w:rFonts w:cs="Arial"/>
                <w:bCs/>
                <w:i/>
                <w:iCs/>
                <w:spacing w:val="-2"/>
                <w:w w:val="105"/>
                <w:szCs w:val="18"/>
              </w:rPr>
              <w:t>Mus musculus</w:t>
            </w:r>
            <w:r w:rsidRPr="006469D5">
              <w:rPr>
                <w:rFonts w:cs="Arial"/>
                <w:bCs/>
                <w:spacing w:val="-2"/>
                <w:w w:val="105"/>
                <w:szCs w:val="18"/>
              </w:rPr>
              <w:t>)</w:t>
            </w:r>
          </w:p>
        </w:tc>
        <w:tc>
          <w:tcPr>
            <w:tcW w:w="1134" w:type="dxa"/>
          </w:tcPr>
          <w:p w14:paraId="49158B68" w14:textId="77777777" w:rsidR="008E67EA" w:rsidRPr="00382A84" w:rsidRDefault="008E67EA" w:rsidP="00B44A74">
            <w:pPr>
              <w:spacing w:after="120" w:line="240" w:lineRule="exact"/>
              <w:rPr>
                <w:rFonts w:cs="Arial"/>
                <w:bCs/>
                <w:spacing w:val="-2"/>
                <w:w w:val="105"/>
                <w:szCs w:val="18"/>
              </w:rPr>
            </w:pPr>
            <w:r>
              <w:rPr>
                <w:rFonts w:cs="Arial"/>
                <w:bCs/>
                <w:spacing w:val="-2"/>
                <w:w w:val="105"/>
                <w:szCs w:val="18"/>
              </w:rPr>
              <w:t>[As per current approved label]</w:t>
            </w:r>
          </w:p>
        </w:tc>
        <w:tc>
          <w:tcPr>
            <w:tcW w:w="3193" w:type="dxa"/>
            <w:vMerge w:val="restart"/>
          </w:tcPr>
          <w:p w14:paraId="5A91EEEB" w14:textId="77777777" w:rsidR="008E67EA" w:rsidRPr="00221023" w:rsidRDefault="008E67EA" w:rsidP="00B44A74">
            <w:pPr>
              <w:spacing w:after="120" w:line="240" w:lineRule="exact"/>
              <w:rPr>
                <w:rFonts w:cs="Arial"/>
                <w:bCs/>
                <w:color w:val="000000" w:themeColor="text1"/>
                <w:spacing w:val="-2"/>
                <w:w w:val="105"/>
                <w:szCs w:val="18"/>
              </w:rPr>
            </w:pPr>
            <w:r w:rsidRPr="00221023">
              <w:rPr>
                <w:rFonts w:cs="Arial"/>
                <w:bCs/>
                <w:color w:val="000000" w:themeColor="text1"/>
                <w:spacing w:val="-2"/>
                <w:w w:val="105"/>
                <w:szCs w:val="18"/>
              </w:rPr>
              <w:t xml:space="preserve">Determine areas where rats and/or mice will most likely find and consume bait. Generally, these areas are along walls, by gnawed openings, beside burrows, in corners and concealed places between floors and walls or in locations where rodents or their signs have been observed. </w:t>
            </w:r>
          </w:p>
          <w:p w14:paraId="2B879AEB" w14:textId="77777777" w:rsidR="008E67EA" w:rsidRPr="00221023" w:rsidRDefault="008E67EA" w:rsidP="00B44A74">
            <w:pPr>
              <w:spacing w:after="120" w:line="240" w:lineRule="exact"/>
              <w:rPr>
                <w:rFonts w:cs="Arial"/>
                <w:bCs/>
                <w:color w:val="000000" w:themeColor="text1"/>
                <w:spacing w:val="-2"/>
                <w:w w:val="105"/>
                <w:szCs w:val="18"/>
              </w:rPr>
            </w:pPr>
            <w:r w:rsidRPr="00221023">
              <w:rPr>
                <w:rFonts w:cs="Arial"/>
                <w:bCs/>
                <w:color w:val="000000" w:themeColor="text1"/>
                <w:spacing w:val="-2"/>
                <w:w w:val="105"/>
                <w:szCs w:val="18"/>
              </w:rPr>
              <w:t xml:space="preserve">Place bait stations in infested areas. </w:t>
            </w:r>
          </w:p>
          <w:p w14:paraId="0C4EF248" w14:textId="77777777" w:rsidR="008E67EA" w:rsidRPr="00221023" w:rsidRDefault="008E67EA" w:rsidP="00B44A74">
            <w:pPr>
              <w:spacing w:after="120" w:line="240" w:lineRule="exact"/>
              <w:rPr>
                <w:rFonts w:cs="Arial"/>
                <w:bCs/>
                <w:color w:val="000000" w:themeColor="text1"/>
                <w:spacing w:val="-2"/>
                <w:w w:val="105"/>
                <w:szCs w:val="18"/>
              </w:rPr>
            </w:pPr>
            <w:r w:rsidRPr="00221023">
              <w:rPr>
                <w:rFonts w:cs="Arial"/>
                <w:bCs/>
                <w:color w:val="000000" w:themeColor="text1"/>
                <w:spacing w:val="-2"/>
                <w:w w:val="105"/>
                <w:szCs w:val="18"/>
              </w:rPr>
              <w:t>DO NOT exceed 3 m between bait stations for mice or 9 m between bait stations for rats.</w:t>
            </w:r>
          </w:p>
        </w:tc>
      </w:tr>
      <w:tr w:rsidR="008E67EA" w:rsidRPr="00A27FD2" w14:paraId="422B129F" w14:textId="77777777" w:rsidTr="00834983">
        <w:trPr>
          <w:trHeight w:val="841"/>
        </w:trPr>
        <w:tc>
          <w:tcPr>
            <w:tcW w:w="3397" w:type="dxa"/>
          </w:tcPr>
          <w:p w14:paraId="6E5D74FB" w14:textId="77777777" w:rsidR="008E67EA" w:rsidRDefault="008E67EA" w:rsidP="00B44A74">
            <w:pPr>
              <w:spacing w:after="120" w:line="240" w:lineRule="exact"/>
              <w:rPr>
                <w:rFonts w:cs="Arial"/>
                <w:bCs/>
                <w:spacing w:val="-2"/>
                <w:w w:val="105"/>
                <w:szCs w:val="18"/>
              </w:rPr>
            </w:pPr>
            <w:r w:rsidRPr="00382A84">
              <w:rPr>
                <w:rFonts w:cs="Arial"/>
                <w:bCs/>
                <w:spacing w:val="-2"/>
                <w:w w:val="105"/>
                <w:szCs w:val="18"/>
              </w:rPr>
              <w:t xml:space="preserve">In </w:t>
            </w:r>
            <w:r>
              <w:rPr>
                <w:rFonts w:cs="Arial"/>
                <w:bCs/>
                <w:spacing w:val="-2"/>
                <w:w w:val="105"/>
                <w:szCs w:val="18"/>
              </w:rPr>
              <w:t>and around (within 2 meters) d</w:t>
            </w:r>
            <w:r w:rsidRPr="006469D5">
              <w:rPr>
                <w:rFonts w:cs="Arial"/>
                <w:bCs/>
                <w:spacing w:val="-2"/>
                <w:w w:val="105"/>
                <w:szCs w:val="18"/>
              </w:rPr>
              <w:t>omestic homes, industrial and commercial buildings, animal</w:t>
            </w:r>
            <w:r>
              <w:rPr>
                <w:rFonts w:cs="Arial"/>
                <w:bCs/>
                <w:spacing w:val="-2"/>
                <w:w w:val="105"/>
                <w:szCs w:val="18"/>
              </w:rPr>
              <w:t xml:space="preserve"> </w:t>
            </w:r>
            <w:r w:rsidRPr="006469D5">
              <w:rPr>
                <w:rFonts w:cs="Arial"/>
                <w:bCs/>
                <w:spacing w:val="-2"/>
                <w:w w:val="105"/>
                <w:szCs w:val="18"/>
              </w:rPr>
              <w:t>houses, farms, wharves, public service buildings, food factories</w:t>
            </w:r>
            <w:r>
              <w:rPr>
                <w:rFonts w:cs="Arial"/>
                <w:bCs/>
                <w:spacing w:val="-2"/>
                <w:w w:val="105"/>
                <w:szCs w:val="18"/>
              </w:rPr>
              <w:t xml:space="preserve"> and</w:t>
            </w:r>
            <w:r w:rsidRPr="006469D5">
              <w:rPr>
                <w:rFonts w:cs="Arial"/>
                <w:bCs/>
                <w:spacing w:val="-2"/>
                <w:w w:val="105"/>
                <w:szCs w:val="18"/>
              </w:rPr>
              <w:t xml:space="preserve"> hospitals</w:t>
            </w:r>
            <w:r>
              <w:rPr>
                <w:rFonts w:cs="Arial"/>
                <w:bCs/>
                <w:spacing w:val="-2"/>
                <w:w w:val="105"/>
                <w:szCs w:val="18"/>
              </w:rPr>
              <w:t xml:space="preserve">. </w:t>
            </w:r>
          </w:p>
          <w:p w14:paraId="125DADD5" w14:textId="77777777" w:rsidR="008E67EA" w:rsidRPr="00382A84" w:rsidRDefault="008E67EA" w:rsidP="00B44A74">
            <w:pPr>
              <w:spacing w:after="120" w:line="240" w:lineRule="exact"/>
              <w:rPr>
                <w:rFonts w:cs="Arial"/>
                <w:bCs/>
                <w:spacing w:val="-2"/>
                <w:w w:val="105"/>
                <w:szCs w:val="18"/>
              </w:rPr>
            </w:pPr>
            <w:r>
              <w:rPr>
                <w:rFonts w:cs="Arial"/>
                <w:bCs/>
                <w:spacing w:val="-2"/>
                <w:w w:val="105"/>
                <w:szCs w:val="18"/>
              </w:rPr>
              <w:t>I</w:t>
            </w:r>
            <w:r w:rsidRPr="006469D5">
              <w:rPr>
                <w:rFonts w:cs="Arial"/>
                <w:bCs/>
                <w:spacing w:val="-2"/>
                <w:w w:val="105"/>
                <w:szCs w:val="18"/>
              </w:rPr>
              <w:t>nside transport</w:t>
            </w:r>
            <w:r>
              <w:rPr>
                <w:rFonts w:cs="Arial"/>
                <w:bCs/>
                <w:spacing w:val="-2"/>
                <w:w w:val="105"/>
                <w:szCs w:val="18"/>
              </w:rPr>
              <w:t xml:space="preserve"> </w:t>
            </w:r>
            <w:r w:rsidRPr="006469D5">
              <w:rPr>
                <w:rFonts w:cs="Arial"/>
                <w:bCs/>
                <w:spacing w:val="-2"/>
                <w:w w:val="105"/>
                <w:szCs w:val="18"/>
              </w:rPr>
              <w:t>vehicles (including ships)</w:t>
            </w:r>
            <w:r>
              <w:rPr>
                <w:rFonts w:cs="Arial"/>
                <w:bCs/>
                <w:spacing w:val="-2"/>
                <w:w w:val="105"/>
                <w:szCs w:val="18"/>
              </w:rPr>
              <w:t xml:space="preserve"> and around (within 2 meters) </w:t>
            </w:r>
            <w:r w:rsidRPr="006469D5">
              <w:rPr>
                <w:rFonts w:cs="Arial"/>
                <w:bCs/>
                <w:spacing w:val="-2"/>
                <w:w w:val="105"/>
                <w:szCs w:val="18"/>
              </w:rPr>
              <w:t>grain terminals</w:t>
            </w:r>
            <w:r>
              <w:rPr>
                <w:rFonts w:cs="Arial"/>
                <w:bCs/>
                <w:spacing w:val="-2"/>
                <w:w w:val="105"/>
                <w:szCs w:val="18"/>
              </w:rPr>
              <w:t>.</w:t>
            </w:r>
          </w:p>
        </w:tc>
        <w:tc>
          <w:tcPr>
            <w:tcW w:w="1276" w:type="dxa"/>
          </w:tcPr>
          <w:p w14:paraId="2EE2868B" w14:textId="77777777" w:rsidR="008E67EA" w:rsidRPr="00485D88" w:rsidRDefault="008E67EA" w:rsidP="00B44A74">
            <w:pPr>
              <w:spacing w:after="120" w:line="240" w:lineRule="exact"/>
              <w:rPr>
                <w:rFonts w:cs="Arial"/>
                <w:bCs/>
                <w:i/>
                <w:iCs/>
                <w:spacing w:val="-2"/>
                <w:w w:val="105"/>
                <w:szCs w:val="18"/>
              </w:rPr>
            </w:pPr>
            <w:r w:rsidRPr="006469D5">
              <w:rPr>
                <w:rFonts w:cs="Arial"/>
                <w:bCs/>
                <w:spacing w:val="-2"/>
                <w:w w:val="105"/>
                <w:szCs w:val="18"/>
              </w:rPr>
              <w:t>Rats (</w:t>
            </w:r>
            <w:r w:rsidRPr="006469D5">
              <w:rPr>
                <w:rFonts w:cs="Arial"/>
                <w:bCs/>
                <w:i/>
                <w:iCs/>
                <w:spacing w:val="-2"/>
                <w:w w:val="105"/>
                <w:szCs w:val="18"/>
              </w:rPr>
              <w:t>Rattus norvegius, Rattus rattus</w:t>
            </w:r>
            <w:r w:rsidRPr="006469D5">
              <w:rPr>
                <w:rFonts w:cs="Arial"/>
                <w:bCs/>
                <w:spacing w:val="-2"/>
                <w:w w:val="105"/>
                <w:szCs w:val="18"/>
              </w:rPr>
              <w:t>)</w:t>
            </w:r>
          </w:p>
        </w:tc>
        <w:tc>
          <w:tcPr>
            <w:tcW w:w="1134" w:type="dxa"/>
          </w:tcPr>
          <w:p w14:paraId="435044E2" w14:textId="77777777" w:rsidR="008E67EA" w:rsidRPr="00382A84" w:rsidRDefault="008E67EA" w:rsidP="00B44A74">
            <w:pPr>
              <w:spacing w:after="120" w:line="240" w:lineRule="exact"/>
              <w:rPr>
                <w:rFonts w:cs="Arial"/>
                <w:bCs/>
                <w:spacing w:val="-2"/>
                <w:w w:val="105"/>
                <w:szCs w:val="18"/>
              </w:rPr>
            </w:pPr>
            <w:r>
              <w:rPr>
                <w:rFonts w:cs="Arial"/>
                <w:bCs/>
                <w:spacing w:val="-2"/>
                <w:w w:val="105"/>
                <w:szCs w:val="18"/>
              </w:rPr>
              <w:t>[As per current approved label]</w:t>
            </w:r>
          </w:p>
        </w:tc>
        <w:tc>
          <w:tcPr>
            <w:tcW w:w="3193" w:type="dxa"/>
            <w:vMerge/>
          </w:tcPr>
          <w:p w14:paraId="796F6964" w14:textId="77777777" w:rsidR="008E67EA" w:rsidRPr="00382A84" w:rsidRDefault="008E67EA" w:rsidP="00B44A74">
            <w:pPr>
              <w:ind w:firstLine="720"/>
              <w:rPr>
                <w:rFonts w:cs="Arial"/>
                <w:bCs/>
                <w:spacing w:val="-2"/>
                <w:w w:val="105"/>
                <w:szCs w:val="18"/>
              </w:rPr>
            </w:pPr>
          </w:p>
        </w:tc>
      </w:tr>
      <w:tr w:rsidR="008E67EA" w:rsidRPr="00A27FD2" w14:paraId="1F86F931" w14:textId="77777777" w:rsidTr="00834983">
        <w:trPr>
          <w:trHeight w:val="841"/>
        </w:trPr>
        <w:tc>
          <w:tcPr>
            <w:tcW w:w="9000" w:type="dxa"/>
            <w:gridSpan w:val="4"/>
          </w:tcPr>
          <w:p w14:paraId="097629D1" w14:textId="77777777" w:rsidR="008E67EA" w:rsidRPr="00382A84" w:rsidRDefault="008E67EA" w:rsidP="00B44A74">
            <w:pPr>
              <w:spacing w:after="120" w:line="240" w:lineRule="exact"/>
              <w:rPr>
                <w:rFonts w:cs="Arial"/>
                <w:b/>
                <w:spacing w:val="-2"/>
                <w:w w:val="105"/>
                <w:szCs w:val="18"/>
              </w:rPr>
            </w:pPr>
            <w:r w:rsidRPr="00382A84">
              <w:rPr>
                <w:rFonts w:cs="Arial"/>
                <w:b/>
                <w:spacing w:val="-2"/>
                <w:w w:val="105"/>
                <w:szCs w:val="18"/>
              </w:rPr>
              <w:t>Baiting strategy</w:t>
            </w:r>
          </w:p>
          <w:p w14:paraId="152EF86B" w14:textId="400B2887" w:rsidR="008E67EA" w:rsidRPr="00221023" w:rsidRDefault="008E67EA" w:rsidP="00B44A74">
            <w:pPr>
              <w:spacing w:after="120" w:line="240" w:lineRule="exact"/>
              <w:rPr>
                <w:rFonts w:cs="Arial"/>
                <w:bCs/>
                <w:color w:val="000000" w:themeColor="text1"/>
                <w:spacing w:val="-2"/>
                <w:w w:val="105"/>
                <w:szCs w:val="18"/>
              </w:rPr>
            </w:pPr>
            <w:r w:rsidRPr="00221023">
              <w:rPr>
                <w:rFonts w:cs="Arial"/>
                <w:bCs/>
                <w:color w:val="000000" w:themeColor="text1"/>
                <w:spacing w:val="-2"/>
                <w:w w:val="105"/>
                <w:szCs w:val="18"/>
              </w:rPr>
              <w:t>Eliminate, as far as practicable, all other food sources.</w:t>
            </w:r>
          </w:p>
          <w:p w14:paraId="45FCCAE8" w14:textId="77777777" w:rsidR="008E67EA" w:rsidRPr="00221023" w:rsidRDefault="008E67EA" w:rsidP="00B44A74">
            <w:pPr>
              <w:spacing w:after="120" w:line="240" w:lineRule="exact"/>
              <w:rPr>
                <w:rFonts w:cs="Arial"/>
                <w:bCs/>
                <w:color w:val="000000" w:themeColor="text1"/>
                <w:spacing w:val="-2"/>
                <w:w w:val="105"/>
                <w:szCs w:val="18"/>
              </w:rPr>
            </w:pPr>
            <w:r w:rsidRPr="00221023">
              <w:rPr>
                <w:rFonts w:cs="Arial"/>
                <w:bCs/>
                <w:color w:val="000000" w:themeColor="text1"/>
                <w:spacing w:val="-2"/>
                <w:w w:val="105"/>
                <w:szCs w:val="18"/>
              </w:rPr>
              <w:t>Survey site prior to treatment, including assessment of the extent of infestation and identification of any indications of the presence of non-target animals.</w:t>
            </w:r>
            <w:r w:rsidRPr="00221023">
              <w:rPr>
                <w:color w:val="000000" w:themeColor="text1"/>
              </w:rPr>
              <w:t xml:space="preserve"> </w:t>
            </w:r>
            <w:r w:rsidRPr="00221023">
              <w:rPr>
                <w:rFonts w:cs="Arial"/>
                <w:bCs/>
                <w:color w:val="000000" w:themeColor="text1"/>
                <w:spacing w:val="-2"/>
                <w:w w:val="105"/>
                <w:szCs w:val="18"/>
              </w:rPr>
              <w:t>Record the number and locations of bait stations for the purpose of inspection, replacement and later removal.</w:t>
            </w:r>
          </w:p>
          <w:p w14:paraId="0E00FC4D" w14:textId="071E9671" w:rsidR="008E67EA" w:rsidRPr="00221023" w:rsidRDefault="008E67EA" w:rsidP="00B44A74">
            <w:pPr>
              <w:spacing w:after="120" w:line="240" w:lineRule="exact"/>
              <w:rPr>
                <w:rFonts w:cs="Arial"/>
                <w:bCs/>
                <w:color w:val="000000" w:themeColor="text1"/>
                <w:spacing w:val="-2"/>
                <w:w w:val="105"/>
                <w:szCs w:val="18"/>
              </w:rPr>
            </w:pPr>
            <w:r w:rsidRPr="00221023">
              <w:rPr>
                <w:rFonts w:cs="Arial"/>
                <w:bCs/>
                <w:color w:val="000000" w:themeColor="text1"/>
                <w:spacing w:val="-2"/>
                <w:w w:val="105"/>
                <w:szCs w:val="18"/>
              </w:rPr>
              <w:t>Always use tamper-resistant bait stations that are secured in place in child accessible areas, outdoors and in animal or livestock housing. When used in food producing animal housing situations careful consideration is necessary regarding the placement of bait stations to ensure any rodenticide contamination of water, feed or livestock is prevented.</w:t>
            </w:r>
          </w:p>
          <w:p w14:paraId="56DBDD87" w14:textId="77777777" w:rsidR="008E67EA" w:rsidRPr="00221023" w:rsidRDefault="008E67EA" w:rsidP="00B44A74">
            <w:pPr>
              <w:spacing w:after="120" w:line="240" w:lineRule="exact"/>
              <w:rPr>
                <w:rFonts w:cs="Arial"/>
                <w:bCs/>
                <w:color w:val="000000" w:themeColor="text1"/>
                <w:spacing w:val="-2"/>
                <w:w w:val="105"/>
                <w:szCs w:val="18"/>
              </w:rPr>
            </w:pPr>
            <w:r w:rsidRPr="00221023">
              <w:rPr>
                <w:rFonts w:cs="Arial"/>
                <w:bCs/>
                <w:color w:val="000000" w:themeColor="text1"/>
                <w:spacing w:val="-2"/>
                <w:w w:val="105"/>
                <w:szCs w:val="18"/>
              </w:rPr>
              <w:t>Inspect bait stations daily. Replace eaten, contaminated or spoil</w:t>
            </w:r>
            <w:r>
              <w:rPr>
                <w:rFonts w:cs="Arial"/>
                <w:bCs/>
                <w:color w:val="000000" w:themeColor="text1"/>
                <w:spacing w:val="-2"/>
                <w:w w:val="105"/>
                <w:szCs w:val="18"/>
              </w:rPr>
              <w:t>ed</w:t>
            </w:r>
            <w:r w:rsidRPr="00221023">
              <w:rPr>
                <w:rFonts w:cs="Arial"/>
                <w:bCs/>
                <w:color w:val="000000" w:themeColor="text1"/>
                <w:spacing w:val="-2"/>
                <w:w w:val="105"/>
                <w:szCs w:val="18"/>
              </w:rPr>
              <w:t xml:space="preserve"> baits. If eaten quickly, increase the number of bait stations. Continue observation and replenish until no more baits are taken. Baiting for at least two weeks is necessary to reduce rat/mouse numbers.</w:t>
            </w:r>
          </w:p>
          <w:p w14:paraId="4BCE6FCA" w14:textId="77777777" w:rsidR="008E67EA" w:rsidRPr="00221023" w:rsidRDefault="008E67EA" w:rsidP="00B44A74">
            <w:pPr>
              <w:spacing w:after="120" w:line="240" w:lineRule="exact"/>
              <w:rPr>
                <w:rFonts w:cs="Arial"/>
                <w:bCs/>
                <w:color w:val="000000" w:themeColor="text1"/>
                <w:spacing w:val="-2"/>
                <w:w w:val="105"/>
                <w:szCs w:val="18"/>
              </w:rPr>
            </w:pPr>
            <w:r w:rsidRPr="00221023">
              <w:rPr>
                <w:rFonts w:cs="Arial"/>
                <w:bCs/>
                <w:color w:val="000000" w:themeColor="text1"/>
                <w:spacing w:val="-2"/>
                <w:w w:val="105"/>
                <w:szCs w:val="18"/>
              </w:rPr>
              <w:t>DO NOT use the product beyond 35 days without an evaluation of the state of the infestation and of the efficacy of the treatment.</w:t>
            </w:r>
            <w:r w:rsidRPr="00221023">
              <w:rPr>
                <w:color w:val="000000" w:themeColor="text1"/>
              </w:rPr>
              <w:t xml:space="preserve"> </w:t>
            </w:r>
            <w:r w:rsidRPr="00221023">
              <w:rPr>
                <w:rFonts w:cs="Arial"/>
                <w:bCs/>
                <w:color w:val="000000" w:themeColor="text1"/>
                <w:spacing w:val="-2"/>
                <w:w w:val="105"/>
                <w:szCs w:val="18"/>
              </w:rPr>
              <w:t>Remove all uneaten bait at the end of treatment</w:t>
            </w:r>
          </w:p>
          <w:p w14:paraId="49A379DD" w14:textId="77777777" w:rsidR="008E67EA" w:rsidRPr="00382A84" w:rsidRDefault="008E67EA" w:rsidP="00B44A74">
            <w:pPr>
              <w:spacing w:after="120" w:line="240" w:lineRule="exact"/>
              <w:rPr>
                <w:rFonts w:cs="Arial"/>
                <w:bCs/>
                <w:spacing w:val="-2"/>
                <w:w w:val="105"/>
                <w:szCs w:val="18"/>
              </w:rPr>
            </w:pPr>
            <w:r w:rsidRPr="00221023">
              <w:rPr>
                <w:rFonts w:cs="Arial"/>
                <w:bCs/>
                <w:color w:val="000000" w:themeColor="text1"/>
                <w:spacing w:val="-2"/>
                <w:w w:val="105"/>
                <w:szCs w:val="18"/>
              </w:rPr>
              <w:t>To prevent reinfestation, eliminate food, water and harbourage as much as possible. If reinfestation should occur, repeat treatment.</w:t>
            </w:r>
          </w:p>
        </w:tc>
      </w:tr>
    </w:tbl>
    <w:p w14:paraId="616F4DDE" w14:textId="71A701B8" w:rsidR="008E67EA" w:rsidRDefault="008E67EA" w:rsidP="00834983">
      <w:pPr>
        <w:spacing w:line="280" w:lineRule="exact"/>
        <w:rPr>
          <w:rFonts w:cs="Arial"/>
          <w:b/>
          <w:bCs/>
          <w:sz w:val="20"/>
          <w:szCs w:val="20"/>
          <w:bdr w:val="none" w:sz="0" w:space="0" w:color="auto" w:frame="1"/>
          <w:lang w:val="en-GB" w:eastAsia="en-AU"/>
        </w:rPr>
      </w:pPr>
      <w:r w:rsidRPr="00FF36BF">
        <w:rPr>
          <w:rFonts w:cs="Arial"/>
          <w:b/>
          <w:bCs/>
          <w:sz w:val="20"/>
          <w:szCs w:val="20"/>
        </w:rPr>
        <w:t>NOT TO BE USED FOR ANY PURPOSE, OR IN ANY MANNER, CONTRARY TO THIS LABEL UNLESS AUTHORISED UNDER APPROPRIATE LEGISLATION.</w:t>
      </w:r>
      <w:bookmarkEnd w:id="342"/>
      <w:r>
        <w:rPr>
          <w:rFonts w:cs="Arial"/>
          <w:b/>
          <w:bCs/>
          <w:sz w:val="20"/>
          <w:szCs w:val="20"/>
          <w:bdr w:val="none" w:sz="0" w:space="0" w:color="auto" w:frame="1"/>
          <w:lang w:val="en-GB" w:eastAsia="en-AU"/>
        </w:rPr>
        <w:br w:type="page"/>
      </w:r>
    </w:p>
    <w:p w14:paraId="060B383C" w14:textId="77777777" w:rsidR="008E67EA"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lastRenderedPageBreak/>
        <w:t xml:space="preserve">Template Label </w:t>
      </w:r>
      <w:r>
        <w:rPr>
          <w:rFonts w:cs="Arial"/>
          <w:b/>
          <w:bCs/>
          <w:sz w:val="20"/>
          <w:szCs w:val="20"/>
          <w:bdr w:val="none" w:sz="0" w:space="0" w:color="auto" w:frame="1"/>
          <w:lang w:val="en-GB" w:eastAsia="en-AU"/>
        </w:rPr>
        <w:t>8c</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095042" w14:paraId="780A41C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7790F90" w14:textId="77777777" w:rsidR="008E67EA" w:rsidRPr="004154BB" w:rsidRDefault="008E67EA" w:rsidP="00B44A74">
            <w:pPr>
              <w:spacing w:line="280" w:lineRule="exact"/>
              <w:rPr>
                <w:rFonts w:cs="Arial"/>
                <w:sz w:val="20"/>
                <w:szCs w:val="20"/>
              </w:rPr>
            </w:pPr>
            <w:r w:rsidRPr="004154BB">
              <w:rPr>
                <w:rFonts w:cs="Arial"/>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7A57093C" w14:textId="77777777" w:rsidR="008E67EA" w:rsidRPr="004154BB" w:rsidRDefault="008E67EA" w:rsidP="00B44A74">
            <w:pPr>
              <w:spacing w:line="280" w:lineRule="exact"/>
              <w:rPr>
                <w:rFonts w:cs="Arial"/>
                <w:sz w:val="20"/>
                <w:szCs w:val="20"/>
              </w:rPr>
            </w:pPr>
            <w:r w:rsidRPr="004154BB">
              <w:rPr>
                <w:rFonts w:cs="Arial"/>
                <w:sz w:val="20"/>
                <w:szCs w:val="20"/>
              </w:rPr>
              <w:t>[INSERT LABEL NAME]</w:t>
            </w:r>
            <w:r w:rsidRPr="004154BB" w:rsidDel="00005B78">
              <w:rPr>
                <w:rFonts w:cs="Arial"/>
                <w:sz w:val="20"/>
                <w:szCs w:val="20"/>
              </w:rPr>
              <w:t xml:space="preserve"> </w:t>
            </w:r>
          </w:p>
        </w:tc>
      </w:tr>
      <w:tr w:rsidR="008E67EA" w:rsidRPr="00095042" w14:paraId="253CD11F" w14:textId="77777777" w:rsidTr="00B44A74">
        <w:trPr>
          <w:jc w:val="center"/>
        </w:trPr>
        <w:tc>
          <w:tcPr>
            <w:tcW w:w="2415" w:type="dxa"/>
            <w:tcBorders>
              <w:top w:val="single" w:sz="4" w:space="0" w:color="auto"/>
              <w:left w:val="nil"/>
              <w:bottom w:val="single" w:sz="4" w:space="0" w:color="auto"/>
              <w:right w:val="nil"/>
            </w:tcBorders>
          </w:tcPr>
          <w:p w14:paraId="3C8B2AD1" w14:textId="77777777" w:rsidR="008E67EA" w:rsidRPr="004154BB"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1F66992" w14:textId="77777777" w:rsidR="008E67EA" w:rsidRPr="004154BB" w:rsidRDefault="008E67EA" w:rsidP="00B44A74">
            <w:pPr>
              <w:spacing w:line="280" w:lineRule="exact"/>
              <w:rPr>
                <w:rFonts w:cs="Arial"/>
                <w:sz w:val="20"/>
                <w:szCs w:val="20"/>
              </w:rPr>
            </w:pPr>
          </w:p>
        </w:tc>
      </w:tr>
      <w:tr w:rsidR="008E67EA" w:rsidRPr="00095042" w14:paraId="205CF7B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92F45E4" w14:textId="77777777" w:rsidR="008E67EA" w:rsidRPr="004154BB" w:rsidRDefault="008E67EA" w:rsidP="00B44A74">
            <w:pPr>
              <w:spacing w:line="280" w:lineRule="exact"/>
              <w:rPr>
                <w:rFonts w:cs="Arial"/>
                <w:sz w:val="20"/>
                <w:szCs w:val="20"/>
              </w:rPr>
            </w:pPr>
            <w:r w:rsidRPr="004154BB">
              <w:rPr>
                <w:rFonts w:cs="Arial"/>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1598F514" w14:textId="77777777" w:rsidR="008E67EA" w:rsidRPr="004154BB" w:rsidRDefault="008E67EA" w:rsidP="00B44A74">
            <w:pPr>
              <w:spacing w:line="280" w:lineRule="exact"/>
              <w:rPr>
                <w:rFonts w:cs="Arial"/>
                <w:sz w:val="20"/>
                <w:szCs w:val="20"/>
              </w:rPr>
            </w:pPr>
            <w:r w:rsidRPr="004154BB">
              <w:rPr>
                <w:rFonts w:cs="Arial"/>
                <w:sz w:val="20"/>
                <w:szCs w:val="20"/>
              </w:rPr>
              <w:t>POISON</w:t>
            </w:r>
          </w:p>
          <w:p w14:paraId="27FEAB0D" w14:textId="77777777" w:rsidR="008E67EA" w:rsidRPr="004154BB" w:rsidRDefault="008E67EA" w:rsidP="00B44A74">
            <w:pPr>
              <w:spacing w:line="280" w:lineRule="exact"/>
              <w:rPr>
                <w:rFonts w:cs="Arial"/>
                <w:sz w:val="20"/>
                <w:szCs w:val="20"/>
              </w:rPr>
            </w:pPr>
            <w:r w:rsidRPr="004154BB">
              <w:rPr>
                <w:rFonts w:cs="Arial"/>
                <w:sz w:val="20"/>
                <w:szCs w:val="20"/>
              </w:rPr>
              <w:t>KEEP OUT OF REACH OF CHILDREN</w:t>
            </w:r>
          </w:p>
          <w:p w14:paraId="6FF4E0B2" w14:textId="77777777" w:rsidR="008E67EA" w:rsidRPr="004154BB" w:rsidRDefault="008E67EA" w:rsidP="00B44A74">
            <w:pPr>
              <w:spacing w:line="280" w:lineRule="exact"/>
              <w:rPr>
                <w:rFonts w:cs="Arial"/>
                <w:sz w:val="20"/>
                <w:szCs w:val="20"/>
              </w:rPr>
            </w:pPr>
            <w:r w:rsidRPr="004154BB">
              <w:rPr>
                <w:rFonts w:cs="Arial"/>
                <w:sz w:val="20"/>
                <w:szCs w:val="20"/>
              </w:rPr>
              <w:t>READ SAFETY DIRECTIONS BEFORE OPENING OR USING</w:t>
            </w:r>
          </w:p>
        </w:tc>
      </w:tr>
      <w:tr w:rsidR="008E67EA" w:rsidRPr="00095042" w14:paraId="793BFCA5" w14:textId="77777777" w:rsidTr="00B44A74">
        <w:trPr>
          <w:jc w:val="center"/>
        </w:trPr>
        <w:tc>
          <w:tcPr>
            <w:tcW w:w="2415" w:type="dxa"/>
            <w:tcBorders>
              <w:top w:val="single" w:sz="4" w:space="0" w:color="auto"/>
              <w:left w:val="nil"/>
              <w:bottom w:val="single" w:sz="4" w:space="0" w:color="auto"/>
              <w:right w:val="nil"/>
            </w:tcBorders>
          </w:tcPr>
          <w:p w14:paraId="2998D6DE" w14:textId="77777777" w:rsidR="008E67EA" w:rsidRPr="004154BB"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777C7E1" w14:textId="77777777" w:rsidR="008E67EA" w:rsidRPr="004154BB" w:rsidRDefault="008E67EA" w:rsidP="00B44A74">
            <w:pPr>
              <w:spacing w:line="280" w:lineRule="exact"/>
              <w:rPr>
                <w:rFonts w:cs="Arial"/>
                <w:sz w:val="20"/>
                <w:szCs w:val="20"/>
              </w:rPr>
            </w:pPr>
          </w:p>
        </w:tc>
      </w:tr>
      <w:tr w:rsidR="008E67EA" w:rsidRPr="00095042" w14:paraId="3A44010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D583417" w14:textId="77777777" w:rsidR="008E67EA" w:rsidRPr="004154BB" w:rsidRDefault="008E67EA" w:rsidP="00B44A74">
            <w:pPr>
              <w:spacing w:line="280" w:lineRule="exact"/>
              <w:rPr>
                <w:rFonts w:cs="Arial"/>
                <w:sz w:val="20"/>
                <w:szCs w:val="20"/>
              </w:rPr>
            </w:pPr>
            <w:r w:rsidRPr="004154BB">
              <w:rPr>
                <w:rFonts w:cs="Arial"/>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0BD30A6F" w14:textId="77777777" w:rsidR="008E67EA" w:rsidRPr="004154BB" w:rsidRDefault="008E67EA" w:rsidP="00B44A74">
            <w:pPr>
              <w:spacing w:line="280" w:lineRule="exact"/>
              <w:rPr>
                <w:rFonts w:cs="Arial"/>
                <w:sz w:val="20"/>
                <w:szCs w:val="20"/>
              </w:rPr>
            </w:pPr>
            <w:r w:rsidRPr="004154BB">
              <w:rPr>
                <w:rFonts w:cs="Arial"/>
                <w:sz w:val="20"/>
                <w:szCs w:val="20"/>
              </w:rPr>
              <w:t>ACTIVE CONSTITUENT: 0.05 g/kg BROMADIOLONE</w:t>
            </w:r>
          </w:p>
        </w:tc>
      </w:tr>
      <w:tr w:rsidR="008E67EA" w:rsidRPr="00095042" w14:paraId="02BAC38C" w14:textId="77777777" w:rsidTr="00B44A74">
        <w:trPr>
          <w:jc w:val="center"/>
        </w:trPr>
        <w:tc>
          <w:tcPr>
            <w:tcW w:w="2415" w:type="dxa"/>
            <w:tcBorders>
              <w:top w:val="single" w:sz="4" w:space="0" w:color="auto"/>
              <w:left w:val="nil"/>
              <w:bottom w:val="single" w:sz="4" w:space="0" w:color="auto"/>
              <w:right w:val="nil"/>
            </w:tcBorders>
          </w:tcPr>
          <w:p w14:paraId="5DE7D53C" w14:textId="77777777" w:rsidR="008E67EA" w:rsidRPr="004154BB"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1EC5662" w14:textId="77777777" w:rsidR="008E67EA" w:rsidRPr="004154BB" w:rsidRDefault="008E67EA" w:rsidP="00B44A74">
            <w:pPr>
              <w:spacing w:line="280" w:lineRule="exact"/>
              <w:rPr>
                <w:rFonts w:cs="Arial"/>
                <w:sz w:val="20"/>
                <w:szCs w:val="20"/>
              </w:rPr>
            </w:pPr>
          </w:p>
        </w:tc>
      </w:tr>
      <w:tr w:rsidR="008E67EA" w:rsidRPr="00095042" w14:paraId="5246354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1EC9272" w14:textId="77777777" w:rsidR="008E67EA" w:rsidRPr="004154BB" w:rsidRDefault="008E67EA" w:rsidP="00B44A74">
            <w:pPr>
              <w:spacing w:line="280" w:lineRule="exact"/>
              <w:rPr>
                <w:rFonts w:cs="Arial"/>
                <w:sz w:val="20"/>
                <w:szCs w:val="20"/>
              </w:rPr>
            </w:pPr>
            <w:r w:rsidRPr="004154BB">
              <w:rPr>
                <w:rFonts w:cs="Arial"/>
                <w:sz w:val="20"/>
                <w:szCs w:val="20"/>
              </w:rPr>
              <w:t>Mode of Action:</w:t>
            </w:r>
          </w:p>
        </w:tc>
        <w:tc>
          <w:tcPr>
            <w:tcW w:w="7755" w:type="dxa"/>
            <w:tcBorders>
              <w:top w:val="single" w:sz="4" w:space="0" w:color="auto"/>
              <w:left w:val="single" w:sz="4" w:space="0" w:color="auto"/>
              <w:bottom w:val="single" w:sz="4" w:space="0" w:color="auto"/>
              <w:right w:val="single" w:sz="4" w:space="0" w:color="auto"/>
            </w:tcBorders>
          </w:tcPr>
          <w:p w14:paraId="7BBB0F48" w14:textId="77777777" w:rsidR="008E67EA" w:rsidRPr="004154BB" w:rsidRDefault="008E67EA" w:rsidP="00B44A74">
            <w:pPr>
              <w:spacing w:line="280" w:lineRule="exact"/>
              <w:jc w:val="both"/>
              <w:rPr>
                <w:rFonts w:cs="Arial"/>
                <w:sz w:val="20"/>
                <w:szCs w:val="20"/>
              </w:rPr>
            </w:pPr>
          </w:p>
        </w:tc>
      </w:tr>
      <w:tr w:rsidR="008E67EA" w:rsidRPr="00095042" w14:paraId="3E64E264" w14:textId="77777777" w:rsidTr="00B44A74">
        <w:trPr>
          <w:jc w:val="center"/>
        </w:trPr>
        <w:tc>
          <w:tcPr>
            <w:tcW w:w="2415" w:type="dxa"/>
            <w:tcBorders>
              <w:top w:val="single" w:sz="4" w:space="0" w:color="auto"/>
              <w:left w:val="nil"/>
              <w:bottom w:val="single" w:sz="4" w:space="0" w:color="auto"/>
              <w:right w:val="nil"/>
            </w:tcBorders>
          </w:tcPr>
          <w:p w14:paraId="6A765222" w14:textId="77777777" w:rsidR="008E67EA" w:rsidRPr="004154BB"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839D9C9" w14:textId="77777777" w:rsidR="008E67EA" w:rsidRPr="004154BB" w:rsidRDefault="008E67EA" w:rsidP="00B44A74">
            <w:pPr>
              <w:spacing w:line="280" w:lineRule="exact"/>
              <w:rPr>
                <w:rFonts w:cs="Arial"/>
                <w:sz w:val="20"/>
                <w:szCs w:val="20"/>
              </w:rPr>
            </w:pPr>
          </w:p>
        </w:tc>
      </w:tr>
      <w:tr w:rsidR="008E67EA" w:rsidRPr="00095042" w14:paraId="52FAF87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F4DDF29" w14:textId="77777777" w:rsidR="008E67EA" w:rsidRPr="004154BB" w:rsidRDefault="008E67EA" w:rsidP="00B44A74">
            <w:pPr>
              <w:spacing w:line="280" w:lineRule="exact"/>
              <w:rPr>
                <w:rFonts w:cs="Arial"/>
                <w:sz w:val="20"/>
                <w:szCs w:val="20"/>
              </w:rPr>
            </w:pPr>
            <w:r w:rsidRPr="004154BB">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2976F0A7" w14:textId="4E827862" w:rsidR="008E67EA" w:rsidRPr="004154BB" w:rsidRDefault="008E67EA" w:rsidP="00B44A74">
            <w:pPr>
              <w:spacing w:line="280" w:lineRule="exact"/>
              <w:rPr>
                <w:rFonts w:cs="Arial"/>
                <w:sz w:val="20"/>
                <w:szCs w:val="20"/>
              </w:rPr>
            </w:pPr>
            <w:r w:rsidRPr="004154BB">
              <w:rPr>
                <w:rFonts w:cs="Arial"/>
                <w:sz w:val="20"/>
                <w:szCs w:val="20"/>
              </w:rPr>
              <w:t>For control of mice in agricultural,</w:t>
            </w:r>
            <w:r>
              <w:rPr>
                <w:rFonts w:cs="Arial"/>
                <w:sz w:val="20"/>
                <w:szCs w:val="20"/>
              </w:rPr>
              <w:t xml:space="preserve"> </w:t>
            </w:r>
            <w:r w:rsidRPr="004154BB">
              <w:rPr>
                <w:rFonts w:cs="Arial"/>
                <w:sz w:val="20"/>
                <w:szCs w:val="20"/>
              </w:rPr>
              <w:t>commercial,</w:t>
            </w:r>
            <w:r>
              <w:rPr>
                <w:rFonts w:cs="Arial"/>
                <w:sz w:val="20"/>
                <w:szCs w:val="20"/>
              </w:rPr>
              <w:t xml:space="preserve"> </w:t>
            </w:r>
            <w:r w:rsidRPr="004154BB">
              <w:rPr>
                <w:rFonts w:cs="Arial"/>
                <w:sz w:val="20"/>
                <w:szCs w:val="20"/>
              </w:rPr>
              <w:t>domestic and</w:t>
            </w:r>
            <w:r>
              <w:rPr>
                <w:rFonts w:cs="Arial"/>
                <w:sz w:val="20"/>
                <w:szCs w:val="20"/>
              </w:rPr>
              <w:t xml:space="preserve"> </w:t>
            </w:r>
            <w:r w:rsidRPr="004154BB">
              <w:rPr>
                <w:rFonts w:cs="Arial"/>
                <w:sz w:val="20"/>
                <w:szCs w:val="20"/>
              </w:rPr>
              <w:t>industrial buildings and rats in and around agricultural,</w:t>
            </w:r>
            <w:r>
              <w:rPr>
                <w:rFonts w:cs="Arial"/>
                <w:sz w:val="20"/>
                <w:szCs w:val="20"/>
              </w:rPr>
              <w:t xml:space="preserve"> </w:t>
            </w:r>
            <w:r w:rsidRPr="004154BB">
              <w:rPr>
                <w:rFonts w:cs="Arial"/>
                <w:sz w:val="20"/>
                <w:szCs w:val="20"/>
              </w:rPr>
              <w:t>commercial,</w:t>
            </w:r>
            <w:r>
              <w:rPr>
                <w:rFonts w:cs="Arial"/>
                <w:sz w:val="20"/>
                <w:szCs w:val="20"/>
              </w:rPr>
              <w:t xml:space="preserve"> </w:t>
            </w:r>
            <w:r w:rsidRPr="004154BB">
              <w:rPr>
                <w:rFonts w:cs="Arial"/>
                <w:sz w:val="20"/>
                <w:szCs w:val="20"/>
              </w:rPr>
              <w:t>domestic and</w:t>
            </w:r>
            <w:r>
              <w:rPr>
                <w:rFonts w:cs="Arial"/>
                <w:sz w:val="20"/>
                <w:szCs w:val="20"/>
              </w:rPr>
              <w:t xml:space="preserve"> </w:t>
            </w:r>
            <w:r w:rsidRPr="004154BB">
              <w:rPr>
                <w:rFonts w:cs="Arial"/>
                <w:sz w:val="20"/>
                <w:szCs w:val="20"/>
              </w:rPr>
              <w:t>industrial buildings.</w:t>
            </w:r>
          </w:p>
        </w:tc>
      </w:tr>
      <w:tr w:rsidR="008E67EA" w:rsidRPr="00095042" w14:paraId="2A6F8D0E" w14:textId="77777777" w:rsidTr="00B44A74">
        <w:trPr>
          <w:jc w:val="center"/>
        </w:trPr>
        <w:tc>
          <w:tcPr>
            <w:tcW w:w="2415" w:type="dxa"/>
            <w:tcBorders>
              <w:top w:val="single" w:sz="4" w:space="0" w:color="auto"/>
              <w:left w:val="nil"/>
              <w:bottom w:val="single" w:sz="4" w:space="0" w:color="auto"/>
              <w:right w:val="nil"/>
            </w:tcBorders>
          </w:tcPr>
          <w:p w14:paraId="011A666B" w14:textId="77777777" w:rsidR="008E67EA" w:rsidRPr="004154BB"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CD7B60A" w14:textId="77777777" w:rsidR="008E67EA" w:rsidRPr="004154BB" w:rsidRDefault="008E67EA" w:rsidP="00B44A74">
            <w:pPr>
              <w:spacing w:line="280" w:lineRule="exact"/>
              <w:rPr>
                <w:rFonts w:cs="Arial"/>
                <w:sz w:val="20"/>
                <w:szCs w:val="20"/>
              </w:rPr>
            </w:pPr>
          </w:p>
        </w:tc>
      </w:tr>
      <w:tr w:rsidR="008E67EA" w:rsidRPr="00095042" w14:paraId="5EE87069"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4831500" w14:textId="77777777" w:rsidR="008E67EA" w:rsidRPr="004154BB" w:rsidRDefault="008E67EA" w:rsidP="00B44A74">
            <w:pPr>
              <w:spacing w:line="280" w:lineRule="exact"/>
              <w:rPr>
                <w:rFonts w:cs="Arial"/>
                <w:sz w:val="20"/>
                <w:szCs w:val="20"/>
              </w:rPr>
            </w:pPr>
            <w:r w:rsidRPr="004154BB">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03C95C59" w14:textId="77777777" w:rsidR="008E67EA" w:rsidRPr="004154BB" w:rsidRDefault="008E67EA" w:rsidP="00B44A74">
            <w:pPr>
              <w:spacing w:line="280" w:lineRule="exact"/>
              <w:rPr>
                <w:rFonts w:cs="Arial"/>
                <w:sz w:val="20"/>
                <w:szCs w:val="20"/>
              </w:rPr>
            </w:pPr>
            <w:r w:rsidRPr="004154BB">
              <w:rPr>
                <w:rFonts w:cs="Arial"/>
                <w:sz w:val="20"/>
                <w:szCs w:val="20"/>
              </w:rPr>
              <w:t>[INSERT NET CONTENTS]</w:t>
            </w:r>
            <w:r w:rsidRPr="004154BB" w:rsidDel="00005B78">
              <w:rPr>
                <w:rFonts w:cs="Arial"/>
                <w:sz w:val="20"/>
                <w:szCs w:val="20"/>
              </w:rPr>
              <w:t xml:space="preserve"> </w:t>
            </w:r>
          </w:p>
        </w:tc>
      </w:tr>
      <w:tr w:rsidR="008E67EA" w:rsidRPr="00095042" w14:paraId="2CE7B20C" w14:textId="77777777" w:rsidTr="00B44A74">
        <w:trPr>
          <w:jc w:val="center"/>
        </w:trPr>
        <w:tc>
          <w:tcPr>
            <w:tcW w:w="2415" w:type="dxa"/>
            <w:tcBorders>
              <w:top w:val="single" w:sz="4" w:space="0" w:color="auto"/>
              <w:left w:val="nil"/>
              <w:bottom w:val="single" w:sz="4" w:space="0" w:color="auto"/>
              <w:right w:val="nil"/>
            </w:tcBorders>
          </w:tcPr>
          <w:p w14:paraId="162D612F" w14:textId="77777777" w:rsidR="008E67EA" w:rsidRPr="004154BB"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5F61745" w14:textId="77777777" w:rsidR="008E67EA" w:rsidRPr="004154BB" w:rsidRDefault="008E67EA" w:rsidP="00B44A74">
            <w:pPr>
              <w:spacing w:line="280" w:lineRule="exact"/>
              <w:rPr>
                <w:rFonts w:cs="Arial"/>
                <w:sz w:val="20"/>
                <w:szCs w:val="20"/>
              </w:rPr>
            </w:pPr>
          </w:p>
        </w:tc>
      </w:tr>
      <w:tr w:rsidR="008E67EA" w:rsidRPr="00095042" w14:paraId="628821C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FA63320" w14:textId="77777777" w:rsidR="008E67EA" w:rsidRPr="004154BB" w:rsidRDefault="008E67EA" w:rsidP="00B44A74">
            <w:pPr>
              <w:spacing w:line="280" w:lineRule="exact"/>
              <w:rPr>
                <w:rFonts w:cs="Arial"/>
                <w:sz w:val="20"/>
                <w:szCs w:val="20"/>
              </w:rPr>
            </w:pPr>
            <w:r w:rsidRPr="004154BB">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36043861" w14:textId="77777777" w:rsidR="008E67EA" w:rsidRPr="004154BB" w:rsidRDefault="008E67EA" w:rsidP="00B44A74">
            <w:pPr>
              <w:spacing w:line="280" w:lineRule="exact"/>
              <w:rPr>
                <w:rFonts w:cs="Arial"/>
                <w:sz w:val="20"/>
                <w:szCs w:val="20"/>
              </w:rPr>
            </w:pPr>
            <w:r w:rsidRPr="004154BB">
              <w:rPr>
                <w:rFonts w:cs="Arial"/>
                <w:sz w:val="20"/>
                <w:szCs w:val="20"/>
              </w:rPr>
              <w:t>RESTRAINTS</w:t>
            </w:r>
          </w:p>
          <w:p w14:paraId="5AF3AE57" w14:textId="77777777" w:rsidR="008E67EA" w:rsidRPr="004154BB" w:rsidRDefault="008E67EA" w:rsidP="00B44A74">
            <w:pPr>
              <w:spacing w:line="280" w:lineRule="exact"/>
              <w:rPr>
                <w:rFonts w:cs="Arial"/>
                <w:sz w:val="20"/>
                <w:szCs w:val="20"/>
              </w:rPr>
            </w:pPr>
            <w:r w:rsidRPr="004154BB">
              <w:rPr>
                <w:rFonts w:cs="Arial"/>
                <w:sz w:val="20"/>
                <w:szCs w:val="20"/>
              </w:rPr>
              <w:t>DO NOT use this product unless you have a current qualification in the nationally recognised training course for rodent pest management CPPUPM3006 - Manage pests by applying pesticides, or an equivalent unit of competency.</w:t>
            </w:r>
          </w:p>
          <w:p w14:paraId="517415EC" w14:textId="2EF9EA94" w:rsidR="008E67EA" w:rsidRPr="004154BB" w:rsidRDefault="008E67EA" w:rsidP="00B44A74">
            <w:pPr>
              <w:spacing w:line="280" w:lineRule="exact"/>
              <w:rPr>
                <w:rFonts w:cs="Arial"/>
                <w:sz w:val="20"/>
                <w:szCs w:val="20"/>
              </w:rPr>
            </w:pPr>
            <w:r w:rsidRPr="004154BB">
              <w:rPr>
                <w:rFonts w:cs="Arial"/>
                <w:sz w:val="20"/>
                <w:szCs w:val="20"/>
              </w:rPr>
              <w:t>DO NOT place baits in areas that are accessible to children. In child-accessible areas baits must be placed in tamper-</w:t>
            </w:r>
            <w:r>
              <w:rPr>
                <w:rFonts w:cs="Arial"/>
                <w:sz w:val="20"/>
                <w:szCs w:val="20"/>
              </w:rPr>
              <w:t>resistant</w:t>
            </w:r>
            <w:r w:rsidRPr="004154BB">
              <w:rPr>
                <w:rFonts w:cs="Arial"/>
                <w:sz w:val="20"/>
                <w:szCs w:val="20"/>
              </w:rPr>
              <w:t xml:space="preserve"> bait stations. If bait can be dislodged from bait station, bait station must be secured in place.</w:t>
            </w:r>
          </w:p>
          <w:p w14:paraId="6D79E229" w14:textId="77777777" w:rsidR="008E67EA" w:rsidRPr="004154BB" w:rsidRDefault="008E67EA" w:rsidP="00B44A74">
            <w:pPr>
              <w:spacing w:line="280" w:lineRule="exact"/>
              <w:rPr>
                <w:rFonts w:cs="Arial"/>
                <w:sz w:val="20"/>
                <w:szCs w:val="20"/>
              </w:rPr>
            </w:pPr>
            <w:r w:rsidRPr="004154BB">
              <w:rPr>
                <w:rFonts w:cs="Arial"/>
                <w:sz w:val="20"/>
                <w:szCs w:val="20"/>
              </w:rPr>
              <w:t>DO NOT place bait outdoors unless it is in a tamper-</w:t>
            </w:r>
            <w:r>
              <w:rPr>
                <w:rFonts w:cs="Arial"/>
                <w:sz w:val="20"/>
                <w:szCs w:val="20"/>
              </w:rPr>
              <w:t>resistant</w:t>
            </w:r>
            <w:r w:rsidRPr="004154BB">
              <w:rPr>
                <w:rFonts w:cs="Arial"/>
                <w:sz w:val="20"/>
                <w:szCs w:val="20"/>
              </w:rPr>
              <w:t xml:space="preserve"> bait station which is secured in place.</w:t>
            </w:r>
          </w:p>
          <w:p w14:paraId="77E64084" w14:textId="77777777" w:rsidR="008E67EA" w:rsidRPr="004154BB" w:rsidRDefault="008E67EA" w:rsidP="00B44A74">
            <w:pPr>
              <w:spacing w:line="280" w:lineRule="exact"/>
              <w:rPr>
                <w:rFonts w:cs="Arial"/>
                <w:sz w:val="20"/>
                <w:szCs w:val="20"/>
              </w:rPr>
            </w:pPr>
            <w:r w:rsidRPr="004154BB">
              <w:rPr>
                <w:rFonts w:cs="Arial"/>
                <w:sz w:val="20"/>
                <w:szCs w:val="20"/>
              </w:rPr>
              <w:t>DO NOT place bait stations more than 2 meters from buildings.</w:t>
            </w:r>
          </w:p>
          <w:p w14:paraId="57461172" w14:textId="77777777" w:rsidR="008E67EA" w:rsidRPr="004154BB" w:rsidRDefault="008E67EA" w:rsidP="00B44A74">
            <w:pPr>
              <w:spacing w:line="280" w:lineRule="exact"/>
              <w:rPr>
                <w:rFonts w:cs="Arial"/>
                <w:sz w:val="20"/>
                <w:szCs w:val="20"/>
              </w:rPr>
            </w:pPr>
            <w:r w:rsidRPr="004154BB">
              <w:rPr>
                <w:rFonts w:cs="Arial"/>
                <w:sz w:val="20"/>
                <w:szCs w:val="20"/>
              </w:rPr>
              <w:t>DO NOT place bait stations outdoors around buildings for control of mice.</w:t>
            </w:r>
          </w:p>
          <w:p w14:paraId="3618283E" w14:textId="77777777" w:rsidR="008E67EA" w:rsidRPr="004154BB" w:rsidRDefault="008E67EA" w:rsidP="00B44A74">
            <w:pPr>
              <w:spacing w:line="280" w:lineRule="exact"/>
              <w:rPr>
                <w:rFonts w:cs="Arial"/>
                <w:sz w:val="20"/>
                <w:szCs w:val="20"/>
              </w:rPr>
            </w:pPr>
            <w:r w:rsidRPr="004154BB">
              <w:rPr>
                <w:rFonts w:cs="Arial"/>
                <w:sz w:val="20"/>
                <w:szCs w:val="20"/>
              </w:rPr>
              <w:t>DO NOT bait in areas where wildlife may be collected for human consumption.</w:t>
            </w:r>
          </w:p>
          <w:p w14:paraId="57CCA698" w14:textId="77777777" w:rsidR="008E67EA" w:rsidRPr="004154BB" w:rsidRDefault="008E67EA" w:rsidP="00B44A74">
            <w:pPr>
              <w:spacing w:line="280" w:lineRule="exact"/>
              <w:rPr>
                <w:rFonts w:cs="Arial"/>
                <w:sz w:val="20"/>
                <w:szCs w:val="20"/>
              </w:rPr>
            </w:pPr>
            <w:r w:rsidRPr="004154BB">
              <w:rPr>
                <w:rFonts w:cs="Arial"/>
                <w:sz w:val="20"/>
                <w:szCs w:val="20"/>
              </w:rPr>
              <w:t>DO NOT place in animal or livestock housing unless used in tamper-</w:t>
            </w:r>
            <w:r>
              <w:rPr>
                <w:rFonts w:cs="Arial"/>
                <w:sz w:val="20"/>
                <w:szCs w:val="20"/>
              </w:rPr>
              <w:t>resistant</w:t>
            </w:r>
            <w:r w:rsidRPr="004154BB">
              <w:rPr>
                <w:rFonts w:cs="Arial"/>
                <w:sz w:val="20"/>
                <w:szCs w:val="20"/>
              </w:rPr>
              <w:t xml:space="preserve"> and weather</w:t>
            </w:r>
            <w:r>
              <w:rPr>
                <w:rFonts w:cs="Arial"/>
                <w:sz w:val="20"/>
                <w:szCs w:val="20"/>
              </w:rPr>
              <w:t>-</w:t>
            </w:r>
            <w:r w:rsidRPr="004154BB">
              <w:rPr>
                <w:rFonts w:cs="Arial"/>
                <w:sz w:val="20"/>
                <w:szCs w:val="20"/>
              </w:rPr>
              <w:t>resistant bait stations fixed to the ground or other structures.</w:t>
            </w:r>
          </w:p>
          <w:p w14:paraId="611FE76A" w14:textId="77777777" w:rsidR="008E67EA" w:rsidRPr="004154BB" w:rsidRDefault="008E67EA" w:rsidP="00B44A74">
            <w:pPr>
              <w:spacing w:line="280" w:lineRule="exact"/>
              <w:rPr>
                <w:rFonts w:cs="Arial"/>
                <w:sz w:val="20"/>
                <w:szCs w:val="20"/>
              </w:rPr>
            </w:pPr>
            <w:r w:rsidRPr="004154BB">
              <w:rPr>
                <w:rFonts w:cs="Arial"/>
                <w:sz w:val="20"/>
                <w:szCs w:val="20"/>
              </w:rPr>
              <w:t>DO NOT place bait or bait stations above areas which would allow them to contaminate pig and poultry food or drinking water.</w:t>
            </w:r>
          </w:p>
          <w:p w14:paraId="1FFDB151" w14:textId="77777777" w:rsidR="008E67EA" w:rsidRPr="004154BB" w:rsidRDefault="008E67EA" w:rsidP="00B44A74">
            <w:pPr>
              <w:spacing w:line="280" w:lineRule="exact"/>
              <w:rPr>
                <w:rFonts w:cs="Arial"/>
                <w:sz w:val="20"/>
                <w:szCs w:val="20"/>
              </w:rPr>
            </w:pPr>
            <w:r w:rsidRPr="004154BB">
              <w:rPr>
                <w:rFonts w:cs="Arial"/>
                <w:sz w:val="20"/>
                <w:szCs w:val="20"/>
              </w:rPr>
              <w:t>DO NOT apply this product directly into burrows.</w:t>
            </w:r>
          </w:p>
        </w:tc>
      </w:tr>
      <w:tr w:rsidR="008E67EA" w:rsidRPr="00095042" w14:paraId="2DEEA170" w14:textId="77777777" w:rsidTr="00B44A74">
        <w:trPr>
          <w:jc w:val="center"/>
        </w:trPr>
        <w:tc>
          <w:tcPr>
            <w:tcW w:w="2415" w:type="dxa"/>
            <w:tcBorders>
              <w:top w:val="single" w:sz="4" w:space="0" w:color="auto"/>
              <w:left w:val="nil"/>
              <w:bottom w:val="single" w:sz="4" w:space="0" w:color="auto"/>
              <w:right w:val="nil"/>
            </w:tcBorders>
          </w:tcPr>
          <w:p w14:paraId="1B85AA37" w14:textId="77777777" w:rsidR="008E67EA" w:rsidRPr="004154BB"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1DFB34E" w14:textId="77777777" w:rsidR="008E67EA" w:rsidRPr="004154BB" w:rsidRDefault="008E67EA" w:rsidP="00B44A74">
            <w:pPr>
              <w:spacing w:line="280" w:lineRule="exact"/>
              <w:rPr>
                <w:rFonts w:cs="Arial"/>
                <w:sz w:val="20"/>
                <w:szCs w:val="20"/>
              </w:rPr>
            </w:pPr>
          </w:p>
        </w:tc>
      </w:tr>
      <w:tr w:rsidR="008E67EA" w:rsidRPr="00095042" w14:paraId="2D08357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6B400F5" w14:textId="77777777" w:rsidR="008E67EA" w:rsidRPr="004154BB" w:rsidRDefault="008E67EA" w:rsidP="00B44A74">
            <w:pPr>
              <w:spacing w:line="280" w:lineRule="exact"/>
              <w:rPr>
                <w:rFonts w:cs="Arial"/>
                <w:sz w:val="20"/>
                <w:szCs w:val="20"/>
              </w:rPr>
            </w:pPr>
            <w:r w:rsidRPr="004154BB">
              <w:rPr>
                <w:rFonts w:cs="Arial"/>
                <w:sz w:val="20"/>
                <w:szCs w:val="20"/>
              </w:rPr>
              <w:t>Directions for Use:</w:t>
            </w:r>
          </w:p>
        </w:tc>
        <w:tc>
          <w:tcPr>
            <w:tcW w:w="7755" w:type="dxa"/>
            <w:tcBorders>
              <w:top w:val="single" w:sz="4" w:space="0" w:color="auto"/>
              <w:left w:val="single" w:sz="4" w:space="0" w:color="auto"/>
              <w:bottom w:val="single" w:sz="4" w:space="0" w:color="auto"/>
              <w:right w:val="single" w:sz="4" w:space="0" w:color="auto"/>
            </w:tcBorders>
          </w:tcPr>
          <w:p w14:paraId="3295847B" w14:textId="77777777" w:rsidR="008E67EA" w:rsidRPr="004154BB" w:rsidRDefault="008E67EA" w:rsidP="00B44A74">
            <w:pPr>
              <w:spacing w:line="280" w:lineRule="exact"/>
              <w:rPr>
                <w:rFonts w:cs="Arial"/>
                <w:sz w:val="20"/>
                <w:szCs w:val="20"/>
              </w:rPr>
            </w:pPr>
            <w:r w:rsidRPr="00713087">
              <w:rPr>
                <w:rFonts w:cs="Arial"/>
                <w:sz w:val="20"/>
                <w:szCs w:val="20"/>
              </w:rPr>
              <w:t>[This section contains an attachment below]</w:t>
            </w:r>
          </w:p>
        </w:tc>
      </w:tr>
      <w:tr w:rsidR="008E67EA" w:rsidRPr="00095042" w14:paraId="1B0BA729" w14:textId="77777777" w:rsidTr="00B44A74">
        <w:trPr>
          <w:jc w:val="center"/>
        </w:trPr>
        <w:tc>
          <w:tcPr>
            <w:tcW w:w="2415" w:type="dxa"/>
            <w:tcBorders>
              <w:top w:val="single" w:sz="4" w:space="0" w:color="auto"/>
              <w:left w:val="nil"/>
              <w:bottom w:val="single" w:sz="4" w:space="0" w:color="auto"/>
              <w:right w:val="nil"/>
            </w:tcBorders>
          </w:tcPr>
          <w:p w14:paraId="2EF87E82" w14:textId="77777777" w:rsidR="008E67EA" w:rsidRPr="004154BB"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E1A1E5E" w14:textId="77777777" w:rsidR="008E67EA" w:rsidRPr="004154BB" w:rsidRDefault="008E67EA" w:rsidP="00B44A74">
            <w:pPr>
              <w:spacing w:line="280" w:lineRule="exact"/>
              <w:rPr>
                <w:rFonts w:cs="Arial"/>
                <w:sz w:val="20"/>
                <w:szCs w:val="20"/>
              </w:rPr>
            </w:pPr>
          </w:p>
        </w:tc>
      </w:tr>
      <w:tr w:rsidR="008E67EA" w:rsidRPr="00095042" w14:paraId="4ACD42D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9188D6A" w14:textId="77777777" w:rsidR="008E67EA" w:rsidRPr="004154BB" w:rsidRDefault="008E67EA" w:rsidP="00B44A74">
            <w:pPr>
              <w:spacing w:line="280" w:lineRule="exact"/>
              <w:rPr>
                <w:rFonts w:cs="Arial"/>
                <w:sz w:val="20"/>
                <w:szCs w:val="20"/>
              </w:rPr>
            </w:pPr>
            <w:r w:rsidRPr="004154BB">
              <w:rPr>
                <w:rFonts w:cs="Arial"/>
                <w:sz w:val="20"/>
                <w:szCs w:val="20"/>
              </w:rPr>
              <w:t>Other Limitations:</w:t>
            </w:r>
          </w:p>
        </w:tc>
        <w:tc>
          <w:tcPr>
            <w:tcW w:w="7755" w:type="dxa"/>
            <w:tcBorders>
              <w:top w:val="single" w:sz="4" w:space="0" w:color="auto"/>
              <w:left w:val="single" w:sz="4" w:space="0" w:color="auto"/>
              <w:bottom w:val="single" w:sz="4" w:space="0" w:color="auto"/>
              <w:right w:val="single" w:sz="4" w:space="0" w:color="auto"/>
            </w:tcBorders>
          </w:tcPr>
          <w:p w14:paraId="2DF5D3DB" w14:textId="77777777" w:rsidR="008E67EA" w:rsidRPr="004154BB" w:rsidRDefault="008E67EA" w:rsidP="00B44A74">
            <w:pPr>
              <w:spacing w:line="280" w:lineRule="exact"/>
              <w:rPr>
                <w:rFonts w:cs="Arial"/>
                <w:sz w:val="20"/>
                <w:szCs w:val="20"/>
              </w:rPr>
            </w:pPr>
          </w:p>
        </w:tc>
      </w:tr>
      <w:tr w:rsidR="008E67EA" w:rsidRPr="00095042" w14:paraId="38A05D6B" w14:textId="77777777" w:rsidTr="00B44A74">
        <w:trPr>
          <w:jc w:val="center"/>
        </w:trPr>
        <w:tc>
          <w:tcPr>
            <w:tcW w:w="2415" w:type="dxa"/>
            <w:tcBorders>
              <w:top w:val="single" w:sz="4" w:space="0" w:color="auto"/>
              <w:left w:val="nil"/>
              <w:bottom w:val="single" w:sz="4" w:space="0" w:color="auto"/>
              <w:right w:val="nil"/>
            </w:tcBorders>
          </w:tcPr>
          <w:p w14:paraId="3F88FFA0" w14:textId="77777777" w:rsidR="008E67EA" w:rsidRPr="004154BB"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5C383B5" w14:textId="77777777" w:rsidR="008E67EA" w:rsidRPr="004154BB" w:rsidRDefault="008E67EA" w:rsidP="00B44A74">
            <w:pPr>
              <w:spacing w:line="280" w:lineRule="exact"/>
              <w:rPr>
                <w:rFonts w:cs="Arial"/>
                <w:sz w:val="20"/>
                <w:szCs w:val="20"/>
              </w:rPr>
            </w:pPr>
          </w:p>
        </w:tc>
      </w:tr>
      <w:tr w:rsidR="008E67EA" w:rsidRPr="00095042" w14:paraId="62F4D43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B2CA138" w14:textId="77777777" w:rsidR="008E67EA" w:rsidRPr="004154BB" w:rsidRDefault="008E67EA" w:rsidP="00B44A74">
            <w:pPr>
              <w:spacing w:line="280" w:lineRule="exact"/>
              <w:rPr>
                <w:rFonts w:cs="Arial"/>
                <w:sz w:val="20"/>
                <w:szCs w:val="20"/>
              </w:rPr>
            </w:pPr>
            <w:r w:rsidRPr="004154BB">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7A31C8E4" w14:textId="77777777" w:rsidR="008E67EA" w:rsidRPr="004154BB" w:rsidRDefault="008E67EA" w:rsidP="00B44A74">
            <w:pPr>
              <w:spacing w:line="280" w:lineRule="exact"/>
              <w:rPr>
                <w:rFonts w:cs="Arial"/>
                <w:sz w:val="20"/>
                <w:szCs w:val="20"/>
              </w:rPr>
            </w:pPr>
          </w:p>
        </w:tc>
      </w:tr>
      <w:tr w:rsidR="008E67EA" w:rsidRPr="00095042" w14:paraId="7C7707E3" w14:textId="77777777" w:rsidTr="00B44A74">
        <w:trPr>
          <w:jc w:val="center"/>
        </w:trPr>
        <w:tc>
          <w:tcPr>
            <w:tcW w:w="2415" w:type="dxa"/>
            <w:tcBorders>
              <w:top w:val="single" w:sz="4" w:space="0" w:color="auto"/>
              <w:left w:val="nil"/>
              <w:bottom w:val="single" w:sz="4" w:space="0" w:color="auto"/>
              <w:right w:val="nil"/>
            </w:tcBorders>
          </w:tcPr>
          <w:p w14:paraId="657EA995" w14:textId="77777777" w:rsidR="008E67EA" w:rsidRPr="004154BB"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73CA447" w14:textId="77777777" w:rsidR="008E67EA" w:rsidRPr="004154BB" w:rsidRDefault="008E67EA" w:rsidP="00B44A74">
            <w:pPr>
              <w:spacing w:line="280" w:lineRule="exact"/>
              <w:rPr>
                <w:rFonts w:cs="Arial"/>
                <w:sz w:val="20"/>
                <w:szCs w:val="20"/>
              </w:rPr>
            </w:pPr>
          </w:p>
        </w:tc>
      </w:tr>
      <w:tr w:rsidR="008E67EA" w:rsidRPr="00095042" w14:paraId="3E0C697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D769655" w14:textId="77777777" w:rsidR="008E67EA" w:rsidRPr="004154BB" w:rsidRDefault="008E67EA" w:rsidP="00B44A74">
            <w:pPr>
              <w:spacing w:line="280" w:lineRule="exact"/>
              <w:rPr>
                <w:rFonts w:cs="Arial"/>
                <w:sz w:val="20"/>
                <w:szCs w:val="20"/>
              </w:rPr>
            </w:pPr>
            <w:r w:rsidRPr="004154BB">
              <w:rPr>
                <w:rFonts w:cs="Arial"/>
                <w:sz w:val="20"/>
                <w:szCs w:val="20"/>
              </w:rPr>
              <w:t>Trade Advice:</w:t>
            </w:r>
          </w:p>
        </w:tc>
        <w:tc>
          <w:tcPr>
            <w:tcW w:w="7755" w:type="dxa"/>
            <w:tcBorders>
              <w:top w:val="single" w:sz="4" w:space="0" w:color="auto"/>
              <w:left w:val="single" w:sz="4" w:space="0" w:color="auto"/>
              <w:bottom w:val="single" w:sz="4" w:space="0" w:color="auto"/>
              <w:right w:val="single" w:sz="4" w:space="0" w:color="auto"/>
            </w:tcBorders>
          </w:tcPr>
          <w:p w14:paraId="49723948" w14:textId="77777777" w:rsidR="008E67EA" w:rsidRPr="004154BB" w:rsidRDefault="008E67EA" w:rsidP="00B44A74">
            <w:pPr>
              <w:spacing w:line="280" w:lineRule="exact"/>
              <w:rPr>
                <w:rFonts w:cs="Arial"/>
                <w:sz w:val="20"/>
                <w:szCs w:val="20"/>
              </w:rPr>
            </w:pPr>
          </w:p>
        </w:tc>
      </w:tr>
      <w:tr w:rsidR="008E67EA" w:rsidRPr="00095042" w14:paraId="55B41D43" w14:textId="77777777" w:rsidTr="00B44A74">
        <w:trPr>
          <w:jc w:val="center"/>
        </w:trPr>
        <w:tc>
          <w:tcPr>
            <w:tcW w:w="2415" w:type="dxa"/>
            <w:tcBorders>
              <w:top w:val="single" w:sz="4" w:space="0" w:color="auto"/>
              <w:left w:val="nil"/>
              <w:bottom w:val="single" w:sz="4" w:space="0" w:color="auto"/>
              <w:right w:val="nil"/>
            </w:tcBorders>
          </w:tcPr>
          <w:p w14:paraId="7D3763DA" w14:textId="77777777" w:rsidR="008E67EA" w:rsidRPr="004154BB"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0FEB009" w14:textId="77777777" w:rsidR="008E67EA" w:rsidRPr="004154BB" w:rsidRDefault="008E67EA" w:rsidP="00B44A74">
            <w:pPr>
              <w:spacing w:line="280" w:lineRule="exact"/>
              <w:rPr>
                <w:rFonts w:cs="Arial"/>
                <w:sz w:val="20"/>
                <w:szCs w:val="20"/>
              </w:rPr>
            </w:pPr>
          </w:p>
        </w:tc>
      </w:tr>
      <w:tr w:rsidR="008E67EA" w:rsidRPr="00095042" w14:paraId="7CF35B6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9D384EE" w14:textId="77777777" w:rsidR="008E67EA" w:rsidRPr="004154BB" w:rsidRDefault="008E67EA" w:rsidP="00B44A74">
            <w:pPr>
              <w:spacing w:line="280" w:lineRule="exact"/>
              <w:rPr>
                <w:rFonts w:cs="Arial"/>
                <w:sz w:val="20"/>
                <w:szCs w:val="20"/>
              </w:rPr>
            </w:pPr>
            <w:r w:rsidRPr="004154BB">
              <w:rPr>
                <w:rFonts w:cs="Arial"/>
                <w:sz w:val="20"/>
                <w:szCs w:val="20"/>
              </w:rPr>
              <w:t>General Directions:</w:t>
            </w:r>
          </w:p>
        </w:tc>
        <w:tc>
          <w:tcPr>
            <w:tcW w:w="7755" w:type="dxa"/>
            <w:tcBorders>
              <w:top w:val="single" w:sz="4" w:space="0" w:color="auto"/>
              <w:left w:val="single" w:sz="4" w:space="0" w:color="auto"/>
              <w:bottom w:val="single" w:sz="4" w:space="0" w:color="auto"/>
              <w:right w:val="single" w:sz="4" w:space="0" w:color="auto"/>
            </w:tcBorders>
          </w:tcPr>
          <w:p w14:paraId="429F8663" w14:textId="77777777" w:rsidR="008E67EA" w:rsidRPr="004154BB" w:rsidRDefault="008E67EA" w:rsidP="00B44A74">
            <w:pPr>
              <w:spacing w:line="280" w:lineRule="exact"/>
              <w:rPr>
                <w:rFonts w:cs="Arial"/>
                <w:sz w:val="20"/>
                <w:szCs w:val="20"/>
              </w:rPr>
            </w:pPr>
          </w:p>
        </w:tc>
      </w:tr>
      <w:tr w:rsidR="008E67EA" w:rsidRPr="00095042" w14:paraId="777CB9E0" w14:textId="77777777" w:rsidTr="00B44A74">
        <w:trPr>
          <w:jc w:val="center"/>
        </w:trPr>
        <w:tc>
          <w:tcPr>
            <w:tcW w:w="2415" w:type="dxa"/>
            <w:tcBorders>
              <w:top w:val="single" w:sz="4" w:space="0" w:color="auto"/>
              <w:left w:val="nil"/>
              <w:bottom w:val="single" w:sz="4" w:space="0" w:color="auto"/>
              <w:right w:val="nil"/>
            </w:tcBorders>
          </w:tcPr>
          <w:p w14:paraId="1F067DA6" w14:textId="77777777" w:rsidR="008E67EA" w:rsidRPr="004154BB"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70F0D43" w14:textId="77777777" w:rsidR="008E67EA" w:rsidRPr="004154BB" w:rsidRDefault="008E67EA" w:rsidP="00B44A74">
            <w:pPr>
              <w:spacing w:line="280" w:lineRule="exact"/>
              <w:rPr>
                <w:rFonts w:cs="Arial"/>
                <w:sz w:val="20"/>
                <w:szCs w:val="20"/>
              </w:rPr>
            </w:pPr>
          </w:p>
        </w:tc>
      </w:tr>
      <w:tr w:rsidR="008E67EA" w:rsidRPr="00095042" w14:paraId="2A811B0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6F3ADDB" w14:textId="77777777" w:rsidR="008E67EA" w:rsidRPr="004154BB" w:rsidRDefault="008E67EA" w:rsidP="00B44A74">
            <w:pPr>
              <w:spacing w:line="280" w:lineRule="exact"/>
              <w:rPr>
                <w:rFonts w:cs="Arial"/>
                <w:sz w:val="20"/>
                <w:szCs w:val="20"/>
              </w:rPr>
            </w:pPr>
            <w:r w:rsidRPr="004154BB">
              <w:rPr>
                <w:rFonts w:cs="Arial"/>
                <w:sz w:val="20"/>
                <w:szCs w:val="20"/>
              </w:rPr>
              <w:t>Resistance Warning:</w:t>
            </w:r>
          </w:p>
        </w:tc>
        <w:tc>
          <w:tcPr>
            <w:tcW w:w="7755" w:type="dxa"/>
            <w:tcBorders>
              <w:top w:val="single" w:sz="4" w:space="0" w:color="auto"/>
              <w:left w:val="single" w:sz="4" w:space="0" w:color="auto"/>
              <w:bottom w:val="single" w:sz="4" w:space="0" w:color="auto"/>
              <w:right w:val="single" w:sz="4" w:space="0" w:color="auto"/>
            </w:tcBorders>
          </w:tcPr>
          <w:p w14:paraId="4D615830" w14:textId="77777777" w:rsidR="008E67EA" w:rsidRPr="004154BB" w:rsidRDefault="008E67EA" w:rsidP="00B44A74">
            <w:pPr>
              <w:spacing w:line="280" w:lineRule="exact"/>
              <w:rPr>
                <w:rFonts w:cs="Arial"/>
                <w:sz w:val="20"/>
                <w:szCs w:val="20"/>
              </w:rPr>
            </w:pPr>
          </w:p>
        </w:tc>
      </w:tr>
      <w:tr w:rsidR="008E67EA" w:rsidRPr="00095042" w14:paraId="12461444" w14:textId="77777777" w:rsidTr="00B44A74">
        <w:trPr>
          <w:jc w:val="center"/>
        </w:trPr>
        <w:tc>
          <w:tcPr>
            <w:tcW w:w="2415" w:type="dxa"/>
            <w:tcBorders>
              <w:top w:val="single" w:sz="4" w:space="0" w:color="auto"/>
              <w:left w:val="nil"/>
              <w:bottom w:val="single" w:sz="4" w:space="0" w:color="auto"/>
              <w:right w:val="nil"/>
            </w:tcBorders>
          </w:tcPr>
          <w:p w14:paraId="35F6C378" w14:textId="77777777" w:rsidR="008E67EA" w:rsidRPr="004154BB"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6B5A9F6" w14:textId="77777777" w:rsidR="008E67EA" w:rsidRPr="004154BB" w:rsidRDefault="008E67EA" w:rsidP="00B44A74">
            <w:pPr>
              <w:spacing w:line="280" w:lineRule="exact"/>
              <w:rPr>
                <w:rFonts w:cs="Arial"/>
                <w:sz w:val="20"/>
                <w:szCs w:val="20"/>
              </w:rPr>
            </w:pPr>
          </w:p>
        </w:tc>
      </w:tr>
      <w:tr w:rsidR="008E67EA" w:rsidRPr="00095042" w14:paraId="6BA949F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5843CA3" w14:textId="77777777" w:rsidR="008E67EA" w:rsidRPr="004154BB" w:rsidRDefault="008E67EA" w:rsidP="00B44A74">
            <w:pPr>
              <w:spacing w:line="280" w:lineRule="exact"/>
              <w:rPr>
                <w:rFonts w:cs="Arial"/>
                <w:sz w:val="20"/>
                <w:szCs w:val="20"/>
              </w:rPr>
            </w:pPr>
            <w:r w:rsidRPr="004154BB">
              <w:rPr>
                <w:rFonts w:cs="Arial"/>
                <w:sz w:val="20"/>
                <w:szCs w:val="20"/>
              </w:rPr>
              <w:lastRenderedPageBreak/>
              <w:t>Precautions:</w:t>
            </w:r>
          </w:p>
        </w:tc>
        <w:tc>
          <w:tcPr>
            <w:tcW w:w="7755" w:type="dxa"/>
            <w:tcBorders>
              <w:top w:val="single" w:sz="4" w:space="0" w:color="auto"/>
              <w:left w:val="single" w:sz="4" w:space="0" w:color="auto"/>
              <w:bottom w:val="single" w:sz="4" w:space="0" w:color="auto"/>
              <w:right w:val="single" w:sz="4" w:space="0" w:color="auto"/>
            </w:tcBorders>
          </w:tcPr>
          <w:p w14:paraId="5D16FB13" w14:textId="77777777" w:rsidR="008E67EA" w:rsidRPr="004154BB" w:rsidRDefault="008E67EA" w:rsidP="00B44A74">
            <w:pPr>
              <w:spacing w:line="280" w:lineRule="exact"/>
              <w:rPr>
                <w:rFonts w:cs="Arial"/>
                <w:sz w:val="20"/>
                <w:szCs w:val="20"/>
              </w:rPr>
            </w:pPr>
            <w:r w:rsidRPr="004154BB">
              <w:rPr>
                <w:rFonts w:cs="Arial"/>
                <w:sz w:val="20"/>
                <w:szCs w:val="20"/>
              </w:rPr>
              <w:t>PRECAUTIONS</w:t>
            </w:r>
          </w:p>
          <w:p w14:paraId="55AAFB24" w14:textId="77777777" w:rsidR="008E67EA" w:rsidRPr="004154BB" w:rsidRDefault="008E67EA" w:rsidP="00B44A74">
            <w:pPr>
              <w:spacing w:line="280" w:lineRule="exact"/>
              <w:rPr>
                <w:rFonts w:cs="Arial"/>
                <w:sz w:val="20"/>
                <w:szCs w:val="20"/>
              </w:rPr>
            </w:pPr>
            <w:r w:rsidRPr="004154BB">
              <w:rPr>
                <w:rFonts w:cs="Arial"/>
                <w:sz w:val="20"/>
                <w:szCs w:val="20"/>
              </w:rPr>
              <w:t>Caution should be used when baiting near areas where hunting of wildlife may occur. Careful consideration of bait placement is necessary to avoid secondary exposure from contaminated wildlife that may be consumed.</w:t>
            </w:r>
          </w:p>
          <w:p w14:paraId="1B717BDB" w14:textId="77777777" w:rsidR="008E67EA" w:rsidRPr="004154BB" w:rsidRDefault="008E67EA" w:rsidP="00B44A74">
            <w:pPr>
              <w:spacing w:line="280" w:lineRule="exact"/>
              <w:rPr>
                <w:rFonts w:cs="Arial"/>
                <w:sz w:val="20"/>
                <w:szCs w:val="20"/>
                <w:highlight w:val="yellow"/>
              </w:rPr>
            </w:pPr>
            <w:r w:rsidRPr="004154BB">
              <w:rPr>
                <w:rFonts w:cs="Arial"/>
                <w:sz w:val="20"/>
                <w:szCs w:val="20"/>
              </w:rPr>
              <w:t>DO NOT place bait in areas where there is a possibility of contaminating food, livestock feed or surfaces that come in direct contact with food or livestock feed.</w:t>
            </w:r>
          </w:p>
        </w:tc>
      </w:tr>
      <w:tr w:rsidR="008E67EA" w:rsidRPr="00095042" w14:paraId="36E7F30F" w14:textId="77777777" w:rsidTr="00B44A74">
        <w:trPr>
          <w:jc w:val="center"/>
        </w:trPr>
        <w:tc>
          <w:tcPr>
            <w:tcW w:w="2415" w:type="dxa"/>
            <w:tcBorders>
              <w:top w:val="single" w:sz="4" w:space="0" w:color="auto"/>
              <w:left w:val="nil"/>
              <w:bottom w:val="single" w:sz="4" w:space="0" w:color="auto"/>
              <w:right w:val="nil"/>
            </w:tcBorders>
          </w:tcPr>
          <w:p w14:paraId="5888490C" w14:textId="77777777" w:rsidR="008E67EA" w:rsidRPr="004154BB"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F673EFA" w14:textId="77777777" w:rsidR="008E67EA" w:rsidRPr="004154BB" w:rsidRDefault="008E67EA" w:rsidP="00B44A74">
            <w:pPr>
              <w:spacing w:line="280" w:lineRule="exact"/>
              <w:rPr>
                <w:rFonts w:cs="Arial"/>
                <w:sz w:val="20"/>
                <w:szCs w:val="20"/>
              </w:rPr>
            </w:pPr>
          </w:p>
        </w:tc>
      </w:tr>
      <w:tr w:rsidR="008E67EA" w:rsidRPr="00095042" w14:paraId="1CB6390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B645233" w14:textId="77777777" w:rsidR="008E67EA" w:rsidRPr="004154BB" w:rsidRDefault="008E67EA" w:rsidP="00B44A74">
            <w:pPr>
              <w:spacing w:line="280" w:lineRule="exact"/>
              <w:rPr>
                <w:rFonts w:cs="Arial"/>
                <w:sz w:val="20"/>
                <w:szCs w:val="20"/>
              </w:rPr>
            </w:pPr>
            <w:r w:rsidRPr="004154BB">
              <w:rPr>
                <w:rFonts w:cs="Arial"/>
                <w:sz w:val="20"/>
                <w:szCs w:val="20"/>
              </w:rPr>
              <w:t>Protection Statements:</w:t>
            </w:r>
          </w:p>
        </w:tc>
        <w:tc>
          <w:tcPr>
            <w:tcW w:w="7755" w:type="dxa"/>
            <w:tcBorders>
              <w:top w:val="single" w:sz="4" w:space="0" w:color="auto"/>
              <w:left w:val="single" w:sz="4" w:space="0" w:color="auto"/>
              <w:bottom w:val="single" w:sz="4" w:space="0" w:color="auto"/>
              <w:right w:val="single" w:sz="4" w:space="0" w:color="auto"/>
            </w:tcBorders>
          </w:tcPr>
          <w:p w14:paraId="52B260DE" w14:textId="77777777" w:rsidR="008E67EA" w:rsidRPr="004154BB" w:rsidRDefault="008E67EA" w:rsidP="00B44A74">
            <w:pPr>
              <w:spacing w:line="280" w:lineRule="exact"/>
              <w:rPr>
                <w:rFonts w:cs="Arial"/>
                <w:sz w:val="20"/>
                <w:szCs w:val="20"/>
              </w:rPr>
            </w:pPr>
            <w:r w:rsidRPr="004154BB">
              <w:rPr>
                <w:rFonts w:cs="Arial"/>
                <w:sz w:val="20"/>
                <w:szCs w:val="20"/>
              </w:rPr>
              <w:t>PROTECTION OF LIVESTOCK AND WILDLIFE</w:t>
            </w:r>
          </w:p>
          <w:p w14:paraId="203B05AF" w14:textId="77777777" w:rsidR="008E67EA" w:rsidRPr="004154BB" w:rsidRDefault="008E67EA" w:rsidP="00B44A74">
            <w:pPr>
              <w:spacing w:line="280" w:lineRule="exact"/>
              <w:rPr>
                <w:rFonts w:cs="Arial"/>
                <w:sz w:val="20"/>
                <w:szCs w:val="20"/>
              </w:rPr>
            </w:pPr>
            <w:r w:rsidRPr="004154BB">
              <w:rPr>
                <w:rFonts w:cs="Arial"/>
                <w:sz w:val="20"/>
                <w:szCs w:val="20"/>
              </w:rPr>
              <w:t>Hazardous to livestock, poultry and wildlife. DO NOT place baits in locations that are accessible to domestic animals, livestock, non-target native animals or birds.</w:t>
            </w:r>
          </w:p>
          <w:p w14:paraId="1355C6AB" w14:textId="44A8F79F" w:rsidR="008E67EA" w:rsidRPr="004154BB" w:rsidRDefault="008E67EA" w:rsidP="00B44A74">
            <w:pPr>
              <w:spacing w:line="280" w:lineRule="exact"/>
              <w:rPr>
                <w:rFonts w:cs="Arial"/>
                <w:sz w:val="20"/>
                <w:szCs w:val="20"/>
              </w:rPr>
            </w:pPr>
            <w:r w:rsidRPr="004154BB">
              <w:rPr>
                <w:rFonts w:cs="Arial"/>
                <w:sz w:val="20"/>
                <w:szCs w:val="20"/>
              </w:rPr>
              <w:t>Search for and dispose of dead rodents and slugs/snails in the infested area at each visit to prevent secondary poisoning. In case slugs/snails are present, move bait station to another location within the rodent infested site, away from slugs/snails. Dispose of slugs/snails in a way non-target animals are not exposed. Dispose of dead rodents and uneaten bait in compliance with local, state or territory government regulations.</w:t>
            </w:r>
          </w:p>
          <w:p w14:paraId="5CB35B85" w14:textId="77777777" w:rsidR="008E67EA" w:rsidRPr="004154BB" w:rsidRDefault="008E67EA" w:rsidP="00B44A74">
            <w:pPr>
              <w:spacing w:line="280" w:lineRule="exact"/>
              <w:rPr>
                <w:rFonts w:cs="Arial"/>
                <w:sz w:val="20"/>
                <w:szCs w:val="20"/>
              </w:rPr>
            </w:pPr>
            <w:r w:rsidRPr="004154BB">
              <w:rPr>
                <w:rFonts w:cs="Arial"/>
                <w:sz w:val="20"/>
                <w:szCs w:val="20"/>
              </w:rPr>
              <w:t>DO NOT allow livestock or poultry to consume dead or moribund mice and rats. All dead or moribund animals and rodent faeces from baited rodents MUST be removed from areas accessible to livestock or poultry.</w:t>
            </w:r>
          </w:p>
          <w:p w14:paraId="67CAEF81" w14:textId="77777777" w:rsidR="008E67EA" w:rsidRDefault="008E67EA" w:rsidP="00B44A74">
            <w:pPr>
              <w:spacing w:line="280" w:lineRule="exact"/>
              <w:rPr>
                <w:rFonts w:cs="Arial"/>
                <w:sz w:val="20"/>
                <w:szCs w:val="20"/>
              </w:rPr>
            </w:pPr>
            <w:r w:rsidRPr="004154BB">
              <w:rPr>
                <w:rFonts w:cs="Arial"/>
                <w:sz w:val="20"/>
                <w:szCs w:val="20"/>
              </w:rPr>
              <w:t>The use of this product for the control of protected native rodents requires permission from wildlife authorities.</w:t>
            </w:r>
          </w:p>
          <w:p w14:paraId="6F53212B" w14:textId="77777777" w:rsidR="008E67EA" w:rsidRPr="004154BB" w:rsidRDefault="008E67EA" w:rsidP="00B44A74">
            <w:pPr>
              <w:spacing w:line="280" w:lineRule="exact"/>
              <w:rPr>
                <w:rFonts w:cs="Arial"/>
                <w:sz w:val="20"/>
                <w:szCs w:val="20"/>
              </w:rPr>
            </w:pPr>
          </w:p>
          <w:p w14:paraId="632C71BE" w14:textId="77777777" w:rsidR="008E67EA" w:rsidRPr="004154BB" w:rsidRDefault="008E67EA" w:rsidP="00B44A74">
            <w:pPr>
              <w:spacing w:line="280" w:lineRule="exact"/>
              <w:rPr>
                <w:rFonts w:cs="Arial"/>
                <w:sz w:val="20"/>
                <w:szCs w:val="20"/>
              </w:rPr>
            </w:pPr>
            <w:r w:rsidRPr="004154BB">
              <w:rPr>
                <w:rFonts w:cs="Arial"/>
                <w:sz w:val="20"/>
                <w:szCs w:val="20"/>
              </w:rPr>
              <w:t>PROTECTION OF FISH, CRUSTACEANS AND ENVIRONMENT</w:t>
            </w:r>
          </w:p>
          <w:p w14:paraId="3B14816E" w14:textId="2E374ED4" w:rsidR="008E67EA" w:rsidRPr="004154BB" w:rsidRDefault="008E67EA" w:rsidP="00B44A74">
            <w:pPr>
              <w:spacing w:line="280" w:lineRule="exact"/>
              <w:rPr>
                <w:rFonts w:cs="Arial"/>
                <w:sz w:val="20"/>
                <w:szCs w:val="20"/>
              </w:rPr>
            </w:pPr>
            <w:r w:rsidRPr="004154BB">
              <w:rPr>
                <w:rFonts w:cs="Arial"/>
                <w:sz w:val="20"/>
                <w:szCs w:val="20"/>
              </w:rPr>
              <w:t>Toxic to aquatic life. DO NOT contaminate wetlands or watercourses with this product or used containers. Place the bait stations in areas not liable to flooding. When placing bait stations close to water drainage systems, ensure that bait contact with water is avoided.</w:t>
            </w:r>
          </w:p>
        </w:tc>
      </w:tr>
      <w:tr w:rsidR="008E67EA" w:rsidRPr="00095042" w14:paraId="4A21626F" w14:textId="77777777" w:rsidTr="00B44A74">
        <w:trPr>
          <w:jc w:val="center"/>
        </w:trPr>
        <w:tc>
          <w:tcPr>
            <w:tcW w:w="2415" w:type="dxa"/>
            <w:tcBorders>
              <w:top w:val="single" w:sz="4" w:space="0" w:color="auto"/>
              <w:left w:val="nil"/>
              <w:bottom w:val="single" w:sz="4" w:space="0" w:color="auto"/>
              <w:right w:val="nil"/>
            </w:tcBorders>
          </w:tcPr>
          <w:p w14:paraId="15B6496A" w14:textId="77777777" w:rsidR="008E67EA" w:rsidRPr="004154BB"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D2B1DC2" w14:textId="77777777" w:rsidR="008E67EA" w:rsidRPr="004154BB" w:rsidRDefault="008E67EA" w:rsidP="00B44A74">
            <w:pPr>
              <w:spacing w:line="280" w:lineRule="exact"/>
              <w:rPr>
                <w:rFonts w:cs="Arial"/>
                <w:sz w:val="20"/>
                <w:szCs w:val="20"/>
              </w:rPr>
            </w:pPr>
          </w:p>
        </w:tc>
      </w:tr>
      <w:tr w:rsidR="008E67EA" w:rsidRPr="00095042" w14:paraId="00278BB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DCA16AF" w14:textId="77777777" w:rsidR="008E67EA" w:rsidRPr="004154BB" w:rsidRDefault="008E67EA" w:rsidP="00B44A74">
            <w:pPr>
              <w:spacing w:line="280" w:lineRule="exact"/>
              <w:rPr>
                <w:rFonts w:cs="Arial"/>
                <w:sz w:val="20"/>
                <w:szCs w:val="20"/>
              </w:rPr>
            </w:pPr>
            <w:r w:rsidRPr="004154BB">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4CD53A06" w14:textId="77777777" w:rsidR="008E67EA" w:rsidRPr="004154BB" w:rsidRDefault="008E67EA" w:rsidP="00B44A74">
            <w:pPr>
              <w:spacing w:line="280" w:lineRule="exact"/>
              <w:rPr>
                <w:rFonts w:cs="Arial"/>
                <w:sz w:val="20"/>
                <w:szCs w:val="20"/>
                <w:bdr w:val="none" w:sz="0" w:space="0" w:color="auto" w:frame="1"/>
                <w:lang w:val="en-GB" w:eastAsia="en-AU"/>
              </w:rPr>
            </w:pPr>
            <w:r w:rsidRPr="004154BB">
              <w:rPr>
                <w:rFonts w:cs="Arial"/>
                <w:sz w:val="20"/>
                <w:szCs w:val="20"/>
                <w:bdr w:val="none" w:sz="0" w:space="0" w:color="auto" w:frame="1"/>
                <w:lang w:val="en-GB" w:eastAsia="en-AU"/>
              </w:rPr>
              <w:t>STORAGE AND DISPOSAL</w:t>
            </w:r>
          </w:p>
          <w:p w14:paraId="2B1FDB29" w14:textId="77777777" w:rsidR="008E67EA" w:rsidRPr="004154BB" w:rsidRDefault="008E67EA" w:rsidP="00B44A74">
            <w:pPr>
              <w:spacing w:line="280" w:lineRule="exact"/>
              <w:rPr>
                <w:rFonts w:cs="Arial"/>
                <w:sz w:val="20"/>
                <w:szCs w:val="20"/>
              </w:rPr>
            </w:pPr>
            <w:r w:rsidRPr="004154BB">
              <w:rPr>
                <w:rFonts w:cs="Arial"/>
                <w:sz w:val="20"/>
                <w:szCs w:val="20"/>
              </w:rPr>
              <w:t>Store in the closed, original container in a dry, cool, well-ventilated area out of direct sunlight. Do not store for prolonged periods in direct sunlight.</w:t>
            </w:r>
            <w:r>
              <w:rPr>
                <w:rFonts w:cs="Arial"/>
                <w:sz w:val="20"/>
                <w:szCs w:val="20"/>
              </w:rPr>
              <w:t xml:space="preserve"> </w:t>
            </w:r>
            <w:r w:rsidRPr="004154BB">
              <w:rPr>
                <w:rFonts w:cs="Arial"/>
                <w:sz w:val="20"/>
                <w:szCs w:val="20"/>
              </w:rPr>
              <w:t xml:space="preserve">Triple rinse containers before disposal. Break, crush or puncture and deliver empty packaging to an approved waste management facility. If an approved waste management facility is not available, dispose of empty packaging in compliance with relevant local, state or territory government regulations. </w:t>
            </w:r>
            <w:r w:rsidRPr="005E538D">
              <w:rPr>
                <w:rFonts w:cs="Arial"/>
                <w:sz w:val="20"/>
                <w:szCs w:val="20"/>
                <w:bdr w:val="none" w:sz="0" w:space="0" w:color="auto" w:frame="1"/>
                <w:lang w:val="en-GB" w:eastAsia="en-AU"/>
              </w:rPr>
              <w:t>Dispose of unused product in compliance with relevant local, state or territory government regulations.</w:t>
            </w:r>
            <w:r>
              <w:rPr>
                <w:rFonts w:cs="Arial"/>
                <w:sz w:val="20"/>
                <w:szCs w:val="20"/>
                <w:bdr w:val="none" w:sz="0" w:space="0" w:color="auto" w:frame="1"/>
                <w:lang w:val="en-GB" w:eastAsia="en-AU"/>
              </w:rPr>
              <w:t xml:space="preserve"> </w:t>
            </w:r>
            <w:r w:rsidRPr="004154BB">
              <w:rPr>
                <w:rFonts w:cs="Arial"/>
                <w:sz w:val="20"/>
                <w:szCs w:val="20"/>
              </w:rPr>
              <w:t>DO NOT burn empty containers or product.</w:t>
            </w:r>
          </w:p>
        </w:tc>
      </w:tr>
      <w:tr w:rsidR="008E67EA" w:rsidRPr="00095042" w14:paraId="0695792E" w14:textId="77777777" w:rsidTr="00B44A74">
        <w:trPr>
          <w:jc w:val="center"/>
        </w:trPr>
        <w:tc>
          <w:tcPr>
            <w:tcW w:w="2415" w:type="dxa"/>
            <w:tcBorders>
              <w:top w:val="single" w:sz="4" w:space="0" w:color="auto"/>
              <w:left w:val="nil"/>
              <w:bottom w:val="single" w:sz="4" w:space="0" w:color="auto"/>
              <w:right w:val="nil"/>
            </w:tcBorders>
          </w:tcPr>
          <w:p w14:paraId="08279A77" w14:textId="77777777" w:rsidR="008E67EA" w:rsidRPr="004154BB"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25D766F" w14:textId="77777777" w:rsidR="008E67EA" w:rsidRPr="004154BB" w:rsidRDefault="008E67EA" w:rsidP="00B44A74">
            <w:pPr>
              <w:spacing w:line="280" w:lineRule="exact"/>
              <w:rPr>
                <w:rFonts w:cs="Arial"/>
                <w:sz w:val="20"/>
                <w:szCs w:val="20"/>
              </w:rPr>
            </w:pPr>
          </w:p>
        </w:tc>
      </w:tr>
      <w:tr w:rsidR="008E67EA" w:rsidRPr="00095042" w14:paraId="66DB376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F567D74" w14:textId="77777777" w:rsidR="008E67EA" w:rsidRPr="004154BB" w:rsidRDefault="008E67EA" w:rsidP="00B44A74">
            <w:pPr>
              <w:spacing w:line="280" w:lineRule="exact"/>
              <w:rPr>
                <w:rFonts w:cs="Arial"/>
                <w:sz w:val="20"/>
                <w:szCs w:val="20"/>
              </w:rPr>
            </w:pPr>
            <w:r w:rsidRPr="004154BB">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24179745" w14:textId="77777777" w:rsidR="008E67EA" w:rsidRPr="004154BB" w:rsidRDefault="008E67EA" w:rsidP="00B44A74">
            <w:pPr>
              <w:spacing w:line="280" w:lineRule="exact"/>
              <w:rPr>
                <w:rFonts w:cs="Arial"/>
                <w:sz w:val="20"/>
                <w:szCs w:val="20"/>
                <w:bdr w:val="none" w:sz="0" w:space="0" w:color="auto" w:frame="1"/>
                <w:lang w:val="en-GB" w:eastAsia="en-AU"/>
              </w:rPr>
            </w:pPr>
            <w:r w:rsidRPr="004154BB">
              <w:rPr>
                <w:rFonts w:cs="Arial"/>
                <w:sz w:val="20"/>
                <w:szCs w:val="20"/>
                <w:bdr w:val="none" w:sz="0" w:space="0" w:color="auto" w:frame="1"/>
                <w:lang w:val="en-GB" w:eastAsia="en-AU"/>
              </w:rPr>
              <w:t>SAFETY DIRECTIONS</w:t>
            </w:r>
          </w:p>
          <w:p w14:paraId="3812FA86" w14:textId="6012E12C" w:rsidR="008E67EA" w:rsidRPr="004154BB" w:rsidRDefault="008E67EA" w:rsidP="00B44A74">
            <w:pPr>
              <w:spacing w:line="280" w:lineRule="exact"/>
              <w:rPr>
                <w:rFonts w:cs="Arial"/>
                <w:sz w:val="20"/>
                <w:szCs w:val="20"/>
              </w:rPr>
            </w:pPr>
            <w:r w:rsidRPr="004154BB">
              <w:rPr>
                <w:rFonts w:cs="Arial"/>
                <w:sz w:val="20"/>
                <w:szCs w:val="20"/>
              </w:rPr>
              <w:t>Repeated minor exposure may have a cumulative poisoning effect. Do not touch bait, use scoop or measure. When using the product wear disposable gloves. If on skin and after each baiting, wash thoroughly with soap and water.</w:t>
            </w:r>
          </w:p>
          <w:p w14:paraId="4B21B2F5" w14:textId="7B674DB7" w:rsidR="008E67EA" w:rsidRPr="004154BB" w:rsidRDefault="008E67EA" w:rsidP="00B44A74">
            <w:pPr>
              <w:spacing w:line="280" w:lineRule="exact"/>
              <w:rPr>
                <w:rFonts w:cs="Arial"/>
                <w:sz w:val="20"/>
                <w:szCs w:val="20"/>
              </w:rPr>
            </w:pPr>
            <w:r w:rsidRPr="004154BB">
              <w:rPr>
                <w:rFonts w:cs="Arial"/>
                <w:sz w:val="20"/>
                <w:szCs w:val="20"/>
              </w:rPr>
              <w:t>During cleanup and disposal operations of bait and bait stations, wear a single layer of clothing and disposable gloves. Wear disposable gloves when handling rodent carcasses. Wash clothes after performing re-handling activities.</w:t>
            </w:r>
          </w:p>
        </w:tc>
      </w:tr>
      <w:tr w:rsidR="008E67EA" w:rsidRPr="00095042" w14:paraId="26BFB87F" w14:textId="77777777" w:rsidTr="00B44A74">
        <w:trPr>
          <w:jc w:val="center"/>
        </w:trPr>
        <w:tc>
          <w:tcPr>
            <w:tcW w:w="2415" w:type="dxa"/>
            <w:tcBorders>
              <w:top w:val="single" w:sz="4" w:space="0" w:color="auto"/>
              <w:left w:val="nil"/>
              <w:bottom w:val="single" w:sz="4" w:space="0" w:color="auto"/>
              <w:right w:val="nil"/>
            </w:tcBorders>
          </w:tcPr>
          <w:p w14:paraId="02E90818" w14:textId="77777777" w:rsidR="008E67EA" w:rsidRPr="004154BB"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0E8317F" w14:textId="77777777" w:rsidR="008E67EA" w:rsidRPr="004154BB" w:rsidRDefault="008E67EA" w:rsidP="00B44A74">
            <w:pPr>
              <w:spacing w:line="280" w:lineRule="exact"/>
              <w:rPr>
                <w:rFonts w:cs="Arial"/>
                <w:sz w:val="20"/>
                <w:szCs w:val="20"/>
              </w:rPr>
            </w:pPr>
          </w:p>
        </w:tc>
      </w:tr>
      <w:tr w:rsidR="008E67EA" w:rsidRPr="00095042" w14:paraId="6CC7C50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415A513" w14:textId="77777777" w:rsidR="008E67EA" w:rsidRPr="004154BB" w:rsidRDefault="008E67EA" w:rsidP="00B44A74">
            <w:pPr>
              <w:spacing w:line="280" w:lineRule="exact"/>
              <w:rPr>
                <w:rFonts w:cs="Arial"/>
                <w:sz w:val="20"/>
                <w:szCs w:val="20"/>
              </w:rPr>
            </w:pPr>
            <w:r w:rsidRPr="004154BB">
              <w:rPr>
                <w:rFonts w:cs="Arial"/>
                <w:sz w:val="20"/>
                <w:szCs w:val="20"/>
              </w:rPr>
              <w:t>First Aid Instructions:</w:t>
            </w:r>
          </w:p>
        </w:tc>
        <w:tc>
          <w:tcPr>
            <w:tcW w:w="7755" w:type="dxa"/>
            <w:tcBorders>
              <w:top w:val="single" w:sz="4" w:space="0" w:color="auto"/>
              <w:left w:val="single" w:sz="4" w:space="0" w:color="auto"/>
              <w:bottom w:val="single" w:sz="4" w:space="0" w:color="auto"/>
              <w:right w:val="single" w:sz="4" w:space="0" w:color="auto"/>
            </w:tcBorders>
          </w:tcPr>
          <w:p w14:paraId="6D6A8192" w14:textId="77777777" w:rsidR="008E67EA" w:rsidRPr="004154BB" w:rsidRDefault="008E67EA" w:rsidP="00B44A74">
            <w:pPr>
              <w:spacing w:line="280" w:lineRule="exact"/>
              <w:rPr>
                <w:rFonts w:cs="Arial"/>
                <w:sz w:val="20"/>
                <w:szCs w:val="20"/>
                <w:bdr w:val="none" w:sz="0" w:space="0" w:color="auto" w:frame="1"/>
                <w:lang w:val="en-GB" w:eastAsia="en-AU"/>
              </w:rPr>
            </w:pPr>
            <w:r w:rsidRPr="004154BB">
              <w:rPr>
                <w:rFonts w:cs="Arial"/>
                <w:sz w:val="20"/>
                <w:szCs w:val="20"/>
                <w:bdr w:val="none" w:sz="0" w:space="0" w:color="auto" w:frame="1"/>
                <w:lang w:val="en-GB" w:eastAsia="en-AU"/>
              </w:rPr>
              <w:t>FIRST AID</w:t>
            </w:r>
          </w:p>
          <w:p w14:paraId="29F9BCAB" w14:textId="77777777" w:rsidR="008E67EA" w:rsidRPr="004154BB" w:rsidRDefault="008E67EA" w:rsidP="00B44A74">
            <w:pPr>
              <w:spacing w:line="280" w:lineRule="exact"/>
              <w:rPr>
                <w:rFonts w:cs="Arial"/>
                <w:sz w:val="20"/>
                <w:szCs w:val="20"/>
              </w:rPr>
            </w:pPr>
            <w:r w:rsidRPr="004154BB">
              <w:rPr>
                <w:rFonts w:cs="Arial"/>
                <w:sz w:val="20"/>
                <w:szCs w:val="20"/>
              </w:rPr>
              <w:t>If poisoning occurs, contact a doctor or Poisons Information Centre. Phone Australia 13 11 26, New Zealand 0800 764 766. Vitamin K1 (Phytomenadione) is antidotal.</w:t>
            </w:r>
          </w:p>
        </w:tc>
      </w:tr>
      <w:tr w:rsidR="008E67EA" w:rsidRPr="00095042" w14:paraId="12F046B7" w14:textId="77777777" w:rsidTr="00B44A74">
        <w:trPr>
          <w:jc w:val="center"/>
        </w:trPr>
        <w:tc>
          <w:tcPr>
            <w:tcW w:w="2415" w:type="dxa"/>
            <w:tcBorders>
              <w:top w:val="single" w:sz="4" w:space="0" w:color="auto"/>
              <w:left w:val="nil"/>
              <w:bottom w:val="single" w:sz="4" w:space="0" w:color="auto"/>
              <w:right w:val="nil"/>
            </w:tcBorders>
          </w:tcPr>
          <w:p w14:paraId="46DFC197" w14:textId="77777777" w:rsidR="008E67EA" w:rsidRPr="004154BB"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112A27D" w14:textId="77777777" w:rsidR="008E67EA" w:rsidRPr="004154BB" w:rsidRDefault="008E67EA" w:rsidP="00B44A74">
            <w:pPr>
              <w:spacing w:line="280" w:lineRule="exact"/>
              <w:rPr>
                <w:rFonts w:cs="Arial"/>
                <w:sz w:val="20"/>
                <w:szCs w:val="20"/>
              </w:rPr>
            </w:pPr>
          </w:p>
        </w:tc>
      </w:tr>
      <w:tr w:rsidR="008E67EA" w:rsidRPr="00095042" w14:paraId="4543EA2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6D5A1E4" w14:textId="77777777" w:rsidR="008E67EA" w:rsidRPr="004154BB" w:rsidRDefault="008E67EA" w:rsidP="00B44A74">
            <w:pPr>
              <w:spacing w:line="280" w:lineRule="exact"/>
              <w:rPr>
                <w:rFonts w:cs="Arial"/>
                <w:sz w:val="20"/>
                <w:szCs w:val="20"/>
              </w:rPr>
            </w:pPr>
            <w:r w:rsidRPr="004154BB">
              <w:rPr>
                <w:rFonts w:cs="Arial"/>
                <w:sz w:val="20"/>
                <w:szCs w:val="20"/>
              </w:rPr>
              <w:t>First Aid Warnings:</w:t>
            </w:r>
          </w:p>
        </w:tc>
        <w:tc>
          <w:tcPr>
            <w:tcW w:w="7755" w:type="dxa"/>
            <w:tcBorders>
              <w:top w:val="single" w:sz="4" w:space="0" w:color="auto"/>
              <w:left w:val="single" w:sz="4" w:space="0" w:color="auto"/>
              <w:bottom w:val="single" w:sz="4" w:space="0" w:color="auto"/>
              <w:right w:val="single" w:sz="4" w:space="0" w:color="auto"/>
            </w:tcBorders>
          </w:tcPr>
          <w:p w14:paraId="6CB05F46" w14:textId="77777777" w:rsidR="008E67EA" w:rsidRPr="004154BB" w:rsidRDefault="008E67EA" w:rsidP="00B44A74">
            <w:pPr>
              <w:spacing w:line="280" w:lineRule="exact"/>
              <w:rPr>
                <w:rFonts w:cs="Arial"/>
                <w:sz w:val="20"/>
                <w:szCs w:val="20"/>
              </w:rPr>
            </w:pPr>
          </w:p>
        </w:tc>
      </w:tr>
    </w:tbl>
    <w:p w14:paraId="597ABF65" w14:textId="77777777" w:rsidR="008E67EA" w:rsidRPr="004154BB" w:rsidRDefault="008E67EA" w:rsidP="008E67EA">
      <w:pPr>
        <w:rPr>
          <w:rFonts w:cs="Arial"/>
          <w:b/>
          <w:bCs/>
          <w:sz w:val="20"/>
          <w:szCs w:val="20"/>
        </w:rPr>
      </w:pPr>
    </w:p>
    <w:p w14:paraId="550D6EBD" w14:textId="77777777" w:rsidR="008E67EA" w:rsidRPr="00FF36BF" w:rsidRDefault="008E67EA" w:rsidP="008E67EA">
      <w:pPr>
        <w:spacing w:line="280" w:lineRule="exact"/>
        <w:rPr>
          <w:rFonts w:cs="Arial"/>
          <w:b/>
          <w:bCs/>
          <w:sz w:val="20"/>
          <w:szCs w:val="20"/>
        </w:rPr>
      </w:pPr>
      <w:r w:rsidRPr="00FF36BF">
        <w:rPr>
          <w:rFonts w:cs="Arial"/>
          <w:b/>
          <w:bCs/>
          <w:sz w:val="20"/>
          <w:szCs w:val="20"/>
        </w:rPr>
        <w:t>DIRECTIONS FOR USE</w:t>
      </w:r>
    </w:p>
    <w:tbl>
      <w:tblPr>
        <w:tblStyle w:val="TableGrid"/>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276"/>
        <w:gridCol w:w="1134"/>
        <w:gridCol w:w="4327"/>
      </w:tblGrid>
      <w:tr w:rsidR="008E67EA" w:rsidRPr="00A27FD2" w14:paraId="4C6C53EB" w14:textId="77777777" w:rsidTr="00834983">
        <w:trPr>
          <w:trHeight w:val="340"/>
        </w:trPr>
        <w:tc>
          <w:tcPr>
            <w:tcW w:w="2263" w:type="dxa"/>
          </w:tcPr>
          <w:p w14:paraId="7F5E3BD2" w14:textId="77777777" w:rsidR="008E67EA" w:rsidRPr="00382A84" w:rsidRDefault="008E67EA" w:rsidP="00B44A74">
            <w:pPr>
              <w:spacing w:line="280" w:lineRule="exact"/>
              <w:rPr>
                <w:rFonts w:cs="Arial"/>
                <w:b/>
                <w:bCs/>
                <w:szCs w:val="18"/>
              </w:rPr>
            </w:pPr>
            <w:r w:rsidRPr="00382A84">
              <w:rPr>
                <w:rFonts w:cs="Arial"/>
                <w:b/>
                <w:bCs/>
                <w:szCs w:val="18"/>
              </w:rPr>
              <w:t>SITUATION</w:t>
            </w:r>
          </w:p>
        </w:tc>
        <w:tc>
          <w:tcPr>
            <w:tcW w:w="1276" w:type="dxa"/>
          </w:tcPr>
          <w:p w14:paraId="5D29EE75" w14:textId="77777777" w:rsidR="008E67EA" w:rsidRPr="00382A84" w:rsidRDefault="008E67EA" w:rsidP="00B44A74">
            <w:pPr>
              <w:spacing w:line="280" w:lineRule="exact"/>
              <w:rPr>
                <w:rFonts w:cs="Arial"/>
                <w:b/>
                <w:bCs/>
                <w:szCs w:val="18"/>
              </w:rPr>
            </w:pPr>
            <w:r w:rsidRPr="00382A84">
              <w:rPr>
                <w:rFonts w:cs="Arial"/>
                <w:b/>
                <w:bCs/>
                <w:szCs w:val="18"/>
              </w:rPr>
              <w:t>PEST</w:t>
            </w:r>
          </w:p>
        </w:tc>
        <w:tc>
          <w:tcPr>
            <w:tcW w:w="1134" w:type="dxa"/>
          </w:tcPr>
          <w:p w14:paraId="2CADF26B" w14:textId="77777777" w:rsidR="008E67EA" w:rsidRPr="00382A84" w:rsidRDefault="008E67EA" w:rsidP="00B44A74">
            <w:pPr>
              <w:spacing w:line="280" w:lineRule="exact"/>
              <w:rPr>
                <w:rFonts w:cs="Arial"/>
                <w:b/>
                <w:bCs/>
                <w:szCs w:val="18"/>
              </w:rPr>
            </w:pPr>
            <w:r w:rsidRPr="00382A84">
              <w:rPr>
                <w:rFonts w:cs="Arial"/>
                <w:b/>
                <w:bCs/>
                <w:szCs w:val="18"/>
              </w:rPr>
              <w:t>RATE</w:t>
            </w:r>
          </w:p>
        </w:tc>
        <w:tc>
          <w:tcPr>
            <w:tcW w:w="4327" w:type="dxa"/>
          </w:tcPr>
          <w:p w14:paraId="2839CCA3" w14:textId="77777777" w:rsidR="008E67EA" w:rsidRPr="00382A84" w:rsidRDefault="008E67EA" w:rsidP="00B44A74">
            <w:pPr>
              <w:spacing w:line="280" w:lineRule="exact"/>
              <w:rPr>
                <w:rFonts w:cs="Arial"/>
                <w:b/>
                <w:bCs/>
                <w:szCs w:val="18"/>
              </w:rPr>
            </w:pPr>
            <w:r w:rsidRPr="00382A84">
              <w:rPr>
                <w:rFonts w:cs="Arial"/>
                <w:b/>
                <w:bCs/>
                <w:szCs w:val="18"/>
              </w:rPr>
              <w:t>CRITICAL COMMENTS</w:t>
            </w:r>
          </w:p>
        </w:tc>
      </w:tr>
      <w:tr w:rsidR="008E67EA" w:rsidRPr="00A27FD2" w14:paraId="22A80475" w14:textId="77777777" w:rsidTr="00834983">
        <w:trPr>
          <w:trHeight w:val="841"/>
        </w:trPr>
        <w:tc>
          <w:tcPr>
            <w:tcW w:w="2263" w:type="dxa"/>
          </w:tcPr>
          <w:p w14:paraId="72DC3BE1" w14:textId="77777777" w:rsidR="008E67EA" w:rsidRPr="00382A84" w:rsidRDefault="008E67EA" w:rsidP="00B44A74">
            <w:pPr>
              <w:spacing w:after="120" w:line="240" w:lineRule="exact"/>
              <w:rPr>
                <w:rFonts w:cs="Arial"/>
                <w:bCs/>
                <w:spacing w:val="-2"/>
                <w:w w:val="105"/>
                <w:szCs w:val="18"/>
              </w:rPr>
            </w:pPr>
            <w:r w:rsidRPr="00382A84">
              <w:rPr>
                <w:rFonts w:cs="Arial"/>
                <w:bCs/>
                <w:spacing w:val="-2"/>
                <w:w w:val="105"/>
                <w:szCs w:val="18"/>
              </w:rPr>
              <w:t xml:space="preserve">In </w:t>
            </w:r>
            <w:r>
              <w:rPr>
                <w:rFonts w:cs="Arial"/>
                <w:bCs/>
                <w:spacing w:val="-2"/>
                <w:w w:val="105"/>
                <w:szCs w:val="18"/>
              </w:rPr>
              <w:t xml:space="preserve">and around (within 2 meters) </w:t>
            </w:r>
            <w:r w:rsidRPr="00D30F3D">
              <w:rPr>
                <w:rFonts w:cs="Arial"/>
                <w:bCs/>
                <w:spacing w:val="-2"/>
                <w:w w:val="105"/>
                <w:szCs w:val="18"/>
              </w:rPr>
              <w:t>agricultural,</w:t>
            </w:r>
            <w:r>
              <w:rPr>
                <w:rFonts w:cs="Arial"/>
                <w:bCs/>
                <w:spacing w:val="-2"/>
                <w:w w:val="105"/>
                <w:szCs w:val="18"/>
              </w:rPr>
              <w:t xml:space="preserve"> </w:t>
            </w:r>
            <w:r w:rsidRPr="00D30F3D">
              <w:rPr>
                <w:rFonts w:cs="Arial"/>
                <w:bCs/>
                <w:spacing w:val="-2"/>
                <w:w w:val="105"/>
                <w:szCs w:val="18"/>
              </w:rPr>
              <w:t>commercial,</w:t>
            </w:r>
            <w:r>
              <w:rPr>
                <w:rFonts w:cs="Arial"/>
                <w:bCs/>
                <w:spacing w:val="-2"/>
                <w:w w:val="105"/>
                <w:szCs w:val="18"/>
              </w:rPr>
              <w:t xml:space="preserve"> </w:t>
            </w:r>
            <w:r w:rsidRPr="00D30F3D">
              <w:rPr>
                <w:rFonts w:cs="Arial"/>
                <w:bCs/>
                <w:spacing w:val="-2"/>
                <w:w w:val="105"/>
                <w:szCs w:val="18"/>
              </w:rPr>
              <w:t>domestic and</w:t>
            </w:r>
            <w:r>
              <w:rPr>
                <w:rFonts w:cs="Arial"/>
                <w:bCs/>
                <w:spacing w:val="-2"/>
                <w:w w:val="105"/>
                <w:szCs w:val="18"/>
              </w:rPr>
              <w:t xml:space="preserve"> </w:t>
            </w:r>
            <w:r w:rsidRPr="00D30F3D">
              <w:rPr>
                <w:rFonts w:cs="Arial"/>
                <w:bCs/>
                <w:spacing w:val="-2"/>
                <w:w w:val="105"/>
                <w:szCs w:val="18"/>
              </w:rPr>
              <w:t>industria</w:t>
            </w:r>
            <w:r>
              <w:rPr>
                <w:rFonts w:cs="Arial"/>
                <w:bCs/>
                <w:spacing w:val="-2"/>
                <w:w w:val="105"/>
                <w:szCs w:val="18"/>
              </w:rPr>
              <w:t>l buildings.</w:t>
            </w:r>
          </w:p>
        </w:tc>
        <w:tc>
          <w:tcPr>
            <w:tcW w:w="1276" w:type="dxa"/>
          </w:tcPr>
          <w:p w14:paraId="05F21AF5" w14:textId="77777777" w:rsidR="008E67EA" w:rsidRPr="006469D5" w:rsidRDefault="008E67EA" w:rsidP="00B44A74">
            <w:pPr>
              <w:spacing w:after="120" w:line="240" w:lineRule="exact"/>
              <w:rPr>
                <w:rFonts w:cs="Arial"/>
                <w:szCs w:val="18"/>
              </w:rPr>
            </w:pPr>
            <w:r w:rsidRPr="006469D5">
              <w:rPr>
                <w:rFonts w:cs="Arial"/>
                <w:bCs/>
                <w:spacing w:val="-2"/>
                <w:w w:val="105"/>
                <w:szCs w:val="18"/>
              </w:rPr>
              <w:t>Rats (</w:t>
            </w:r>
            <w:r w:rsidRPr="006469D5">
              <w:rPr>
                <w:rFonts w:cs="Arial"/>
                <w:bCs/>
                <w:i/>
                <w:iCs/>
                <w:spacing w:val="-2"/>
                <w:w w:val="105"/>
                <w:szCs w:val="18"/>
              </w:rPr>
              <w:t>Rattus norvegius, Rattus rattus</w:t>
            </w:r>
            <w:r w:rsidRPr="006469D5">
              <w:rPr>
                <w:rFonts w:cs="Arial"/>
                <w:bCs/>
                <w:spacing w:val="-2"/>
                <w:w w:val="105"/>
                <w:szCs w:val="18"/>
              </w:rPr>
              <w:t>)</w:t>
            </w:r>
          </w:p>
        </w:tc>
        <w:tc>
          <w:tcPr>
            <w:tcW w:w="1134" w:type="dxa"/>
          </w:tcPr>
          <w:p w14:paraId="3400D1FE" w14:textId="77777777" w:rsidR="008E67EA" w:rsidRPr="00382A84" w:rsidRDefault="008E67EA" w:rsidP="00B44A74">
            <w:pPr>
              <w:spacing w:after="120" w:line="240" w:lineRule="exact"/>
              <w:rPr>
                <w:rFonts w:cs="Arial"/>
                <w:bCs/>
                <w:spacing w:val="-2"/>
                <w:w w:val="105"/>
                <w:szCs w:val="18"/>
              </w:rPr>
            </w:pPr>
            <w:r>
              <w:rPr>
                <w:rFonts w:cs="Arial"/>
                <w:bCs/>
                <w:spacing w:val="-2"/>
                <w:w w:val="105"/>
                <w:szCs w:val="18"/>
              </w:rPr>
              <w:t>[As per current approved label]</w:t>
            </w:r>
          </w:p>
        </w:tc>
        <w:tc>
          <w:tcPr>
            <w:tcW w:w="4327" w:type="dxa"/>
            <w:vMerge w:val="restart"/>
          </w:tcPr>
          <w:p w14:paraId="1E84BE77" w14:textId="77777777" w:rsidR="008E67EA" w:rsidRDefault="008E67EA" w:rsidP="00B44A74">
            <w:pPr>
              <w:spacing w:after="120" w:line="240" w:lineRule="exact"/>
              <w:rPr>
                <w:rFonts w:cs="Arial"/>
                <w:bCs/>
                <w:spacing w:val="-2"/>
                <w:w w:val="105"/>
                <w:szCs w:val="18"/>
              </w:rPr>
            </w:pPr>
            <w:r>
              <w:rPr>
                <w:rFonts w:cs="Arial"/>
                <w:bCs/>
                <w:spacing w:val="-2"/>
                <w:w w:val="105"/>
                <w:szCs w:val="18"/>
              </w:rPr>
              <w:t xml:space="preserve">Place bait stations in the infested area. </w:t>
            </w:r>
            <w:r w:rsidRPr="00132BFD">
              <w:rPr>
                <w:rFonts w:cs="Arial"/>
                <w:bCs/>
                <w:spacing w:val="-2"/>
                <w:w w:val="105"/>
                <w:szCs w:val="18"/>
              </w:rPr>
              <w:t>Where droppings are seen, inside ceiling cavities, along runs are locations more probably frequented by rodents.</w:t>
            </w:r>
            <w:r>
              <w:rPr>
                <w:rFonts w:cs="Arial"/>
                <w:bCs/>
                <w:spacing w:val="-2"/>
                <w:w w:val="105"/>
                <w:szCs w:val="18"/>
              </w:rPr>
              <w:t xml:space="preserve"> </w:t>
            </w:r>
            <w:r w:rsidRPr="0062097B">
              <w:rPr>
                <w:rFonts w:cs="Arial"/>
                <w:bCs/>
                <w:spacing w:val="-2"/>
                <w:w w:val="105"/>
                <w:szCs w:val="18"/>
              </w:rPr>
              <w:t>DO NOT touch bait.</w:t>
            </w:r>
          </w:p>
          <w:p w14:paraId="658B8FC1" w14:textId="77777777" w:rsidR="008E67EA" w:rsidRPr="00EC163C" w:rsidRDefault="008E67EA" w:rsidP="00B44A74">
            <w:pPr>
              <w:spacing w:after="120" w:line="240" w:lineRule="exact"/>
              <w:rPr>
                <w:rFonts w:cs="Arial"/>
                <w:bCs/>
                <w:spacing w:val="-2"/>
                <w:w w:val="105"/>
                <w:szCs w:val="18"/>
              </w:rPr>
            </w:pPr>
            <w:r w:rsidRPr="00EC163C">
              <w:rPr>
                <w:rFonts w:cs="Arial"/>
                <w:bCs/>
                <w:spacing w:val="-2"/>
                <w:w w:val="105"/>
                <w:szCs w:val="18"/>
              </w:rPr>
              <w:t>The feeding behaviour of rats and mice is slightly different. Rats feed in large quantities in few locations whereas mice are more erratic and tend to feed in different places at different times.</w:t>
            </w:r>
          </w:p>
          <w:p w14:paraId="3616C59E" w14:textId="77777777" w:rsidR="008E67EA" w:rsidRPr="00382A84" w:rsidRDefault="008E67EA" w:rsidP="00B44A74">
            <w:pPr>
              <w:spacing w:after="120" w:line="240" w:lineRule="exact"/>
              <w:rPr>
                <w:rFonts w:cs="Arial"/>
                <w:bCs/>
                <w:spacing w:val="-2"/>
                <w:w w:val="105"/>
                <w:szCs w:val="18"/>
              </w:rPr>
            </w:pPr>
            <w:r w:rsidRPr="00D30F3D">
              <w:rPr>
                <w:rFonts w:cs="Arial"/>
                <w:bCs/>
                <w:spacing w:val="-2"/>
                <w:w w:val="105"/>
                <w:szCs w:val="18"/>
              </w:rPr>
              <w:t xml:space="preserve">DO NOT exceed 9 m between bait stations for rats or 3 m </w:t>
            </w:r>
            <w:r>
              <w:rPr>
                <w:rFonts w:cs="Arial"/>
                <w:bCs/>
                <w:spacing w:val="-2"/>
                <w:w w:val="105"/>
                <w:szCs w:val="18"/>
              </w:rPr>
              <w:t xml:space="preserve">between bait stations for </w:t>
            </w:r>
            <w:r w:rsidRPr="00D30F3D">
              <w:rPr>
                <w:rFonts w:cs="Arial"/>
                <w:bCs/>
                <w:spacing w:val="-2"/>
                <w:w w:val="105"/>
                <w:szCs w:val="18"/>
              </w:rPr>
              <w:t>mice</w:t>
            </w:r>
            <w:r>
              <w:rPr>
                <w:rFonts w:cs="Arial"/>
                <w:bCs/>
                <w:spacing w:val="-2"/>
                <w:w w:val="105"/>
                <w:szCs w:val="18"/>
              </w:rPr>
              <w:t>.</w:t>
            </w:r>
            <w:r w:rsidRPr="00D30F3D">
              <w:rPr>
                <w:rFonts w:cs="Arial"/>
                <w:bCs/>
                <w:spacing w:val="-2"/>
                <w:w w:val="105"/>
                <w:szCs w:val="18"/>
              </w:rPr>
              <w:t xml:space="preserve"> </w:t>
            </w:r>
          </w:p>
        </w:tc>
      </w:tr>
      <w:tr w:rsidR="008E67EA" w:rsidRPr="00A27FD2" w14:paraId="31C8322E" w14:textId="77777777" w:rsidTr="00834983">
        <w:trPr>
          <w:trHeight w:val="841"/>
        </w:trPr>
        <w:tc>
          <w:tcPr>
            <w:tcW w:w="2263" w:type="dxa"/>
          </w:tcPr>
          <w:p w14:paraId="22BFCFFA" w14:textId="77777777" w:rsidR="008E67EA" w:rsidRPr="00382A84" w:rsidRDefault="008E67EA" w:rsidP="00B44A74">
            <w:pPr>
              <w:spacing w:after="120" w:line="240" w:lineRule="exact"/>
              <w:rPr>
                <w:rFonts w:cs="Arial"/>
                <w:bCs/>
                <w:spacing w:val="-2"/>
                <w:w w:val="105"/>
                <w:szCs w:val="18"/>
              </w:rPr>
            </w:pPr>
            <w:r w:rsidRPr="00382A84">
              <w:rPr>
                <w:rFonts w:cs="Arial"/>
                <w:bCs/>
                <w:spacing w:val="-2"/>
                <w:w w:val="105"/>
                <w:szCs w:val="18"/>
              </w:rPr>
              <w:t xml:space="preserve">In </w:t>
            </w:r>
            <w:r w:rsidRPr="00D30F3D">
              <w:rPr>
                <w:rFonts w:cs="Arial"/>
                <w:bCs/>
                <w:spacing w:val="-2"/>
                <w:w w:val="105"/>
                <w:szCs w:val="18"/>
              </w:rPr>
              <w:t>agricultural,</w:t>
            </w:r>
            <w:r>
              <w:rPr>
                <w:rFonts w:cs="Arial"/>
                <w:bCs/>
                <w:spacing w:val="-2"/>
                <w:w w:val="105"/>
                <w:szCs w:val="18"/>
              </w:rPr>
              <w:t xml:space="preserve"> </w:t>
            </w:r>
            <w:r w:rsidRPr="00D30F3D">
              <w:rPr>
                <w:rFonts w:cs="Arial"/>
                <w:bCs/>
                <w:spacing w:val="-2"/>
                <w:w w:val="105"/>
                <w:szCs w:val="18"/>
              </w:rPr>
              <w:t>commercial,</w:t>
            </w:r>
            <w:r>
              <w:rPr>
                <w:rFonts w:cs="Arial"/>
                <w:bCs/>
                <w:spacing w:val="-2"/>
                <w:w w:val="105"/>
                <w:szCs w:val="18"/>
              </w:rPr>
              <w:t xml:space="preserve"> </w:t>
            </w:r>
            <w:r w:rsidRPr="00D30F3D">
              <w:rPr>
                <w:rFonts w:cs="Arial"/>
                <w:bCs/>
                <w:spacing w:val="-2"/>
                <w:w w:val="105"/>
                <w:szCs w:val="18"/>
              </w:rPr>
              <w:t>domestic and</w:t>
            </w:r>
            <w:r>
              <w:rPr>
                <w:rFonts w:cs="Arial"/>
                <w:bCs/>
                <w:spacing w:val="-2"/>
                <w:w w:val="105"/>
                <w:szCs w:val="18"/>
              </w:rPr>
              <w:t xml:space="preserve"> </w:t>
            </w:r>
            <w:r w:rsidRPr="00D30F3D">
              <w:rPr>
                <w:rFonts w:cs="Arial"/>
                <w:bCs/>
                <w:spacing w:val="-2"/>
                <w:w w:val="105"/>
                <w:szCs w:val="18"/>
              </w:rPr>
              <w:t>industria</w:t>
            </w:r>
            <w:r>
              <w:rPr>
                <w:rFonts w:cs="Arial"/>
                <w:bCs/>
                <w:spacing w:val="-2"/>
                <w:w w:val="105"/>
                <w:szCs w:val="18"/>
              </w:rPr>
              <w:t>l buildings.</w:t>
            </w:r>
          </w:p>
        </w:tc>
        <w:tc>
          <w:tcPr>
            <w:tcW w:w="1276" w:type="dxa"/>
          </w:tcPr>
          <w:p w14:paraId="339A6AA2" w14:textId="77777777" w:rsidR="008E67EA" w:rsidRPr="00485D88" w:rsidRDefault="008E67EA" w:rsidP="00B44A74">
            <w:pPr>
              <w:spacing w:after="120" w:line="240" w:lineRule="exact"/>
              <w:rPr>
                <w:rFonts w:cs="Arial"/>
                <w:bCs/>
                <w:i/>
                <w:iCs/>
                <w:spacing w:val="-2"/>
                <w:w w:val="105"/>
                <w:szCs w:val="18"/>
              </w:rPr>
            </w:pPr>
            <w:r w:rsidRPr="006469D5">
              <w:rPr>
                <w:rFonts w:cs="Arial"/>
                <w:bCs/>
                <w:spacing w:val="-2"/>
                <w:w w:val="105"/>
                <w:szCs w:val="18"/>
              </w:rPr>
              <w:t>Mice (</w:t>
            </w:r>
            <w:r w:rsidRPr="006469D5">
              <w:rPr>
                <w:rFonts w:cs="Arial"/>
                <w:bCs/>
                <w:i/>
                <w:iCs/>
                <w:spacing w:val="-2"/>
                <w:w w:val="105"/>
                <w:szCs w:val="18"/>
              </w:rPr>
              <w:t>Mus musculus</w:t>
            </w:r>
            <w:r w:rsidRPr="006469D5">
              <w:rPr>
                <w:rFonts w:cs="Arial"/>
                <w:bCs/>
                <w:spacing w:val="-2"/>
                <w:w w:val="105"/>
                <w:szCs w:val="18"/>
              </w:rPr>
              <w:t>)</w:t>
            </w:r>
          </w:p>
        </w:tc>
        <w:tc>
          <w:tcPr>
            <w:tcW w:w="1134" w:type="dxa"/>
          </w:tcPr>
          <w:p w14:paraId="45F9A743" w14:textId="77777777" w:rsidR="008E67EA" w:rsidRPr="00382A84" w:rsidRDefault="008E67EA" w:rsidP="00B44A74">
            <w:pPr>
              <w:spacing w:after="120" w:line="240" w:lineRule="exact"/>
              <w:rPr>
                <w:rFonts w:cs="Arial"/>
                <w:bCs/>
                <w:spacing w:val="-2"/>
                <w:w w:val="105"/>
                <w:szCs w:val="18"/>
              </w:rPr>
            </w:pPr>
            <w:r>
              <w:rPr>
                <w:rFonts w:cs="Arial"/>
                <w:bCs/>
                <w:spacing w:val="-2"/>
                <w:w w:val="105"/>
                <w:szCs w:val="18"/>
              </w:rPr>
              <w:t>[As per current approved label]</w:t>
            </w:r>
          </w:p>
        </w:tc>
        <w:tc>
          <w:tcPr>
            <w:tcW w:w="4327" w:type="dxa"/>
            <w:vMerge/>
          </w:tcPr>
          <w:p w14:paraId="15928A16" w14:textId="77777777" w:rsidR="008E67EA" w:rsidRPr="00382A84" w:rsidRDefault="008E67EA" w:rsidP="00B44A74">
            <w:pPr>
              <w:ind w:firstLine="720"/>
              <w:rPr>
                <w:rFonts w:cs="Arial"/>
                <w:bCs/>
                <w:spacing w:val="-2"/>
                <w:w w:val="105"/>
                <w:szCs w:val="18"/>
              </w:rPr>
            </w:pPr>
          </w:p>
        </w:tc>
      </w:tr>
      <w:tr w:rsidR="008E67EA" w:rsidRPr="00A27FD2" w14:paraId="7CC93DCE" w14:textId="77777777" w:rsidTr="00834983">
        <w:trPr>
          <w:trHeight w:val="841"/>
        </w:trPr>
        <w:tc>
          <w:tcPr>
            <w:tcW w:w="9000" w:type="dxa"/>
            <w:gridSpan w:val="4"/>
          </w:tcPr>
          <w:p w14:paraId="6839CD6C" w14:textId="77777777" w:rsidR="008E67EA" w:rsidRPr="00382A84" w:rsidRDefault="008E67EA" w:rsidP="00B44A74">
            <w:pPr>
              <w:spacing w:after="120" w:line="240" w:lineRule="exact"/>
              <w:rPr>
                <w:rFonts w:cs="Arial"/>
                <w:b/>
                <w:spacing w:val="-2"/>
                <w:w w:val="105"/>
                <w:szCs w:val="18"/>
              </w:rPr>
            </w:pPr>
            <w:r w:rsidRPr="00382A84">
              <w:rPr>
                <w:rFonts w:cs="Arial"/>
                <w:b/>
                <w:spacing w:val="-2"/>
                <w:w w:val="105"/>
                <w:szCs w:val="18"/>
              </w:rPr>
              <w:t>Baiting strategy</w:t>
            </w:r>
          </w:p>
          <w:p w14:paraId="0C8AA9B7" w14:textId="77777777" w:rsidR="008E67EA" w:rsidRDefault="008E67EA" w:rsidP="00B44A74">
            <w:pPr>
              <w:spacing w:after="120" w:line="240" w:lineRule="exact"/>
              <w:rPr>
                <w:rFonts w:cs="Arial"/>
                <w:bCs/>
                <w:spacing w:val="-2"/>
                <w:w w:val="105"/>
                <w:szCs w:val="18"/>
              </w:rPr>
            </w:pPr>
            <w:r>
              <w:rPr>
                <w:rFonts w:cs="Arial"/>
                <w:bCs/>
                <w:spacing w:val="-2"/>
                <w:w w:val="105"/>
                <w:szCs w:val="18"/>
              </w:rPr>
              <w:t>Remove as much alternate food as possible.</w:t>
            </w:r>
          </w:p>
          <w:p w14:paraId="3E9D8029" w14:textId="77777777" w:rsidR="008E67EA" w:rsidRDefault="008E67EA" w:rsidP="00B44A74">
            <w:pPr>
              <w:spacing w:after="120" w:line="240" w:lineRule="exact"/>
              <w:rPr>
                <w:rFonts w:cs="Arial"/>
                <w:bCs/>
                <w:spacing w:val="-2"/>
                <w:w w:val="105"/>
                <w:szCs w:val="18"/>
              </w:rPr>
            </w:pPr>
            <w:r w:rsidRPr="00D30F3D">
              <w:rPr>
                <w:rFonts w:cs="Arial"/>
                <w:bCs/>
                <w:spacing w:val="-2"/>
                <w:w w:val="105"/>
                <w:szCs w:val="18"/>
              </w:rPr>
              <w:t>Survey site prior to treatment, including assessment of the extent of infestation and identification of any indications of the presence of non-target animals.</w:t>
            </w:r>
          </w:p>
          <w:p w14:paraId="3B4A84F4" w14:textId="77777777" w:rsidR="008E67EA" w:rsidRDefault="008E67EA" w:rsidP="00B44A74">
            <w:pPr>
              <w:spacing w:after="120" w:line="240" w:lineRule="exact"/>
              <w:rPr>
                <w:rFonts w:cs="Arial"/>
                <w:bCs/>
                <w:spacing w:val="-2"/>
                <w:w w:val="105"/>
                <w:szCs w:val="18"/>
              </w:rPr>
            </w:pPr>
            <w:r w:rsidRPr="00D30F3D">
              <w:rPr>
                <w:rFonts w:cs="Arial"/>
                <w:bCs/>
                <w:spacing w:val="-2"/>
                <w:w w:val="105"/>
                <w:szCs w:val="18"/>
              </w:rPr>
              <w:t>Record the number and locations of bait stations for the purpose of inspection, replacement and later removal. Always use tamper-resistant bait stations that are secured in place in child accessible areas, outdoors and in animal or livestock housing. When used in food producing animal housing situations careful consideration is necessary regarding the placement of bait stations to ensure any rodenticide contamination of water, feed or livestock is prevented.</w:t>
            </w:r>
          </w:p>
          <w:p w14:paraId="34DB593C" w14:textId="77777777" w:rsidR="008E67EA" w:rsidRDefault="008E67EA" w:rsidP="00B44A74">
            <w:pPr>
              <w:spacing w:after="120" w:line="240" w:lineRule="exact"/>
              <w:rPr>
                <w:rFonts w:cs="Arial"/>
                <w:bCs/>
                <w:spacing w:val="-2"/>
                <w:w w:val="105"/>
                <w:szCs w:val="18"/>
              </w:rPr>
            </w:pPr>
            <w:r w:rsidRPr="00D30F3D">
              <w:rPr>
                <w:rFonts w:cs="Arial"/>
                <w:bCs/>
                <w:spacing w:val="-2"/>
                <w:w w:val="105"/>
                <w:szCs w:val="18"/>
              </w:rPr>
              <w:t>Inspect bait stations after 3 days. Replace eaten baits. Where a high level of consumption is noticed, place more baits. Remove baits in new locations where there has been no take. Inspect again 3 days later and then once a week until feeding ceases. Usually rats and mice die within 3 to 5 days after eating the bait.</w:t>
            </w:r>
            <w:r w:rsidRPr="00D30F3D">
              <w:rPr>
                <w:rFonts w:cs="Arial"/>
                <w:bCs/>
                <w:spacing w:val="-2"/>
                <w:w w:val="105"/>
                <w:szCs w:val="18"/>
              </w:rPr>
              <w:cr/>
              <w:t>Normally treatment takes 2 to 3 weeks.</w:t>
            </w:r>
          </w:p>
          <w:p w14:paraId="5DFB2F68" w14:textId="77777777" w:rsidR="008E67EA" w:rsidRDefault="008E67EA" w:rsidP="00B44A74">
            <w:pPr>
              <w:spacing w:after="120" w:line="240" w:lineRule="exact"/>
              <w:rPr>
                <w:rFonts w:cs="Arial"/>
                <w:bCs/>
                <w:spacing w:val="-2"/>
                <w:w w:val="105"/>
                <w:szCs w:val="18"/>
              </w:rPr>
            </w:pPr>
            <w:r w:rsidRPr="00D30F3D">
              <w:rPr>
                <w:rFonts w:cs="Arial"/>
                <w:bCs/>
                <w:spacing w:val="-2"/>
                <w:w w:val="105"/>
                <w:szCs w:val="18"/>
              </w:rPr>
              <w:t>DO NOT use the product beyond 35 days without an evaluation of the state of the infestation and of the efficacy of the treatment. Remove all uneaten bait at the end of treatment.</w:t>
            </w:r>
          </w:p>
          <w:p w14:paraId="0856961B" w14:textId="77777777" w:rsidR="008E67EA" w:rsidRPr="00382A84" w:rsidRDefault="008E67EA" w:rsidP="00B44A74">
            <w:pPr>
              <w:spacing w:after="120" w:line="240" w:lineRule="exact"/>
              <w:rPr>
                <w:rFonts w:cs="Arial"/>
                <w:bCs/>
                <w:spacing w:val="-2"/>
                <w:w w:val="105"/>
                <w:szCs w:val="18"/>
              </w:rPr>
            </w:pPr>
            <w:r w:rsidRPr="00D30F3D">
              <w:rPr>
                <w:rFonts w:cs="Arial"/>
                <w:bCs/>
                <w:spacing w:val="-2"/>
                <w:w w:val="105"/>
                <w:szCs w:val="18"/>
              </w:rPr>
              <w:t>If reinfestation should occur, you can repeat treatment once. For further treatments, it is strongly advised to alternate with a product containing a different active ingredient to avoid the development of genetic resistance.</w:t>
            </w:r>
          </w:p>
        </w:tc>
      </w:tr>
    </w:tbl>
    <w:p w14:paraId="04408752" w14:textId="5A4640D0" w:rsidR="008E67EA" w:rsidRDefault="008E67EA" w:rsidP="00834983">
      <w:pPr>
        <w:spacing w:line="280" w:lineRule="exact"/>
        <w:rPr>
          <w:rFonts w:cs="Arial"/>
          <w:b/>
          <w:bCs/>
          <w:sz w:val="20"/>
          <w:szCs w:val="20"/>
          <w:bdr w:val="none" w:sz="0" w:space="0" w:color="auto" w:frame="1"/>
          <w:lang w:val="en-GB" w:eastAsia="en-AU"/>
        </w:rPr>
      </w:pPr>
      <w:r w:rsidRPr="00FF36BF">
        <w:rPr>
          <w:rFonts w:cs="Arial"/>
          <w:b/>
          <w:bCs/>
          <w:sz w:val="20"/>
          <w:szCs w:val="20"/>
        </w:rPr>
        <w:t>NOT TO BE USED FOR ANY PURPOSE, OR IN ANY MANNER, CONTRARY TO THIS LABEL UNLESS AUTHORISED UNDER APPROPRIATE LEGISLATION.</w:t>
      </w:r>
      <w:r>
        <w:rPr>
          <w:rFonts w:cs="Arial"/>
          <w:b/>
          <w:bCs/>
          <w:sz w:val="20"/>
          <w:szCs w:val="20"/>
          <w:bdr w:val="none" w:sz="0" w:space="0" w:color="auto" w:frame="1"/>
          <w:lang w:val="en-GB" w:eastAsia="en-AU"/>
        </w:rPr>
        <w:br w:type="page"/>
      </w:r>
    </w:p>
    <w:p w14:paraId="3A9403C5" w14:textId="77777777" w:rsidR="008E67EA"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lastRenderedPageBreak/>
        <w:t xml:space="preserve">Template Label </w:t>
      </w:r>
      <w:r>
        <w:rPr>
          <w:rFonts w:cs="Arial"/>
          <w:b/>
          <w:bCs/>
          <w:sz w:val="20"/>
          <w:szCs w:val="20"/>
          <w:bdr w:val="none" w:sz="0" w:space="0" w:color="auto" w:frame="1"/>
          <w:lang w:val="en-GB" w:eastAsia="en-AU"/>
        </w:rPr>
        <w:t>8d</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8F0E15" w14:paraId="5BAFB8C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B617222" w14:textId="77777777" w:rsidR="008E67EA" w:rsidRPr="008F0E15" w:rsidRDefault="008E67EA" w:rsidP="00B44A74">
            <w:pPr>
              <w:spacing w:line="280" w:lineRule="exact"/>
              <w:rPr>
                <w:rFonts w:cs="Arial"/>
                <w:sz w:val="20"/>
                <w:szCs w:val="20"/>
              </w:rPr>
            </w:pPr>
            <w:r w:rsidRPr="008F0E15">
              <w:rPr>
                <w:rFonts w:cs="Arial"/>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44646CD3" w14:textId="77777777" w:rsidR="008E67EA" w:rsidRPr="008F0E15" w:rsidRDefault="008E67EA" w:rsidP="00B44A74">
            <w:pPr>
              <w:spacing w:line="280" w:lineRule="exact"/>
              <w:rPr>
                <w:rFonts w:cs="Arial"/>
                <w:sz w:val="20"/>
                <w:szCs w:val="20"/>
              </w:rPr>
            </w:pPr>
            <w:r w:rsidRPr="008F0E15">
              <w:rPr>
                <w:rFonts w:cs="Arial"/>
                <w:sz w:val="20"/>
                <w:szCs w:val="20"/>
              </w:rPr>
              <w:t>[INSERT LABEL NAME]</w:t>
            </w:r>
            <w:r w:rsidRPr="008F0E15" w:rsidDel="002301F9">
              <w:rPr>
                <w:rFonts w:cs="Arial"/>
                <w:sz w:val="20"/>
                <w:szCs w:val="20"/>
              </w:rPr>
              <w:t xml:space="preserve"> </w:t>
            </w:r>
          </w:p>
        </w:tc>
      </w:tr>
      <w:tr w:rsidR="008E67EA" w:rsidRPr="008F0E15" w14:paraId="4D760DC5" w14:textId="77777777" w:rsidTr="00B44A74">
        <w:trPr>
          <w:jc w:val="center"/>
        </w:trPr>
        <w:tc>
          <w:tcPr>
            <w:tcW w:w="2415" w:type="dxa"/>
            <w:tcBorders>
              <w:top w:val="single" w:sz="4" w:space="0" w:color="auto"/>
              <w:left w:val="nil"/>
              <w:bottom w:val="single" w:sz="4" w:space="0" w:color="auto"/>
              <w:right w:val="nil"/>
            </w:tcBorders>
          </w:tcPr>
          <w:p w14:paraId="7F4FF012" w14:textId="77777777" w:rsidR="008E67EA" w:rsidRPr="008F0E1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8B9DD92" w14:textId="77777777" w:rsidR="008E67EA" w:rsidRPr="008F0E15" w:rsidRDefault="008E67EA" w:rsidP="00B44A74">
            <w:pPr>
              <w:spacing w:line="280" w:lineRule="exact"/>
              <w:rPr>
                <w:rFonts w:cs="Arial"/>
                <w:sz w:val="20"/>
                <w:szCs w:val="20"/>
              </w:rPr>
            </w:pPr>
          </w:p>
        </w:tc>
      </w:tr>
      <w:tr w:rsidR="008E67EA" w:rsidRPr="008F0E15" w14:paraId="7E4F71C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4FB0F57" w14:textId="77777777" w:rsidR="008E67EA" w:rsidRPr="008F0E15" w:rsidRDefault="008E67EA" w:rsidP="00B44A74">
            <w:pPr>
              <w:spacing w:line="280" w:lineRule="exact"/>
              <w:rPr>
                <w:rFonts w:cs="Arial"/>
                <w:sz w:val="20"/>
                <w:szCs w:val="20"/>
              </w:rPr>
            </w:pPr>
            <w:r w:rsidRPr="008F0E15">
              <w:rPr>
                <w:rFonts w:cs="Arial"/>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6E884F19" w14:textId="77777777" w:rsidR="008E67EA" w:rsidRPr="008F0E15" w:rsidRDefault="008E67EA" w:rsidP="00B44A74">
            <w:pPr>
              <w:spacing w:line="280" w:lineRule="exact"/>
              <w:rPr>
                <w:rFonts w:cs="Arial"/>
                <w:sz w:val="20"/>
                <w:szCs w:val="20"/>
              </w:rPr>
            </w:pPr>
            <w:r w:rsidRPr="008F0E15">
              <w:rPr>
                <w:rFonts w:cs="Arial"/>
                <w:color w:val="000000"/>
                <w:sz w:val="20"/>
                <w:szCs w:val="20"/>
              </w:rPr>
              <w:t>POISON</w:t>
            </w:r>
            <w:r w:rsidRPr="008F0E15">
              <w:rPr>
                <w:rFonts w:cs="Arial"/>
                <w:color w:val="000000"/>
                <w:sz w:val="20"/>
                <w:szCs w:val="20"/>
              </w:rPr>
              <w:br/>
              <w:t>KEEP OUT OF REACH OF CHILDREN</w:t>
            </w:r>
            <w:r w:rsidRPr="008F0E15">
              <w:rPr>
                <w:rFonts w:cs="Arial"/>
                <w:color w:val="000000"/>
                <w:sz w:val="20"/>
                <w:szCs w:val="20"/>
              </w:rPr>
              <w:br/>
              <w:t>READ SAFETY DIRECTIONS BEFORE OPENING OR USING</w:t>
            </w:r>
          </w:p>
        </w:tc>
      </w:tr>
      <w:tr w:rsidR="008E67EA" w:rsidRPr="008F0E15" w14:paraId="661B2D7A" w14:textId="77777777" w:rsidTr="00B44A74">
        <w:trPr>
          <w:jc w:val="center"/>
        </w:trPr>
        <w:tc>
          <w:tcPr>
            <w:tcW w:w="2415" w:type="dxa"/>
            <w:tcBorders>
              <w:top w:val="single" w:sz="4" w:space="0" w:color="auto"/>
              <w:left w:val="nil"/>
              <w:bottom w:val="single" w:sz="4" w:space="0" w:color="auto"/>
              <w:right w:val="nil"/>
            </w:tcBorders>
          </w:tcPr>
          <w:p w14:paraId="48CC0D19" w14:textId="77777777" w:rsidR="008E67EA" w:rsidRPr="008F0E1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71F4808" w14:textId="77777777" w:rsidR="008E67EA" w:rsidRPr="008F0E15" w:rsidRDefault="008E67EA" w:rsidP="00B44A74">
            <w:pPr>
              <w:spacing w:line="280" w:lineRule="exact"/>
              <w:rPr>
                <w:rFonts w:cs="Arial"/>
                <w:sz w:val="20"/>
                <w:szCs w:val="20"/>
              </w:rPr>
            </w:pPr>
          </w:p>
        </w:tc>
      </w:tr>
      <w:tr w:rsidR="008E67EA" w:rsidRPr="008F0E15" w14:paraId="436D17A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BAC819B" w14:textId="77777777" w:rsidR="008E67EA" w:rsidRPr="008F0E15" w:rsidRDefault="008E67EA" w:rsidP="00B44A74">
            <w:pPr>
              <w:spacing w:line="280" w:lineRule="exact"/>
              <w:rPr>
                <w:rFonts w:cs="Arial"/>
                <w:sz w:val="20"/>
                <w:szCs w:val="20"/>
              </w:rPr>
            </w:pPr>
            <w:r w:rsidRPr="008F0E15">
              <w:rPr>
                <w:rFonts w:cs="Arial"/>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63F4DA71" w14:textId="77777777" w:rsidR="008E67EA" w:rsidRPr="008F0E15" w:rsidRDefault="008E67EA" w:rsidP="00B44A74">
            <w:pPr>
              <w:spacing w:line="280" w:lineRule="exact"/>
              <w:rPr>
                <w:rFonts w:cs="Arial"/>
                <w:color w:val="000000"/>
                <w:sz w:val="20"/>
                <w:szCs w:val="20"/>
              </w:rPr>
            </w:pPr>
            <w:r w:rsidRPr="008F0E15">
              <w:rPr>
                <w:rFonts w:cs="Arial"/>
                <w:color w:val="000000"/>
                <w:sz w:val="20"/>
                <w:szCs w:val="20"/>
              </w:rPr>
              <w:t>0.05 g/kg BROMADIOLONE</w:t>
            </w:r>
          </w:p>
        </w:tc>
      </w:tr>
      <w:tr w:rsidR="008E67EA" w:rsidRPr="008F0E15" w14:paraId="37B48FEB" w14:textId="77777777" w:rsidTr="00B44A74">
        <w:trPr>
          <w:jc w:val="center"/>
        </w:trPr>
        <w:tc>
          <w:tcPr>
            <w:tcW w:w="2415" w:type="dxa"/>
            <w:tcBorders>
              <w:top w:val="single" w:sz="4" w:space="0" w:color="auto"/>
              <w:left w:val="nil"/>
              <w:bottom w:val="single" w:sz="4" w:space="0" w:color="auto"/>
              <w:right w:val="nil"/>
            </w:tcBorders>
          </w:tcPr>
          <w:p w14:paraId="4B319CD7" w14:textId="77777777" w:rsidR="008E67EA" w:rsidRPr="008F0E1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95AB3E7" w14:textId="77777777" w:rsidR="008E67EA" w:rsidRPr="008F0E15" w:rsidRDefault="008E67EA" w:rsidP="00B44A74">
            <w:pPr>
              <w:spacing w:line="280" w:lineRule="exact"/>
              <w:rPr>
                <w:rFonts w:cs="Arial"/>
                <w:sz w:val="20"/>
                <w:szCs w:val="20"/>
              </w:rPr>
            </w:pPr>
          </w:p>
        </w:tc>
      </w:tr>
      <w:tr w:rsidR="008E67EA" w:rsidRPr="008F0E15" w14:paraId="74E503D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501EC89" w14:textId="77777777" w:rsidR="008E67EA" w:rsidRPr="008F0E15" w:rsidRDefault="008E67EA" w:rsidP="00B44A74">
            <w:pPr>
              <w:spacing w:line="280" w:lineRule="exact"/>
              <w:rPr>
                <w:rFonts w:cs="Arial"/>
                <w:sz w:val="20"/>
                <w:szCs w:val="20"/>
              </w:rPr>
            </w:pPr>
            <w:r w:rsidRPr="008F0E15">
              <w:rPr>
                <w:rFonts w:cs="Arial"/>
                <w:sz w:val="20"/>
                <w:szCs w:val="20"/>
              </w:rPr>
              <w:t>Mode of Action:</w:t>
            </w:r>
          </w:p>
        </w:tc>
        <w:tc>
          <w:tcPr>
            <w:tcW w:w="7755" w:type="dxa"/>
            <w:tcBorders>
              <w:top w:val="single" w:sz="4" w:space="0" w:color="auto"/>
              <w:left w:val="single" w:sz="4" w:space="0" w:color="auto"/>
              <w:bottom w:val="single" w:sz="4" w:space="0" w:color="auto"/>
              <w:right w:val="single" w:sz="4" w:space="0" w:color="auto"/>
            </w:tcBorders>
          </w:tcPr>
          <w:p w14:paraId="55DC0628" w14:textId="77777777" w:rsidR="008E67EA" w:rsidRPr="008F0E15" w:rsidRDefault="008E67EA" w:rsidP="00B44A74">
            <w:pPr>
              <w:spacing w:line="280" w:lineRule="exact"/>
              <w:jc w:val="both"/>
              <w:rPr>
                <w:rFonts w:cs="Arial"/>
                <w:sz w:val="20"/>
                <w:szCs w:val="20"/>
              </w:rPr>
            </w:pPr>
          </w:p>
        </w:tc>
      </w:tr>
      <w:tr w:rsidR="008E67EA" w:rsidRPr="008F0E15" w14:paraId="4FCAEC90" w14:textId="77777777" w:rsidTr="00B44A74">
        <w:trPr>
          <w:jc w:val="center"/>
        </w:trPr>
        <w:tc>
          <w:tcPr>
            <w:tcW w:w="2415" w:type="dxa"/>
            <w:tcBorders>
              <w:top w:val="single" w:sz="4" w:space="0" w:color="auto"/>
              <w:left w:val="nil"/>
              <w:bottom w:val="single" w:sz="4" w:space="0" w:color="auto"/>
              <w:right w:val="nil"/>
            </w:tcBorders>
          </w:tcPr>
          <w:p w14:paraId="10D08095" w14:textId="77777777" w:rsidR="008E67EA" w:rsidRPr="008F0E1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9E1A02F" w14:textId="77777777" w:rsidR="008E67EA" w:rsidRPr="008F0E15" w:rsidRDefault="008E67EA" w:rsidP="00B44A74">
            <w:pPr>
              <w:spacing w:line="280" w:lineRule="exact"/>
              <w:rPr>
                <w:rFonts w:cs="Arial"/>
                <w:sz w:val="20"/>
                <w:szCs w:val="20"/>
              </w:rPr>
            </w:pPr>
          </w:p>
        </w:tc>
      </w:tr>
      <w:tr w:rsidR="008E67EA" w:rsidRPr="008F0E15" w14:paraId="55F7524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6E220B6" w14:textId="77777777" w:rsidR="008E67EA" w:rsidRPr="008F0E15" w:rsidRDefault="008E67EA" w:rsidP="00B44A74">
            <w:pPr>
              <w:spacing w:line="280" w:lineRule="exact"/>
              <w:rPr>
                <w:rFonts w:cs="Arial"/>
                <w:sz w:val="20"/>
                <w:szCs w:val="20"/>
              </w:rPr>
            </w:pPr>
            <w:r w:rsidRPr="008F0E15">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1C0DBC23" w14:textId="77777777" w:rsidR="008E67EA" w:rsidRPr="008F0E15" w:rsidRDefault="008E67EA" w:rsidP="00B44A74">
            <w:pPr>
              <w:spacing w:line="280" w:lineRule="exact"/>
              <w:rPr>
                <w:rFonts w:cs="Arial"/>
                <w:color w:val="000000"/>
                <w:sz w:val="20"/>
                <w:szCs w:val="20"/>
              </w:rPr>
            </w:pPr>
            <w:r w:rsidRPr="008F0E15">
              <w:rPr>
                <w:rFonts w:cs="Arial"/>
                <w:color w:val="000000"/>
                <w:sz w:val="20"/>
                <w:szCs w:val="20"/>
              </w:rPr>
              <w:t>For control of mice in domestic homes and buildings and rats in and around domestic homes and buildings.</w:t>
            </w:r>
          </w:p>
        </w:tc>
      </w:tr>
      <w:tr w:rsidR="008E67EA" w:rsidRPr="008F0E15" w14:paraId="2EDEB0E6" w14:textId="77777777" w:rsidTr="00B44A74">
        <w:trPr>
          <w:jc w:val="center"/>
        </w:trPr>
        <w:tc>
          <w:tcPr>
            <w:tcW w:w="2415" w:type="dxa"/>
            <w:tcBorders>
              <w:top w:val="single" w:sz="4" w:space="0" w:color="auto"/>
              <w:left w:val="nil"/>
              <w:bottom w:val="single" w:sz="4" w:space="0" w:color="auto"/>
              <w:right w:val="nil"/>
            </w:tcBorders>
          </w:tcPr>
          <w:p w14:paraId="0C1C0CD1" w14:textId="77777777" w:rsidR="008E67EA" w:rsidRPr="008F0E1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B24690C" w14:textId="77777777" w:rsidR="008E67EA" w:rsidRPr="008F0E15" w:rsidRDefault="008E67EA" w:rsidP="00B44A74">
            <w:pPr>
              <w:spacing w:line="280" w:lineRule="exact"/>
              <w:rPr>
                <w:rFonts w:cs="Arial"/>
                <w:sz w:val="20"/>
                <w:szCs w:val="20"/>
              </w:rPr>
            </w:pPr>
          </w:p>
        </w:tc>
      </w:tr>
      <w:tr w:rsidR="008E67EA" w:rsidRPr="008F0E15" w14:paraId="28AE146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0354298" w14:textId="77777777" w:rsidR="008E67EA" w:rsidRPr="008F0E15" w:rsidRDefault="008E67EA" w:rsidP="00B44A74">
            <w:pPr>
              <w:spacing w:line="280" w:lineRule="exact"/>
              <w:rPr>
                <w:rFonts w:cs="Arial"/>
                <w:sz w:val="20"/>
                <w:szCs w:val="20"/>
              </w:rPr>
            </w:pPr>
            <w:r w:rsidRPr="008F0E15">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06488F4C" w14:textId="77777777" w:rsidR="008E67EA" w:rsidRPr="008F0E15" w:rsidRDefault="008E67EA" w:rsidP="00B44A74">
            <w:pPr>
              <w:spacing w:line="280" w:lineRule="exact"/>
              <w:rPr>
                <w:rFonts w:cs="Arial"/>
                <w:sz w:val="20"/>
                <w:szCs w:val="20"/>
              </w:rPr>
            </w:pPr>
            <w:r w:rsidRPr="008F0E15">
              <w:rPr>
                <w:rFonts w:cs="Arial"/>
                <w:sz w:val="20"/>
                <w:szCs w:val="20"/>
              </w:rPr>
              <w:t>[INSERT NET CONTENTS]</w:t>
            </w:r>
          </w:p>
        </w:tc>
      </w:tr>
      <w:tr w:rsidR="008E67EA" w:rsidRPr="008F0E15" w14:paraId="38B9DA03" w14:textId="77777777" w:rsidTr="00B44A74">
        <w:trPr>
          <w:jc w:val="center"/>
        </w:trPr>
        <w:tc>
          <w:tcPr>
            <w:tcW w:w="2415" w:type="dxa"/>
            <w:tcBorders>
              <w:top w:val="single" w:sz="4" w:space="0" w:color="auto"/>
              <w:left w:val="nil"/>
              <w:bottom w:val="single" w:sz="4" w:space="0" w:color="auto"/>
              <w:right w:val="nil"/>
            </w:tcBorders>
          </w:tcPr>
          <w:p w14:paraId="39526DD1" w14:textId="77777777" w:rsidR="008E67EA" w:rsidRPr="008F0E1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A4BCB0F" w14:textId="77777777" w:rsidR="008E67EA" w:rsidRPr="008F0E15" w:rsidRDefault="008E67EA" w:rsidP="00B44A74">
            <w:pPr>
              <w:spacing w:line="280" w:lineRule="exact"/>
              <w:rPr>
                <w:rFonts w:cs="Arial"/>
                <w:sz w:val="20"/>
                <w:szCs w:val="20"/>
              </w:rPr>
            </w:pPr>
          </w:p>
        </w:tc>
      </w:tr>
      <w:tr w:rsidR="008E67EA" w:rsidRPr="008F0E15" w14:paraId="2BA179B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CED7D94" w14:textId="77777777" w:rsidR="008E67EA" w:rsidRPr="008F0E15" w:rsidRDefault="008E67EA" w:rsidP="00B44A74">
            <w:pPr>
              <w:spacing w:line="280" w:lineRule="exact"/>
              <w:rPr>
                <w:rFonts w:cs="Arial"/>
                <w:sz w:val="20"/>
                <w:szCs w:val="20"/>
              </w:rPr>
            </w:pPr>
            <w:r w:rsidRPr="008F0E15">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4DF78476" w14:textId="77777777" w:rsidR="008E67EA" w:rsidRPr="008F0E15" w:rsidRDefault="008E67EA" w:rsidP="00B44A74">
            <w:pPr>
              <w:spacing w:line="280" w:lineRule="exact"/>
              <w:rPr>
                <w:rFonts w:cs="Arial"/>
                <w:sz w:val="20"/>
                <w:szCs w:val="20"/>
              </w:rPr>
            </w:pPr>
            <w:r w:rsidRPr="008F0E15">
              <w:rPr>
                <w:rFonts w:cs="Arial"/>
                <w:color w:val="000000"/>
                <w:sz w:val="20"/>
                <w:szCs w:val="20"/>
              </w:rPr>
              <w:t>RESTRAINTS</w:t>
            </w:r>
            <w:r w:rsidRPr="008F0E15">
              <w:rPr>
                <w:rFonts w:cs="Arial"/>
                <w:color w:val="000000"/>
                <w:sz w:val="20"/>
                <w:szCs w:val="20"/>
              </w:rPr>
              <w:br/>
              <w:t>DO NOT use this product unless you have a current qualification in the nationally recognised training course for rodent pest management CPPUPM3006 - Manage pests by applying pesticides, or an equivalent unit of competency.</w:t>
            </w:r>
            <w:r w:rsidRPr="008F0E15">
              <w:rPr>
                <w:rFonts w:cs="Arial"/>
                <w:color w:val="000000"/>
                <w:sz w:val="20"/>
                <w:szCs w:val="20"/>
              </w:rPr>
              <w:br/>
              <w:t>DO NOT place baits in areas that are accessible to children. In child-accessible areas baits must be placed in tamper-</w:t>
            </w:r>
            <w:r>
              <w:rPr>
                <w:rFonts w:cs="Arial"/>
                <w:color w:val="000000"/>
                <w:sz w:val="20"/>
                <w:szCs w:val="20"/>
              </w:rPr>
              <w:t>resistant</w:t>
            </w:r>
            <w:r w:rsidRPr="008F0E15">
              <w:rPr>
                <w:rFonts w:cs="Arial"/>
                <w:color w:val="000000"/>
                <w:sz w:val="20"/>
                <w:szCs w:val="20"/>
              </w:rPr>
              <w:t xml:space="preserve"> bait stations. If bait can be dislodged from bait station, bait station must be secured in place. </w:t>
            </w:r>
            <w:r w:rsidRPr="008F0E15">
              <w:rPr>
                <w:rFonts w:cs="Arial"/>
                <w:color w:val="000000"/>
                <w:sz w:val="20"/>
                <w:szCs w:val="20"/>
              </w:rPr>
              <w:br/>
              <w:t>DO NOT place bait outdoors unless it is in a tamper</w:t>
            </w:r>
            <w:r>
              <w:rPr>
                <w:rFonts w:cs="Arial"/>
                <w:color w:val="000000"/>
                <w:sz w:val="20"/>
                <w:szCs w:val="20"/>
              </w:rPr>
              <w:t>-resistant</w:t>
            </w:r>
            <w:r w:rsidRPr="008F0E15">
              <w:rPr>
                <w:rFonts w:cs="Arial"/>
                <w:color w:val="000000"/>
                <w:sz w:val="20"/>
                <w:szCs w:val="20"/>
              </w:rPr>
              <w:t xml:space="preserve"> bait station which is secured in place.</w:t>
            </w:r>
            <w:r w:rsidRPr="008F0E15">
              <w:rPr>
                <w:rFonts w:cs="Arial"/>
                <w:color w:val="000000"/>
                <w:sz w:val="20"/>
                <w:szCs w:val="20"/>
              </w:rPr>
              <w:br/>
              <w:t>DO NOT place bait stations more than 2 meters from buildings.</w:t>
            </w:r>
            <w:r w:rsidRPr="008F0E15">
              <w:rPr>
                <w:rFonts w:cs="Arial"/>
                <w:color w:val="000000"/>
                <w:sz w:val="20"/>
                <w:szCs w:val="20"/>
              </w:rPr>
              <w:br/>
              <w:t>DO NOT place bait stations outdoors around buildings for control of mice.</w:t>
            </w:r>
            <w:r w:rsidRPr="008F0E15">
              <w:rPr>
                <w:rFonts w:cs="Arial"/>
                <w:color w:val="000000"/>
                <w:sz w:val="20"/>
                <w:szCs w:val="20"/>
              </w:rPr>
              <w:br/>
              <w:t>DO NOT bait in areas where wildlife may be collected for human consumption.</w:t>
            </w:r>
            <w:r w:rsidRPr="008F0E15">
              <w:rPr>
                <w:rFonts w:cs="Arial"/>
                <w:color w:val="000000"/>
                <w:sz w:val="20"/>
                <w:szCs w:val="20"/>
              </w:rPr>
              <w:br/>
              <w:t>DO NOT place in animal or livestock housing unless used in tamper</w:t>
            </w:r>
            <w:r>
              <w:rPr>
                <w:rFonts w:cs="Arial"/>
                <w:color w:val="000000"/>
                <w:sz w:val="20"/>
                <w:szCs w:val="20"/>
              </w:rPr>
              <w:t>-resistant</w:t>
            </w:r>
            <w:r w:rsidRPr="008F0E15">
              <w:rPr>
                <w:rFonts w:cs="Arial"/>
                <w:color w:val="000000"/>
                <w:sz w:val="20"/>
                <w:szCs w:val="20"/>
              </w:rPr>
              <w:t xml:space="preserve"> and weather</w:t>
            </w:r>
            <w:r>
              <w:rPr>
                <w:rFonts w:cs="Arial"/>
                <w:color w:val="000000"/>
                <w:sz w:val="20"/>
                <w:szCs w:val="20"/>
              </w:rPr>
              <w:t>-</w:t>
            </w:r>
            <w:r w:rsidRPr="008F0E15">
              <w:rPr>
                <w:rFonts w:cs="Arial"/>
                <w:color w:val="000000"/>
                <w:sz w:val="20"/>
                <w:szCs w:val="20"/>
              </w:rPr>
              <w:t>resistant bait stations fixed to the ground or other structures.</w:t>
            </w:r>
            <w:r w:rsidRPr="008F0E15">
              <w:rPr>
                <w:rFonts w:cs="Arial"/>
                <w:color w:val="000000"/>
                <w:sz w:val="20"/>
                <w:szCs w:val="20"/>
              </w:rPr>
              <w:br/>
              <w:t>DO NOT place bait or bait stations above areas which would allow them to contaminate pig and poultry food or drinking water.</w:t>
            </w:r>
            <w:r w:rsidRPr="008F0E15">
              <w:rPr>
                <w:rFonts w:cs="Arial"/>
                <w:color w:val="000000"/>
                <w:sz w:val="20"/>
                <w:szCs w:val="20"/>
              </w:rPr>
              <w:br/>
              <w:t>DO NOT apply this product directly into burrows.</w:t>
            </w:r>
          </w:p>
        </w:tc>
      </w:tr>
      <w:tr w:rsidR="008E67EA" w:rsidRPr="008F0E15" w14:paraId="1B048B1A" w14:textId="77777777" w:rsidTr="00B44A74">
        <w:trPr>
          <w:jc w:val="center"/>
        </w:trPr>
        <w:tc>
          <w:tcPr>
            <w:tcW w:w="2415" w:type="dxa"/>
            <w:tcBorders>
              <w:top w:val="single" w:sz="4" w:space="0" w:color="auto"/>
              <w:left w:val="nil"/>
              <w:bottom w:val="single" w:sz="4" w:space="0" w:color="auto"/>
              <w:right w:val="nil"/>
            </w:tcBorders>
          </w:tcPr>
          <w:p w14:paraId="6CC70299" w14:textId="77777777" w:rsidR="008E67EA" w:rsidRPr="008F0E1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9BB8C5D" w14:textId="77777777" w:rsidR="008E67EA" w:rsidRPr="008F0E15" w:rsidRDefault="008E67EA" w:rsidP="00B44A74">
            <w:pPr>
              <w:spacing w:line="280" w:lineRule="exact"/>
              <w:rPr>
                <w:rFonts w:cs="Arial"/>
                <w:sz w:val="20"/>
                <w:szCs w:val="20"/>
              </w:rPr>
            </w:pPr>
          </w:p>
        </w:tc>
      </w:tr>
      <w:tr w:rsidR="008E67EA" w:rsidRPr="008F0E15" w14:paraId="72028FF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8592A95" w14:textId="77777777" w:rsidR="008E67EA" w:rsidRPr="008F0E15" w:rsidRDefault="008E67EA" w:rsidP="00B44A74">
            <w:pPr>
              <w:spacing w:line="280" w:lineRule="exact"/>
              <w:rPr>
                <w:rFonts w:cs="Arial"/>
                <w:sz w:val="20"/>
                <w:szCs w:val="20"/>
              </w:rPr>
            </w:pPr>
            <w:r w:rsidRPr="008F0E15">
              <w:rPr>
                <w:rFonts w:cs="Arial"/>
                <w:sz w:val="20"/>
                <w:szCs w:val="20"/>
              </w:rPr>
              <w:t>Directions for Use:</w:t>
            </w:r>
          </w:p>
        </w:tc>
        <w:tc>
          <w:tcPr>
            <w:tcW w:w="7755" w:type="dxa"/>
            <w:tcBorders>
              <w:top w:val="single" w:sz="4" w:space="0" w:color="auto"/>
              <w:left w:val="single" w:sz="4" w:space="0" w:color="auto"/>
              <w:bottom w:val="single" w:sz="4" w:space="0" w:color="auto"/>
              <w:right w:val="single" w:sz="4" w:space="0" w:color="auto"/>
            </w:tcBorders>
          </w:tcPr>
          <w:p w14:paraId="2FC34A35" w14:textId="77777777" w:rsidR="008E67EA" w:rsidRPr="008F0E15" w:rsidRDefault="008E67EA" w:rsidP="00B44A74">
            <w:pPr>
              <w:spacing w:line="280" w:lineRule="exact"/>
              <w:rPr>
                <w:rFonts w:cs="Arial"/>
                <w:b/>
                <w:bCs/>
                <w:i/>
                <w:iCs/>
                <w:sz w:val="20"/>
                <w:szCs w:val="20"/>
              </w:rPr>
            </w:pPr>
            <w:r w:rsidRPr="00713087">
              <w:rPr>
                <w:rFonts w:cs="Arial"/>
                <w:sz w:val="20"/>
                <w:szCs w:val="20"/>
              </w:rPr>
              <w:t>[This section contains an attachment below]</w:t>
            </w:r>
          </w:p>
        </w:tc>
      </w:tr>
      <w:tr w:rsidR="008E67EA" w:rsidRPr="008F0E15" w14:paraId="6F4A5E10" w14:textId="77777777" w:rsidTr="00B44A74">
        <w:trPr>
          <w:jc w:val="center"/>
        </w:trPr>
        <w:tc>
          <w:tcPr>
            <w:tcW w:w="2415" w:type="dxa"/>
            <w:tcBorders>
              <w:top w:val="single" w:sz="4" w:space="0" w:color="auto"/>
              <w:left w:val="nil"/>
              <w:bottom w:val="single" w:sz="4" w:space="0" w:color="auto"/>
              <w:right w:val="nil"/>
            </w:tcBorders>
          </w:tcPr>
          <w:p w14:paraId="675915B2" w14:textId="77777777" w:rsidR="008E67EA" w:rsidRPr="008F0E1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FA24553" w14:textId="77777777" w:rsidR="008E67EA" w:rsidRPr="008F0E15" w:rsidRDefault="008E67EA" w:rsidP="00B44A74">
            <w:pPr>
              <w:spacing w:line="280" w:lineRule="exact"/>
              <w:rPr>
                <w:rFonts w:cs="Arial"/>
                <w:sz w:val="20"/>
                <w:szCs w:val="20"/>
              </w:rPr>
            </w:pPr>
          </w:p>
        </w:tc>
      </w:tr>
      <w:tr w:rsidR="008E67EA" w:rsidRPr="008F0E15" w14:paraId="084D2AC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3076EA5" w14:textId="77777777" w:rsidR="008E67EA" w:rsidRPr="008F0E15" w:rsidRDefault="008E67EA" w:rsidP="00B44A74">
            <w:pPr>
              <w:spacing w:line="280" w:lineRule="exact"/>
              <w:rPr>
                <w:rFonts w:cs="Arial"/>
                <w:sz w:val="20"/>
                <w:szCs w:val="20"/>
              </w:rPr>
            </w:pPr>
            <w:r w:rsidRPr="008F0E15">
              <w:rPr>
                <w:rFonts w:cs="Arial"/>
                <w:sz w:val="20"/>
                <w:szCs w:val="20"/>
              </w:rPr>
              <w:t>Other Limitations:</w:t>
            </w:r>
          </w:p>
        </w:tc>
        <w:tc>
          <w:tcPr>
            <w:tcW w:w="7755" w:type="dxa"/>
            <w:tcBorders>
              <w:top w:val="single" w:sz="4" w:space="0" w:color="auto"/>
              <w:left w:val="single" w:sz="4" w:space="0" w:color="auto"/>
              <w:bottom w:val="single" w:sz="4" w:space="0" w:color="auto"/>
              <w:right w:val="single" w:sz="4" w:space="0" w:color="auto"/>
            </w:tcBorders>
          </w:tcPr>
          <w:p w14:paraId="1F2C79E6" w14:textId="77777777" w:rsidR="008E67EA" w:rsidRPr="008F0E15" w:rsidRDefault="008E67EA" w:rsidP="00B44A74">
            <w:pPr>
              <w:spacing w:line="280" w:lineRule="exact"/>
              <w:rPr>
                <w:rFonts w:cs="Arial"/>
                <w:sz w:val="20"/>
                <w:szCs w:val="20"/>
              </w:rPr>
            </w:pPr>
          </w:p>
        </w:tc>
      </w:tr>
      <w:tr w:rsidR="008E67EA" w:rsidRPr="008F0E15" w14:paraId="5EEDE8C0" w14:textId="77777777" w:rsidTr="00B44A74">
        <w:trPr>
          <w:jc w:val="center"/>
        </w:trPr>
        <w:tc>
          <w:tcPr>
            <w:tcW w:w="2415" w:type="dxa"/>
            <w:tcBorders>
              <w:top w:val="single" w:sz="4" w:space="0" w:color="auto"/>
              <w:left w:val="nil"/>
              <w:bottom w:val="single" w:sz="4" w:space="0" w:color="auto"/>
              <w:right w:val="nil"/>
            </w:tcBorders>
          </w:tcPr>
          <w:p w14:paraId="136DB216" w14:textId="77777777" w:rsidR="008E67EA" w:rsidRPr="008F0E1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255C184" w14:textId="77777777" w:rsidR="008E67EA" w:rsidRPr="008F0E15" w:rsidRDefault="008E67EA" w:rsidP="00B44A74">
            <w:pPr>
              <w:spacing w:line="280" w:lineRule="exact"/>
              <w:rPr>
                <w:rFonts w:cs="Arial"/>
                <w:sz w:val="20"/>
                <w:szCs w:val="20"/>
              </w:rPr>
            </w:pPr>
          </w:p>
        </w:tc>
      </w:tr>
      <w:tr w:rsidR="008E67EA" w:rsidRPr="008F0E15" w14:paraId="5867690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806FB11" w14:textId="77777777" w:rsidR="008E67EA" w:rsidRPr="008F0E15" w:rsidRDefault="008E67EA" w:rsidP="00B44A74">
            <w:pPr>
              <w:spacing w:line="280" w:lineRule="exact"/>
              <w:rPr>
                <w:rFonts w:cs="Arial"/>
                <w:sz w:val="20"/>
                <w:szCs w:val="20"/>
              </w:rPr>
            </w:pPr>
            <w:r w:rsidRPr="008F0E15">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6EDABBE6" w14:textId="77777777" w:rsidR="008E67EA" w:rsidRPr="008F0E15" w:rsidRDefault="008E67EA" w:rsidP="00B44A74">
            <w:pPr>
              <w:spacing w:line="280" w:lineRule="exact"/>
              <w:rPr>
                <w:rFonts w:cs="Arial"/>
                <w:sz w:val="20"/>
                <w:szCs w:val="20"/>
              </w:rPr>
            </w:pPr>
          </w:p>
        </w:tc>
      </w:tr>
      <w:tr w:rsidR="008E67EA" w:rsidRPr="008F0E15" w14:paraId="73979D5C" w14:textId="77777777" w:rsidTr="00B44A74">
        <w:trPr>
          <w:jc w:val="center"/>
        </w:trPr>
        <w:tc>
          <w:tcPr>
            <w:tcW w:w="2415" w:type="dxa"/>
            <w:tcBorders>
              <w:top w:val="single" w:sz="4" w:space="0" w:color="auto"/>
              <w:left w:val="nil"/>
              <w:bottom w:val="single" w:sz="4" w:space="0" w:color="auto"/>
              <w:right w:val="nil"/>
            </w:tcBorders>
          </w:tcPr>
          <w:p w14:paraId="12342E59" w14:textId="77777777" w:rsidR="008E67EA" w:rsidRPr="008F0E1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6E2BDC8" w14:textId="77777777" w:rsidR="008E67EA" w:rsidRPr="008F0E15" w:rsidRDefault="008E67EA" w:rsidP="00B44A74">
            <w:pPr>
              <w:spacing w:line="280" w:lineRule="exact"/>
              <w:rPr>
                <w:rFonts w:cs="Arial"/>
                <w:sz w:val="20"/>
                <w:szCs w:val="20"/>
              </w:rPr>
            </w:pPr>
          </w:p>
        </w:tc>
      </w:tr>
      <w:tr w:rsidR="008E67EA" w:rsidRPr="008F0E15" w14:paraId="6F51C27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A7CCE6E" w14:textId="77777777" w:rsidR="008E67EA" w:rsidRPr="008F0E15" w:rsidRDefault="008E67EA" w:rsidP="00B44A74">
            <w:pPr>
              <w:spacing w:line="280" w:lineRule="exact"/>
              <w:rPr>
                <w:rFonts w:cs="Arial"/>
                <w:sz w:val="20"/>
                <w:szCs w:val="20"/>
              </w:rPr>
            </w:pPr>
            <w:r w:rsidRPr="008F0E15">
              <w:rPr>
                <w:rFonts w:cs="Arial"/>
                <w:sz w:val="20"/>
                <w:szCs w:val="20"/>
              </w:rPr>
              <w:t>Trade Advice:</w:t>
            </w:r>
          </w:p>
        </w:tc>
        <w:tc>
          <w:tcPr>
            <w:tcW w:w="7755" w:type="dxa"/>
            <w:tcBorders>
              <w:top w:val="single" w:sz="4" w:space="0" w:color="auto"/>
              <w:left w:val="single" w:sz="4" w:space="0" w:color="auto"/>
              <w:bottom w:val="single" w:sz="4" w:space="0" w:color="auto"/>
              <w:right w:val="single" w:sz="4" w:space="0" w:color="auto"/>
            </w:tcBorders>
          </w:tcPr>
          <w:p w14:paraId="41081D1D" w14:textId="77777777" w:rsidR="008E67EA" w:rsidRPr="008F0E15" w:rsidRDefault="008E67EA" w:rsidP="00B44A74">
            <w:pPr>
              <w:spacing w:line="280" w:lineRule="exact"/>
              <w:rPr>
                <w:rFonts w:cs="Arial"/>
                <w:sz w:val="20"/>
                <w:szCs w:val="20"/>
              </w:rPr>
            </w:pPr>
          </w:p>
        </w:tc>
      </w:tr>
      <w:tr w:rsidR="008E67EA" w:rsidRPr="008F0E15" w14:paraId="069D879D" w14:textId="77777777" w:rsidTr="00B44A74">
        <w:trPr>
          <w:jc w:val="center"/>
        </w:trPr>
        <w:tc>
          <w:tcPr>
            <w:tcW w:w="2415" w:type="dxa"/>
            <w:tcBorders>
              <w:top w:val="single" w:sz="4" w:space="0" w:color="auto"/>
              <w:left w:val="nil"/>
              <w:bottom w:val="single" w:sz="4" w:space="0" w:color="auto"/>
              <w:right w:val="nil"/>
            </w:tcBorders>
          </w:tcPr>
          <w:p w14:paraId="2E9F3743" w14:textId="77777777" w:rsidR="008E67EA" w:rsidRPr="008F0E1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D17D6F0" w14:textId="77777777" w:rsidR="008E67EA" w:rsidRPr="008F0E15" w:rsidRDefault="008E67EA" w:rsidP="00B44A74">
            <w:pPr>
              <w:spacing w:line="280" w:lineRule="exact"/>
              <w:rPr>
                <w:rFonts w:cs="Arial"/>
                <w:sz w:val="20"/>
                <w:szCs w:val="20"/>
              </w:rPr>
            </w:pPr>
          </w:p>
        </w:tc>
      </w:tr>
      <w:tr w:rsidR="008E67EA" w:rsidRPr="008F0E15" w14:paraId="7F407AA9"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4683E04" w14:textId="77777777" w:rsidR="008E67EA" w:rsidRPr="008F0E15" w:rsidRDefault="008E67EA" w:rsidP="00B44A74">
            <w:pPr>
              <w:spacing w:line="280" w:lineRule="exact"/>
              <w:rPr>
                <w:rFonts w:cs="Arial"/>
                <w:sz w:val="20"/>
                <w:szCs w:val="20"/>
              </w:rPr>
            </w:pPr>
            <w:r w:rsidRPr="008F0E15">
              <w:rPr>
                <w:rFonts w:cs="Arial"/>
                <w:sz w:val="20"/>
                <w:szCs w:val="20"/>
              </w:rPr>
              <w:t>General Directions:</w:t>
            </w:r>
          </w:p>
        </w:tc>
        <w:tc>
          <w:tcPr>
            <w:tcW w:w="7755" w:type="dxa"/>
            <w:tcBorders>
              <w:top w:val="single" w:sz="4" w:space="0" w:color="auto"/>
              <w:left w:val="single" w:sz="4" w:space="0" w:color="auto"/>
              <w:bottom w:val="single" w:sz="4" w:space="0" w:color="auto"/>
              <w:right w:val="single" w:sz="4" w:space="0" w:color="auto"/>
            </w:tcBorders>
          </w:tcPr>
          <w:p w14:paraId="0E201133" w14:textId="77777777" w:rsidR="008E67EA" w:rsidRPr="008F0E15" w:rsidRDefault="008E67EA" w:rsidP="00B44A74">
            <w:pPr>
              <w:spacing w:line="280" w:lineRule="exact"/>
              <w:rPr>
                <w:rFonts w:cs="Arial"/>
                <w:sz w:val="20"/>
                <w:szCs w:val="20"/>
              </w:rPr>
            </w:pPr>
          </w:p>
        </w:tc>
      </w:tr>
      <w:tr w:rsidR="008E67EA" w:rsidRPr="008F0E15" w14:paraId="1F0860A4" w14:textId="77777777" w:rsidTr="00B44A74">
        <w:trPr>
          <w:jc w:val="center"/>
        </w:trPr>
        <w:tc>
          <w:tcPr>
            <w:tcW w:w="2415" w:type="dxa"/>
            <w:tcBorders>
              <w:top w:val="single" w:sz="4" w:space="0" w:color="auto"/>
              <w:left w:val="nil"/>
              <w:bottom w:val="single" w:sz="4" w:space="0" w:color="auto"/>
              <w:right w:val="nil"/>
            </w:tcBorders>
          </w:tcPr>
          <w:p w14:paraId="67AE9AE1" w14:textId="77777777" w:rsidR="008E67EA" w:rsidRPr="008F0E1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078A2C0" w14:textId="77777777" w:rsidR="008E67EA" w:rsidRPr="008F0E15" w:rsidRDefault="008E67EA" w:rsidP="00B44A74">
            <w:pPr>
              <w:spacing w:line="280" w:lineRule="exact"/>
              <w:rPr>
                <w:rFonts w:cs="Arial"/>
                <w:sz w:val="20"/>
                <w:szCs w:val="20"/>
              </w:rPr>
            </w:pPr>
          </w:p>
        </w:tc>
      </w:tr>
      <w:tr w:rsidR="008E67EA" w:rsidRPr="008F0E15" w14:paraId="1186400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F703298" w14:textId="77777777" w:rsidR="008E67EA" w:rsidRPr="008F0E15" w:rsidRDefault="008E67EA" w:rsidP="00B44A74">
            <w:pPr>
              <w:spacing w:line="280" w:lineRule="exact"/>
              <w:rPr>
                <w:rFonts w:cs="Arial"/>
                <w:sz w:val="20"/>
                <w:szCs w:val="20"/>
              </w:rPr>
            </w:pPr>
            <w:r w:rsidRPr="008F0E15">
              <w:rPr>
                <w:rFonts w:cs="Arial"/>
                <w:sz w:val="20"/>
                <w:szCs w:val="20"/>
              </w:rPr>
              <w:t>Resistance Warning:</w:t>
            </w:r>
          </w:p>
        </w:tc>
        <w:tc>
          <w:tcPr>
            <w:tcW w:w="7755" w:type="dxa"/>
            <w:tcBorders>
              <w:top w:val="single" w:sz="4" w:space="0" w:color="auto"/>
              <w:left w:val="single" w:sz="4" w:space="0" w:color="auto"/>
              <w:bottom w:val="single" w:sz="4" w:space="0" w:color="auto"/>
              <w:right w:val="single" w:sz="4" w:space="0" w:color="auto"/>
            </w:tcBorders>
          </w:tcPr>
          <w:p w14:paraId="2E51C1D8" w14:textId="77777777" w:rsidR="008E67EA" w:rsidRPr="008F0E15" w:rsidRDefault="008E67EA" w:rsidP="00B44A74">
            <w:pPr>
              <w:spacing w:line="280" w:lineRule="exact"/>
              <w:rPr>
                <w:rFonts w:cs="Arial"/>
                <w:sz w:val="20"/>
                <w:szCs w:val="20"/>
              </w:rPr>
            </w:pPr>
          </w:p>
        </w:tc>
      </w:tr>
      <w:tr w:rsidR="008E67EA" w:rsidRPr="008F0E15" w14:paraId="7BE6A48E" w14:textId="77777777" w:rsidTr="00B44A74">
        <w:trPr>
          <w:jc w:val="center"/>
        </w:trPr>
        <w:tc>
          <w:tcPr>
            <w:tcW w:w="2415" w:type="dxa"/>
            <w:tcBorders>
              <w:top w:val="single" w:sz="4" w:space="0" w:color="auto"/>
              <w:left w:val="nil"/>
              <w:bottom w:val="single" w:sz="4" w:space="0" w:color="auto"/>
              <w:right w:val="nil"/>
            </w:tcBorders>
          </w:tcPr>
          <w:p w14:paraId="66532E19" w14:textId="77777777" w:rsidR="008E67EA" w:rsidRPr="008F0E1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01C61F5" w14:textId="77777777" w:rsidR="008E67EA" w:rsidRPr="008F0E15" w:rsidRDefault="008E67EA" w:rsidP="00B44A74">
            <w:pPr>
              <w:spacing w:line="280" w:lineRule="exact"/>
              <w:rPr>
                <w:rFonts w:cs="Arial"/>
                <w:sz w:val="20"/>
                <w:szCs w:val="20"/>
              </w:rPr>
            </w:pPr>
          </w:p>
        </w:tc>
      </w:tr>
      <w:tr w:rsidR="008E67EA" w:rsidRPr="008F0E15" w14:paraId="424A40F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A43D066" w14:textId="77777777" w:rsidR="008E67EA" w:rsidRPr="008F0E15" w:rsidRDefault="008E67EA" w:rsidP="00B44A74">
            <w:pPr>
              <w:spacing w:line="280" w:lineRule="exact"/>
              <w:rPr>
                <w:rFonts w:cs="Arial"/>
                <w:sz w:val="20"/>
                <w:szCs w:val="20"/>
              </w:rPr>
            </w:pPr>
            <w:r w:rsidRPr="008F0E15">
              <w:rPr>
                <w:rFonts w:cs="Arial"/>
                <w:sz w:val="20"/>
                <w:szCs w:val="20"/>
              </w:rPr>
              <w:lastRenderedPageBreak/>
              <w:t>Precautions:</w:t>
            </w:r>
          </w:p>
        </w:tc>
        <w:tc>
          <w:tcPr>
            <w:tcW w:w="7755" w:type="dxa"/>
            <w:tcBorders>
              <w:top w:val="single" w:sz="4" w:space="0" w:color="auto"/>
              <w:left w:val="single" w:sz="4" w:space="0" w:color="auto"/>
              <w:bottom w:val="single" w:sz="4" w:space="0" w:color="auto"/>
              <w:right w:val="single" w:sz="4" w:space="0" w:color="auto"/>
            </w:tcBorders>
          </w:tcPr>
          <w:p w14:paraId="769EB9C9" w14:textId="77777777" w:rsidR="008E67EA" w:rsidRPr="008F0E15" w:rsidRDefault="008E67EA" w:rsidP="00B44A74">
            <w:pPr>
              <w:spacing w:line="280" w:lineRule="exact"/>
              <w:rPr>
                <w:rFonts w:cs="Arial"/>
                <w:sz w:val="20"/>
                <w:szCs w:val="20"/>
                <w:highlight w:val="yellow"/>
              </w:rPr>
            </w:pPr>
            <w:r w:rsidRPr="008F0E15">
              <w:rPr>
                <w:rFonts w:cs="Arial"/>
                <w:color w:val="000000"/>
                <w:sz w:val="20"/>
                <w:szCs w:val="20"/>
              </w:rPr>
              <w:t>PRECAUTIONS</w:t>
            </w:r>
            <w:r w:rsidRPr="008F0E15">
              <w:rPr>
                <w:rFonts w:cs="Arial"/>
                <w:color w:val="000000"/>
                <w:sz w:val="20"/>
                <w:szCs w:val="20"/>
              </w:rPr>
              <w:br/>
              <w:t>Caution should be used when baiting near areas where hunting of wildlife may occur. Careful consideration of bait placement is necessary to avoid secondary exposure from contaminated wildlife that may be consumed.</w:t>
            </w:r>
            <w:r w:rsidRPr="008F0E15">
              <w:rPr>
                <w:rFonts w:cs="Arial"/>
                <w:color w:val="000000"/>
                <w:sz w:val="20"/>
                <w:szCs w:val="20"/>
              </w:rPr>
              <w:br/>
              <w:t>DO NOT place bait in areas where there is a possibility of contaminating food, livestock feed or surfaces that come in direct contact with food or livestock feed.</w:t>
            </w:r>
          </w:p>
        </w:tc>
      </w:tr>
      <w:tr w:rsidR="008E67EA" w:rsidRPr="008F0E15" w14:paraId="5758B862" w14:textId="77777777" w:rsidTr="00B44A74">
        <w:trPr>
          <w:jc w:val="center"/>
        </w:trPr>
        <w:tc>
          <w:tcPr>
            <w:tcW w:w="2415" w:type="dxa"/>
            <w:tcBorders>
              <w:top w:val="single" w:sz="4" w:space="0" w:color="auto"/>
              <w:left w:val="nil"/>
              <w:bottom w:val="single" w:sz="4" w:space="0" w:color="auto"/>
              <w:right w:val="nil"/>
            </w:tcBorders>
          </w:tcPr>
          <w:p w14:paraId="35AB21C4" w14:textId="77777777" w:rsidR="008E67EA" w:rsidRPr="008F0E1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13B3479" w14:textId="77777777" w:rsidR="008E67EA" w:rsidRPr="008F0E15" w:rsidRDefault="008E67EA" w:rsidP="00B44A74">
            <w:pPr>
              <w:spacing w:line="280" w:lineRule="exact"/>
              <w:rPr>
                <w:rFonts w:cs="Arial"/>
                <w:sz w:val="20"/>
                <w:szCs w:val="20"/>
              </w:rPr>
            </w:pPr>
          </w:p>
        </w:tc>
      </w:tr>
      <w:tr w:rsidR="008E67EA" w:rsidRPr="008F0E15" w14:paraId="1FDB375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1A66AD0" w14:textId="77777777" w:rsidR="008E67EA" w:rsidRPr="008F0E15" w:rsidRDefault="008E67EA" w:rsidP="00B44A74">
            <w:pPr>
              <w:spacing w:line="280" w:lineRule="exact"/>
              <w:rPr>
                <w:rFonts w:cs="Arial"/>
                <w:sz w:val="20"/>
                <w:szCs w:val="20"/>
              </w:rPr>
            </w:pPr>
            <w:r w:rsidRPr="008F0E15">
              <w:rPr>
                <w:rFonts w:cs="Arial"/>
                <w:sz w:val="20"/>
                <w:szCs w:val="20"/>
              </w:rPr>
              <w:t>Protection Statements:</w:t>
            </w:r>
          </w:p>
        </w:tc>
        <w:tc>
          <w:tcPr>
            <w:tcW w:w="7755" w:type="dxa"/>
            <w:tcBorders>
              <w:top w:val="single" w:sz="4" w:space="0" w:color="auto"/>
              <w:left w:val="single" w:sz="4" w:space="0" w:color="auto"/>
              <w:bottom w:val="single" w:sz="4" w:space="0" w:color="auto"/>
              <w:right w:val="single" w:sz="4" w:space="0" w:color="auto"/>
            </w:tcBorders>
          </w:tcPr>
          <w:p w14:paraId="685C5905" w14:textId="77777777" w:rsidR="008E67EA" w:rsidRDefault="008E67EA" w:rsidP="00B44A74">
            <w:pPr>
              <w:spacing w:line="280" w:lineRule="exact"/>
              <w:rPr>
                <w:rFonts w:cs="Arial"/>
                <w:color w:val="000000"/>
                <w:sz w:val="20"/>
                <w:szCs w:val="20"/>
              </w:rPr>
            </w:pPr>
            <w:r w:rsidRPr="008F0E15">
              <w:rPr>
                <w:rFonts w:cs="Arial"/>
                <w:color w:val="000000"/>
                <w:sz w:val="20"/>
                <w:szCs w:val="20"/>
              </w:rPr>
              <w:t>PROTECTION OF LIVESTOCK AND WILDLIFE</w:t>
            </w:r>
            <w:r w:rsidRPr="008F0E15">
              <w:rPr>
                <w:rFonts w:cs="Arial"/>
                <w:color w:val="000000"/>
                <w:sz w:val="20"/>
                <w:szCs w:val="20"/>
              </w:rPr>
              <w:br/>
              <w:t>Hazardous to livestock, poultry and wildlife. DO NOT place baits in locations that are accessible to domestic animals, livestock, non-target native animals or birds.</w:t>
            </w:r>
            <w:r w:rsidRPr="008F0E15">
              <w:rPr>
                <w:rFonts w:cs="Arial"/>
                <w:color w:val="000000"/>
                <w:sz w:val="20"/>
                <w:szCs w:val="20"/>
              </w:rPr>
              <w:br/>
              <w:t xml:space="preserve">Search for and dispose of dead rodents and slugs/snails in the infested area at each visit to prevent secondary poisoning. In case slugs/snails are present, move bait station to another location within the rodent infested site, away from slugs/snails. Dispose of slugs/snails in a way non-target animals are not exposed. Dispose of dead rodents and uneaten bait in compliance with local, state or territory government regulations. </w:t>
            </w:r>
            <w:r w:rsidRPr="008F0E15">
              <w:rPr>
                <w:rFonts w:cs="Arial"/>
                <w:color w:val="000000"/>
                <w:sz w:val="20"/>
                <w:szCs w:val="20"/>
              </w:rPr>
              <w:br/>
              <w:t>DO NOT allow livestock or poultry to consume dead or moribund mice and rats. All dead or moribund animals and rodent faeces from baited rodents MUST be removed from areas accessible to livestock or poultry.</w:t>
            </w:r>
          </w:p>
          <w:p w14:paraId="39CFFC25" w14:textId="77777777" w:rsidR="008E67EA" w:rsidRDefault="008E67EA" w:rsidP="00B44A74">
            <w:pPr>
              <w:spacing w:line="280" w:lineRule="exact"/>
              <w:rPr>
                <w:rFonts w:cs="Arial"/>
                <w:color w:val="000000"/>
                <w:sz w:val="20"/>
                <w:szCs w:val="20"/>
              </w:rPr>
            </w:pPr>
            <w:r w:rsidRPr="00DC3A5A">
              <w:rPr>
                <w:rFonts w:cs="Arial"/>
                <w:color w:val="000000"/>
                <w:sz w:val="20"/>
                <w:szCs w:val="20"/>
              </w:rPr>
              <w:t>DO NOT let cats and dogs eat poisoned rats and mice.</w:t>
            </w:r>
            <w:r w:rsidRPr="00DC3A5A">
              <w:rPr>
                <w:rFonts w:cs="Arial"/>
                <w:color w:val="000000"/>
                <w:sz w:val="20"/>
                <w:szCs w:val="20"/>
              </w:rPr>
              <w:cr/>
            </w:r>
            <w:r w:rsidRPr="008F0E15">
              <w:rPr>
                <w:rFonts w:cs="Arial"/>
                <w:color w:val="000000"/>
                <w:sz w:val="20"/>
                <w:szCs w:val="20"/>
              </w:rPr>
              <w:t>The use of this product for the control of protected native rodents requires permission from wildlife authorities.</w:t>
            </w:r>
          </w:p>
          <w:p w14:paraId="7B08E8E3" w14:textId="77777777" w:rsidR="008E67EA" w:rsidRPr="008F0E15" w:rsidRDefault="008E67EA" w:rsidP="00B44A74">
            <w:pPr>
              <w:spacing w:line="280" w:lineRule="exact"/>
              <w:rPr>
                <w:rFonts w:cs="Arial"/>
                <w:sz w:val="20"/>
                <w:szCs w:val="20"/>
              </w:rPr>
            </w:pPr>
            <w:r w:rsidRPr="008F0E15">
              <w:rPr>
                <w:rFonts w:cs="Arial"/>
                <w:color w:val="000000"/>
                <w:sz w:val="20"/>
                <w:szCs w:val="20"/>
              </w:rPr>
              <w:br/>
              <w:t>PROTECTION OF FISH, CRUSTACEANS AND ENVIRONMENT</w:t>
            </w:r>
            <w:r w:rsidRPr="008F0E15">
              <w:rPr>
                <w:rFonts w:cs="Arial"/>
                <w:color w:val="000000"/>
                <w:sz w:val="20"/>
                <w:szCs w:val="20"/>
              </w:rPr>
              <w:br/>
              <w:t>Toxic to aquatic life. DO NOT contaminate wetlands or watercourses with this product or used containers. Place the bait stations in areas not liable to flooding. When placing bait stations close to water drainage systems, ensure that bait contact with water is avoided.</w:t>
            </w:r>
          </w:p>
        </w:tc>
      </w:tr>
      <w:tr w:rsidR="008E67EA" w:rsidRPr="008F0E15" w14:paraId="2EE3DCEF" w14:textId="77777777" w:rsidTr="00B44A74">
        <w:trPr>
          <w:jc w:val="center"/>
        </w:trPr>
        <w:tc>
          <w:tcPr>
            <w:tcW w:w="2415" w:type="dxa"/>
            <w:tcBorders>
              <w:top w:val="single" w:sz="4" w:space="0" w:color="auto"/>
              <w:left w:val="nil"/>
              <w:bottom w:val="single" w:sz="4" w:space="0" w:color="auto"/>
              <w:right w:val="nil"/>
            </w:tcBorders>
          </w:tcPr>
          <w:p w14:paraId="37E5D2CD" w14:textId="77777777" w:rsidR="008E67EA" w:rsidRPr="008F0E1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6D4DB0B" w14:textId="77777777" w:rsidR="008E67EA" w:rsidRPr="008F0E15" w:rsidRDefault="008E67EA" w:rsidP="00B44A74">
            <w:pPr>
              <w:spacing w:line="280" w:lineRule="exact"/>
              <w:rPr>
                <w:rFonts w:cs="Arial"/>
                <w:sz w:val="20"/>
                <w:szCs w:val="20"/>
              </w:rPr>
            </w:pPr>
          </w:p>
        </w:tc>
      </w:tr>
      <w:tr w:rsidR="008E67EA" w:rsidRPr="008F0E15" w14:paraId="41CF198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69F8F8B" w14:textId="77777777" w:rsidR="008E67EA" w:rsidRPr="008F0E15" w:rsidRDefault="008E67EA" w:rsidP="00B44A74">
            <w:pPr>
              <w:spacing w:line="280" w:lineRule="exact"/>
              <w:rPr>
                <w:rFonts w:cs="Arial"/>
                <w:sz w:val="20"/>
                <w:szCs w:val="20"/>
              </w:rPr>
            </w:pPr>
            <w:r w:rsidRPr="008F0E15">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6252B5B7" w14:textId="77777777" w:rsidR="008E67EA" w:rsidRPr="008F0E15" w:rsidRDefault="008E67EA" w:rsidP="00B44A74">
            <w:pPr>
              <w:spacing w:line="280" w:lineRule="exact"/>
              <w:rPr>
                <w:rFonts w:cs="Arial"/>
                <w:color w:val="000000"/>
                <w:sz w:val="20"/>
                <w:szCs w:val="20"/>
              </w:rPr>
            </w:pPr>
            <w:r w:rsidRPr="008F0E15">
              <w:rPr>
                <w:rFonts w:cs="Arial"/>
                <w:color w:val="000000"/>
                <w:sz w:val="20"/>
                <w:szCs w:val="20"/>
              </w:rPr>
              <w:t>STORAGE AND DISPOSAL</w:t>
            </w:r>
            <w:r w:rsidRPr="008F0E15">
              <w:rPr>
                <w:rFonts w:cs="Arial"/>
                <w:color w:val="000000"/>
                <w:sz w:val="20"/>
                <w:szCs w:val="20"/>
              </w:rPr>
              <w:br/>
              <w:t>Store in original containers, tightly closed in a cool, well</w:t>
            </w:r>
            <w:r>
              <w:rPr>
                <w:rFonts w:cs="Arial"/>
                <w:color w:val="000000"/>
                <w:sz w:val="20"/>
                <w:szCs w:val="20"/>
              </w:rPr>
              <w:t>-</w:t>
            </w:r>
            <w:r w:rsidRPr="008F0E15">
              <w:rPr>
                <w:rFonts w:cs="Arial"/>
                <w:color w:val="000000"/>
                <w:sz w:val="20"/>
                <w:szCs w:val="20"/>
              </w:rPr>
              <w:t>ventilated room.</w:t>
            </w:r>
            <w:r>
              <w:rPr>
                <w:rFonts w:cs="Arial"/>
                <w:color w:val="000000"/>
                <w:sz w:val="20"/>
                <w:szCs w:val="20"/>
              </w:rPr>
              <w:t xml:space="preserve"> </w:t>
            </w:r>
            <w:r w:rsidRPr="008F0E15">
              <w:rPr>
                <w:rFonts w:cs="Arial"/>
                <w:color w:val="000000"/>
                <w:sz w:val="20"/>
                <w:szCs w:val="20"/>
              </w:rPr>
              <w:t>DO NOT store for prolonged periods in direct sunlight.</w:t>
            </w:r>
          </w:p>
          <w:p w14:paraId="1A120ED1" w14:textId="77777777" w:rsidR="008E67EA" w:rsidRPr="008F0E15" w:rsidRDefault="008E67EA" w:rsidP="00B44A74">
            <w:pPr>
              <w:spacing w:line="280" w:lineRule="exact"/>
              <w:rPr>
                <w:rFonts w:cs="Arial"/>
                <w:sz w:val="20"/>
                <w:szCs w:val="20"/>
              </w:rPr>
            </w:pPr>
            <w:r w:rsidRPr="008F0E15">
              <w:rPr>
                <w:rFonts w:cs="Arial"/>
                <w:color w:val="000000"/>
                <w:sz w:val="20"/>
                <w:szCs w:val="20"/>
              </w:rPr>
              <w:t xml:space="preserve">Triple rinse containers before disposal. Break, crush or puncture and deliver empty packaging to an approved waste management facility. If an approved waste management facility is not available, dispose of empty packaging in compliance with relevant local, state or territory government regulations. </w:t>
            </w:r>
            <w:r w:rsidRPr="005E538D">
              <w:rPr>
                <w:rFonts w:cs="Arial"/>
                <w:sz w:val="20"/>
                <w:szCs w:val="20"/>
                <w:bdr w:val="none" w:sz="0" w:space="0" w:color="auto" w:frame="1"/>
                <w:lang w:val="en-GB" w:eastAsia="en-AU"/>
              </w:rPr>
              <w:t>Dispose of unused product in compliance with relevant local, state or territory government regulations.</w:t>
            </w:r>
            <w:r>
              <w:rPr>
                <w:rFonts w:cs="Arial"/>
                <w:sz w:val="20"/>
                <w:szCs w:val="20"/>
                <w:bdr w:val="none" w:sz="0" w:space="0" w:color="auto" w:frame="1"/>
                <w:lang w:val="en-GB" w:eastAsia="en-AU"/>
              </w:rPr>
              <w:t xml:space="preserve"> </w:t>
            </w:r>
            <w:r w:rsidRPr="008F0E15">
              <w:rPr>
                <w:rFonts w:cs="Arial"/>
                <w:color w:val="000000"/>
                <w:sz w:val="20"/>
                <w:szCs w:val="20"/>
              </w:rPr>
              <w:t>DO NOT burn empty containers or product.</w:t>
            </w:r>
          </w:p>
        </w:tc>
      </w:tr>
      <w:tr w:rsidR="008E67EA" w:rsidRPr="008F0E15" w14:paraId="0412678C" w14:textId="77777777" w:rsidTr="00B44A74">
        <w:trPr>
          <w:jc w:val="center"/>
        </w:trPr>
        <w:tc>
          <w:tcPr>
            <w:tcW w:w="2415" w:type="dxa"/>
            <w:tcBorders>
              <w:top w:val="single" w:sz="4" w:space="0" w:color="auto"/>
              <w:left w:val="nil"/>
              <w:bottom w:val="single" w:sz="4" w:space="0" w:color="auto"/>
              <w:right w:val="nil"/>
            </w:tcBorders>
          </w:tcPr>
          <w:p w14:paraId="41133353" w14:textId="77777777" w:rsidR="008E67EA" w:rsidRPr="008F0E1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8A4C47B" w14:textId="77777777" w:rsidR="008E67EA" w:rsidRPr="008F0E15" w:rsidRDefault="008E67EA" w:rsidP="00B44A74">
            <w:pPr>
              <w:spacing w:line="280" w:lineRule="exact"/>
              <w:rPr>
                <w:rFonts w:cs="Arial"/>
                <w:sz w:val="20"/>
                <w:szCs w:val="20"/>
              </w:rPr>
            </w:pPr>
          </w:p>
        </w:tc>
      </w:tr>
      <w:tr w:rsidR="008E67EA" w:rsidRPr="008F0E15" w14:paraId="2F26774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11B1690" w14:textId="77777777" w:rsidR="008E67EA" w:rsidRPr="008F0E15" w:rsidRDefault="008E67EA" w:rsidP="00B44A74">
            <w:pPr>
              <w:spacing w:line="280" w:lineRule="exact"/>
              <w:rPr>
                <w:rFonts w:cs="Arial"/>
                <w:sz w:val="20"/>
                <w:szCs w:val="20"/>
              </w:rPr>
            </w:pPr>
            <w:r w:rsidRPr="008F0E15">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173D6EB4" w14:textId="77777777" w:rsidR="008E67EA" w:rsidRPr="008F0E15" w:rsidRDefault="008E67EA" w:rsidP="00B44A74">
            <w:pPr>
              <w:spacing w:line="280" w:lineRule="exact"/>
              <w:rPr>
                <w:rFonts w:cs="Arial"/>
                <w:color w:val="000000"/>
                <w:sz w:val="20"/>
                <w:szCs w:val="20"/>
              </w:rPr>
            </w:pPr>
            <w:r w:rsidRPr="008F0E15">
              <w:rPr>
                <w:rFonts w:cs="Arial"/>
                <w:color w:val="000000"/>
                <w:sz w:val="20"/>
                <w:szCs w:val="20"/>
              </w:rPr>
              <w:t>SAFETY DIRECTIONS</w:t>
            </w:r>
          </w:p>
          <w:p w14:paraId="2ACCA172" w14:textId="45D50B12" w:rsidR="008E67EA" w:rsidRPr="008F0E15" w:rsidRDefault="008E67EA" w:rsidP="00B44A74">
            <w:pPr>
              <w:spacing w:line="280" w:lineRule="exact"/>
              <w:rPr>
                <w:rFonts w:cs="Arial"/>
                <w:color w:val="000000"/>
                <w:sz w:val="20"/>
                <w:szCs w:val="20"/>
              </w:rPr>
            </w:pPr>
            <w:r w:rsidRPr="008F0E15">
              <w:rPr>
                <w:rFonts w:cs="Arial"/>
                <w:color w:val="000000"/>
                <w:sz w:val="20"/>
                <w:szCs w:val="20"/>
              </w:rPr>
              <w:t>Repeated minor exposure may have a cumulative poisoning effect. Do not touch bait, use scoop or measure. When using the product wear disposable gloves. If on skin and after each baiting, wash thoroughly with soap and water.</w:t>
            </w:r>
          </w:p>
          <w:p w14:paraId="075A52C8" w14:textId="5BAACA0A" w:rsidR="008E67EA" w:rsidRPr="00DC3A5A" w:rsidRDefault="008E67EA" w:rsidP="00B44A74">
            <w:pPr>
              <w:spacing w:line="280" w:lineRule="exact"/>
              <w:rPr>
                <w:rFonts w:cs="Arial"/>
                <w:color w:val="000000"/>
                <w:sz w:val="20"/>
                <w:szCs w:val="20"/>
              </w:rPr>
            </w:pPr>
            <w:r w:rsidRPr="008F0E15">
              <w:rPr>
                <w:rFonts w:cs="Arial"/>
                <w:color w:val="000000"/>
                <w:sz w:val="20"/>
                <w:szCs w:val="20"/>
              </w:rPr>
              <w:t>During cleanup and disposal operations of bait and bait stations, wear a single layer of clothing and disposable gloves. Wear disposable gloves when handling rodent carcasses. Wash clothes after performing re-handling activities.</w:t>
            </w:r>
          </w:p>
        </w:tc>
      </w:tr>
      <w:tr w:rsidR="008E67EA" w:rsidRPr="008F0E15" w14:paraId="75B6CD4E" w14:textId="77777777" w:rsidTr="00B44A74">
        <w:trPr>
          <w:jc w:val="center"/>
        </w:trPr>
        <w:tc>
          <w:tcPr>
            <w:tcW w:w="2415" w:type="dxa"/>
            <w:tcBorders>
              <w:top w:val="single" w:sz="4" w:space="0" w:color="auto"/>
              <w:left w:val="nil"/>
              <w:bottom w:val="single" w:sz="4" w:space="0" w:color="auto"/>
              <w:right w:val="nil"/>
            </w:tcBorders>
          </w:tcPr>
          <w:p w14:paraId="71B9E615" w14:textId="77777777" w:rsidR="008E67EA" w:rsidRPr="008F0E1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3BC9BEF" w14:textId="77777777" w:rsidR="008E67EA" w:rsidRPr="00DC3A5A" w:rsidRDefault="008E67EA" w:rsidP="00B44A74">
            <w:pPr>
              <w:spacing w:line="280" w:lineRule="exact"/>
              <w:rPr>
                <w:rFonts w:cs="Arial"/>
                <w:color w:val="000000"/>
                <w:sz w:val="20"/>
                <w:szCs w:val="20"/>
              </w:rPr>
            </w:pPr>
          </w:p>
        </w:tc>
      </w:tr>
      <w:tr w:rsidR="008E67EA" w:rsidRPr="008F0E15" w14:paraId="5C045D5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0EF0CFF" w14:textId="77777777" w:rsidR="008E67EA" w:rsidRPr="008F0E15" w:rsidRDefault="008E67EA" w:rsidP="00B44A74">
            <w:pPr>
              <w:spacing w:line="280" w:lineRule="exact"/>
              <w:rPr>
                <w:rFonts w:cs="Arial"/>
                <w:sz w:val="20"/>
                <w:szCs w:val="20"/>
              </w:rPr>
            </w:pPr>
            <w:r w:rsidRPr="008F0E15">
              <w:rPr>
                <w:rFonts w:cs="Arial"/>
                <w:sz w:val="20"/>
                <w:szCs w:val="20"/>
              </w:rPr>
              <w:t>First Aid Instructions:</w:t>
            </w:r>
          </w:p>
        </w:tc>
        <w:tc>
          <w:tcPr>
            <w:tcW w:w="7755" w:type="dxa"/>
            <w:tcBorders>
              <w:top w:val="single" w:sz="4" w:space="0" w:color="auto"/>
              <w:left w:val="single" w:sz="4" w:space="0" w:color="auto"/>
              <w:bottom w:val="single" w:sz="4" w:space="0" w:color="auto"/>
              <w:right w:val="single" w:sz="4" w:space="0" w:color="auto"/>
            </w:tcBorders>
          </w:tcPr>
          <w:p w14:paraId="6DD2363A" w14:textId="77777777" w:rsidR="008E67EA" w:rsidRPr="00DC3A5A" w:rsidRDefault="008E67EA" w:rsidP="00B44A74">
            <w:pPr>
              <w:spacing w:line="280" w:lineRule="exact"/>
              <w:rPr>
                <w:rFonts w:cs="Arial"/>
                <w:color w:val="000000"/>
                <w:sz w:val="20"/>
                <w:szCs w:val="20"/>
              </w:rPr>
            </w:pPr>
            <w:r w:rsidRPr="00DC3A5A">
              <w:rPr>
                <w:rFonts w:cs="Arial"/>
                <w:color w:val="000000"/>
                <w:sz w:val="20"/>
                <w:szCs w:val="20"/>
              </w:rPr>
              <w:t>FIRST AID</w:t>
            </w:r>
          </w:p>
          <w:p w14:paraId="347733A0" w14:textId="77777777" w:rsidR="008E67EA" w:rsidRPr="00DC3A5A" w:rsidRDefault="008E67EA" w:rsidP="00B44A74">
            <w:pPr>
              <w:spacing w:line="280" w:lineRule="exact"/>
              <w:rPr>
                <w:rFonts w:cs="Arial"/>
                <w:color w:val="000000"/>
                <w:sz w:val="20"/>
                <w:szCs w:val="20"/>
              </w:rPr>
            </w:pPr>
            <w:r w:rsidRPr="008F0E15">
              <w:rPr>
                <w:rFonts w:cs="Arial"/>
                <w:color w:val="000000"/>
                <w:sz w:val="20"/>
                <w:szCs w:val="20"/>
              </w:rPr>
              <w:lastRenderedPageBreak/>
              <w:t>If poisoning occurs, contact a doctor or Poisons Information Centre. Phone Australia 13 11 26, New Zealand 0800 764 766. Vitamin K1 (Phytomenadione) is antidotal.</w:t>
            </w:r>
          </w:p>
        </w:tc>
      </w:tr>
      <w:tr w:rsidR="008E67EA" w:rsidRPr="008F0E15" w14:paraId="007300EB" w14:textId="77777777" w:rsidTr="00B44A74">
        <w:trPr>
          <w:jc w:val="center"/>
        </w:trPr>
        <w:tc>
          <w:tcPr>
            <w:tcW w:w="2415" w:type="dxa"/>
            <w:tcBorders>
              <w:top w:val="single" w:sz="4" w:space="0" w:color="auto"/>
              <w:left w:val="nil"/>
              <w:bottom w:val="single" w:sz="4" w:space="0" w:color="auto"/>
              <w:right w:val="nil"/>
            </w:tcBorders>
          </w:tcPr>
          <w:p w14:paraId="2E7E8344" w14:textId="77777777" w:rsidR="008E67EA" w:rsidRPr="008F0E1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67E904F" w14:textId="77777777" w:rsidR="008E67EA" w:rsidRPr="008F0E15" w:rsidRDefault="008E67EA" w:rsidP="00B44A74">
            <w:pPr>
              <w:spacing w:line="280" w:lineRule="exact"/>
              <w:rPr>
                <w:rFonts w:cs="Arial"/>
                <w:sz w:val="20"/>
                <w:szCs w:val="20"/>
              </w:rPr>
            </w:pPr>
          </w:p>
        </w:tc>
      </w:tr>
      <w:tr w:rsidR="008E67EA" w:rsidRPr="008F0E15" w14:paraId="2B13AAC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6F6DF28" w14:textId="77777777" w:rsidR="008E67EA" w:rsidRPr="008F0E15" w:rsidRDefault="008E67EA" w:rsidP="00B44A74">
            <w:pPr>
              <w:spacing w:line="280" w:lineRule="exact"/>
              <w:rPr>
                <w:rFonts w:cs="Arial"/>
                <w:sz w:val="20"/>
                <w:szCs w:val="20"/>
              </w:rPr>
            </w:pPr>
            <w:r w:rsidRPr="008F0E15">
              <w:rPr>
                <w:rFonts w:cs="Arial"/>
                <w:sz w:val="20"/>
                <w:szCs w:val="20"/>
              </w:rPr>
              <w:t>First Aid Warnings:</w:t>
            </w:r>
          </w:p>
        </w:tc>
        <w:tc>
          <w:tcPr>
            <w:tcW w:w="7755" w:type="dxa"/>
            <w:tcBorders>
              <w:top w:val="single" w:sz="4" w:space="0" w:color="auto"/>
              <w:left w:val="single" w:sz="4" w:space="0" w:color="auto"/>
              <w:bottom w:val="single" w:sz="4" w:space="0" w:color="auto"/>
              <w:right w:val="single" w:sz="4" w:space="0" w:color="auto"/>
            </w:tcBorders>
          </w:tcPr>
          <w:p w14:paraId="57DBECAE" w14:textId="77777777" w:rsidR="008E67EA" w:rsidRPr="008F0E15" w:rsidRDefault="008E67EA" w:rsidP="00B44A74">
            <w:pPr>
              <w:spacing w:line="280" w:lineRule="exact"/>
              <w:rPr>
                <w:rFonts w:cs="Arial"/>
                <w:sz w:val="20"/>
                <w:szCs w:val="20"/>
              </w:rPr>
            </w:pPr>
          </w:p>
        </w:tc>
      </w:tr>
    </w:tbl>
    <w:p w14:paraId="2C8B466C" w14:textId="77777777" w:rsidR="008E67EA" w:rsidRPr="000205FF" w:rsidRDefault="008E67EA" w:rsidP="008E67EA">
      <w:pPr>
        <w:rPr>
          <w:rFonts w:cs="Arial"/>
          <w:sz w:val="20"/>
          <w:szCs w:val="20"/>
        </w:rPr>
      </w:pPr>
    </w:p>
    <w:p w14:paraId="76196490" w14:textId="77777777" w:rsidR="008E67EA" w:rsidRPr="00FF36BF" w:rsidRDefault="008E67EA" w:rsidP="008E67EA">
      <w:pPr>
        <w:spacing w:line="280" w:lineRule="exact"/>
        <w:rPr>
          <w:rFonts w:cs="Arial"/>
          <w:b/>
          <w:bCs/>
          <w:sz w:val="20"/>
          <w:szCs w:val="20"/>
        </w:rPr>
      </w:pPr>
      <w:r w:rsidRPr="00FF36BF">
        <w:rPr>
          <w:rFonts w:cs="Arial"/>
          <w:b/>
          <w:bCs/>
          <w:sz w:val="20"/>
          <w:szCs w:val="20"/>
        </w:rPr>
        <w:t>DIRECTIONS FOR USE</w:t>
      </w:r>
    </w:p>
    <w:tbl>
      <w:tblPr>
        <w:tblStyle w:val="TableGrid"/>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417"/>
        <w:gridCol w:w="1276"/>
        <w:gridCol w:w="4327"/>
      </w:tblGrid>
      <w:tr w:rsidR="008E67EA" w:rsidRPr="00A27FD2" w14:paraId="50ECE7E8" w14:textId="77777777" w:rsidTr="00FF707A">
        <w:trPr>
          <w:trHeight w:val="340"/>
        </w:trPr>
        <w:tc>
          <w:tcPr>
            <w:tcW w:w="1980" w:type="dxa"/>
          </w:tcPr>
          <w:p w14:paraId="4733E584" w14:textId="77777777" w:rsidR="008E67EA" w:rsidRPr="00382A84" w:rsidRDefault="008E67EA" w:rsidP="00B44A74">
            <w:pPr>
              <w:spacing w:line="280" w:lineRule="exact"/>
              <w:rPr>
                <w:rFonts w:cs="Arial"/>
                <w:b/>
                <w:bCs/>
                <w:szCs w:val="18"/>
              </w:rPr>
            </w:pPr>
            <w:r w:rsidRPr="00382A84">
              <w:rPr>
                <w:rFonts w:cs="Arial"/>
                <w:b/>
                <w:bCs/>
                <w:szCs w:val="18"/>
              </w:rPr>
              <w:t>SITUATION</w:t>
            </w:r>
          </w:p>
        </w:tc>
        <w:tc>
          <w:tcPr>
            <w:tcW w:w="1417" w:type="dxa"/>
          </w:tcPr>
          <w:p w14:paraId="2CF8E6E0" w14:textId="77777777" w:rsidR="008E67EA" w:rsidRPr="00382A84" w:rsidRDefault="008E67EA" w:rsidP="00B44A74">
            <w:pPr>
              <w:spacing w:line="280" w:lineRule="exact"/>
              <w:rPr>
                <w:rFonts w:cs="Arial"/>
                <w:b/>
                <w:bCs/>
                <w:szCs w:val="18"/>
              </w:rPr>
            </w:pPr>
            <w:r w:rsidRPr="00382A84">
              <w:rPr>
                <w:rFonts w:cs="Arial"/>
                <w:b/>
                <w:bCs/>
                <w:szCs w:val="18"/>
              </w:rPr>
              <w:t>PEST</w:t>
            </w:r>
          </w:p>
        </w:tc>
        <w:tc>
          <w:tcPr>
            <w:tcW w:w="1276" w:type="dxa"/>
          </w:tcPr>
          <w:p w14:paraId="63BDE4C2" w14:textId="77777777" w:rsidR="008E67EA" w:rsidRPr="00382A84" w:rsidRDefault="008E67EA" w:rsidP="00B44A74">
            <w:pPr>
              <w:spacing w:line="280" w:lineRule="exact"/>
              <w:rPr>
                <w:rFonts w:cs="Arial"/>
                <w:b/>
                <w:bCs/>
                <w:szCs w:val="18"/>
              </w:rPr>
            </w:pPr>
            <w:r w:rsidRPr="00382A84">
              <w:rPr>
                <w:rFonts w:cs="Arial"/>
                <w:b/>
                <w:bCs/>
                <w:szCs w:val="18"/>
              </w:rPr>
              <w:t>RATE</w:t>
            </w:r>
          </w:p>
        </w:tc>
        <w:tc>
          <w:tcPr>
            <w:tcW w:w="4327" w:type="dxa"/>
          </w:tcPr>
          <w:p w14:paraId="06FDC7F6" w14:textId="77777777" w:rsidR="008E67EA" w:rsidRPr="00382A84" w:rsidRDefault="008E67EA" w:rsidP="00B44A74">
            <w:pPr>
              <w:spacing w:line="280" w:lineRule="exact"/>
              <w:rPr>
                <w:rFonts w:cs="Arial"/>
                <w:b/>
                <w:bCs/>
                <w:szCs w:val="18"/>
              </w:rPr>
            </w:pPr>
            <w:r w:rsidRPr="00382A84">
              <w:rPr>
                <w:rFonts w:cs="Arial"/>
                <w:b/>
                <w:bCs/>
                <w:szCs w:val="18"/>
              </w:rPr>
              <w:t>CRITICAL COMMENTS</w:t>
            </w:r>
          </w:p>
        </w:tc>
      </w:tr>
      <w:tr w:rsidR="008E67EA" w:rsidRPr="00A27FD2" w14:paraId="4E119EBE" w14:textId="77777777" w:rsidTr="00FF707A">
        <w:trPr>
          <w:trHeight w:val="841"/>
        </w:trPr>
        <w:tc>
          <w:tcPr>
            <w:tcW w:w="1980" w:type="dxa"/>
          </w:tcPr>
          <w:p w14:paraId="2B898A52" w14:textId="77777777" w:rsidR="008E67EA" w:rsidRPr="00382A84" w:rsidRDefault="008E67EA" w:rsidP="00B44A74">
            <w:pPr>
              <w:spacing w:after="120" w:line="240" w:lineRule="exact"/>
              <w:rPr>
                <w:rFonts w:cs="Arial"/>
                <w:bCs/>
                <w:spacing w:val="-2"/>
                <w:w w:val="105"/>
                <w:szCs w:val="18"/>
              </w:rPr>
            </w:pPr>
            <w:r w:rsidRPr="00382A84">
              <w:rPr>
                <w:rFonts w:cs="Arial"/>
                <w:bCs/>
                <w:spacing w:val="-2"/>
                <w:w w:val="105"/>
                <w:szCs w:val="18"/>
              </w:rPr>
              <w:t xml:space="preserve">In </w:t>
            </w:r>
            <w:r>
              <w:rPr>
                <w:rFonts w:cs="Arial"/>
                <w:bCs/>
                <w:spacing w:val="-2"/>
                <w:w w:val="105"/>
                <w:szCs w:val="18"/>
              </w:rPr>
              <w:t>and around (within 2 meters) d</w:t>
            </w:r>
            <w:r w:rsidRPr="006469D5">
              <w:rPr>
                <w:rFonts w:cs="Arial"/>
                <w:bCs/>
                <w:spacing w:val="-2"/>
                <w:w w:val="105"/>
                <w:szCs w:val="18"/>
              </w:rPr>
              <w:t>omestic homes</w:t>
            </w:r>
            <w:r>
              <w:rPr>
                <w:rFonts w:cs="Arial"/>
                <w:bCs/>
                <w:spacing w:val="-2"/>
                <w:w w:val="105"/>
                <w:szCs w:val="18"/>
              </w:rPr>
              <w:t xml:space="preserve"> and buildings. </w:t>
            </w:r>
          </w:p>
        </w:tc>
        <w:tc>
          <w:tcPr>
            <w:tcW w:w="1417" w:type="dxa"/>
          </w:tcPr>
          <w:p w14:paraId="568C39DD" w14:textId="77777777" w:rsidR="008E67EA" w:rsidRPr="006469D5" w:rsidRDefault="008E67EA" w:rsidP="00B44A74">
            <w:pPr>
              <w:spacing w:after="120" w:line="240" w:lineRule="exact"/>
              <w:rPr>
                <w:rFonts w:cs="Arial"/>
                <w:szCs w:val="18"/>
              </w:rPr>
            </w:pPr>
            <w:r w:rsidRPr="006469D5">
              <w:rPr>
                <w:rFonts w:cs="Arial"/>
                <w:bCs/>
                <w:spacing w:val="-2"/>
                <w:w w:val="105"/>
                <w:szCs w:val="18"/>
              </w:rPr>
              <w:t>Rats (</w:t>
            </w:r>
            <w:r w:rsidRPr="006469D5">
              <w:rPr>
                <w:rFonts w:cs="Arial"/>
                <w:bCs/>
                <w:i/>
                <w:iCs/>
                <w:spacing w:val="-2"/>
                <w:w w:val="105"/>
                <w:szCs w:val="18"/>
              </w:rPr>
              <w:t>Rattus norvegius, Rattus rattus</w:t>
            </w:r>
            <w:r w:rsidRPr="006469D5">
              <w:rPr>
                <w:rFonts w:cs="Arial"/>
                <w:bCs/>
                <w:spacing w:val="-2"/>
                <w:w w:val="105"/>
                <w:szCs w:val="18"/>
              </w:rPr>
              <w:t>)</w:t>
            </w:r>
          </w:p>
        </w:tc>
        <w:tc>
          <w:tcPr>
            <w:tcW w:w="1276" w:type="dxa"/>
          </w:tcPr>
          <w:p w14:paraId="5C94B776" w14:textId="77777777" w:rsidR="008E67EA" w:rsidRPr="00382A84" w:rsidRDefault="008E67EA" w:rsidP="00B44A74">
            <w:pPr>
              <w:spacing w:after="120" w:line="240" w:lineRule="exact"/>
              <w:rPr>
                <w:rFonts w:cs="Arial"/>
                <w:bCs/>
                <w:spacing w:val="-2"/>
                <w:w w:val="105"/>
                <w:szCs w:val="18"/>
              </w:rPr>
            </w:pPr>
            <w:r>
              <w:rPr>
                <w:rFonts w:cs="Arial"/>
                <w:bCs/>
                <w:spacing w:val="-2"/>
                <w:w w:val="105"/>
                <w:szCs w:val="18"/>
              </w:rPr>
              <w:t xml:space="preserve">2 – 8 blocks /bait station </w:t>
            </w:r>
          </w:p>
        </w:tc>
        <w:tc>
          <w:tcPr>
            <w:tcW w:w="4327" w:type="dxa"/>
            <w:vMerge w:val="restart"/>
          </w:tcPr>
          <w:p w14:paraId="504F2473" w14:textId="0F304DF5" w:rsidR="008E67EA" w:rsidRDefault="008E67EA" w:rsidP="00B44A74">
            <w:pPr>
              <w:spacing w:after="120" w:line="240" w:lineRule="exact"/>
              <w:rPr>
                <w:rFonts w:cs="Arial"/>
                <w:bCs/>
                <w:spacing w:val="-2"/>
                <w:w w:val="105"/>
                <w:szCs w:val="18"/>
              </w:rPr>
            </w:pPr>
            <w:r w:rsidRPr="006469D5">
              <w:rPr>
                <w:rFonts w:cs="Arial"/>
                <w:bCs/>
                <w:spacing w:val="-2"/>
                <w:w w:val="105"/>
                <w:szCs w:val="18"/>
              </w:rPr>
              <w:t>Determine areas where rats and/or mice will most likely find and consume bait. Generally,</w:t>
            </w:r>
            <w:r>
              <w:rPr>
                <w:rFonts w:cs="Arial"/>
                <w:bCs/>
                <w:spacing w:val="-2"/>
                <w:w w:val="105"/>
                <w:szCs w:val="18"/>
              </w:rPr>
              <w:t xml:space="preserve"> </w:t>
            </w:r>
            <w:r w:rsidRPr="006469D5">
              <w:rPr>
                <w:rFonts w:cs="Arial"/>
                <w:bCs/>
                <w:spacing w:val="-2"/>
                <w:w w:val="105"/>
                <w:szCs w:val="18"/>
              </w:rPr>
              <w:t>these areas are along walls, by gnawed openings, beside burrows, in corners and</w:t>
            </w:r>
            <w:r>
              <w:rPr>
                <w:rFonts w:cs="Arial"/>
                <w:bCs/>
                <w:spacing w:val="-2"/>
                <w:w w:val="105"/>
                <w:szCs w:val="18"/>
              </w:rPr>
              <w:t xml:space="preserve"> </w:t>
            </w:r>
            <w:r w:rsidRPr="006469D5">
              <w:rPr>
                <w:rFonts w:cs="Arial"/>
                <w:bCs/>
                <w:spacing w:val="-2"/>
                <w:w w:val="105"/>
                <w:szCs w:val="18"/>
              </w:rPr>
              <w:t>concealed places between floors and walls or in locations where rodents or their signs</w:t>
            </w:r>
            <w:r>
              <w:rPr>
                <w:rFonts w:cs="Arial"/>
                <w:bCs/>
                <w:spacing w:val="-2"/>
                <w:w w:val="105"/>
                <w:szCs w:val="18"/>
              </w:rPr>
              <w:t xml:space="preserve"> </w:t>
            </w:r>
            <w:r w:rsidRPr="006469D5">
              <w:rPr>
                <w:rFonts w:cs="Arial"/>
                <w:bCs/>
                <w:spacing w:val="-2"/>
                <w:w w:val="105"/>
                <w:szCs w:val="18"/>
              </w:rPr>
              <w:t>have been observed.</w:t>
            </w:r>
          </w:p>
          <w:p w14:paraId="07362FEA" w14:textId="19167FC4" w:rsidR="008E67EA" w:rsidRDefault="008E67EA" w:rsidP="00B44A74">
            <w:pPr>
              <w:spacing w:after="120" w:line="240" w:lineRule="exact"/>
              <w:rPr>
                <w:rFonts w:cs="Arial"/>
                <w:bCs/>
                <w:spacing w:val="-2"/>
                <w:w w:val="105"/>
                <w:szCs w:val="18"/>
              </w:rPr>
            </w:pPr>
            <w:r>
              <w:rPr>
                <w:rFonts w:cs="Arial"/>
                <w:bCs/>
                <w:spacing w:val="-2"/>
                <w:w w:val="105"/>
                <w:szCs w:val="18"/>
              </w:rPr>
              <w:t>Place bait stations in infested areas. DO NOT touch bait.</w:t>
            </w:r>
          </w:p>
          <w:p w14:paraId="44D8D935" w14:textId="77777777" w:rsidR="008E67EA" w:rsidRPr="00382A84" w:rsidRDefault="008E67EA" w:rsidP="00B44A74">
            <w:pPr>
              <w:spacing w:after="120" w:line="240" w:lineRule="exact"/>
              <w:rPr>
                <w:rFonts w:cs="Arial"/>
                <w:bCs/>
                <w:spacing w:val="-2"/>
                <w:w w:val="105"/>
                <w:szCs w:val="18"/>
              </w:rPr>
            </w:pPr>
            <w:r w:rsidRPr="00382A84">
              <w:rPr>
                <w:rFonts w:cs="Arial"/>
                <w:bCs/>
                <w:spacing w:val="-2"/>
                <w:w w:val="105"/>
                <w:szCs w:val="18"/>
              </w:rPr>
              <w:t xml:space="preserve">DO NOT exceed 9 m between bait stations for rats </w:t>
            </w:r>
            <w:r>
              <w:rPr>
                <w:rFonts w:cs="Arial"/>
                <w:bCs/>
                <w:spacing w:val="-2"/>
                <w:w w:val="105"/>
                <w:szCs w:val="18"/>
              </w:rPr>
              <w:t>or</w:t>
            </w:r>
            <w:r w:rsidRPr="00382A84">
              <w:rPr>
                <w:rFonts w:cs="Arial"/>
                <w:bCs/>
                <w:spacing w:val="-2"/>
                <w:w w:val="105"/>
                <w:szCs w:val="18"/>
              </w:rPr>
              <w:t xml:space="preserve"> 3 m </w:t>
            </w:r>
            <w:r>
              <w:rPr>
                <w:rFonts w:cs="Arial"/>
                <w:bCs/>
                <w:spacing w:val="-2"/>
                <w:w w:val="105"/>
                <w:szCs w:val="18"/>
              </w:rPr>
              <w:t xml:space="preserve">between bait stations </w:t>
            </w:r>
            <w:r w:rsidRPr="00382A84">
              <w:rPr>
                <w:rFonts w:cs="Arial"/>
                <w:bCs/>
                <w:spacing w:val="-2"/>
                <w:w w:val="105"/>
                <w:szCs w:val="18"/>
              </w:rPr>
              <w:t>for mice.</w:t>
            </w:r>
          </w:p>
        </w:tc>
      </w:tr>
      <w:tr w:rsidR="008E67EA" w:rsidRPr="00A27FD2" w14:paraId="665E16FB" w14:textId="77777777" w:rsidTr="00FF707A">
        <w:trPr>
          <w:trHeight w:val="841"/>
        </w:trPr>
        <w:tc>
          <w:tcPr>
            <w:tcW w:w="1980" w:type="dxa"/>
          </w:tcPr>
          <w:p w14:paraId="1503CCB9" w14:textId="77777777" w:rsidR="008E67EA" w:rsidRPr="00382A84" w:rsidRDefault="008E67EA" w:rsidP="00B44A74">
            <w:pPr>
              <w:spacing w:after="120" w:line="240" w:lineRule="exact"/>
              <w:rPr>
                <w:rFonts w:cs="Arial"/>
                <w:bCs/>
                <w:spacing w:val="-2"/>
                <w:w w:val="105"/>
                <w:szCs w:val="18"/>
              </w:rPr>
            </w:pPr>
            <w:r w:rsidRPr="00382A84">
              <w:rPr>
                <w:rFonts w:cs="Arial"/>
                <w:bCs/>
                <w:spacing w:val="-2"/>
                <w:w w:val="105"/>
                <w:szCs w:val="18"/>
              </w:rPr>
              <w:t xml:space="preserve">In </w:t>
            </w:r>
            <w:r>
              <w:rPr>
                <w:rFonts w:cs="Arial"/>
                <w:bCs/>
                <w:spacing w:val="-2"/>
                <w:w w:val="105"/>
                <w:szCs w:val="18"/>
              </w:rPr>
              <w:t>d</w:t>
            </w:r>
            <w:r w:rsidRPr="006469D5">
              <w:rPr>
                <w:rFonts w:cs="Arial"/>
                <w:bCs/>
                <w:spacing w:val="-2"/>
                <w:w w:val="105"/>
                <w:szCs w:val="18"/>
              </w:rPr>
              <w:t>omestic homes</w:t>
            </w:r>
            <w:r>
              <w:rPr>
                <w:rFonts w:cs="Arial"/>
                <w:bCs/>
                <w:spacing w:val="-2"/>
                <w:w w:val="105"/>
                <w:szCs w:val="18"/>
              </w:rPr>
              <w:t xml:space="preserve"> and buildings.</w:t>
            </w:r>
          </w:p>
        </w:tc>
        <w:tc>
          <w:tcPr>
            <w:tcW w:w="1417" w:type="dxa"/>
          </w:tcPr>
          <w:p w14:paraId="4DD185AF" w14:textId="77777777" w:rsidR="008E67EA" w:rsidRPr="00485D88" w:rsidRDefault="008E67EA" w:rsidP="00B44A74">
            <w:pPr>
              <w:spacing w:after="120" w:line="240" w:lineRule="exact"/>
              <w:rPr>
                <w:rFonts w:cs="Arial"/>
                <w:bCs/>
                <w:i/>
                <w:iCs/>
                <w:spacing w:val="-2"/>
                <w:w w:val="105"/>
                <w:szCs w:val="18"/>
              </w:rPr>
            </w:pPr>
            <w:r w:rsidRPr="006469D5">
              <w:rPr>
                <w:rFonts w:cs="Arial"/>
                <w:bCs/>
                <w:spacing w:val="-2"/>
                <w:w w:val="105"/>
                <w:szCs w:val="18"/>
              </w:rPr>
              <w:t>Mice (</w:t>
            </w:r>
            <w:r w:rsidRPr="006469D5">
              <w:rPr>
                <w:rFonts w:cs="Arial"/>
                <w:bCs/>
                <w:i/>
                <w:iCs/>
                <w:spacing w:val="-2"/>
                <w:w w:val="105"/>
                <w:szCs w:val="18"/>
              </w:rPr>
              <w:t>Mus musculus</w:t>
            </w:r>
            <w:r w:rsidRPr="006469D5">
              <w:rPr>
                <w:rFonts w:cs="Arial"/>
                <w:bCs/>
                <w:spacing w:val="-2"/>
                <w:w w:val="105"/>
                <w:szCs w:val="18"/>
              </w:rPr>
              <w:t>)</w:t>
            </w:r>
          </w:p>
        </w:tc>
        <w:tc>
          <w:tcPr>
            <w:tcW w:w="1276" w:type="dxa"/>
          </w:tcPr>
          <w:p w14:paraId="7A02786A" w14:textId="77777777" w:rsidR="008E67EA" w:rsidRPr="00382A84" w:rsidRDefault="008E67EA" w:rsidP="00B44A74">
            <w:pPr>
              <w:spacing w:after="120" w:line="240" w:lineRule="exact"/>
              <w:rPr>
                <w:rFonts w:cs="Arial"/>
                <w:bCs/>
                <w:spacing w:val="-2"/>
                <w:w w:val="105"/>
                <w:szCs w:val="18"/>
              </w:rPr>
            </w:pPr>
            <w:r>
              <w:rPr>
                <w:rFonts w:cs="Arial"/>
                <w:bCs/>
                <w:spacing w:val="-2"/>
                <w:w w:val="105"/>
                <w:szCs w:val="18"/>
              </w:rPr>
              <w:t xml:space="preserve">1 – 2 blocks/bait station </w:t>
            </w:r>
          </w:p>
        </w:tc>
        <w:tc>
          <w:tcPr>
            <w:tcW w:w="4327" w:type="dxa"/>
            <w:vMerge/>
          </w:tcPr>
          <w:p w14:paraId="4BD285A6" w14:textId="77777777" w:rsidR="008E67EA" w:rsidRPr="00382A84" w:rsidRDefault="008E67EA" w:rsidP="00B44A74">
            <w:pPr>
              <w:ind w:firstLine="720"/>
              <w:rPr>
                <w:rFonts w:cs="Arial"/>
                <w:bCs/>
                <w:spacing w:val="-2"/>
                <w:w w:val="105"/>
                <w:szCs w:val="18"/>
              </w:rPr>
            </w:pPr>
          </w:p>
        </w:tc>
      </w:tr>
      <w:tr w:rsidR="008E67EA" w:rsidRPr="00A27FD2" w14:paraId="0CC9D2C1" w14:textId="77777777" w:rsidTr="00FF707A">
        <w:trPr>
          <w:trHeight w:val="841"/>
        </w:trPr>
        <w:tc>
          <w:tcPr>
            <w:tcW w:w="9000" w:type="dxa"/>
            <w:gridSpan w:val="4"/>
          </w:tcPr>
          <w:p w14:paraId="42A487AE" w14:textId="77777777" w:rsidR="008E67EA" w:rsidRPr="00382A84" w:rsidRDefault="008E67EA" w:rsidP="00B44A74">
            <w:pPr>
              <w:spacing w:after="120" w:line="240" w:lineRule="exact"/>
              <w:rPr>
                <w:rFonts w:cs="Arial"/>
                <w:b/>
                <w:spacing w:val="-2"/>
                <w:w w:val="105"/>
                <w:szCs w:val="18"/>
              </w:rPr>
            </w:pPr>
            <w:r w:rsidRPr="00382A84">
              <w:rPr>
                <w:rFonts w:cs="Arial"/>
                <w:b/>
                <w:spacing w:val="-2"/>
                <w:w w:val="105"/>
                <w:szCs w:val="18"/>
              </w:rPr>
              <w:t>Baiting strategy</w:t>
            </w:r>
          </w:p>
          <w:p w14:paraId="3CF5F8A6" w14:textId="4B2B7BFB" w:rsidR="008E67EA" w:rsidRPr="006469D5" w:rsidRDefault="008E67EA" w:rsidP="00B44A74">
            <w:pPr>
              <w:spacing w:after="120" w:line="240" w:lineRule="exact"/>
              <w:rPr>
                <w:rFonts w:cs="Arial"/>
                <w:bCs/>
                <w:spacing w:val="-2"/>
                <w:w w:val="105"/>
                <w:szCs w:val="18"/>
              </w:rPr>
            </w:pPr>
            <w:r w:rsidRPr="006469D5">
              <w:rPr>
                <w:rFonts w:cs="Arial"/>
                <w:bCs/>
                <w:spacing w:val="-2"/>
                <w:w w:val="105"/>
                <w:szCs w:val="18"/>
              </w:rPr>
              <w:t>Eliminate, as far as practicable, all other food sources.</w:t>
            </w:r>
          </w:p>
          <w:p w14:paraId="4350DB5C" w14:textId="77777777" w:rsidR="008E67EA" w:rsidRPr="006469D5" w:rsidRDefault="008E67EA" w:rsidP="00B44A74">
            <w:pPr>
              <w:spacing w:after="120" w:line="240" w:lineRule="exact"/>
              <w:rPr>
                <w:rFonts w:cs="Arial"/>
                <w:bCs/>
                <w:spacing w:val="-2"/>
                <w:w w:val="105"/>
                <w:szCs w:val="18"/>
              </w:rPr>
            </w:pPr>
            <w:r w:rsidRPr="006469D5">
              <w:rPr>
                <w:rFonts w:cs="Arial"/>
                <w:bCs/>
                <w:spacing w:val="-2"/>
                <w:w w:val="105"/>
                <w:szCs w:val="18"/>
              </w:rPr>
              <w:t>Survey site prior to treatment, including assessment of the extent of infestation and identification of any indications of the presence of non-target animals.</w:t>
            </w:r>
            <w:r w:rsidRPr="006469D5">
              <w:t xml:space="preserve"> </w:t>
            </w:r>
            <w:r w:rsidRPr="006469D5">
              <w:rPr>
                <w:rFonts w:cs="Arial"/>
                <w:bCs/>
                <w:spacing w:val="-2"/>
                <w:w w:val="105"/>
                <w:szCs w:val="18"/>
              </w:rPr>
              <w:t>Record the number and locations of bait stations for the purpose of inspection, replacement and later removal.</w:t>
            </w:r>
          </w:p>
          <w:p w14:paraId="0FFC3736" w14:textId="2C99B74F" w:rsidR="008E67EA" w:rsidRDefault="008E67EA" w:rsidP="00B44A74">
            <w:pPr>
              <w:spacing w:after="120" w:line="240" w:lineRule="exact"/>
              <w:rPr>
                <w:rFonts w:cs="Arial"/>
                <w:bCs/>
                <w:spacing w:val="-2"/>
                <w:w w:val="105"/>
                <w:szCs w:val="18"/>
              </w:rPr>
            </w:pPr>
            <w:r w:rsidRPr="006469D5">
              <w:rPr>
                <w:rFonts w:cs="Arial"/>
                <w:bCs/>
                <w:spacing w:val="-2"/>
                <w:w w:val="105"/>
                <w:szCs w:val="18"/>
              </w:rPr>
              <w:t>Always use tamper-resistant bait stations that are secured in place in child accessible areas, outdoors and in animal or livestock housing.</w:t>
            </w:r>
            <w:r>
              <w:t xml:space="preserve"> </w:t>
            </w:r>
            <w:r w:rsidRPr="00DC3A5A">
              <w:rPr>
                <w:rFonts w:cs="Arial"/>
                <w:bCs/>
                <w:spacing w:val="-2"/>
                <w:w w:val="105"/>
                <w:szCs w:val="18"/>
              </w:rPr>
              <w:t>When using outdoors, it is best practice to use weather</w:t>
            </w:r>
            <w:r>
              <w:rPr>
                <w:rFonts w:cs="Arial"/>
                <w:bCs/>
                <w:spacing w:val="-2"/>
                <w:w w:val="105"/>
                <w:szCs w:val="18"/>
              </w:rPr>
              <w:t>-</w:t>
            </w:r>
            <w:r w:rsidRPr="00DC3A5A">
              <w:rPr>
                <w:rFonts w:cs="Arial"/>
                <w:bCs/>
                <w:spacing w:val="-2"/>
                <w:w w:val="105"/>
                <w:szCs w:val="18"/>
              </w:rPr>
              <w:t>resistant bait stations</w:t>
            </w:r>
            <w:r>
              <w:rPr>
                <w:rFonts w:cs="Arial"/>
                <w:bCs/>
                <w:spacing w:val="-2"/>
                <w:w w:val="105"/>
                <w:szCs w:val="18"/>
              </w:rPr>
              <w:t>.</w:t>
            </w:r>
            <w:r w:rsidRPr="006469D5">
              <w:rPr>
                <w:rFonts w:cs="Arial"/>
                <w:bCs/>
                <w:spacing w:val="-2"/>
                <w:w w:val="105"/>
                <w:szCs w:val="18"/>
              </w:rPr>
              <w:t xml:space="preserve"> When used in food producing animal housing situations careful consideration is necessary regarding the placement of bait stations to ensure any rodenticide contamination of water, feed or livestock is prevented.</w:t>
            </w:r>
          </w:p>
          <w:p w14:paraId="59DEBD7A" w14:textId="5E402D10" w:rsidR="008E67EA" w:rsidRDefault="008E67EA" w:rsidP="00B44A74">
            <w:pPr>
              <w:spacing w:after="120" w:line="240" w:lineRule="exact"/>
              <w:rPr>
                <w:rFonts w:cs="Arial"/>
                <w:bCs/>
                <w:spacing w:val="-2"/>
                <w:w w:val="105"/>
                <w:szCs w:val="18"/>
              </w:rPr>
            </w:pPr>
            <w:r w:rsidRPr="006469D5">
              <w:rPr>
                <w:rFonts w:cs="Arial"/>
                <w:bCs/>
                <w:spacing w:val="-2"/>
                <w:w w:val="105"/>
                <w:szCs w:val="18"/>
              </w:rPr>
              <w:t xml:space="preserve">Inspect </w:t>
            </w:r>
            <w:r>
              <w:rPr>
                <w:rFonts w:cs="Arial"/>
                <w:bCs/>
                <w:spacing w:val="-2"/>
                <w:w w:val="105"/>
                <w:szCs w:val="18"/>
              </w:rPr>
              <w:t>baits daily</w:t>
            </w:r>
            <w:r w:rsidRPr="006469D5">
              <w:rPr>
                <w:rFonts w:cs="Arial"/>
                <w:bCs/>
                <w:spacing w:val="-2"/>
                <w:w w:val="105"/>
                <w:szCs w:val="18"/>
              </w:rPr>
              <w:t>. Replace</w:t>
            </w:r>
            <w:r>
              <w:rPr>
                <w:rFonts w:cs="Arial"/>
                <w:bCs/>
                <w:spacing w:val="-2"/>
                <w:w w:val="105"/>
                <w:szCs w:val="18"/>
              </w:rPr>
              <w:t xml:space="preserve"> </w:t>
            </w:r>
            <w:r w:rsidRPr="006469D5">
              <w:rPr>
                <w:rFonts w:cs="Arial"/>
                <w:bCs/>
                <w:spacing w:val="-2"/>
                <w:w w:val="105"/>
                <w:szCs w:val="18"/>
              </w:rPr>
              <w:t>eaten</w:t>
            </w:r>
            <w:r>
              <w:rPr>
                <w:rFonts w:cs="Arial"/>
                <w:bCs/>
                <w:spacing w:val="-2"/>
                <w:w w:val="105"/>
                <w:szCs w:val="18"/>
              </w:rPr>
              <w:t xml:space="preserve">, contaminated or spoilt </w:t>
            </w:r>
            <w:r w:rsidRPr="006469D5">
              <w:rPr>
                <w:rFonts w:cs="Arial"/>
                <w:bCs/>
                <w:spacing w:val="-2"/>
                <w:w w:val="105"/>
                <w:szCs w:val="18"/>
              </w:rPr>
              <w:t>baits</w:t>
            </w:r>
            <w:r>
              <w:rPr>
                <w:rFonts w:cs="Arial"/>
                <w:bCs/>
                <w:spacing w:val="-2"/>
                <w:w w:val="105"/>
                <w:szCs w:val="18"/>
              </w:rPr>
              <w:t xml:space="preserve"> immediately</w:t>
            </w:r>
            <w:r w:rsidRPr="006469D5">
              <w:rPr>
                <w:rFonts w:cs="Arial"/>
                <w:bCs/>
                <w:spacing w:val="-2"/>
                <w:w w:val="105"/>
                <w:szCs w:val="18"/>
              </w:rPr>
              <w:t xml:space="preserve">. </w:t>
            </w:r>
            <w:r w:rsidRPr="000B1D56">
              <w:rPr>
                <w:rFonts w:cs="Arial"/>
                <w:bCs/>
                <w:spacing w:val="-2"/>
                <w:w w:val="105"/>
                <w:szCs w:val="18"/>
              </w:rPr>
              <w:t>If eaten quickly increase the number</w:t>
            </w:r>
            <w:r>
              <w:rPr>
                <w:rFonts w:cs="Arial"/>
                <w:bCs/>
                <w:spacing w:val="-2"/>
                <w:w w:val="105"/>
                <w:szCs w:val="18"/>
              </w:rPr>
              <w:t xml:space="preserve"> </w:t>
            </w:r>
            <w:r w:rsidRPr="000B1D56">
              <w:rPr>
                <w:rFonts w:cs="Arial"/>
                <w:bCs/>
                <w:spacing w:val="-2"/>
                <w:w w:val="105"/>
                <w:szCs w:val="18"/>
              </w:rPr>
              <w:t>of bait placements. Continue observation</w:t>
            </w:r>
            <w:r>
              <w:rPr>
                <w:rFonts w:cs="Arial"/>
                <w:bCs/>
                <w:spacing w:val="-2"/>
                <w:w w:val="105"/>
                <w:szCs w:val="18"/>
              </w:rPr>
              <w:t xml:space="preserve"> </w:t>
            </w:r>
            <w:r w:rsidRPr="000B1D56">
              <w:rPr>
                <w:rFonts w:cs="Arial"/>
                <w:bCs/>
                <w:spacing w:val="-2"/>
                <w:w w:val="105"/>
                <w:szCs w:val="18"/>
              </w:rPr>
              <w:t>and replenishment until no more baits are</w:t>
            </w:r>
            <w:r>
              <w:rPr>
                <w:rFonts w:cs="Arial"/>
                <w:bCs/>
                <w:spacing w:val="-2"/>
                <w:w w:val="105"/>
                <w:szCs w:val="18"/>
              </w:rPr>
              <w:t xml:space="preserve"> </w:t>
            </w:r>
            <w:r w:rsidRPr="000B1D56">
              <w:rPr>
                <w:rFonts w:cs="Arial"/>
                <w:bCs/>
                <w:spacing w:val="-2"/>
                <w:w w:val="105"/>
                <w:szCs w:val="18"/>
              </w:rPr>
              <w:t>taken.</w:t>
            </w:r>
          </w:p>
          <w:p w14:paraId="5117C743" w14:textId="5F0DB9B1" w:rsidR="008E67EA" w:rsidRDefault="008E67EA" w:rsidP="00B44A74">
            <w:pPr>
              <w:spacing w:after="120" w:line="240" w:lineRule="exact"/>
              <w:rPr>
                <w:rFonts w:cs="Arial"/>
                <w:bCs/>
                <w:spacing w:val="-2"/>
                <w:w w:val="105"/>
                <w:szCs w:val="18"/>
              </w:rPr>
            </w:pPr>
            <w:r w:rsidRPr="00382A84">
              <w:rPr>
                <w:rFonts w:cs="Arial"/>
                <w:bCs/>
                <w:spacing w:val="-2"/>
                <w:w w:val="105"/>
                <w:szCs w:val="18"/>
              </w:rPr>
              <w:t>DO NOT use the product beyond 35 days without an evaluation of the state of the infestation and of the efficacy of the treatment.</w:t>
            </w:r>
            <w:r>
              <w:t xml:space="preserve"> </w:t>
            </w:r>
            <w:r w:rsidRPr="00382A84">
              <w:rPr>
                <w:rFonts w:cs="Arial"/>
                <w:bCs/>
                <w:spacing w:val="-2"/>
                <w:w w:val="105"/>
                <w:szCs w:val="18"/>
              </w:rPr>
              <w:t>Remove all uneaten bait at the end of treatment</w:t>
            </w:r>
            <w:r w:rsidR="00FF707A">
              <w:rPr>
                <w:rFonts w:cs="Arial"/>
                <w:bCs/>
                <w:spacing w:val="-2"/>
                <w:w w:val="105"/>
                <w:szCs w:val="18"/>
              </w:rPr>
              <w:t>.</w:t>
            </w:r>
          </w:p>
          <w:p w14:paraId="18443C4B" w14:textId="77777777" w:rsidR="008E67EA" w:rsidRPr="00382A84" w:rsidRDefault="008E67EA" w:rsidP="00B44A74">
            <w:pPr>
              <w:spacing w:after="120" w:line="240" w:lineRule="exact"/>
              <w:rPr>
                <w:rFonts w:cs="Arial"/>
                <w:bCs/>
                <w:spacing w:val="-2"/>
                <w:w w:val="105"/>
                <w:szCs w:val="18"/>
              </w:rPr>
            </w:pPr>
            <w:r w:rsidRPr="00DA3B59">
              <w:rPr>
                <w:rFonts w:cs="Arial"/>
                <w:bCs/>
                <w:spacing w:val="-2"/>
                <w:w w:val="105"/>
                <w:szCs w:val="18"/>
              </w:rPr>
              <w:t>To prevent reinfestation, eliminate food, water and harbourage as much as possible. If reinfestation should occur, repeat treatment.</w:t>
            </w:r>
          </w:p>
        </w:tc>
      </w:tr>
    </w:tbl>
    <w:p w14:paraId="33AD8ED4" w14:textId="201A1CC8" w:rsidR="008E67EA" w:rsidRDefault="008E67EA" w:rsidP="00FF707A">
      <w:pPr>
        <w:spacing w:line="280" w:lineRule="exact"/>
        <w:rPr>
          <w:rFonts w:ascii="Franklin Gothic Medium" w:eastAsia="Arial Unicode MS" w:hAnsi="Franklin Gothic Medium"/>
          <w:bCs/>
          <w:iCs/>
          <w:bdr w:val="none" w:sz="0" w:space="0" w:color="auto" w:frame="1"/>
          <w:lang w:val="en-GB" w:eastAsia="en-AU"/>
        </w:rPr>
      </w:pPr>
      <w:r w:rsidRPr="00FF36BF">
        <w:rPr>
          <w:rFonts w:cs="Arial"/>
          <w:b/>
          <w:bCs/>
          <w:sz w:val="20"/>
          <w:szCs w:val="20"/>
        </w:rPr>
        <w:t>NOT TO BE USED FOR ANY PURPOSE, OR IN ANY MANNER, CONTRARY TO THIS LABEL UNLESS AUTHORISED UNDER APPROPRIATE LEGISLATION.</w:t>
      </w:r>
      <w:r>
        <w:rPr>
          <w:rFonts w:ascii="Franklin Gothic Medium" w:eastAsia="Arial Unicode MS" w:hAnsi="Franklin Gothic Medium"/>
          <w:bCs/>
          <w:iCs/>
          <w:bdr w:val="none" w:sz="0" w:space="0" w:color="auto" w:frame="1"/>
          <w:lang w:val="en-GB" w:eastAsia="en-AU"/>
        </w:rPr>
        <w:br w:type="page"/>
      </w:r>
    </w:p>
    <w:p w14:paraId="244D2738" w14:textId="77777777" w:rsidR="008E67EA" w:rsidRDefault="008E67EA" w:rsidP="008E67EA">
      <w:pPr>
        <w:keepNext/>
        <w:keepLines/>
        <w:spacing w:before="400" w:after="240" w:line="280" w:lineRule="exact"/>
        <w:outlineLvl w:val="1"/>
        <w:rPr>
          <w:rFonts w:ascii="Franklin Gothic Medium" w:eastAsia="Arial Unicode MS" w:hAnsi="Franklin Gothic Medium"/>
          <w:bCs/>
          <w:iCs/>
          <w:bdr w:val="none" w:sz="0" w:space="0" w:color="auto" w:frame="1"/>
          <w:lang w:val="en-GB" w:eastAsia="en-AU"/>
        </w:rPr>
      </w:pPr>
      <w:r w:rsidRPr="00FF36BF">
        <w:rPr>
          <w:rFonts w:ascii="Franklin Gothic Medium" w:eastAsia="Arial Unicode MS" w:hAnsi="Franklin Gothic Medium"/>
          <w:bCs/>
          <w:iCs/>
          <w:bdr w:val="none" w:sz="0" w:space="0" w:color="auto" w:frame="1"/>
          <w:lang w:val="en-GB" w:eastAsia="en-AU"/>
        </w:rPr>
        <w:lastRenderedPageBreak/>
        <w:t>Commercial</w:t>
      </w:r>
      <w:r>
        <w:rPr>
          <w:rFonts w:ascii="Franklin Gothic Medium" w:eastAsia="Arial Unicode MS" w:hAnsi="Franklin Gothic Medium"/>
          <w:bCs/>
          <w:iCs/>
          <w:bdr w:val="none" w:sz="0" w:space="0" w:color="auto" w:frame="1"/>
          <w:lang w:val="en-GB" w:eastAsia="en-AU"/>
        </w:rPr>
        <w:t xml:space="preserve"> pest-control product:</w:t>
      </w:r>
      <w:r w:rsidRPr="00FF36BF">
        <w:rPr>
          <w:rFonts w:ascii="Franklin Gothic Medium" w:eastAsia="Arial Unicode MS" w:hAnsi="Franklin Gothic Medium"/>
          <w:bCs/>
          <w:iCs/>
          <w:bdr w:val="none" w:sz="0" w:space="0" w:color="auto" w:frame="1"/>
          <w:lang w:val="en-GB" w:eastAsia="en-AU"/>
        </w:rPr>
        <w:t xml:space="preserve"> </w:t>
      </w:r>
      <w:r w:rsidRPr="00DA343B">
        <w:rPr>
          <w:rFonts w:ascii="Franklin Gothic Medium" w:eastAsia="Arial Unicode MS" w:hAnsi="Franklin Gothic Medium"/>
          <w:bCs/>
          <w:iCs/>
          <w:bdr w:val="none" w:sz="0" w:space="0" w:color="auto" w:frame="1"/>
          <w:lang w:val="en-GB" w:eastAsia="en-AU"/>
        </w:rPr>
        <w:t xml:space="preserve">RB 0.1 g/kg or less as a paste in caulking </w:t>
      </w:r>
      <w:r>
        <w:rPr>
          <w:rFonts w:ascii="Franklin Gothic Medium" w:eastAsia="Arial Unicode MS" w:hAnsi="Franklin Gothic Medium"/>
          <w:bCs/>
          <w:iCs/>
          <w:bdr w:val="none" w:sz="0" w:space="0" w:color="auto" w:frame="1"/>
          <w:lang w:val="en-GB" w:eastAsia="en-AU"/>
        </w:rPr>
        <w:t>gun</w:t>
      </w:r>
    </w:p>
    <w:p w14:paraId="3EE65EC5" w14:textId="77777777" w:rsidR="008E67EA"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t xml:space="preserve">Template Label </w:t>
      </w:r>
      <w:r>
        <w:rPr>
          <w:rFonts w:cs="Arial"/>
          <w:b/>
          <w:bCs/>
          <w:sz w:val="20"/>
          <w:szCs w:val="20"/>
          <w:bdr w:val="none" w:sz="0" w:space="0" w:color="auto" w:frame="1"/>
          <w:lang w:val="en-GB" w:eastAsia="en-AU"/>
        </w:rPr>
        <w:t>9</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A96DC6" w14:paraId="2E27755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6CE73B9" w14:textId="77777777" w:rsidR="008E67EA" w:rsidRPr="003F5182" w:rsidRDefault="008E67EA" w:rsidP="00B44A74">
            <w:pPr>
              <w:spacing w:line="280" w:lineRule="exact"/>
              <w:rPr>
                <w:rFonts w:cs="Arial"/>
                <w:sz w:val="20"/>
                <w:szCs w:val="20"/>
              </w:rPr>
            </w:pPr>
            <w:r w:rsidRPr="003F5182">
              <w:rPr>
                <w:rFonts w:cs="Arial"/>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593A56F9" w14:textId="77777777" w:rsidR="008E67EA" w:rsidRPr="003F5182" w:rsidRDefault="008E67EA" w:rsidP="00B44A74">
            <w:pPr>
              <w:spacing w:line="280" w:lineRule="exact"/>
              <w:rPr>
                <w:rFonts w:cs="Arial"/>
                <w:sz w:val="20"/>
                <w:szCs w:val="20"/>
              </w:rPr>
            </w:pPr>
            <w:r w:rsidRPr="003F5182">
              <w:rPr>
                <w:rFonts w:cs="Arial"/>
                <w:sz w:val="20"/>
                <w:szCs w:val="20"/>
              </w:rPr>
              <w:t>[INSERT LABEL NAME]</w:t>
            </w:r>
            <w:r w:rsidRPr="003F5182" w:rsidDel="00DF7F6C">
              <w:rPr>
                <w:rFonts w:cs="Arial"/>
                <w:sz w:val="20"/>
                <w:szCs w:val="20"/>
              </w:rPr>
              <w:t xml:space="preserve"> </w:t>
            </w:r>
          </w:p>
        </w:tc>
      </w:tr>
      <w:tr w:rsidR="008E67EA" w:rsidRPr="00A96DC6" w14:paraId="4AF0285E" w14:textId="77777777" w:rsidTr="00B44A74">
        <w:trPr>
          <w:jc w:val="center"/>
        </w:trPr>
        <w:tc>
          <w:tcPr>
            <w:tcW w:w="2415" w:type="dxa"/>
            <w:tcBorders>
              <w:top w:val="single" w:sz="4" w:space="0" w:color="auto"/>
              <w:left w:val="nil"/>
              <w:bottom w:val="single" w:sz="4" w:space="0" w:color="auto"/>
              <w:right w:val="nil"/>
            </w:tcBorders>
          </w:tcPr>
          <w:p w14:paraId="3ACD26C7" w14:textId="77777777" w:rsidR="008E67EA" w:rsidRPr="003F518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B558585" w14:textId="77777777" w:rsidR="008E67EA" w:rsidRPr="003F5182" w:rsidRDefault="008E67EA" w:rsidP="00B44A74">
            <w:pPr>
              <w:spacing w:line="280" w:lineRule="exact"/>
              <w:rPr>
                <w:rFonts w:cs="Arial"/>
                <w:sz w:val="20"/>
                <w:szCs w:val="20"/>
              </w:rPr>
            </w:pPr>
          </w:p>
        </w:tc>
      </w:tr>
      <w:tr w:rsidR="008E67EA" w:rsidRPr="00A96DC6" w14:paraId="768D6679"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A496B19" w14:textId="77777777" w:rsidR="008E67EA" w:rsidRPr="003F5182" w:rsidRDefault="008E67EA" w:rsidP="00B44A74">
            <w:pPr>
              <w:spacing w:line="280" w:lineRule="exact"/>
              <w:rPr>
                <w:rFonts w:cs="Arial"/>
                <w:sz w:val="20"/>
                <w:szCs w:val="20"/>
              </w:rPr>
            </w:pPr>
            <w:r w:rsidRPr="003F5182">
              <w:rPr>
                <w:rFonts w:cs="Arial"/>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6D9E8CD3" w14:textId="77777777" w:rsidR="008E67EA" w:rsidRPr="003F5182" w:rsidRDefault="008E67EA" w:rsidP="00B44A74">
            <w:pPr>
              <w:spacing w:line="280" w:lineRule="exact"/>
              <w:rPr>
                <w:rFonts w:cs="Arial"/>
                <w:sz w:val="20"/>
                <w:szCs w:val="20"/>
              </w:rPr>
            </w:pPr>
            <w:r w:rsidRPr="003F5182">
              <w:rPr>
                <w:rFonts w:cs="Arial"/>
                <w:color w:val="000000"/>
                <w:sz w:val="20"/>
                <w:szCs w:val="20"/>
              </w:rPr>
              <w:t>POISON</w:t>
            </w:r>
            <w:r w:rsidRPr="003F5182">
              <w:rPr>
                <w:rFonts w:cs="Arial"/>
                <w:color w:val="000000"/>
                <w:sz w:val="20"/>
                <w:szCs w:val="20"/>
              </w:rPr>
              <w:br/>
              <w:t>KEEP OUT OF REACH OF CHILDREN</w:t>
            </w:r>
            <w:r w:rsidRPr="003F5182">
              <w:rPr>
                <w:rFonts w:cs="Arial"/>
                <w:color w:val="000000"/>
                <w:sz w:val="20"/>
                <w:szCs w:val="20"/>
              </w:rPr>
              <w:br/>
              <w:t>READ SAFETY DIRECTIONS BEFORE OPENING OR USING</w:t>
            </w:r>
          </w:p>
        </w:tc>
      </w:tr>
      <w:tr w:rsidR="008E67EA" w:rsidRPr="00A96DC6" w14:paraId="22A0CC7D" w14:textId="77777777" w:rsidTr="00B44A74">
        <w:trPr>
          <w:jc w:val="center"/>
        </w:trPr>
        <w:tc>
          <w:tcPr>
            <w:tcW w:w="2415" w:type="dxa"/>
            <w:tcBorders>
              <w:top w:val="single" w:sz="4" w:space="0" w:color="auto"/>
              <w:left w:val="nil"/>
              <w:bottom w:val="single" w:sz="4" w:space="0" w:color="auto"/>
              <w:right w:val="nil"/>
            </w:tcBorders>
          </w:tcPr>
          <w:p w14:paraId="29A1187C" w14:textId="77777777" w:rsidR="008E67EA" w:rsidRPr="003F518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4350F83" w14:textId="77777777" w:rsidR="008E67EA" w:rsidRPr="003F5182" w:rsidRDefault="008E67EA" w:rsidP="00B44A74">
            <w:pPr>
              <w:spacing w:line="280" w:lineRule="exact"/>
              <w:rPr>
                <w:rFonts w:cs="Arial"/>
                <w:sz w:val="20"/>
                <w:szCs w:val="20"/>
              </w:rPr>
            </w:pPr>
          </w:p>
        </w:tc>
      </w:tr>
      <w:tr w:rsidR="008E67EA" w:rsidRPr="00A96DC6" w14:paraId="1437E7E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DD19E39" w14:textId="77777777" w:rsidR="008E67EA" w:rsidRPr="003F5182" w:rsidRDefault="008E67EA" w:rsidP="00B44A74">
            <w:pPr>
              <w:spacing w:line="280" w:lineRule="exact"/>
              <w:rPr>
                <w:rFonts w:cs="Arial"/>
                <w:sz w:val="20"/>
                <w:szCs w:val="20"/>
              </w:rPr>
            </w:pPr>
            <w:r w:rsidRPr="003F5182">
              <w:rPr>
                <w:rFonts w:cs="Arial"/>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3DAF96C5" w14:textId="77777777" w:rsidR="008E67EA" w:rsidRPr="003F5182" w:rsidRDefault="008E67EA" w:rsidP="00B44A74">
            <w:pPr>
              <w:spacing w:line="280" w:lineRule="exact"/>
              <w:rPr>
                <w:rFonts w:cs="Arial"/>
                <w:color w:val="000000"/>
                <w:sz w:val="20"/>
                <w:szCs w:val="20"/>
              </w:rPr>
            </w:pPr>
            <w:r w:rsidRPr="003F5182">
              <w:rPr>
                <w:rFonts w:cs="Arial"/>
                <w:color w:val="000000"/>
                <w:sz w:val="20"/>
                <w:szCs w:val="20"/>
              </w:rPr>
              <w:t>ACTIVE CONSTITUENT: 0.1 g/kg BROMADIOLONE</w:t>
            </w:r>
          </w:p>
        </w:tc>
      </w:tr>
      <w:tr w:rsidR="008E67EA" w:rsidRPr="00A96DC6" w14:paraId="0AB1AB06" w14:textId="77777777" w:rsidTr="00B44A74">
        <w:trPr>
          <w:jc w:val="center"/>
        </w:trPr>
        <w:tc>
          <w:tcPr>
            <w:tcW w:w="2415" w:type="dxa"/>
            <w:tcBorders>
              <w:top w:val="single" w:sz="4" w:space="0" w:color="auto"/>
              <w:left w:val="nil"/>
              <w:bottom w:val="single" w:sz="4" w:space="0" w:color="auto"/>
              <w:right w:val="nil"/>
            </w:tcBorders>
          </w:tcPr>
          <w:p w14:paraId="3FC81E59" w14:textId="77777777" w:rsidR="008E67EA" w:rsidRPr="003F518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B411438" w14:textId="77777777" w:rsidR="008E67EA" w:rsidRPr="003F5182" w:rsidRDefault="008E67EA" w:rsidP="00B44A74">
            <w:pPr>
              <w:spacing w:line="280" w:lineRule="exact"/>
              <w:rPr>
                <w:rFonts w:cs="Arial"/>
                <w:sz w:val="20"/>
                <w:szCs w:val="20"/>
              </w:rPr>
            </w:pPr>
          </w:p>
        </w:tc>
      </w:tr>
      <w:tr w:rsidR="008E67EA" w:rsidRPr="00A96DC6" w14:paraId="3F8D3D0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CFAB043" w14:textId="77777777" w:rsidR="008E67EA" w:rsidRPr="003F5182" w:rsidRDefault="008E67EA" w:rsidP="00B44A74">
            <w:pPr>
              <w:spacing w:line="280" w:lineRule="exact"/>
              <w:rPr>
                <w:rFonts w:cs="Arial"/>
                <w:sz w:val="20"/>
                <w:szCs w:val="20"/>
              </w:rPr>
            </w:pPr>
            <w:r w:rsidRPr="003F5182">
              <w:rPr>
                <w:rFonts w:cs="Arial"/>
                <w:sz w:val="20"/>
                <w:szCs w:val="20"/>
              </w:rPr>
              <w:t>Mode of Action:</w:t>
            </w:r>
          </w:p>
        </w:tc>
        <w:tc>
          <w:tcPr>
            <w:tcW w:w="7755" w:type="dxa"/>
            <w:tcBorders>
              <w:top w:val="single" w:sz="4" w:space="0" w:color="auto"/>
              <w:left w:val="single" w:sz="4" w:space="0" w:color="auto"/>
              <w:bottom w:val="single" w:sz="4" w:space="0" w:color="auto"/>
              <w:right w:val="single" w:sz="4" w:space="0" w:color="auto"/>
            </w:tcBorders>
          </w:tcPr>
          <w:p w14:paraId="1848E531" w14:textId="77777777" w:rsidR="008E67EA" w:rsidRPr="003F5182" w:rsidRDefault="008E67EA" w:rsidP="00B44A74">
            <w:pPr>
              <w:spacing w:line="280" w:lineRule="exact"/>
              <w:jc w:val="both"/>
              <w:rPr>
                <w:rFonts w:cs="Arial"/>
                <w:sz w:val="20"/>
                <w:szCs w:val="20"/>
              </w:rPr>
            </w:pPr>
          </w:p>
        </w:tc>
      </w:tr>
      <w:tr w:rsidR="008E67EA" w:rsidRPr="00A96DC6" w14:paraId="0E870305" w14:textId="77777777" w:rsidTr="00B44A74">
        <w:trPr>
          <w:jc w:val="center"/>
        </w:trPr>
        <w:tc>
          <w:tcPr>
            <w:tcW w:w="2415" w:type="dxa"/>
            <w:tcBorders>
              <w:top w:val="single" w:sz="4" w:space="0" w:color="auto"/>
              <w:left w:val="nil"/>
              <w:bottom w:val="single" w:sz="4" w:space="0" w:color="auto"/>
              <w:right w:val="nil"/>
            </w:tcBorders>
          </w:tcPr>
          <w:p w14:paraId="286B002C" w14:textId="77777777" w:rsidR="008E67EA" w:rsidRPr="003F518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BF26E87" w14:textId="77777777" w:rsidR="008E67EA" w:rsidRPr="003F5182" w:rsidRDefault="008E67EA" w:rsidP="00B44A74">
            <w:pPr>
              <w:spacing w:line="280" w:lineRule="exact"/>
              <w:rPr>
                <w:rFonts w:cs="Arial"/>
                <w:sz w:val="20"/>
                <w:szCs w:val="20"/>
              </w:rPr>
            </w:pPr>
          </w:p>
        </w:tc>
      </w:tr>
      <w:tr w:rsidR="008E67EA" w:rsidRPr="00A96DC6" w14:paraId="554A1CB9"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C8B7F5A" w14:textId="77777777" w:rsidR="008E67EA" w:rsidRPr="003F5182" w:rsidRDefault="008E67EA" w:rsidP="00B44A74">
            <w:pPr>
              <w:spacing w:line="280" w:lineRule="exact"/>
              <w:rPr>
                <w:rFonts w:cs="Arial"/>
                <w:sz w:val="20"/>
                <w:szCs w:val="20"/>
              </w:rPr>
            </w:pPr>
            <w:r w:rsidRPr="003F5182">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3EA183CD" w14:textId="77777777" w:rsidR="008E67EA" w:rsidRPr="003F5182" w:rsidRDefault="008E67EA" w:rsidP="00B44A74">
            <w:pPr>
              <w:spacing w:line="280" w:lineRule="exact"/>
              <w:rPr>
                <w:rFonts w:cs="Arial"/>
                <w:color w:val="000000"/>
                <w:sz w:val="20"/>
                <w:szCs w:val="20"/>
              </w:rPr>
            </w:pPr>
            <w:r w:rsidRPr="003F5182">
              <w:rPr>
                <w:rFonts w:cs="Arial"/>
                <w:color w:val="000000"/>
                <w:sz w:val="20"/>
                <w:szCs w:val="20"/>
              </w:rPr>
              <w:t>For control of mice in industrial, commercial</w:t>
            </w:r>
            <w:r>
              <w:rPr>
                <w:rFonts w:cs="Arial"/>
                <w:color w:val="000000"/>
                <w:sz w:val="20"/>
                <w:szCs w:val="20"/>
              </w:rPr>
              <w:t>,</w:t>
            </w:r>
            <w:r w:rsidRPr="003F5182">
              <w:rPr>
                <w:rFonts w:cs="Arial"/>
                <w:color w:val="000000"/>
                <w:sz w:val="20"/>
                <w:szCs w:val="20"/>
              </w:rPr>
              <w:t xml:space="preserve"> public services and domestic buildings and rats in and around industrial, commercial, public services and domestic buildings. </w:t>
            </w:r>
          </w:p>
        </w:tc>
      </w:tr>
      <w:tr w:rsidR="008E67EA" w:rsidRPr="00A96DC6" w14:paraId="13C1E81A" w14:textId="77777777" w:rsidTr="00B44A74">
        <w:trPr>
          <w:jc w:val="center"/>
        </w:trPr>
        <w:tc>
          <w:tcPr>
            <w:tcW w:w="2415" w:type="dxa"/>
            <w:tcBorders>
              <w:top w:val="single" w:sz="4" w:space="0" w:color="auto"/>
              <w:left w:val="nil"/>
              <w:bottom w:val="single" w:sz="4" w:space="0" w:color="auto"/>
              <w:right w:val="nil"/>
            </w:tcBorders>
          </w:tcPr>
          <w:p w14:paraId="173CC977" w14:textId="77777777" w:rsidR="008E67EA" w:rsidRPr="003F518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2098F0F" w14:textId="77777777" w:rsidR="008E67EA" w:rsidRPr="003F5182" w:rsidRDefault="008E67EA" w:rsidP="00B44A74">
            <w:pPr>
              <w:spacing w:line="280" w:lineRule="exact"/>
              <w:rPr>
                <w:rFonts w:cs="Arial"/>
                <w:sz w:val="20"/>
                <w:szCs w:val="20"/>
              </w:rPr>
            </w:pPr>
          </w:p>
        </w:tc>
      </w:tr>
      <w:tr w:rsidR="008E67EA" w:rsidRPr="00A96DC6" w14:paraId="3293F71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0F1E306" w14:textId="77777777" w:rsidR="008E67EA" w:rsidRPr="003F5182" w:rsidRDefault="008E67EA" w:rsidP="00B44A74">
            <w:pPr>
              <w:spacing w:line="280" w:lineRule="exact"/>
              <w:rPr>
                <w:rFonts w:cs="Arial"/>
                <w:sz w:val="20"/>
                <w:szCs w:val="20"/>
              </w:rPr>
            </w:pPr>
            <w:r w:rsidRPr="003F5182">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2A9F0BC9" w14:textId="77777777" w:rsidR="008E67EA" w:rsidRPr="003F5182" w:rsidRDefault="008E67EA" w:rsidP="00B44A74">
            <w:pPr>
              <w:spacing w:line="280" w:lineRule="exact"/>
              <w:rPr>
                <w:rFonts w:cs="Arial"/>
                <w:sz w:val="20"/>
                <w:szCs w:val="20"/>
              </w:rPr>
            </w:pPr>
            <w:r w:rsidRPr="003F5182">
              <w:rPr>
                <w:rFonts w:cs="Arial"/>
                <w:sz w:val="20"/>
                <w:szCs w:val="20"/>
              </w:rPr>
              <w:t>[INSERT NET CONTENTS]</w:t>
            </w:r>
          </w:p>
        </w:tc>
      </w:tr>
      <w:tr w:rsidR="008E67EA" w:rsidRPr="00A96DC6" w14:paraId="660DD0F1" w14:textId="77777777" w:rsidTr="00B44A74">
        <w:trPr>
          <w:jc w:val="center"/>
        </w:trPr>
        <w:tc>
          <w:tcPr>
            <w:tcW w:w="2415" w:type="dxa"/>
            <w:tcBorders>
              <w:top w:val="single" w:sz="4" w:space="0" w:color="auto"/>
              <w:left w:val="nil"/>
              <w:bottom w:val="single" w:sz="4" w:space="0" w:color="auto"/>
              <w:right w:val="nil"/>
            </w:tcBorders>
          </w:tcPr>
          <w:p w14:paraId="717BC5E2" w14:textId="77777777" w:rsidR="008E67EA" w:rsidRPr="003F518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46371B4" w14:textId="77777777" w:rsidR="008E67EA" w:rsidRPr="003F5182" w:rsidRDefault="008E67EA" w:rsidP="00B44A74">
            <w:pPr>
              <w:spacing w:line="280" w:lineRule="exact"/>
              <w:rPr>
                <w:rFonts w:cs="Arial"/>
                <w:sz w:val="20"/>
                <w:szCs w:val="20"/>
              </w:rPr>
            </w:pPr>
          </w:p>
        </w:tc>
      </w:tr>
      <w:tr w:rsidR="008E67EA" w:rsidRPr="00A96DC6" w14:paraId="1F71CB6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B15A37D" w14:textId="77777777" w:rsidR="008E67EA" w:rsidRPr="003F5182" w:rsidRDefault="008E67EA" w:rsidP="00B44A74">
            <w:pPr>
              <w:spacing w:line="280" w:lineRule="exact"/>
              <w:rPr>
                <w:rFonts w:cs="Arial"/>
                <w:sz w:val="20"/>
                <w:szCs w:val="20"/>
              </w:rPr>
            </w:pPr>
            <w:r w:rsidRPr="003F5182">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482DC881" w14:textId="77777777" w:rsidR="008E67EA" w:rsidRPr="003F5182" w:rsidRDefault="008E67EA" w:rsidP="00B44A74">
            <w:pPr>
              <w:spacing w:line="280" w:lineRule="exact"/>
              <w:rPr>
                <w:rFonts w:cs="Arial"/>
                <w:sz w:val="20"/>
                <w:szCs w:val="20"/>
              </w:rPr>
            </w:pPr>
            <w:r w:rsidRPr="003F5182">
              <w:rPr>
                <w:rFonts w:cs="Arial"/>
                <w:color w:val="000000"/>
                <w:sz w:val="20"/>
                <w:szCs w:val="20"/>
              </w:rPr>
              <w:t>RESTRAINTS</w:t>
            </w:r>
            <w:r w:rsidRPr="003F5182">
              <w:rPr>
                <w:rFonts w:cs="Arial"/>
                <w:color w:val="000000"/>
                <w:sz w:val="20"/>
                <w:szCs w:val="20"/>
              </w:rPr>
              <w:br/>
              <w:t>DO NOT use this product unless you have a current qualification in the nationally recognised training course for rodent pest management CPPUPM3006 - Manage pests by applying pesticides, or an equivalent unit of competency.</w:t>
            </w:r>
            <w:r w:rsidRPr="003F5182">
              <w:rPr>
                <w:rFonts w:cs="Arial"/>
                <w:color w:val="000000"/>
                <w:sz w:val="20"/>
                <w:szCs w:val="20"/>
              </w:rPr>
              <w:br/>
              <w:t>DO NOT place baits in areas that are accessible to children. In child-accessible areas baits must be placed in tamper-</w:t>
            </w:r>
            <w:r>
              <w:rPr>
                <w:rFonts w:cs="Arial"/>
                <w:color w:val="000000"/>
                <w:sz w:val="20"/>
                <w:szCs w:val="20"/>
              </w:rPr>
              <w:t>resistant</w:t>
            </w:r>
            <w:r w:rsidRPr="003F5182">
              <w:rPr>
                <w:rFonts w:cs="Arial"/>
                <w:color w:val="000000"/>
                <w:sz w:val="20"/>
                <w:szCs w:val="20"/>
              </w:rPr>
              <w:t xml:space="preserve"> bait stations. If bait can be dislodged from bait station, bait station must be secured in place. </w:t>
            </w:r>
            <w:r w:rsidRPr="003F5182">
              <w:rPr>
                <w:rFonts w:cs="Arial"/>
                <w:color w:val="000000"/>
                <w:sz w:val="20"/>
                <w:szCs w:val="20"/>
              </w:rPr>
              <w:br/>
              <w:t>DO NOT place bait outdoors unless it is in a tamper</w:t>
            </w:r>
            <w:r>
              <w:rPr>
                <w:rFonts w:cs="Arial"/>
                <w:color w:val="000000"/>
                <w:sz w:val="20"/>
                <w:szCs w:val="20"/>
              </w:rPr>
              <w:t>-resistant</w:t>
            </w:r>
            <w:r w:rsidRPr="003F5182">
              <w:rPr>
                <w:rFonts w:cs="Arial"/>
                <w:color w:val="000000"/>
                <w:sz w:val="20"/>
                <w:szCs w:val="20"/>
              </w:rPr>
              <w:t xml:space="preserve"> bait station which is secured in place.</w:t>
            </w:r>
            <w:r w:rsidRPr="003F5182">
              <w:rPr>
                <w:rFonts w:cs="Arial"/>
                <w:color w:val="000000"/>
                <w:sz w:val="20"/>
                <w:szCs w:val="20"/>
              </w:rPr>
              <w:br/>
              <w:t>DO NOT place bait stations more than 2 meters from buildings.</w:t>
            </w:r>
            <w:r w:rsidRPr="003F5182">
              <w:rPr>
                <w:rFonts w:cs="Arial"/>
                <w:color w:val="000000"/>
                <w:sz w:val="20"/>
                <w:szCs w:val="20"/>
              </w:rPr>
              <w:br/>
              <w:t>DO NOT place bait stations outdoors around buildings for control of mice.</w:t>
            </w:r>
            <w:r w:rsidRPr="003F5182">
              <w:rPr>
                <w:rFonts w:cs="Arial"/>
                <w:color w:val="000000"/>
                <w:sz w:val="20"/>
                <w:szCs w:val="20"/>
              </w:rPr>
              <w:br/>
              <w:t>DO NOT bait in areas where wildlife may be collected for human consumption.</w:t>
            </w:r>
            <w:r w:rsidRPr="003F5182">
              <w:rPr>
                <w:rFonts w:cs="Arial"/>
                <w:color w:val="000000"/>
                <w:sz w:val="20"/>
                <w:szCs w:val="20"/>
              </w:rPr>
              <w:br/>
              <w:t>DO NOT place in animal or livestock housing unless used in tamper</w:t>
            </w:r>
            <w:r>
              <w:rPr>
                <w:rFonts w:cs="Arial"/>
                <w:color w:val="000000"/>
                <w:sz w:val="20"/>
                <w:szCs w:val="20"/>
              </w:rPr>
              <w:t>-resistant</w:t>
            </w:r>
            <w:r w:rsidRPr="003F5182">
              <w:rPr>
                <w:rFonts w:cs="Arial"/>
                <w:color w:val="000000"/>
                <w:sz w:val="20"/>
                <w:szCs w:val="20"/>
              </w:rPr>
              <w:t xml:space="preserve"> and weather</w:t>
            </w:r>
            <w:r>
              <w:rPr>
                <w:rFonts w:cs="Arial"/>
                <w:color w:val="000000"/>
                <w:sz w:val="20"/>
                <w:szCs w:val="20"/>
              </w:rPr>
              <w:t>-</w:t>
            </w:r>
            <w:r w:rsidRPr="003F5182">
              <w:rPr>
                <w:rFonts w:cs="Arial"/>
                <w:color w:val="000000"/>
                <w:sz w:val="20"/>
                <w:szCs w:val="20"/>
              </w:rPr>
              <w:t>resistant bait stations fixed to the ground or other structures.</w:t>
            </w:r>
            <w:r w:rsidRPr="003F5182">
              <w:rPr>
                <w:rFonts w:cs="Arial"/>
                <w:color w:val="000000"/>
                <w:sz w:val="20"/>
                <w:szCs w:val="20"/>
              </w:rPr>
              <w:br/>
              <w:t>DO NOT place bait or bait stations above areas which would allow them to contaminate pig and poultry food or drinking water.</w:t>
            </w:r>
            <w:r w:rsidRPr="003F5182">
              <w:rPr>
                <w:rFonts w:cs="Arial"/>
                <w:color w:val="000000"/>
                <w:sz w:val="20"/>
                <w:szCs w:val="20"/>
              </w:rPr>
              <w:br/>
              <w:t>DO NOT apply this product directly into burrows.</w:t>
            </w:r>
          </w:p>
        </w:tc>
      </w:tr>
      <w:tr w:rsidR="008E67EA" w:rsidRPr="00A96DC6" w14:paraId="577BBEA6" w14:textId="77777777" w:rsidTr="00B44A74">
        <w:trPr>
          <w:jc w:val="center"/>
        </w:trPr>
        <w:tc>
          <w:tcPr>
            <w:tcW w:w="2415" w:type="dxa"/>
            <w:tcBorders>
              <w:top w:val="single" w:sz="4" w:space="0" w:color="auto"/>
              <w:left w:val="nil"/>
              <w:bottom w:val="single" w:sz="4" w:space="0" w:color="auto"/>
              <w:right w:val="nil"/>
            </w:tcBorders>
          </w:tcPr>
          <w:p w14:paraId="6B947C97" w14:textId="77777777" w:rsidR="008E67EA" w:rsidRPr="003F518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A7C8EB6" w14:textId="77777777" w:rsidR="008E67EA" w:rsidRPr="003F5182" w:rsidRDefault="008E67EA" w:rsidP="00B44A74">
            <w:pPr>
              <w:spacing w:line="280" w:lineRule="exact"/>
              <w:rPr>
                <w:rFonts w:cs="Arial"/>
                <w:sz w:val="20"/>
                <w:szCs w:val="20"/>
              </w:rPr>
            </w:pPr>
          </w:p>
        </w:tc>
      </w:tr>
      <w:tr w:rsidR="008E67EA" w:rsidRPr="00A96DC6" w14:paraId="254288E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14DBAAD" w14:textId="77777777" w:rsidR="008E67EA" w:rsidRPr="003F5182" w:rsidRDefault="008E67EA" w:rsidP="00B44A74">
            <w:pPr>
              <w:spacing w:line="280" w:lineRule="exact"/>
              <w:rPr>
                <w:rFonts w:cs="Arial"/>
                <w:sz w:val="20"/>
                <w:szCs w:val="20"/>
              </w:rPr>
            </w:pPr>
            <w:r w:rsidRPr="003F5182">
              <w:rPr>
                <w:rFonts w:cs="Arial"/>
                <w:sz w:val="20"/>
                <w:szCs w:val="20"/>
              </w:rPr>
              <w:t>Directions for Use:</w:t>
            </w:r>
          </w:p>
        </w:tc>
        <w:tc>
          <w:tcPr>
            <w:tcW w:w="7755" w:type="dxa"/>
            <w:tcBorders>
              <w:top w:val="single" w:sz="4" w:space="0" w:color="auto"/>
              <w:left w:val="single" w:sz="4" w:space="0" w:color="auto"/>
              <w:bottom w:val="single" w:sz="4" w:space="0" w:color="auto"/>
              <w:right w:val="single" w:sz="4" w:space="0" w:color="auto"/>
            </w:tcBorders>
          </w:tcPr>
          <w:p w14:paraId="5DFF468D" w14:textId="77777777" w:rsidR="008E67EA" w:rsidRPr="003F5182" w:rsidRDefault="008E67EA" w:rsidP="00B44A74">
            <w:pPr>
              <w:spacing w:line="280" w:lineRule="exact"/>
              <w:rPr>
                <w:rFonts w:cs="Arial"/>
                <w:sz w:val="20"/>
                <w:szCs w:val="20"/>
              </w:rPr>
            </w:pPr>
            <w:r w:rsidRPr="00713087">
              <w:rPr>
                <w:rFonts w:cs="Arial"/>
                <w:sz w:val="20"/>
                <w:szCs w:val="20"/>
              </w:rPr>
              <w:t>[This section contains an attachment below]</w:t>
            </w:r>
          </w:p>
        </w:tc>
      </w:tr>
      <w:tr w:rsidR="008E67EA" w:rsidRPr="00A96DC6" w14:paraId="446EEF17" w14:textId="77777777" w:rsidTr="00B44A74">
        <w:trPr>
          <w:jc w:val="center"/>
        </w:trPr>
        <w:tc>
          <w:tcPr>
            <w:tcW w:w="2415" w:type="dxa"/>
            <w:tcBorders>
              <w:top w:val="single" w:sz="4" w:space="0" w:color="auto"/>
              <w:left w:val="nil"/>
              <w:bottom w:val="single" w:sz="4" w:space="0" w:color="auto"/>
              <w:right w:val="nil"/>
            </w:tcBorders>
          </w:tcPr>
          <w:p w14:paraId="048B0586" w14:textId="77777777" w:rsidR="008E67EA" w:rsidRPr="003F518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45FA5F7" w14:textId="77777777" w:rsidR="008E67EA" w:rsidRPr="003F5182" w:rsidRDefault="008E67EA" w:rsidP="00B44A74">
            <w:pPr>
              <w:spacing w:line="280" w:lineRule="exact"/>
              <w:rPr>
                <w:rFonts w:cs="Arial"/>
                <w:sz w:val="20"/>
                <w:szCs w:val="20"/>
              </w:rPr>
            </w:pPr>
          </w:p>
        </w:tc>
      </w:tr>
      <w:tr w:rsidR="008E67EA" w:rsidRPr="00A96DC6" w14:paraId="6F6F4C8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ED71095" w14:textId="77777777" w:rsidR="008E67EA" w:rsidRPr="003F5182" w:rsidRDefault="008E67EA" w:rsidP="00B44A74">
            <w:pPr>
              <w:spacing w:line="280" w:lineRule="exact"/>
              <w:rPr>
                <w:rFonts w:cs="Arial"/>
                <w:sz w:val="20"/>
                <w:szCs w:val="20"/>
              </w:rPr>
            </w:pPr>
            <w:r w:rsidRPr="003F5182">
              <w:rPr>
                <w:rFonts w:cs="Arial"/>
                <w:sz w:val="20"/>
                <w:szCs w:val="20"/>
              </w:rPr>
              <w:t>Other Limitations:</w:t>
            </w:r>
          </w:p>
        </w:tc>
        <w:tc>
          <w:tcPr>
            <w:tcW w:w="7755" w:type="dxa"/>
            <w:tcBorders>
              <w:top w:val="single" w:sz="4" w:space="0" w:color="auto"/>
              <w:left w:val="single" w:sz="4" w:space="0" w:color="auto"/>
              <w:bottom w:val="single" w:sz="4" w:space="0" w:color="auto"/>
              <w:right w:val="single" w:sz="4" w:space="0" w:color="auto"/>
            </w:tcBorders>
          </w:tcPr>
          <w:p w14:paraId="4BA40C0E" w14:textId="77777777" w:rsidR="008E67EA" w:rsidRPr="003F5182" w:rsidRDefault="008E67EA" w:rsidP="00B44A74">
            <w:pPr>
              <w:spacing w:line="280" w:lineRule="exact"/>
              <w:rPr>
                <w:rFonts w:cs="Arial"/>
                <w:sz w:val="20"/>
                <w:szCs w:val="20"/>
              </w:rPr>
            </w:pPr>
          </w:p>
        </w:tc>
      </w:tr>
      <w:tr w:rsidR="008E67EA" w:rsidRPr="00A96DC6" w14:paraId="38D5A77C" w14:textId="77777777" w:rsidTr="00B44A74">
        <w:trPr>
          <w:jc w:val="center"/>
        </w:trPr>
        <w:tc>
          <w:tcPr>
            <w:tcW w:w="2415" w:type="dxa"/>
            <w:tcBorders>
              <w:top w:val="single" w:sz="4" w:space="0" w:color="auto"/>
              <w:left w:val="nil"/>
              <w:bottom w:val="single" w:sz="4" w:space="0" w:color="auto"/>
              <w:right w:val="nil"/>
            </w:tcBorders>
          </w:tcPr>
          <w:p w14:paraId="1BD7AFE9" w14:textId="77777777" w:rsidR="008E67EA" w:rsidRPr="003F518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C84419B" w14:textId="77777777" w:rsidR="008E67EA" w:rsidRPr="003F5182" w:rsidRDefault="008E67EA" w:rsidP="00B44A74">
            <w:pPr>
              <w:spacing w:line="280" w:lineRule="exact"/>
              <w:rPr>
                <w:rFonts w:cs="Arial"/>
                <w:sz w:val="20"/>
                <w:szCs w:val="20"/>
              </w:rPr>
            </w:pPr>
          </w:p>
        </w:tc>
      </w:tr>
      <w:tr w:rsidR="008E67EA" w:rsidRPr="00A96DC6" w14:paraId="059CF73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7870128" w14:textId="77777777" w:rsidR="008E67EA" w:rsidRPr="003F5182" w:rsidRDefault="008E67EA" w:rsidP="00B44A74">
            <w:pPr>
              <w:spacing w:line="280" w:lineRule="exact"/>
              <w:rPr>
                <w:rFonts w:cs="Arial"/>
                <w:sz w:val="20"/>
                <w:szCs w:val="20"/>
              </w:rPr>
            </w:pPr>
            <w:r w:rsidRPr="003F5182">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114455D1" w14:textId="77777777" w:rsidR="008E67EA" w:rsidRPr="003F5182" w:rsidRDefault="008E67EA" w:rsidP="00B44A74">
            <w:pPr>
              <w:spacing w:line="280" w:lineRule="exact"/>
              <w:rPr>
                <w:rFonts w:cs="Arial"/>
                <w:sz w:val="20"/>
                <w:szCs w:val="20"/>
              </w:rPr>
            </w:pPr>
          </w:p>
        </w:tc>
      </w:tr>
      <w:tr w:rsidR="008E67EA" w:rsidRPr="00A96DC6" w14:paraId="23E9611C" w14:textId="77777777" w:rsidTr="00B44A74">
        <w:trPr>
          <w:jc w:val="center"/>
        </w:trPr>
        <w:tc>
          <w:tcPr>
            <w:tcW w:w="2415" w:type="dxa"/>
            <w:tcBorders>
              <w:top w:val="single" w:sz="4" w:space="0" w:color="auto"/>
              <w:left w:val="nil"/>
              <w:bottom w:val="single" w:sz="4" w:space="0" w:color="auto"/>
              <w:right w:val="nil"/>
            </w:tcBorders>
          </w:tcPr>
          <w:p w14:paraId="71C3B21E" w14:textId="77777777" w:rsidR="008E67EA" w:rsidRPr="003F518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B952640" w14:textId="77777777" w:rsidR="008E67EA" w:rsidRPr="003F5182" w:rsidRDefault="008E67EA" w:rsidP="00B44A74">
            <w:pPr>
              <w:spacing w:line="280" w:lineRule="exact"/>
              <w:rPr>
                <w:rFonts w:cs="Arial"/>
                <w:sz w:val="20"/>
                <w:szCs w:val="20"/>
              </w:rPr>
            </w:pPr>
          </w:p>
        </w:tc>
      </w:tr>
      <w:tr w:rsidR="008E67EA" w:rsidRPr="00A96DC6" w14:paraId="1E97150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B3F2C63" w14:textId="77777777" w:rsidR="008E67EA" w:rsidRPr="003F5182" w:rsidRDefault="008E67EA" w:rsidP="00B44A74">
            <w:pPr>
              <w:spacing w:line="280" w:lineRule="exact"/>
              <w:rPr>
                <w:rFonts w:cs="Arial"/>
                <w:sz w:val="20"/>
                <w:szCs w:val="20"/>
              </w:rPr>
            </w:pPr>
            <w:r w:rsidRPr="003F5182">
              <w:rPr>
                <w:rFonts w:cs="Arial"/>
                <w:sz w:val="20"/>
                <w:szCs w:val="20"/>
              </w:rPr>
              <w:t>Trade Advice:</w:t>
            </w:r>
          </w:p>
        </w:tc>
        <w:tc>
          <w:tcPr>
            <w:tcW w:w="7755" w:type="dxa"/>
            <w:tcBorders>
              <w:top w:val="single" w:sz="4" w:space="0" w:color="auto"/>
              <w:left w:val="single" w:sz="4" w:space="0" w:color="auto"/>
              <w:bottom w:val="single" w:sz="4" w:space="0" w:color="auto"/>
              <w:right w:val="single" w:sz="4" w:space="0" w:color="auto"/>
            </w:tcBorders>
          </w:tcPr>
          <w:p w14:paraId="5196BB2A" w14:textId="77777777" w:rsidR="008E67EA" w:rsidRPr="003F5182" w:rsidRDefault="008E67EA" w:rsidP="00B44A74">
            <w:pPr>
              <w:spacing w:line="280" w:lineRule="exact"/>
              <w:rPr>
                <w:rFonts w:cs="Arial"/>
                <w:sz w:val="20"/>
                <w:szCs w:val="20"/>
              </w:rPr>
            </w:pPr>
          </w:p>
        </w:tc>
      </w:tr>
      <w:tr w:rsidR="008E67EA" w:rsidRPr="00A96DC6" w14:paraId="5B02EA85" w14:textId="77777777" w:rsidTr="00B44A74">
        <w:trPr>
          <w:jc w:val="center"/>
        </w:trPr>
        <w:tc>
          <w:tcPr>
            <w:tcW w:w="2415" w:type="dxa"/>
            <w:tcBorders>
              <w:top w:val="single" w:sz="4" w:space="0" w:color="auto"/>
              <w:left w:val="nil"/>
              <w:bottom w:val="single" w:sz="4" w:space="0" w:color="auto"/>
              <w:right w:val="nil"/>
            </w:tcBorders>
          </w:tcPr>
          <w:p w14:paraId="250D5334" w14:textId="77777777" w:rsidR="008E67EA" w:rsidRPr="003F518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B3DC032" w14:textId="77777777" w:rsidR="008E67EA" w:rsidRPr="003F5182" w:rsidRDefault="008E67EA" w:rsidP="00B44A74">
            <w:pPr>
              <w:spacing w:line="280" w:lineRule="exact"/>
              <w:rPr>
                <w:rFonts w:cs="Arial"/>
                <w:sz w:val="20"/>
                <w:szCs w:val="20"/>
              </w:rPr>
            </w:pPr>
          </w:p>
        </w:tc>
      </w:tr>
      <w:tr w:rsidR="008E67EA" w:rsidRPr="00A96DC6" w14:paraId="0ADE508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9EBDE8A" w14:textId="77777777" w:rsidR="008E67EA" w:rsidRPr="003F5182" w:rsidRDefault="008E67EA" w:rsidP="00B44A74">
            <w:pPr>
              <w:spacing w:line="280" w:lineRule="exact"/>
              <w:rPr>
                <w:rFonts w:cs="Arial"/>
                <w:sz w:val="20"/>
                <w:szCs w:val="20"/>
              </w:rPr>
            </w:pPr>
            <w:r w:rsidRPr="003F5182">
              <w:rPr>
                <w:rFonts w:cs="Arial"/>
                <w:sz w:val="20"/>
                <w:szCs w:val="20"/>
              </w:rPr>
              <w:t>General Directions:</w:t>
            </w:r>
          </w:p>
        </w:tc>
        <w:tc>
          <w:tcPr>
            <w:tcW w:w="7755" w:type="dxa"/>
            <w:tcBorders>
              <w:top w:val="single" w:sz="4" w:space="0" w:color="auto"/>
              <w:left w:val="single" w:sz="4" w:space="0" w:color="auto"/>
              <w:bottom w:val="single" w:sz="4" w:space="0" w:color="auto"/>
              <w:right w:val="single" w:sz="4" w:space="0" w:color="auto"/>
            </w:tcBorders>
          </w:tcPr>
          <w:p w14:paraId="08C50F08" w14:textId="77777777" w:rsidR="008E67EA" w:rsidRPr="003F5182" w:rsidRDefault="008E67EA" w:rsidP="00B44A74">
            <w:pPr>
              <w:spacing w:line="280" w:lineRule="exact"/>
              <w:rPr>
                <w:rFonts w:cs="Arial"/>
                <w:sz w:val="20"/>
                <w:szCs w:val="20"/>
              </w:rPr>
            </w:pPr>
          </w:p>
        </w:tc>
      </w:tr>
      <w:tr w:rsidR="008E67EA" w:rsidRPr="00A96DC6" w14:paraId="00F29298" w14:textId="77777777" w:rsidTr="00B44A74">
        <w:trPr>
          <w:jc w:val="center"/>
        </w:trPr>
        <w:tc>
          <w:tcPr>
            <w:tcW w:w="2415" w:type="dxa"/>
            <w:tcBorders>
              <w:top w:val="single" w:sz="4" w:space="0" w:color="auto"/>
              <w:left w:val="nil"/>
              <w:bottom w:val="single" w:sz="4" w:space="0" w:color="auto"/>
              <w:right w:val="nil"/>
            </w:tcBorders>
          </w:tcPr>
          <w:p w14:paraId="0DC4A58A" w14:textId="77777777" w:rsidR="008E67EA" w:rsidRPr="003F518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C0F45B8" w14:textId="77777777" w:rsidR="008E67EA" w:rsidRPr="003F5182" w:rsidRDefault="008E67EA" w:rsidP="00B44A74">
            <w:pPr>
              <w:spacing w:line="280" w:lineRule="exact"/>
              <w:rPr>
                <w:rFonts w:cs="Arial"/>
                <w:sz w:val="20"/>
                <w:szCs w:val="20"/>
              </w:rPr>
            </w:pPr>
          </w:p>
        </w:tc>
      </w:tr>
      <w:tr w:rsidR="008E67EA" w:rsidRPr="00A96DC6" w14:paraId="3082DC2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4EE7029" w14:textId="77777777" w:rsidR="008E67EA" w:rsidRPr="003F5182" w:rsidRDefault="008E67EA" w:rsidP="00B44A74">
            <w:pPr>
              <w:spacing w:line="280" w:lineRule="exact"/>
              <w:rPr>
                <w:rFonts w:cs="Arial"/>
                <w:sz w:val="20"/>
                <w:szCs w:val="20"/>
              </w:rPr>
            </w:pPr>
            <w:r w:rsidRPr="003F5182">
              <w:rPr>
                <w:rFonts w:cs="Arial"/>
                <w:sz w:val="20"/>
                <w:szCs w:val="20"/>
              </w:rPr>
              <w:t>Resistance Warning:</w:t>
            </w:r>
          </w:p>
        </w:tc>
        <w:tc>
          <w:tcPr>
            <w:tcW w:w="7755" w:type="dxa"/>
            <w:tcBorders>
              <w:top w:val="single" w:sz="4" w:space="0" w:color="auto"/>
              <w:left w:val="single" w:sz="4" w:space="0" w:color="auto"/>
              <w:bottom w:val="single" w:sz="4" w:space="0" w:color="auto"/>
              <w:right w:val="single" w:sz="4" w:space="0" w:color="auto"/>
            </w:tcBorders>
          </w:tcPr>
          <w:p w14:paraId="7A51D5C5" w14:textId="77777777" w:rsidR="008E67EA" w:rsidRPr="003F5182" w:rsidRDefault="008E67EA" w:rsidP="00B44A74">
            <w:pPr>
              <w:spacing w:line="280" w:lineRule="exact"/>
              <w:rPr>
                <w:rFonts w:cs="Arial"/>
                <w:sz w:val="20"/>
                <w:szCs w:val="20"/>
              </w:rPr>
            </w:pPr>
          </w:p>
        </w:tc>
      </w:tr>
      <w:tr w:rsidR="008E67EA" w:rsidRPr="00A96DC6" w14:paraId="1756928C" w14:textId="77777777" w:rsidTr="00B44A74">
        <w:trPr>
          <w:jc w:val="center"/>
        </w:trPr>
        <w:tc>
          <w:tcPr>
            <w:tcW w:w="2415" w:type="dxa"/>
            <w:tcBorders>
              <w:top w:val="single" w:sz="4" w:space="0" w:color="auto"/>
              <w:left w:val="nil"/>
              <w:bottom w:val="single" w:sz="4" w:space="0" w:color="auto"/>
              <w:right w:val="nil"/>
            </w:tcBorders>
          </w:tcPr>
          <w:p w14:paraId="2743B7AE" w14:textId="77777777" w:rsidR="008E67EA" w:rsidRPr="003F518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BEA51F2" w14:textId="77777777" w:rsidR="008E67EA" w:rsidRPr="003F5182" w:rsidRDefault="008E67EA" w:rsidP="00B44A74">
            <w:pPr>
              <w:spacing w:line="280" w:lineRule="exact"/>
              <w:rPr>
                <w:rFonts w:cs="Arial"/>
                <w:sz w:val="20"/>
                <w:szCs w:val="20"/>
              </w:rPr>
            </w:pPr>
          </w:p>
        </w:tc>
      </w:tr>
      <w:tr w:rsidR="008E67EA" w:rsidRPr="00A96DC6" w14:paraId="159EB88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F40D268" w14:textId="77777777" w:rsidR="008E67EA" w:rsidRPr="003F5182" w:rsidRDefault="008E67EA" w:rsidP="00B44A74">
            <w:pPr>
              <w:spacing w:line="280" w:lineRule="exact"/>
              <w:rPr>
                <w:rFonts w:cs="Arial"/>
                <w:sz w:val="20"/>
                <w:szCs w:val="20"/>
              </w:rPr>
            </w:pPr>
            <w:r w:rsidRPr="003F5182">
              <w:rPr>
                <w:rFonts w:cs="Arial"/>
                <w:sz w:val="20"/>
                <w:szCs w:val="20"/>
              </w:rPr>
              <w:t>Precautions:</w:t>
            </w:r>
          </w:p>
        </w:tc>
        <w:tc>
          <w:tcPr>
            <w:tcW w:w="7755" w:type="dxa"/>
            <w:tcBorders>
              <w:top w:val="single" w:sz="4" w:space="0" w:color="auto"/>
              <w:left w:val="single" w:sz="4" w:space="0" w:color="auto"/>
              <w:bottom w:val="single" w:sz="4" w:space="0" w:color="auto"/>
              <w:right w:val="single" w:sz="4" w:space="0" w:color="auto"/>
            </w:tcBorders>
          </w:tcPr>
          <w:p w14:paraId="24D4DFE9" w14:textId="77777777" w:rsidR="008E67EA" w:rsidRPr="003F5182" w:rsidRDefault="008E67EA" w:rsidP="00B44A74">
            <w:pPr>
              <w:spacing w:line="280" w:lineRule="exact"/>
              <w:rPr>
                <w:rFonts w:cs="Arial"/>
                <w:sz w:val="20"/>
                <w:szCs w:val="20"/>
                <w:highlight w:val="yellow"/>
              </w:rPr>
            </w:pPr>
            <w:r w:rsidRPr="003F5182">
              <w:rPr>
                <w:rFonts w:cs="Arial"/>
                <w:color w:val="000000"/>
                <w:sz w:val="20"/>
                <w:szCs w:val="20"/>
              </w:rPr>
              <w:t>PRECAUTIONS</w:t>
            </w:r>
            <w:r w:rsidRPr="003F5182">
              <w:rPr>
                <w:rFonts w:cs="Arial"/>
                <w:color w:val="000000"/>
                <w:sz w:val="20"/>
                <w:szCs w:val="20"/>
              </w:rPr>
              <w:br/>
              <w:t>Caution should be used when baiting near areas where hunting of wildlife may occur. Careful consideration of bait placement is necessary to avoid secondary exposure from contaminated wildlife that may be consumed.</w:t>
            </w:r>
            <w:r w:rsidRPr="003F5182">
              <w:rPr>
                <w:rFonts w:cs="Arial"/>
                <w:color w:val="000000"/>
                <w:sz w:val="20"/>
                <w:szCs w:val="20"/>
              </w:rPr>
              <w:br/>
              <w:t>DO NOT place bait in areas where there is a possibility of contaminating food, livestock feed or surfaces that come in direct contact with food or livestock feed.</w:t>
            </w:r>
          </w:p>
        </w:tc>
      </w:tr>
      <w:tr w:rsidR="008E67EA" w:rsidRPr="00A96DC6" w14:paraId="75B55877" w14:textId="77777777" w:rsidTr="00B44A74">
        <w:trPr>
          <w:jc w:val="center"/>
        </w:trPr>
        <w:tc>
          <w:tcPr>
            <w:tcW w:w="2415" w:type="dxa"/>
            <w:tcBorders>
              <w:top w:val="single" w:sz="4" w:space="0" w:color="auto"/>
              <w:left w:val="nil"/>
              <w:bottom w:val="single" w:sz="4" w:space="0" w:color="auto"/>
              <w:right w:val="nil"/>
            </w:tcBorders>
          </w:tcPr>
          <w:p w14:paraId="0518CB96" w14:textId="77777777" w:rsidR="008E67EA" w:rsidRPr="003F518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346FF1A" w14:textId="77777777" w:rsidR="008E67EA" w:rsidRPr="003F5182" w:rsidRDefault="008E67EA" w:rsidP="00B44A74">
            <w:pPr>
              <w:spacing w:line="280" w:lineRule="exact"/>
              <w:rPr>
                <w:rFonts w:cs="Arial"/>
                <w:sz w:val="20"/>
                <w:szCs w:val="20"/>
              </w:rPr>
            </w:pPr>
          </w:p>
        </w:tc>
      </w:tr>
      <w:tr w:rsidR="008E67EA" w:rsidRPr="00A96DC6" w14:paraId="038D200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90FCD22" w14:textId="77777777" w:rsidR="008E67EA" w:rsidRPr="003F5182" w:rsidRDefault="008E67EA" w:rsidP="00B44A74">
            <w:pPr>
              <w:spacing w:line="280" w:lineRule="exact"/>
              <w:rPr>
                <w:rFonts w:cs="Arial"/>
                <w:sz w:val="20"/>
                <w:szCs w:val="20"/>
              </w:rPr>
            </w:pPr>
            <w:r w:rsidRPr="003F5182">
              <w:rPr>
                <w:rFonts w:cs="Arial"/>
                <w:sz w:val="20"/>
                <w:szCs w:val="20"/>
              </w:rPr>
              <w:t>Protection Statements:</w:t>
            </w:r>
          </w:p>
        </w:tc>
        <w:tc>
          <w:tcPr>
            <w:tcW w:w="7755" w:type="dxa"/>
            <w:tcBorders>
              <w:top w:val="single" w:sz="4" w:space="0" w:color="auto"/>
              <w:left w:val="single" w:sz="4" w:space="0" w:color="auto"/>
              <w:bottom w:val="single" w:sz="4" w:space="0" w:color="auto"/>
              <w:right w:val="single" w:sz="4" w:space="0" w:color="auto"/>
            </w:tcBorders>
          </w:tcPr>
          <w:p w14:paraId="7E3D6D96" w14:textId="77777777" w:rsidR="008E67EA" w:rsidRDefault="008E67EA" w:rsidP="00B44A74">
            <w:pPr>
              <w:spacing w:line="280" w:lineRule="exact"/>
              <w:rPr>
                <w:rFonts w:cs="Arial"/>
                <w:color w:val="000000"/>
                <w:sz w:val="20"/>
                <w:szCs w:val="20"/>
              </w:rPr>
            </w:pPr>
            <w:r w:rsidRPr="003F5182">
              <w:rPr>
                <w:rFonts w:cs="Arial"/>
                <w:color w:val="000000"/>
                <w:sz w:val="20"/>
                <w:szCs w:val="20"/>
              </w:rPr>
              <w:t>PROTECTION OF LIVESTOCK AND WILDLIFE</w:t>
            </w:r>
            <w:r w:rsidRPr="003F5182">
              <w:rPr>
                <w:rFonts w:cs="Arial"/>
                <w:color w:val="000000"/>
                <w:sz w:val="20"/>
                <w:szCs w:val="20"/>
              </w:rPr>
              <w:br/>
              <w:t>Hazardous to livestock, poultry and wildlife. DO NOT place baits in locations that are accessible to domestic animals, livestock, non-target native animals or birds.</w:t>
            </w:r>
            <w:r w:rsidRPr="003F5182">
              <w:rPr>
                <w:rFonts w:cs="Arial"/>
                <w:color w:val="000000"/>
                <w:sz w:val="20"/>
                <w:szCs w:val="20"/>
              </w:rPr>
              <w:br/>
              <w:t xml:space="preserve">Search for and dispose of dead rodents and slugs/snails in the infested area at each visit to prevent secondary poisoning. In case slugs/snails are present, move bait station to another location within the rodent infested site, away from slugs/snails. Dispose of slugs/snails in a way non-target animals are not exposed. Dispose of dead rodents and uneaten bait in compliance with local, state or territory government regulations. </w:t>
            </w:r>
            <w:r w:rsidRPr="003F5182">
              <w:rPr>
                <w:rFonts w:cs="Arial"/>
                <w:color w:val="000000"/>
                <w:sz w:val="20"/>
                <w:szCs w:val="20"/>
              </w:rPr>
              <w:br/>
              <w:t>DO NOT allow livestock or poultry to consume dead or moribund mice and rats. All dead or moribund animals and rodent faeces from baited rodents MUST be removed from areas accessible to livestock or poultry.</w:t>
            </w:r>
            <w:r w:rsidRPr="003F5182">
              <w:rPr>
                <w:rFonts w:cs="Arial"/>
                <w:color w:val="000000"/>
                <w:sz w:val="20"/>
                <w:szCs w:val="20"/>
              </w:rPr>
              <w:br/>
              <w:t>The use of this product for the control of protected native rodents requires permission from wildlife authorities.</w:t>
            </w:r>
          </w:p>
          <w:p w14:paraId="15A20456" w14:textId="77777777" w:rsidR="008E67EA" w:rsidRPr="003F5182" w:rsidRDefault="008E67EA" w:rsidP="00B44A74">
            <w:pPr>
              <w:spacing w:line="280" w:lineRule="exact"/>
              <w:rPr>
                <w:rFonts w:cs="Arial"/>
                <w:sz w:val="20"/>
                <w:szCs w:val="20"/>
              </w:rPr>
            </w:pPr>
            <w:r w:rsidRPr="003F5182">
              <w:rPr>
                <w:rFonts w:cs="Arial"/>
                <w:color w:val="000000"/>
                <w:sz w:val="20"/>
                <w:szCs w:val="20"/>
              </w:rPr>
              <w:br/>
              <w:t>PROTECTION OF FISH, CRUSTACEANS AND ENVIRONMENT</w:t>
            </w:r>
            <w:r w:rsidRPr="003F5182">
              <w:rPr>
                <w:rFonts w:cs="Arial"/>
                <w:color w:val="000000"/>
                <w:sz w:val="20"/>
                <w:szCs w:val="20"/>
              </w:rPr>
              <w:br/>
              <w:t>Toxic to aquatic life. DO NOT contaminate wetlands or watercourses with this product or used containers. Place the bait stations in areas not liable to flooding. When placing bait stations close to water drainage systems, ensure that bait contact with water is avoided.</w:t>
            </w:r>
          </w:p>
        </w:tc>
      </w:tr>
      <w:tr w:rsidR="008E67EA" w:rsidRPr="00A96DC6" w14:paraId="369F2AC8" w14:textId="77777777" w:rsidTr="00B44A74">
        <w:trPr>
          <w:jc w:val="center"/>
        </w:trPr>
        <w:tc>
          <w:tcPr>
            <w:tcW w:w="2415" w:type="dxa"/>
            <w:tcBorders>
              <w:top w:val="single" w:sz="4" w:space="0" w:color="auto"/>
              <w:left w:val="nil"/>
              <w:bottom w:val="single" w:sz="4" w:space="0" w:color="auto"/>
              <w:right w:val="nil"/>
            </w:tcBorders>
          </w:tcPr>
          <w:p w14:paraId="581161C9" w14:textId="77777777" w:rsidR="008E67EA" w:rsidRPr="003F518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DE1484B" w14:textId="77777777" w:rsidR="008E67EA" w:rsidRPr="003F5182" w:rsidRDefault="008E67EA" w:rsidP="00B44A74">
            <w:pPr>
              <w:spacing w:line="280" w:lineRule="exact"/>
              <w:rPr>
                <w:rFonts w:cs="Arial"/>
                <w:sz w:val="20"/>
                <w:szCs w:val="20"/>
              </w:rPr>
            </w:pPr>
          </w:p>
        </w:tc>
      </w:tr>
      <w:tr w:rsidR="008E67EA" w:rsidRPr="00A96DC6" w14:paraId="4434ACA9"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33903B7" w14:textId="77777777" w:rsidR="008E67EA" w:rsidRPr="003F5182" w:rsidRDefault="008E67EA" w:rsidP="00B44A74">
            <w:pPr>
              <w:spacing w:line="280" w:lineRule="exact"/>
              <w:rPr>
                <w:rFonts w:cs="Arial"/>
                <w:sz w:val="20"/>
                <w:szCs w:val="20"/>
              </w:rPr>
            </w:pPr>
            <w:r w:rsidRPr="003F5182">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0D503AC8" w14:textId="77777777" w:rsidR="008E67EA" w:rsidRPr="003F5182" w:rsidRDefault="008E67EA" w:rsidP="00B44A74">
            <w:pPr>
              <w:spacing w:line="280" w:lineRule="exact"/>
              <w:rPr>
                <w:rFonts w:cs="Arial"/>
                <w:color w:val="000000"/>
                <w:sz w:val="20"/>
                <w:szCs w:val="20"/>
              </w:rPr>
            </w:pPr>
            <w:r w:rsidRPr="003F5182">
              <w:rPr>
                <w:rFonts w:cs="Arial"/>
                <w:color w:val="000000"/>
                <w:sz w:val="20"/>
                <w:szCs w:val="20"/>
              </w:rPr>
              <w:t>STORAGE AND DISPOSAL</w:t>
            </w:r>
          </w:p>
          <w:p w14:paraId="59EBC014" w14:textId="77777777" w:rsidR="008E67EA" w:rsidRPr="003F5182" w:rsidRDefault="008E67EA" w:rsidP="00B44A74">
            <w:pPr>
              <w:spacing w:line="280" w:lineRule="exact"/>
              <w:rPr>
                <w:rFonts w:cs="Arial"/>
                <w:color w:val="000000"/>
                <w:sz w:val="20"/>
                <w:szCs w:val="20"/>
              </w:rPr>
            </w:pPr>
            <w:r w:rsidRPr="003F5182">
              <w:rPr>
                <w:rFonts w:cs="Arial"/>
                <w:color w:val="000000"/>
                <w:sz w:val="20"/>
                <w:szCs w:val="20"/>
              </w:rPr>
              <w:t>Store in the closed original container in a cool, well-ventilated area. Do not store for</w:t>
            </w:r>
            <w:r w:rsidRPr="003F5182">
              <w:rPr>
                <w:rFonts w:cs="Arial"/>
                <w:color w:val="000000"/>
                <w:sz w:val="20"/>
                <w:szCs w:val="20"/>
              </w:rPr>
              <w:br/>
              <w:t>prolonged periods in direct sunlight. Triple rinse containers before disposal. Break, crush or puncture and deliver empty packaging to an approved waste management facility. If an approved waste management facility is not available, dispose of empty packaging in compliance with relevant local, state or territory government regulations.</w:t>
            </w:r>
            <w:r>
              <w:rPr>
                <w:rFonts w:cs="Arial"/>
                <w:color w:val="000000"/>
                <w:sz w:val="20"/>
                <w:szCs w:val="20"/>
              </w:rPr>
              <w:t xml:space="preserve"> </w:t>
            </w:r>
            <w:r w:rsidRPr="005E538D">
              <w:rPr>
                <w:rFonts w:cs="Arial"/>
                <w:sz w:val="20"/>
                <w:szCs w:val="20"/>
                <w:bdr w:val="none" w:sz="0" w:space="0" w:color="auto" w:frame="1"/>
                <w:lang w:val="en-GB" w:eastAsia="en-AU"/>
              </w:rPr>
              <w:t>Dispose of unused product in compliance with relevant local, state or territory government regulations.</w:t>
            </w:r>
            <w:r w:rsidRPr="003F5182">
              <w:rPr>
                <w:rFonts w:cs="Arial"/>
                <w:color w:val="000000"/>
                <w:sz w:val="20"/>
                <w:szCs w:val="20"/>
              </w:rPr>
              <w:t xml:space="preserve"> DO NOT burn empty containers or product.</w:t>
            </w:r>
          </w:p>
        </w:tc>
      </w:tr>
      <w:tr w:rsidR="008E67EA" w:rsidRPr="00A96DC6" w14:paraId="14E0160D" w14:textId="77777777" w:rsidTr="00B44A74">
        <w:trPr>
          <w:jc w:val="center"/>
        </w:trPr>
        <w:tc>
          <w:tcPr>
            <w:tcW w:w="2415" w:type="dxa"/>
            <w:tcBorders>
              <w:top w:val="single" w:sz="4" w:space="0" w:color="auto"/>
              <w:left w:val="nil"/>
              <w:bottom w:val="single" w:sz="4" w:space="0" w:color="auto"/>
              <w:right w:val="nil"/>
            </w:tcBorders>
          </w:tcPr>
          <w:p w14:paraId="33D0B0BA" w14:textId="77777777" w:rsidR="008E67EA" w:rsidRPr="003F518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818A789" w14:textId="77777777" w:rsidR="008E67EA" w:rsidRPr="003F5182" w:rsidRDefault="008E67EA" w:rsidP="00B44A74">
            <w:pPr>
              <w:spacing w:line="280" w:lineRule="exact"/>
              <w:rPr>
                <w:rFonts w:cs="Arial"/>
                <w:color w:val="000000"/>
                <w:sz w:val="20"/>
                <w:szCs w:val="20"/>
              </w:rPr>
            </w:pPr>
          </w:p>
        </w:tc>
      </w:tr>
      <w:tr w:rsidR="008E67EA" w:rsidRPr="00A96DC6" w14:paraId="78AD898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3BABE0C" w14:textId="77777777" w:rsidR="008E67EA" w:rsidRPr="003F5182" w:rsidRDefault="008E67EA" w:rsidP="00B44A74">
            <w:pPr>
              <w:spacing w:line="280" w:lineRule="exact"/>
              <w:rPr>
                <w:rFonts w:cs="Arial"/>
                <w:sz w:val="20"/>
                <w:szCs w:val="20"/>
              </w:rPr>
            </w:pPr>
            <w:r w:rsidRPr="003F5182">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5E19BD95" w14:textId="77777777" w:rsidR="008E67EA" w:rsidRPr="003F5182" w:rsidRDefault="008E67EA" w:rsidP="00B44A74">
            <w:pPr>
              <w:spacing w:line="280" w:lineRule="exact"/>
              <w:rPr>
                <w:rFonts w:cs="Arial"/>
                <w:color w:val="000000"/>
                <w:sz w:val="20"/>
                <w:szCs w:val="20"/>
              </w:rPr>
            </w:pPr>
            <w:r w:rsidRPr="003F5182">
              <w:rPr>
                <w:rFonts w:cs="Arial"/>
                <w:color w:val="000000"/>
                <w:sz w:val="20"/>
                <w:szCs w:val="20"/>
              </w:rPr>
              <w:t>SAFETY DIRECTIONS</w:t>
            </w:r>
          </w:p>
          <w:p w14:paraId="1C8AD446" w14:textId="2E4C21C4" w:rsidR="008E67EA" w:rsidRPr="003F5182" w:rsidRDefault="008E67EA" w:rsidP="00B44A74">
            <w:pPr>
              <w:spacing w:line="280" w:lineRule="exact"/>
              <w:rPr>
                <w:rFonts w:cs="Arial"/>
                <w:color w:val="000000"/>
                <w:sz w:val="20"/>
                <w:szCs w:val="20"/>
              </w:rPr>
            </w:pPr>
            <w:r w:rsidRPr="003F5182">
              <w:rPr>
                <w:rFonts w:cs="Arial"/>
                <w:color w:val="000000"/>
                <w:sz w:val="20"/>
                <w:szCs w:val="20"/>
              </w:rPr>
              <w:t>Repeated minor exposure may have a cumulative poisoning effect. Do not touch bait. When using the product wear disposable gloves. If on skin and after each baiting, wash thoroughly with soap and water.</w:t>
            </w:r>
          </w:p>
          <w:p w14:paraId="14FE3E6D" w14:textId="68A0CCE2" w:rsidR="008E67EA" w:rsidRPr="003F5182" w:rsidRDefault="008E67EA" w:rsidP="00B44A74">
            <w:pPr>
              <w:spacing w:line="280" w:lineRule="exact"/>
              <w:rPr>
                <w:rFonts w:cs="Arial"/>
                <w:color w:val="000000"/>
                <w:sz w:val="20"/>
                <w:szCs w:val="20"/>
              </w:rPr>
            </w:pPr>
            <w:r w:rsidRPr="003F5182">
              <w:rPr>
                <w:rFonts w:cs="Arial"/>
                <w:color w:val="000000"/>
                <w:sz w:val="20"/>
                <w:szCs w:val="20"/>
              </w:rPr>
              <w:t>During cleanup and disposal operations of bait and bait stations, wear a single layer of clothing and disposable gloves. Wear disposable gloves when handling rodent carcasses. Wash clothes after performing re-handling activities.</w:t>
            </w:r>
          </w:p>
        </w:tc>
      </w:tr>
      <w:tr w:rsidR="008E67EA" w:rsidRPr="00A96DC6" w14:paraId="25F1AFF8" w14:textId="77777777" w:rsidTr="00B44A74">
        <w:trPr>
          <w:jc w:val="center"/>
        </w:trPr>
        <w:tc>
          <w:tcPr>
            <w:tcW w:w="2415" w:type="dxa"/>
            <w:tcBorders>
              <w:top w:val="single" w:sz="4" w:space="0" w:color="auto"/>
              <w:left w:val="nil"/>
              <w:bottom w:val="single" w:sz="4" w:space="0" w:color="auto"/>
              <w:right w:val="nil"/>
            </w:tcBorders>
          </w:tcPr>
          <w:p w14:paraId="3481E725" w14:textId="77777777" w:rsidR="008E67EA" w:rsidRPr="003F518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68D4DE1" w14:textId="77777777" w:rsidR="008E67EA" w:rsidRPr="003F5182" w:rsidRDefault="008E67EA" w:rsidP="00B44A74">
            <w:pPr>
              <w:spacing w:line="280" w:lineRule="exact"/>
              <w:rPr>
                <w:rFonts w:cs="Arial"/>
                <w:color w:val="000000"/>
                <w:sz w:val="20"/>
                <w:szCs w:val="20"/>
              </w:rPr>
            </w:pPr>
          </w:p>
        </w:tc>
      </w:tr>
      <w:tr w:rsidR="008E67EA" w:rsidRPr="00A96DC6" w14:paraId="37E46B1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3F8810E" w14:textId="77777777" w:rsidR="008E67EA" w:rsidRPr="003F5182" w:rsidRDefault="008E67EA" w:rsidP="00B44A74">
            <w:pPr>
              <w:spacing w:line="280" w:lineRule="exact"/>
              <w:rPr>
                <w:rFonts w:cs="Arial"/>
                <w:sz w:val="20"/>
                <w:szCs w:val="20"/>
              </w:rPr>
            </w:pPr>
            <w:r w:rsidRPr="003F5182">
              <w:rPr>
                <w:rFonts w:cs="Arial"/>
                <w:sz w:val="20"/>
                <w:szCs w:val="20"/>
              </w:rPr>
              <w:lastRenderedPageBreak/>
              <w:t>First Aid Instructions:</w:t>
            </w:r>
          </w:p>
        </w:tc>
        <w:tc>
          <w:tcPr>
            <w:tcW w:w="7755" w:type="dxa"/>
            <w:tcBorders>
              <w:top w:val="single" w:sz="4" w:space="0" w:color="auto"/>
              <w:left w:val="single" w:sz="4" w:space="0" w:color="auto"/>
              <w:bottom w:val="single" w:sz="4" w:space="0" w:color="auto"/>
              <w:right w:val="single" w:sz="4" w:space="0" w:color="auto"/>
            </w:tcBorders>
          </w:tcPr>
          <w:p w14:paraId="2F7BC643" w14:textId="77777777" w:rsidR="008E67EA" w:rsidRPr="003F5182" w:rsidRDefault="008E67EA" w:rsidP="00B44A74">
            <w:pPr>
              <w:spacing w:line="280" w:lineRule="exact"/>
              <w:rPr>
                <w:rFonts w:cs="Arial"/>
                <w:color w:val="000000"/>
                <w:sz w:val="20"/>
                <w:szCs w:val="20"/>
              </w:rPr>
            </w:pPr>
            <w:r w:rsidRPr="003F5182">
              <w:rPr>
                <w:rFonts w:cs="Arial"/>
                <w:color w:val="000000"/>
                <w:sz w:val="20"/>
                <w:szCs w:val="20"/>
              </w:rPr>
              <w:t>FIRST AID</w:t>
            </w:r>
          </w:p>
          <w:p w14:paraId="3A71B974" w14:textId="77777777" w:rsidR="008E67EA" w:rsidRPr="003F5182" w:rsidRDefault="008E67EA" w:rsidP="00B44A74">
            <w:pPr>
              <w:spacing w:line="280" w:lineRule="exact"/>
              <w:rPr>
                <w:rFonts w:cs="Arial"/>
                <w:color w:val="000000"/>
                <w:sz w:val="20"/>
                <w:szCs w:val="20"/>
              </w:rPr>
            </w:pPr>
            <w:r w:rsidRPr="003F5182">
              <w:rPr>
                <w:rFonts w:cs="Arial"/>
                <w:color w:val="000000"/>
                <w:sz w:val="20"/>
                <w:szCs w:val="20"/>
              </w:rPr>
              <w:t>If poisoning occurs, contact a doctor or Poisons Information Centre. Phone Australia 13 11 26, New Zealand 0800 764 766. Vitamin K1 (Phytomenadione) is antidotal.</w:t>
            </w:r>
          </w:p>
        </w:tc>
      </w:tr>
      <w:tr w:rsidR="008E67EA" w:rsidRPr="00A96DC6" w14:paraId="443BC87C" w14:textId="77777777" w:rsidTr="00B44A74">
        <w:trPr>
          <w:jc w:val="center"/>
        </w:trPr>
        <w:tc>
          <w:tcPr>
            <w:tcW w:w="2415" w:type="dxa"/>
            <w:tcBorders>
              <w:top w:val="single" w:sz="4" w:space="0" w:color="auto"/>
              <w:left w:val="nil"/>
              <w:bottom w:val="single" w:sz="4" w:space="0" w:color="auto"/>
              <w:right w:val="nil"/>
            </w:tcBorders>
          </w:tcPr>
          <w:p w14:paraId="50EC0912" w14:textId="77777777" w:rsidR="008E67EA" w:rsidRPr="003F5182"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A24E397" w14:textId="77777777" w:rsidR="008E67EA" w:rsidRPr="003F5182" w:rsidRDefault="008E67EA" w:rsidP="00B44A74">
            <w:pPr>
              <w:spacing w:line="280" w:lineRule="exact"/>
              <w:rPr>
                <w:rFonts w:cs="Arial"/>
                <w:sz w:val="20"/>
                <w:szCs w:val="20"/>
              </w:rPr>
            </w:pPr>
          </w:p>
        </w:tc>
      </w:tr>
      <w:tr w:rsidR="008E67EA" w:rsidRPr="00A96DC6" w14:paraId="77EDB48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4871277" w14:textId="77777777" w:rsidR="008E67EA" w:rsidRPr="003F5182" w:rsidRDefault="008E67EA" w:rsidP="00B44A74">
            <w:pPr>
              <w:spacing w:line="280" w:lineRule="exact"/>
              <w:rPr>
                <w:rFonts w:cs="Arial"/>
                <w:sz w:val="20"/>
                <w:szCs w:val="20"/>
              </w:rPr>
            </w:pPr>
            <w:r w:rsidRPr="003F5182">
              <w:rPr>
                <w:rFonts w:cs="Arial"/>
                <w:sz w:val="20"/>
                <w:szCs w:val="20"/>
              </w:rPr>
              <w:t>First Aid Warnings:</w:t>
            </w:r>
          </w:p>
        </w:tc>
        <w:tc>
          <w:tcPr>
            <w:tcW w:w="7755" w:type="dxa"/>
            <w:tcBorders>
              <w:top w:val="single" w:sz="4" w:space="0" w:color="auto"/>
              <w:left w:val="single" w:sz="4" w:space="0" w:color="auto"/>
              <w:bottom w:val="single" w:sz="4" w:space="0" w:color="auto"/>
              <w:right w:val="single" w:sz="4" w:space="0" w:color="auto"/>
            </w:tcBorders>
          </w:tcPr>
          <w:p w14:paraId="0CDC3BC5" w14:textId="77777777" w:rsidR="008E67EA" w:rsidRPr="003F5182" w:rsidRDefault="008E67EA" w:rsidP="00B44A74">
            <w:pPr>
              <w:spacing w:line="280" w:lineRule="exact"/>
              <w:rPr>
                <w:rFonts w:cs="Arial"/>
                <w:sz w:val="20"/>
                <w:szCs w:val="20"/>
              </w:rPr>
            </w:pPr>
          </w:p>
        </w:tc>
      </w:tr>
    </w:tbl>
    <w:p w14:paraId="75348A11" w14:textId="77777777" w:rsidR="008E67EA" w:rsidRPr="003F5182" w:rsidRDefault="008E67EA" w:rsidP="008E67EA">
      <w:pPr>
        <w:rPr>
          <w:rFonts w:cs="Arial"/>
          <w:sz w:val="20"/>
          <w:szCs w:val="20"/>
        </w:rPr>
      </w:pPr>
    </w:p>
    <w:p w14:paraId="7BA1B053" w14:textId="77777777" w:rsidR="008E67EA" w:rsidRPr="00FF36BF" w:rsidRDefault="008E67EA" w:rsidP="008E67EA">
      <w:pPr>
        <w:spacing w:line="280" w:lineRule="exact"/>
        <w:rPr>
          <w:rFonts w:cs="Arial"/>
          <w:b/>
          <w:bCs/>
          <w:sz w:val="20"/>
          <w:szCs w:val="20"/>
        </w:rPr>
      </w:pPr>
      <w:r w:rsidRPr="00FF36BF">
        <w:rPr>
          <w:rFonts w:cs="Arial"/>
          <w:b/>
          <w:bCs/>
          <w:sz w:val="20"/>
          <w:szCs w:val="20"/>
        </w:rPr>
        <w:t>DIRECTIONS FOR USE</w:t>
      </w:r>
    </w:p>
    <w:tbl>
      <w:tblPr>
        <w:tblStyle w:val="TableGrid"/>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1418"/>
        <w:gridCol w:w="1242"/>
        <w:gridCol w:w="3051"/>
      </w:tblGrid>
      <w:tr w:rsidR="008E67EA" w:rsidRPr="00A27FD2" w14:paraId="195793F3" w14:textId="77777777" w:rsidTr="00FF707A">
        <w:trPr>
          <w:trHeight w:val="340"/>
        </w:trPr>
        <w:tc>
          <w:tcPr>
            <w:tcW w:w="3289" w:type="dxa"/>
          </w:tcPr>
          <w:p w14:paraId="04F64DA0" w14:textId="77777777" w:rsidR="008E67EA" w:rsidRPr="00382A84" w:rsidRDefault="008E67EA" w:rsidP="00B44A74">
            <w:pPr>
              <w:spacing w:line="280" w:lineRule="exact"/>
              <w:rPr>
                <w:rFonts w:cs="Arial"/>
                <w:b/>
                <w:bCs/>
                <w:szCs w:val="18"/>
              </w:rPr>
            </w:pPr>
            <w:r w:rsidRPr="00382A84">
              <w:rPr>
                <w:rFonts w:cs="Arial"/>
                <w:b/>
                <w:bCs/>
                <w:szCs w:val="18"/>
              </w:rPr>
              <w:t>SITUATION</w:t>
            </w:r>
          </w:p>
        </w:tc>
        <w:tc>
          <w:tcPr>
            <w:tcW w:w="1418" w:type="dxa"/>
          </w:tcPr>
          <w:p w14:paraId="780CB522" w14:textId="77777777" w:rsidR="008E67EA" w:rsidRPr="00382A84" w:rsidRDefault="008E67EA" w:rsidP="00B44A74">
            <w:pPr>
              <w:spacing w:line="280" w:lineRule="exact"/>
              <w:rPr>
                <w:rFonts w:cs="Arial"/>
                <w:b/>
                <w:bCs/>
                <w:szCs w:val="18"/>
              </w:rPr>
            </w:pPr>
            <w:r w:rsidRPr="00382A84">
              <w:rPr>
                <w:rFonts w:cs="Arial"/>
                <w:b/>
                <w:bCs/>
                <w:szCs w:val="18"/>
              </w:rPr>
              <w:t>PEST</w:t>
            </w:r>
          </w:p>
        </w:tc>
        <w:tc>
          <w:tcPr>
            <w:tcW w:w="1242" w:type="dxa"/>
          </w:tcPr>
          <w:p w14:paraId="1A8DDA88" w14:textId="77777777" w:rsidR="008E67EA" w:rsidRPr="00382A84" w:rsidRDefault="008E67EA" w:rsidP="00B44A74">
            <w:pPr>
              <w:spacing w:line="280" w:lineRule="exact"/>
              <w:rPr>
                <w:rFonts w:cs="Arial"/>
                <w:b/>
                <w:bCs/>
                <w:szCs w:val="18"/>
              </w:rPr>
            </w:pPr>
            <w:r w:rsidRPr="00382A84">
              <w:rPr>
                <w:rFonts w:cs="Arial"/>
                <w:b/>
                <w:bCs/>
                <w:szCs w:val="18"/>
              </w:rPr>
              <w:t>RATE</w:t>
            </w:r>
          </w:p>
        </w:tc>
        <w:tc>
          <w:tcPr>
            <w:tcW w:w="3051" w:type="dxa"/>
          </w:tcPr>
          <w:p w14:paraId="4F054C93" w14:textId="77777777" w:rsidR="008E67EA" w:rsidRPr="00382A84" w:rsidRDefault="008E67EA" w:rsidP="00B44A74">
            <w:pPr>
              <w:spacing w:line="280" w:lineRule="exact"/>
              <w:rPr>
                <w:rFonts w:cs="Arial"/>
                <w:b/>
                <w:bCs/>
                <w:szCs w:val="18"/>
              </w:rPr>
            </w:pPr>
            <w:r w:rsidRPr="00382A84">
              <w:rPr>
                <w:rFonts w:cs="Arial"/>
                <w:b/>
                <w:bCs/>
                <w:szCs w:val="18"/>
              </w:rPr>
              <w:t>CRITICAL COMMENTS</w:t>
            </w:r>
          </w:p>
        </w:tc>
      </w:tr>
      <w:tr w:rsidR="008E67EA" w:rsidRPr="00A27FD2" w14:paraId="55A35123" w14:textId="77777777" w:rsidTr="00FF707A">
        <w:trPr>
          <w:trHeight w:val="841"/>
        </w:trPr>
        <w:tc>
          <w:tcPr>
            <w:tcW w:w="3289" w:type="dxa"/>
          </w:tcPr>
          <w:p w14:paraId="4FD37E02" w14:textId="77777777" w:rsidR="008E67EA" w:rsidRPr="00382A84" w:rsidRDefault="008E67EA" w:rsidP="00B44A74">
            <w:pPr>
              <w:spacing w:after="120" w:line="240" w:lineRule="exact"/>
              <w:rPr>
                <w:rFonts w:cs="Arial"/>
                <w:bCs/>
                <w:spacing w:val="-2"/>
                <w:w w:val="105"/>
                <w:szCs w:val="18"/>
              </w:rPr>
            </w:pPr>
            <w:r w:rsidRPr="003F5182">
              <w:rPr>
                <w:rFonts w:cs="Arial"/>
                <w:bCs/>
                <w:spacing w:val="-2"/>
                <w:w w:val="105"/>
                <w:szCs w:val="18"/>
              </w:rPr>
              <w:t>In and around (within 2 meters) industrial, commercial, public services and domestic buildings.</w:t>
            </w:r>
          </w:p>
        </w:tc>
        <w:tc>
          <w:tcPr>
            <w:tcW w:w="1418" w:type="dxa"/>
          </w:tcPr>
          <w:p w14:paraId="7F95FD6C" w14:textId="77777777" w:rsidR="008E67EA" w:rsidRPr="006469D5" w:rsidRDefault="008E67EA" w:rsidP="00B44A74">
            <w:pPr>
              <w:spacing w:after="120" w:line="240" w:lineRule="exact"/>
              <w:rPr>
                <w:rFonts w:cs="Arial"/>
                <w:szCs w:val="18"/>
              </w:rPr>
            </w:pPr>
            <w:r w:rsidRPr="006469D5">
              <w:rPr>
                <w:rFonts w:cs="Arial"/>
                <w:bCs/>
                <w:spacing w:val="-2"/>
                <w:w w:val="105"/>
                <w:szCs w:val="18"/>
              </w:rPr>
              <w:t>Rats (</w:t>
            </w:r>
            <w:r w:rsidRPr="006469D5">
              <w:rPr>
                <w:rFonts w:cs="Arial"/>
                <w:bCs/>
                <w:i/>
                <w:iCs/>
                <w:spacing w:val="-2"/>
                <w:w w:val="105"/>
                <w:szCs w:val="18"/>
              </w:rPr>
              <w:t>Rattus norvegius, Rattus rattus</w:t>
            </w:r>
            <w:r w:rsidRPr="006469D5">
              <w:rPr>
                <w:rFonts w:cs="Arial"/>
                <w:bCs/>
                <w:spacing w:val="-2"/>
                <w:w w:val="105"/>
                <w:szCs w:val="18"/>
              </w:rPr>
              <w:t>)</w:t>
            </w:r>
          </w:p>
        </w:tc>
        <w:tc>
          <w:tcPr>
            <w:tcW w:w="1242" w:type="dxa"/>
            <w:vMerge w:val="restart"/>
          </w:tcPr>
          <w:p w14:paraId="38280B40" w14:textId="77777777" w:rsidR="008E67EA" w:rsidRPr="00382A84" w:rsidRDefault="008E67EA" w:rsidP="00B44A74">
            <w:pPr>
              <w:spacing w:after="120" w:line="240" w:lineRule="exact"/>
              <w:rPr>
                <w:rFonts w:cs="Arial"/>
                <w:bCs/>
                <w:spacing w:val="-2"/>
                <w:w w:val="105"/>
                <w:szCs w:val="18"/>
              </w:rPr>
            </w:pPr>
            <w:r w:rsidRPr="003F5182">
              <w:rPr>
                <w:rFonts w:cs="Arial"/>
                <w:bCs/>
                <w:spacing w:val="-2"/>
                <w:w w:val="105"/>
                <w:szCs w:val="18"/>
              </w:rPr>
              <w:t>3-4 grams of bait (two pumps of the gun)</w:t>
            </w:r>
            <w:r>
              <w:rPr>
                <w:rFonts w:cs="Arial"/>
                <w:bCs/>
                <w:spacing w:val="-2"/>
                <w:w w:val="105"/>
                <w:szCs w:val="18"/>
              </w:rPr>
              <w:t xml:space="preserve"> per bait station</w:t>
            </w:r>
          </w:p>
        </w:tc>
        <w:tc>
          <w:tcPr>
            <w:tcW w:w="3051" w:type="dxa"/>
            <w:vMerge w:val="restart"/>
          </w:tcPr>
          <w:p w14:paraId="73446931" w14:textId="77777777" w:rsidR="008E67EA" w:rsidRDefault="008E67EA" w:rsidP="00B44A74">
            <w:pPr>
              <w:spacing w:after="120" w:line="240" w:lineRule="exact"/>
              <w:rPr>
                <w:rFonts w:cs="Arial"/>
                <w:bCs/>
                <w:spacing w:val="-2"/>
                <w:w w:val="105"/>
                <w:szCs w:val="18"/>
              </w:rPr>
            </w:pPr>
            <w:r w:rsidRPr="00EE18EA">
              <w:rPr>
                <w:rFonts w:cs="Arial"/>
                <w:bCs/>
                <w:spacing w:val="-2"/>
                <w:w w:val="105"/>
                <w:szCs w:val="18"/>
              </w:rPr>
              <w:t>Use only in caulking gun</w:t>
            </w:r>
            <w:r>
              <w:rPr>
                <w:rFonts w:cs="Arial"/>
                <w:bCs/>
                <w:spacing w:val="-2"/>
                <w:w w:val="105"/>
                <w:szCs w:val="18"/>
              </w:rPr>
              <w:t xml:space="preserve"> and apply directly into bait station.</w:t>
            </w:r>
          </w:p>
          <w:p w14:paraId="22847FED" w14:textId="39B82D5A" w:rsidR="008E67EA" w:rsidRDefault="008E67EA" w:rsidP="00B44A74">
            <w:pPr>
              <w:spacing w:after="120" w:line="240" w:lineRule="exact"/>
              <w:rPr>
                <w:rFonts w:cs="Arial"/>
                <w:bCs/>
                <w:spacing w:val="-2"/>
                <w:w w:val="105"/>
                <w:szCs w:val="18"/>
              </w:rPr>
            </w:pPr>
            <w:r>
              <w:rPr>
                <w:rFonts w:cs="Arial"/>
                <w:bCs/>
                <w:spacing w:val="-2"/>
                <w:w w:val="105"/>
                <w:szCs w:val="18"/>
              </w:rPr>
              <w:t>Place bait stations in infested areas.</w:t>
            </w:r>
          </w:p>
          <w:p w14:paraId="502C7C24" w14:textId="77777777" w:rsidR="008E67EA" w:rsidRPr="00382A84" w:rsidRDefault="008E67EA" w:rsidP="00B44A74">
            <w:pPr>
              <w:spacing w:after="120" w:line="240" w:lineRule="exact"/>
              <w:rPr>
                <w:rFonts w:cs="Arial"/>
                <w:bCs/>
                <w:spacing w:val="-2"/>
                <w:w w:val="105"/>
                <w:szCs w:val="18"/>
              </w:rPr>
            </w:pPr>
            <w:r w:rsidRPr="00EE18EA">
              <w:rPr>
                <w:rFonts w:cs="Arial"/>
                <w:bCs/>
                <w:spacing w:val="-2"/>
                <w:w w:val="105"/>
                <w:szCs w:val="18"/>
              </w:rPr>
              <w:t>DO NOT exceed 3 m between bait stations for mice or 9 m for rats.</w:t>
            </w:r>
          </w:p>
        </w:tc>
      </w:tr>
      <w:tr w:rsidR="008E67EA" w:rsidRPr="00A27FD2" w14:paraId="206E95CD" w14:textId="77777777" w:rsidTr="00FF707A">
        <w:trPr>
          <w:trHeight w:val="538"/>
        </w:trPr>
        <w:tc>
          <w:tcPr>
            <w:tcW w:w="3289" w:type="dxa"/>
          </w:tcPr>
          <w:p w14:paraId="756C804E" w14:textId="77777777" w:rsidR="008E67EA" w:rsidRPr="00382A84" w:rsidRDefault="008E67EA" w:rsidP="00B44A74">
            <w:pPr>
              <w:spacing w:after="120" w:line="240" w:lineRule="exact"/>
              <w:rPr>
                <w:rFonts w:cs="Arial"/>
                <w:bCs/>
                <w:spacing w:val="-2"/>
                <w:w w:val="105"/>
                <w:szCs w:val="18"/>
              </w:rPr>
            </w:pPr>
            <w:r w:rsidRPr="003F5182">
              <w:rPr>
                <w:rFonts w:cs="Arial"/>
                <w:bCs/>
                <w:spacing w:val="-2"/>
                <w:w w:val="105"/>
                <w:szCs w:val="18"/>
              </w:rPr>
              <w:t>In industrial, commercial, public services and domestic buildings</w:t>
            </w:r>
          </w:p>
        </w:tc>
        <w:tc>
          <w:tcPr>
            <w:tcW w:w="1418" w:type="dxa"/>
          </w:tcPr>
          <w:p w14:paraId="5E83334F" w14:textId="77777777" w:rsidR="008E67EA" w:rsidRPr="00485D88" w:rsidRDefault="008E67EA" w:rsidP="00B44A74">
            <w:pPr>
              <w:spacing w:after="120" w:line="240" w:lineRule="exact"/>
              <w:rPr>
                <w:rFonts w:cs="Arial"/>
                <w:bCs/>
                <w:i/>
                <w:iCs/>
                <w:spacing w:val="-2"/>
                <w:w w:val="105"/>
                <w:szCs w:val="18"/>
              </w:rPr>
            </w:pPr>
            <w:r w:rsidRPr="006469D5">
              <w:rPr>
                <w:rFonts w:cs="Arial"/>
                <w:bCs/>
                <w:spacing w:val="-2"/>
                <w:w w:val="105"/>
                <w:szCs w:val="18"/>
              </w:rPr>
              <w:t>Mice (</w:t>
            </w:r>
            <w:r w:rsidRPr="006469D5">
              <w:rPr>
                <w:rFonts w:cs="Arial"/>
                <w:bCs/>
                <w:i/>
                <w:iCs/>
                <w:spacing w:val="-2"/>
                <w:w w:val="105"/>
                <w:szCs w:val="18"/>
              </w:rPr>
              <w:t>Mus musculus</w:t>
            </w:r>
            <w:r w:rsidRPr="006469D5">
              <w:rPr>
                <w:rFonts w:cs="Arial"/>
                <w:bCs/>
                <w:spacing w:val="-2"/>
                <w:w w:val="105"/>
                <w:szCs w:val="18"/>
              </w:rPr>
              <w:t>)</w:t>
            </w:r>
          </w:p>
        </w:tc>
        <w:tc>
          <w:tcPr>
            <w:tcW w:w="1242" w:type="dxa"/>
            <w:vMerge/>
          </w:tcPr>
          <w:p w14:paraId="6A544B04" w14:textId="77777777" w:rsidR="008E67EA" w:rsidRPr="00382A84" w:rsidRDefault="008E67EA" w:rsidP="00B44A74">
            <w:pPr>
              <w:spacing w:after="120" w:line="240" w:lineRule="exact"/>
              <w:rPr>
                <w:rFonts w:cs="Arial"/>
                <w:bCs/>
                <w:spacing w:val="-2"/>
                <w:w w:val="105"/>
                <w:szCs w:val="18"/>
              </w:rPr>
            </w:pPr>
          </w:p>
        </w:tc>
        <w:tc>
          <w:tcPr>
            <w:tcW w:w="3051" w:type="dxa"/>
            <w:vMerge/>
          </w:tcPr>
          <w:p w14:paraId="3ECED92E" w14:textId="77777777" w:rsidR="008E67EA" w:rsidRPr="00382A84" w:rsidRDefault="008E67EA" w:rsidP="00B44A74">
            <w:pPr>
              <w:ind w:firstLine="720"/>
              <w:rPr>
                <w:rFonts w:cs="Arial"/>
                <w:bCs/>
                <w:spacing w:val="-2"/>
                <w:w w:val="105"/>
                <w:szCs w:val="18"/>
              </w:rPr>
            </w:pPr>
          </w:p>
        </w:tc>
      </w:tr>
      <w:tr w:rsidR="008E67EA" w:rsidRPr="00A27FD2" w14:paraId="3827788F" w14:textId="77777777" w:rsidTr="00FF707A">
        <w:trPr>
          <w:trHeight w:val="841"/>
        </w:trPr>
        <w:tc>
          <w:tcPr>
            <w:tcW w:w="9000" w:type="dxa"/>
            <w:gridSpan w:val="4"/>
          </w:tcPr>
          <w:p w14:paraId="4D759604" w14:textId="77777777" w:rsidR="008E67EA" w:rsidRPr="00382A84" w:rsidRDefault="008E67EA" w:rsidP="00B44A74">
            <w:pPr>
              <w:spacing w:after="120" w:line="240" w:lineRule="exact"/>
              <w:rPr>
                <w:rFonts w:cs="Arial"/>
                <w:b/>
                <w:spacing w:val="-2"/>
                <w:w w:val="105"/>
                <w:szCs w:val="18"/>
              </w:rPr>
            </w:pPr>
            <w:r w:rsidRPr="00382A84">
              <w:rPr>
                <w:rFonts w:cs="Arial"/>
                <w:b/>
                <w:spacing w:val="-2"/>
                <w:w w:val="105"/>
                <w:szCs w:val="18"/>
              </w:rPr>
              <w:t>Baiting strategy</w:t>
            </w:r>
          </w:p>
          <w:p w14:paraId="3308E84D" w14:textId="38AA1F32" w:rsidR="008E67EA" w:rsidRPr="006469D5" w:rsidRDefault="008E67EA" w:rsidP="00B44A74">
            <w:pPr>
              <w:spacing w:after="120" w:line="240" w:lineRule="exact"/>
              <w:rPr>
                <w:rFonts w:cs="Arial"/>
                <w:bCs/>
                <w:spacing w:val="-2"/>
                <w:w w:val="105"/>
                <w:szCs w:val="18"/>
              </w:rPr>
            </w:pPr>
            <w:r w:rsidRPr="006469D5">
              <w:rPr>
                <w:rFonts w:cs="Arial"/>
                <w:bCs/>
                <w:spacing w:val="-2"/>
                <w:w w:val="105"/>
                <w:szCs w:val="18"/>
              </w:rPr>
              <w:t>Eliminate, as far as practicable, all other food sources.</w:t>
            </w:r>
          </w:p>
          <w:p w14:paraId="77C4AB6F" w14:textId="69B0A4AB" w:rsidR="008E67EA" w:rsidRDefault="008E67EA" w:rsidP="00B44A74">
            <w:pPr>
              <w:spacing w:after="120" w:line="240" w:lineRule="exact"/>
            </w:pPr>
            <w:r w:rsidRPr="006469D5">
              <w:rPr>
                <w:rFonts w:cs="Arial"/>
                <w:bCs/>
                <w:spacing w:val="-2"/>
                <w:w w:val="105"/>
                <w:szCs w:val="18"/>
              </w:rPr>
              <w:t>Survey site prior to treatment, including assessment of the extent of infestation and identification of any indications of the presence of non-target animals.</w:t>
            </w:r>
          </w:p>
          <w:p w14:paraId="4EF1BCE1" w14:textId="77777777" w:rsidR="008E67EA" w:rsidRDefault="008E67EA" w:rsidP="00B44A74">
            <w:pPr>
              <w:spacing w:after="120" w:line="240" w:lineRule="exact"/>
              <w:rPr>
                <w:rFonts w:cs="Arial"/>
                <w:bCs/>
                <w:spacing w:val="-2"/>
                <w:w w:val="105"/>
                <w:szCs w:val="18"/>
              </w:rPr>
            </w:pPr>
            <w:r w:rsidRPr="006469D5">
              <w:rPr>
                <w:rFonts w:cs="Arial"/>
                <w:bCs/>
                <w:spacing w:val="-2"/>
                <w:w w:val="105"/>
                <w:szCs w:val="18"/>
              </w:rPr>
              <w:t>Record the number and locations of bait stations for the purpose of inspection, replacement and later removal.</w:t>
            </w:r>
            <w:r>
              <w:t xml:space="preserve"> </w:t>
            </w:r>
            <w:r w:rsidRPr="00EE18EA">
              <w:rPr>
                <w:rFonts w:cs="Arial"/>
                <w:bCs/>
                <w:spacing w:val="-2"/>
                <w:w w:val="105"/>
                <w:szCs w:val="18"/>
              </w:rPr>
              <w:t>When used in food producing animal housing situations careful consideration is necessary regarding the placement of bait stations to ensure any rodenticide contamination of water, feed or livestock is prevented.</w:t>
            </w:r>
          </w:p>
          <w:p w14:paraId="2AE7F1CF" w14:textId="77777777" w:rsidR="008E67EA" w:rsidRDefault="008E67EA" w:rsidP="00B44A74">
            <w:pPr>
              <w:spacing w:after="120" w:line="240" w:lineRule="exact"/>
              <w:rPr>
                <w:rFonts w:cs="Arial"/>
                <w:bCs/>
                <w:spacing w:val="-2"/>
                <w:w w:val="105"/>
                <w:szCs w:val="18"/>
              </w:rPr>
            </w:pPr>
            <w:r w:rsidRPr="006469D5">
              <w:rPr>
                <w:rFonts w:cs="Arial"/>
                <w:bCs/>
                <w:spacing w:val="-2"/>
                <w:w w:val="105"/>
                <w:szCs w:val="18"/>
              </w:rPr>
              <w:t xml:space="preserve">Inspect bait stations </w:t>
            </w:r>
            <w:r>
              <w:rPr>
                <w:rFonts w:cs="Arial"/>
                <w:bCs/>
                <w:spacing w:val="-2"/>
                <w:w w:val="105"/>
                <w:szCs w:val="18"/>
              </w:rPr>
              <w:t>daily</w:t>
            </w:r>
            <w:r w:rsidRPr="006469D5">
              <w:rPr>
                <w:rFonts w:cs="Arial"/>
                <w:bCs/>
                <w:spacing w:val="-2"/>
                <w:w w:val="105"/>
                <w:szCs w:val="18"/>
              </w:rPr>
              <w:t>. Replace</w:t>
            </w:r>
            <w:r>
              <w:rPr>
                <w:rFonts w:cs="Arial"/>
                <w:bCs/>
                <w:spacing w:val="-2"/>
                <w:w w:val="105"/>
                <w:szCs w:val="18"/>
              </w:rPr>
              <w:t xml:space="preserve"> </w:t>
            </w:r>
            <w:r w:rsidRPr="006469D5">
              <w:rPr>
                <w:rFonts w:cs="Arial"/>
                <w:bCs/>
                <w:spacing w:val="-2"/>
                <w:w w:val="105"/>
                <w:szCs w:val="18"/>
              </w:rPr>
              <w:t>eaten</w:t>
            </w:r>
            <w:r>
              <w:rPr>
                <w:rFonts w:cs="Arial"/>
                <w:bCs/>
                <w:spacing w:val="-2"/>
                <w:w w:val="105"/>
                <w:szCs w:val="18"/>
              </w:rPr>
              <w:t xml:space="preserve"> </w:t>
            </w:r>
            <w:r w:rsidRPr="006469D5">
              <w:rPr>
                <w:rFonts w:cs="Arial"/>
                <w:bCs/>
                <w:spacing w:val="-2"/>
                <w:w w:val="105"/>
                <w:szCs w:val="18"/>
              </w:rPr>
              <w:t xml:space="preserve">baits. If eaten quickly, increase the number of </w:t>
            </w:r>
            <w:r>
              <w:rPr>
                <w:rFonts w:cs="Arial"/>
                <w:bCs/>
                <w:spacing w:val="-2"/>
                <w:w w:val="105"/>
                <w:szCs w:val="18"/>
              </w:rPr>
              <w:t>baits</w:t>
            </w:r>
            <w:r w:rsidRPr="006469D5">
              <w:rPr>
                <w:rFonts w:cs="Arial"/>
                <w:bCs/>
                <w:spacing w:val="-2"/>
                <w:w w:val="105"/>
                <w:szCs w:val="18"/>
              </w:rPr>
              <w:t>.</w:t>
            </w:r>
            <w:r>
              <w:rPr>
                <w:rFonts w:cs="Arial"/>
                <w:bCs/>
                <w:spacing w:val="-2"/>
                <w:w w:val="105"/>
                <w:szCs w:val="18"/>
              </w:rPr>
              <w:t xml:space="preserve"> </w:t>
            </w:r>
            <w:r w:rsidRPr="006469D5">
              <w:rPr>
                <w:rFonts w:cs="Arial"/>
                <w:bCs/>
                <w:spacing w:val="-2"/>
                <w:w w:val="105"/>
                <w:szCs w:val="18"/>
              </w:rPr>
              <w:t>Continue observation and replenish until no more baits are taken. Baiting for at least two</w:t>
            </w:r>
            <w:r>
              <w:rPr>
                <w:rFonts w:cs="Arial"/>
                <w:bCs/>
                <w:spacing w:val="-2"/>
                <w:w w:val="105"/>
                <w:szCs w:val="18"/>
              </w:rPr>
              <w:t xml:space="preserve"> </w:t>
            </w:r>
            <w:r w:rsidRPr="006469D5">
              <w:rPr>
                <w:rFonts w:cs="Arial"/>
                <w:bCs/>
                <w:spacing w:val="-2"/>
                <w:w w:val="105"/>
                <w:szCs w:val="18"/>
              </w:rPr>
              <w:t>weeks is necessary to reduce rat/mouse numbers.</w:t>
            </w:r>
          </w:p>
          <w:p w14:paraId="1F346586" w14:textId="77777777" w:rsidR="008E67EA" w:rsidRPr="00382A84" w:rsidRDefault="008E67EA" w:rsidP="00B44A74">
            <w:pPr>
              <w:spacing w:after="120" w:line="240" w:lineRule="exact"/>
              <w:rPr>
                <w:rFonts w:cs="Arial"/>
                <w:bCs/>
                <w:spacing w:val="-2"/>
                <w:w w:val="105"/>
                <w:szCs w:val="18"/>
              </w:rPr>
            </w:pPr>
            <w:r w:rsidRPr="00382A84">
              <w:rPr>
                <w:rFonts w:cs="Arial"/>
                <w:bCs/>
                <w:spacing w:val="-2"/>
                <w:w w:val="105"/>
                <w:szCs w:val="18"/>
              </w:rPr>
              <w:t>DO NOT use the product beyond 35 days without an evaluation of the state of the infestation and of the efficacy of the treatment.</w:t>
            </w:r>
            <w:r>
              <w:t xml:space="preserve"> </w:t>
            </w:r>
            <w:r w:rsidRPr="00382A84">
              <w:rPr>
                <w:rFonts w:cs="Arial"/>
                <w:bCs/>
                <w:spacing w:val="-2"/>
                <w:w w:val="105"/>
                <w:szCs w:val="18"/>
              </w:rPr>
              <w:t>Remove all uneaten bait at the end of treatment</w:t>
            </w:r>
          </w:p>
        </w:tc>
      </w:tr>
    </w:tbl>
    <w:p w14:paraId="672F57C2" w14:textId="717B8A4B" w:rsidR="008E67EA" w:rsidRDefault="008E67EA" w:rsidP="00FF707A">
      <w:pPr>
        <w:spacing w:line="280" w:lineRule="exact"/>
        <w:rPr>
          <w:rFonts w:ascii="Franklin Gothic Medium" w:eastAsia="Arial Unicode MS" w:hAnsi="Franklin Gothic Medium"/>
          <w:bCs/>
          <w:iCs/>
          <w:bdr w:val="none" w:sz="0" w:space="0" w:color="auto" w:frame="1"/>
          <w:lang w:val="en-GB" w:eastAsia="en-AU"/>
        </w:rPr>
      </w:pPr>
      <w:r w:rsidRPr="00FF36BF">
        <w:rPr>
          <w:rFonts w:cs="Arial"/>
          <w:b/>
          <w:bCs/>
          <w:sz w:val="20"/>
          <w:szCs w:val="20"/>
        </w:rPr>
        <w:t>NOT TO BE USED FOR ANY PURPOSE, OR IN ANY MANNER, CONTRARY TO THIS LABEL UNLESS AUTHORISED UNDER APPROPRIATE LEGISLATION.</w:t>
      </w:r>
      <w:r>
        <w:rPr>
          <w:rFonts w:ascii="Franklin Gothic Medium" w:eastAsia="Arial Unicode MS" w:hAnsi="Franklin Gothic Medium"/>
          <w:bCs/>
          <w:iCs/>
          <w:bdr w:val="none" w:sz="0" w:space="0" w:color="auto" w:frame="1"/>
          <w:lang w:val="en-GB" w:eastAsia="en-AU"/>
        </w:rPr>
        <w:br w:type="page"/>
      </w:r>
    </w:p>
    <w:p w14:paraId="1E469568" w14:textId="77777777" w:rsidR="008E67EA" w:rsidRDefault="008E67EA" w:rsidP="008E67EA">
      <w:pPr>
        <w:keepNext/>
        <w:keepLines/>
        <w:spacing w:before="400" w:after="240" w:line="280" w:lineRule="exact"/>
        <w:outlineLvl w:val="1"/>
        <w:rPr>
          <w:rFonts w:ascii="Franklin Gothic Medium" w:eastAsia="Arial Unicode MS" w:hAnsi="Franklin Gothic Medium"/>
          <w:bCs/>
          <w:iCs/>
          <w:bdr w:val="none" w:sz="0" w:space="0" w:color="auto" w:frame="1"/>
          <w:lang w:val="en-GB" w:eastAsia="en-AU"/>
        </w:rPr>
      </w:pPr>
      <w:r w:rsidRPr="00FF36BF">
        <w:rPr>
          <w:rFonts w:ascii="Franklin Gothic Medium" w:eastAsia="Arial Unicode MS" w:hAnsi="Franklin Gothic Medium"/>
          <w:bCs/>
          <w:iCs/>
          <w:bdr w:val="none" w:sz="0" w:space="0" w:color="auto" w:frame="1"/>
          <w:lang w:val="en-GB" w:eastAsia="en-AU"/>
        </w:rPr>
        <w:lastRenderedPageBreak/>
        <w:t>Commercial</w:t>
      </w:r>
      <w:r>
        <w:rPr>
          <w:rFonts w:ascii="Franklin Gothic Medium" w:eastAsia="Arial Unicode MS" w:hAnsi="Franklin Gothic Medium"/>
          <w:bCs/>
          <w:iCs/>
          <w:bdr w:val="none" w:sz="0" w:space="0" w:color="auto" w:frame="1"/>
          <w:lang w:val="en-GB" w:eastAsia="en-AU"/>
        </w:rPr>
        <w:t xml:space="preserve"> pest-control product:</w:t>
      </w:r>
      <w:r w:rsidRPr="00FF36BF">
        <w:rPr>
          <w:rFonts w:ascii="Franklin Gothic Medium" w:eastAsia="Arial Unicode MS" w:hAnsi="Franklin Gothic Medium"/>
          <w:bCs/>
          <w:iCs/>
          <w:bdr w:val="none" w:sz="0" w:space="0" w:color="auto" w:frame="1"/>
          <w:lang w:val="en-GB" w:eastAsia="en-AU"/>
        </w:rPr>
        <w:t xml:space="preserve"> </w:t>
      </w:r>
      <w:r w:rsidRPr="00DA343B">
        <w:rPr>
          <w:rFonts w:ascii="Franklin Gothic Medium" w:eastAsia="Arial Unicode MS" w:hAnsi="Franklin Gothic Medium"/>
          <w:bCs/>
          <w:iCs/>
          <w:bdr w:val="none" w:sz="0" w:space="0" w:color="auto" w:frame="1"/>
          <w:lang w:val="en-GB" w:eastAsia="en-AU"/>
        </w:rPr>
        <w:t>RB 0.05 g/kg or less in pellet formulation</w:t>
      </w:r>
    </w:p>
    <w:p w14:paraId="14DE67CA" w14:textId="77777777" w:rsidR="008E67EA"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t xml:space="preserve">Template Label </w:t>
      </w:r>
      <w:r>
        <w:rPr>
          <w:rFonts w:cs="Arial"/>
          <w:b/>
          <w:bCs/>
          <w:sz w:val="20"/>
          <w:szCs w:val="20"/>
          <w:bdr w:val="none" w:sz="0" w:space="0" w:color="auto" w:frame="1"/>
          <w:lang w:val="en-GB" w:eastAsia="en-AU"/>
        </w:rPr>
        <w:t>10a</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32794B" w14:paraId="4118883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3405BEB" w14:textId="77777777" w:rsidR="008E67EA" w:rsidRPr="0032794B" w:rsidRDefault="008E67EA" w:rsidP="00B44A74">
            <w:pPr>
              <w:spacing w:line="280" w:lineRule="exact"/>
              <w:rPr>
                <w:rFonts w:cs="Arial"/>
                <w:sz w:val="20"/>
                <w:szCs w:val="20"/>
              </w:rPr>
            </w:pPr>
            <w:r w:rsidRPr="0032794B">
              <w:rPr>
                <w:rFonts w:cs="Arial"/>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47130E4D" w14:textId="77777777" w:rsidR="008E67EA" w:rsidRPr="0032794B" w:rsidRDefault="008E67EA" w:rsidP="00B44A74">
            <w:pPr>
              <w:spacing w:line="280" w:lineRule="exact"/>
              <w:rPr>
                <w:rFonts w:cs="Arial"/>
                <w:sz w:val="20"/>
                <w:szCs w:val="20"/>
              </w:rPr>
            </w:pPr>
            <w:r w:rsidRPr="0032794B">
              <w:rPr>
                <w:rFonts w:cs="Arial"/>
                <w:sz w:val="20"/>
                <w:szCs w:val="20"/>
              </w:rPr>
              <w:t>[INSERT LABEL NAME]</w:t>
            </w:r>
            <w:r w:rsidRPr="0032794B" w:rsidDel="008B24FA">
              <w:rPr>
                <w:rFonts w:cs="Arial"/>
                <w:sz w:val="20"/>
                <w:szCs w:val="20"/>
              </w:rPr>
              <w:t xml:space="preserve"> </w:t>
            </w:r>
          </w:p>
        </w:tc>
      </w:tr>
      <w:tr w:rsidR="008E67EA" w:rsidRPr="0032794B" w14:paraId="5A7E4398" w14:textId="77777777" w:rsidTr="00B44A74">
        <w:trPr>
          <w:jc w:val="center"/>
        </w:trPr>
        <w:tc>
          <w:tcPr>
            <w:tcW w:w="2415" w:type="dxa"/>
            <w:tcBorders>
              <w:top w:val="single" w:sz="4" w:space="0" w:color="auto"/>
              <w:left w:val="nil"/>
              <w:bottom w:val="single" w:sz="4" w:space="0" w:color="auto"/>
              <w:right w:val="nil"/>
            </w:tcBorders>
          </w:tcPr>
          <w:p w14:paraId="652DD967" w14:textId="77777777" w:rsidR="008E67EA" w:rsidRPr="0032794B"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AFA2C32" w14:textId="77777777" w:rsidR="008E67EA" w:rsidRPr="0032794B" w:rsidRDefault="008E67EA" w:rsidP="00B44A74">
            <w:pPr>
              <w:spacing w:line="280" w:lineRule="exact"/>
              <w:rPr>
                <w:rFonts w:cs="Arial"/>
                <w:sz w:val="20"/>
                <w:szCs w:val="20"/>
              </w:rPr>
            </w:pPr>
          </w:p>
        </w:tc>
      </w:tr>
      <w:tr w:rsidR="008E67EA" w:rsidRPr="0032794B" w14:paraId="42D00B3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8F3F85C" w14:textId="77777777" w:rsidR="008E67EA" w:rsidRPr="0032794B" w:rsidRDefault="008E67EA" w:rsidP="00B44A74">
            <w:pPr>
              <w:spacing w:line="280" w:lineRule="exact"/>
              <w:rPr>
                <w:rFonts w:cs="Arial"/>
                <w:sz w:val="20"/>
                <w:szCs w:val="20"/>
              </w:rPr>
            </w:pPr>
            <w:r w:rsidRPr="0032794B">
              <w:rPr>
                <w:rFonts w:cs="Arial"/>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028BA89C" w14:textId="77777777" w:rsidR="008E67EA" w:rsidRPr="0032794B" w:rsidRDefault="008E67EA" w:rsidP="00B44A74">
            <w:pPr>
              <w:spacing w:line="280" w:lineRule="exact"/>
              <w:rPr>
                <w:rFonts w:cs="Arial"/>
                <w:sz w:val="20"/>
                <w:szCs w:val="20"/>
              </w:rPr>
            </w:pPr>
            <w:r w:rsidRPr="0032794B">
              <w:rPr>
                <w:rFonts w:cs="Arial"/>
                <w:color w:val="000000"/>
                <w:sz w:val="20"/>
                <w:szCs w:val="20"/>
              </w:rPr>
              <w:t>POISON</w:t>
            </w:r>
            <w:r w:rsidRPr="0032794B">
              <w:rPr>
                <w:rFonts w:cs="Arial"/>
                <w:color w:val="000000"/>
                <w:sz w:val="20"/>
                <w:szCs w:val="20"/>
              </w:rPr>
              <w:br/>
              <w:t>KEEP OUT OF REACH OF CHILDREN</w:t>
            </w:r>
            <w:r w:rsidRPr="0032794B">
              <w:rPr>
                <w:rFonts w:cs="Arial"/>
                <w:color w:val="000000"/>
                <w:sz w:val="20"/>
                <w:szCs w:val="20"/>
              </w:rPr>
              <w:br/>
              <w:t>READ SAFETY DIRECTIONS BEFORE OPENING OR USING</w:t>
            </w:r>
          </w:p>
        </w:tc>
      </w:tr>
      <w:tr w:rsidR="008E67EA" w:rsidRPr="0032794B" w14:paraId="4FA122D0" w14:textId="77777777" w:rsidTr="00B44A74">
        <w:trPr>
          <w:jc w:val="center"/>
        </w:trPr>
        <w:tc>
          <w:tcPr>
            <w:tcW w:w="2415" w:type="dxa"/>
            <w:tcBorders>
              <w:top w:val="single" w:sz="4" w:space="0" w:color="auto"/>
              <w:left w:val="nil"/>
              <w:bottom w:val="single" w:sz="4" w:space="0" w:color="auto"/>
              <w:right w:val="nil"/>
            </w:tcBorders>
          </w:tcPr>
          <w:p w14:paraId="424B0CB5" w14:textId="77777777" w:rsidR="008E67EA" w:rsidRPr="0032794B"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433506C" w14:textId="77777777" w:rsidR="008E67EA" w:rsidRPr="0032794B" w:rsidRDefault="008E67EA" w:rsidP="00B44A74">
            <w:pPr>
              <w:spacing w:line="280" w:lineRule="exact"/>
              <w:rPr>
                <w:rFonts w:cs="Arial"/>
                <w:sz w:val="20"/>
                <w:szCs w:val="20"/>
              </w:rPr>
            </w:pPr>
          </w:p>
        </w:tc>
      </w:tr>
      <w:tr w:rsidR="008E67EA" w:rsidRPr="0032794B" w14:paraId="7B534B6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3C16EC2" w14:textId="77777777" w:rsidR="008E67EA" w:rsidRPr="0032794B" w:rsidRDefault="008E67EA" w:rsidP="00B44A74">
            <w:pPr>
              <w:spacing w:line="280" w:lineRule="exact"/>
              <w:rPr>
                <w:rFonts w:cs="Arial"/>
                <w:sz w:val="20"/>
                <w:szCs w:val="20"/>
              </w:rPr>
            </w:pPr>
            <w:r w:rsidRPr="0032794B">
              <w:rPr>
                <w:rFonts w:cs="Arial"/>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5EC30994" w14:textId="77777777" w:rsidR="008E67EA" w:rsidRPr="0032794B" w:rsidRDefault="008E67EA" w:rsidP="00B44A74">
            <w:pPr>
              <w:spacing w:line="280" w:lineRule="exact"/>
              <w:rPr>
                <w:rFonts w:cs="Arial"/>
                <w:sz w:val="20"/>
                <w:szCs w:val="20"/>
              </w:rPr>
            </w:pPr>
            <w:r w:rsidRPr="0032794B">
              <w:rPr>
                <w:rFonts w:cs="Arial"/>
                <w:color w:val="000000"/>
                <w:sz w:val="20"/>
                <w:szCs w:val="20"/>
              </w:rPr>
              <w:t>ACTIVE CONSTITUENT: 0.05 g/kg BROMADIOLONE</w:t>
            </w:r>
          </w:p>
        </w:tc>
      </w:tr>
      <w:tr w:rsidR="008E67EA" w:rsidRPr="0032794B" w14:paraId="05A88F21" w14:textId="77777777" w:rsidTr="00B44A74">
        <w:trPr>
          <w:jc w:val="center"/>
        </w:trPr>
        <w:tc>
          <w:tcPr>
            <w:tcW w:w="2415" w:type="dxa"/>
            <w:tcBorders>
              <w:top w:val="single" w:sz="4" w:space="0" w:color="auto"/>
              <w:left w:val="nil"/>
              <w:bottom w:val="single" w:sz="4" w:space="0" w:color="auto"/>
              <w:right w:val="nil"/>
            </w:tcBorders>
          </w:tcPr>
          <w:p w14:paraId="4580AA0D" w14:textId="77777777" w:rsidR="008E67EA" w:rsidRPr="0032794B"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4088378" w14:textId="77777777" w:rsidR="008E67EA" w:rsidRPr="0032794B" w:rsidRDefault="008E67EA" w:rsidP="00B44A74">
            <w:pPr>
              <w:spacing w:line="280" w:lineRule="exact"/>
              <w:rPr>
                <w:rFonts w:cs="Arial"/>
                <w:sz w:val="20"/>
                <w:szCs w:val="20"/>
              </w:rPr>
            </w:pPr>
          </w:p>
        </w:tc>
      </w:tr>
      <w:tr w:rsidR="008E67EA" w:rsidRPr="0032794B" w14:paraId="6E3CF36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E879445" w14:textId="77777777" w:rsidR="008E67EA" w:rsidRPr="0032794B" w:rsidRDefault="008E67EA" w:rsidP="00B44A74">
            <w:pPr>
              <w:spacing w:line="280" w:lineRule="exact"/>
              <w:rPr>
                <w:rFonts w:cs="Arial"/>
                <w:sz w:val="20"/>
                <w:szCs w:val="20"/>
              </w:rPr>
            </w:pPr>
            <w:r w:rsidRPr="0032794B">
              <w:rPr>
                <w:rFonts w:cs="Arial"/>
                <w:sz w:val="20"/>
                <w:szCs w:val="20"/>
              </w:rPr>
              <w:t>Mode of Action:</w:t>
            </w:r>
          </w:p>
        </w:tc>
        <w:tc>
          <w:tcPr>
            <w:tcW w:w="7755" w:type="dxa"/>
            <w:tcBorders>
              <w:top w:val="single" w:sz="4" w:space="0" w:color="auto"/>
              <w:left w:val="single" w:sz="4" w:space="0" w:color="auto"/>
              <w:bottom w:val="single" w:sz="4" w:space="0" w:color="auto"/>
              <w:right w:val="single" w:sz="4" w:space="0" w:color="auto"/>
            </w:tcBorders>
          </w:tcPr>
          <w:p w14:paraId="224FE626" w14:textId="77777777" w:rsidR="008E67EA" w:rsidRPr="0032794B" w:rsidRDefault="008E67EA" w:rsidP="00B44A74">
            <w:pPr>
              <w:spacing w:line="280" w:lineRule="exact"/>
              <w:jc w:val="both"/>
              <w:rPr>
                <w:rFonts w:cs="Arial"/>
                <w:sz w:val="20"/>
                <w:szCs w:val="20"/>
              </w:rPr>
            </w:pPr>
          </w:p>
        </w:tc>
      </w:tr>
      <w:tr w:rsidR="008E67EA" w:rsidRPr="0032794B" w14:paraId="065EDC6A" w14:textId="77777777" w:rsidTr="00B44A74">
        <w:trPr>
          <w:jc w:val="center"/>
        </w:trPr>
        <w:tc>
          <w:tcPr>
            <w:tcW w:w="2415" w:type="dxa"/>
            <w:tcBorders>
              <w:top w:val="single" w:sz="4" w:space="0" w:color="auto"/>
              <w:left w:val="nil"/>
              <w:bottom w:val="single" w:sz="4" w:space="0" w:color="auto"/>
              <w:right w:val="nil"/>
            </w:tcBorders>
          </w:tcPr>
          <w:p w14:paraId="3353A292" w14:textId="77777777" w:rsidR="008E67EA" w:rsidRPr="0032794B"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A908C30" w14:textId="77777777" w:rsidR="008E67EA" w:rsidRPr="0032794B" w:rsidRDefault="008E67EA" w:rsidP="00B44A74">
            <w:pPr>
              <w:spacing w:line="280" w:lineRule="exact"/>
              <w:rPr>
                <w:rFonts w:cs="Arial"/>
                <w:sz w:val="20"/>
                <w:szCs w:val="20"/>
              </w:rPr>
            </w:pPr>
          </w:p>
        </w:tc>
      </w:tr>
      <w:tr w:rsidR="008E67EA" w:rsidRPr="0032794B" w14:paraId="3002CA9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03A9339" w14:textId="77777777" w:rsidR="008E67EA" w:rsidRPr="0032794B" w:rsidRDefault="008E67EA" w:rsidP="00B44A74">
            <w:pPr>
              <w:spacing w:line="280" w:lineRule="exact"/>
              <w:rPr>
                <w:rFonts w:cs="Arial"/>
                <w:sz w:val="20"/>
                <w:szCs w:val="20"/>
              </w:rPr>
            </w:pPr>
            <w:r w:rsidRPr="0032794B">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622E9479" w14:textId="77777777" w:rsidR="008E67EA" w:rsidRPr="0032794B" w:rsidRDefault="008E67EA" w:rsidP="00B44A74">
            <w:pPr>
              <w:spacing w:line="280" w:lineRule="exact"/>
              <w:rPr>
                <w:rFonts w:cs="Arial"/>
                <w:color w:val="000000"/>
                <w:sz w:val="20"/>
                <w:szCs w:val="20"/>
              </w:rPr>
            </w:pPr>
            <w:r w:rsidRPr="00713087">
              <w:rPr>
                <w:rFonts w:cs="Arial"/>
                <w:color w:val="000000"/>
                <w:sz w:val="20"/>
                <w:szCs w:val="20"/>
              </w:rPr>
              <w:t>For control of mice in domestic, commercial, public services</w:t>
            </w:r>
            <w:r>
              <w:rPr>
                <w:rFonts w:cs="Arial"/>
                <w:color w:val="000000"/>
                <w:sz w:val="20"/>
                <w:szCs w:val="20"/>
              </w:rPr>
              <w:t xml:space="preserve">, </w:t>
            </w:r>
            <w:r w:rsidRPr="00713087">
              <w:rPr>
                <w:rFonts w:cs="Arial"/>
                <w:color w:val="000000"/>
                <w:sz w:val="20"/>
                <w:szCs w:val="20"/>
              </w:rPr>
              <w:t>industrial</w:t>
            </w:r>
            <w:r>
              <w:rPr>
                <w:rFonts w:cs="Arial"/>
                <w:color w:val="000000"/>
                <w:sz w:val="20"/>
                <w:szCs w:val="20"/>
              </w:rPr>
              <w:t xml:space="preserve"> and agricultural</w:t>
            </w:r>
            <w:r w:rsidRPr="00713087">
              <w:rPr>
                <w:rFonts w:cs="Arial"/>
                <w:color w:val="000000"/>
                <w:sz w:val="20"/>
                <w:szCs w:val="20"/>
              </w:rPr>
              <w:t xml:space="preserve"> buildings and rats in and around domestic, commercial, public services</w:t>
            </w:r>
            <w:r>
              <w:rPr>
                <w:rFonts w:cs="Arial"/>
                <w:color w:val="000000"/>
                <w:sz w:val="20"/>
                <w:szCs w:val="20"/>
              </w:rPr>
              <w:t>, i</w:t>
            </w:r>
            <w:r w:rsidRPr="00713087">
              <w:rPr>
                <w:rFonts w:cs="Arial"/>
                <w:color w:val="000000"/>
                <w:sz w:val="20"/>
                <w:szCs w:val="20"/>
              </w:rPr>
              <w:t>ndustrial</w:t>
            </w:r>
            <w:r>
              <w:rPr>
                <w:rFonts w:cs="Arial"/>
                <w:color w:val="000000"/>
                <w:sz w:val="20"/>
                <w:szCs w:val="20"/>
              </w:rPr>
              <w:t xml:space="preserve"> and agricultural</w:t>
            </w:r>
            <w:r w:rsidRPr="00713087">
              <w:rPr>
                <w:rFonts w:cs="Arial"/>
                <w:color w:val="000000"/>
                <w:sz w:val="20"/>
                <w:szCs w:val="20"/>
              </w:rPr>
              <w:t xml:space="preserve"> buildings. </w:t>
            </w:r>
          </w:p>
        </w:tc>
      </w:tr>
      <w:tr w:rsidR="008E67EA" w:rsidRPr="0032794B" w14:paraId="20F2E2DE" w14:textId="77777777" w:rsidTr="00B44A74">
        <w:trPr>
          <w:jc w:val="center"/>
        </w:trPr>
        <w:tc>
          <w:tcPr>
            <w:tcW w:w="2415" w:type="dxa"/>
            <w:tcBorders>
              <w:top w:val="single" w:sz="4" w:space="0" w:color="auto"/>
              <w:left w:val="nil"/>
              <w:bottom w:val="single" w:sz="4" w:space="0" w:color="auto"/>
              <w:right w:val="nil"/>
            </w:tcBorders>
          </w:tcPr>
          <w:p w14:paraId="7622C28B" w14:textId="77777777" w:rsidR="008E67EA" w:rsidRPr="0032794B"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E8E3779" w14:textId="77777777" w:rsidR="008E67EA" w:rsidRPr="0032794B" w:rsidRDefault="008E67EA" w:rsidP="00B44A74">
            <w:pPr>
              <w:spacing w:line="280" w:lineRule="exact"/>
              <w:rPr>
                <w:rFonts w:cs="Arial"/>
                <w:sz w:val="20"/>
                <w:szCs w:val="20"/>
              </w:rPr>
            </w:pPr>
          </w:p>
        </w:tc>
      </w:tr>
      <w:tr w:rsidR="008E67EA" w:rsidRPr="0032794B" w14:paraId="589417A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0F6242F" w14:textId="77777777" w:rsidR="008E67EA" w:rsidRPr="0032794B" w:rsidRDefault="008E67EA" w:rsidP="00B44A74">
            <w:pPr>
              <w:spacing w:line="280" w:lineRule="exact"/>
              <w:rPr>
                <w:rFonts w:cs="Arial"/>
                <w:sz w:val="20"/>
                <w:szCs w:val="20"/>
              </w:rPr>
            </w:pPr>
            <w:r w:rsidRPr="0032794B">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1DD6E822" w14:textId="77777777" w:rsidR="008E67EA" w:rsidRPr="0032794B" w:rsidRDefault="008E67EA" w:rsidP="00B44A74">
            <w:pPr>
              <w:spacing w:line="280" w:lineRule="exact"/>
              <w:rPr>
                <w:rFonts w:cs="Arial"/>
                <w:sz w:val="20"/>
                <w:szCs w:val="20"/>
              </w:rPr>
            </w:pPr>
            <w:r w:rsidRPr="0032794B">
              <w:rPr>
                <w:rFonts w:cs="Arial"/>
                <w:sz w:val="20"/>
                <w:szCs w:val="20"/>
              </w:rPr>
              <w:t>[INSERT NET CONTENTS]</w:t>
            </w:r>
          </w:p>
        </w:tc>
      </w:tr>
      <w:tr w:rsidR="008E67EA" w:rsidRPr="0032794B" w14:paraId="307F3915" w14:textId="77777777" w:rsidTr="00B44A74">
        <w:trPr>
          <w:jc w:val="center"/>
        </w:trPr>
        <w:tc>
          <w:tcPr>
            <w:tcW w:w="2415" w:type="dxa"/>
            <w:tcBorders>
              <w:top w:val="single" w:sz="4" w:space="0" w:color="auto"/>
              <w:left w:val="nil"/>
              <w:bottom w:val="single" w:sz="4" w:space="0" w:color="auto"/>
              <w:right w:val="nil"/>
            </w:tcBorders>
          </w:tcPr>
          <w:p w14:paraId="445C1718" w14:textId="77777777" w:rsidR="008E67EA" w:rsidRPr="0032794B"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BEEBAC1" w14:textId="77777777" w:rsidR="008E67EA" w:rsidRPr="0032794B" w:rsidRDefault="008E67EA" w:rsidP="00B44A74">
            <w:pPr>
              <w:spacing w:line="280" w:lineRule="exact"/>
              <w:rPr>
                <w:rFonts w:cs="Arial"/>
                <w:sz w:val="20"/>
                <w:szCs w:val="20"/>
              </w:rPr>
            </w:pPr>
          </w:p>
        </w:tc>
      </w:tr>
      <w:tr w:rsidR="008E67EA" w:rsidRPr="0032794B" w14:paraId="64AB7FD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BBDB299" w14:textId="77777777" w:rsidR="008E67EA" w:rsidRPr="0032794B" w:rsidRDefault="008E67EA" w:rsidP="00B44A74">
            <w:pPr>
              <w:spacing w:line="280" w:lineRule="exact"/>
              <w:rPr>
                <w:rFonts w:cs="Arial"/>
                <w:sz w:val="20"/>
                <w:szCs w:val="20"/>
              </w:rPr>
            </w:pPr>
            <w:r w:rsidRPr="0032794B">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5779547F" w14:textId="77777777" w:rsidR="008E67EA" w:rsidRPr="0032794B" w:rsidRDefault="008E67EA" w:rsidP="00B44A74">
            <w:pPr>
              <w:spacing w:line="280" w:lineRule="exact"/>
              <w:rPr>
                <w:rFonts w:cs="Arial"/>
                <w:b/>
                <w:bCs/>
                <w:i/>
                <w:iCs/>
                <w:sz w:val="20"/>
                <w:szCs w:val="20"/>
              </w:rPr>
            </w:pPr>
            <w:r w:rsidRPr="0032794B">
              <w:rPr>
                <w:rFonts w:cs="Arial"/>
                <w:color w:val="000000"/>
                <w:sz w:val="20"/>
                <w:szCs w:val="20"/>
              </w:rPr>
              <w:t>RESTRAINTS</w:t>
            </w:r>
            <w:r w:rsidRPr="0032794B">
              <w:rPr>
                <w:rFonts w:cs="Arial"/>
                <w:color w:val="000000"/>
                <w:sz w:val="20"/>
                <w:szCs w:val="20"/>
              </w:rPr>
              <w:br/>
              <w:t>DO NOT use this product unless you have a current qualification in the nationally recognised training course for rodent pest management CPPUPM3006 - Manage pests by applying pesticides, or an equivalent unit of competency.</w:t>
            </w:r>
            <w:r w:rsidRPr="0032794B">
              <w:rPr>
                <w:rFonts w:cs="Arial"/>
                <w:color w:val="000000"/>
                <w:sz w:val="20"/>
                <w:szCs w:val="20"/>
              </w:rPr>
              <w:br/>
              <w:t>DO NOT place baits in areas that are accessible to children. In child-accessible areas baits must be placed in tamper-</w:t>
            </w:r>
            <w:r>
              <w:rPr>
                <w:rFonts w:cs="Arial"/>
                <w:color w:val="000000"/>
                <w:sz w:val="20"/>
                <w:szCs w:val="20"/>
              </w:rPr>
              <w:t>resistant</w:t>
            </w:r>
            <w:r w:rsidRPr="0032794B">
              <w:rPr>
                <w:rFonts w:cs="Arial"/>
                <w:color w:val="000000"/>
                <w:sz w:val="20"/>
                <w:szCs w:val="20"/>
              </w:rPr>
              <w:t xml:space="preserve"> bait stations. If bait can be dislodged from bait station, bait station must be secured in place. </w:t>
            </w:r>
            <w:r w:rsidRPr="0032794B">
              <w:rPr>
                <w:rFonts w:cs="Arial"/>
                <w:color w:val="000000"/>
                <w:sz w:val="20"/>
                <w:szCs w:val="20"/>
              </w:rPr>
              <w:br/>
              <w:t>DO NOT place bait outdoors unless it is in a tamper</w:t>
            </w:r>
            <w:r>
              <w:rPr>
                <w:rFonts w:cs="Arial"/>
                <w:color w:val="000000"/>
                <w:sz w:val="20"/>
                <w:szCs w:val="20"/>
              </w:rPr>
              <w:t xml:space="preserve">-resistant </w:t>
            </w:r>
            <w:r w:rsidRPr="0032794B">
              <w:rPr>
                <w:rFonts w:cs="Arial"/>
                <w:color w:val="000000"/>
                <w:sz w:val="20"/>
                <w:szCs w:val="20"/>
              </w:rPr>
              <w:t>bait station which is secured in place.</w:t>
            </w:r>
            <w:r w:rsidRPr="0032794B">
              <w:rPr>
                <w:rFonts w:cs="Arial"/>
                <w:color w:val="000000"/>
                <w:sz w:val="20"/>
                <w:szCs w:val="20"/>
              </w:rPr>
              <w:br/>
              <w:t>DO NOT place bait stations more than 2 meters from buildings.</w:t>
            </w:r>
            <w:r w:rsidRPr="0032794B">
              <w:rPr>
                <w:rFonts w:cs="Arial"/>
                <w:color w:val="000000"/>
                <w:sz w:val="20"/>
                <w:szCs w:val="20"/>
              </w:rPr>
              <w:br/>
              <w:t>DO NOT place bait stations outdoors around buildings for control of mice.</w:t>
            </w:r>
            <w:r w:rsidRPr="0032794B">
              <w:rPr>
                <w:rFonts w:cs="Arial"/>
                <w:color w:val="000000"/>
                <w:sz w:val="20"/>
                <w:szCs w:val="20"/>
              </w:rPr>
              <w:br/>
              <w:t>DO NOT bait in areas where wildlife may be collected for human consumption.</w:t>
            </w:r>
            <w:r w:rsidRPr="0032794B">
              <w:rPr>
                <w:rFonts w:cs="Arial"/>
                <w:color w:val="000000"/>
                <w:sz w:val="20"/>
                <w:szCs w:val="20"/>
              </w:rPr>
              <w:br/>
              <w:t>DO NOT place baits in and around animal, livestock and poultry houses, associated equipment, and food and feed processing areas.</w:t>
            </w:r>
            <w:r w:rsidRPr="0032794B">
              <w:rPr>
                <w:rFonts w:cs="Arial"/>
                <w:color w:val="000000"/>
                <w:sz w:val="20"/>
                <w:szCs w:val="20"/>
              </w:rPr>
              <w:br/>
              <w:t>DO NOT apply this product directly into burrows.</w:t>
            </w:r>
          </w:p>
        </w:tc>
      </w:tr>
      <w:tr w:rsidR="008E67EA" w:rsidRPr="0032794B" w14:paraId="6C179F6F" w14:textId="77777777" w:rsidTr="00B44A74">
        <w:trPr>
          <w:jc w:val="center"/>
        </w:trPr>
        <w:tc>
          <w:tcPr>
            <w:tcW w:w="2415" w:type="dxa"/>
            <w:tcBorders>
              <w:top w:val="single" w:sz="4" w:space="0" w:color="auto"/>
              <w:left w:val="nil"/>
              <w:bottom w:val="single" w:sz="4" w:space="0" w:color="auto"/>
              <w:right w:val="nil"/>
            </w:tcBorders>
          </w:tcPr>
          <w:p w14:paraId="2253ACE0" w14:textId="77777777" w:rsidR="008E67EA" w:rsidRPr="0032794B"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F1BE470" w14:textId="77777777" w:rsidR="008E67EA" w:rsidRPr="0032794B" w:rsidRDefault="008E67EA" w:rsidP="00B44A74">
            <w:pPr>
              <w:spacing w:line="280" w:lineRule="exact"/>
              <w:rPr>
                <w:rFonts w:cs="Arial"/>
                <w:sz w:val="20"/>
                <w:szCs w:val="20"/>
              </w:rPr>
            </w:pPr>
          </w:p>
        </w:tc>
      </w:tr>
      <w:tr w:rsidR="008E67EA" w:rsidRPr="0032794B" w14:paraId="438D5CB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14C642D" w14:textId="77777777" w:rsidR="008E67EA" w:rsidRPr="0032794B" w:rsidRDefault="008E67EA" w:rsidP="00B44A74">
            <w:pPr>
              <w:spacing w:line="280" w:lineRule="exact"/>
              <w:rPr>
                <w:rFonts w:cs="Arial"/>
                <w:sz w:val="20"/>
                <w:szCs w:val="20"/>
              </w:rPr>
            </w:pPr>
            <w:r w:rsidRPr="0032794B">
              <w:rPr>
                <w:rFonts w:cs="Arial"/>
                <w:sz w:val="20"/>
                <w:szCs w:val="20"/>
              </w:rPr>
              <w:t>Directions for Use:</w:t>
            </w:r>
          </w:p>
        </w:tc>
        <w:tc>
          <w:tcPr>
            <w:tcW w:w="7755" w:type="dxa"/>
            <w:tcBorders>
              <w:top w:val="single" w:sz="4" w:space="0" w:color="auto"/>
              <w:left w:val="single" w:sz="4" w:space="0" w:color="auto"/>
              <w:bottom w:val="single" w:sz="4" w:space="0" w:color="auto"/>
              <w:right w:val="single" w:sz="4" w:space="0" w:color="auto"/>
            </w:tcBorders>
          </w:tcPr>
          <w:p w14:paraId="4AAC001E" w14:textId="77777777" w:rsidR="008E67EA" w:rsidRPr="0032794B" w:rsidRDefault="008E67EA" w:rsidP="00B44A74">
            <w:pPr>
              <w:spacing w:line="280" w:lineRule="exact"/>
              <w:rPr>
                <w:rFonts w:cs="Arial"/>
                <w:sz w:val="20"/>
                <w:szCs w:val="20"/>
              </w:rPr>
            </w:pPr>
            <w:r w:rsidRPr="00713087">
              <w:rPr>
                <w:rFonts w:cs="Arial"/>
                <w:sz w:val="20"/>
                <w:szCs w:val="20"/>
              </w:rPr>
              <w:t>[This section contains an attachment below]</w:t>
            </w:r>
          </w:p>
        </w:tc>
      </w:tr>
      <w:tr w:rsidR="008E67EA" w:rsidRPr="0032794B" w14:paraId="43D73A0A" w14:textId="77777777" w:rsidTr="00B44A74">
        <w:trPr>
          <w:jc w:val="center"/>
        </w:trPr>
        <w:tc>
          <w:tcPr>
            <w:tcW w:w="2415" w:type="dxa"/>
            <w:tcBorders>
              <w:top w:val="single" w:sz="4" w:space="0" w:color="auto"/>
              <w:left w:val="nil"/>
              <w:bottom w:val="single" w:sz="4" w:space="0" w:color="auto"/>
              <w:right w:val="nil"/>
            </w:tcBorders>
          </w:tcPr>
          <w:p w14:paraId="212A757B" w14:textId="77777777" w:rsidR="008E67EA" w:rsidRPr="0032794B"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4E9AE78" w14:textId="77777777" w:rsidR="008E67EA" w:rsidRPr="0032794B" w:rsidRDefault="008E67EA" w:rsidP="00B44A74">
            <w:pPr>
              <w:spacing w:line="280" w:lineRule="exact"/>
              <w:rPr>
                <w:rFonts w:cs="Arial"/>
                <w:sz w:val="20"/>
                <w:szCs w:val="20"/>
              </w:rPr>
            </w:pPr>
          </w:p>
        </w:tc>
      </w:tr>
      <w:tr w:rsidR="008E67EA" w:rsidRPr="0032794B" w14:paraId="3C7D74C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2DA62A2" w14:textId="77777777" w:rsidR="008E67EA" w:rsidRPr="0032794B" w:rsidRDefault="008E67EA" w:rsidP="00B44A74">
            <w:pPr>
              <w:spacing w:line="280" w:lineRule="exact"/>
              <w:rPr>
                <w:rFonts w:cs="Arial"/>
                <w:sz w:val="20"/>
                <w:szCs w:val="20"/>
              </w:rPr>
            </w:pPr>
            <w:r w:rsidRPr="0032794B">
              <w:rPr>
                <w:rFonts w:cs="Arial"/>
                <w:sz w:val="20"/>
                <w:szCs w:val="20"/>
              </w:rPr>
              <w:t>Other Limitations:</w:t>
            </w:r>
          </w:p>
        </w:tc>
        <w:tc>
          <w:tcPr>
            <w:tcW w:w="7755" w:type="dxa"/>
            <w:tcBorders>
              <w:top w:val="single" w:sz="4" w:space="0" w:color="auto"/>
              <w:left w:val="single" w:sz="4" w:space="0" w:color="auto"/>
              <w:bottom w:val="single" w:sz="4" w:space="0" w:color="auto"/>
              <w:right w:val="single" w:sz="4" w:space="0" w:color="auto"/>
            </w:tcBorders>
          </w:tcPr>
          <w:p w14:paraId="7F06A1E3" w14:textId="77777777" w:rsidR="008E67EA" w:rsidRPr="0032794B" w:rsidRDefault="008E67EA" w:rsidP="00B44A74">
            <w:pPr>
              <w:spacing w:line="280" w:lineRule="exact"/>
              <w:rPr>
                <w:rFonts w:cs="Arial"/>
                <w:sz w:val="20"/>
                <w:szCs w:val="20"/>
              </w:rPr>
            </w:pPr>
          </w:p>
        </w:tc>
      </w:tr>
      <w:tr w:rsidR="008E67EA" w:rsidRPr="0032794B" w14:paraId="2CDFE2F5" w14:textId="77777777" w:rsidTr="00B44A74">
        <w:trPr>
          <w:jc w:val="center"/>
        </w:trPr>
        <w:tc>
          <w:tcPr>
            <w:tcW w:w="2415" w:type="dxa"/>
            <w:tcBorders>
              <w:top w:val="single" w:sz="4" w:space="0" w:color="auto"/>
              <w:left w:val="nil"/>
              <w:bottom w:val="single" w:sz="4" w:space="0" w:color="auto"/>
              <w:right w:val="nil"/>
            </w:tcBorders>
          </w:tcPr>
          <w:p w14:paraId="33F5E51D" w14:textId="77777777" w:rsidR="008E67EA" w:rsidRPr="0032794B"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B6355CF" w14:textId="77777777" w:rsidR="008E67EA" w:rsidRPr="0032794B" w:rsidRDefault="008E67EA" w:rsidP="00B44A74">
            <w:pPr>
              <w:spacing w:line="280" w:lineRule="exact"/>
              <w:rPr>
                <w:rFonts w:cs="Arial"/>
                <w:sz w:val="20"/>
                <w:szCs w:val="20"/>
              </w:rPr>
            </w:pPr>
          </w:p>
        </w:tc>
      </w:tr>
      <w:tr w:rsidR="008E67EA" w:rsidRPr="0032794B" w14:paraId="3402342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412951E" w14:textId="77777777" w:rsidR="008E67EA" w:rsidRPr="0032794B" w:rsidRDefault="008E67EA" w:rsidP="00B44A74">
            <w:pPr>
              <w:spacing w:line="280" w:lineRule="exact"/>
              <w:rPr>
                <w:rFonts w:cs="Arial"/>
                <w:sz w:val="20"/>
                <w:szCs w:val="20"/>
              </w:rPr>
            </w:pPr>
            <w:r w:rsidRPr="0032794B">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77EF57A4" w14:textId="77777777" w:rsidR="008E67EA" w:rsidRPr="0032794B" w:rsidRDefault="008E67EA" w:rsidP="00B44A74">
            <w:pPr>
              <w:spacing w:line="280" w:lineRule="exact"/>
              <w:rPr>
                <w:rFonts w:cs="Arial"/>
                <w:sz w:val="20"/>
                <w:szCs w:val="20"/>
              </w:rPr>
            </w:pPr>
          </w:p>
        </w:tc>
      </w:tr>
      <w:tr w:rsidR="008E67EA" w:rsidRPr="0032794B" w14:paraId="59595DFF" w14:textId="77777777" w:rsidTr="00B44A74">
        <w:trPr>
          <w:jc w:val="center"/>
        </w:trPr>
        <w:tc>
          <w:tcPr>
            <w:tcW w:w="2415" w:type="dxa"/>
            <w:tcBorders>
              <w:top w:val="single" w:sz="4" w:space="0" w:color="auto"/>
              <w:left w:val="nil"/>
              <w:bottom w:val="single" w:sz="4" w:space="0" w:color="auto"/>
              <w:right w:val="nil"/>
            </w:tcBorders>
          </w:tcPr>
          <w:p w14:paraId="53987717" w14:textId="77777777" w:rsidR="008E67EA" w:rsidRPr="0032794B"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B1D97E8" w14:textId="77777777" w:rsidR="008E67EA" w:rsidRPr="0032794B" w:rsidRDefault="008E67EA" w:rsidP="00B44A74">
            <w:pPr>
              <w:spacing w:line="280" w:lineRule="exact"/>
              <w:rPr>
                <w:rFonts w:cs="Arial"/>
                <w:sz w:val="20"/>
                <w:szCs w:val="20"/>
              </w:rPr>
            </w:pPr>
          </w:p>
        </w:tc>
      </w:tr>
      <w:tr w:rsidR="008E67EA" w:rsidRPr="0032794B" w14:paraId="1A3067C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477DAC0" w14:textId="77777777" w:rsidR="008E67EA" w:rsidRPr="0032794B" w:rsidRDefault="008E67EA" w:rsidP="00B44A74">
            <w:pPr>
              <w:spacing w:line="280" w:lineRule="exact"/>
              <w:rPr>
                <w:rFonts w:cs="Arial"/>
                <w:sz w:val="20"/>
                <w:szCs w:val="20"/>
              </w:rPr>
            </w:pPr>
            <w:r w:rsidRPr="0032794B">
              <w:rPr>
                <w:rFonts w:cs="Arial"/>
                <w:sz w:val="20"/>
                <w:szCs w:val="20"/>
              </w:rPr>
              <w:t>Trade Advice:</w:t>
            </w:r>
          </w:p>
        </w:tc>
        <w:tc>
          <w:tcPr>
            <w:tcW w:w="7755" w:type="dxa"/>
            <w:tcBorders>
              <w:top w:val="single" w:sz="4" w:space="0" w:color="auto"/>
              <w:left w:val="single" w:sz="4" w:space="0" w:color="auto"/>
              <w:bottom w:val="single" w:sz="4" w:space="0" w:color="auto"/>
              <w:right w:val="single" w:sz="4" w:space="0" w:color="auto"/>
            </w:tcBorders>
          </w:tcPr>
          <w:p w14:paraId="150FCCCC" w14:textId="77777777" w:rsidR="008E67EA" w:rsidRPr="0032794B" w:rsidRDefault="008E67EA" w:rsidP="00B44A74">
            <w:pPr>
              <w:spacing w:line="280" w:lineRule="exact"/>
              <w:rPr>
                <w:rFonts w:cs="Arial"/>
                <w:sz w:val="20"/>
                <w:szCs w:val="20"/>
              </w:rPr>
            </w:pPr>
          </w:p>
        </w:tc>
      </w:tr>
      <w:tr w:rsidR="008E67EA" w:rsidRPr="0032794B" w14:paraId="2DBC545C" w14:textId="77777777" w:rsidTr="00B44A74">
        <w:trPr>
          <w:jc w:val="center"/>
        </w:trPr>
        <w:tc>
          <w:tcPr>
            <w:tcW w:w="2415" w:type="dxa"/>
            <w:tcBorders>
              <w:top w:val="single" w:sz="4" w:space="0" w:color="auto"/>
              <w:left w:val="nil"/>
              <w:bottom w:val="single" w:sz="4" w:space="0" w:color="auto"/>
              <w:right w:val="nil"/>
            </w:tcBorders>
          </w:tcPr>
          <w:p w14:paraId="4E0B1E6E" w14:textId="77777777" w:rsidR="008E67EA" w:rsidRPr="0032794B"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B9B3E93" w14:textId="77777777" w:rsidR="008E67EA" w:rsidRPr="0032794B" w:rsidRDefault="008E67EA" w:rsidP="00B44A74">
            <w:pPr>
              <w:spacing w:line="280" w:lineRule="exact"/>
              <w:rPr>
                <w:rFonts w:cs="Arial"/>
                <w:sz w:val="20"/>
                <w:szCs w:val="20"/>
              </w:rPr>
            </w:pPr>
          </w:p>
        </w:tc>
      </w:tr>
      <w:tr w:rsidR="008E67EA" w:rsidRPr="0032794B" w14:paraId="2C7EBCB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CFD27C9" w14:textId="77777777" w:rsidR="008E67EA" w:rsidRPr="0032794B" w:rsidRDefault="008E67EA" w:rsidP="00B44A74">
            <w:pPr>
              <w:spacing w:line="280" w:lineRule="exact"/>
              <w:rPr>
                <w:rFonts w:cs="Arial"/>
                <w:sz w:val="20"/>
                <w:szCs w:val="20"/>
              </w:rPr>
            </w:pPr>
            <w:r w:rsidRPr="0032794B">
              <w:rPr>
                <w:rFonts w:cs="Arial"/>
                <w:sz w:val="20"/>
                <w:szCs w:val="20"/>
              </w:rPr>
              <w:t>General Directions:</w:t>
            </w:r>
          </w:p>
        </w:tc>
        <w:tc>
          <w:tcPr>
            <w:tcW w:w="7755" w:type="dxa"/>
            <w:tcBorders>
              <w:top w:val="single" w:sz="4" w:space="0" w:color="auto"/>
              <w:left w:val="single" w:sz="4" w:space="0" w:color="auto"/>
              <w:bottom w:val="single" w:sz="4" w:space="0" w:color="auto"/>
              <w:right w:val="single" w:sz="4" w:space="0" w:color="auto"/>
            </w:tcBorders>
          </w:tcPr>
          <w:p w14:paraId="06EC261C" w14:textId="77777777" w:rsidR="008E67EA" w:rsidRPr="0032794B" w:rsidRDefault="008E67EA" w:rsidP="00B44A74">
            <w:pPr>
              <w:spacing w:line="280" w:lineRule="exact"/>
              <w:rPr>
                <w:rFonts w:cs="Arial"/>
                <w:sz w:val="20"/>
                <w:szCs w:val="20"/>
              </w:rPr>
            </w:pPr>
          </w:p>
        </w:tc>
      </w:tr>
      <w:tr w:rsidR="008E67EA" w:rsidRPr="0032794B" w14:paraId="19E45661" w14:textId="77777777" w:rsidTr="00B44A74">
        <w:trPr>
          <w:jc w:val="center"/>
        </w:trPr>
        <w:tc>
          <w:tcPr>
            <w:tcW w:w="2415" w:type="dxa"/>
            <w:tcBorders>
              <w:top w:val="single" w:sz="4" w:space="0" w:color="auto"/>
              <w:left w:val="nil"/>
              <w:bottom w:val="single" w:sz="4" w:space="0" w:color="auto"/>
              <w:right w:val="nil"/>
            </w:tcBorders>
          </w:tcPr>
          <w:p w14:paraId="151A8955" w14:textId="77777777" w:rsidR="008E67EA" w:rsidRPr="0032794B"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61334FB" w14:textId="77777777" w:rsidR="008E67EA" w:rsidRPr="0032794B" w:rsidRDefault="008E67EA" w:rsidP="00B44A74">
            <w:pPr>
              <w:spacing w:line="280" w:lineRule="exact"/>
              <w:rPr>
                <w:rFonts w:cs="Arial"/>
                <w:sz w:val="20"/>
                <w:szCs w:val="20"/>
              </w:rPr>
            </w:pPr>
          </w:p>
        </w:tc>
      </w:tr>
      <w:tr w:rsidR="008E67EA" w:rsidRPr="0032794B" w14:paraId="4036462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7D28EDE" w14:textId="77777777" w:rsidR="008E67EA" w:rsidRPr="0032794B" w:rsidRDefault="008E67EA" w:rsidP="00B44A74">
            <w:pPr>
              <w:spacing w:line="280" w:lineRule="exact"/>
              <w:rPr>
                <w:rFonts w:cs="Arial"/>
                <w:sz w:val="20"/>
                <w:szCs w:val="20"/>
              </w:rPr>
            </w:pPr>
            <w:r w:rsidRPr="0032794B">
              <w:rPr>
                <w:rFonts w:cs="Arial"/>
                <w:sz w:val="20"/>
                <w:szCs w:val="20"/>
              </w:rPr>
              <w:t>Resistance Warning:</w:t>
            </w:r>
          </w:p>
        </w:tc>
        <w:tc>
          <w:tcPr>
            <w:tcW w:w="7755" w:type="dxa"/>
            <w:tcBorders>
              <w:top w:val="single" w:sz="4" w:space="0" w:color="auto"/>
              <w:left w:val="single" w:sz="4" w:space="0" w:color="auto"/>
              <w:bottom w:val="single" w:sz="4" w:space="0" w:color="auto"/>
              <w:right w:val="single" w:sz="4" w:space="0" w:color="auto"/>
            </w:tcBorders>
          </w:tcPr>
          <w:p w14:paraId="13BFCD5E" w14:textId="77777777" w:rsidR="008E67EA" w:rsidRPr="0032794B" w:rsidRDefault="008E67EA" w:rsidP="00B44A74">
            <w:pPr>
              <w:spacing w:line="280" w:lineRule="exact"/>
              <w:rPr>
                <w:rFonts w:cs="Arial"/>
                <w:sz w:val="20"/>
                <w:szCs w:val="20"/>
              </w:rPr>
            </w:pPr>
          </w:p>
        </w:tc>
      </w:tr>
      <w:tr w:rsidR="008E67EA" w:rsidRPr="0032794B" w14:paraId="002C4242" w14:textId="77777777" w:rsidTr="00B44A74">
        <w:trPr>
          <w:jc w:val="center"/>
        </w:trPr>
        <w:tc>
          <w:tcPr>
            <w:tcW w:w="2415" w:type="dxa"/>
            <w:tcBorders>
              <w:top w:val="single" w:sz="4" w:space="0" w:color="auto"/>
              <w:left w:val="nil"/>
              <w:bottom w:val="single" w:sz="4" w:space="0" w:color="auto"/>
              <w:right w:val="nil"/>
            </w:tcBorders>
          </w:tcPr>
          <w:p w14:paraId="7D2DDFB7" w14:textId="77777777" w:rsidR="008E67EA" w:rsidRPr="0032794B"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3EC6D5C" w14:textId="77777777" w:rsidR="008E67EA" w:rsidRPr="0032794B" w:rsidRDefault="008E67EA" w:rsidP="00B44A74">
            <w:pPr>
              <w:spacing w:line="280" w:lineRule="exact"/>
              <w:rPr>
                <w:rFonts w:cs="Arial"/>
                <w:sz w:val="20"/>
                <w:szCs w:val="20"/>
              </w:rPr>
            </w:pPr>
          </w:p>
        </w:tc>
      </w:tr>
      <w:tr w:rsidR="008E67EA" w:rsidRPr="0032794B" w14:paraId="3D30DF8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CF69DAB" w14:textId="77777777" w:rsidR="008E67EA" w:rsidRPr="0032794B" w:rsidRDefault="008E67EA" w:rsidP="00B44A74">
            <w:pPr>
              <w:spacing w:line="280" w:lineRule="exact"/>
              <w:rPr>
                <w:rFonts w:cs="Arial"/>
                <w:sz w:val="20"/>
                <w:szCs w:val="20"/>
              </w:rPr>
            </w:pPr>
            <w:r w:rsidRPr="0032794B">
              <w:rPr>
                <w:rFonts w:cs="Arial"/>
                <w:sz w:val="20"/>
                <w:szCs w:val="20"/>
              </w:rPr>
              <w:t>Precautions:</w:t>
            </w:r>
          </w:p>
        </w:tc>
        <w:tc>
          <w:tcPr>
            <w:tcW w:w="7755" w:type="dxa"/>
            <w:tcBorders>
              <w:top w:val="single" w:sz="4" w:space="0" w:color="auto"/>
              <w:left w:val="single" w:sz="4" w:space="0" w:color="auto"/>
              <w:bottom w:val="single" w:sz="4" w:space="0" w:color="auto"/>
              <w:right w:val="single" w:sz="4" w:space="0" w:color="auto"/>
            </w:tcBorders>
          </w:tcPr>
          <w:p w14:paraId="5C0B6BBC" w14:textId="77777777" w:rsidR="008E67EA" w:rsidRPr="00936E9D" w:rsidRDefault="008E67EA" w:rsidP="00B44A74">
            <w:pPr>
              <w:spacing w:line="280" w:lineRule="exact"/>
              <w:rPr>
                <w:rFonts w:cs="Arial"/>
                <w:color w:val="000000"/>
                <w:sz w:val="20"/>
                <w:szCs w:val="20"/>
              </w:rPr>
            </w:pPr>
            <w:r w:rsidRPr="0032794B">
              <w:rPr>
                <w:rFonts w:cs="Arial"/>
                <w:color w:val="000000"/>
                <w:sz w:val="20"/>
                <w:szCs w:val="20"/>
              </w:rPr>
              <w:t>PRECAUTIONS</w:t>
            </w:r>
            <w:r w:rsidRPr="0032794B">
              <w:rPr>
                <w:rFonts w:cs="Arial"/>
                <w:color w:val="000000"/>
                <w:sz w:val="20"/>
                <w:szCs w:val="20"/>
              </w:rPr>
              <w:br/>
              <w:t>Caution should be used when baiting near areas where hunting of wildlife may occur. Careful consideration of bait placement is necessary to avoid secondary exposure from contaminated wildlife that may be consumed.</w:t>
            </w:r>
            <w:r w:rsidRPr="0032794B">
              <w:rPr>
                <w:rFonts w:cs="Arial"/>
                <w:color w:val="000000"/>
                <w:sz w:val="20"/>
                <w:szCs w:val="20"/>
              </w:rPr>
              <w:br/>
              <w:t>DO NOT place bait in areas where there is a possibility of contaminating food, livestock feed or surfaces that come in direct contact with food or livestock feed.</w:t>
            </w:r>
          </w:p>
        </w:tc>
      </w:tr>
      <w:tr w:rsidR="008E67EA" w:rsidRPr="0032794B" w14:paraId="43A28E14" w14:textId="77777777" w:rsidTr="00B44A74">
        <w:trPr>
          <w:jc w:val="center"/>
        </w:trPr>
        <w:tc>
          <w:tcPr>
            <w:tcW w:w="2415" w:type="dxa"/>
            <w:tcBorders>
              <w:top w:val="single" w:sz="4" w:space="0" w:color="auto"/>
              <w:left w:val="nil"/>
              <w:bottom w:val="single" w:sz="4" w:space="0" w:color="auto"/>
              <w:right w:val="nil"/>
            </w:tcBorders>
          </w:tcPr>
          <w:p w14:paraId="16FBAB17" w14:textId="77777777" w:rsidR="008E67EA" w:rsidRPr="0032794B"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FDF468E" w14:textId="77777777" w:rsidR="008E67EA" w:rsidRPr="00936E9D" w:rsidRDefault="008E67EA" w:rsidP="00B44A74">
            <w:pPr>
              <w:spacing w:line="280" w:lineRule="exact"/>
              <w:rPr>
                <w:rFonts w:cs="Arial"/>
                <w:color w:val="000000"/>
                <w:sz w:val="20"/>
                <w:szCs w:val="20"/>
              </w:rPr>
            </w:pPr>
          </w:p>
        </w:tc>
      </w:tr>
      <w:tr w:rsidR="008E67EA" w:rsidRPr="0032794B" w14:paraId="24911D0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E315C99" w14:textId="77777777" w:rsidR="008E67EA" w:rsidRPr="0032794B" w:rsidRDefault="008E67EA" w:rsidP="00B44A74">
            <w:pPr>
              <w:spacing w:line="280" w:lineRule="exact"/>
              <w:rPr>
                <w:rFonts w:cs="Arial"/>
                <w:sz w:val="20"/>
                <w:szCs w:val="20"/>
              </w:rPr>
            </w:pPr>
            <w:r w:rsidRPr="0032794B">
              <w:rPr>
                <w:rFonts w:cs="Arial"/>
                <w:sz w:val="20"/>
                <w:szCs w:val="20"/>
              </w:rPr>
              <w:t>Protection Statements:</w:t>
            </w:r>
          </w:p>
        </w:tc>
        <w:tc>
          <w:tcPr>
            <w:tcW w:w="7755" w:type="dxa"/>
            <w:tcBorders>
              <w:top w:val="single" w:sz="4" w:space="0" w:color="auto"/>
              <w:left w:val="single" w:sz="4" w:space="0" w:color="auto"/>
              <w:bottom w:val="single" w:sz="4" w:space="0" w:color="auto"/>
              <w:right w:val="single" w:sz="4" w:space="0" w:color="auto"/>
            </w:tcBorders>
          </w:tcPr>
          <w:p w14:paraId="56BA306C" w14:textId="77777777" w:rsidR="008E67EA" w:rsidRDefault="008E67EA" w:rsidP="00B44A74">
            <w:pPr>
              <w:spacing w:line="280" w:lineRule="exact"/>
              <w:rPr>
                <w:rFonts w:cs="Arial"/>
                <w:color w:val="000000"/>
                <w:sz w:val="20"/>
                <w:szCs w:val="20"/>
              </w:rPr>
            </w:pPr>
            <w:r w:rsidRPr="0032794B">
              <w:rPr>
                <w:rFonts w:cs="Arial"/>
                <w:color w:val="000000"/>
                <w:sz w:val="20"/>
                <w:szCs w:val="20"/>
              </w:rPr>
              <w:t>PROTECTION OF LIVESTOCK AND WILDLIFE</w:t>
            </w:r>
            <w:r w:rsidRPr="0032794B">
              <w:rPr>
                <w:rFonts w:cs="Arial"/>
                <w:color w:val="000000"/>
                <w:sz w:val="20"/>
                <w:szCs w:val="20"/>
              </w:rPr>
              <w:br/>
              <w:t>Hazardous to livestock, poultry and wildlife. DO NOT place baits in locations that are accessible to domestic animals, livestock, non-target native animals or birds.</w:t>
            </w:r>
            <w:r w:rsidRPr="0032794B">
              <w:rPr>
                <w:rFonts w:cs="Arial"/>
                <w:color w:val="000000"/>
                <w:sz w:val="20"/>
                <w:szCs w:val="20"/>
              </w:rPr>
              <w:br/>
              <w:t xml:space="preserve">Search for and dispose of dead rodents and slugs/snails in the infested area at each visit to prevent secondary poisoning. In case slugs/snails are present, move bait station to another location within the rodent infested site, away from slugs/snails. Dispose of slugs/snails in a way non-target animals are not exposed. Dispose of dead rodents and uneaten bait in compliance with local, state or territory government regulations. </w:t>
            </w:r>
            <w:r w:rsidRPr="0032794B">
              <w:rPr>
                <w:rFonts w:cs="Arial"/>
                <w:color w:val="000000"/>
                <w:sz w:val="20"/>
                <w:szCs w:val="20"/>
              </w:rPr>
              <w:br/>
              <w:t>DO NOT allow livestock or poultry to consume dead or moribund mice and rats. All dead or moribund animals and rodent faeces from baited rodents MUST be removed from areas accessible to livestock or poultry.</w:t>
            </w:r>
            <w:r w:rsidRPr="0032794B">
              <w:rPr>
                <w:rFonts w:cs="Arial"/>
                <w:color w:val="000000"/>
                <w:sz w:val="20"/>
                <w:szCs w:val="20"/>
              </w:rPr>
              <w:br/>
              <w:t>The use of this product for the control of protected native rodents requires permission from wildlife authorities.</w:t>
            </w:r>
          </w:p>
          <w:p w14:paraId="3FE08D14" w14:textId="2AE765EE" w:rsidR="008E67EA" w:rsidRPr="00936E9D" w:rsidRDefault="008E67EA" w:rsidP="00B44A74">
            <w:pPr>
              <w:spacing w:line="280" w:lineRule="exact"/>
              <w:rPr>
                <w:rFonts w:cs="Arial"/>
                <w:color w:val="000000"/>
                <w:sz w:val="20"/>
                <w:szCs w:val="20"/>
              </w:rPr>
            </w:pPr>
            <w:r w:rsidRPr="0032794B">
              <w:rPr>
                <w:rFonts w:cs="Arial"/>
                <w:color w:val="000000"/>
                <w:sz w:val="20"/>
                <w:szCs w:val="20"/>
              </w:rPr>
              <w:br/>
              <w:t>PROTECTION OF FISH, CRUSTACEANS AND ENVIRONMENT</w:t>
            </w:r>
            <w:r w:rsidRPr="0032794B">
              <w:rPr>
                <w:rFonts w:cs="Arial"/>
                <w:color w:val="000000"/>
                <w:sz w:val="20"/>
                <w:szCs w:val="20"/>
              </w:rPr>
              <w:br/>
              <w:t>Toxic to aquatic life. DO NOT contaminate wetlands or watercourses with this product or used containers. Place the bait stations in areas not liable to flooding. When placing bait stations close to water drainage systems, ensure that bait contact with water is avoided.</w:t>
            </w:r>
          </w:p>
        </w:tc>
      </w:tr>
      <w:tr w:rsidR="008E67EA" w:rsidRPr="0032794B" w14:paraId="74EE6BCE" w14:textId="77777777" w:rsidTr="00B44A74">
        <w:trPr>
          <w:jc w:val="center"/>
        </w:trPr>
        <w:tc>
          <w:tcPr>
            <w:tcW w:w="2415" w:type="dxa"/>
            <w:tcBorders>
              <w:top w:val="single" w:sz="4" w:space="0" w:color="auto"/>
              <w:left w:val="nil"/>
              <w:bottom w:val="single" w:sz="4" w:space="0" w:color="auto"/>
              <w:right w:val="nil"/>
            </w:tcBorders>
          </w:tcPr>
          <w:p w14:paraId="6E141499" w14:textId="77777777" w:rsidR="008E67EA" w:rsidRPr="0032794B"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367171D" w14:textId="77777777" w:rsidR="008E67EA" w:rsidRPr="0032794B" w:rsidRDefault="008E67EA" w:rsidP="00B44A74">
            <w:pPr>
              <w:spacing w:line="280" w:lineRule="exact"/>
              <w:rPr>
                <w:rFonts w:cs="Arial"/>
                <w:sz w:val="20"/>
                <w:szCs w:val="20"/>
              </w:rPr>
            </w:pPr>
          </w:p>
        </w:tc>
      </w:tr>
      <w:tr w:rsidR="008E67EA" w:rsidRPr="0032794B" w14:paraId="07314B1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9AAA77B" w14:textId="77777777" w:rsidR="008E67EA" w:rsidRPr="0032794B" w:rsidRDefault="008E67EA" w:rsidP="00B44A74">
            <w:pPr>
              <w:spacing w:line="280" w:lineRule="exact"/>
              <w:rPr>
                <w:rFonts w:cs="Arial"/>
                <w:sz w:val="20"/>
                <w:szCs w:val="20"/>
              </w:rPr>
            </w:pPr>
            <w:r w:rsidRPr="0032794B">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22E81E62" w14:textId="77777777" w:rsidR="008E67EA" w:rsidRPr="00936E9D" w:rsidRDefault="008E67EA" w:rsidP="00B44A74">
            <w:pPr>
              <w:spacing w:line="280" w:lineRule="exact"/>
              <w:rPr>
                <w:rFonts w:cs="Arial"/>
                <w:color w:val="000000"/>
                <w:sz w:val="20"/>
                <w:szCs w:val="20"/>
              </w:rPr>
            </w:pPr>
            <w:r w:rsidRPr="00936E9D">
              <w:rPr>
                <w:rFonts w:cs="Arial"/>
                <w:color w:val="000000"/>
                <w:sz w:val="20"/>
                <w:szCs w:val="20"/>
              </w:rPr>
              <w:t>STORAGE AND DISPOSAL</w:t>
            </w:r>
          </w:p>
          <w:p w14:paraId="3DE26374" w14:textId="2B7543E0" w:rsidR="008E67EA" w:rsidRPr="0032794B" w:rsidRDefault="008E67EA" w:rsidP="00B44A74">
            <w:pPr>
              <w:spacing w:line="280" w:lineRule="exact"/>
              <w:rPr>
                <w:rFonts w:cs="Arial"/>
                <w:color w:val="000000"/>
                <w:sz w:val="20"/>
                <w:szCs w:val="20"/>
              </w:rPr>
            </w:pPr>
            <w:r w:rsidRPr="0032794B">
              <w:rPr>
                <w:rFonts w:cs="Arial"/>
                <w:color w:val="000000"/>
                <w:sz w:val="20"/>
                <w:szCs w:val="20"/>
              </w:rPr>
              <w:t>Store in the closed, original container in a well-ventilated area, as cool as possible.</w:t>
            </w:r>
            <w:r w:rsidRPr="0032794B">
              <w:rPr>
                <w:rFonts w:cs="Arial"/>
                <w:color w:val="000000"/>
                <w:sz w:val="20"/>
                <w:szCs w:val="20"/>
              </w:rPr>
              <w:br/>
              <w:t>DO NOT store for prolonged periods in direct sunlight.</w:t>
            </w:r>
          </w:p>
          <w:p w14:paraId="310E286A" w14:textId="77777777" w:rsidR="008E67EA" w:rsidRPr="0032794B" w:rsidRDefault="008E67EA" w:rsidP="00B44A74">
            <w:pPr>
              <w:spacing w:line="280" w:lineRule="exact"/>
              <w:rPr>
                <w:rFonts w:cs="Arial"/>
                <w:sz w:val="20"/>
                <w:szCs w:val="20"/>
              </w:rPr>
            </w:pPr>
            <w:r w:rsidRPr="0032794B">
              <w:rPr>
                <w:rFonts w:cs="Arial"/>
                <w:color w:val="000000"/>
                <w:sz w:val="20"/>
                <w:szCs w:val="20"/>
              </w:rPr>
              <w:t xml:space="preserve">Triple rinse containers before disposal. Break, crush or puncture and deliver empty packaging to an approved waste management facility. If an approved waste management facility is not available, dispose of empty packaging in compliance with relevant local, state or territory government regulations. </w:t>
            </w:r>
            <w:r w:rsidRPr="00936E9D">
              <w:rPr>
                <w:rFonts w:cs="Arial"/>
                <w:color w:val="000000"/>
                <w:sz w:val="20"/>
                <w:szCs w:val="20"/>
              </w:rPr>
              <w:t>Dispose of unused product in compliance with relevant local, state or territory government regulations.</w:t>
            </w:r>
            <w:r>
              <w:rPr>
                <w:rFonts w:cs="Arial"/>
                <w:color w:val="000000"/>
                <w:sz w:val="20"/>
                <w:szCs w:val="20"/>
              </w:rPr>
              <w:t xml:space="preserve"> </w:t>
            </w:r>
            <w:r w:rsidRPr="0032794B">
              <w:rPr>
                <w:rFonts w:cs="Arial"/>
                <w:color w:val="000000"/>
                <w:sz w:val="20"/>
                <w:szCs w:val="20"/>
              </w:rPr>
              <w:t>DO NOT burn empty containers or product.</w:t>
            </w:r>
          </w:p>
        </w:tc>
      </w:tr>
      <w:tr w:rsidR="008E67EA" w:rsidRPr="0032794B" w14:paraId="21B84B97" w14:textId="77777777" w:rsidTr="00B44A74">
        <w:trPr>
          <w:jc w:val="center"/>
        </w:trPr>
        <w:tc>
          <w:tcPr>
            <w:tcW w:w="2415" w:type="dxa"/>
            <w:tcBorders>
              <w:top w:val="single" w:sz="4" w:space="0" w:color="auto"/>
              <w:left w:val="nil"/>
              <w:bottom w:val="single" w:sz="4" w:space="0" w:color="auto"/>
              <w:right w:val="nil"/>
            </w:tcBorders>
          </w:tcPr>
          <w:p w14:paraId="091A905E" w14:textId="77777777" w:rsidR="008E67EA" w:rsidRPr="0032794B"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B2125E9" w14:textId="77777777" w:rsidR="008E67EA" w:rsidRPr="0032794B" w:rsidRDefault="008E67EA" w:rsidP="00B44A74">
            <w:pPr>
              <w:spacing w:line="280" w:lineRule="exact"/>
              <w:rPr>
                <w:rFonts w:cs="Arial"/>
                <w:sz w:val="20"/>
                <w:szCs w:val="20"/>
              </w:rPr>
            </w:pPr>
          </w:p>
        </w:tc>
      </w:tr>
      <w:tr w:rsidR="008E67EA" w:rsidRPr="0032794B" w14:paraId="204BA23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638A192" w14:textId="77777777" w:rsidR="008E67EA" w:rsidRPr="0032794B" w:rsidRDefault="008E67EA" w:rsidP="00B44A74">
            <w:pPr>
              <w:spacing w:line="280" w:lineRule="exact"/>
              <w:rPr>
                <w:rFonts w:cs="Arial"/>
                <w:sz w:val="20"/>
                <w:szCs w:val="20"/>
              </w:rPr>
            </w:pPr>
            <w:r w:rsidRPr="0032794B">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359B1CFB" w14:textId="77777777" w:rsidR="008E67EA" w:rsidRPr="00936E9D" w:rsidRDefault="008E67EA" w:rsidP="00B44A74">
            <w:pPr>
              <w:spacing w:line="280" w:lineRule="exact"/>
              <w:rPr>
                <w:rFonts w:cs="Arial"/>
                <w:color w:val="000000"/>
                <w:sz w:val="20"/>
                <w:szCs w:val="20"/>
              </w:rPr>
            </w:pPr>
            <w:r w:rsidRPr="00936E9D">
              <w:rPr>
                <w:rFonts w:cs="Arial"/>
                <w:color w:val="000000"/>
                <w:sz w:val="20"/>
                <w:szCs w:val="20"/>
              </w:rPr>
              <w:t>SAFETY DIRECTIONS</w:t>
            </w:r>
          </w:p>
          <w:p w14:paraId="1AB392D7" w14:textId="0D0C0D47" w:rsidR="008E67EA" w:rsidRPr="0032794B" w:rsidRDefault="008E67EA" w:rsidP="00B44A74">
            <w:pPr>
              <w:spacing w:line="280" w:lineRule="exact"/>
              <w:rPr>
                <w:rFonts w:cs="Arial"/>
                <w:color w:val="000000"/>
                <w:sz w:val="20"/>
                <w:szCs w:val="20"/>
              </w:rPr>
            </w:pPr>
            <w:r w:rsidRPr="0032794B">
              <w:rPr>
                <w:rFonts w:cs="Arial"/>
                <w:color w:val="000000"/>
                <w:sz w:val="20"/>
                <w:szCs w:val="20"/>
              </w:rPr>
              <w:t>Repeated minor exposure may have a cumulative poisoning effect. Avoid contact with eyes and skin. Do not inhale dust. Do not touch bait, use scoop or measure. When using the product wear disposable gloves. If on skin and after each baiting, wash thoroughly with soap and water.</w:t>
            </w:r>
          </w:p>
          <w:p w14:paraId="76150AC8" w14:textId="2266101F" w:rsidR="008E67EA" w:rsidRPr="00936E9D" w:rsidRDefault="008E67EA" w:rsidP="00B44A74">
            <w:pPr>
              <w:spacing w:line="280" w:lineRule="exact"/>
              <w:rPr>
                <w:rFonts w:cs="Arial"/>
                <w:color w:val="000000"/>
                <w:sz w:val="20"/>
                <w:szCs w:val="20"/>
              </w:rPr>
            </w:pPr>
            <w:r w:rsidRPr="0032794B">
              <w:rPr>
                <w:rFonts w:cs="Arial"/>
                <w:color w:val="000000"/>
                <w:sz w:val="20"/>
                <w:szCs w:val="20"/>
              </w:rPr>
              <w:t>During cleanup and disposal operations of bait and bait stations, wear a single layer of clothing and disposable gloves. Wear disposable gloves when handling rodent carcasses. Wash clothes after performing re-handling activities.</w:t>
            </w:r>
          </w:p>
        </w:tc>
      </w:tr>
      <w:tr w:rsidR="008E67EA" w:rsidRPr="0032794B" w14:paraId="2D743FA9" w14:textId="77777777" w:rsidTr="00B44A74">
        <w:trPr>
          <w:jc w:val="center"/>
        </w:trPr>
        <w:tc>
          <w:tcPr>
            <w:tcW w:w="2415" w:type="dxa"/>
            <w:tcBorders>
              <w:top w:val="single" w:sz="4" w:space="0" w:color="auto"/>
              <w:left w:val="nil"/>
              <w:bottom w:val="single" w:sz="4" w:space="0" w:color="auto"/>
              <w:right w:val="nil"/>
            </w:tcBorders>
          </w:tcPr>
          <w:p w14:paraId="109A6EFF" w14:textId="77777777" w:rsidR="008E67EA" w:rsidRPr="0032794B"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FA0F8C4" w14:textId="77777777" w:rsidR="008E67EA" w:rsidRPr="00936E9D" w:rsidRDefault="008E67EA" w:rsidP="00B44A74">
            <w:pPr>
              <w:spacing w:line="280" w:lineRule="exact"/>
              <w:rPr>
                <w:rFonts w:cs="Arial"/>
                <w:color w:val="000000"/>
                <w:sz w:val="20"/>
                <w:szCs w:val="20"/>
              </w:rPr>
            </w:pPr>
          </w:p>
        </w:tc>
      </w:tr>
      <w:tr w:rsidR="008E67EA" w:rsidRPr="0032794B" w14:paraId="3602B81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FBB02AC" w14:textId="77777777" w:rsidR="008E67EA" w:rsidRPr="0032794B" w:rsidRDefault="008E67EA" w:rsidP="00B44A74">
            <w:pPr>
              <w:spacing w:line="280" w:lineRule="exact"/>
              <w:rPr>
                <w:rFonts w:cs="Arial"/>
                <w:sz w:val="20"/>
                <w:szCs w:val="20"/>
              </w:rPr>
            </w:pPr>
            <w:r w:rsidRPr="0032794B">
              <w:rPr>
                <w:rFonts w:cs="Arial"/>
                <w:sz w:val="20"/>
                <w:szCs w:val="20"/>
              </w:rPr>
              <w:t>First Aid Instructions:</w:t>
            </w:r>
          </w:p>
        </w:tc>
        <w:tc>
          <w:tcPr>
            <w:tcW w:w="7755" w:type="dxa"/>
            <w:tcBorders>
              <w:top w:val="single" w:sz="4" w:space="0" w:color="auto"/>
              <w:left w:val="single" w:sz="4" w:space="0" w:color="auto"/>
              <w:bottom w:val="single" w:sz="4" w:space="0" w:color="auto"/>
              <w:right w:val="single" w:sz="4" w:space="0" w:color="auto"/>
            </w:tcBorders>
          </w:tcPr>
          <w:p w14:paraId="246256E1" w14:textId="77777777" w:rsidR="008E67EA" w:rsidRPr="00936E9D" w:rsidRDefault="008E67EA" w:rsidP="00B44A74">
            <w:pPr>
              <w:spacing w:line="280" w:lineRule="exact"/>
              <w:rPr>
                <w:rFonts w:cs="Arial"/>
                <w:color w:val="000000"/>
                <w:sz w:val="20"/>
                <w:szCs w:val="20"/>
              </w:rPr>
            </w:pPr>
            <w:r w:rsidRPr="00936E9D">
              <w:rPr>
                <w:rFonts w:cs="Arial"/>
                <w:color w:val="000000"/>
                <w:sz w:val="20"/>
                <w:szCs w:val="20"/>
              </w:rPr>
              <w:t>FIRST AID</w:t>
            </w:r>
          </w:p>
          <w:p w14:paraId="6BABB9C5" w14:textId="77777777" w:rsidR="008E67EA" w:rsidRPr="00936E9D" w:rsidRDefault="008E67EA" w:rsidP="00B44A74">
            <w:pPr>
              <w:spacing w:line="280" w:lineRule="exact"/>
              <w:rPr>
                <w:rFonts w:cs="Arial"/>
                <w:color w:val="000000"/>
                <w:sz w:val="20"/>
                <w:szCs w:val="20"/>
              </w:rPr>
            </w:pPr>
            <w:r w:rsidRPr="0032794B">
              <w:rPr>
                <w:rFonts w:cs="Arial"/>
                <w:color w:val="000000"/>
                <w:sz w:val="20"/>
                <w:szCs w:val="20"/>
              </w:rPr>
              <w:lastRenderedPageBreak/>
              <w:t>If poisoning occurs, contact a doctor or Poisons Information Centre. Phone Australia 13 11 26, New Zealand 0800 764 766. Vitamin K1 (Phytomenadione) is antidotal.</w:t>
            </w:r>
          </w:p>
        </w:tc>
      </w:tr>
      <w:tr w:rsidR="008E67EA" w:rsidRPr="0032794B" w14:paraId="2A0EEC0A" w14:textId="77777777" w:rsidTr="00B44A74">
        <w:trPr>
          <w:jc w:val="center"/>
        </w:trPr>
        <w:tc>
          <w:tcPr>
            <w:tcW w:w="2415" w:type="dxa"/>
            <w:tcBorders>
              <w:top w:val="single" w:sz="4" w:space="0" w:color="auto"/>
              <w:left w:val="nil"/>
              <w:bottom w:val="single" w:sz="4" w:space="0" w:color="auto"/>
              <w:right w:val="nil"/>
            </w:tcBorders>
          </w:tcPr>
          <w:p w14:paraId="215C6DF9" w14:textId="77777777" w:rsidR="008E67EA" w:rsidRPr="0032794B"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1F39E5B" w14:textId="77777777" w:rsidR="008E67EA" w:rsidRPr="0032794B" w:rsidRDefault="008E67EA" w:rsidP="00B44A74">
            <w:pPr>
              <w:spacing w:line="280" w:lineRule="exact"/>
              <w:rPr>
                <w:rFonts w:cs="Arial"/>
                <w:sz w:val="20"/>
                <w:szCs w:val="20"/>
              </w:rPr>
            </w:pPr>
          </w:p>
        </w:tc>
      </w:tr>
      <w:tr w:rsidR="008E67EA" w:rsidRPr="0032794B" w14:paraId="15F1FCB9"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9821387" w14:textId="77777777" w:rsidR="008E67EA" w:rsidRPr="0032794B" w:rsidRDefault="008E67EA" w:rsidP="00B44A74">
            <w:pPr>
              <w:spacing w:line="280" w:lineRule="exact"/>
              <w:rPr>
                <w:rFonts w:cs="Arial"/>
                <w:sz w:val="20"/>
                <w:szCs w:val="20"/>
              </w:rPr>
            </w:pPr>
            <w:r w:rsidRPr="0032794B">
              <w:rPr>
                <w:rFonts w:cs="Arial"/>
                <w:sz w:val="20"/>
                <w:szCs w:val="20"/>
              </w:rPr>
              <w:t>First Aid Warnings:</w:t>
            </w:r>
          </w:p>
        </w:tc>
        <w:tc>
          <w:tcPr>
            <w:tcW w:w="7755" w:type="dxa"/>
            <w:tcBorders>
              <w:top w:val="single" w:sz="4" w:space="0" w:color="auto"/>
              <w:left w:val="single" w:sz="4" w:space="0" w:color="auto"/>
              <w:bottom w:val="single" w:sz="4" w:space="0" w:color="auto"/>
              <w:right w:val="single" w:sz="4" w:space="0" w:color="auto"/>
            </w:tcBorders>
          </w:tcPr>
          <w:p w14:paraId="2E33D7FE" w14:textId="77777777" w:rsidR="008E67EA" w:rsidRPr="0032794B" w:rsidRDefault="008E67EA" w:rsidP="00B44A74">
            <w:pPr>
              <w:spacing w:line="280" w:lineRule="exact"/>
              <w:rPr>
                <w:rFonts w:cs="Arial"/>
                <w:sz w:val="20"/>
                <w:szCs w:val="20"/>
              </w:rPr>
            </w:pPr>
          </w:p>
        </w:tc>
      </w:tr>
    </w:tbl>
    <w:p w14:paraId="7F7909B0" w14:textId="77777777" w:rsidR="008E67EA" w:rsidRPr="0032794B" w:rsidRDefault="008E67EA" w:rsidP="008E67EA">
      <w:pPr>
        <w:rPr>
          <w:rFonts w:cs="Arial"/>
          <w:sz w:val="20"/>
          <w:szCs w:val="20"/>
        </w:rPr>
      </w:pPr>
    </w:p>
    <w:p w14:paraId="6175A5E3" w14:textId="77777777" w:rsidR="008E67EA" w:rsidRPr="00FF36BF" w:rsidRDefault="008E67EA" w:rsidP="008E67EA">
      <w:pPr>
        <w:spacing w:line="280" w:lineRule="exact"/>
        <w:rPr>
          <w:rFonts w:cs="Arial"/>
          <w:b/>
          <w:bCs/>
          <w:sz w:val="20"/>
          <w:szCs w:val="20"/>
        </w:rPr>
      </w:pPr>
      <w:r w:rsidRPr="00FF36BF">
        <w:rPr>
          <w:rFonts w:cs="Arial"/>
          <w:b/>
          <w:bCs/>
          <w:sz w:val="20"/>
          <w:szCs w:val="20"/>
        </w:rPr>
        <w:t>DIRECTIONS FOR USE</w:t>
      </w:r>
    </w:p>
    <w:tbl>
      <w:tblPr>
        <w:tblStyle w:val="TableGrid"/>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1418"/>
        <w:gridCol w:w="1134"/>
        <w:gridCol w:w="3159"/>
      </w:tblGrid>
      <w:tr w:rsidR="008E67EA" w:rsidRPr="00A27FD2" w14:paraId="39A69BA4" w14:textId="77777777" w:rsidTr="00FF707A">
        <w:trPr>
          <w:trHeight w:val="340"/>
        </w:trPr>
        <w:tc>
          <w:tcPr>
            <w:tcW w:w="3289" w:type="dxa"/>
          </w:tcPr>
          <w:p w14:paraId="7969E687" w14:textId="77777777" w:rsidR="008E67EA" w:rsidRPr="00382A84" w:rsidRDefault="008E67EA" w:rsidP="00B44A74">
            <w:pPr>
              <w:spacing w:line="280" w:lineRule="exact"/>
              <w:rPr>
                <w:rFonts w:cs="Arial"/>
                <w:b/>
                <w:bCs/>
                <w:szCs w:val="18"/>
              </w:rPr>
            </w:pPr>
            <w:r w:rsidRPr="00382A84">
              <w:rPr>
                <w:rFonts w:cs="Arial"/>
                <w:b/>
                <w:bCs/>
                <w:szCs w:val="18"/>
              </w:rPr>
              <w:t>SITUATION</w:t>
            </w:r>
          </w:p>
        </w:tc>
        <w:tc>
          <w:tcPr>
            <w:tcW w:w="1418" w:type="dxa"/>
          </w:tcPr>
          <w:p w14:paraId="6EBDCCEA" w14:textId="77777777" w:rsidR="008E67EA" w:rsidRPr="00382A84" w:rsidRDefault="008E67EA" w:rsidP="00B44A74">
            <w:pPr>
              <w:spacing w:line="280" w:lineRule="exact"/>
              <w:rPr>
                <w:rFonts w:cs="Arial"/>
                <w:b/>
                <w:bCs/>
                <w:szCs w:val="18"/>
              </w:rPr>
            </w:pPr>
            <w:r w:rsidRPr="00382A84">
              <w:rPr>
                <w:rFonts w:cs="Arial"/>
                <w:b/>
                <w:bCs/>
                <w:szCs w:val="18"/>
              </w:rPr>
              <w:t>PEST</w:t>
            </w:r>
          </w:p>
        </w:tc>
        <w:tc>
          <w:tcPr>
            <w:tcW w:w="1134" w:type="dxa"/>
          </w:tcPr>
          <w:p w14:paraId="026B213A" w14:textId="77777777" w:rsidR="008E67EA" w:rsidRPr="00382A84" w:rsidRDefault="008E67EA" w:rsidP="00B44A74">
            <w:pPr>
              <w:spacing w:line="280" w:lineRule="exact"/>
              <w:rPr>
                <w:rFonts w:cs="Arial"/>
                <w:b/>
                <w:bCs/>
                <w:szCs w:val="18"/>
              </w:rPr>
            </w:pPr>
            <w:r w:rsidRPr="00382A84">
              <w:rPr>
                <w:rFonts w:cs="Arial"/>
                <w:b/>
                <w:bCs/>
                <w:szCs w:val="18"/>
              </w:rPr>
              <w:t>RATE</w:t>
            </w:r>
          </w:p>
        </w:tc>
        <w:tc>
          <w:tcPr>
            <w:tcW w:w="3159" w:type="dxa"/>
          </w:tcPr>
          <w:p w14:paraId="62E6570E" w14:textId="77777777" w:rsidR="008E67EA" w:rsidRPr="00382A84" w:rsidRDefault="008E67EA" w:rsidP="00B44A74">
            <w:pPr>
              <w:spacing w:line="280" w:lineRule="exact"/>
              <w:rPr>
                <w:rFonts w:cs="Arial"/>
                <w:b/>
                <w:bCs/>
                <w:szCs w:val="18"/>
              </w:rPr>
            </w:pPr>
            <w:r w:rsidRPr="00382A84">
              <w:rPr>
                <w:rFonts w:cs="Arial"/>
                <w:b/>
                <w:bCs/>
                <w:szCs w:val="18"/>
              </w:rPr>
              <w:t>CRITICAL COMMENTS</w:t>
            </w:r>
          </w:p>
        </w:tc>
      </w:tr>
      <w:tr w:rsidR="008E67EA" w:rsidRPr="00A27FD2" w14:paraId="2E95A19A" w14:textId="77777777" w:rsidTr="00FF707A">
        <w:trPr>
          <w:trHeight w:val="841"/>
        </w:trPr>
        <w:tc>
          <w:tcPr>
            <w:tcW w:w="3289" w:type="dxa"/>
          </w:tcPr>
          <w:p w14:paraId="47ADAE1B" w14:textId="77777777" w:rsidR="008E67EA" w:rsidRPr="00382A84" w:rsidRDefault="008E67EA" w:rsidP="00B44A74">
            <w:pPr>
              <w:spacing w:after="120" w:line="240" w:lineRule="exact"/>
              <w:rPr>
                <w:rFonts w:cs="Arial"/>
                <w:bCs/>
                <w:spacing w:val="-2"/>
                <w:w w:val="105"/>
                <w:szCs w:val="18"/>
              </w:rPr>
            </w:pPr>
            <w:r w:rsidRPr="00382A84">
              <w:rPr>
                <w:rFonts w:cs="Arial"/>
                <w:bCs/>
                <w:spacing w:val="-2"/>
                <w:w w:val="105"/>
                <w:szCs w:val="18"/>
              </w:rPr>
              <w:t xml:space="preserve">In </w:t>
            </w:r>
            <w:r>
              <w:rPr>
                <w:rFonts w:cs="Arial"/>
                <w:bCs/>
                <w:spacing w:val="-2"/>
                <w:w w:val="105"/>
                <w:szCs w:val="18"/>
              </w:rPr>
              <w:t>d</w:t>
            </w:r>
            <w:r w:rsidRPr="006469D5">
              <w:rPr>
                <w:rFonts w:cs="Arial"/>
                <w:bCs/>
                <w:spacing w:val="-2"/>
                <w:w w:val="105"/>
                <w:szCs w:val="18"/>
              </w:rPr>
              <w:t>omestic homes, industrial and commercial buildings</w:t>
            </w:r>
            <w:r>
              <w:rPr>
                <w:rFonts w:cs="Arial"/>
                <w:bCs/>
                <w:spacing w:val="-2"/>
                <w:w w:val="105"/>
                <w:szCs w:val="18"/>
              </w:rPr>
              <w:t xml:space="preserve">, </w:t>
            </w:r>
            <w:r w:rsidRPr="006469D5">
              <w:rPr>
                <w:rFonts w:cs="Arial"/>
                <w:bCs/>
                <w:spacing w:val="-2"/>
                <w:w w:val="105"/>
                <w:szCs w:val="18"/>
              </w:rPr>
              <w:t xml:space="preserve">farms, wharves, public service buildings, food factories, hospitals, </w:t>
            </w:r>
            <w:r>
              <w:rPr>
                <w:rFonts w:cs="Arial"/>
                <w:bCs/>
                <w:spacing w:val="-2"/>
                <w:w w:val="105"/>
                <w:szCs w:val="18"/>
              </w:rPr>
              <w:t xml:space="preserve">and </w:t>
            </w:r>
            <w:r w:rsidRPr="006469D5">
              <w:rPr>
                <w:rFonts w:cs="Arial"/>
                <w:bCs/>
                <w:spacing w:val="-2"/>
                <w:w w:val="105"/>
                <w:szCs w:val="18"/>
              </w:rPr>
              <w:t>transport</w:t>
            </w:r>
            <w:r>
              <w:rPr>
                <w:rFonts w:cs="Arial"/>
                <w:bCs/>
                <w:spacing w:val="-2"/>
                <w:w w:val="105"/>
                <w:szCs w:val="18"/>
              </w:rPr>
              <w:t xml:space="preserve"> </w:t>
            </w:r>
            <w:r w:rsidRPr="006469D5">
              <w:rPr>
                <w:rFonts w:cs="Arial"/>
                <w:bCs/>
                <w:spacing w:val="-2"/>
                <w:w w:val="105"/>
                <w:szCs w:val="18"/>
              </w:rPr>
              <w:t>vehicles (including ships)</w:t>
            </w:r>
            <w:r>
              <w:rPr>
                <w:rFonts w:cs="Arial"/>
                <w:bCs/>
                <w:spacing w:val="-2"/>
                <w:w w:val="105"/>
                <w:szCs w:val="18"/>
              </w:rPr>
              <w:t>.</w:t>
            </w:r>
          </w:p>
        </w:tc>
        <w:tc>
          <w:tcPr>
            <w:tcW w:w="1418" w:type="dxa"/>
          </w:tcPr>
          <w:p w14:paraId="6CFD1F3E" w14:textId="77777777" w:rsidR="008E67EA" w:rsidRPr="006469D5" w:rsidRDefault="008E67EA" w:rsidP="00B44A74">
            <w:pPr>
              <w:spacing w:after="120" w:line="240" w:lineRule="exact"/>
              <w:rPr>
                <w:rFonts w:cs="Arial"/>
                <w:szCs w:val="18"/>
              </w:rPr>
            </w:pPr>
            <w:r w:rsidRPr="006469D5">
              <w:rPr>
                <w:rFonts w:cs="Arial"/>
                <w:bCs/>
                <w:spacing w:val="-2"/>
                <w:w w:val="105"/>
                <w:szCs w:val="18"/>
              </w:rPr>
              <w:t>Rats (</w:t>
            </w:r>
            <w:r w:rsidRPr="006469D5">
              <w:rPr>
                <w:rFonts w:cs="Arial"/>
                <w:bCs/>
                <w:i/>
                <w:iCs/>
                <w:spacing w:val="-2"/>
                <w:w w:val="105"/>
                <w:szCs w:val="18"/>
              </w:rPr>
              <w:t>Rattus norvegius, Rattus rattus</w:t>
            </w:r>
            <w:r w:rsidRPr="006469D5">
              <w:rPr>
                <w:rFonts w:cs="Arial"/>
                <w:bCs/>
                <w:spacing w:val="-2"/>
                <w:w w:val="105"/>
                <w:szCs w:val="18"/>
              </w:rPr>
              <w:t>)</w:t>
            </w:r>
          </w:p>
        </w:tc>
        <w:tc>
          <w:tcPr>
            <w:tcW w:w="1134" w:type="dxa"/>
          </w:tcPr>
          <w:p w14:paraId="45A47AC5" w14:textId="77777777" w:rsidR="008E67EA" w:rsidRPr="00382A84" w:rsidRDefault="008E67EA" w:rsidP="00B44A74">
            <w:pPr>
              <w:spacing w:after="120" w:line="240" w:lineRule="exact"/>
              <w:rPr>
                <w:rFonts w:cs="Arial"/>
                <w:bCs/>
                <w:spacing w:val="-2"/>
                <w:w w:val="105"/>
                <w:szCs w:val="18"/>
              </w:rPr>
            </w:pPr>
            <w:r>
              <w:rPr>
                <w:rFonts w:cs="Arial"/>
                <w:bCs/>
                <w:spacing w:val="-2"/>
                <w:w w:val="105"/>
                <w:szCs w:val="18"/>
              </w:rPr>
              <w:t>[As per current approved label]</w:t>
            </w:r>
          </w:p>
        </w:tc>
        <w:tc>
          <w:tcPr>
            <w:tcW w:w="3159" w:type="dxa"/>
            <w:vMerge w:val="restart"/>
          </w:tcPr>
          <w:p w14:paraId="5206AB1C" w14:textId="408538FF" w:rsidR="008E67EA" w:rsidRDefault="008E67EA" w:rsidP="00B44A74">
            <w:pPr>
              <w:spacing w:after="120" w:line="240" w:lineRule="exact"/>
              <w:rPr>
                <w:rFonts w:cs="Arial"/>
                <w:bCs/>
                <w:spacing w:val="-2"/>
                <w:w w:val="105"/>
                <w:szCs w:val="18"/>
              </w:rPr>
            </w:pPr>
            <w:r w:rsidRPr="006469D5">
              <w:rPr>
                <w:rFonts w:cs="Arial"/>
                <w:bCs/>
                <w:spacing w:val="-2"/>
                <w:w w:val="105"/>
                <w:szCs w:val="18"/>
              </w:rPr>
              <w:t>Determine areas where rats and/or mice will most likely find and consume bait. Generally,</w:t>
            </w:r>
            <w:r>
              <w:rPr>
                <w:rFonts w:cs="Arial"/>
                <w:bCs/>
                <w:spacing w:val="-2"/>
                <w:w w:val="105"/>
                <w:szCs w:val="18"/>
              </w:rPr>
              <w:t xml:space="preserve"> </w:t>
            </w:r>
            <w:r w:rsidRPr="006469D5">
              <w:rPr>
                <w:rFonts w:cs="Arial"/>
                <w:bCs/>
                <w:spacing w:val="-2"/>
                <w:w w:val="105"/>
                <w:szCs w:val="18"/>
              </w:rPr>
              <w:t>these areas are along walls, by gnawed openings, beside burrows, in corners and</w:t>
            </w:r>
            <w:r>
              <w:rPr>
                <w:rFonts w:cs="Arial"/>
                <w:bCs/>
                <w:spacing w:val="-2"/>
                <w:w w:val="105"/>
                <w:szCs w:val="18"/>
              </w:rPr>
              <w:t xml:space="preserve"> </w:t>
            </w:r>
            <w:r w:rsidRPr="006469D5">
              <w:rPr>
                <w:rFonts w:cs="Arial"/>
                <w:bCs/>
                <w:spacing w:val="-2"/>
                <w:w w:val="105"/>
                <w:szCs w:val="18"/>
              </w:rPr>
              <w:t>concealed places between floors and walls or in locations where rodents or their signs</w:t>
            </w:r>
            <w:r>
              <w:rPr>
                <w:rFonts w:cs="Arial"/>
                <w:bCs/>
                <w:spacing w:val="-2"/>
                <w:w w:val="105"/>
                <w:szCs w:val="18"/>
              </w:rPr>
              <w:t xml:space="preserve"> </w:t>
            </w:r>
            <w:r w:rsidRPr="006469D5">
              <w:rPr>
                <w:rFonts w:cs="Arial"/>
                <w:bCs/>
                <w:spacing w:val="-2"/>
                <w:w w:val="105"/>
                <w:szCs w:val="18"/>
              </w:rPr>
              <w:t>have been observed.</w:t>
            </w:r>
          </w:p>
          <w:p w14:paraId="64DF3F51" w14:textId="77777777" w:rsidR="008E67EA" w:rsidRDefault="008E67EA" w:rsidP="00B44A74">
            <w:pPr>
              <w:spacing w:after="120" w:line="240" w:lineRule="exact"/>
              <w:rPr>
                <w:rFonts w:cs="Arial"/>
                <w:bCs/>
                <w:spacing w:val="-2"/>
                <w:w w:val="105"/>
                <w:szCs w:val="18"/>
              </w:rPr>
            </w:pPr>
            <w:r>
              <w:rPr>
                <w:rFonts w:cs="Arial"/>
                <w:bCs/>
                <w:spacing w:val="-2"/>
                <w:w w:val="105"/>
                <w:szCs w:val="18"/>
              </w:rPr>
              <w:t xml:space="preserve">Place bait in infested areas. </w:t>
            </w:r>
            <w:r w:rsidRPr="00936E9D">
              <w:rPr>
                <w:rFonts w:cs="Arial"/>
                <w:bCs/>
                <w:spacing w:val="-2"/>
                <w:w w:val="105"/>
                <w:szCs w:val="18"/>
              </w:rPr>
              <w:t>Bait areas where conditions might encourage rodent activity</w:t>
            </w:r>
            <w:r>
              <w:rPr>
                <w:rFonts w:cs="Arial"/>
                <w:bCs/>
                <w:spacing w:val="-2"/>
                <w:w w:val="105"/>
                <w:szCs w:val="18"/>
              </w:rPr>
              <w:t>.</w:t>
            </w:r>
          </w:p>
          <w:p w14:paraId="638CE0B6" w14:textId="77777777" w:rsidR="008E67EA" w:rsidRPr="00382A84" w:rsidRDefault="008E67EA" w:rsidP="00B44A74">
            <w:pPr>
              <w:spacing w:after="120" w:line="240" w:lineRule="exact"/>
              <w:rPr>
                <w:rFonts w:cs="Arial"/>
                <w:bCs/>
                <w:spacing w:val="-2"/>
                <w:w w:val="105"/>
                <w:szCs w:val="18"/>
              </w:rPr>
            </w:pPr>
            <w:r w:rsidRPr="00382A84">
              <w:rPr>
                <w:rFonts w:cs="Arial"/>
                <w:bCs/>
                <w:spacing w:val="-2"/>
                <w:w w:val="105"/>
                <w:szCs w:val="18"/>
              </w:rPr>
              <w:t>DO NOT exceed 9 m between bait stations for rats and 3 m for mice.</w:t>
            </w:r>
          </w:p>
        </w:tc>
      </w:tr>
      <w:tr w:rsidR="008E67EA" w:rsidRPr="00A27FD2" w14:paraId="3458066A" w14:textId="77777777" w:rsidTr="00FF707A">
        <w:trPr>
          <w:trHeight w:val="841"/>
        </w:trPr>
        <w:tc>
          <w:tcPr>
            <w:tcW w:w="3289" w:type="dxa"/>
          </w:tcPr>
          <w:p w14:paraId="3D65519C" w14:textId="51E87044" w:rsidR="008E67EA" w:rsidRDefault="008E67EA" w:rsidP="00B44A74">
            <w:pPr>
              <w:spacing w:after="120" w:line="240" w:lineRule="exact"/>
              <w:rPr>
                <w:rFonts w:cs="Arial"/>
                <w:bCs/>
                <w:spacing w:val="-2"/>
                <w:w w:val="105"/>
                <w:szCs w:val="18"/>
              </w:rPr>
            </w:pPr>
            <w:r w:rsidRPr="00382A84">
              <w:rPr>
                <w:rFonts w:cs="Arial"/>
                <w:bCs/>
                <w:spacing w:val="-2"/>
                <w:w w:val="105"/>
                <w:szCs w:val="18"/>
              </w:rPr>
              <w:t xml:space="preserve">In </w:t>
            </w:r>
            <w:r>
              <w:rPr>
                <w:rFonts w:cs="Arial"/>
                <w:bCs/>
                <w:spacing w:val="-2"/>
                <w:w w:val="105"/>
                <w:szCs w:val="18"/>
              </w:rPr>
              <w:t>and around (within 2 meters) d</w:t>
            </w:r>
            <w:r w:rsidRPr="006469D5">
              <w:rPr>
                <w:rFonts w:cs="Arial"/>
                <w:bCs/>
                <w:spacing w:val="-2"/>
                <w:w w:val="105"/>
                <w:szCs w:val="18"/>
              </w:rPr>
              <w:t>omestic homes, industrial and commercial buildings, farms, wharves, public service buildings, food factories</w:t>
            </w:r>
            <w:r>
              <w:rPr>
                <w:rFonts w:cs="Arial"/>
                <w:bCs/>
                <w:spacing w:val="-2"/>
                <w:w w:val="105"/>
                <w:szCs w:val="18"/>
              </w:rPr>
              <w:t xml:space="preserve"> and</w:t>
            </w:r>
            <w:r w:rsidRPr="006469D5">
              <w:rPr>
                <w:rFonts w:cs="Arial"/>
                <w:bCs/>
                <w:spacing w:val="-2"/>
                <w:w w:val="105"/>
                <w:szCs w:val="18"/>
              </w:rPr>
              <w:t xml:space="preserve"> hospitals</w:t>
            </w:r>
            <w:r>
              <w:rPr>
                <w:rFonts w:cs="Arial"/>
                <w:bCs/>
                <w:spacing w:val="-2"/>
                <w:w w:val="105"/>
                <w:szCs w:val="18"/>
              </w:rPr>
              <w:t>.</w:t>
            </w:r>
          </w:p>
          <w:p w14:paraId="72F89E24" w14:textId="77777777" w:rsidR="008E67EA" w:rsidRPr="00382A84" w:rsidRDefault="008E67EA" w:rsidP="00B44A74">
            <w:pPr>
              <w:spacing w:after="120" w:line="240" w:lineRule="exact"/>
              <w:rPr>
                <w:rFonts w:cs="Arial"/>
                <w:bCs/>
                <w:spacing w:val="-2"/>
                <w:w w:val="105"/>
                <w:szCs w:val="18"/>
              </w:rPr>
            </w:pPr>
            <w:r>
              <w:rPr>
                <w:rFonts w:cs="Arial"/>
                <w:bCs/>
                <w:spacing w:val="-2"/>
                <w:w w:val="105"/>
                <w:szCs w:val="18"/>
              </w:rPr>
              <w:t>I</w:t>
            </w:r>
            <w:r w:rsidRPr="006469D5">
              <w:rPr>
                <w:rFonts w:cs="Arial"/>
                <w:bCs/>
                <w:spacing w:val="-2"/>
                <w:w w:val="105"/>
                <w:szCs w:val="18"/>
              </w:rPr>
              <w:t>nside transport</w:t>
            </w:r>
            <w:r>
              <w:rPr>
                <w:rFonts w:cs="Arial"/>
                <w:bCs/>
                <w:spacing w:val="-2"/>
                <w:w w:val="105"/>
                <w:szCs w:val="18"/>
              </w:rPr>
              <w:t xml:space="preserve"> </w:t>
            </w:r>
            <w:r w:rsidRPr="006469D5">
              <w:rPr>
                <w:rFonts w:cs="Arial"/>
                <w:bCs/>
                <w:spacing w:val="-2"/>
                <w:w w:val="105"/>
                <w:szCs w:val="18"/>
              </w:rPr>
              <w:t>vehicles (including ships)</w:t>
            </w:r>
            <w:r>
              <w:rPr>
                <w:rFonts w:cs="Arial"/>
                <w:bCs/>
                <w:spacing w:val="-2"/>
                <w:w w:val="105"/>
                <w:szCs w:val="18"/>
              </w:rPr>
              <w:t xml:space="preserve"> and around (within 2 meters) </w:t>
            </w:r>
            <w:r w:rsidRPr="006469D5">
              <w:rPr>
                <w:rFonts w:cs="Arial"/>
                <w:bCs/>
                <w:spacing w:val="-2"/>
                <w:w w:val="105"/>
                <w:szCs w:val="18"/>
              </w:rPr>
              <w:t>grain terminals</w:t>
            </w:r>
            <w:r>
              <w:rPr>
                <w:rFonts w:cs="Arial"/>
                <w:bCs/>
                <w:spacing w:val="-2"/>
                <w:w w:val="105"/>
                <w:szCs w:val="18"/>
              </w:rPr>
              <w:t>.</w:t>
            </w:r>
          </w:p>
        </w:tc>
        <w:tc>
          <w:tcPr>
            <w:tcW w:w="1418" w:type="dxa"/>
          </w:tcPr>
          <w:p w14:paraId="46D7CE6D" w14:textId="77777777" w:rsidR="008E67EA" w:rsidRPr="00485D88" w:rsidRDefault="008E67EA" w:rsidP="00B44A74">
            <w:pPr>
              <w:spacing w:after="120" w:line="240" w:lineRule="exact"/>
              <w:rPr>
                <w:rFonts w:cs="Arial"/>
                <w:bCs/>
                <w:i/>
                <w:iCs/>
                <w:spacing w:val="-2"/>
                <w:w w:val="105"/>
                <w:szCs w:val="18"/>
              </w:rPr>
            </w:pPr>
            <w:r w:rsidRPr="006469D5">
              <w:rPr>
                <w:rFonts w:cs="Arial"/>
                <w:bCs/>
                <w:spacing w:val="-2"/>
                <w:w w:val="105"/>
                <w:szCs w:val="18"/>
              </w:rPr>
              <w:t>Mice (</w:t>
            </w:r>
            <w:r w:rsidRPr="006469D5">
              <w:rPr>
                <w:rFonts w:cs="Arial"/>
                <w:bCs/>
                <w:i/>
                <w:iCs/>
                <w:spacing w:val="-2"/>
                <w:w w:val="105"/>
                <w:szCs w:val="18"/>
              </w:rPr>
              <w:t>Mus musculus</w:t>
            </w:r>
            <w:r w:rsidRPr="006469D5">
              <w:rPr>
                <w:rFonts w:cs="Arial"/>
                <w:bCs/>
                <w:spacing w:val="-2"/>
                <w:w w:val="105"/>
                <w:szCs w:val="18"/>
              </w:rPr>
              <w:t>)</w:t>
            </w:r>
          </w:p>
        </w:tc>
        <w:tc>
          <w:tcPr>
            <w:tcW w:w="1134" w:type="dxa"/>
          </w:tcPr>
          <w:p w14:paraId="60171578" w14:textId="77777777" w:rsidR="008E67EA" w:rsidRPr="00382A84" w:rsidRDefault="008E67EA" w:rsidP="00B44A74">
            <w:pPr>
              <w:spacing w:after="120" w:line="240" w:lineRule="exact"/>
              <w:rPr>
                <w:rFonts w:cs="Arial"/>
                <w:bCs/>
                <w:spacing w:val="-2"/>
                <w:w w:val="105"/>
                <w:szCs w:val="18"/>
              </w:rPr>
            </w:pPr>
            <w:r>
              <w:rPr>
                <w:rFonts w:cs="Arial"/>
                <w:bCs/>
                <w:spacing w:val="-2"/>
                <w:w w:val="105"/>
                <w:szCs w:val="18"/>
              </w:rPr>
              <w:t>[As per current approved label]</w:t>
            </w:r>
          </w:p>
        </w:tc>
        <w:tc>
          <w:tcPr>
            <w:tcW w:w="3159" w:type="dxa"/>
            <w:vMerge/>
          </w:tcPr>
          <w:p w14:paraId="709F8FAE" w14:textId="77777777" w:rsidR="008E67EA" w:rsidRPr="00382A84" w:rsidRDefault="008E67EA" w:rsidP="00B44A74">
            <w:pPr>
              <w:ind w:firstLine="720"/>
              <w:rPr>
                <w:rFonts w:cs="Arial"/>
                <w:bCs/>
                <w:spacing w:val="-2"/>
                <w:w w:val="105"/>
                <w:szCs w:val="18"/>
              </w:rPr>
            </w:pPr>
          </w:p>
        </w:tc>
      </w:tr>
      <w:tr w:rsidR="008E67EA" w:rsidRPr="00A27FD2" w14:paraId="79382A41" w14:textId="77777777" w:rsidTr="00FF707A">
        <w:trPr>
          <w:trHeight w:val="841"/>
        </w:trPr>
        <w:tc>
          <w:tcPr>
            <w:tcW w:w="9000" w:type="dxa"/>
            <w:gridSpan w:val="4"/>
          </w:tcPr>
          <w:p w14:paraId="2FFAE242" w14:textId="77777777" w:rsidR="008E67EA" w:rsidRPr="00382A84" w:rsidRDefault="008E67EA" w:rsidP="00B44A74">
            <w:pPr>
              <w:spacing w:after="120" w:line="240" w:lineRule="exact"/>
              <w:rPr>
                <w:rFonts w:cs="Arial"/>
                <w:b/>
                <w:spacing w:val="-2"/>
                <w:w w:val="105"/>
                <w:szCs w:val="18"/>
              </w:rPr>
            </w:pPr>
            <w:r w:rsidRPr="00382A84">
              <w:rPr>
                <w:rFonts w:cs="Arial"/>
                <w:b/>
                <w:spacing w:val="-2"/>
                <w:w w:val="105"/>
                <w:szCs w:val="18"/>
              </w:rPr>
              <w:t>Baiting strategy</w:t>
            </w:r>
          </w:p>
          <w:p w14:paraId="46C6B7F9" w14:textId="5D27D48A" w:rsidR="008E67EA" w:rsidRPr="006469D5" w:rsidRDefault="008E67EA" w:rsidP="00B44A74">
            <w:pPr>
              <w:spacing w:after="120" w:line="240" w:lineRule="exact"/>
              <w:rPr>
                <w:rFonts w:cs="Arial"/>
                <w:bCs/>
                <w:spacing w:val="-2"/>
                <w:w w:val="105"/>
                <w:szCs w:val="18"/>
              </w:rPr>
            </w:pPr>
            <w:r w:rsidRPr="006469D5">
              <w:rPr>
                <w:rFonts w:cs="Arial"/>
                <w:bCs/>
                <w:spacing w:val="-2"/>
                <w:w w:val="105"/>
                <w:szCs w:val="18"/>
              </w:rPr>
              <w:t>Eliminate, as far as practicable, all other food sources.</w:t>
            </w:r>
          </w:p>
          <w:p w14:paraId="508C958F" w14:textId="77777777" w:rsidR="008E67EA" w:rsidRPr="006469D5" w:rsidRDefault="008E67EA" w:rsidP="00B44A74">
            <w:pPr>
              <w:spacing w:after="120" w:line="240" w:lineRule="exact"/>
              <w:rPr>
                <w:rFonts w:cs="Arial"/>
                <w:bCs/>
                <w:spacing w:val="-2"/>
                <w:w w:val="105"/>
                <w:szCs w:val="18"/>
              </w:rPr>
            </w:pPr>
            <w:r w:rsidRPr="006469D5">
              <w:rPr>
                <w:rFonts w:cs="Arial"/>
                <w:bCs/>
                <w:spacing w:val="-2"/>
                <w:w w:val="105"/>
                <w:szCs w:val="18"/>
              </w:rPr>
              <w:t>Survey site prior to treatment, including assessment of the extent of infestation and identification of any indications of the presence of non-target animals.</w:t>
            </w:r>
            <w:r w:rsidRPr="006469D5">
              <w:t xml:space="preserve"> </w:t>
            </w:r>
            <w:r w:rsidRPr="006469D5">
              <w:rPr>
                <w:rFonts w:cs="Arial"/>
                <w:bCs/>
                <w:spacing w:val="-2"/>
                <w:w w:val="105"/>
                <w:szCs w:val="18"/>
              </w:rPr>
              <w:t>Record the number and locations of bait stations for the purpose of inspection, replacement and later removal.</w:t>
            </w:r>
          </w:p>
          <w:p w14:paraId="3C528171" w14:textId="77777777" w:rsidR="008E67EA" w:rsidRDefault="008E67EA" w:rsidP="00B44A74">
            <w:pPr>
              <w:spacing w:after="120" w:line="240" w:lineRule="exact"/>
              <w:rPr>
                <w:rFonts w:cs="Arial"/>
                <w:bCs/>
                <w:spacing w:val="-2"/>
                <w:w w:val="105"/>
                <w:szCs w:val="18"/>
              </w:rPr>
            </w:pPr>
            <w:r w:rsidRPr="006469D5">
              <w:rPr>
                <w:rFonts w:cs="Arial"/>
                <w:bCs/>
                <w:spacing w:val="-2"/>
                <w:w w:val="105"/>
                <w:szCs w:val="18"/>
              </w:rPr>
              <w:t xml:space="preserve">Inspect bait stations </w:t>
            </w:r>
            <w:r w:rsidRPr="00DA3B59">
              <w:rPr>
                <w:rFonts w:cs="Arial"/>
                <w:bCs/>
                <w:spacing w:val="-2"/>
                <w:w w:val="105"/>
                <w:szCs w:val="18"/>
              </w:rPr>
              <w:t>at intervals no more than 7 days apart</w:t>
            </w:r>
            <w:r w:rsidRPr="006469D5">
              <w:rPr>
                <w:rFonts w:cs="Arial"/>
                <w:bCs/>
                <w:spacing w:val="-2"/>
                <w:w w:val="105"/>
                <w:szCs w:val="18"/>
              </w:rPr>
              <w:t>. Replace</w:t>
            </w:r>
            <w:r>
              <w:rPr>
                <w:rFonts w:cs="Arial"/>
                <w:bCs/>
                <w:spacing w:val="-2"/>
                <w:w w:val="105"/>
                <w:szCs w:val="18"/>
              </w:rPr>
              <w:t xml:space="preserve"> </w:t>
            </w:r>
            <w:r w:rsidRPr="006469D5">
              <w:rPr>
                <w:rFonts w:cs="Arial"/>
                <w:bCs/>
                <w:spacing w:val="-2"/>
                <w:w w:val="105"/>
                <w:szCs w:val="18"/>
              </w:rPr>
              <w:t>eaten</w:t>
            </w:r>
            <w:r>
              <w:rPr>
                <w:rFonts w:cs="Arial"/>
                <w:bCs/>
                <w:spacing w:val="-2"/>
                <w:w w:val="105"/>
                <w:szCs w:val="18"/>
              </w:rPr>
              <w:t xml:space="preserve">, contaminated or spoilt </w:t>
            </w:r>
            <w:r w:rsidRPr="006469D5">
              <w:rPr>
                <w:rFonts w:cs="Arial"/>
                <w:bCs/>
                <w:spacing w:val="-2"/>
                <w:w w:val="105"/>
                <w:szCs w:val="18"/>
              </w:rPr>
              <w:t>baits. If eaten quickly, increase the number of bait stations.</w:t>
            </w:r>
            <w:r>
              <w:rPr>
                <w:rFonts w:cs="Arial"/>
                <w:bCs/>
                <w:spacing w:val="-2"/>
                <w:w w:val="105"/>
                <w:szCs w:val="18"/>
              </w:rPr>
              <w:t xml:space="preserve"> </w:t>
            </w:r>
            <w:r w:rsidRPr="006469D5">
              <w:rPr>
                <w:rFonts w:cs="Arial"/>
                <w:bCs/>
                <w:spacing w:val="-2"/>
                <w:w w:val="105"/>
                <w:szCs w:val="18"/>
              </w:rPr>
              <w:t>Continue observation and replenish until no more baits are taken. Baiting for at least two</w:t>
            </w:r>
            <w:r>
              <w:rPr>
                <w:rFonts w:cs="Arial"/>
                <w:bCs/>
                <w:spacing w:val="-2"/>
                <w:w w:val="105"/>
                <w:szCs w:val="18"/>
              </w:rPr>
              <w:t xml:space="preserve"> </w:t>
            </w:r>
            <w:r w:rsidRPr="006469D5">
              <w:rPr>
                <w:rFonts w:cs="Arial"/>
                <w:bCs/>
                <w:spacing w:val="-2"/>
                <w:w w:val="105"/>
                <w:szCs w:val="18"/>
              </w:rPr>
              <w:t>weeks is necessary to reduce rat/mouse numbers.</w:t>
            </w:r>
          </w:p>
          <w:p w14:paraId="443C9482" w14:textId="77777777" w:rsidR="008E67EA" w:rsidRDefault="008E67EA" w:rsidP="00B44A74">
            <w:pPr>
              <w:spacing w:after="120" w:line="240" w:lineRule="exact"/>
              <w:rPr>
                <w:rFonts w:cs="Arial"/>
                <w:bCs/>
                <w:spacing w:val="-2"/>
                <w:w w:val="105"/>
                <w:szCs w:val="18"/>
              </w:rPr>
            </w:pPr>
            <w:r w:rsidRPr="00382A84">
              <w:rPr>
                <w:rFonts w:cs="Arial"/>
                <w:bCs/>
                <w:spacing w:val="-2"/>
                <w:w w:val="105"/>
                <w:szCs w:val="18"/>
              </w:rPr>
              <w:t>DO NOT use the product beyond 35 days without an evaluation of the state of the infestation and of the efficacy of the treatment.</w:t>
            </w:r>
            <w:r>
              <w:t xml:space="preserve"> </w:t>
            </w:r>
            <w:r w:rsidRPr="00382A84">
              <w:rPr>
                <w:rFonts w:cs="Arial"/>
                <w:bCs/>
                <w:spacing w:val="-2"/>
                <w:w w:val="105"/>
                <w:szCs w:val="18"/>
              </w:rPr>
              <w:t>Remove all uneaten bait at the end of treatment</w:t>
            </w:r>
          </w:p>
          <w:p w14:paraId="631A0B80" w14:textId="77777777" w:rsidR="008E67EA" w:rsidRPr="00382A84" w:rsidRDefault="008E67EA" w:rsidP="00B44A74">
            <w:pPr>
              <w:spacing w:after="120" w:line="240" w:lineRule="exact"/>
              <w:rPr>
                <w:rFonts w:cs="Arial"/>
                <w:bCs/>
                <w:spacing w:val="-2"/>
                <w:w w:val="105"/>
                <w:szCs w:val="18"/>
              </w:rPr>
            </w:pPr>
            <w:r w:rsidRPr="00DA3B59">
              <w:rPr>
                <w:rFonts w:cs="Arial"/>
                <w:bCs/>
                <w:spacing w:val="-2"/>
                <w:w w:val="105"/>
                <w:szCs w:val="18"/>
              </w:rPr>
              <w:t>To prevent reinfestation, eliminate food, water and harbourage as much as possible. If reinfestation should occur, repeat treatment.</w:t>
            </w:r>
          </w:p>
        </w:tc>
      </w:tr>
    </w:tbl>
    <w:p w14:paraId="1BA056DE" w14:textId="2CE52B12" w:rsidR="008E67EA" w:rsidRDefault="008E67EA" w:rsidP="00FF707A">
      <w:pPr>
        <w:spacing w:line="280" w:lineRule="exact"/>
        <w:rPr>
          <w:rFonts w:cs="Arial"/>
          <w:b/>
          <w:bCs/>
          <w:sz w:val="20"/>
          <w:szCs w:val="20"/>
          <w:bdr w:val="none" w:sz="0" w:space="0" w:color="auto" w:frame="1"/>
          <w:lang w:val="en-GB" w:eastAsia="en-AU"/>
        </w:rPr>
      </w:pPr>
      <w:r w:rsidRPr="00FF36BF">
        <w:rPr>
          <w:rFonts w:cs="Arial"/>
          <w:b/>
          <w:bCs/>
          <w:sz w:val="20"/>
          <w:szCs w:val="20"/>
        </w:rPr>
        <w:t>NOT TO BE USED FOR ANY PURPOSE, OR IN ANY MANNER, CONTRARY TO THIS LABEL UNLESS AUTHORISED UNDER APPROPRIATE LEGISLATION.</w:t>
      </w:r>
      <w:r>
        <w:rPr>
          <w:rFonts w:cs="Arial"/>
          <w:b/>
          <w:bCs/>
          <w:sz w:val="20"/>
          <w:szCs w:val="20"/>
          <w:bdr w:val="none" w:sz="0" w:space="0" w:color="auto" w:frame="1"/>
          <w:lang w:val="en-GB" w:eastAsia="en-AU"/>
        </w:rPr>
        <w:br w:type="page"/>
      </w:r>
    </w:p>
    <w:p w14:paraId="7131378C" w14:textId="77777777" w:rsidR="008E67EA"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lastRenderedPageBreak/>
        <w:t xml:space="preserve">Template Label </w:t>
      </w:r>
      <w:r>
        <w:rPr>
          <w:rFonts w:cs="Arial"/>
          <w:b/>
          <w:bCs/>
          <w:sz w:val="20"/>
          <w:szCs w:val="20"/>
          <w:bdr w:val="none" w:sz="0" w:space="0" w:color="auto" w:frame="1"/>
          <w:lang w:val="en-GB" w:eastAsia="en-AU"/>
        </w:rPr>
        <w:t>10b</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2B5B5B" w14:paraId="59791DF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82CD8D8" w14:textId="77777777" w:rsidR="008E67EA" w:rsidRPr="00F5215F" w:rsidRDefault="008E67EA" w:rsidP="00B44A74">
            <w:pPr>
              <w:spacing w:line="280" w:lineRule="exact"/>
              <w:rPr>
                <w:rFonts w:cs="Arial"/>
                <w:sz w:val="20"/>
                <w:szCs w:val="20"/>
              </w:rPr>
            </w:pPr>
            <w:r w:rsidRPr="00F5215F">
              <w:rPr>
                <w:rFonts w:cs="Arial"/>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3B8787FF" w14:textId="77777777" w:rsidR="008E67EA" w:rsidRPr="0015462A" w:rsidRDefault="008E67EA" w:rsidP="00B44A74">
            <w:pPr>
              <w:spacing w:line="280" w:lineRule="exact"/>
              <w:rPr>
                <w:rFonts w:cs="Arial"/>
                <w:sz w:val="20"/>
                <w:szCs w:val="20"/>
              </w:rPr>
            </w:pPr>
            <w:r w:rsidRPr="0032794B">
              <w:rPr>
                <w:rFonts w:cs="Arial"/>
                <w:sz w:val="20"/>
                <w:szCs w:val="20"/>
              </w:rPr>
              <w:t>[INSERT LABEL NAME]</w:t>
            </w:r>
            <w:r w:rsidRPr="0032794B" w:rsidDel="008B24FA">
              <w:rPr>
                <w:rFonts w:cs="Arial"/>
                <w:sz w:val="20"/>
                <w:szCs w:val="20"/>
              </w:rPr>
              <w:t xml:space="preserve"> </w:t>
            </w:r>
          </w:p>
        </w:tc>
      </w:tr>
      <w:tr w:rsidR="008E67EA" w:rsidRPr="002B5B5B" w14:paraId="7D666BAC" w14:textId="77777777" w:rsidTr="00B44A74">
        <w:trPr>
          <w:jc w:val="center"/>
        </w:trPr>
        <w:tc>
          <w:tcPr>
            <w:tcW w:w="2415" w:type="dxa"/>
            <w:tcBorders>
              <w:top w:val="single" w:sz="4" w:space="0" w:color="auto"/>
              <w:left w:val="nil"/>
              <w:bottom w:val="single" w:sz="4" w:space="0" w:color="auto"/>
              <w:right w:val="nil"/>
            </w:tcBorders>
          </w:tcPr>
          <w:p w14:paraId="167EC4BA"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84DD80F" w14:textId="77777777" w:rsidR="008E67EA" w:rsidRPr="0015462A" w:rsidRDefault="008E67EA" w:rsidP="00B44A74">
            <w:pPr>
              <w:spacing w:line="280" w:lineRule="exact"/>
              <w:rPr>
                <w:rFonts w:cs="Arial"/>
                <w:sz w:val="20"/>
                <w:szCs w:val="20"/>
              </w:rPr>
            </w:pPr>
          </w:p>
        </w:tc>
      </w:tr>
      <w:tr w:rsidR="008E67EA" w:rsidRPr="002B5B5B" w14:paraId="2B089C4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D3D967A" w14:textId="77777777" w:rsidR="008E67EA" w:rsidRPr="00F5215F" w:rsidRDefault="008E67EA" w:rsidP="00B44A74">
            <w:pPr>
              <w:spacing w:line="280" w:lineRule="exact"/>
              <w:rPr>
                <w:rFonts w:cs="Arial"/>
                <w:sz w:val="20"/>
                <w:szCs w:val="20"/>
              </w:rPr>
            </w:pPr>
            <w:r w:rsidRPr="00F5215F">
              <w:rPr>
                <w:rFonts w:cs="Arial"/>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1EC29CDD" w14:textId="77777777" w:rsidR="008E67EA" w:rsidRPr="0015462A" w:rsidRDefault="008E67EA" w:rsidP="00B44A74">
            <w:pPr>
              <w:spacing w:line="280" w:lineRule="exact"/>
              <w:rPr>
                <w:rFonts w:cs="Arial"/>
                <w:sz w:val="20"/>
                <w:szCs w:val="20"/>
              </w:rPr>
            </w:pPr>
            <w:r w:rsidRPr="0032794B">
              <w:rPr>
                <w:rFonts w:cs="Arial"/>
                <w:color w:val="000000"/>
                <w:sz w:val="20"/>
                <w:szCs w:val="20"/>
              </w:rPr>
              <w:t>POISON</w:t>
            </w:r>
            <w:r w:rsidRPr="0032794B">
              <w:rPr>
                <w:rFonts w:cs="Arial"/>
                <w:color w:val="000000"/>
                <w:sz w:val="20"/>
                <w:szCs w:val="20"/>
              </w:rPr>
              <w:br/>
              <w:t>KEEP OUT OF REACH OF CHILDREN</w:t>
            </w:r>
            <w:r w:rsidRPr="0032794B">
              <w:rPr>
                <w:rFonts w:cs="Arial"/>
                <w:color w:val="000000"/>
                <w:sz w:val="20"/>
                <w:szCs w:val="20"/>
              </w:rPr>
              <w:br/>
              <w:t>READ SAFETY DIRECTIONS BEFORE OPENING OR USING</w:t>
            </w:r>
          </w:p>
        </w:tc>
      </w:tr>
      <w:tr w:rsidR="008E67EA" w:rsidRPr="002B5B5B" w14:paraId="59A48AEF" w14:textId="77777777" w:rsidTr="00B44A74">
        <w:trPr>
          <w:jc w:val="center"/>
        </w:trPr>
        <w:tc>
          <w:tcPr>
            <w:tcW w:w="2415" w:type="dxa"/>
            <w:tcBorders>
              <w:top w:val="single" w:sz="4" w:space="0" w:color="auto"/>
              <w:left w:val="nil"/>
              <w:bottom w:val="single" w:sz="4" w:space="0" w:color="auto"/>
              <w:right w:val="nil"/>
            </w:tcBorders>
          </w:tcPr>
          <w:p w14:paraId="045F5EE1"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9C79B7A" w14:textId="77777777" w:rsidR="008E67EA" w:rsidRPr="0015462A" w:rsidRDefault="008E67EA" w:rsidP="00B44A74">
            <w:pPr>
              <w:spacing w:line="280" w:lineRule="exact"/>
              <w:rPr>
                <w:rFonts w:cs="Arial"/>
                <w:sz w:val="20"/>
                <w:szCs w:val="20"/>
              </w:rPr>
            </w:pPr>
          </w:p>
        </w:tc>
      </w:tr>
      <w:tr w:rsidR="008E67EA" w:rsidRPr="002B5B5B" w14:paraId="2E223F2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872D715" w14:textId="77777777" w:rsidR="008E67EA" w:rsidRPr="00F5215F" w:rsidRDefault="008E67EA" w:rsidP="00B44A74">
            <w:pPr>
              <w:spacing w:line="280" w:lineRule="exact"/>
              <w:rPr>
                <w:rFonts w:cs="Arial"/>
                <w:sz w:val="20"/>
                <w:szCs w:val="20"/>
              </w:rPr>
            </w:pPr>
            <w:r w:rsidRPr="00F5215F">
              <w:rPr>
                <w:rFonts w:cs="Arial"/>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08B1F575" w14:textId="77777777" w:rsidR="008E67EA" w:rsidRPr="002B692A" w:rsidRDefault="008E67EA" w:rsidP="00B44A74">
            <w:pPr>
              <w:spacing w:line="280" w:lineRule="exact"/>
              <w:rPr>
                <w:rFonts w:cs="Arial"/>
                <w:color w:val="000000"/>
                <w:sz w:val="20"/>
                <w:szCs w:val="20"/>
              </w:rPr>
            </w:pPr>
            <w:r w:rsidRPr="0032794B">
              <w:rPr>
                <w:rFonts w:cs="Arial"/>
                <w:color w:val="000000"/>
                <w:sz w:val="20"/>
                <w:szCs w:val="20"/>
              </w:rPr>
              <w:t>ACTIVE CONSTITUENT: 0.05 g/kg BROMADIOLONE</w:t>
            </w:r>
          </w:p>
        </w:tc>
      </w:tr>
      <w:tr w:rsidR="008E67EA" w:rsidRPr="002B5B5B" w14:paraId="63029A88" w14:textId="77777777" w:rsidTr="00B44A74">
        <w:trPr>
          <w:jc w:val="center"/>
        </w:trPr>
        <w:tc>
          <w:tcPr>
            <w:tcW w:w="2415" w:type="dxa"/>
            <w:tcBorders>
              <w:top w:val="single" w:sz="4" w:space="0" w:color="auto"/>
              <w:left w:val="nil"/>
              <w:bottom w:val="single" w:sz="4" w:space="0" w:color="auto"/>
              <w:right w:val="nil"/>
            </w:tcBorders>
          </w:tcPr>
          <w:p w14:paraId="72DD971A"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9FABBC7" w14:textId="77777777" w:rsidR="008E67EA" w:rsidRPr="0015462A" w:rsidRDefault="008E67EA" w:rsidP="00B44A74">
            <w:pPr>
              <w:spacing w:line="280" w:lineRule="exact"/>
              <w:rPr>
                <w:rFonts w:cs="Arial"/>
                <w:sz w:val="20"/>
                <w:szCs w:val="20"/>
              </w:rPr>
            </w:pPr>
          </w:p>
        </w:tc>
      </w:tr>
      <w:tr w:rsidR="008E67EA" w:rsidRPr="00994236" w14:paraId="291051B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5EF3A0E" w14:textId="77777777" w:rsidR="008E67EA" w:rsidRPr="00F5215F" w:rsidRDefault="008E67EA" w:rsidP="00B44A74">
            <w:pPr>
              <w:spacing w:line="280" w:lineRule="exact"/>
              <w:rPr>
                <w:rFonts w:cs="Arial"/>
                <w:sz w:val="20"/>
                <w:szCs w:val="20"/>
              </w:rPr>
            </w:pPr>
            <w:r w:rsidRPr="00F5215F">
              <w:rPr>
                <w:rFonts w:cs="Arial"/>
                <w:sz w:val="20"/>
                <w:szCs w:val="20"/>
              </w:rPr>
              <w:t>Mode of Action:</w:t>
            </w:r>
          </w:p>
        </w:tc>
        <w:tc>
          <w:tcPr>
            <w:tcW w:w="7755" w:type="dxa"/>
            <w:tcBorders>
              <w:top w:val="single" w:sz="4" w:space="0" w:color="auto"/>
              <w:left w:val="single" w:sz="4" w:space="0" w:color="auto"/>
              <w:bottom w:val="single" w:sz="4" w:space="0" w:color="auto"/>
              <w:right w:val="single" w:sz="4" w:space="0" w:color="auto"/>
            </w:tcBorders>
          </w:tcPr>
          <w:p w14:paraId="75932571" w14:textId="77777777" w:rsidR="008E67EA" w:rsidRPr="0015462A" w:rsidRDefault="008E67EA" w:rsidP="00B44A74">
            <w:pPr>
              <w:spacing w:line="280" w:lineRule="exact"/>
              <w:jc w:val="both"/>
              <w:rPr>
                <w:rFonts w:cs="Arial"/>
                <w:sz w:val="20"/>
                <w:szCs w:val="20"/>
              </w:rPr>
            </w:pPr>
          </w:p>
        </w:tc>
      </w:tr>
      <w:tr w:rsidR="008E67EA" w:rsidRPr="002B5B5B" w14:paraId="3EB6876D" w14:textId="77777777" w:rsidTr="00B44A74">
        <w:trPr>
          <w:jc w:val="center"/>
        </w:trPr>
        <w:tc>
          <w:tcPr>
            <w:tcW w:w="2415" w:type="dxa"/>
            <w:tcBorders>
              <w:top w:val="single" w:sz="4" w:space="0" w:color="auto"/>
              <w:left w:val="nil"/>
              <w:bottom w:val="single" w:sz="4" w:space="0" w:color="auto"/>
              <w:right w:val="nil"/>
            </w:tcBorders>
          </w:tcPr>
          <w:p w14:paraId="721BC872"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EE5BDFE" w14:textId="77777777" w:rsidR="008E67EA" w:rsidRPr="0015462A" w:rsidRDefault="008E67EA" w:rsidP="00B44A74">
            <w:pPr>
              <w:spacing w:line="280" w:lineRule="exact"/>
              <w:rPr>
                <w:rFonts w:cs="Arial"/>
                <w:sz w:val="20"/>
                <w:szCs w:val="20"/>
              </w:rPr>
            </w:pPr>
          </w:p>
        </w:tc>
      </w:tr>
      <w:tr w:rsidR="008E67EA" w:rsidRPr="002B5B5B" w14:paraId="4D12E39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B762561" w14:textId="77777777" w:rsidR="008E67EA" w:rsidRPr="00F5215F" w:rsidRDefault="008E67EA" w:rsidP="00B44A74">
            <w:pPr>
              <w:spacing w:line="280" w:lineRule="exact"/>
              <w:rPr>
                <w:rFonts w:cs="Arial"/>
                <w:sz w:val="20"/>
                <w:szCs w:val="20"/>
              </w:rPr>
            </w:pPr>
            <w:r w:rsidRPr="00F5215F">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7E84F0B2" w14:textId="6EB22EAC" w:rsidR="008E67EA" w:rsidRPr="00191CDE" w:rsidRDefault="008E67EA" w:rsidP="00B44A74">
            <w:pPr>
              <w:spacing w:line="280" w:lineRule="exact"/>
              <w:rPr>
                <w:rFonts w:cs="Arial"/>
                <w:sz w:val="20"/>
                <w:szCs w:val="20"/>
              </w:rPr>
            </w:pPr>
            <w:r w:rsidRPr="00713087">
              <w:rPr>
                <w:rFonts w:cs="Arial"/>
                <w:color w:val="000000"/>
                <w:sz w:val="20"/>
                <w:szCs w:val="20"/>
              </w:rPr>
              <w:t xml:space="preserve">For control of mice in </w:t>
            </w:r>
            <w:r>
              <w:rPr>
                <w:rFonts w:cs="Arial"/>
                <w:color w:val="000000"/>
                <w:sz w:val="20"/>
                <w:szCs w:val="20"/>
              </w:rPr>
              <w:t>agricultural, commercial, domestic and industrial buildings</w:t>
            </w:r>
            <w:r w:rsidRPr="00713087">
              <w:rPr>
                <w:rFonts w:cs="Arial"/>
                <w:color w:val="000000"/>
                <w:sz w:val="20"/>
                <w:szCs w:val="20"/>
              </w:rPr>
              <w:t xml:space="preserve"> and rats in and around </w:t>
            </w:r>
            <w:r>
              <w:rPr>
                <w:rFonts w:cs="Arial"/>
                <w:color w:val="000000"/>
                <w:sz w:val="20"/>
                <w:szCs w:val="20"/>
              </w:rPr>
              <w:t>agricultural, commercial, domestic and industrial buildings.</w:t>
            </w:r>
          </w:p>
        </w:tc>
      </w:tr>
      <w:tr w:rsidR="008E67EA" w:rsidRPr="002B5B5B" w14:paraId="1E2D9814" w14:textId="77777777" w:rsidTr="00B44A74">
        <w:trPr>
          <w:jc w:val="center"/>
        </w:trPr>
        <w:tc>
          <w:tcPr>
            <w:tcW w:w="2415" w:type="dxa"/>
            <w:tcBorders>
              <w:top w:val="single" w:sz="4" w:space="0" w:color="auto"/>
              <w:left w:val="nil"/>
              <w:bottom w:val="single" w:sz="4" w:space="0" w:color="auto"/>
              <w:right w:val="nil"/>
            </w:tcBorders>
          </w:tcPr>
          <w:p w14:paraId="68B2B6C1"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B19F736" w14:textId="77777777" w:rsidR="008E67EA" w:rsidRPr="0015462A" w:rsidRDefault="008E67EA" w:rsidP="00B44A74">
            <w:pPr>
              <w:spacing w:line="280" w:lineRule="exact"/>
              <w:rPr>
                <w:rFonts w:cs="Arial"/>
                <w:sz w:val="20"/>
                <w:szCs w:val="20"/>
              </w:rPr>
            </w:pPr>
          </w:p>
        </w:tc>
      </w:tr>
      <w:tr w:rsidR="008E67EA" w:rsidRPr="002B5B5B" w14:paraId="3B26CAB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62FF95A" w14:textId="77777777" w:rsidR="008E67EA" w:rsidRPr="00F5215F" w:rsidRDefault="008E67EA" w:rsidP="00B44A74">
            <w:pPr>
              <w:spacing w:line="280" w:lineRule="exact"/>
              <w:rPr>
                <w:rFonts w:cs="Arial"/>
                <w:sz w:val="20"/>
                <w:szCs w:val="20"/>
              </w:rPr>
            </w:pPr>
            <w:r w:rsidRPr="00F5215F">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097DD37B" w14:textId="77777777" w:rsidR="008E67EA" w:rsidRPr="0015462A" w:rsidRDefault="008E67EA" w:rsidP="00B44A74">
            <w:pPr>
              <w:spacing w:line="280" w:lineRule="exact"/>
              <w:rPr>
                <w:rFonts w:cs="Arial"/>
                <w:sz w:val="20"/>
                <w:szCs w:val="20"/>
              </w:rPr>
            </w:pPr>
            <w:r w:rsidRPr="0032794B">
              <w:rPr>
                <w:rFonts w:cs="Arial"/>
                <w:sz w:val="20"/>
                <w:szCs w:val="20"/>
              </w:rPr>
              <w:t>[INSERT NET CONTENTS]</w:t>
            </w:r>
          </w:p>
        </w:tc>
      </w:tr>
      <w:tr w:rsidR="008E67EA" w:rsidRPr="002B5B5B" w14:paraId="4924C5A9" w14:textId="77777777" w:rsidTr="00B44A74">
        <w:trPr>
          <w:jc w:val="center"/>
        </w:trPr>
        <w:tc>
          <w:tcPr>
            <w:tcW w:w="2415" w:type="dxa"/>
            <w:tcBorders>
              <w:top w:val="single" w:sz="4" w:space="0" w:color="auto"/>
              <w:left w:val="nil"/>
              <w:bottom w:val="single" w:sz="4" w:space="0" w:color="auto"/>
              <w:right w:val="nil"/>
            </w:tcBorders>
          </w:tcPr>
          <w:p w14:paraId="5A3C58D9"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82972C5" w14:textId="77777777" w:rsidR="008E67EA" w:rsidRPr="002B5B5B" w:rsidRDefault="008E67EA" w:rsidP="00B44A74">
            <w:pPr>
              <w:spacing w:line="280" w:lineRule="exact"/>
              <w:rPr>
                <w:rFonts w:cs="Arial"/>
                <w:sz w:val="20"/>
                <w:szCs w:val="20"/>
              </w:rPr>
            </w:pPr>
          </w:p>
        </w:tc>
      </w:tr>
      <w:tr w:rsidR="008E67EA" w:rsidRPr="002B5B5B" w14:paraId="3D0EC07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2BFB2EC" w14:textId="77777777" w:rsidR="008E67EA" w:rsidRPr="00F5215F" w:rsidRDefault="008E67EA" w:rsidP="00B44A74">
            <w:pPr>
              <w:spacing w:line="280" w:lineRule="exact"/>
              <w:rPr>
                <w:rFonts w:cs="Arial"/>
                <w:sz w:val="20"/>
                <w:szCs w:val="20"/>
              </w:rPr>
            </w:pPr>
            <w:r w:rsidRPr="00F5215F">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2F3FC900" w14:textId="77777777" w:rsidR="008E67EA" w:rsidRPr="002B5B5B" w:rsidRDefault="008E67EA" w:rsidP="00B44A74">
            <w:pPr>
              <w:spacing w:line="280" w:lineRule="exact"/>
              <w:rPr>
                <w:rFonts w:cs="Arial"/>
                <w:sz w:val="20"/>
                <w:szCs w:val="20"/>
              </w:rPr>
            </w:pPr>
            <w:r w:rsidRPr="0032794B">
              <w:rPr>
                <w:rFonts w:cs="Arial"/>
                <w:color w:val="000000"/>
                <w:sz w:val="20"/>
                <w:szCs w:val="20"/>
              </w:rPr>
              <w:t>RESTRAINTS</w:t>
            </w:r>
            <w:r w:rsidRPr="0032794B">
              <w:rPr>
                <w:rFonts w:cs="Arial"/>
                <w:color w:val="000000"/>
                <w:sz w:val="20"/>
                <w:szCs w:val="20"/>
              </w:rPr>
              <w:br/>
              <w:t>DO NOT use this product unless you have a current qualification in the nationally recognised training course for rodent pest management CPPUPM3006 - Manage pests by applying pesticides, or an equivalent unit of competency.</w:t>
            </w:r>
            <w:r w:rsidRPr="0032794B">
              <w:rPr>
                <w:rFonts w:cs="Arial"/>
                <w:color w:val="000000"/>
                <w:sz w:val="20"/>
                <w:szCs w:val="20"/>
              </w:rPr>
              <w:br/>
              <w:t>DO NOT place baits in areas that are accessible to children. In child-accessible areas baits must be placed in tamper-</w:t>
            </w:r>
            <w:r>
              <w:rPr>
                <w:rFonts w:cs="Arial"/>
                <w:color w:val="000000"/>
                <w:sz w:val="20"/>
                <w:szCs w:val="20"/>
              </w:rPr>
              <w:t>resistant</w:t>
            </w:r>
            <w:r w:rsidRPr="0032794B">
              <w:rPr>
                <w:rFonts w:cs="Arial"/>
                <w:color w:val="000000"/>
                <w:sz w:val="20"/>
                <w:szCs w:val="20"/>
              </w:rPr>
              <w:t xml:space="preserve"> bait stations. If bait can be dislodged from bait station, bait station must be secured in place. </w:t>
            </w:r>
            <w:r w:rsidRPr="0032794B">
              <w:rPr>
                <w:rFonts w:cs="Arial"/>
                <w:color w:val="000000"/>
                <w:sz w:val="20"/>
                <w:szCs w:val="20"/>
              </w:rPr>
              <w:br/>
              <w:t>DO NOT place bait outdoors unless it is in a tamper</w:t>
            </w:r>
            <w:r>
              <w:rPr>
                <w:rFonts w:cs="Arial"/>
                <w:color w:val="000000"/>
                <w:sz w:val="20"/>
                <w:szCs w:val="20"/>
              </w:rPr>
              <w:t xml:space="preserve">-resistant </w:t>
            </w:r>
            <w:r w:rsidRPr="0032794B">
              <w:rPr>
                <w:rFonts w:cs="Arial"/>
                <w:color w:val="000000"/>
                <w:sz w:val="20"/>
                <w:szCs w:val="20"/>
              </w:rPr>
              <w:t>bait station which is secured in place.</w:t>
            </w:r>
            <w:r w:rsidRPr="0032794B">
              <w:rPr>
                <w:rFonts w:cs="Arial"/>
                <w:color w:val="000000"/>
                <w:sz w:val="20"/>
                <w:szCs w:val="20"/>
              </w:rPr>
              <w:br/>
              <w:t>DO NOT place bait stations more than 2 meters from buildings.</w:t>
            </w:r>
            <w:r w:rsidRPr="0032794B">
              <w:rPr>
                <w:rFonts w:cs="Arial"/>
                <w:color w:val="000000"/>
                <w:sz w:val="20"/>
                <w:szCs w:val="20"/>
              </w:rPr>
              <w:br/>
              <w:t>DO NOT place bait stations outdoors around buildings for control of mice.</w:t>
            </w:r>
            <w:r w:rsidRPr="0032794B">
              <w:rPr>
                <w:rFonts w:cs="Arial"/>
                <w:color w:val="000000"/>
                <w:sz w:val="20"/>
                <w:szCs w:val="20"/>
              </w:rPr>
              <w:br/>
              <w:t>DO NOT bait in areas where wildlife may be collected for human consumption.</w:t>
            </w:r>
            <w:r w:rsidRPr="0032794B">
              <w:rPr>
                <w:rFonts w:cs="Arial"/>
                <w:color w:val="000000"/>
                <w:sz w:val="20"/>
                <w:szCs w:val="20"/>
              </w:rPr>
              <w:br/>
              <w:t>DO NOT place baits in and around animal, livestock and poultry houses, associated equipment, and food and feed processing areas.</w:t>
            </w:r>
            <w:r w:rsidRPr="0032794B">
              <w:rPr>
                <w:rFonts w:cs="Arial"/>
                <w:color w:val="000000"/>
                <w:sz w:val="20"/>
                <w:szCs w:val="20"/>
              </w:rPr>
              <w:br/>
              <w:t>DO NOT apply this product directly into burrows.</w:t>
            </w:r>
          </w:p>
        </w:tc>
      </w:tr>
      <w:tr w:rsidR="008E67EA" w:rsidRPr="002B5B5B" w14:paraId="2D09ABAE" w14:textId="77777777" w:rsidTr="00B44A74">
        <w:trPr>
          <w:jc w:val="center"/>
        </w:trPr>
        <w:tc>
          <w:tcPr>
            <w:tcW w:w="2415" w:type="dxa"/>
            <w:tcBorders>
              <w:top w:val="single" w:sz="4" w:space="0" w:color="auto"/>
              <w:left w:val="nil"/>
              <w:bottom w:val="single" w:sz="4" w:space="0" w:color="auto"/>
              <w:right w:val="nil"/>
            </w:tcBorders>
          </w:tcPr>
          <w:p w14:paraId="79FB8427"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109B8F7" w14:textId="77777777" w:rsidR="008E67EA" w:rsidRPr="002B5B5B" w:rsidRDefault="008E67EA" w:rsidP="00B44A74">
            <w:pPr>
              <w:spacing w:line="280" w:lineRule="exact"/>
              <w:rPr>
                <w:rFonts w:cs="Arial"/>
                <w:sz w:val="20"/>
                <w:szCs w:val="20"/>
              </w:rPr>
            </w:pPr>
          </w:p>
        </w:tc>
      </w:tr>
      <w:tr w:rsidR="008E67EA" w:rsidRPr="002B5B5B" w14:paraId="19347CB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70C04C8" w14:textId="77777777" w:rsidR="008E67EA" w:rsidRPr="00F5215F" w:rsidRDefault="008E67EA" w:rsidP="00B44A74">
            <w:pPr>
              <w:spacing w:line="280" w:lineRule="exact"/>
              <w:rPr>
                <w:rFonts w:cs="Arial"/>
                <w:sz w:val="20"/>
                <w:szCs w:val="20"/>
              </w:rPr>
            </w:pPr>
            <w:r w:rsidRPr="00F5215F">
              <w:rPr>
                <w:rFonts w:cs="Arial"/>
                <w:sz w:val="20"/>
                <w:szCs w:val="20"/>
              </w:rPr>
              <w:t>Directions for Use:</w:t>
            </w:r>
          </w:p>
        </w:tc>
        <w:tc>
          <w:tcPr>
            <w:tcW w:w="7755" w:type="dxa"/>
            <w:tcBorders>
              <w:top w:val="single" w:sz="4" w:space="0" w:color="auto"/>
              <w:left w:val="single" w:sz="4" w:space="0" w:color="auto"/>
              <w:bottom w:val="single" w:sz="4" w:space="0" w:color="auto"/>
              <w:right w:val="single" w:sz="4" w:space="0" w:color="auto"/>
            </w:tcBorders>
          </w:tcPr>
          <w:p w14:paraId="53204CF0" w14:textId="77777777" w:rsidR="008E67EA" w:rsidRPr="002B692A" w:rsidRDefault="008E67EA" w:rsidP="00B44A74">
            <w:pPr>
              <w:spacing w:line="280" w:lineRule="exact"/>
              <w:rPr>
                <w:rFonts w:cs="Arial"/>
                <w:b/>
                <w:bCs/>
                <w:i/>
                <w:iCs/>
                <w:sz w:val="20"/>
                <w:szCs w:val="20"/>
              </w:rPr>
            </w:pPr>
            <w:r w:rsidRPr="00713087">
              <w:rPr>
                <w:rFonts w:cs="Arial"/>
                <w:sz w:val="20"/>
                <w:szCs w:val="20"/>
              </w:rPr>
              <w:t>[This section contains an attachment below]</w:t>
            </w:r>
          </w:p>
        </w:tc>
      </w:tr>
      <w:tr w:rsidR="008E67EA" w:rsidRPr="002B5B5B" w14:paraId="2B734F1E" w14:textId="77777777" w:rsidTr="00B44A74">
        <w:trPr>
          <w:jc w:val="center"/>
        </w:trPr>
        <w:tc>
          <w:tcPr>
            <w:tcW w:w="2415" w:type="dxa"/>
            <w:tcBorders>
              <w:top w:val="single" w:sz="4" w:space="0" w:color="auto"/>
              <w:left w:val="nil"/>
              <w:bottom w:val="single" w:sz="4" w:space="0" w:color="auto"/>
              <w:right w:val="nil"/>
            </w:tcBorders>
          </w:tcPr>
          <w:p w14:paraId="0DA03C30"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731C584" w14:textId="77777777" w:rsidR="008E67EA" w:rsidRPr="002B5B5B" w:rsidRDefault="008E67EA" w:rsidP="00B44A74">
            <w:pPr>
              <w:spacing w:line="280" w:lineRule="exact"/>
              <w:rPr>
                <w:rFonts w:cs="Arial"/>
                <w:sz w:val="20"/>
                <w:szCs w:val="20"/>
              </w:rPr>
            </w:pPr>
          </w:p>
        </w:tc>
      </w:tr>
      <w:tr w:rsidR="008E67EA" w:rsidRPr="002B5B5B" w14:paraId="6F1B3E3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1AEF689" w14:textId="77777777" w:rsidR="008E67EA" w:rsidRPr="00F5215F" w:rsidRDefault="008E67EA" w:rsidP="00B44A74">
            <w:pPr>
              <w:spacing w:line="280" w:lineRule="exact"/>
              <w:rPr>
                <w:rFonts w:cs="Arial"/>
                <w:sz w:val="20"/>
                <w:szCs w:val="20"/>
              </w:rPr>
            </w:pPr>
            <w:r w:rsidRPr="00F5215F">
              <w:rPr>
                <w:rFonts w:cs="Arial"/>
                <w:sz w:val="20"/>
                <w:szCs w:val="20"/>
              </w:rPr>
              <w:t>Other Limitations:</w:t>
            </w:r>
          </w:p>
        </w:tc>
        <w:tc>
          <w:tcPr>
            <w:tcW w:w="7755" w:type="dxa"/>
            <w:tcBorders>
              <w:top w:val="single" w:sz="4" w:space="0" w:color="auto"/>
              <w:left w:val="single" w:sz="4" w:space="0" w:color="auto"/>
              <w:bottom w:val="single" w:sz="4" w:space="0" w:color="auto"/>
              <w:right w:val="single" w:sz="4" w:space="0" w:color="auto"/>
            </w:tcBorders>
          </w:tcPr>
          <w:p w14:paraId="3034A7EF" w14:textId="77777777" w:rsidR="008E67EA" w:rsidRPr="002B5B5B" w:rsidRDefault="008E67EA" w:rsidP="00B44A74">
            <w:pPr>
              <w:spacing w:line="280" w:lineRule="exact"/>
              <w:rPr>
                <w:rFonts w:cs="Arial"/>
                <w:sz w:val="20"/>
                <w:szCs w:val="20"/>
              </w:rPr>
            </w:pPr>
          </w:p>
        </w:tc>
      </w:tr>
      <w:tr w:rsidR="008E67EA" w:rsidRPr="002B5B5B" w14:paraId="25E3A4E4" w14:textId="77777777" w:rsidTr="00B44A74">
        <w:trPr>
          <w:jc w:val="center"/>
        </w:trPr>
        <w:tc>
          <w:tcPr>
            <w:tcW w:w="2415" w:type="dxa"/>
            <w:tcBorders>
              <w:top w:val="single" w:sz="4" w:space="0" w:color="auto"/>
              <w:left w:val="nil"/>
              <w:bottom w:val="single" w:sz="4" w:space="0" w:color="auto"/>
              <w:right w:val="nil"/>
            </w:tcBorders>
          </w:tcPr>
          <w:p w14:paraId="032E8BEA"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BBA51DF" w14:textId="77777777" w:rsidR="008E67EA" w:rsidRPr="002B5B5B" w:rsidRDefault="008E67EA" w:rsidP="00B44A74">
            <w:pPr>
              <w:spacing w:line="280" w:lineRule="exact"/>
              <w:rPr>
                <w:rFonts w:cs="Arial"/>
                <w:sz w:val="20"/>
                <w:szCs w:val="20"/>
              </w:rPr>
            </w:pPr>
          </w:p>
        </w:tc>
      </w:tr>
      <w:tr w:rsidR="008E67EA" w:rsidRPr="002B5B5B" w14:paraId="491ECE3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939973F" w14:textId="77777777" w:rsidR="008E67EA" w:rsidRPr="00F5215F" w:rsidRDefault="008E67EA" w:rsidP="00B44A74">
            <w:pPr>
              <w:spacing w:line="280" w:lineRule="exact"/>
              <w:rPr>
                <w:rFonts w:cs="Arial"/>
                <w:sz w:val="20"/>
                <w:szCs w:val="20"/>
              </w:rPr>
            </w:pPr>
            <w:r w:rsidRPr="00F5215F">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216C0C41" w14:textId="77777777" w:rsidR="008E67EA" w:rsidRPr="002B5B5B" w:rsidRDefault="008E67EA" w:rsidP="00B44A74">
            <w:pPr>
              <w:spacing w:line="280" w:lineRule="exact"/>
              <w:rPr>
                <w:rFonts w:cs="Arial"/>
                <w:sz w:val="20"/>
                <w:szCs w:val="20"/>
              </w:rPr>
            </w:pPr>
          </w:p>
        </w:tc>
      </w:tr>
      <w:tr w:rsidR="008E67EA" w:rsidRPr="002B5B5B" w14:paraId="236EE818" w14:textId="77777777" w:rsidTr="00B44A74">
        <w:trPr>
          <w:jc w:val="center"/>
        </w:trPr>
        <w:tc>
          <w:tcPr>
            <w:tcW w:w="2415" w:type="dxa"/>
            <w:tcBorders>
              <w:top w:val="single" w:sz="4" w:space="0" w:color="auto"/>
              <w:left w:val="nil"/>
              <w:bottom w:val="single" w:sz="4" w:space="0" w:color="auto"/>
              <w:right w:val="nil"/>
            </w:tcBorders>
          </w:tcPr>
          <w:p w14:paraId="3DD9DB16"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9B6C34A" w14:textId="77777777" w:rsidR="008E67EA" w:rsidRPr="002B5B5B" w:rsidRDefault="008E67EA" w:rsidP="00B44A74">
            <w:pPr>
              <w:spacing w:line="280" w:lineRule="exact"/>
              <w:rPr>
                <w:rFonts w:cs="Arial"/>
                <w:sz w:val="20"/>
                <w:szCs w:val="20"/>
              </w:rPr>
            </w:pPr>
          </w:p>
        </w:tc>
      </w:tr>
      <w:tr w:rsidR="008E67EA" w:rsidRPr="002B5B5B" w14:paraId="6DA201E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0CA9E02" w14:textId="77777777" w:rsidR="008E67EA" w:rsidRPr="00F5215F" w:rsidRDefault="008E67EA" w:rsidP="00B44A74">
            <w:pPr>
              <w:spacing w:line="280" w:lineRule="exact"/>
              <w:rPr>
                <w:rFonts w:cs="Arial"/>
                <w:sz w:val="20"/>
                <w:szCs w:val="20"/>
              </w:rPr>
            </w:pPr>
            <w:r w:rsidRPr="00F5215F">
              <w:rPr>
                <w:rFonts w:cs="Arial"/>
                <w:sz w:val="20"/>
                <w:szCs w:val="20"/>
              </w:rPr>
              <w:t>Trade Advice:</w:t>
            </w:r>
          </w:p>
        </w:tc>
        <w:tc>
          <w:tcPr>
            <w:tcW w:w="7755" w:type="dxa"/>
            <w:tcBorders>
              <w:top w:val="single" w:sz="4" w:space="0" w:color="auto"/>
              <w:left w:val="single" w:sz="4" w:space="0" w:color="auto"/>
              <w:bottom w:val="single" w:sz="4" w:space="0" w:color="auto"/>
              <w:right w:val="single" w:sz="4" w:space="0" w:color="auto"/>
            </w:tcBorders>
          </w:tcPr>
          <w:p w14:paraId="281CA2E5" w14:textId="77777777" w:rsidR="008E67EA" w:rsidRPr="002B5B5B" w:rsidRDefault="008E67EA" w:rsidP="00B44A74">
            <w:pPr>
              <w:spacing w:line="280" w:lineRule="exact"/>
              <w:rPr>
                <w:rFonts w:cs="Arial"/>
                <w:sz w:val="20"/>
                <w:szCs w:val="20"/>
              </w:rPr>
            </w:pPr>
          </w:p>
        </w:tc>
      </w:tr>
      <w:tr w:rsidR="008E67EA" w:rsidRPr="002B5B5B" w14:paraId="09586C52" w14:textId="77777777" w:rsidTr="00B44A74">
        <w:trPr>
          <w:jc w:val="center"/>
        </w:trPr>
        <w:tc>
          <w:tcPr>
            <w:tcW w:w="2415" w:type="dxa"/>
            <w:tcBorders>
              <w:top w:val="single" w:sz="4" w:space="0" w:color="auto"/>
              <w:left w:val="nil"/>
              <w:bottom w:val="single" w:sz="4" w:space="0" w:color="auto"/>
              <w:right w:val="nil"/>
            </w:tcBorders>
          </w:tcPr>
          <w:p w14:paraId="7B2F1B02"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92C08BF" w14:textId="77777777" w:rsidR="008E67EA" w:rsidRPr="002B5B5B" w:rsidRDefault="008E67EA" w:rsidP="00B44A74">
            <w:pPr>
              <w:spacing w:line="280" w:lineRule="exact"/>
              <w:rPr>
                <w:rFonts w:cs="Arial"/>
                <w:sz w:val="20"/>
                <w:szCs w:val="20"/>
              </w:rPr>
            </w:pPr>
          </w:p>
        </w:tc>
      </w:tr>
      <w:tr w:rsidR="008E67EA" w:rsidRPr="002B5B5B" w14:paraId="53C8CFB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0402C9B" w14:textId="77777777" w:rsidR="008E67EA" w:rsidRPr="00F5215F" w:rsidRDefault="008E67EA" w:rsidP="00B44A74">
            <w:pPr>
              <w:spacing w:line="280" w:lineRule="exact"/>
              <w:rPr>
                <w:rFonts w:cs="Arial"/>
                <w:sz w:val="20"/>
                <w:szCs w:val="20"/>
              </w:rPr>
            </w:pPr>
            <w:r w:rsidRPr="00F5215F">
              <w:rPr>
                <w:rFonts w:cs="Arial"/>
                <w:sz w:val="20"/>
                <w:szCs w:val="20"/>
              </w:rPr>
              <w:t>General Directions:</w:t>
            </w:r>
          </w:p>
        </w:tc>
        <w:tc>
          <w:tcPr>
            <w:tcW w:w="7755" w:type="dxa"/>
            <w:tcBorders>
              <w:top w:val="single" w:sz="4" w:space="0" w:color="auto"/>
              <w:left w:val="single" w:sz="4" w:space="0" w:color="auto"/>
              <w:bottom w:val="single" w:sz="4" w:space="0" w:color="auto"/>
              <w:right w:val="single" w:sz="4" w:space="0" w:color="auto"/>
            </w:tcBorders>
          </w:tcPr>
          <w:p w14:paraId="58FBED3B" w14:textId="77777777" w:rsidR="008E67EA" w:rsidRPr="002B5B5B" w:rsidRDefault="008E67EA" w:rsidP="00B44A74">
            <w:pPr>
              <w:spacing w:line="280" w:lineRule="exact"/>
              <w:rPr>
                <w:rFonts w:cs="Arial"/>
                <w:sz w:val="20"/>
                <w:szCs w:val="20"/>
              </w:rPr>
            </w:pPr>
          </w:p>
        </w:tc>
      </w:tr>
      <w:tr w:rsidR="008E67EA" w:rsidRPr="002B5B5B" w14:paraId="4794BDC5" w14:textId="77777777" w:rsidTr="00B44A74">
        <w:trPr>
          <w:jc w:val="center"/>
        </w:trPr>
        <w:tc>
          <w:tcPr>
            <w:tcW w:w="2415" w:type="dxa"/>
            <w:tcBorders>
              <w:top w:val="single" w:sz="4" w:space="0" w:color="auto"/>
              <w:left w:val="nil"/>
              <w:bottom w:val="single" w:sz="4" w:space="0" w:color="auto"/>
              <w:right w:val="nil"/>
            </w:tcBorders>
          </w:tcPr>
          <w:p w14:paraId="59D687A9"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61F3DDB" w14:textId="77777777" w:rsidR="008E67EA" w:rsidRPr="002B5B5B" w:rsidRDefault="008E67EA" w:rsidP="00B44A74">
            <w:pPr>
              <w:spacing w:line="280" w:lineRule="exact"/>
              <w:rPr>
                <w:rFonts w:cs="Arial"/>
                <w:sz w:val="20"/>
                <w:szCs w:val="20"/>
              </w:rPr>
            </w:pPr>
          </w:p>
        </w:tc>
      </w:tr>
      <w:tr w:rsidR="008E67EA" w:rsidRPr="002B5B5B" w14:paraId="7610745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04105C9" w14:textId="77777777" w:rsidR="008E67EA" w:rsidRPr="00F5215F" w:rsidRDefault="008E67EA" w:rsidP="00B44A74">
            <w:pPr>
              <w:spacing w:line="280" w:lineRule="exact"/>
              <w:rPr>
                <w:rFonts w:cs="Arial"/>
                <w:sz w:val="20"/>
                <w:szCs w:val="20"/>
              </w:rPr>
            </w:pPr>
            <w:r w:rsidRPr="00F5215F">
              <w:rPr>
                <w:rFonts w:cs="Arial"/>
                <w:sz w:val="20"/>
                <w:szCs w:val="20"/>
              </w:rPr>
              <w:t>Resistance Warning:</w:t>
            </w:r>
          </w:p>
        </w:tc>
        <w:tc>
          <w:tcPr>
            <w:tcW w:w="7755" w:type="dxa"/>
            <w:tcBorders>
              <w:top w:val="single" w:sz="4" w:space="0" w:color="auto"/>
              <w:left w:val="single" w:sz="4" w:space="0" w:color="auto"/>
              <w:bottom w:val="single" w:sz="4" w:space="0" w:color="auto"/>
              <w:right w:val="single" w:sz="4" w:space="0" w:color="auto"/>
            </w:tcBorders>
          </w:tcPr>
          <w:p w14:paraId="4987B3FB" w14:textId="77777777" w:rsidR="008E67EA" w:rsidRPr="002B5B5B" w:rsidRDefault="008E67EA" w:rsidP="00B44A74">
            <w:pPr>
              <w:spacing w:line="280" w:lineRule="exact"/>
              <w:rPr>
                <w:rFonts w:cs="Arial"/>
                <w:sz w:val="20"/>
                <w:szCs w:val="20"/>
              </w:rPr>
            </w:pPr>
          </w:p>
        </w:tc>
      </w:tr>
      <w:tr w:rsidR="008E67EA" w:rsidRPr="002B5B5B" w14:paraId="0474D783" w14:textId="77777777" w:rsidTr="00B44A74">
        <w:trPr>
          <w:jc w:val="center"/>
        </w:trPr>
        <w:tc>
          <w:tcPr>
            <w:tcW w:w="2415" w:type="dxa"/>
            <w:tcBorders>
              <w:top w:val="single" w:sz="4" w:space="0" w:color="auto"/>
              <w:left w:val="nil"/>
              <w:bottom w:val="single" w:sz="4" w:space="0" w:color="auto"/>
              <w:right w:val="nil"/>
            </w:tcBorders>
          </w:tcPr>
          <w:p w14:paraId="704CAE88"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8D091C4" w14:textId="77777777" w:rsidR="008E67EA" w:rsidRPr="002B5B5B" w:rsidRDefault="008E67EA" w:rsidP="00B44A74">
            <w:pPr>
              <w:spacing w:line="280" w:lineRule="exact"/>
              <w:rPr>
                <w:rFonts w:cs="Arial"/>
                <w:sz w:val="20"/>
                <w:szCs w:val="20"/>
              </w:rPr>
            </w:pPr>
          </w:p>
        </w:tc>
      </w:tr>
      <w:tr w:rsidR="00FF707A" w:rsidRPr="00FF707A" w14:paraId="5F6A8A7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17C5EC3" w14:textId="77777777" w:rsidR="008E67EA" w:rsidRPr="00F5215F" w:rsidRDefault="008E67EA" w:rsidP="00B44A74">
            <w:pPr>
              <w:spacing w:line="280" w:lineRule="exact"/>
              <w:rPr>
                <w:rFonts w:cs="Arial"/>
                <w:sz w:val="20"/>
                <w:szCs w:val="20"/>
              </w:rPr>
            </w:pPr>
            <w:r w:rsidRPr="00F5215F">
              <w:rPr>
                <w:rFonts w:cs="Arial"/>
                <w:sz w:val="20"/>
                <w:szCs w:val="20"/>
              </w:rPr>
              <w:t>Precautions:</w:t>
            </w:r>
          </w:p>
        </w:tc>
        <w:tc>
          <w:tcPr>
            <w:tcW w:w="7755" w:type="dxa"/>
            <w:tcBorders>
              <w:top w:val="single" w:sz="4" w:space="0" w:color="auto"/>
              <w:left w:val="single" w:sz="4" w:space="0" w:color="auto"/>
              <w:bottom w:val="single" w:sz="4" w:space="0" w:color="auto"/>
              <w:right w:val="single" w:sz="4" w:space="0" w:color="auto"/>
            </w:tcBorders>
          </w:tcPr>
          <w:p w14:paraId="6B4C0BB8" w14:textId="77777777" w:rsidR="008E67EA" w:rsidRPr="00FF707A" w:rsidRDefault="008E67EA" w:rsidP="00B44A74">
            <w:pPr>
              <w:spacing w:line="280" w:lineRule="exact"/>
              <w:rPr>
                <w:rFonts w:cs="Arial"/>
                <w:b/>
                <w:bCs/>
                <w:i/>
                <w:iCs/>
                <w:sz w:val="20"/>
                <w:szCs w:val="20"/>
              </w:rPr>
            </w:pPr>
            <w:r w:rsidRPr="00FF707A">
              <w:rPr>
                <w:rFonts w:cs="Arial"/>
                <w:sz w:val="20"/>
                <w:szCs w:val="20"/>
              </w:rPr>
              <w:t>PRECAUTIONS</w:t>
            </w:r>
            <w:r w:rsidRPr="00FF707A">
              <w:rPr>
                <w:rFonts w:cs="Arial"/>
                <w:sz w:val="20"/>
                <w:szCs w:val="20"/>
              </w:rPr>
              <w:br/>
              <w:t xml:space="preserve">Caution should be used when baiting near areas where hunting of wildlife may occur. </w:t>
            </w:r>
            <w:r w:rsidRPr="00FF707A">
              <w:rPr>
                <w:rFonts w:cs="Arial"/>
                <w:sz w:val="20"/>
                <w:szCs w:val="20"/>
              </w:rPr>
              <w:lastRenderedPageBreak/>
              <w:t>Careful consideration of bait placement is necessary to avoid secondary exposure from contaminated wildlife that may be consumed.</w:t>
            </w:r>
            <w:r w:rsidRPr="00FF707A">
              <w:rPr>
                <w:rFonts w:cs="Arial"/>
                <w:sz w:val="20"/>
                <w:szCs w:val="20"/>
              </w:rPr>
              <w:br/>
              <w:t>DO NOT place bait in areas where there is a possibility of contaminating food, livestock feed or surfaces that come in direct contact with food or livestock feed.</w:t>
            </w:r>
          </w:p>
        </w:tc>
      </w:tr>
      <w:tr w:rsidR="00FF707A" w:rsidRPr="00FF707A" w14:paraId="74B0A522" w14:textId="77777777" w:rsidTr="00B44A74">
        <w:trPr>
          <w:jc w:val="center"/>
        </w:trPr>
        <w:tc>
          <w:tcPr>
            <w:tcW w:w="2415" w:type="dxa"/>
            <w:tcBorders>
              <w:top w:val="single" w:sz="4" w:space="0" w:color="auto"/>
              <w:left w:val="nil"/>
              <w:bottom w:val="single" w:sz="4" w:space="0" w:color="auto"/>
              <w:right w:val="nil"/>
            </w:tcBorders>
          </w:tcPr>
          <w:p w14:paraId="154F553F"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F860D15" w14:textId="77777777" w:rsidR="008E67EA" w:rsidRPr="00FF707A" w:rsidRDefault="008E67EA" w:rsidP="00B44A74">
            <w:pPr>
              <w:spacing w:line="280" w:lineRule="exact"/>
              <w:rPr>
                <w:rFonts w:cs="Arial"/>
                <w:sz w:val="20"/>
                <w:szCs w:val="20"/>
              </w:rPr>
            </w:pPr>
          </w:p>
        </w:tc>
      </w:tr>
      <w:tr w:rsidR="008E67EA" w:rsidRPr="002B5B5B" w14:paraId="5BBA237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7BC06A2" w14:textId="77777777" w:rsidR="008E67EA" w:rsidRPr="00F5215F" w:rsidRDefault="008E67EA" w:rsidP="00B44A74">
            <w:pPr>
              <w:spacing w:line="280" w:lineRule="exact"/>
              <w:rPr>
                <w:rFonts w:cs="Arial"/>
                <w:sz w:val="20"/>
                <w:szCs w:val="20"/>
              </w:rPr>
            </w:pPr>
            <w:r w:rsidRPr="00F5215F">
              <w:rPr>
                <w:rFonts w:cs="Arial"/>
                <w:sz w:val="20"/>
                <w:szCs w:val="20"/>
              </w:rPr>
              <w:t>Protection Statements:</w:t>
            </w:r>
          </w:p>
        </w:tc>
        <w:tc>
          <w:tcPr>
            <w:tcW w:w="7755" w:type="dxa"/>
            <w:tcBorders>
              <w:top w:val="single" w:sz="4" w:space="0" w:color="auto"/>
              <w:left w:val="single" w:sz="4" w:space="0" w:color="auto"/>
              <w:bottom w:val="single" w:sz="4" w:space="0" w:color="auto"/>
              <w:right w:val="single" w:sz="4" w:space="0" w:color="auto"/>
            </w:tcBorders>
          </w:tcPr>
          <w:p w14:paraId="4357434D" w14:textId="77777777" w:rsidR="008E67EA" w:rsidRDefault="008E67EA" w:rsidP="00B44A74">
            <w:pPr>
              <w:spacing w:line="280" w:lineRule="exact"/>
              <w:rPr>
                <w:rFonts w:cs="Arial"/>
                <w:color w:val="000000"/>
                <w:sz w:val="20"/>
                <w:szCs w:val="20"/>
              </w:rPr>
            </w:pPr>
            <w:r w:rsidRPr="0032794B">
              <w:rPr>
                <w:rFonts w:cs="Arial"/>
                <w:color w:val="000000"/>
                <w:sz w:val="20"/>
                <w:szCs w:val="20"/>
              </w:rPr>
              <w:t>PROTECTION OF LIVESTOCK AND WILDLIFE</w:t>
            </w:r>
            <w:r w:rsidRPr="0032794B">
              <w:rPr>
                <w:rFonts w:cs="Arial"/>
                <w:color w:val="000000"/>
                <w:sz w:val="20"/>
                <w:szCs w:val="20"/>
              </w:rPr>
              <w:br/>
              <w:t>Hazardous to livestock, poultry and wildlife. DO NOT place baits in locations that are accessible to domestic animals, livestock, non-target native animals or birds.</w:t>
            </w:r>
            <w:r w:rsidRPr="0032794B">
              <w:rPr>
                <w:rFonts w:cs="Arial"/>
                <w:color w:val="000000"/>
                <w:sz w:val="20"/>
                <w:szCs w:val="20"/>
              </w:rPr>
              <w:br/>
              <w:t xml:space="preserve">Search for and dispose of dead rodents and slugs/snails in the infested area at each visit to prevent secondary poisoning. In case slugs/snails are present, move bait station to another location within the rodent infested site, away from slugs/snails. Dispose of slugs/snails in a way non-target animals are not exposed. Dispose of dead rodents and uneaten bait in compliance with local, state or territory government regulations. </w:t>
            </w:r>
            <w:r w:rsidRPr="0032794B">
              <w:rPr>
                <w:rFonts w:cs="Arial"/>
                <w:color w:val="000000"/>
                <w:sz w:val="20"/>
                <w:szCs w:val="20"/>
              </w:rPr>
              <w:br/>
              <w:t>DO NOT allow livestock or poultry to consume dead or moribund mice and rats. All dead or moribund animals and rodent faeces from baited rodents MUST be removed from areas accessible to livestock or poultry.</w:t>
            </w:r>
            <w:r w:rsidRPr="0032794B">
              <w:rPr>
                <w:rFonts w:cs="Arial"/>
                <w:color w:val="000000"/>
                <w:sz w:val="20"/>
                <w:szCs w:val="20"/>
              </w:rPr>
              <w:br/>
              <w:t>The use of this product for the control of protected native rodents requires permission from wildlife authorities.</w:t>
            </w:r>
          </w:p>
          <w:p w14:paraId="05BDC1A2" w14:textId="15284241" w:rsidR="008E67EA" w:rsidRPr="009669AB" w:rsidRDefault="008E67EA" w:rsidP="00B44A74">
            <w:pPr>
              <w:spacing w:line="280" w:lineRule="exact"/>
              <w:rPr>
                <w:rFonts w:cs="Arial"/>
                <w:sz w:val="20"/>
                <w:szCs w:val="20"/>
              </w:rPr>
            </w:pPr>
            <w:r w:rsidRPr="0032794B">
              <w:rPr>
                <w:rFonts w:cs="Arial"/>
                <w:color w:val="000000"/>
                <w:sz w:val="20"/>
                <w:szCs w:val="20"/>
              </w:rPr>
              <w:br/>
              <w:t>PROTECTION OF FISH, CRUSTACEANS AND ENVIRONMENT</w:t>
            </w:r>
            <w:r w:rsidRPr="0032794B">
              <w:rPr>
                <w:rFonts w:cs="Arial"/>
                <w:color w:val="000000"/>
                <w:sz w:val="20"/>
                <w:szCs w:val="20"/>
              </w:rPr>
              <w:br/>
              <w:t>Toxic to aquatic life. DO NOT contaminate wetlands or watercourses with this product or used containers. Place the bait stations in areas not liable to flooding. When placing bait stations close to water drainage systems, ensure that bait contact with water is avoided.</w:t>
            </w:r>
          </w:p>
        </w:tc>
      </w:tr>
      <w:tr w:rsidR="008E67EA" w:rsidRPr="002B5B5B" w14:paraId="43901117" w14:textId="77777777" w:rsidTr="00B44A74">
        <w:trPr>
          <w:jc w:val="center"/>
        </w:trPr>
        <w:tc>
          <w:tcPr>
            <w:tcW w:w="2415" w:type="dxa"/>
            <w:tcBorders>
              <w:top w:val="single" w:sz="4" w:space="0" w:color="auto"/>
              <w:left w:val="nil"/>
              <w:bottom w:val="single" w:sz="4" w:space="0" w:color="auto"/>
              <w:right w:val="nil"/>
            </w:tcBorders>
          </w:tcPr>
          <w:p w14:paraId="0EEF6E3D"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264E41E" w14:textId="77777777" w:rsidR="008E67EA" w:rsidRPr="002B5B5B" w:rsidRDefault="008E67EA" w:rsidP="00B44A74">
            <w:pPr>
              <w:spacing w:line="280" w:lineRule="exact"/>
              <w:rPr>
                <w:rFonts w:cs="Arial"/>
                <w:sz w:val="20"/>
                <w:szCs w:val="20"/>
              </w:rPr>
            </w:pPr>
          </w:p>
        </w:tc>
      </w:tr>
      <w:tr w:rsidR="008E67EA" w:rsidRPr="002B5B5B" w14:paraId="6B5270E9"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8EC700F" w14:textId="77777777" w:rsidR="008E67EA" w:rsidRPr="00F5215F" w:rsidRDefault="008E67EA" w:rsidP="00B44A74">
            <w:pPr>
              <w:spacing w:line="280" w:lineRule="exact"/>
              <w:rPr>
                <w:rFonts w:cs="Arial"/>
                <w:sz w:val="20"/>
                <w:szCs w:val="20"/>
              </w:rPr>
            </w:pPr>
            <w:r w:rsidRPr="00F5215F">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7193949C" w14:textId="77777777" w:rsidR="008E67EA" w:rsidRPr="00936E9D" w:rsidRDefault="008E67EA" w:rsidP="00B44A74">
            <w:pPr>
              <w:spacing w:line="280" w:lineRule="exact"/>
              <w:rPr>
                <w:rFonts w:cs="Arial"/>
                <w:color w:val="000000"/>
                <w:sz w:val="20"/>
                <w:szCs w:val="20"/>
              </w:rPr>
            </w:pPr>
            <w:r w:rsidRPr="00936E9D">
              <w:rPr>
                <w:rFonts w:cs="Arial"/>
                <w:color w:val="000000"/>
                <w:sz w:val="20"/>
                <w:szCs w:val="20"/>
              </w:rPr>
              <w:t>STORAGE AND DISPOSAL</w:t>
            </w:r>
          </w:p>
          <w:p w14:paraId="45B92879" w14:textId="77777777" w:rsidR="008E67EA" w:rsidRPr="002B692A" w:rsidRDefault="008E67EA" w:rsidP="00B44A74">
            <w:pPr>
              <w:spacing w:line="280" w:lineRule="exact"/>
              <w:rPr>
                <w:rFonts w:cs="Arial"/>
                <w:color w:val="000000"/>
                <w:sz w:val="20"/>
                <w:szCs w:val="20"/>
              </w:rPr>
            </w:pPr>
            <w:r w:rsidRPr="002B692A">
              <w:rPr>
                <w:rFonts w:cs="Arial"/>
                <w:color w:val="000000"/>
                <w:sz w:val="20"/>
                <w:szCs w:val="20"/>
              </w:rPr>
              <w:t>Store in the closed, original container in a dry, cool, well-ventilated area out of direct</w:t>
            </w:r>
            <w:r>
              <w:rPr>
                <w:rFonts w:cs="Arial"/>
                <w:color w:val="000000"/>
                <w:sz w:val="20"/>
                <w:szCs w:val="20"/>
              </w:rPr>
              <w:t xml:space="preserve"> s</w:t>
            </w:r>
            <w:r w:rsidRPr="002B692A">
              <w:rPr>
                <w:rFonts w:cs="Arial"/>
                <w:color w:val="000000"/>
                <w:sz w:val="20"/>
                <w:szCs w:val="20"/>
              </w:rPr>
              <w:t>unlight</w:t>
            </w:r>
            <w:r>
              <w:rPr>
                <w:rFonts w:cs="Arial"/>
                <w:color w:val="000000"/>
                <w:sz w:val="20"/>
                <w:szCs w:val="20"/>
              </w:rPr>
              <w:t>.</w:t>
            </w:r>
            <w:r w:rsidRPr="002B692A">
              <w:rPr>
                <w:rFonts w:cs="Arial"/>
                <w:color w:val="000000"/>
                <w:sz w:val="20"/>
                <w:szCs w:val="20"/>
              </w:rPr>
              <w:t xml:space="preserve"> </w:t>
            </w:r>
            <w:r w:rsidRPr="0032794B">
              <w:rPr>
                <w:rFonts w:cs="Arial"/>
                <w:color w:val="000000"/>
                <w:sz w:val="20"/>
                <w:szCs w:val="20"/>
              </w:rPr>
              <w:t xml:space="preserve">Triple rinse containers before disposal. Break, crush or puncture and deliver empty packaging to an approved waste management facility. If an approved waste management facility is not available, dispose of empty packaging in compliance with relevant local, state or territory government regulations. </w:t>
            </w:r>
            <w:r w:rsidRPr="00936E9D">
              <w:rPr>
                <w:rFonts w:cs="Arial"/>
                <w:color w:val="000000"/>
                <w:sz w:val="20"/>
                <w:szCs w:val="20"/>
              </w:rPr>
              <w:t>Dispose of unused product in compliance with relevant local, state or territory government regulations.</w:t>
            </w:r>
            <w:r>
              <w:rPr>
                <w:rFonts w:cs="Arial"/>
                <w:color w:val="000000"/>
                <w:sz w:val="20"/>
                <w:szCs w:val="20"/>
              </w:rPr>
              <w:t xml:space="preserve"> </w:t>
            </w:r>
            <w:r w:rsidRPr="0032794B">
              <w:rPr>
                <w:rFonts w:cs="Arial"/>
                <w:color w:val="000000"/>
                <w:sz w:val="20"/>
                <w:szCs w:val="20"/>
              </w:rPr>
              <w:t>DO NOT burn empty containers or product.</w:t>
            </w:r>
          </w:p>
        </w:tc>
      </w:tr>
      <w:tr w:rsidR="008E67EA" w:rsidRPr="002B5B5B" w14:paraId="57CBFB3A" w14:textId="77777777" w:rsidTr="00B44A74">
        <w:trPr>
          <w:jc w:val="center"/>
        </w:trPr>
        <w:tc>
          <w:tcPr>
            <w:tcW w:w="2415" w:type="dxa"/>
            <w:tcBorders>
              <w:top w:val="single" w:sz="4" w:space="0" w:color="auto"/>
              <w:left w:val="nil"/>
              <w:bottom w:val="single" w:sz="4" w:space="0" w:color="auto"/>
              <w:right w:val="nil"/>
            </w:tcBorders>
          </w:tcPr>
          <w:p w14:paraId="54C29B5F"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8CF67C0" w14:textId="77777777" w:rsidR="008E67EA" w:rsidRPr="002B5B5B" w:rsidRDefault="008E67EA" w:rsidP="00B44A74">
            <w:pPr>
              <w:spacing w:line="280" w:lineRule="exact"/>
              <w:rPr>
                <w:rFonts w:cs="Arial"/>
                <w:sz w:val="20"/>
                <w:szCs w:val="20"/>
              </w:rPr>
            </w:pPr>
          </w:p>
        </w:tc>
      </w:tr>
      <w:tr w:rsidR="008E67EA" w:rsidRPr="002B5B5B" w14:paraId="0CC9F2D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771CF0A" w14:textId="77777777" w:rsidR="008E67EA" w:rsidRPr="00F5215F" w:rsidRDefault="008E67EA" w:rsidP="00B44A74">
            <w:pPr>
              <w:spacing w:line="280" w:lineRule="exact"/>
              <w:rPr>
                <w:rFonts w:cs="Arial"/>
                <w:sz w:val="20"/>
                <w:szCs w:val="20"/>
              </w:rPr>
            </w:pPr>
            <w:r w:rsidRPr="00F5215F">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74208CD8" w14:textId="77777777" w:rsidR="008E67EA" w:rsidRPr="00936E9D" w:rsidRDefault="008E67EA" w:rsidP="00B44A74">
            <w:pPr>
              <w:spacing w:line="280" w:lineRule="exact"/>
              <w:rPr>
                <w:rFonts w:cs="Arial"/>
                <w:color w:val="000000"/>
                <w:sz w:val="20"/>
                <w:szCs w:val="20"/>
              </w:rPr>
            </w:pPr>
            <w:r w:rsidRPr="00936E9D">
              <w:rPr>
                <w:rFonts w:cs="Arial"/>
                <w:color w:val="000000"/>
                <w:sz w:val="20"/>
                <w:szCs w:val="20"/>
              </w:rPr>
              <w:t>SAFETY DIRECTIONS</w:t>
            </w:r>
          </w:p>
          <w:p w14:paraId="1FC82EFC" w14:textId="00386C61" w:rsidR="008E67EA" w:rsidRPr="0032794B" w:rsidRDefault="008E67EA" w:rsidP="00B44A74">
            <w:pPr>
              <w:spacing w:line="280" w:lineRule="exact"/>
              <w:rPr>
                <w:rFonts w:cs="Arial"/>
                <w:color w:val="000000"/>
                <w:sz w:val="20"/>
                <w:szCs w:val="20"/>
              </w:rPr>
            </w:pPr>
            <w:r w:rsidRPr="0032794B">
              <w:rPr>
                <w:rFonts w:cs="Arial"/>
                <w:color w:val="000000"/>
                <w:sz w:val="20"/>
                <w:szCs w:val="20"/>
              </w:rPr>
              <w:t>Repeated minor exposure may have a cumulative poisoning effect. Avoid contact with eyes and skin. Do not inhale dust. Do not touch bait, use scoop or measure. When using the product wear disposable gloves. If on skin and after each baiting, wash thoroughly with soap and water.</w:t>
            </w:r>
          </w:p>
          <w:p w14:paraId="5DBF3E68" w14:textId="76BD6E3D" w:rsidR="008E67EA" w:rsidRPr="002B5B5B" w:rsidRDefault="008E67EA" w:rsidP="00B44A74">
            <w:pPr>
              <w:spacing w:line="280" w:lineRule="exact"/>
              <w:rPr>
                <w:rFonts w:cs="Arial"/>
                <w:sz w:val="20"/>
                <w:szCs w:val="20"/>
              </w:rPr>
            </w:pPr>
            <w:r w:rsidRPr="0032794B">
              <w:rPr>
                <w:rFonts w:cs="Arial"/>
                <w:color w:val="000000"/>
                <w:sz w:val="20"/>
                <w:szCs w:val="20"/>
              </w:rPr>
              <w:t>During cleanup and disposal operations of bait and bait stations, wear a single layer of clothing and disposable gloves. Wear disposable gloves when handling rodent carcasses. Wash clothes after performing re-handling activities.</w:t>
            </w:r>
          </w:p>
        </w:tc>
      </w:tr>
      <w:tr w:rsidR="008E67EA" w:rsidRPr="002B5B5B" w14:paraId="4A08A834" w14:textId="77777777" w:rsidTr="00B44A74">
        <w:trPr>
          <w:jc w:val="center"/>
        </w:trPr>
        <w:tc>
          <w:tcPr>
            <w:tcW w:w="2415" w:type="dxa"/>
            <w:tcBorders>
              <w:top w:val="single" w:sz="4" w:space="0" w:color="auto"/>
              <w:left w:val="nil"/>
              <w:bottom w:val="single" w:sz="4" w:space="0" w:color="auto"/>
              <w:right w:val="nil"/>
            </w:tcBorders>
          </w:tcPr>
          <w:p w14:paraId="3A764B38"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7307BC2" w14:textId="77777777" w:rsidR="008E67EA" w:rsidRPr="002B5B5B" w:rsidRDefault="008E67EA" w:rsidP="00B44A74">
            <w:pPr>
              <w:spacing w:line="280" w:lineRule="exact"/>
              <w:rPr>
                <w:rFonts w:cs="Arial"/>
                <w:sz w:val="20"/>
                <w:szCs w:val="20"/>
              </w:rPr>
            </w:pPr>
          </w:p>
        </w:tc>
      </w:tr>
      <w:tr w:rsidR="008E67EA" w:rsidRPr="002B5B5B" w14:paraId="2689664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929ADDA" w14:textId="77777777" w:rsidR="008E67EA" w:rsidRPr="00F5215F" w:rsidRDefault="008E67EA" w:rsidP="00B44A74">
            <w:pPr>
              <w:spacing w:line="280" w:lineRule="exact"/>
              <w:rPr>
                <w:rFonts w:cs="Arial"/>
                <w:sz w:val="20"/>
                <w:szCs w:val="20"/>
              </w:rPr>
            </w:pPr>
            <w:r w:rsidRPr="00F5215F">
              <w:rPr>
                <w:rFonts w:cs="Arial"/>
                <w:sz w:val="20"/>
                <w:szCs w:val="20"/>
              </w:rPr>
              <w:t>First Aid Instructions:</w:t>
            </w:r>
          </w:p>
        </w:tc>
        <w:tc>
          <w:tcPr>
            <w:tcW w:w="7755" w:type="dxa"/>
            <w:tcBorders>
              <w:top w:val="single" w:sz="4" w:space="0" w:color="auto"/>
              <w:left w:val="single" w:sz="4" w:space="0" w:color="auto"/>
              <w:bottom w:val="single" w:sz="4" w:space="0" w:color="auto"/>
              <w:right w:val="single" w:sz="4" w:space="0" w:color="auto"/>
            </w:tcBorders>
          </w:tcPr>
          <w:p w14:paraId="5EFF71AA" w14:textId="77777777" w:rsidR="008E67EA" w:rsidRPr="00936E9D" w:rsidRDefault="008E67EA" w:rsidP="00B44A74">
            <w:pPr>
              <w:spacing w:line="280" w:lineRule="exact"/>
              <w:rPr>
                <w:rFonts w:cs="Arial"/>
                <w:color w:val="000000"/>
                <w:sz w:val="20"/>
                <w:szCs w:val="20"/>
              </w:rPr>
            </w:pPr>
            <w:r w:rsidRPr="00936E9D">
              <w:rPr>
                <w:rFonts w:cs="Arial"/>
                <w:color w:val="000000"/>
                <w:sz w:val="20"/>
                <w:szCs w:val="20"/>
              </w:rPr>
              <w:t>FIRST AID</w:t>
            </w:r>
          </w:p>
          <w:p w14:paraId="08B86F10" w14:textId="77777777" w:rsidR="008E67EA" w:rsidRPr="002B5B5B" w:rsidRDefault="008E67EA" w:rsidP="00B44A74">
            <w:pPr>
              <w:spacing w:line="280" w:lineRule="exact"/>
              <w:rPr>
                <w:rFonts w:cs="Arial"/>
                <w:sz w:val="20"/>
                <w:szCs w:val="20"/>
              </w:rPr>
            </w:pPr>
            <w:r w:rsidRPr="0032794B">
              <w:rPr>
                <w:rFonts w:cs="Arial"/>
                <w:color w:val="000000"/>
                <w:sz w:val="20"/>
                <w:szCs w:val="20"/>
              </w:rPr>
              <w:t>If poisoning occurs, contact a doctor or Poisons Information Centre. Phone Australia 13 11 26, New Zealand 0800 764 766. Vitamin K1 (Phytomenadione) is antidotal.</w:t>
            </w:r>
          </w:p>
        </w:tc>
      </w:tr>
      <w:tr w:rsidR="008E67EA" w:rsidRPr="002B5B5B" w14:paraId="249B18D4" w14:textId="77777777" w:rsidTr="00B44A74">
        <w:trPr>
          <w:jc w:val="center"/>
        </w:trPr>
        <w:tc>
          <w:tcPr>
            <w:tcW w:w="2415" w:type="dxa"/>
            <w:tcBorders>
              <w:top w:val="single" w:sz="4" w:space="0" w:color="auto"/>
              <w:left w:val="nil"/>
              <w:bottom w:val="single" w:sz="4" w:space="0" w:color="auto"/>
              <w:right w:val="nil"/>
            </w:tcBorders>
          </w:tcPr>
          <w:p w14:paraId="00262EE8"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3E21DB9" w14:textId="77777777" w:rsidR="008E67EA" w:rsidRPr="002B5B5B" w:rsidRDefault="008E67EA" w:rsidP="00B44A74">
            <w:pPr>
              <w:spacing w:line="280" w:lineRule="exact"/>
              <w:rPr>
                <w:rFonts w:cs="Arial"/>
                <w:sz w:val="20"/>
                <w:szCs w:val="20"/>
              </w:rPr>
            </w:pPr>
          </w:p>
        </w:tc>
      </w:tr>
      <w:tr w:rsidR="008E67EA" w:rsidRPr="002B5B5B" w14:paraId="10001A4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D143DFA" w14:textId="77777777" w:rsidR="008E67EA" w:rsidRPr="00F5215F" w:rsidRDefault="008E67EA" w:rsidP="00B44A74">
            <w:pPr>
              <w:spacing w:line="280" w:lineRule="exact"/>
              <w:rPr>
                <w:rFonts w:cs="Arial"/>
                <w:sz w:val="20"/>
                <w:szCs w:val="20"/>
              </w:rPr>
            </w:pPr>
            <w:r w:rsidRPr="00F5215F">
              <w:rPr>
                <w:rFonts w:cs="Arial"/>
                <w:sz w:val="20"/>
                <w:szCs w:val="20"/>
              </w:rPr>
              <w:t>First Aid Warnings:</w:t>
            </w:r>
          </w:p>
        </w:tc>
        <w:tc>
          <w:tcPr>
            <w:tcW w:w="7755" w:type="dxa"/>
            <w:tcBorders>
              <w:top w:val="single" w:sz="4" w:space="0" w:color="auto"/>
              <w:left w:val="single" w:sz="4" w:space="0" w:color="auto"/>
              <w:bottom w:val="single" w:sz="4" w:space="0" w:color="auto"/>
              <w:right w:val="single" w:sz="4" w:space="0" w:color="auto"/>
            </w:tcBorders>
          </w:tcPr>
          <w:p w14:paraId="3C9A8C2B" w14:textId="77777777" w:rsidR="008E67EA" w:rsidRPr="002B5B5B" w:rsidRDefault="008E67EA" w:rsidP="00B44A74">
            <w:pPr>
              <w:spacing w:line="280" w:lineRule="exact"/>
              <w:rPr>
                <w:rFonts w:cs="Arial"/>
                <w:sz w:val="20"/>
                <w:szCs w:val="20"/>
              </w:rPr>
            </w:pPr>
          </w:p>
        </w:tc>
      </w:tr>
    </w:tbl>
    <w:p w14:paraId="71B6D9C3" w14:textId="77777777" w:rsidR="008E67EA" w:rsidRPr="00FF36BF" w:rsidRDefault="008E67EA" w:rsidP="008E67EA">
      <w:pPr>
        <w:spacing w:line="280" w:lineRule="exact"/>
        <w:rPr>
          <w:rFonts w:cs="Arial"/>
          <w:b/>
          <w:bCs/>
          <w:sz w:val="20"/>
          <w:szCs w:val="20"/>
        </w:rPr>
      </w:pPr>
      <w:r w:rsidRPr="00FF36BF">
        <w:rPr>
          <w:rFonts w:cs="Arial"/>
          <w:b/>
          <w:bCs/>
          <w:sz w:val="20"/>
          <w:szCs w:val="20"/>
        </w:rPr>
        <w:lastRenderedPageBreak/>
        <w:t>DIRECTIONS FOR USE</w:t>
      </w:r>
    </w:p>
    <w:tbl>
      <w:tblPr>
        <w:tblStyle w:val="TableGrid"/>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1275"/>
        <w:gridCol w:w="4469"/>
      </w:tblGrid>
      <w:tr w:rsidR="008E67EA" w:rsidRPr="00A27FD2" w14:paraId="46471931" w14:textId="77777777" w:rsidTr="00FF707A">
        <w:trPr>
          <w:trHeight w:val="340"/>
        </w:trPr>
        <w:tc>
          <w:tcPr>
            <w:tcW w:w="1838" w:type="dxa"/>
          </w:tcPr>
          <w:p w14:paraId="0ECD0D4C" w14:textId="77777777" w:rsidR="008E67EA" w:rsidRPr="00382A84" w:rsidRDefault="008E67EA" w:rsidP="00B44A74">
            <w:pPr>
              <w:spacing w:line="280" w:lineRule="exact"/>
              <w:rPr>
                <w:rFonts w:cs="Arial"/>
                <w:b/>
                <w:bCs/>
                <w:szCs w:val="18"/>
              </w:rPr>
            </w:pPr>
            <w:r w:rsidRPr="00382A84">
              <w:rPr>
                <w:rFonts w:cs="Arial"/>
                <w:b/>
                <w:bCs/>
                <w:szCs w:val="18"/>
              </w:rPr>
              <w:t>SITUATION</w:t>
            </w:r>
          </w:p>
        </w:tc>
        <w:tc>
          <w:tcPr>
            <w:tcW w:w="1418" w:type="dxa"/>
          </w:tcPr>
          <w:p w14:paraId="6B83CF09" w14:textId="77777777" w:rsidR="008E67EA" w:rsidRPr="00382A84" w:rsidRDefault="008E67EA" w:rsidP="00B44A74">
            <w:pPr>
              <w:spacing w:line="280" w:lineRule="exact"/>
              <w:rPr>
                <w:rFonts w:cs="Arial"/>
                <w:b/>
                <w:bCs/>
                <w:szCs w:val="18"/>
              </w:rPr>
            </w:pPr>
            <w:r w:rsidRPr="00382A84">
              <w:rPr>
                <w:rFonts w:cs="Arial"/>
                <w:b/>
                <w:bCs/>
                <w:szCs w:val="18"/>
              </w:rPr>
              <w:t>PEST</w:t>
            </w:r>
          </w:p>
        </w:tc>
        <w:tc>
          <w:tcPr>
            <w:tcW w:w="1275" w:type="dxa"/>
          </w:tcPr>
          <w:p w14:paraId="3AAA6F7A" w14:textId="77777777" w:rsidR="008E67EA" w:rsidRPr="00382A84" w:rsidRDefault="008E67EA" w:rsidP="00B44A74">
            <w:pPr>
              <w:spacing w:line="280" w:lineRule="exact"/>
              <w:rPr>
                <w:rFonts w:cs="Arial"/>
                <w:b/>
                <w:bCs/>
                <w:szCs w:val="18"/>
              </w:rPr>
            </w:pPr>
            <w:r w:rsidRPr="00382A84">
              <w:rPr>
                <w:rFonts w:cs="Arial"/>
                <w:b/>
                <w:bCs/>
                <w:szCs w:val="18"/>
              </w:rPr>
              <w:t>RATE</w:t>
            </w:r>
          </w:p>
        </w:tc>
        <w:tc>
          <w:tcPr>
            <w:tcW w:w="4469" w:type="dxa"/>
          </w:tcPr>
          <w:p w14:paraId="378361AE" w14:textId="77777777" w:rsidR="008E67EA" w:rsidRPr="00382A84" w:rsidRDefault="008E67EA" w:rsidP="00B44A74">
            <w:pPr>
              <w:spacing w:line="280" w:lineRule="exact"/>
              <w:rPr>
                <w:rFonts w:cs="Arial"/>
                <w:b/>
                <w:bCs/>
                <w:szCs w:val="18"/>
              </w:rPr>
            </w:pPr>
            <w:r w:rsidRPr="00382A84">
              <w:rPr>
                <w:rFonts w:cs="Arial"/>
                <w:b/>
                <w:bCs/>
                <w:szCs w:val="18"/>
              </w:rPr>
              <w:t>CRITICAL COMMENTS</w:t>
            </w:r>
          </w:p>
        </w:tc>
      </w:tr>
      <w:tr w:rsidR="008E67EA" w:rsidRPr="00A27FD2" w14:paraId="3679A7C6" w14:textId="77777777" w:rsidTr="00FF707A">
        <w:trPr>
          <w:trHeight w:val="841"/>
        </w:trPr>
        <w:tc>
          <w:tcPr>
            <w:tcW w:w="1838" w:type="dxa"/>
          </w:tcPr>
          <w:p w14:paraId="309E437E" w14:textId="77777777" w:rsidR="008E67EA" w:rsidRPr="00382A84" w:rsidRDefault="008E67EA" w:rsidP="00B44A74">
            <w:pPr>
              <w:spacing w:after="120" w:line="240" w:lineRule="exact"/>
              <w:rPr>
                <w:rFonts w:cs="Arial"/>
                <w:bCs/>
                <w:spacing w:val="-2"/>
                <w:w w:val="105"/>
                <w:szCs w:val="18"/>
              </w:rPr>
            </w:pPr>
            <w:r w:rsidRPr="00FF1C37">
              <w:rPr>
                <w:rFonts w:cs="Arial"/>
                <w:bCs/>
                <w:spacing w:val="-2"/>
                <w:w w:val="105"/>
                <w:szCs w:val="18"/>
              </w:rPr>
              <w:t>In and around (within 2 meters) agricultural, commercial, domestic and industrial buildings</w:t>
            </w:r>
          </w:p>
        </w:tc>
        <w:tc>
          <w:tcPr>
            <w:tcW w:w="1418" w:type="dxa"/>
          </w:tcPr>
          <w:p w14:paraId="429018AF" w14:textId="77777777" w:rsidR="008E67EA" w:rsidRPr="006469D5" w:rsidRDefault="008E67EA" w:rsidP="00B44A74">
            <w:pPr>
              <w:spacing w:after="120" w:line="240" w:lineRule="exact"/>
              <w:rPr>
                <w:rFonts w:cs="Arial"/>
                <w:szCs w:val="18"/>
              </w:rPr>
            </w:pPr>
            <w:r w:rsidRPr="006469D5">
              <w:rPr>
                <w:rFonts w:cs="Arial"/>
                <w:bCs/>
                <w:spacing w:val="-2"/>
                <w:w w:val="105"/>
                <w:szCs w:val="18"/>
              </w:rPr>
              <w:t>Rats (</w:t>
            </w:r>
            <w:r w:rsidRPr="006469D5">
              <w:rPr>
                <w:rFonts w:cs="Arial"/>
                <w:bCs/>
                <w:i/>
                <w:iCs/>
                <w:spacing w:val="-2"/>
                <w:w w:val="105"/>
                <w:szCs w:val="18"/>
              </w:rPr>
              <w:t>Rattus norvegius, Rattus rattus</w:t>
            </w:r>
            <w:r w:rsidRPr="006469D5">
              <w:rPr>
                <w:rFonts w:cs="Arial"/>
                <w:bCs/>
                <w:spacing w:val="-2"/>
                <w:w w:val="105"/>
                <w:szCs w:val="18"/>
              </w:rPr>
              <w:t>)</w:t>
            </w:r>
          </w:p>
        </w:tc>
        <w:tc>
          <w:tcPr>
            <w:tcW w:w="1275" w:type="dxa"/>
          </w:tcPr>
          <w:p w14:paraId="2D0FB83C" w14:textId="77777777" w:rsidR="008E67EA" w:rsidRPr="00382A84" w:rsidRDefault="008E67EA" w:rsidP="00B44A74">
            <w:pPr>
              <w:spacing w:after="120" w:line="240" w:lineRule="exact"/>
              <w:rPr>
                <w:rFonts w:cs="Arial"/>
                <w:bCs/>
                <w:spacing w:val="-2"/>
                <w:w w:val="105"/>
                <w:szCs w:val="18"/>
              </w:rPr>
            </w:pPr>
            <w:r>
              <w:rPr>
                <w:rFonts w:cs="Arial"/>
                <w:bCs/>
                <w:spacing w:val="-2"/>
                <w:w w:val="105"/>
                <w:szCs w:val="18"/>
              </w:rPr>
              <w:t>[As per current approved label]</w:t>
            </w:r>
          </w:p>
        </w:tc>
        <w:tc>
          <w:tcPr>
            <w:tcW w:w="4469" w:type="dxa"/>
            <w:vMerge w:val="restart"/>
          </w:tcPr>
          <w:p w14:paraId="4F1B9449" w14:textId="77777777" w:rsidR="008E67EA" w:rsidRDefault="008E67EA" w:rsidP="00B44A74">
            <w:pPr>
              <w:spacing w:after="120" w:line="240" w:lineRule="exact"/>
              <w:rPr>
                <w:rFonts w:cs="Arial"/>
                <w:bCs/>
                <w:spacing w:val="-2"/>
                <w:w w:val="105"/>
                <w:szCs w:val="18"/>
              </w:rPr>
            </w:pPr>
            <w:r>
              <w:rPr>
                <w:rFonts w:cs="Arial"/>
                <w:bCs/>
                <w:spacing w:val="-2"/>
                <w:w w:val="105"/>
                <w:szCs w:val="18"/>
              </w:rPr>
              <w:t xml:space="preserve">Place bait stations in the infested area. </w:t>
            </w:r>
            <w:r w:rsidRPr="00132BFD">
              <w:rPr>
                <w:rFonts w:cs="Arial"/>
                <w:bCs/>
                <w:spacing w:val="-2"/>
                <w:w w:val="105"/>
                <w:szCs w:val="18"/>
              </w:rPr>
              <w:t>Where droppings are seen, inside ceiling cavities, along runs are locations more probably frequented by rodents.</w:t>
            </w:r>
            <w:r>
              <w:rPr>
                <w:rFonts w:cs="Arial"/>
                <w:bCs/>
                <w:spacing w:val="-2"/>
                <w:w w:val="105"/>
                <w:szCs w:val="18"/>
              </w:rPr>
              <w:t xml:space="preserve"> </w:t>
            </w:r>
            <w:r w:rsidRPr="0062097B">
              <w:rPr>
                <w:rFonts w:cs="Arial"/>
                <w:bCs/>
                <w:spacing w:val="-2"/>
                <w:w w:val="105"/>
                <w:szCs w:val="18"/>
              </w:rPr>
              <w:t>DO NOT touch bait.</w:t>
            </w:r>
          </w:p>
          <w:p w14:paraId="7014A117" w14:textId="77777777" w:rsidR="008E67EA" w:rsidRPr="00EC163C" w:rsidRDefault="008E67EA" w:rsidP="00B44A74">
            <w:pPr>
              <w:spacing w:after="120" w:line="240" w:lineRule="exact"/>
              <w:rPr>
                <w:rFonts w:cs="Arial"/>
                <w:bCs/>
                <w:spacing w:val="-2"/>
                <w:w w:val="105"/>
                <w:szCs w:val="18"/>
              </w:rPr>
            </w:pPr>
            <w:r w:rsidRPr="00EC163C">
              <w:rPr>
                <w:rFonts w:cs="Arial"/>
                <w:bCs/>
                <w:spacing w:val="-2"/>
                <w:w w:val="105"/>
                <w:szCs w:val="18"/>
              </w:rPr>
              <w:t>The feeding behaviour of rats and mice is slightly different. Rats feed in large quantities in few locations whereas mice are more erratic and tend to feed in different places at different times.</w:t>
            </w:r>
          </w:p>
          <w:p w14:paraId="6274D0C3" w14:textId="77777777" w:rsidR="008E67EA" w:rsidRPr="00382A84" w:rsidRDefault="008E67EA" w:rsidP="00B44A74">
            <w:pPr>
              <w:spacing w:after="120" w:line="240" w:lineRule="exact"/>
              <w:rPr>
                <w:rFonts w:cs="Arial"/>
                <w:bCs/>
                <w:spacing w:val="-2"/>
                <w:w w:val="105"/>
                <w:szCs w:val="18"/>
              </w:rPr>
            </w:pPr>
            <w:r w:rsidRPr="00EC163C">
              <w:rPr>
                <w:rFonts w:cs="Arial"/>
                <w:bCs/>
                <w:spacing w:val="-2"/>
                <w:w w:val="105"/>
                <w:szCs w:val="18"/>
              </w:rPr>
              <w:t>DO NOT exceed 9 m between bait stations for rats and 3 m for mice.</w:t>
            </w:r>
          </w:p>
        </w:tc>
      </w:tr>
      <w:tr w:rsidR="008E67EA" w:rsidRPr="00A27FD2" w14:paraId="0926677E" w14:textId="77777777" w:rsidTr="00FF707A">
        <w:trPr>
          <w:trHeight w:val="841"/>
        </w:trPr>
        <w:tc>
          <w:tcPr>
            <w:tcW w:w="1838" w:type="dxa"/>
          </w:tcPr>
          <w:p w14:paraId="74263616" w14:textId="77777777" w:rsidR="008E67EA" w:rsidRPr="00382A84" w:rsidRDefault="008E67EA" w:rsidP="00B44A74">
            <w:pPr>
              <w:spacing w:after="120" w:line="240" w:lineRule="exact"/>
              <w:rPr>
                <w:rFonts w:cs="Arial"/>
                <w:bCs/>
                <w:spacing w:val="-2"/>
                <w:w w:val="105"/>
                <w:szCs w:val="18"/>
              </w:rPr>
            </w:pPr>
            <w:r w:rsidRPr="00FF1C37">
              <w:rPr>
                <w:rFonts w:cs="Arial"/>
                <w:bCs/>
                <w:spacing w:val="-2"/>
                <w:w w:val="105"/>
                <w:szCs w:val="18"/>
              </w:rPr>
              <w:t>In agricultural, commercial, domestic and industrial buildings</w:t>
            </w:r>
          </w:p>
        </w:tc>
        <w:tc>
          <w:tcPr>
            <w:tcW w:w="1418" w:type="dxa"/>
          </w:tcPr>
          <w:p w14:paraId="78F5DE0E" w14:textId="77777777" w:rsidR="008E67EA" w:rsidRPr="00485D88" w:rsidRDefault="008E67EA" w:rsidP="00B44A74">
            <w:pPr>
              <w:spacing w:after="120" w:line="240" w:lineRule="exact"/>
              <w:rPr>
                <w:rFonts w:cs="Arial"/>
                <w:bCs/>
                <w:i/>
                <w:iCs/>
                <w:spacing w:val="-2"/>
                <w:w w:val="105"/>
                <w:szCs w:val="18"/>
              </w:rPr>
            </w:pPr>
            <w:r w:rsidRPr="006469D5">
              <w:rPr>
                <w:rFonts w:cs="Arial"/>
                <w:bCs/>
                <w:spacing w:val="-2"/>
                <w:w w:val="105"/>
                <w:szCs w:val="18"/>
              </w:rPr>
              <w:t>Mice (</w:t>
            </w:r>
            <w:r w:rsidRPr="006469D5">
              <w:rPr>
                <w:rFonts w:cs="Arial"/>
                <w:bCs/>
                <w:i/>
                <w:iCs/>
                <w:spacing w:val="-2"/>
                <w:w w:val="105"/>
                <w:szCs w:val="18"/>
              </w:rPr>
              <w:t>Mus musculus</w:t>
            </w:r>
            <w:r w:rsidRPr="006469D5">
              <w:rPr>
                <w:rFonts w:cs="Arial"/>
                <w:bCs/>
                <w:spacing w:val="-2"/>
                <w:w w:val="105"/>
                <w:szCs w:val="18"/>
              </w:rPr>
              <w:t>)</w:t>
            </w:r>
          </w:p>
        </w:tc>
        <w:tc>
          <w:tcPr>
            <w:tcW w:w="1275" w:type="dxa"/>
          </w:tcPr>
          <w:p w14:paraId="0B54A6DD" w14:textId="77777777" w:rsidR="008E67EA" w:rsidRPr="00382A84" w:rsidRDefault="008E67EA" w:rsidP="00B44A74">
            <w:pPr>
              <w:spacing w:after="120" w:line="240" w:lineRule="exact"/>
              <w:rPr>
                <w:rFonts w:cs="Arial"/>
                <w:bCs/>
                <w:spacing w:val="-2"/>
                <w:w w:val="105"/>
                <w:szCs w:val="18"/>
              </w:rPr>
            </w:pPr>
            <w:r>
              <w:rPr>
                <w:rFonts w:cs="Arial"/>
                <w:bCs/>
                <w:spacing w:val="-2"/>
                <w:w w:val="105"/>
                <w:szCs w:val="18"/>
              </w:rPr>
              <w:t>[As per current approved label]</w:t>
            </w:r>
          </w:p>
        </w:tc>
        <w:tc>
          <w:tcPr>
            <w:tcW w:w="4469" w:type="dxa"/>
            <w:vMerge/>
          </w:tcPr>
          <w:p w14:paraId="499235CA" w14:textId="77777777" w:rsidR="008E67EA" w:rsidRPr="00382A84" w:rsidRDefault="008E67EA" w:rsidP="00B44A74">
            <w:pPr>
              <w:ind w:firstLine="720"/>
              <w:rPr>
                <w:rFonts w:cs="Arial"/>
                <w:bCs/>
                <w:spacing w:val="-2"/>
                <w:w w:val="105"/>
                <w:szCs w:val="18"/>
              </w:rPr>
            </w:pPr>
          </w:p>
        </w:tc>
      </w:tr>
    </w:tbl>
    <w:p w14:paraId="215D0FD6" w14:textId="77777777" w:rsidR="008E67EA" w:rsidRDefault="008E67EA" w:rsidP="008E67EA">
      <w:pPr>
        <w:spacing w:before="240" w:line="280" w:lineRule="exact"/>
        <w:rPr>
          <w:rFonts w:cs="Arial"/>
          <w:b/>
          <w:bCs/>
          <w:sz w:val="20"/>
          <w:szCs w:val="20"/>
        </w:rPr>
      </w:pPr>
      <w:r>
        <w:rPr>
          <w:rFonts w:cs="Arial"/>
          <w:b/>
          <w:bCs/>
          <w:sz w:val="20"/>
          <w:szCs w:val="20"/>
        </w:rPr>
        <w:t>Baiting strategy</w:t>
      </w:r>
    </w:p>
    <w:p w14:paraId="0A354E07" w14:textId="640F97E8" w:rsidR="008E67EA" w:rsidRDefault="008E67EA" w:rsidP="008E67EA">
      <w:pPr>
        <w:spacing w:line="280" w:lineRule="exact"/>
        <w:rPr>
          <w:rFonts w:cs="Arial"/>
          <w:sz w:val="20"/>
          <w:szCs w:val="20"/>
        </w:rPr>
      </w:pPr>
      <w:r w:rsidRPr="00EC163C">
        <w:rPr>
          <w:rFonts w:cs="Arial"/>
          <w:sz w:val="20"/>
          <w:szCs w:val="20"/>
        </w:rPr>
        <w:t>Eliminate as far as practicable all alternative food sources.</w:t>
      </w:r>
    </w:p>
    <w:p w14:paraId="39FF0862" w14:textId="77777777" w:rsidR="008E67EA" w:rsidRPr="00D42DB3" w:rsidRDefault="008E67EA" w:rsidP="008E67EA">
      <w:pPr>
        <w:spacing w:line="280" w:lineRule="exact"/>
        <w:rPr>
          <w:rFonts w:eastAsia="Calibri" w:cs="Arial"/>
          <w:sz w:val="20"/>
          <w:szCs w:val="20"/>
          <w:bdr w:val="none" w:sz="0" w:space="0" w:color="auto" w:frame="1"/>
          <w:lang w:val="en-GB" w:eastAsia="en-AU"/>
        </w:rPr>
      </w:pPr>
      <w:r w:rsidRPr="00D42DB3">
        <w:rPr>
          <w:rFonts w:eastAsia="Calibri" w:cs="Arial"/>
          <w:sz w:val="20"/>
          <w:szCs w:val="20"/>
          <w:bdr w:val="none" w:sz="0" w:space="0" w:color="auto" w:frame="1"/>
          <w:lang w:val="en-GB" w:eastAsia="en-AU"/>
        </w:rPr>
        <w:t>Survey site prior to treatment, including assessment of the extent of infestation and identification of any indications of the presence of non-target animals.</w:t>
      </w:r>
      <w:r w:rsidRPr="005C7493">
        <w:rPr>
          <w:rFonts w:eastAsia="Calibri" w:cs="Arial"/>
          <w:sz w:val="20"/>
          <w:szCs w:val="20"/>
          <w:bdr w:val="none" w:sz="0" w:space="0" w:color="auto" w:frame="1"/>
          <w:lang w:val="en-GB" w:eastAsia="en-AU"/>
        </w:rPr>
        <w:t xml:space="preserve"> </w:t>
      </w:r>
      <w:r w:rsidRPr="00F900AC">
        <w:rPr>
          <w:rFonts w:cs="Arial"/>
          <w:sz w:val="20"/>
          <w:szCs w:val="20"/>
        </w:rPr>
        <w:t>Record the number and locations of bait stations for the purpose of inspection, replacement and later removal.</w:t>
      </w:r>
    </w:p>
    <w:p w14:paraId="07F16708" w14:textId="77777777" w:rsidR="008E67EA" w:rsidRPr="00EC163C" w:rsidRDefault="008E67EA" w:rsidP="008E67EA">
      <w:pPr>
        <w:spacing w:line="280" w:lineRule="exact"/>
        <w:rPr>
          <w:rFonts w:cs="Arial"/>
          <w:sz w:val="20"/>
          <w:szCs w:val="20"/>
        </w:rPr>
      </w:pPr>
      <w:r w:rsidRPr="00EC163C">
        <w:rPr>
          <w:rFonts w:cs="Arial"/>
          <w:sz w:val="20"/>
          <w:szCs w:val="20"/>
        </w:rPr>
        <w:t>Inspect bait stations after 3 days. Replace eaten baits. Where a high level of consumption is noticed, place more baits. Remove baits in new locations where there has been no take. Inspect again 3 days later and then once a week until feeding ceases. Normally treatment takes 2 to 3 weeks.</w:t>
      </w:r>
    </w:p>
    <w:p w14:paraId="530A3FB3" w14:textId="77777777" w:rsidR="008E67EA" w:rsidRPr="00EC163C" w:rsidRDefault="008E67EA" w:rsidP="008E67EA">
      <w:pPr>
        <w:spacing w:line="280" w:lineRule="exact"/>
        <w:rPr>
          <w:rFonts w:eastAsia="Calibri" w:cs="Arial"/>
          <w:sz w:val="20"/>
          <w:szCs w:val="20"/>
          <w:bdr w:val="none" w:sz="0" w:space="0" w:color="auto" w:frame="1"/>
          <w:lang w:val="en-GB" w:eastAsia="en-AU"/>
        </w:rPr>
      </w:pPr>
      <w:r w:rsidRPr="00EC163C">
        <w:rPr>
          <w:rFonts w:eastAsia="Calibri" w:cs="Arial"/>
          <w:sz w:val="20"/>
          <w:szCs w:val="20"/>
          <w:bdr w:val="none" w:sz="0" w:space="0" w:color="auto" w:frame="1"/>
          <w:lang w:val="en-GB" w:eastAsia="en-AU"/>
        </w:rPr>
        <w:t>DO NOT use the product beyond 35 days without an evaluation of the state of the infestation and of the efficacy of the treatment.</w:t>
      </w:r>
      <w:r w:rsidRPr="00EC163C">
        <w:rPr>
          <w:rFonts w:cs="Arial"/>
          <w:sz w:val="20"/>
          <w:szCs w:val="20"/>
        </w:rPr>
        <w:t xml:space="preserve"> </w:t>
      </w:r>
      <w:r w:rsidRPr="00EC163C">
        <w:rPr>
          <w:rFonts w:eastAsia="Calibri" w:cs="Arial"/>
          <w:sz w:val="20"/>
          <w:szCs w:val="20"/>
          <w:bdr w:val="none" w:sz="0" w:space="0" w:color="auto" w:frame="1"/>
          <w:lang w:val="en-GB" w:eastAsia="en-AU"/>
        </w:rPr>
        <w:t>Remove all uneaten bait at the end of treatment.</w:t>
      </w:r>
    </w:p>
    <w:p w14:paraId="4B3A8CCB" w14:textId="77777777" w:rsidR="008E67EA" w:rsidRDefault="008E67EA" w:rsidP="008E67EA">
      <w:pPr>
        <w:spacing w:line="280" w:lineRule="exact"/>
        <w:rPr>
          <w:rFonts w:cs="Arial"/>
          <w:sz w:val="20"/>
          <w:szCs w:val="20"/>
        </w:rPr>
      </w:pPr>
      <w:r w:rsidRPr="00EC163C">
        <w:rPr>
          <w:rFonts w:cs="Arial"/>
          <w:sz w:val="20"/>
          <w:szCs w:val="20"/>
        </w:rPr>
        <w:t>If reinfestation should occur, you can repeat treatment once. For further treatments, it is strongly advised to alternate with a product containing a different active constituent to avoid the development of genetic resistance.</w:t>
      </w:r>
    </w:p>
    <w:p w14:paraId="0378A2A0" w14:textId="4AD6F979" w:rsidR="008E67EA" w:rsidRDefault="008E67EA" w:rsidP="00FF707A">
      <w:pPr>
        <w:spacing w:line="280" w:lineRule="exact"/>
        <w:rPr>
          <w:rFonts w:ascii="Franklin Gothic Medium" w:eastAsia="Arial Unicode MS" w:hAnsi="Franklin Gothic Medium"/>
          <w:bCs/>
          <w:iCs/>
          <w:bdr w:val="none" w:sz="0" w:space="0" w:color="auto" w:frame="1"/>
          <w:lang w:val="en-GB" w:eastAsia="en-AU"/>
        </w:rPr>
      </w:pPr>
      <w:r w:rsidRPr="00FF36BF">
        <w:rPr>
          <w:rFonts w:cs="Arial"/>
          <w:b/>
          <w:bCs/>
          <w:sz w:val="20"/>
          <w:szCs w:val="20"/>
        </w:rPr>
        <w:t>NOT TO BE USED FOR ANY PURPOSE, OR IN ANY MANNER, CONTRARY TO THIS LABEL UNLESS AUTHORISED UNDER APPROPRIATE LEGISLATION.</w:t>
      </w:r>
      <w:r>
        <w:rPr>
          <w:rFonts w:ascii="Franklin Gothic Medium" w:eastAsia="Arial Unicode MS" w:hAnsi="Franklin Gothic Medium"/>
          <w:bCs/>
          <w:iCs/>
          <w:bdr w:val="none" w:sz="0" w:space="0" w:color="auto" w:frame="1"/>
          <w:lang w:val="en-GB" w:eastAsia="en-AU"/>
        </w:rPr>
        <w:br w:type="page"/>
      </w:r>
    </w:p>
    <w:p w14:paraId="460396D0" w14:textId="77777777" w:rsidR="008E67EA" w:rsidRDefault="008E67EA" w:rsidP="008E67EA">
      <w:pPr>
        <w:keepNext/>
        <w:keepLines/>
        <w:spacing w:before="400" w:after="240" w:line="280" w:lineRule="exact"/>
        <w:outlineLvl w:val="1"/>
        <w:rPr>
          <w:rFonts w:ascii="Franklin Gothic Medium" w:eastAsia="Arial Unicode MS" w:hAnsi="Franklin Gothic Medium"/>
          <w:bCs/>
          <w:iCs/>
          <w:bdr w:val="none" w:sz="0" w:space="0" w:color="auto" w:frame="1"/>
          <w:lang w:val="en-GB" w:eastAsia="en-AU"/>
        </w:rPr>
      </w:pPr>
      <w:r w:rsidRPr="00FF36BF">
        <w:rPr>
          <w:rFonts w:ascii="Franklin Gothic Medium" w:eastAsia="Arial Unicode MS" w:hAnsi="Franklin Gothic Medium"/>
          <w:bCs/>
          <w:iCs/>
          <w:bdr w:val="none" w:sz="0" w:space="0" w:color="auto" w:frame="1"/>
          <w:lang w:val="en-GB" w:eastAsia="en-AU"/>
        </w:rPr>
        <w:lastRenderedPageBreak/>
        <w:t>Commercial</w:t>
      </w:r>
      <w:r>
        <w:rPr>
          <w:rFonts w:ascii="Franklin Gothic Medium" w:eastAsia="Arial Unicode MS" w:hAnsi="Franklin Gothic Medium"/>
          <w:bCs/>
          <w:iCs/>
          <w:bdr w:val="none" w:sz="0" w:space="0" w:color="auto" w:frame="1"/>
          <w:lang w:val="en-GB" w:eastAsia="en-AU"/>
        </w:rPr>
        <w:t xml:space="preserve"> pest-control product:</w:t>
      </w:r>
      <w:r w:rsidRPr="00FF36BF">
        <w:rPr>
          <w:rFonts w:ascii="Franklin Gothic Medium" w:eastAsia="Arial Unicode MS" w:hAnsi="Franklin Gothic Medium"/>
          <w:bCs/>
          <w:iCs/>
          <w:bdr w:val="none" w:sz="0" w:space="0" w:color="auto" w:frame="1"/>
          <w:lang w:val="en-GB" w:eastAsia="en-AU"/>
        </w:rPr>
        <w:t xml:space="preserve"> </w:t>
      </w:r>
      <w:r w:rsidRPr="00DA343B">
        <w:rPr>
          <w:rFonts w:ascii="Franklin Gothic Medium" w:eastAsia="Arial Unicode MS" w:hAnsi="Franklin Gothic Medium"/>
          <w:bCs/>
          <w:iCs/>
          <w:bdr w:val="none" w:sz="0" w:space="0" w:color="auto" w:frame="1"/>
          <w:lang w:val="en-GB" w:eastAsia="en-AU"/>
        </w:rPr>
        <w:t>RB 0.05 g/kg or less in sachet or place pack</w:t>
      </w:r>
    </w:p>
    <w:p w14:paraId="12BD765E" w14:textId="77777777" w:rsidR="008E67EA"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t xml:space="preserve">Template Label </w:t>
      </w:r>
      <w:r>
        <w:rPr>
          <w:rFonts w:cs="Arial"/>
          <w:b/>
          <w:bCs/>
          <w:sz w:val="20"/>
          <w:szCs w:val="20"/>
          <w:bdr w:val="none" w:sz="0" w:space="0" w:color="auto" w:frame="1"/>
          <w:lang w:val="en-GB" w:eastAsia="en-AU"/>
        </w:rPr>
        <w:t>11a</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0F5907" w14:paraId="268FC15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972AE99" w14:textId="77777777" w:rsidR="008E67EA" w:rsidRPr="000F5907" w:rsidRDefault="008E67EA" w:rsidP="00B44A74">
            <w:pPr>
              <w:spacing w:line="280" w:lineRule="exact"/>
              <w:rPr>
                <w:rFonts w:cs="Arial"/>
                <w:sz w:val="20"/>
                <w:szCs w:val="20"/>
              </w:rPr>
            </w:pPr>
            <w:r w:rsidRPr="000F5907">
              <w:rPr>
                <w:rFonts w:cs="Arial"/>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0FA0CAC6" w14:textId="77777777" w:rsidR="008E67EA" w:rsidRPr="000F5907" w:rsidRDefault="008E67EA" w:rsidP="00B44A74">
            <w:pPr>
              <w:spacing w:line="280" w:lineRule="exact"/>
              <w:rPr>
                <w:rFonts w:cs="Arial"/>
                <w:sz w:val="20"/>
                <w:szCs w:val="20"/>
              </w:rPr>
            </w:pPr>
            <w:r w:rsidRPr="000F5907">
              <w:rPr>
                <w:rFonts w:cs="Arial"/>
                <w:sz w:val="20"/>
                <w:szCs w:val="20"/>
              </w:rPr>
              <w:t>[INSERT LABEL NAME]</w:t>
            </w:r>
            <w:r w:rsidRPr="000F5907" w:rsidDel="00986D6C">
              <w:rPr>
                <w:rFonts w:cs="Arial"/>
                <w:sz w:val="20"/>
                <w:szCs w:val="20"/>
              </w:rPr>
              <w:t xml:space="preserve"> </w:t>
            </w:r>
          </w:p>
        </w:tc>
      </w:tr>
      <w:tr w:rsidR="008E67EA" w:rsidRPr="000F5907" w14:paraId="2B80F26E" w14:textId="77777777" w:rsidTr="00B44A74">
        <w:trPr>
          <w:jc w:val="center"/>
        </w:trPr>
        <w:tc>
          <w:tcPr>
            <w:tcW w:w="2415" w:type="dxa"/>
            <w:tcBorders>
              <w:top w:val="single" w:sz="4" w:space="0" w:color="auto"/>
              <w:left w:val="nil"/>
              <w:bottom w:val="single" w:sz="4" w:space="0" w:color="auto"/>
              <w:right w:val="nil"/>
            </w:tcBorders>
          </w:tcPr>
          <w:p w14:paraId="73F8A494" w14:textId="77777777" w:rsidR="008E67EA" w:rsidRPr="000F590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4CEC5A4" w14:textId="77777777" w:rsidR="008E67EA" w:rsidRPr="000F5907" w:rsidRDefault="008E67EA" w:rsidP="00B44A74">
            <w:pPr>
              <w:spacing w:line="280" w:lineRule="exact"/>
              <w:rPr>
                <w:rFonts w:cs="Arial"/>
                <w:sz w:val="20"/>
                <w:szCs w:val="20"/>
              </w:rPr>
            </w:pPr>
          </w:p>
        </w:tc>
      </w:tr>
      <w:tr w:rsidR="008E67EA" w:rsidRPr="000F5907" w14:paraId="1CF4AB4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CE1353D" w14:textId="77777777" w:rsidR="008E67EA" w:rsidRPr="000F5907" w:rsidRDefault="008E67EA" w:rsidP="00B44A74">
            <w:pPr>
              <w:spacing w:line="280" w:lineRule="exact"/>
              <w:rPr>
                <w:rFonts w:cs="Arial"/>
                <w:sz w:val="20"/>
                <w:szCs w:val="20"/>
              </w:rPr>
            </w:pPr>
            <w:r w:rsidRPr="000F5907">
              <w:rPr>
                <w:rFonts w:cs="Arial"/>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36C41F61" w14:textId="77777777" w:rsidR="008E67EA" w:rsidRPr="000F5907" w:rsidRDefault="008E67EA" w:rsidP="00B44A74">
            <w:pPr>
              <w:spacing w:line="280" w:lineRule="exact"/>
              <w:rPr>
                <w:rFonts w:cs="Arial"/>
                <w:sz w:val="20"/>
                <w:szCs w:val="20"/>
              </w:rPr>
            </w:pPr>
            <w:r w:rsidRPr="000F5907">
              <w:rPr>
                <w:rFonts w:cs="Arial"/>
                <w:sz w:val="20"/>
                <w:szCs w:val="20"/>
              </w:rPr>
              <w:t>POISON</w:t>
            </w:r>
            <w:r w:rsidRPr="000F5907">
              <w:rPr>
                <w:rFonts w:cs="Arial"/>
                <w:sz w:val="20"/>
                <w:szCs w:val="20"/>
              </w:rPr>
              <w:br/>
              <w:t>KEEP OUT OF REACH OF CHILDREN</w:t>
            </w:r>
            <w:r w:rsidRPr="000F5907">
              <w:rPr>
                <w:rFonts w:cs="Arial"/>
                <w:sz w:val="20"/>
                <w:szCs w:val="20"/>
              </w:rPr>
              <w:br/>
              <w:t>READ SAFETY DIRECTIONS BEFORE OPENING OR USING</w:t>
            </w:r>
          </w:p>
        </w:tc>
      </w:tr>
      <w:tr w:rsidR="008E67EA" w:rsidRPr="000F5907" w14:paraId="3EC1B822" w14:textId="77777777" w:rsidTr="00B44A74">
        <w:trPr>
          <w:jc w:val="center"/>
        </w:trPr>
        <w:tc>
          <w:tcPr>
            <w:tcW w:w="2415" w:type="dxa"/>
            <w:tcBorders>
              <w:top w:val="single" w:sz="4" w:space="0" w:color="auto"/>
              <w:left w:val="nil"/>
              <w:bottom w:val="single" w:sz="4" w:space="0" w:color="auto"/>
              <w:right w:val="nil"/>
            </w:tcBorders>
          </w:tcPr>
          <w:p w14:paraId="715A7603" w14:textId="77777777" w:rsidR="008E67EA" w:rsidRPr="000F590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66E4109" w14:textId="77777777" w:rsidR="008E67EA" w:rsidRPr="000F5907" w:rsidRDefault="008E67EA" w:rsidP="00B44A74">
            <w:pPr>
              <w:spacing w:line="280" w:lineRule="exact"/>
              <w:rPr>
                <w:rFonts w:cs="Arial"/>
                <w:sz w:val="20"/>
                <w:szCs w:val="20"/>
              </w:rPr>
            </w:pPr>
          </w:p>
        </w:tc>
      </w:tr>
      <w:tr w:rsidR="008E67EA" w:rsidRPr="000F5907" w14:paraId="323BEB4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8C1BD3B" w14:textId="77777777" w:rsidR="008E67EA" w:rsidRPr="000F5907" w:rsidRDefault="008E67EA" w:rsidP="00B44A74">
            <w:pPr>
              <w:spacing w:line="280" w:lineRule="exact"/>
              <w:rPr>
                <w:rFonts w:cs="Arial"/>
                <w:sz w:val="20"/>
                <w:szCs w:val="20"/>
              </w:rPr>
            </w:pPr>
            <w:r w:rsidRPr="000F5907">
              <w:rPr>
                <w:rFonts w:cs="Arial"/>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2B8541D9" w14:textId="77777777" w:rsidR="008E67EA" w:rsidRPr="000F5907" w:rsidRDefault="008E67EA" w:rsidP="00B44A74">
            <w:pPr>
              <w:spacing w:line="280" w:lineRule="exact"/>
              <w:rPr>
                <w:rFonts w:cs="Arial"/>
                <w:sz w:val="20"/>
                <w:szCs w:val="20"/>
              </w:rPr>
            </w:pPr>
            <w:r w:rsidRPr="000F5907">
              <w:rPr>
                <w:rFonts w:cs="Arial"/>
                <w:sz w:val="20"/>
                <w:szCs w:val="20"/>
              </w:rPr>
              <w:t>ACTIVE CONSTITUENT: 0.05 g/kg BROMADIOLONE</w:t>
            </w:r>
          </w:p>
        </w:tc>
      </w:tr>
      <w:tr w:rsidR="008E67EA" w:rsidRPr="000F5907" w14:paraId="5A72E98D" w14:textId="77777777" w:rsidTr="00B44A74">
        <w:trPr>
          <w:jc w:val="center"/>
        </w:trPr>
        <w:tc>
          <w:tcPr>
            <w:tcW w:w="2415" w:type="dxa"/>
            <w:tcBorders>
              <w:top w:val="single" w:sz="4" w:space="0" w:color="auto"/>
              <w:left w:val="nil"/>
              <w:bottom w:val="single" w:sz="4" w:space="0" w:color="auto"/>
              <w:right w:val="nil"/>
            </w:tcBorders>
          </w:tcPr>
          <w:p w14:paraId="3FBD437B" w14:textId="77777777" w:rsidR="008E67EA" w:rsidRPr="000F590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AD28CDD" w14:textId="77777777" w:rsidR="008E67EA" w:rsidRPr="000F5907" w:rsidRDefault="008E67EA" w:rsidP="00B44A74">
            <w:pPr>
              <w:spacing w:line="280" w:lineRule="exact"/>
              <w:rPr>
                <w:rFonts w:cs="Arial"/>
                <w:sz w:val="20"/>
                <w:szCs w:val="20"/>
              </w:rPr>
            </w:pPr>
          </w:p>
        </w:tc>
      </w:tr>
      <w:tr w:rsidR="008E67EA" w:rsidRPr="000F5907" w14:paraId="55C5FA3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576BC50" w14:textId="77777777" w:rsidR="008E67EA" w:rsidRPr="000F5907" w:rsidRDefault="008E67EA" w:rsidP="00B44A74">
            <w:pPr>
              <w:spacing w:line="280" w:lineRule="exact"/>
              <w:rPr>
                <w:rFonts w:cs="Arial"/>
                <w:sz w:val="20"/>
                <w:szCs w:val="20"/>
              </w:rPr>
            </w:pPr>
            <w:r w:rsidRPr="000F5907">
              <w:rPr>
                <w:rFonts w:cs="Arial"/>
                <w:sz w:val="20"/>
                <w:szCs w:val="20"/>
              </w:rPr>
              <w:t>Mode of Action:</w:t>
            </w:r>
          </w:p>
        </w:tc>
        <w:tc>
          <w:tcPr>
            <w:tcW w:w="7755" w:type="dxa"/>
            <w:tcBorders>
              <w:top w:val="single" w:sz="4" w:space="0" w:color="auto"/>
              <w:left w:val="single" w:sz="4" w:space="0" w:color="auto"/>
              <w:bottom w:val="single" w:sz="4" w:space="0" w:color="auto"/>
              <w:right w:val="single" w:sz="4" w:space="0" w:color="auto"/>
            </w:tcBorders>
          </w:tcPr>
          <w:p w14:paraId="372306BB" w14:textId="77777777" w:rsidR="008E67EA" w:rsidRPr="000F5907" w:rsidRDefault="008E67EA" w:rsidP="00B44A74">
            <w:pPr>
              <w:spacing w:line="280" w:lineRule="exact"/>
              <w:jc w:val="both"/>
              <w:rPr>
                <w:rFonts w:cs="Arial"/>
                <w:sz w:val="20"/>
                <w:szCs w:val="20"/>
              </w:rPr>
            </w:pPr>
          </w:p>
        </w:tc>
      </w:tr>
      <w:tr w:rsidR="008E67EA" w:rsidRPr="000F5907" w14:paraId="03326B8D" w14:textId="77777777" w:rsidTr="00B44A74">
        <w:trPr>
          <w:jc w:val="center"/>
        </w:trPr>
        <w:tc>
          <w:tcPr>
            <w:tcW w:w="2415" w:type="dxa"/>
            <w:tcBorders>
              <w:top w:val="single" w:sz="4" w:space="0" w:color="auto"/>
              <w:left w:val="nil"/>
              <w:bottom w:val="single" w:sz="4" w:space="0" w:color="auto"/>
              <w:right w:val="nil"/>
            </w:tcBorders>
          </w:tcPr>
          <w:p w14:paraId="271CF85C" w14:textId="77777777" w:rsidR="008E67EA" w:rsidRPr="000F590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D7095E0" w14:textId="77777777" w:rsidR="008E67EA" w:rsidRPr="000F5907" w:rsidRDefault="008E67EA" w:rsidP="00B44A74">
            <w:pPr>
              <w:spacing w:line="280" w:lineRule="exact"/>
              <w:rPr>
                <w:rFonts w:cs="Arial"/>
                <w:sz w:val="20"/>
                <w:szCs w:val="20"/>
              </w:rPr>
            </w:pPr>
          </w:p>
        </w:tc>
      </w:tr>
      <w:tr w:rsidR="008E67EA" w:rsidRPr="000F5907" w14:paraId="6B116F4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054A40A" w14:textId="77777777" w:rsidR="008E67EA" w:rsidRPr="000F5907" w:rsidRDefault="008E67EA" w:rsidP="00B44A74">
            <w:pPr>
              <w:spacing w:line="280" w:lineRule="exact"/>
              <w:rPr>
                <w:rFonts w:cs="Arial"/>
                <w:sz w:val="20"/>
                <w:szCs w:val="20"/>
              </w:rPr>
            </w:pPr>
            <w:r w:rsidRPr="000F5907">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0A25E6BC" w14:textId="77777777" w:rsidR="008E67EA" w:rsidRPr="000F5907" w:rsidRDefault="008E67EA" w:rsidP="00B44A74">
            <w:pPr>
              <w:spacing w:line="280" w:lineRule="exact"/>
              <w:rPr>
                <w:rFonts w:cs="Arial"/>
                <w:sz w:val="20"/>
                <w:szCs w:val="20"/>
              </w:rPr>
            </w:pPr>
            <w:r w:rsidRPr="000F5907">
              <w:rPr>
                <w:rFonts w:cs="Arial"/>
                <w:color w:val="000000"/>
                <w:sz w:val="20"/>
                <w:szCs w:val="20"/>
              </w:rPr>
              <w:t>For control of mice in agricultural</w:t>
            </w:r>
            <w:r>
              <w:rPr>
                <w:rFonts w:cs="Arial"/>
                <w:color w:val="000000"/>
                <w:sz w:val="20"/>
                <w:szCs w:val="20"/>
              </w:rPr>
              <w:t xml:space="preserve">, </w:t>
            </w:r>
            <w:r w:rsidRPr="000F5907">
              <w:rPr>
                <w:rFonts w:cs="Arial"/>
                <w:color w:val="000000"/>
                <w:sz w:val="20"/>
                <w:szCs w:val="20"/>
              </w:rPr>
              <w:t>commercial</w:t>
            </w:r>
            <w:r>
              <w:rPr>
                <w:rFonts w:cs="Arial"/>
                <w:color w:val="000000"/>
                <w:sz w:val="20"/>
                <w:szCs w:val="20"/>
              </w:rPr>
              <w:t>,</w:t>
            </w:r>
            <w:r w:rsidRPr="000F5907">
              <w:rPr>
                <w:rFonts w:cs="Arial"/>
                <w:color w:val="000000"/>
                <w:sz w:val="20"/>
                <w:szCs w:val="20"/>
              </w:rPr>
              <w:t xml:space="preserve"> domestic and industrial</w:t>
            </w:r>
            <w:r>
              <w:rPr>
                <w:rFonts w:cs="Arial"/>
                <w:color w:val="000000"/>
                <w:sz w:val="20"/>
                <w:szCs w:val="20"/>
              </w:rPr>
              <w:t xml:space="preserve"> </w:t>
            </w:r>
            <w:r w:rsidRPr="000F5907">
              <w:rPr>
                <w:rFonts w:cs="Arial"/>
                <w:color w:val="000000"/>
                <w:sz w:val="20"/>
                <w:szCs w:val="20"/>
              </w:rPr>
              <w:t>buildings and rats in and around agricultural</w:t>
            </w:r>
            <w:r>
              <w:rPr>
                <w:rFonts w:cs="Arial"/>
                <w:color w:val="000000"/>
                <w:sz w:val="20"/>
                <w:szCs w:val="20"/>
              </w:rPr>
              <w:t xml:space="preserve">, </w:t>
            </w:r>
            <w:r w:rsidRPr="000F5907">
              <w:rPr>
                <w:rFonts w:cs="Arial"/>
                <w:color w:val="000000"/>
                <w:sz w:val="20"/>
                <w:szCs w:val="20"/>
              </w:rPr>
              <w:t>commercial</w:t>
            </w:r>
            <w:r>
              <w:rPr>
                <w:rFonts w:cs="Arial"/>
                <w:color w:val="000000"/>
                <w:sz w:val="20"/>
                <w:szCs w:val="20"/>
              </w:rPr>
              <w:t>,</w:t>
            </w:r>
            <w:r w:rsidRPr="000F5907">
              <w:rPr>
                <w:rFonts w:cs="Arial"/>
                <w:color w:val="000000"/>
                <w:sz w:val="20"/>
                <w:szCs w:val="20"/>
              </w:rPr>
              <w:t xml:space="preserve"> domestic and industrial</w:t>
            </w:r>
            <w:r>
              <w:rPr>
                <w:rFonts w:cs="Arial"/>
                <w:color w:val="000000"/>
                <w:sz w:val="20"/>
                <w:szCs w:val="20"/>
              </w:rPr>
              <w:t xml:space="preserve"> </w:t>
            </w:r>
            <w:r w:rsidRPr="000F5907">
              <w:rPr>
                <w:rFonts w:cs="Arial"/>
                <w:color w:val="000000"/>
                <w:sz w:val="20"/>
                <w:szCs w:val="20"/>
              </w:rPr>
              <w:t xml:space="preserve">buildings. </w:t>
            </w:r>
          </w:p>
        </w:tc>
      </w:tr>
      <w:tr w:rsidR="008E67EA" w:rsidRPr="000F5907" w14:paraId="0F751444" w14:textId="77777777" w:rsidTr="00B44A74">
        <w:trPr>
          <w:jc w:val="center"/>
        </w:trPr>
        <w:tc>
          <w:tcPr>
            <w:tcW w:w="2415" w:type="dxa"/>
            <w:tcBorders>
              <w:top w:val="single" w:sz="4" w:space="0" w:color="auto"/>
              <w:left w:val="nil"/>
              <w:bottom w:val="single" w:sz="4" w:space="0" w:color="auto"/>
              <w:right w:val="nil"/>
            </w:tcBorders>
          </w:tcPr>
          <w:p w14:paraId="16E69405" w14:textId="77777777" w:rsidR="008E67EA" w:rsidRPr="000F590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6C9314D" w14:textId="77777777" w:rsidR="008E67EA" w:rsidRPr="000F5907" w:rsidRDefault="008E67EA" w:rsidP="00B44A74">
            <w:pPr>
              <w:spacing w:line="280" w:lineRule="exact"/>
              <w:rPr>
                <w:rFonts w:cs="Arial"/>
                <w:sz w:val="20"/>
                <w:szCs w:val="20"/>
              </w:rPr>
            </w:pPr>
          </w:p>
        </w:tc>
      </w:tr>
      <w:tr w:rsidR="008E67EA" w:rsidRPr="000F5907" w14:paraId="44765269"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9973E83" w14:textId="77777777" w:rsidR="008E67EA" w:rsidRPr="000F5907" w:rsidRDefault="008E67EA" w:rsidP="00B44A74">
            <w:pPr>
              <w:spacing w:line="280" w:lineRule="exact"/>
              <w:rPr>
                <w:rFonts w:cs="Arial"/>
                <w:sz w:val="20"/>
                <w:szCs w:val="20"/>
              </w:rPr>
            </w:pPr>
            <w:r w:rsidRPr="000F5907">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5A45D7D8" w14:textId="77777777" w:rsidR="008E67EA" w:rsidRPr="000F5907" w:rsidRDefault="008E67EA" w:rsidP="00B44A74">
            <w:pPr>
              <w:spacing w:line="280" w:lineRule="exact"/>
              <w:rPr>
                <w:rFonts w:cs="Arial"/>
                <w:sz w:val="20"/>
                <w:szCs w:val="20"/>
              </w:rPr>
            </w:pPr>
            <w:r w:rsidRPr="000F5907">
              <w:rPr>
                <w:rFonts w:cs="Arial"/>
                <w:sz w:val="20"/>
                <w:szCs w:val="20"/>
              </w:rPr>
              <w:t>[INSERT NET CONTENTS]</w:t>
            </w:r>
          </w:p>
        </w:tc>
      </w:tr>
      <w:tr w:rsidR="008E67EA" w:rsidRPr="000F5907" w14:paraId="541BD1B6" w14:textId="77777777" w:rsidTr="00B44A74">
        <w:trPr>
          <w:jc w:val="center"/>
        </w:trPr>
        <w:tc>
          <w:tcPr>
            <w:tcW w:w="2415" w:type="dxa"/>
            <w:tcBorders>
              <w:top w:val="single" w:sz="4" w:space="0" w:color="auto"/>
              <w:left w:val="nil"/>
              <w:bottom w:val="single" w:sz="4" w:space="0" w:color="auto"/>
              <w:right w:val="nil"/>
            </w:tcBorders>
          </w:tcPr>
          <w:p w14:paraId="0A4450ED" w14:textId="77777777" w:rsidR="008E67EA" w:rsidRPr="000F590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9E15236" w14:textId="77777777" w:rsidR="008E67EA" w:rsidRPr="000F5907" w:rsidRDefault="008E67EA" w:rsidP="00B44A74">
            <w:pPr>
              <w:spacing w:line="280" w:lineRule="exact"/>
              <w:rPr>
                <w:rFonts w:cs="Arial"/>
                <w:sz w:val="20"/>
                <w:szCs w:val="20"/>
              </w:rPr>
            </w:pPr>
          </w:p>
        </w:tc>
      </w:tr>
      <w:tr w:rsidR="008E67EA" w:rsidRPr="000F5907" w14:paraId="7623591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A4902C4" w14:textId="77777777" w:rsidR="008E67EA" w:rsidRPr="000F5907" w:rsidRDefault="008E67EA" w:rsidP="00B44A74">
            <w:pPr>
              <w:spacing w:line="280" w:lineRule="exact"/>
              <w:rPr>
                <w:rFonts w:cs="Arial"/>
                <w:sz w:val="20"/>
                <w:szCs w:val="20"/>
              </w:rPr>
            </w:pPr>
            <w:r w:rsidRPr="000F5907">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6DFBF643" w14:textId="77777777" w:rsidR="008E67EA" w:rsidRPr="000F5907" w:rsidRDefault="008E67EA" w:rsidP="00B44A74">
            <w:pPr>
              <w:spacing w:line="280" w:lineRule="exact"/>
              <w:rPr>
                <w:rFonts w:cs="Arial"/>
                <w:sz w:val="20"/>
                <w:szCs w:val="20"/>
              </w:rPr>
            </w:pPr>
            <w:r w:rsidRPr="000F5907">
              <w:rPr>
                <w:rFonts w:cs="Arial"/>
                <w:color w:val="000000"/>
                <w:sz w:val="20"/>
                <w:szCs w:val="20"/>
              </w:rPr>
              <w:t>RESTRAINTS</w:t>
            </w:r>
            <w:r w:rsidRPr="000F5907">
              <w:rPr>
                <w:rFonts w:cs="Arial"/>
                <w:color w:val="000000"/>
                <w:sz w:val="20"/>
                <w:szCs w:val="20"/>
              </w:rPr>
              <w:br/>
              <w:t>DO NOT use this product unless you have a current qualification in the nationally recognised training course for rodent pest management CPPUPM3006 - Manage pests by applying pesticides, or an equivalent unit of competency.</w:t>
            </w:r>
            <w:r w:rsidRPr="000F5907">
              <w:rPr>
                <w:rFonts w:cs="Arial"/>
                <w:color w:val="000000"/>
                <w:sz w:val="20"/>
                <w:szCs w:val="20"/>
              </w:rPr>
              <w:br/>
              <w:t>DO NOT place baits in areas that are accessible to children. In child-accessible areas baits must be placed in tamper-</w:t>
            </w:r>
            <w:r w:rsidRPr="00850F41">
              <w:rPr>
                <w:rFonts w:cs="Arial"/>
                <w:color w:val="000000"/>
                <w:sz w:val="20"/>
                <w:szCs w:val="20"/>
              </w:rPr>
              <w:t xml:space="preserve">resistant </w:t>
            </w:r>
            <w:r w:rsidRPr="000F5907">
              <w:rPr>
                <w:rFonts w:cs="Arial"/>
                <w:color w:val="000000"/>
                <w:sz w:val="20"/>
                <w:szCs w:val="20"/>
              </w:rPr>
              <w:t xml:space="preserve">bait stations. If bait can be dislodged from bait station, bait station must be secured in place. </w:t>
            </w:r>
            <w:r w:rsidRPr="000F5907">
              <w:rPr>
                <w:rFonts w:cs="Arial"/>
                <w:color w:val="000000"/>
                <w:sz w:val="20"/>
                <w:szCs w:val="20"/>
              </w:rPr>
              <w:br/>
              <w:t>DO NOT place bait outdoors unless it is in a tamper-</w:t>
            </w:r>
            <w:r w:rsidRPr="00850F41">
              <w:rPr>
                <w:rFonts w:cs="Arial"/>
                <w:color w:val="000000"/>
                <w:sz w:val="20"/>
                <w:szCs w:val="20"/>
              </w:rPr>
              <w:t>resistant</w:t>
            </w:r>
            <w:r>
              <w:rPr>
                <w:rFonts w:cs="Arial"/>
                <w:color w:val="000000"/>
                <w:sz w:val="20"/>
                <w:szCs w:val="20"/>
              </w:rPr>
              <w:t xml:space="preserve"> </w:t>
            </w:r>
            <w:r w:rsidRPr="000F5907">
              <w:rPr>
                <w:rFonts w:cs="Arial"/>
                <w:color w:val="000000"/>
                <w:sz w:val="20"/>
                <w:szCs w:val="20"/>
              </w:rPr>
              <w:t>bait station which is secured in place.</w:t>
            </w:r>
            <w:r w:rsidRPr="000F5907">
              <w:rPr>
                <w:rFonts w:cs="Arial"/>
                <w:color w:val="000000"/>
                <w:sz w:val="20"/>
                <w:szCs w:val="20"/>
              </w:rPr>
              <w:br/>
              <w:t>DO NOT place bait stations more than 2 meters from buildings.</w:t>
            </w:r>
            <w:r w:rsidRPr="000F5907">
              <w:rPr>
                <w:rFonts w:cs="Arial"/>
                <w:color w:val="000000"/>
                <w:sz w:val="20"/>
                <w:szCs w:val="20"/>
              </w:rPr>
              <w:br/>
              <w:t>DO NOT place bait stations outdoors around buildings for control of mice.</w:t>
            </w:r>
            <w:r w:rsidRPr="000F5907">
              <w:rPr>
                <w:rFonts w:cs="Arial"/>
                <w:color w:val="000000"/>
                <w:sz w:val="20"/>
                <w:szCs w:val="20"/>
              </w:rPr>
              <w:br/>
              <w:t>DO NOT bait in areas where wildlife may be collected for human consumption.</w:t>
            </w:r>
            <w:r w:rsidRPr="000F5907">
              <w:rPr>
                <w:rFonts w:cs="Arial"/>
                <w:color w:val="000000"/>
                <w:sz w:val="20"/>
                <w:szCs w:val="20"/>
              </w:rPr>
              <w:br/>
              <w:t>DO NOT place in animal or livestock housing unless used in tamper-</w:t>
            </w:r>
            <w:r w:rsidRPr="00850F41">
              <w:rPr>
                <w:rFonts w:cs="Arial"/>
                <w:color w:val="000000"/>
                <w:sz w:val="20"/>
                <w:szCs w:val="20"/>
              </w:rPr>
              <w:t>resistant</w:t>
            </w:r>
            <w:r w:rsidRPr="000F5907">
              <w:rPr>
                <w:rFonts w:cs="Arial"/>
                <w:color w:val="000000"/>
                <w:sz w:val="20"/>
                <w:szCs w:val="20"/>
              </w:rPr>
              <w:t xml:space="preserve"> and weather</w:t>
            </w:r>
            <w:r>
              <w:rPr>
                <w:rFonts w:cs="Arial"/>
                <w:color w:val="000000"/>
                <w:sz w:val="20"/>
                <w:szCs w:val="20"/>
              </w:rPr>
              <w:t>-</w:t>
            </w:r>
            <w:r w:rsidRPr="000F5907">
              <w:rPr>
                <w:rFonts w:cs="Arial"/>
                <w:color w:val="000000"/>
                <w:sz w:val="20"/>
                <w:szCs w:val="20"/>
              </w:rPr>
              <w:t>resistant bait stations fixed to the ground or other structures.</w:t>
            </w:r>
            <w:r w:rsidRPr="000F5907">
              <w:rPr>
                <w:rFonts w:cs="Arial"/>
                <w:color w:val="000000"/>
                <w:sz w:val="20"/>
                <w:szCs w:val="20"/>
              </w:rPr>
              <w:br/>
              <w:t>DO NOT place bait or bait stations above areas which would allow them to contaminate pig and poultry food or drinking water.</w:t>
            </w:r>
            <w:r w:rsidRPr="000F5907">
              <w:rPr>
                <w:rFonts w:cs="Arial"/>
                <w:color w:val="000000"/>
                <w:sz w:val="20"/>
                <w:szCs w:val="20"/>
              </w:rPr>
              <w:br/>
              <w:t>DO NOT apply this product directly into burrows.</w:t>
            </w:r>
          </w:p>
        </w:tc>
      </w:tr>
      <w:tr w:rsidR="008E67EA" w:rsidRPr="000F5907" w14:paraId="43FC9E4E" w14:textId="77777777" w:rsidTr="00B44A74">
        <w:trPr>
          <w:jc w:val="center"/>
        </w:trPr>
        <w:tc>
          <w:tcPr>
            <w:tcW w:w="2415" w:type="dxa"/>
            <w:tcBorders>
              <w:top w:val="single" w:sz="4" w:space="0" w:color="auto"/>
              <w:left w:val="nil"/>
              <w:bottom w:val="single" w:sz="4" w:space="0" w:color="auto"/>
              <w:right w:val="nil"/>
            </w:tcBorders>
          </w:tcPr>
          <w:p w14:paraId="451E48E2" w14:textId="77777777" w:rsidR="008E67EA" w:rsidRPr="000F590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5DEEB7B" w14:textId="77777777" w:rsidR="008E67EA" w:rsidRPr="000F5907" w:rsidRDefault="008E67EA" w:rsidP="00B44A74">
            <w:pPr>
              <w:spacing w:line="280" w:lineRule="exact"/>
              <w:rPr>
                <w:rFonts w:cs="Arial"/>
                <w:sz w:val="20"/>
                <w:szCs w:val="20"/>
              </w:rPr>
            </w:pPr>
          </w:p>
        </w:tc>
      </w:tr>
      <w:tr w:rsidR="008E67EA" w:rsidRPr="000F5907" w14:paraId="52C4A84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D520142" w14:textId="77777777" w:rsidR="008E67EA" w:rsidRPr="000F5907" w:rsidRDefault="008E67EA" w:rsidP="00B44A74">
            <w:pPr>
              <w:spacing w:line="280" w:lineRule="exact"/>
              <w:rPr>
                <w:rFonts w:cs="Arial"/>
                <w:sz w:val="20"/>
                <w:szCs w:val="20"/>
              </w:rPr>
            </w:pPr>
            <w:r w:rsidRPr="000F5907">
              <w:rPr>
                <w:rFonts w:cs="Arial"/>
                <w:sz w:val="20"/>
                <w:szCs w:val="20"/>
              </w:rPr>
              <w:t>Directions for Use:</w:t>
            </w:r>
          </w:p>
        </w:tc>
        <w:tc>
          <w:tcPr>
            <w:tcW w:w="7755" w:type="dxa"/>
            <w:tcBorders>
              <w:top w:val="single" w:sz="4" w:space="0" w:color="auto"/>
              <w:left w:val="single" w:sz="4" w:space="0" w:color="auto"/>
              <w:bottom w:val="single" w:sz="4" w:space="0" w:color="auto"/>
              <w:right w:val="single" w:sz="4" w:space="0" w:color="auto"/>
            </w:tcBorders>
          </w:tcPr>
          <w:p w14:paraId="5E072288" w14:textId="77777777" w:rsidR="008E67EA" w:rsidRPr="00A67A8D" w:rsidRDefault="008E67EA" w:rsidP="00B44A74">
            <w:pPr>
              <w:spacing w:line="280" w:lineRule="exact"/>
              <w:rPr>
                <w:rFonts w:cs="Arial"/>
                <w:sz w:val="20"/>
                <w:szCs w:val="20"/>
              </w:rPr>
            </w:pPr>
            <w:r w:rsidRPr="00713087">
              <w:rPr>
                <w:rFonts w:cs="Arial"/>
                <w:sz w:val="20"/>
                <w:szCs w:val="20"/>
              </w:rPr>
              <w:t>[This section contains an attachment below]</w:t>
            </w:r>
          </w:p>
        </w:tc>
      </w:tr>
      <w:tr w:rsidR="008E67EA" w:rsidRPr="000F5907" w14:paraId="4541F155" w14:textId="77777777" w:rsidTr="00B44A74">
        <w:trPr>
          <w:jc w:val="center"/>
        </w:trPr>
        <w:tc>
          <w:tcPr>
            <w:tcW w:w="2415" w:type="dxa"/>
            <w:tcBorders>
              <w:top w:val="single" w:sz="4" w:space="0" w:color="auto"/>
              <w:left w:val="nil"/>
              <w:bottom w:val="single" w:sz="4" w:space="0" w:color="auto"/>
              <w:right w:val="nil"/>
            </w:tcBorders>
          </w:tcPr>
          <w:p w14:paraId="5D7882B5" w14:textId="77777777" w:rsidR="008E67EA" w:rsidRPr="000F590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33B4E90" w14:textId="77777777" w:rsidR="008E67EA" w:rsidRPr="000F5907" w:rsidRDefault="008E67EA" w:rsidP="00B44A74">
            <w:pPr>
              <w:spacing w:line="280" w:lineRule="exact"/>
              <w:rPr>
                <w:rFonts w:cs="Arial"/>
                <w:sz w:val="20"/>
                <w:szCs w:val="20"/>
              </w:rPr>
            </w:pPr>
          </w:p>
        </w:tc>
      </w:tr>
      <w:tr w:rsidR="008E67EA" w:rsidRPr="000F5907" w14:paraId="3327466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DD43002" w14:textId="77777777" w:rsidR="008E67EA" w:rsidRPr="000F5907" w:rsidRDefault="008E67EA" w:rsidP="00B44A74">
            <w:pPr>
              <w:spacing w:line="280" w:lineRule="exact"/>
              <w:rPr>
                <w:rFonts w:cs="Arial"/>
                <w:sz w:val="20"/>
                <w:szCs w:val="20"/>
              </w:rPr>
            </w:pPr>
            <w:r w:rsidRPr="000F5907">
              <w:rPr>
                <w:rFonts w:cs="Arial"/>
                <w:sz w:val="20"/>
                <w:szCs w:val="20"/>
              </w:rPr>
              <w:t>Other Limitations:</w:t>
            </w:r>
          </w:p>
        </w:tc>
        <w:tc>
          <w:tcPr>
            <w:tcW w:w="7755" w:type="dxa"/>
            <w:tcBorders>
              <w:top w:val="single" w:sz="4" w:space="0" w:color="auto"/>
              <w:left w:val="single" w:sz="4" w:space="0" w:color="auto"/>
              <w:bottom w:val="single" w:sz="4" w:space="0" w:color="auto"/>
              <w:right w:val="single" w:sz="4" w:space="0" w:color="auto"/>
            </w:tcBorders>
          </w:tcPr>
          <w:p w14:paraId="2042864F" w14:textId="77777777" w:rsidR="008E67EA" w:rsidRPr="000F5907" w:rsidRDefault="008E67EA" w:rsidP="00B44A74">
            <w:pPr>
              <w:spacing w:line="280" w:lineRule="exact"/>
              <w:rPr>
                <w:rFonts w:cs="Arial"/>
                <w:sz w:val="20"/>
                <w:szCs w:val="20"/>
              </w:rPr>
            </w:pPr>
          </w:p>
        </w:tc>
      </w:tr>
      <w:tr w:rsidR="008E67EA" w:rsidRPr="000F5907" w14:paraId="558F0301" w14:textId="77777777" w:rsidTr="00B44A74">
        <w:trPr>
          <w:jc w:val="center"/>
        </w:trPr>
        <w:tc>
          <w:tcPr>
            <w:tcW w:w="2415" w:type="dxa"/>
            <w:tcBorders>
              <w:top w:val="single" w:sz="4" w:space="0" w:color="auto"/>
              <w:left w:val="nil"/>
              <w:bottom w:val="single" w:sz="4" w:space="0" w:color="auto"/>
              <w:right w:val="nil"/>
            </w:tcBorders>
          </w:tcPr>
          <w:p w14:paraId="04C50F74" w14:textId="77777777" w:rsidR="008E67EA" w:rsidRPr="000F590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6EE786F" w14:textId="77777777" w:rsidR="008E67EA" w:rsidRPr="000F5907" w:rsidRDefault="008E67EA" w:rsidP="00B44A74">
            <w:pPr>
              <w:spacing w:line="280" w:lineRule="exact"/>
              <w:rPr>
                <w:rFonts w:cs="Arial"/>
                <w:sz w:val="20"/>
                <w:szCs w:val="20"/>
              </w:rPr>
            </w:pPr>
          </w:p>
        </w:tc>
      </w:tr>
      <w:tr w:rsidR="008E67EA" w:rsidRPr="000F5907" w14:paraId="6D13B1F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A731E8B" w14:textId="77777777" w:rsidR="008E67EA" w:rsidRPr="000F5907" w:rsidRDefault="008E67EA" w:rsidP="00B44A74">
            <w:pPr>
              <w:spacing w:line="280" w:lineRule="exact"/>
              <w:rPr>
                <w:rFonts w:cs="Arial"/>
                <w:sz w:val="20"/>
                <w:szCs w:val="20"/>
              </w:rPr>
            </w:pPr>
            <w:r w:rsidRPr="000F5907">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5D67AAE3" w14:textId="77777777" w:rsidR="008E67EA" w:rsidRPr="000F5907" w:rsidRDefault="008E67EA" w:rsidP="00B44A74">
            <w:pPr>
              <w:spacing w:line="280" w:lineRule="exact"/>
              <w:rPr>
                <w:rFonts w:cs="Arial"/>
                <w:sz w:val="20"/>
                <w:szCs w:val="20"/>
              </w:rPr>
            </w:pPr>
          </w:p>
        </w:tc>
      </w:tr>
      <w:tr w:rsidR="008E67EA" w:rsidRPr="000F5907" w14:paraId="1F75FCB8" w14:textId="77777777" w:rsidTr="00B44A74">
        <w:trPr>
          <w:jc w:val="center"/>
        </w:trPr>
        <w:tc>
          <w:tcPr>
            <w:tcW w:w="2415" w:type="dxa"/>
            <w:tcBorders>
              <w:top w:val="single" w:sz="4" w:space="0" w:color="auto"/>
              <w:left w:val="nil"/>
              <w:bottom w:val="single" w:sz="4" w:space="0" w:color="auto"/>
              <w:right w:val="nil"/>
            </w:tcBorders>
          </w:tcPr>
          <w:p w14:paraId="27A0037D" w14:textId="77777777" w:rsidR="008E67EA" w:rsidRPr="000F590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0B29E76" w14:textId="77777777" w:rsidR="008E67EA" w:rsidRPr="000F5907" w:rsidRDefault="008E67EA" w:rsidP="00B44A74">
            <w:pPr>
              <w:spacing w:line="280" w:lineRule="exact"/>
              <w:rPr>
                <w:rFonts w:cs="Arial"/>
                <w:sz w:val="20"/>
                <w:szCs w:val="20"/>
              </w:rPr>
            </w:pPr>
          </w:p>
        </w:tc>
      </w:tr>
      <w:tr w:rsidR="008E67EA" w:rsidRPr="000F5907" w14:paraId="39E5E30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C6CEF3F" w14:textId="77777777" w:rsidR="008E67EA" w:rsidRPr="000F5907" w:rsidRDefault="008E67EA" w:rsidP="00B44A74">
            <w:pPr>
              <w:spacing w:line="280" w:lineRule="exact"/>
              <w:rPr>
                <w:rFonts w:cs="Arial"/>
                <w:sz w:val="20"/>
                <w:szCs w:val="20"/>
              </w:rPr>
            </w:pPr>
            <w:r w:rsidRPr="000F5907">
              <w:rPr>
                <w:rFonts w:cs="Arial"/>
                <w:sz w:val="20"/>
                <w:szCs w:val="20"/>
              </w:rPr>
              <w:t>Trade Advice:</w:t>
            </w:r>
          </w:p>
        </w:tc>
        <w:tc>
          <w:tcPr>
            <w:tcW w:w="7755" w:type="dxa"/>
            <w:tcBorders>
              <w:top w:val="single" w:sz="4" w:space="0" w:color="auto"/>
              <w:left w:val="single" w:sz="4" w:space="0" w:color="auto"/>
              <w:bottom w:val="single" w:sz="4" w:space="0" w:color="auto"/>
              <w:right w:val="single" w:sz="4" w:space="0" w:color="auto"/>
            </w:tcBorders>
          </w:tcPr>
          <w:p w14:paraId="4A22F38A" w14:textId="77777777" w:rsidR="008E67EA" w:rsidRPr="000F5907" w:rsidRDefault="008E67EA" w:rsidP="00B44A74">
            <w:pPr>
              <w:spacing w:line="280" w:lineRule="exact"/>
              <w:rPr>
                <w:rFonts w:cs="Arial"/>
                <w:sz w:val="20"/>
                <w:szCs w:val="20"/>
              </w:rPr>
            </w:pPr>
          </w:p>
        </w:tc>
      </w:tr>
      <w:tr w:rsidR="008E67EA" w:rsidRPr="000F5907" w14:paraId="387BC4CE" w14:textId="77777777" w:rsidTr="00B44A74">
        <w:trPr>
          <w:jc w:val="center"/>
        </w:trPr>
        <w:tc>
          <w:tcPr>
            <w:tcW w:w="2415" w:type="dxa"/>
            <w:tcBorders>
              <w:top w:val="single" w:sz="4" w:space="0" w:color="auto"/>
              <w:left w:val="nil"/>
              <w:bottom w:val="single" w:sz="4" w:space="0" w:color="auto"/>
              <w:right w:val="nil"/>
            </w:tcBorders>
          </w:tcPr>
          <w:p w14:paraId="43445578" w14:textId="77777777" w:rsidR="008E67EA" w:rsidRPr="000F590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F8FBE14" w14:textId="77777777" w:rsidR="008E67EA" w:rsidRPr="000F5907" w:rsidRDefault="008E67EA" w:rsidP="00B44A74">
            <w:pPr>
              <w:spacing w:line="280" w:lineRule="exact"/>
              <w:rPr>
                <w:rFonts w:cs="Arial"/>
                <w:sz w:val="20"/>
                <w:szCs w:val="20"/>
              </w:rPr>
            </w:pPr>
          </w:p>
        </w:tc>
      </w:tr>
      <w:tr w:rsidR="008E67EA" w:rsidRPr="000F5907" w14:paraId="5884B81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F39EDDF" w14:textId="77777777" w:rsidR="008E67EA" w:rsidRPr="000F5907" w:rsidRDefault="008E67EA" w:rsidP="00B44A74">
            <w:pPr>
              <w:spacing w:line="280" w:lineRule="exact"/>
              <w:rPr>
                <w:rFonts w:cs="Arial"/>
                <w:sz w:val="20"/>
                <w:szCs w:val="20"/>
              </w:rPr>
            </w:pPr>
            <w:r w:rsidRPr="000F5907">
              <w:rPr>
                <w:rFonts w:cs="Arial"/>
                <w:sz w:val="20"/>
                <w:szCs w:val="20"/>
              </w:rPr>
              <w:t>General Directions:</w:t>
            </w:r>
          </w:p>
        </w:tc>
        <w:tc>
          <w:tcPr>
            <w:tcW w:w="7755" w:type="dxa"/>
            <w:tcBorders>
              <w:top w:val="single" w:sz="4" w:space="0" w:color="auto"/>
              <w:left w:val="single" w:sz="4" w:space="0" w:color="auto"/>
              <w:bottom w:val="single" w:sz="4" w:space="0" w:color="auto"/>
              <w:right w:val="single" w:sz="4" w:space="0" w:color="auto"/>
            </w:tcBorders>
          </w:tcPr>
          <w:p w14:paraId="6C677873" w14:textId="77777777" w:rsidR="008E67EA" w:rsidRPr="000F5907" w:rsidRDefault="008E67EA" w:rsidP="00B44A74">
            <w:pPr>
              <w:spacing w:line="280" w:lineRule="exact"/>
              <w:rPr>
                <w:rFonts w:cs="Arial"/>
                <w:sz w:val="20"/>
                <w:szCs w:val="20"/>
              </w:rPr>
            </w:pPr>
          </w:p>
        </w:tc>
      </w:tr>
      <w:tr w:rsidR="008E67EA" w:rsidRPr="000F5907" w14:paraId="75A4561C" w14:textId="77777777" w:rsidTr="00B44A74">
        <w:trPr>
          <w:jc w:val="center"/>
        </w:trPr>
        <w:tc>
          <w:tcPr>
            <w:tcW w:w="2415" w:type="dxa"/>
            <w:tcBorders>
              <w:top w:val="single" w:sz="4" w:space="0" w:color="auto"/>
              <w:left w:val="nil"/>
              <w:bottom w:val="single" w:sz="4" w:space="0" w:color="auto"/>
              <w:right w:val="nil"/>
            </w:tcBorders>
          </w:tcPr>
          <w:p w14:paraId="7697C609" w14:textId="77777777" w:rsidR="008E67EA" w:rsidRPr="000F590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7954C7E" w14:textId="77777777" w:rsidR="008E67EA" w:rsidRPr="000F5907" w:rsidRDefault="008E67EA" w:rsidP="00B44A74">
            <w:pPr>
              <w:spacing w:line="280" w:lineRule="exact"/>
              <w:rPr>
                <w:rFonts w:cs="Arial"/>
                <w:sz w:val="20"/>
                <w:szCs w:val="20"/>
              </w:rPr>
            </w:pPr>
          </w:p>
        </w:tc>
      </w:tr>
      <w:tr w:rsidR="008E67EA" w:rsidRPr="000F5907" w14:paraId="574C155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C88764B" w14:textId="77777777" w:rsidR="008E67EA" w:rsidRPr="000F5907" w:rsidRDefault="008E67EA" w:rsidP="00B44A74">
            <w:pPr>
              <w:spacing w:line="280" w:lineRule="exact"/>
              <w:rPr>
                <w:rFonts w:cs="Arial"/>
                <w:sz w:val="20"/>
                <w:szCs w:val="20"/>
              </w:rPr>
            </w:pPr>
            <w:r w:rsidRPr="000F5907">
              <w:rPr>
                <w:rFonts w:cs="Arial"/>
                <w:sz w:val="20"/>
                <w:szCs w:val="20"/>
              </w:rPr>
              <w:lastRenderedPageBreak/>
              <w:t>Resistance Warning:</w:t>
            </w:r>
          </w:p>
        </w:tc>
        <w:tc>
          <w:tcPr>
            <w:tcW w:w="7755" w:type="dxa"/>
            <w:tcBorders>
              <w:top w:val="single" w:sz="4" w:space="0" w:color="auto"/>
              <w:left w:val="single" w:sz="4" w:space="0" w:color="auto"/>
              <w:bottom w:val="single" w:sz="4" w:space="0" w:color="auto"/>
              <w:right w:val="single" w:sz="4" w:space="0" w:color="auto"/>
            </w:tcBorders>
          </w:tcPr>
          <w:p w14:paraId="5A2EFA7B" w14:textId="77777777" w:rsidR="008E67EA" w:rsidRPr="000F5907" w:rsidRDefault="008E67EA" w:rsidP="00B44A74">
            <w:pPr>
              <w:spacing w:line="280" w:lineRule="exact"/>
              <w:rPr>
                <w:rFonts w:cs="Arial"/>
                <w:sz w:val="20"/>
                <w:szCs w:val="20"/>
              </w:rPr>
            </w:pPr>
          </w:p>
        </w:tc>
      </w:tr>
      <w:tr w:rsidR="008E67EA" w:rsidRPr="000F5907" w14:paraId="4042D23A" w14:textId="77777777" w:rsidTr="00B44A74">
        <w:trPr>
          <w:jc w:val="center"/>
        </w:trPr>
        <w:tc>
          <w:tcPr>
            <w:tcW w:w="2415" w:type="dxa"/>
            <w:tcBorders>
              <w:top w:val="single" w:sz="4" w:space="0" w:color="auto"/>
              <w:left w:val="nil"/>
              <w:bottom w:val="single" w:sz="4" w:space="0" w:color="auto"/>
              <w:right w:val="nil"/>
            </w:tcBorders>
          </w:tcPr>
          <w:p w14:paraId="1CDC0147" w14:textId="77777777" w:rsidR="008E67EA" w:rsidRPr="000F590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F29C3A1" w14:textId="77777777" w:rsidR="008E67EA" w:rsidRPr="000F5907" w:rsidRDefault="008E67EA" w:rsidP="00B44A74">
            <w:pPr>
              <w:spacing w:line="280" w:lineRule="exact"/>
              <w:rPr>
                <w:rFonts w:cs="Arial"/>
                <w:sz w:val="20"/>
                <w:szCs w:val="20"/>
              </w:rPr>
            </w:pPr>
          </w:p>
        </w:tc>
      </w:tr>
      <w:tr w:rsidR="008E67EA" w:rsidRPr="000F5907" w14:paraId="6AD4B4A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E87D3A2" w14:textId="77777777" w:rsidR="008E67EA" w:rsidRPr="000F5907" w:rsidRDefault="008E67EA" w:rsidP="00B44A74">
            <w:pPr>
              <w:spacing w:line="280" w:lineRule="exact"/>
              <w:rPr>
                <w:rFonts w:cs="Arial"/>
                <w:sz w:val="20"/>
                <w:szCs w:val="20"/>
              </w:rPr>
            </w:pPr>
            <w:r w:rsidRPr="000F5907">
              <w:rPr>
                <w:rFonts w:cs="Arial"/>
                <w:sz w:val="20"/>
                <w:szCs w:val="20"/>
              </w:rPr>
              <w:t>Precautions:</w:t>
            </w:r>
          </w:p>
        </w:tc>
        <w:tc>
          <w:tcPr>
            <w:tcW w:w="7755" w:type="dxa"/>
            <w:tcBorders>
              <w:top w:val="single" w:sz="4" w:space="0" w:color="auto"/>
              <w:left w:val="single" w:sz="4" w:space="0" w:color="auto"/>
              <w:bottom w:val="single" w:sz="4" w:space="0" w:color="auto"/>
              <w:right w:val="single" w:sz="4" w:space="0" w:color="auto"/>
            </w:tcBorders>
          </w:tcPr>
          <w:p w14:paraId="1BCEE284" w14:textId="77777777" w:rsidR="008E67EA" w:rsidRPr="000F5907" w:rsidRDefault="008E67EA" w:rsidP="00B44A74">
            <w:pPr>
              <w:spacing w:line="280" w:lineRule="exact"/>
              <w:rPr>
                <w:rFonts w:cs="Arial"/>
                <w:b/>
                <w:bCs/>
                <w:i/>
                <w:iCs/>
                <w:sz w:val="20"/>
                <w:szCs w:val="20"/>
                <w:highlight w:val="yellow"/>
              </w:rPr>
            </w:pPr>
            <w:r w:rsidRPr="000F5907">
              <w:rPr>
                <w:rFonts w:cs="Arial"/>
                <w:color w:val="000000"/>
                <w:sz w:val="20"/>
                <w:szCs w:val="20"/>
              </w:rPr>
              <w:t>PRECAUTIONS</w:t>
            </w:r>
            <w:r w:rsidRPr="000F5907">
              <w:rPr>
                <w:rFonts w:cs="Arial"/>
                <w:color w:val="000000"/>
                <w:sz w:val="20"/>
                <w:szCs w:val="20"/>
              </w:rPr>
              <w:br/>
              <w:t>Caution should be used when baiting near areas where hunting of wildlife may occur. Careful consideration of bait placement is necessary to avoid secondary exposure from contaminated wildlife that may be consumed.</w:t>
            </w:r>
            <w:r w:rsidRPr="000F5907">
              <w:rPr>
                <w:rFonts w:cs="Arial"/>
                <w:color w:val="000000"/>
                <w:sz w:val="20"/>
                <w:szCs w:val="20"/>
              </w:rPr>
              <w:br/>
              <w:t>DO NOT place bait in areas where there is a possibility of contaminating food, livestock feed or surfaces that come in direct contact with food or livestock feed.</w:t>
            </w:r>
          </w:p>
        </w:tc>
      </w:tr>
      <w:tr w:rsidR="008E67EA" w:rsidRPr="000F5907" w14:paraId="320D9B40" w14:textId="77777777" w:rsidTr="00B44A74">
        <w:trPr>
          <w:jc w:val="center"/>
        </w:trPr>
        <w:tc>
          <w:tcPr>
            <w:tcW w:w="2415" w:type="dxa"/>
            <w:tcBorders>
              <w:top w:val="single" w:sz="4" w:space="0" w:color="auto"/>
              <w:left w:val="nil"/>
              <w:bottom w:val="single" w:sz="4" w:space="0" w:color="auto"/>
              <w:right w:val="nil"/>
            </w:tcBorders>
          </w:tcPr>
          <w:p w14:paraId="7D2418B3" w14:textId="77777777" w:rsidR="008E67EA" w:rsidRPr="000F590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CD492B8" w14:textId="77777777" w:rsidR="008E67EA" w:rsidRPr="000F5907" w:rsidRDefault="008E67EA" w:rsidP="00B44A74">
            <w:pPr>
              <w:spacing w:line="280" w:lineRule="exact"/>
              <w:rPr>
                <w:rFonts w:cs="Arial"/>
                <w:sz w:val="20"/>
                <w:szCs w:val="20"/>
              </w:rPr>
            </w:pPr>
          </w:p>
        </w:tc>
      </w:tr>
      <w:tr w:rsidR="008E67EA" w:rsidRPr="000F5907" w14:paraId="235978D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F09AA36" w14:textId="77777777" w:rsidR="008E67EA" w:rsidRPr="000F5907" w:rsidRDefault="008E67EA" w:rsidP="00B44A74">
            <w:pPr>
              <w:spacing w:line="280" w:lineRule="exact"/>
              <w:rPr>
                <w:rFonts w:cs="Arial"/>
                <w:sz w:val="20"/>
                <w:szCs w:val="20"/>
              </w:rPr>
            </w:pPr>
            <w:r w:rsidRPr="000F5907">
              <w:rPr>
                <w:rFonts w:cs="Arial"/>
                <w:sz w:val="20"/>
                <w:szCs w:val="20"/>
              </w:rPr>
              <w:t>Protection Statements:</w:t>
            </w:r>
          </w:p>
        </w:tc>
        <w:tc>
          <w:tcPr>
            <w:tcW w:w="7755" w:type="dxa"/>
            <w:tcBorders>
              <w:top w:val="single" w:sz="4" w:space="0" w:color="auto"/>
              <w:left w:val="single" w:sz="4" w:space="0" w:color="auto"/>
              <w:bottom w:val="single" w:sz="4" w:space="0" w:color="auto"/>
              <w:right w:val="single" w:sz="4" w:space="0" w:color="auto"/>
            </w:tcBorders>
          </w:tcPr>
          <w:p w14:paraId="40D3A9CA" w14:textId="77777777" w:rsidR="008E67EA" w:rsidRDefault="008E67EA" w:rsidP="00B44A74">
            <w:pPr>
              <w:spacing w:line="280" w:lineRule="exact"/>
              <w:rPr>
                <w:rFonts w:cs="Arial"/>
                <w:color w:val="000000"/>
                <w:sz w:val="20"/>
                <w:szCs w:val="20"/>
              </w:rPr>
            </w:pPr>
            <w:r w:rsidRPr="000F5907">
              <w:rPr>
                <w:rFonts w:cs="Arial"/>
                <w:color w:val="000000"/>
                <w:sz w:val="20"/>
                <w:szCs w:val="20"/>
              </w:rPr>
              <w:t>PROTECTION OF LIVESTOCK AND WILDLIFE</w:t>
            </w:r>
            <w:r w:rsidRPr="000F5907">
              <w:rPr>
                <w:rFonts w:cs="Arial"/>
                <w:color w:val="000000"/>
                <w:sz w:val="20"/>
                <w:szCs w:val="20"/>
              </w:rPr>
              <w:br/>
              <w:t>Hazardous to livestock, poultry and wildlife. DO NOT place baits in locations that are accessible to domestic animals, livestock, non-target native animals or birds.</w:t>
            </w:r>
            <w:r w:rsidRPr="000F5907">
              <w:rPr>
                <w:rFonts w:cs="Arial"/>
                <w:color w:val="000000"/>
                <w:sz w:val="20"/>
                <w:szCs w:val="20"/>
              </w:rPr>
              <w:br/>
              <w:t xml:space="preserve">Search for and dispose of dead rodents and slugs/snails in the infested area at each visit to prevent secondary poisoning. In case slugs/snails are present, move bait station to another location within the rodent infested site, away from slugs/snails. Dispose of slugs/snails in a way non-target animals are not exposed. Dispose of dead rodents and uneaten bait in compliance with local, state or territory government regulations. </w:t>
            </w:r>
            <w:r w:rsidRPr="000F5907">
              <w:rPr>
                <w:rFonts w:cs="Arial"/>
                <w:color w:val="000000"/>
                <w:sz w:val="20"/>
                <w:szCs w:val="20"/>
              </w:rPr>
              <w:br/>
              <w:t>DO NOT allow livestock or poultry to consume dead or moribund mice and rats. All dead or moribund animals and rodent faeces from baited rodents MUST be removed from areas accessible to livestock or poultry.</w:t>
            </w:r>
            <w:r w:rsidRPr="000F5907">
              <w:rPr>
                <w:rFonts w:cs="Arial"/>
                <w:color w:val="000000"/>
                <w:sz w:val="20"/>
                <w:szCs w:val="20"/>
              </w:rPr>
              <w:br/>
              <w:t>The use of this product for the control of protected native rodents requires permission from wildlife authorities.</w:t>
            </w:r>
          </w:p>
          <w:p w14:paraId="132591DD" w14:textId="77777777" w:rsidR="008E67EA" w:rsidRPr="000F5907" w:rsidRDefault="008E67EA" w:rsidP="00B44A74">
            <w:pPr>
              <w:spacing w:line="280" w:lineRule="exact"/>
              <w:rPr>
                <w:rFonts w:cs="Arial"/>
                <w:sz w:val="20"/>
                <w:szCs w:val="20"/>
              </w:rPr>
            </w:pPr>
            <w:r w:rsidRPr="000F5907">
              <w:rPr>
                <w:rFonts w:cs="Arial"/>
                <w:color w:val="000000"/>
                <w:sz w:val="20"/>
                <w:szCs w:val="20"/>
              </w:rPr>
              <w:br/>
              <w:t>PROTECTION OF FISH, CRUSTACEANS AND ENVIRONMENT</w:t>
            </w:r>
            <w:r w:rsidRPr="000F5907">
              <w:rPr>
                <w:rFonts w:cs="Arial"/>
                <w:color w:val="000000"/>
                <w:sz w:val="20"/>
                <w:szCs w:val="20"/>
              </w:rPr>
              <w:br/>
              <w:t>Toxic to aquatic life. DO NOT contaminate wetlands or watercourses with this product or used containers. Place the bait stations in areas not liable to flooding. When placing bait stations close to water drainage systems, ensure that bait contact with water is avoided.</w:t>
            </w:r>
          </w:p>
        </w:tc>
      </w:tr>
      <w:tr w:rsidR="008E67EA" w:rsidRPr="000F5907" w14:paraId="0C214D65" w14:textId="77777777" w:rsidTr="00B44A74">
        <w:trPr>
          <w:jc w:val="center"/>
        </w:trPr>
        <w:tc>
          <w:tcPr>
            <w:tcW w:w="2415" w:type="dxa"/>
            <w:tcBorders>
              <w:top w:val="single" w:sz="4" w:space="0" w:color="auto"/>
              <w:left w:val="nil"/>
              <w:bottom w:val="single" w:sz="4" w:space="0" w:color="auto"/>
              <w:right w:val="nil"/>
            </w:tcBorders>
          </w:tcPr>
          <w:p w14:paraId="3A7DBABB" w14:textId="77777777" w:rsidR="008E67EA" w:rsidRPr="000F590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4715D9F" w14:textId="77777777" w:rsidR="008E67EA" w:rsidRPr="000F5907" w:rsidRDefault="008E67EA" w:rsidP="00B44A74">
            <w:pPr>
              <w:spacing w:line="280" w:lineRule="exact"/>
              <w:rPr>
                <w:rFonts w:cs="Arial"/>
                <w:sz w:val="20"/>
                <w:szCs w:val="20"/>
              </w:rPr>
            </w:pPr>
          </w:p>
        </w:tc>
      </w:tr>
      <w:tr w:rsidR="008E67EA" w:rsidRPr="000F5907" w14:paraId="44AE84E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4A2CABE" w14:textId="77777777" w:rsidR="008E67EA" w:rsidRPr="000F5907" w:rsidRDefault="008E67EA" w:rsidP="00B44A74">
            <w:pPr>
              <w:spacing w:line="280" w:lineRule="exact"/>
              <w:rPr>
                <w:rFonts w:cs="Arial"/>
                <w:sz w:val="20"/>
                <w:szCs w:val="20"/>
              </w:rPr>
            </w:pPr>
            <w:r w:rsidRPr="000F5907">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2448DDED" w14:textId="77777777" w:rsidR="008E67EA" w:rsidRPr="00850F41" w:rsidRDefault="008E67EA" w:rsidP="00B44A74">
            <w:pPr>
              <w:spacing w:line="280" w:lineRule="exact"/>
              <w:rPr>
                <w:rFonts w:cs="Arial"/>
                <w:color w:val="000000"/>
                <w:sz w:val="20"/>
                <w:szCs w:val="20"/>
              </w:rPr>
            </w:pPr>
            <w:r w:rsidRPr="00850F41">
              <w:rPr>
                <w:rFonts w:cs="Arial"/>
                <w:color w:val="000000"/>
                <w:sz w:val="20"/>
                <w:szCs w:val="20"/>
              </w:rPr>
              <w:t>STORAGE AND DISPOSAL</w:t>
            </w:r>
          </w:p>
          <w:p w14:paraId="1A768D2A" w14:textId="4E869132" w:rsidR="008E67EA" w:rsidRPr="000F5907" w:rsidRDefault="008E67EA" w:rsidP="00B44A74">
            <w:pPr>
              <w:spacing w:line="280" w:lineRule="exact"/>
              <w:rPr>
                <w:rFonts w:cs="Arial"/>
                <w:color w:val="000000"/>
                <w:sz w:val="20"/>
                <w:szCs w:val="20"/>
              </w:rPr>
            </w:pPr>
            <w:r w:rsidRPr="000F5907">
              <w:rPr>
                <w:rFonts w:cs="Arial"/>
                <w:color w:val="000000"/>
                <w:sz w:val="20"/>
                <w:szCs w:val="20"/>
              </w:rPr>
              <w:t>Store in the closed, original container in a dry, cool, well-ventilated area out of direct</w:t>
            </w:r>
            <w:r w:rsidRPr="000F5907">
              <w:rPr>
                <w:rFonts w:cs="Arial"/>
                <w:color w:val="000000"/>
                <w:sz w:val="20"/>
                <w:szCs w:val="20"/>
              </w:rPr>
              <w:br/>
              <w:t>sunlight. Do not store for prolonged periods in direct sunlight.</w:t>
            </w:r>
          </w:p>
          <w:p w14:paraId="51124359" w14:textId="77777777" w:rsidR="008E67EA" w:rsidRPr="000F5907" w:rsidRDefault="008E67EA" w:rsidP="00B44A74">
            <w:pPr>
              <w:spacing w:line="280" w:lineRule="exact"/>
              <w:rPr>
                <w:rFonts w:cs="Arial"/>
                <w:sz w:val="20"/>
                <w:szCs w:val="20"/>
              </w:rPr>
            </w:pPr>
            <w:r w:rsidRPr="000F5907">
              <w:rPr>
                <w:rFonts w:cs="Arial"/>
                <w:color w:val="000000"/>
                <w:sz w:val="20"/>
                <w:szCs w:val="20"/>
              </w:rPr>
              <w:t xml:space="preserve">Triple rinse containers before disposal. Break, crush or puncture and deliver empty packaging to an approved waste management facility. If an approved waste management facility is not available, dispose of empty packaging in compliance with relevant local, state or territory government regulations. </w:t>
            </w:r>
            <w:r w:rsidRPr="00850F41">
              <w:rPr>
                <w:rFonts w:cs="Arial"/>
                <w:color w:val="000000"/>
                <w:sz w:val="20"/>
                <w:szCs w:val="20"/>
              </w:rPr>
              <w:t xml:space="preserve">Dispose of unused product in compliance with relevant local, state or territory government regulations. </w:t>
            </w:r>
            <w:r w:rsidRPr="000F5907">
              <w:rPr>
                <w:rFonts w:cs="Arial"/>
                <w:color w:val="000000"/>
                <w:sz w:val="20"/>
                <w:szCs w:val="20"/>
              </w:rPr>
              <w:t>DO NOT burn empty containers or product.</w:t>
            </w:r>
          </w:p>
        </w:tc>
      </w:tr>
      <w:tr w:rsidR="008E67EA" w:rsidRPr="000F5907" w14:paraId="1D82D974" w14:textId="77777777" w:rsidTr="00B44A74">
        <w:trPr>
          <w:jc w:val="center"/>
        </w:trPr>
        <w:tc>
          <w:tcPr>
            <w:tcW w:w="2415" w:type="dxa"/>
            <w:tcBorders>
              <w:top w:val="single" w:sz="4" w:space="0" w:color="auto"/>
              <w:left w:val="nil"/>
              <w:bottom w:val="single" w:sz="4" w:space="0" w:color="auto"/>
              <w:right w:val="nil"/>
            </w:tcBorders>
          </w:tcPr>
          <w:p w14:paraId="762E3888" w14:textId="77777777" w:rsidR="008E67EA" w:rsidRPr="000F590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63BC1B3" w14:textId="77777777" w:rsidR="008E67EA" w:rsidRPr="000F5907" w:rsidRDefault="008E67EA" w:rsidP="00B44A74">
            <w:pPr>
              <w:spacing w:line="280" w:lineRule="exact"/>
              <w:rPr>
                <w:rFonts w:cs="Arial"/>
                <w:sz w:val="20"/>
                <w:szCs w:val="20"/>
              </w:rPr>
            </w:pPr>
          </w:p>
        </w:tc>
      </w:tr>
      <w:tr w:rsidR="008E67EA" w:rsidRPr="000F5907" w14:paraId="34C26BB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FDD006C" w14:textId="77777777" w:rsidR="008E67EA" w:rsidRPr="000F5907" w:rsidRDefault="008E67EA" w:rsidP="00B44A74">
            <w:pPr>
              <w:spacing w:line="280" w:lineRule="exact"/>
              <w:rPr>
                <w:rFonts w:cs="Arial"/>
                <w:sz w:val="20"/>
                <w:szCs w:val="20"/>
              </w:rPr>
            </w:pPr>
            <w:r w:rsidRPr="000F5907">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1C65FB70" w14:textId="77777777" w:rsidR="008E67EA" w:rsidRPr="00850F41" w:rsidRDefault="008E67EA" w:rsidP="00B44A74">
            <w:pPr>
              <w:spacing w:line="280" w:lineRule="exact"/>
              <w:rPr>
                <w:rFonts w:cs="Arial"/>
                <w:color w:val="000000"/>
                <w:sz w:val="20"/>
                <w:szCs w:val="20"/>
              </w:rPr>
            </w:pPr>
            <w:r w:rsidRPr="00850F41">
              <w:rPr>
                <w:rFonts w:cs="Arial"/>
                <w:color w:val="000000"/>
                <w:sz w:val="20"/>
                <w:szCs w:val="20"/>
              </w:rPr>
              <w:t>SAFETY DIRECTIONS</w:t>
            </w:r>
          </w:p>
          <w:p w14:paraId="0F6BC71D" w14:textId="77777777" w:rsidR="008E67EA" w:rsidRPr="000F5907" w:rsidRDefault="008E67EA" w:rsidP="00B44A74">
            <w:pPr>
              <w:spacing w:line="280" w:lineRule="exact"/>
              <w:rPr>
                <w:rFonts w:cs="Arial"/>
                <w:sz w:val="20"/>
                <w:szCs w:val="20"/>
              </w:rPr>
            </w:pPr>
            <w:r w:rsidRPr="000F5907">
              <w:rPr>
                <w:rFonts w:cs="Arial"/>
                <w:color w:val="000000"/>
                <w:sz w:val="20"/>
                <w:szCs w:val="20"/>
              </w:rPr>
              <w:t>Repeated minor exposure may have a cumulative poisoning effect. When using the product wear disposable gloves. During cleanup, disposal operations of bait and bait stations and when handling rodent carcasses wear single layer clothing and disposable gloves. If on skin and after each baiting, wash thoroughly with soap and water. After each day’s use wash contaminated clothing. Wash clothes after performing re-handling activities.</w:t>
            </w:r>
          </w:p>
        </w:tc>
      </w:tr>
      <w:tr w:rsidR="008E67EA" w:rsidRPr="000F5907" w14:paraId="1BB2BEA0" w14:textId="77777777" w:rsidTr="00B44A74">
        <w:trPr>
          <w:jc w:val="center"/>
        </w:trPr>
        <w:tc>
          <w:tcPr>
            <w:tcW w:w="2415" w:type="dxa"/>
            <w:tcBorders>
              <w:top w:val="single" w:sz="4" w:space="0" w:color="auto"/>
              <w:left w:val="nil"/>
              <w:bottom w:val="single" w:sz="4" w:space="0" w:color="auto"/>
              <w:right w:val="nil"/>
            </w:tcBorders>
          </w:tcPr>
          <w:p w14:paraId="21AA3C12" w14:textId="77777777" w:rsidR="008E67EA" w:rsidRPr="000F590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ACF3F0E" w14:textId="77777777" w:rsidR="008E67EA" w:rsidRPr="000F5907" w:rsidRDefault="008E67EA" w:rsidP="00B44A74">
            <w:pPr>
              <w:spacing w:line="280" w:lineRule="exact"/>
              <w:rPr>
                <w:rFonts w:cs="Arial"/>
                <w:sz w:val="20"/>
                <w:szCs w:val="20"/>
              </w:rPr>
            </w:pPr>
          </w:p>
        </w:tc>
      </w:tr>
      <w:tr w:rsidR="008E67EA" w:rsidRPr="000F5907" w14:paraId="1021AC6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347BEFE" w14:textId="77777777" w:rsidR="008E67EA" w:rsidRPr="000F5907" w:rsidRDefault="008E67EA" w:rsidP="00B44A74">
            <w:pPr>
              <w:spacing w:line="280" w:lineRule="exact"/>
              <w:rPr>
                <w:rFonts w:cs="Arial"/>
                <w:sz w:val="20"/>
                <w:szCs w:val="20"/>
              </w:rPr>
            </w:pPr>
            <w:r w:rsidRPr="000F5907">
              <w:rPr>
                <w:rFonts w:cs="Arial"/>
                <w:sz w:val="20"/>
                <w:szCs w:val="20"/>
              </w:rPr>
              <w:lastRenderedPageBreak/>
              <w:t>First Aid Instructions:</w:t>
            </w:r>
          </w:p>
        </w:tc>
        <w:tc>
          <w:tcPr>
            <w:tcW w:w="7755" w:type="dxa"/>
            <w:tcBorders>
              <w:top w:val="single" w:sz="4" w:space="0" w:color="auto"/>
              <w:left w:val="single" w:sz="4" w:space="0" w:color="auto"/>
              <w:bottom w:val="single" w:sz="4" w:space="0" w:color="auto"/>
              <w:right w:val="single" w:sz="4" w:space="0" w:color="auto"/>
            </w:tcBorders>
          </w:tcPr>
          <w:p w14:paraId="6276D8F5" w14:textId="77777777" w:rsidR="008E67EA" w:rsidRPr="00850F41" w:rsidRDefault="008E67EA" w:rsidP="00B44A74">
            <w:pPr>
              <w:spacing w:line="280" w:lineRule="exact"/>
              <w:rPr>
                <w:rFonts w:cs="Arial"/>
                <w:color w:val="000000"/>
                <w:sz w:val="20"/>
                <w:szCs w:val="20"/>
              </w:rPr>
            </w:pPr>
            <w:r w:rsidRPr="00850F41">
              <w:rPr>
                <w:rFonts w:cs="Arial"/>
                <w:color w:val="000000"/>
                <w:sz w:val="20"/>
                <w:szCs w:val="20"/>
              </w:rPr>
              <w:t>FIRST AID</w:t>
            </w:r>
          </w:p>
          <w:p w14:paraId="046E222C" w14:textId="77777777" w:rsidR="008E67EA" w:rsidRPr="000F5907" w:rsidRDefault="008E67EA" w:rsidP="00B44A74">
            <w:pPr>
              <w:spacing w:line="280" w:lineRule="exact"/>
              <w:rPr>
                <w:rFonts w:cs="Arial"/>
                <w:sz w:val="20"/>
                <w:szCs w:val="20"/>
              </w:rPr>
            </w:pPr>
            <w:r w:rsidRPr="000F5907">
              <w:rPr>
                <w:rFonts w:cs="Arial"/>
                <w:color w:val="000000"/>
                <w:sz w:val="20"/>
                <w:szCs w:val="20"/>
              </w:rPr>
              <w:t>If poisoning occurs, contact a doctor or Poisons Information Centre. Phone Australia 13 11 26, New Zealand 0800 764 766. Vitamin K1 (Phytomenadione) is antidotal.</w:t>
            </w:r>
          </w:p>
        </w:tc>
      </w:tr>
      <w:tr w:rsidR="008E67EA" w:rsidRPr="000F5907" w14:paraId="0B14C9EA" w14:textId="77777777" w:rsidTr="00B44A74">
        <w:trPr>
          <w:jc w:val="center"/>
        </w:trPr>
        <w:tc>
          <w:tcPr>
            <w:tcW w:w="2415" w:type="dxa"/>
            <w:tcBorders>
              <w:top w:val="single" w:sz="4" w:space="0" w:color="auto"/>
              <w:left w:val="nil"/>
              <w:bottom w:val="single" w:sz="4" w:space="0" w:color="auto"/>
              <w:right w:val="nil"/>
            </w:tcBorders>
          </w:tcPr>
          <w:p w14:paraId="76E0C582" w14:textId="77777777" w:rsidR="008E67EA" w:rsidRPr="000F590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8060C5B" w14:textId="77777777" w:rsidR="008E67EA" w:rsidRPr="000F5907" w:rsidRDefault="008E67EA" w:rsidP="00B44A74">
            <w:pPr>
              <w:spacing w:line="280" w:lineRule="exact"/>
              <w:rPr>
                <w:rFonts w:cs="Arial"/>
                <w:sz w:val="20"/>
                <w:szCs w:val="20"/>
              </w:rPr>
            </w:pPr>
          </w:p>
        </w:tc>
      </w:tr>
      <w:tr w:rsidR="008E67EA" w:rsidRPr="000F5907" w14:paraId="50FC7F8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792DB18" w14:textId="77777777" w:rsidR="008E67EA" w:rsidRPr="000F5907" w:rsidRDefault="008E67EA" w:rsidP="00B44A74">
            <w:pPr>
              <w:spacing w:line="280" w:lineRule="exact"/>
              <w:rPr>
                <w:rFonts w:cs="Arial"/>
                <w:sz w:val="20"/>
                <w:szCs w:val="20"/>
              </w:rPr>
            </w:pPr>
            <w:r w:rsidRPr="000F5907">
              <w:rPr>
                <w:rFonts w:cs="Arial"/>
                <w:sz w:val="20"/>
                <w:szCs w:val="20"/>
              </w:rPr>
              <w:t>First Aid Warnings:</w:t>
            </w:r>
          </w:p>
        </w:tc>
        <w:tc>
          <w:tcPr>
            <w:tcW w:w="7755" w:type="dxa"/>
            <w:tcBorders>
              <w:top w:val="single" w:sz="4" w:space="0" w:color="auto"/>
              <w:left w:val="single" w:sz="4" w:space="0" w:color="auto"/>
              <w:bottom w:val="single" w:sz="4" w:space="0" w:color="auto"/>
              <w:right w:val="single" w:sz="4" w:space="0" w:color="auto"/>
            </w:tcBorders>
          </w:tcPr>
          <w:p w14:paraId="17EBED54" w14:textId="77777777" w:rsidR="008E67EA" w:rsidRPr="000F5907" w:rsidRDefault="008E67EA" w:rsidP="00B44A74">
            <w:pPr>
              <w:spacing w:line="280" w:lineRule="exact"/>
              <w:rPr>
                <w:rFonts w:cs="Arial"/>
                <w:sz w:val="20"/>
                <w:szCs w:val="20"/>
              </w:rPr>
            </w:pPr>
          </w:p>
        </w:tc>
      </w:tr>
    </w:tbl>
    <w:p w14:paraId="01B5AAAD" w14:textId="77777777" w:rsidR="008E67EA" w:rsidRPr="000F5907" w:rsidRDefault="008E67EA" w:rsidP="008E67EA">
      <w:pPr>
        <w:rPr>
          <w:rFonts w:cs="Arial"/>
          <w:sz w:val="20"/>
          <w:szCs w:val="20"/>
        </w:rPr>
      </w:pPr>
    </w:p>
    <w:p w14:paraId="316164A6" w14:textId="77777777" w:rsidR="008E67EA" w:rsidRDefault="008E67EA" w:rsidP="008E67EA">
      <w:pPr>
        <w:spacing w:line="280" w:lineRule="exact"/>
        <w:rPr>
          <w:rFonts w:cs="Arial"/>
          <w:b/>
          <w:bCs/>
          <w:sz w:val="20"/>
          <w:szCs w:val="20"/>
        </w:rPr>
      </w:pPr>
      <w:r w:rsidRPr="00617F01">
        <w:rPr>
          <w:rFonts w:cs="Arial"/>
          <w:b/>
          <w:bCs/>
          <w:sz w:val="20"/>
          <w:szCs w:val="20"/>
        </w:rPr>
        <w:t>DIRECTIONS FOR USE</w:t>
      </w:r>
    </w:p>
    <w:p w14:paraId="005EF7D2" w14:textId="77777777" w:rsidR="008E67EA" w:rsidRPr="00A67A8D" w:rsidRDefault="008E67EA" w:rsidP="008E67EA">
      <w:pPr>
        <w:spacing w:line="280" w:lineRule="exact"/>
        <w:rPr>
          <w:rFonts w:cs="Arial"/>
          <w:b/>
          <w:bCs/>
          <w:i/>
          <w:iCs/>
          <w:sz w:val="20"/>
          <w:szCs w:val="20"/>
        </w:rPr>
      </w:pPr>
      <w:r w:rsidRPr="00A67A8D">
        <w:rPr>
          <w:rFonts w:cs="Arial"/>
          <w:b/>
          <w:bCs/>
          <w:i/>
          <w:iCs/>
          <w:sz w:val="20"/>
          <w:szCs w:val="20"/>
        </w:rPr>
        <w:t>Sachets and sachets in bait stations for rats and mice</w:t>
      </w:r>
    </w:p>
    <w:tbl>
      <w:tblPr>
        <w:tblStyle w:val="TableGrid"/>
        <w:tblW w:w="48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1513"/>
        <w:gridCol w:w="1061"/>
        <w:gridCol w:w="4082"/>
      </w:tblGrid>
      <w:tr w:rsidR="008E67EA" w:rsidRPr="00C118CC" w14:paraId="668D086D" w14:textId="77777777" w:rsidTr="00FF707A">
        <w:trPr>
          <w:trHeight w:val="340"/>
        </w:trPr>
        <w:tc>
          <w:tcPr>
            <w:tcW w:w="1450" w:type="pct"/>
          </w:tcPr>
          <w:p w14:paraId="5655F0A8" w14:textId="77777777" w:rsidR="008E67EA" w:rsidRPr="002F6425" w:rsidRDefault="008E67EA" w:rsidP="00B44A74">
            <w:pPr>
              <w:spacing w:line="280" w:lineRule="exact"/>
              <w:rPr>
                <w:rFonts w:cs="Arial"/>
                <w:b/>
                <w:bCs/>
                <w:spacing w:val="-2"/>
                <w:w w:val="105"/>
                <w:szCs w:val="18"/>
              </w:rPr>
            </w:pPr>
            <w:r w:rsidRPr="002F6425">
              <w:rPr>
                <w:rFonts w:cs="Arial"/>
                <w:b/>
                <w:bCs/>
                <w:szCs w:val="18"/>
              </w:rPr>
              <w:t>SITUATION</w:t>
            </w:r>
          </w:p>
        </w:tc>
        <w:tc>
          <w:tcPr>
            <w:tcW w:w="807" w:type="pct"/>
          </w:tcPr>
          <w:p w14:paraId="39FE2DCE" w14:textId="77777777" w:rsidR="008E67EA" w:rsidRPr="002F6425" w:rsidRDefault="008E67EA" w:rsidP="00B44A74">
            <w:pPr>
              <w:pStyle w:val="TableParagraph"/>
              <w:spacing w:before="61"/>
              <w:rPr>
                <w:b/>
                <w:bCs/>
                <w:spacing w:val="-4"/>
                <w:sz w:val="18"/>
                <w:szCs w:val="18"/>
              </w:rPr>
            </w:pPr>
            <w:r w:rsidRPr="002F6425">
              <w:rPr>
                <w:b/>
                <w:bCs/>
                <w:sz w:val="18"/>
                <w:szCs w:val="18"/>
              </w:rPr>
              <w:t>PEST</w:t>
            </w:r>
          </w:p>
        </w:tc>
        <w:tc>
          <w:tcPr>
            <w:tcW w:w="566" w:type="pct"/>
          </w:tcPr>
          <w:p w14:paraId="673018B7" w14:textId="77777777" w:rsidR="008E67EA" w:rsidRPr="002F6425" w:rsidRDefault="008E67EA" w:rsidP="00B44A74">
            <w:pPr>
              <w:pStyle w:val="TableParagraph"/>
              <w:spacing w:before="61"/>
              <w:rPr>
                <w:b/>
                <w:bCs/>
                <w:sz w:val="18"/>
                <w:szCs w:val="18"/>
              </w:rPr>
            </w:pPr>
            <w:r w:rsidRPr="002F6425">
              <w:rPr>
                <w:b/>
                <w:bCs/>
                <w:sz w:val="18"/>
                <w:szCs w:val="18"/>
              </w:rPr>
              <w:t>RATE</w:t>
            </w:r>
          </w:p>
        </w:tc>
        <w:tc>
          <w:tcPr>
            <w:tcW w:w="2177" w:type="pct"/>
          </w:tcPr>
          <w:p w14:paraId="3B311F5D" w14:textId="77777777" w:rsidR="008E67EA" w:rsidRPr="002F6425" w:rsidRDefault="008E67EA" w:rsidP="00B44A74">
            <w:pPr>
              <w:pStyle w:val="TableParagraph"/>
              <w:spacing w:before="61"/>
              <w:rPr>
                <w:b/>
                <w:bCs/>
                <w:color w:val="7030A0"/>
                <w:sz w:val="18"/>
                <w:szCs w:val="18"/>
              </w:rPr>
            </w:pPr>
            <w:r w:rsidRPr="002F6425">
              <w:rPr>
                <w:b/>
                <w:bCs/>
                <w:sz w:val="18"/>
                <w:szCs w:val="18"/>
              </w:rPr>
              <w:t>CRITICAL COMMENTS</w:t>
            </w:r>
          </w:p>
        </w:tc>
      </w:tr>
      <w:tr w:rsidR="008E67EA" w:rsidRPr="00C118CC" w14:paraId="1EC30E7A" w14:textId="77777777" w:rsidTr="00FF707A">
        <w:trPr>
          <w:trHeight w:val="1050"/>
        </w:trPr>
        <w:tc>
          <w:tcPr>
            <w:tcW w:w="1450" w:type="pct"/>
          </w:tcPr>
          <w:p w14:paraId="4B892F0A" w14:textId="77777777" w:rsidR="008E67EA" w:rsidRPr="002F6425" w:rsidRDefault="008E67EA" w:rsidP="00B44A74">
            <w:pPr>
              <w:spacing w:line="240" w:lineRule="exact"/>
              <w:rPr>
                <w:rFonts w:cs="Arial"/>
                <w:b/>
                <w:spacing w:val="-2"/>
                <w:w w:val="105"/>
                <w:szCs w:val="18"/>
              </w:rPr>
            </w:pPr>
            <w:r w:rsidRPr="002F6425">
              <w:rPr>
                <w:rFonts w:cs="Arial"/>
                <w:b/>
                <w:spacing w:val="-2"/>
                <w:w w:val="105"/>
                <w:szCs w:val="18"/>
              </w:rPr>
              <w:t>Clean Out Treatment</w:t>
            </w:r>
            <w:r>
              <w:rPr>
                <w:rFonts w:cs="Arial"/>
                <w:b/>
                <w:spacing w:val="-2"/>
                <w:w w:val="105"/>
                <w:szCs w:val="18"/>
              </w:rPr>
              <w:t>s</w:t>
            </w:r>
            <w:r w:rsidRPr="002F6425">
              <w:rPr>
                <w:rFonts w:cs="Arial"/>
                <w:b/>
                <w:spacing w:val="-2"/>
                <w:w w:val="105"/>
                <w:szCs w:val="18"/>
              </w:rPr>
              <w:t xml:space="preserve"> </w:t>
            </w:r>
          </w:p>
          <w:p w14:paraId="68DE6C9F" w14:textId="77777777" w:rsidR="008E67EA" w:rsidRPr="00867EDB" w:rsidRDefault="008E67EA" w:rsidP="00B44A74">
            <w:pPr>
              <w:spacing w:line="240" w:lineRule="exact"/>
              <w:rPr>
                <w:rFonts w:cs="Arial"/>
                <w:bCs/>
                <w:spacing w:val="-2"/>
                <w:w w:val="105"/>
                <w:szCs w:val="18"/>
              </w:rPr>
            </w:pPr>
            <w:r w:rsidRPr="00867EDB">
              <w:rPr>
                <w:rFonts w:cs="Arial"/>
                <w:bCs/>
                <w:spacing w:val="-2"/>
                <w:w w:val="105"/>
                <w:szCs w:val="18"/>
              </w:rPr>
              <w:t xml:space="preserve">In and around </w:t>
            </w:r>
            <w:r>
              <w:rPr>
                <w:rFonts w:cs="Arial"/>
                <w:bCs/>
                <w:spacing w:val="-2"/>
                <w:w w:val="105"/>
                <w:szCs w:val="18"/>
              </w:rPr>
              <w:t>(within 2 m) agricultural, commercial do</w:t>
            </w:r>
            <w:r w:rsidRPr="00867EDB">
              <w:rPr>
                <w:rFonts w:cs="Arial"/>
                <w:bCs/>
                <w:spacing w:val="-2"/>
                <w:w w:val="105"/>
                <w:szCs w:val="18"/>
              </w:rPr>
              <w:t>mestic</w:t>
            </w:r>
            <w:r>
              <w:rPr>
                <w:rFonts w:cs="Arial"/>
                <w:bCs/>
                <w:spacing w:val="-2"/>
                <w:w w:val="105"/>
                <w:szCs w:val="18"/>
              </w:rPr>
              <w:t xml:space="preserve"> and industrial buil</w:t>
            </w:r>
            <w:r w:rsidRPr="00867EDB">
              <w:rPr>
                <w:rFonts w:cs="Arial"/>
                <w:bCs/>
                <w:spacing w:val="-2"/>
                <w:w w:val="105"/>
                <w:szCs w:val="18"/>
              </w:rPr>
              <w:t>dings</w:t>
            </w:r>
          </w:p>
        </w:tc>
        <w:tc>
          <w:tcPr>
            <w:tcW w:w="807" w:type="pct"/>
          </w:tcPr>
          <w:p w14:paraId="37F9EF5F" w14:textId="77777777" w:rsidR="008E67EA" w:rsidRPr="00867EDB" w:rsidRDefault="008E67EA" w:rsidP="00B44A74">
            <w:pPr>
              <w:spacing w:line="240" w:lineRule="exact"/>
              <w:rPr>
                <w:rFonts w:cs="Arial"/>
                <w:bCs/>
                <w:spacing w:val="-2"/>
                <w:w w:val="105"/>
                <w:szCs w:val="18"/>
              </w:rPr>
            </w:pPr>
            <w:r w:rsidRPr="00867EDB">
              <w:rPr>
                <w:rFonts w:cs="Arial"/>
                <w:bCs/>
                <w:spacing w:val="-2"/>
                <w:w w:val="105"/>
                <w:szCs w:val="18"/>
              </w:rPr>
              <w:t>Rats</w:t>
            </w:r>
          </w:p>
          <w:p w14:paraId="0A60E0AA" w14:textId="77777777" w:rsidR="008E67EA" w:rsidRPr="00641519" w:rsidRDefault="008E67EA" w:rsidP="00B44A74">
            <w:pPr>
              <w:spacing w:line="240" w:lineRule="exact"/>
              <w:rPr>
                <w:rFonts w:cs="Arial"/>
                <w:bCs/>
                <w:i/>
                <w:iCs/>
                <w:spacing w:val="-2"/>
                <w:w w:val="105"/>
                <w:szCs w:val="18"/>
              </w:rPr>
            </w:pPr>
            <w:r w:rsidRPr="00867EDB">
              <w:rPr>
                <w:rFonts w:cs="Arial"/>
                <w:bCs/>
                <w:spacing w:val="-2"/>
                <w:w w:val="105"/>
                <w:szCs w:val="18"/>
              </w:rPr>
              <w:t>(</w:t>
            </w:r>
            <w:r w:rsidRPr="002F6425">
              <w:rPr>
                <w:rFonts w:cs="Arial"/>
                <w:bCs/>
                <w:i/>
                <w:iCs/>
                <w:spacing w:val="-2"/>
                <w:w w:val="105"/>
                <w:szCs w:val="18"/>
              </w:rPr>
              <w:t>Rattus rattus, R. norvegicus)</w:t>
            </w:r>
          </w:p>
        </w:tc>
        <w:tc>
          <w:tcPr>
            <w:tcW w:w="566" w:type="pct"/>
          </w:tcPr>
          <w:p w14:paraId="6C713B38" w14:textId="1B7CFEDD" w:rsidR="008E67EA" w:rsidRPr="00867EDB" w:rsidRDefault="008E67EA" w:rsidP="00FF707A">
            <w:pPr>
              <w:spacing w:line="240" w:lineRule="exact"/>
              <w:rPr>
                <w:rFonts w:cs="Arial"/>
                <w:bCs/>
                <w:spacing w:val="-2"/>
                <w:w w:val="105"/>
                <w:szCs w:val="18"/>
              </w:rPr>
            </w:pPr>
            <w:r>
              <w:rPr>
                <w:rFonts w:cs="Arial"/>
                <w:bCs/>
                <w:spacing w:val="-2"/>
                <w:w w:val="105"/>
                <w:szCs w:val="18"/>
              </w:rPr>
              <w:t>[as per current label]</w:t>
            </w:r>
          </w:p>
        </w:tc>
        <w:tc>
          <w:tcPr>
            <w:tcW w:w="2177" w:type="pct"/>
            <w:vMerge w:val="restart"/>
          </w:tcPr>
          <w:p w14:paraId="4EF9C2D6" w14:textId="77777777" w:rsidR="008E67EA" w:rsidRDefault="008E67EA" w:rsidP="00B44A74">
            <w:pPr>
              <w:spacing w:after="120" w:line="240" w:lineRule="exact"/>
              <w:rPr>
                <w:rFonts w:cs="Arial"/>
                <w:bCs/>
                <w:spacing w:val="-2"/>
                <w:w w:val="105"/>
                <w:szCs w:val="18"/>
              </w:rPr>
            </w:pPr>
            <w:r w:rsidRPr="00A67A8D">
              <w:rPr>
                <w:rFonts w:cs="Arial"/>
                <w:bCs/>
                <w:spacing w:val="-2"/>
                <w:w w:val="105"/>
                <w:szCs w:val="18"/>
              </w:rPr>
              <w:t>The feeding behaviour of rats and mice is</w:t>
            </w:r>
            <w:r>
              <w:rPr>
                <w:rFonts w:cs="Arial"/>
                <w:bCs/>
                <w:spacing w:val="-2"/>
                <w:w w:val="105"/>
                <w:szCs w:val="18"/>
              </w:rPr>
              <w:t xml:space="preserve"> </w:t>
            </w:r>
            <w:r w:rsidRPr="00A67A8D">
              <w:rPr>
                <w:rFonts w:cs="Arial"/>
                <w:bCs/>
                <w:spacing w:val="-2"/>
                <w:w w:val="105"/>
                <w:szCs w:val="18"/>
              </w:rPr>
              <w:t>slightly different. Rats feed in large</w:t>
            </w:r>
            <w:r>
              <w:rPr>
                <w:rFonts w:cs="Arial"/>
                <w:bCs/>
                <w:spacing w:val="-2"/>
                <w:w w:val="105"/>
                <w:szCs w:val="18"/>
              </w:rPr>
              <w:t xml:space="preserve"> </w:t>
            </w:r>
            <w:r w:rsidRPr="00A67A8D">
              <w:rPr>
                <w:rFonts w:cs="Arial"/>
                <w:bCs/>
                <w:spacing w:val="-2"/>
                <w:w w:val="105"/>
                <w:szCs w:val="18"/>
              </w:rPr>
              <w:t>quantities in few locations whereas mice</w:t>
            </w:r>
            <w:r>
              <w:rPr>
                <w:rFonts w:cs="Arial"/>
                <w:bCs/>
                <w:spacing w:val="-2"/>
                <w:w w:val="105"/>
                <w:szCs w:val="18"/>
              </w:rPr>
              <w:t xml:space="preserve"> </w:t>
            </w:r>
            <w:r w:rsidRPr="00A67A8D">
              <w:rPr>
                <w:rFonts w:cs="Arial"/>
                <w:bCs/>
                <w:spacing w:val="-2"/>
                <w:w w:val="105"/>
                <w:szCs w:val="18"/>
              </w:rPr>
              <w:t>are more erratic and tend to feed i</w:t>
            </w:r>
            <w:r>
              <w:rPr>
                <w:rFonts w:cs="Arial"/>
                <w:bCs/>
                <w:spacing w:val="-2"/>
                <w:w w:val="105"/>
                <w:szCs w:val="18"/>
              </w:rPr>
              <w:t xml:space="preserve">n </w:t>
            </w:r>
            <w:r w:rsidRPr="00A67A8D">
              <w:rPr>
                <w:rFonts w:cs="Arial"/>
                <w:bCs/>
                <w:spacing w:val="-2"/>
                <w:w w:val="105"/>
                <w:szCs w:val="18"/>
              </w:rPr>
              <w:t>different places at different times.</w:t>
            </w:r>
          </w:p>
          <w:p w14:paraId="5EB4705F" w14:textId="28E86BFF" w:rsidR="008E67EA" w:rsidRPr="00F50857" w:rsidRDefault="008E67EA" w:rsidP="00B44A74">
            <w:pPr>
              <w:spacing w:after="120" w:line="240" w:lineRule="exact"/>
              <w:rPr>
                <w:rFonts w:cs="Arial"/>
                <w:bCs/>
                <w:spacing w:val="-2"/>
                <w:w w:val="105"/>
                <w:szCs w:val="18"/>
              </w:rPr>
            </w:pPr>
            <w:r w:rsidRPr="0013304D">
              <w:rPr>
                <w:rFonts w:cs="Arial"/>
                <w:bCs/>
                <w:spacing w:val="-2"/>
                <w:w w:val="105"/>
                <w:szCs w:val="18"/>
              </w:rPr>
              <w:t>First determine the infested areas. Where droppings are seen, inside ceiling cavities, along runs are locations more probably frequented by rats and mice.</w:t>
            </w:r>
            <w:r w:rsidRPr="00F50857">
              <w:rPr>
                <w:rFonts w:cs="Arial"/>
                <w:bCs/>
                <w:spacing w:val="-2"/>
                <w:w w:val="105"/>
                <w:szCs w:val="18"/>
              </w:rPr>
              <w:t xml:space="preserve"> Place baits in infested area.</w:t>
            </w:r>
            <w:r>
              <w:rPr>
                <w:rFonts w:cs="Arial"/>
                <w:bCs/>
                <w:spacing w:val="-2"/>
                <w:w w:val="105"/>
                <w:szCs w:val="18"/>
              </w:rPr>
              <w:t xml:space="preserve"> DO NOT touch bait.</w:t>
            </w:r>
          </w:p>
          <w:p w14:paraId="4B47C42D" w14:textId="77777777" w:rsidR="008E67EA" w:rsidRDefault="008E67EA" w:rsidP="00B44A74">
            <w:pPr>
              <w:spacing w:after="120" w:line="240" w:lineRule="exact"/>
              <w:rPr>
                <w:rFonts w:cs="Arial"/>
                <w:bCs/>
                <w:spacing w:val="-2"/>
                <w:w w:val="105"/>
                <w:szCs w:val="18"/>
              </w:rPr>
            </w:pPr>
            <w:r w:rsidRPr="00753F6C">
              <w:rPr>
                <w:rFonts w:cs="Arial"/>
                <w:bCs/>
                <w:i/>
                <w:iCs/>
                <w:spacing w:val="-2"/>
                <w:w w:val="105"/>
                <w:szCs w:val="18"/>
              </w:rPr>
              <w:t>For rats:</w:t>
            </w:r>
            <w:r>
              <w:rPr>
                <w:rFonts w:cs="Arial"/>
                <w:bCs/>
                <w:spacing w:val="-2"/>
                <w:w w:val="105"/>
                <w:szCs w:val="18"/>
              </w:rPr>
              <w:t xml:space="preserve"> </w:t>
            </w:r>
            <w:r w:rsidRPr="00867EDB">
              <w:rPr>
                <w:rFonts w:cs="Arial"/>
                <w:bCs/>
                <w:spacing w:val="-2"/>
                <w:w w:val="105"/>
                <w:szCs w:val="18"/>
              </w:rPr>
              <w:t xml:space="preserve">Place </w:t>
            </w:r>
            <w:r>
              <w:rPr>
                <w:rFonts w:cs="Arial"/>
                <w:bCs/>
                <w:spacing w:val="-2"/>
                <w:w w:val="105"/>
                <w:szCs w:val="18"/>
              </w:rPr>
              <w:t>bait stations</w:t>
            </w:r>
            <w:r w:rsidRPr="00867EDB">
              <w:rPr>
                <w:rFonts w:cs="Arial"/>
                <w:bCs/>
                <w:spacing w:val="-2"/>
                <w:w w:val="105"/>
                <w:szCs w:val="18"/>
              </w:rPr>
              <w:t xml:space="preserve"> at intervals of 5 to 9 m in infested areas</w:t>
            </w:r>
            <w:r>
              <w:rPr>
                <w:rFonts w:cs="Arial"/>
                <w:bCs/>
                <w:spacing w:val="-2"/>
                <w:w w:val="105"/>
                <w:szCs w:val="18"/>
              </w:rPr>
              <w:t>.</w:t>
            </w:r>
            <w:r>
              <w:t xml:space="preserve"> </w:t>
            </w:r>
            <w:r w:rsidRPr="0013304D">
              <w:rPr>
                <w:rFonts w:cs="Arial"/>
                <w:bCs/>
                <w:spacing w:val="-2"/>
                <w:w w:val="105"/>
                <w:szCs w:val="18"/>
              </w:rPr>
              <w:t>DO NOT exceed 9 m</w:t>
            </w:r>
            <w:r>
              <w:rPr>
                <w:rFonts w:cs="Arial"/>
                <w:bCs/>
                <w:spacing w:val="-2"/>
                <w:w w:val="105"/>
                <w:szCs w:val="18"/>
              </w:rPr>
              <w:t xml:space="preserve"> between bait stations</w:t>
            </w:r>
            <w:r w:rsidRPr="0013304D">
              <w:rPr>
                <w:rFonts w:cs="Arial"/>
                <w:bCs/>
                <w:spacing w:val="-2"/>
                <w:w w:val="105"/>
                <w:szCs w:val="18"/>
              </w:rPr>
              <w:t xml:space="preserve"> for rats</w:t>
            </w:r>
            <w:r>
              <w:rPr>
                <w:rFonts w:cs="Arial"/>
                <w:bCs/>
                <w:spacing w:val="-2"/>
                <w:w w:val="105"/>
                <w:szCs w:val="18"/>
              </w:rPr>
              <w:t>.</w:t>
            </w:r>
          </w:p>
          <w:p w14:paraId="1B3DE01F" w14:textId="77777777" w:rsidR="008E67EA" w:rsidRDefault="008E67EA" w:rsidP="00B44A74">
            <w:pPr>
              <w:spacing w:after="120" w:line="240" w:lineRule="exact"/>
              <w:rPr>
                <w:rFonts w:cs="Arial"/>
                <w:bCs/>
                <w:spacing w:val="-2"/>
                <w:w w:val="105"/>
                <w:szCs w:val="18"/>
              </w:rPr>
            </w:pPr>
            <w:r w:rsidRPr="00753F6C">
              <w:rPr>
                <w:rFonts w:cs="Arial"/>
                <w:bCs/>
                <w:i/>
                <w:iCs/>
                <w:spacing w:val="-2"/>
                <w:w w:val="105"/>
                <w:szCs w:val="18"/>
              </w:rPr>
              <w:t>For mice:</w:t>
            </w:r>
            <w:r>
              <w:rPr>
                <w:rFonts w:cs="Arial"/>
                <w:bCs/>
                <w:spacing w:val="-2"/>
                <w:w w:val="105"/>
                <w:szCs w:val="18"/>
              </w:rPr>
              <w:t xml:space="preserve"> </w:t>
            </w:r>
            <w:r w:rsidRPr="00867EDB">
              <w:rPr>
                <w:rFonts w:cs="Arial"/>
                <w:bCs/>
                <w:spacing w:val="-2"/>
                <w:w w:val="105"/>
                <w:szCs w:val="18"/>
              </w:rPr>
              <w:t xml:space="preserve">Place </w:t>
            </w:r>
            <w:r>
              <w:rPr>
                <w:rFonts w:cs="Arial"/>
                <w:bCs/>
                <w:spacing w:val="-2"/>
                <w:w w:val="105"/>
                <w:szCs w:val="18"/>
              </w:rPr>
              <w:t>bait stations</w:t>
            </w:r>
            <w:r w:rsidRPr="00867EDB">
              <w:rPr>
                <w:rFonts w:cs="Arial"/>
                <w:bCs/>
                <w:spacing w:val="-2"/>
                <w:w w:val="105"/>
                <w:szCs w:val="18"/>
              </w:rPr>
              <w:t xml:space="preserve"> at intervals of </w:t>
            </w:r>
            <w:r>
              <w:rPr>
                <w:rFonts w:cs="Arial"/>
                <w:bCs/>
                <w:spacing w:val="-2"/>
                <w:w w:val="105"/>
                <w:szCs w:val="18"/>
              </w:rPr>
              <w:t>2</w:t>
            </w:r>
            <w:r w:rsidRPr="00867EDB">
              <w:rPr>
                <w:rFonts w:cs="Arial"/>
                <w:bCs/>
                <w:spacing w:val="-2"/>
                <w:w w:val="105"/>
                <w:szCs w:val="18"/>
              </w:rPr>
              <w:t xml:space="preserve"> to </w:t>
            </w:r>
            <w:r>
              <w:rPr>
                <w:rFonts w:cs="Arial"/>
                <w:bCs/>
                <w:spacing w:val="-2"/>
                <w:w w:val="105"/>
                <w:szCs w:val="18"/>
              </w:rPr>
              <w:t>3</w:t>
            </w:r>
            <w:r w:rsidRPr="00867EDB">
              <w:rPr>
                <w:rFonts w:cs="Arial"/>
                <w:bCs/>
                <w:spacing w:val="-2"/>
                <w:w w:val="105"/>
                <w:szCs w:val="18"/>
              </w:rPr>
              <w:t xml:space="preserve"> m in infested areas</w:t>
            </w:r>
            <w:r>
              <w:rPr>
                <w:rFonts w:cs="Arial"/>
                <w:bCs/>
                <w:spacing w:val="-2"/>
                <w:w w:val="105"/>
                <w:szCs w:val="18"/>
              </w:rPr>
              <w:t>.</w:t>
            </w:r>
            <w:r>
              <w:t xml:space="preserve"> </w:t>
            </w:r>
            <w:r w:rsidRPr="0013304D">
              <w:rPr>
                <w:rFonts w:cs="Arial"/>
                <w:bCs/>
                <w:spacing w:val="-2"/>
                <w:w w:val="105"/>
                <w:szCs w:val="18"/>
              </w:rPr>
              <w:t>DO NOT exceed 3 m between bait stations for mice.</w:t>
            </w:r>
          </w:p>
          <w:p w14:paraId="2FCBBCB6" w14:textId="77777777" w:rsidR="008E67EA" w:rsidRDefault="008E67EA" w:rsidP="00B44A74">
            <w:pPr>
              <w:spacing w:after="120" w:line="240" w:lineRule="exact"/>
              <w:rPr>
                <w:rFonts w:cs="Arial"/>
                <w:bCs/>
                <w:spacing w:val="-2"/>
                <w:w w:val="105"/>
                <w:szCs w:val="18"/>
              </w:rPr>
            </w:pPr>
            <w:r w:rsidRPr="0013304D">
              <w:rPr>
                <w:rFonts w:cs="Arial"/>
                <w:bCs/>
                <w:spacing w:val="-2"/>
                <w:w w:val="105"/>
                <w:szCs w:val="18"/>
              </w:rPr>
              <w:t>Use the greater number of baits and shorter distance between bait placements when</w:t>
            </w:r>
            <w:r>
              <w:rPr>
                <w:rFonts w:cs="Arial"/>
                <w:bCs/>
                <w:spacing w:val="-2"/>
                <w:w w:val="105"/>
                <w:szCs w:val="18"/>
              </w:rPr>
              <w:t xml:space="preserve"> </w:t>
            </w:r>
            <w:r w:rsidRPr="0013304D">
              <w:rPr>
                <w:rFonts w:cs="Arial"/>
                <w:bCs/>
                <w:spacing w:val="-2"/>
                <w:w w:val="105"/>
                <w:szCs w:val="18"/>
              </w:rPr>
              <w:t>infestations are heavy.</w:t>
            </w:r>
          </w:p>
          <w:p w14:paraId="3613557B" w14:textId="7783CF41" w:rsidR="008E67EA" w:rsidRPr="00867EDB" w:rsidRDefault="008E67EA" w:rsidP="00B44A74">
            <w:pPr>
              <w:spacing w:after="120" w:line="240" w:lineRule="exact"/>
              <w:rPr>
                <w:rFonts w:cs="Arial"/>
                <w:bCs/>
                <w:spacing w:val="-2"/>
                <w:w w:val="105"/>
                <w:szCs w:val="18"/>
              </w:rPr>
            </w:pPr>
            <w:r>
              <w:rPr>
                <w:rFonts w:cs="Arial"/>
                <w:bCs/>
                <w:spacing w:val="-2"/>
                <w:w w:val="105"/>
                <w:szCs w:val="18"/>
              </w:rPr>
              <w:t>See also baiting strategy for clean out treatments.</w:t>
            </w:r>
          </w:p>
        </w:tc>
      </w:tr>
      <w:tr w:rsidR="008E67EA" w:rsidRPr="00C118CC" w14:paraId="49AC23C2" w14:textId="77777777" w:rsidTr="00FF707A">
        <w:trPr>
          <w:trHeight w:val="402"/>
        </w:trPr>
        <w:tc>
          <w:tcPr>
            <w:tcW w:w="1450" w:type="pct"/>
          </w:tcPr>
          <w:p w14:paraId="3C0F1A0A" w14:textId="77777777" w:rsidR="008E67EA" w:rsidRDefault="008E67EA" w:rsidP="00B44A74">
            <w:pPr>
              <w:spacing w:line="240" w:lineRule="exact"/>
              <w:rPr>
                <w:rFonts w:cs="Arial"/>
                <w:bCs/>
                <w:spacing w:val="-2"/>
                <w:w w:val="105"/>
                <w:szCs w:val="18"/>
              </w:rPr>
            </w:pPr>
            <w:r w:rsidRPr="002F6425">
              <w:rPr>
                <w:rFonts w:cs="Arial"/>
                <w:b/>
                <w:spacing w:val="-2"/>
                <w:w w:val="105"/>
                <w:szCs w:val="18"/>
              </w:rPr>
              <w:t>Clean Out Treatment</w:t>
            </w:r>
            <w:r>
              <w:rPr>
                <w:rFonts w:cs="Arial"/>
                <w:b/>
                <w:spacing w:val="-2"/>
                <w:w w:val="105"/>
                <w:szCs w:val="18"/>
              </w:rPr>
              <w:t>s</w:t>
            </w:r>
          </w:p>
          <w:p w14:paraId="2A66C28F" w14:textId="77777777" w:rsidR="008E67EA" w:rsidRPr="00867EDB" w:rsidRDefault="008E67EA" w:rsidP="00B44A74">
            <w:pPr>
              <w:spacing w:line="240" w:lineRule="exact"/>
              <w:rPr>
                <w:rFonts w:cs="Arial"/>
                <w:bCs/>
                <w:spacing w:val="-2"/>
                <w:w w:val="105"/>
                <w:szCs w:val="18"/>
              </w:rPr>
            </w:pPr>
            <w:r w:rsidRPr="00867EDB">
              <w:rPr>
                <w:rFonts w:cs="Arial"/>
                <w:bCs/>
                <w:spacing w:val="-2"/>
                <w:w w:val="105"/>
                <w:szCs w:val="18"/>
              </w:rPr>
              <w:t xml:space="preserve">In </w:t>
            </w:r>
            <w:r>
              <w:rPr>
                <w:rFonts w:cs="Arial"/>
                <w:bCs/>
                <w:spacing w:val="-2"/>
                <w:w w:val="105"/>
                <w:szCs w:val="18"/>
              </w:rPr>
              <w:t>agricultural, commercial do</w:t>
            </w:r>
            <w:r w:rsidRPr="00867EDB">
              <w:rPr>
                <w:rFonts w:cs="Arial"/>
                <w:bCs/>
                <w:spacing w:val="-2"/>
                <w:w w:val="105"/>
                <w:szCs w:val="18"/>
              </w:rPr>
              <w:t>mestic</w:t>
            </w:r>
            <w:r>
              <w:rPr>
                <w:rFonts w:cs="Arial"/>
                <w:bCs/>
                <w:spacing w:val="-2"/>
                <w:w w:val="105"/>
                <w:szCs w:val="18"/>
              </w:rPr>
              <w:t xml:space="preserve"> and industrial buil</w:t>
            </w:r>
            <w:r w:rsidRPr="00867EDB">
              <w:rPr>
                <w:rFonts w:cs="Arial"/>
                <w:bCs/>
                <w:spacing w:val="-2"/>
                <w:w w:val="105"/>
                <w:szCs w:val="18"/>
              </w:rPr>
              <w:t>dings</w:t>
            </w:r>
          </w:p>
        </w:tc>
        <w:tc>
          <w:tcPr>
            <w:tcW w:w="807" w:type="pct"/>
          </w:tcPr>
          <w:p w14:paraId="4342A205" w14:textId="77777777" w:rsidR="008E67EA" w:rsidRPr="00867EDB" w:rsidRDefault="008E67EA" w:rsidP="00B44A74">
            <w:pPr>
              <w:spacing w:line="240" w:lineRule="exact"/>
              <w:rPr>
                <w:rFonts w:cs="Arial"/>
                <w:bCs/>
                <w:spacing w:val="-2"/>
                <w:w w:val="105"/>
                <w:szCs w:val="18"/>
              </w:rPr>
            </w:pPr>
            <w:r w:rsidRPr="00867EDB">
              <w:rPr>
                <w:rFonts w:cs="Arial"/>
                <w:bCs/>
                <w:spacing w:val="-2"/>
                <w:w w:val="105"/>
                <w:szCs w:val="18"/>
              </w:rPr>
              <w:t>Mice</w:t>
            </w:r>
          </w:p>
          <w:p w14:paraId="516774D5" w14:textId="254A13A4" w:rsidR="008E67EA" w:rsidRPr="00867EDB" w:rsidRDefault="008E67EA" w:rsidP="00FF707A">
            <w:pPr>
              <w:spacing w:line="240" w:lineRule="exact"/>
              <w:rPr>
                <w:rFonts w:cs="Arial"/>
                <w:bCs/>
                <w:spacing w:val="-2"/>
                <w:w w:val="105"/>
                <w:szCs w:val="18"/>
              </w:rPr>
            </w:pPr>
            <w:r w:rsidRPr="002F6425">
              <w:rPr>
                <w:rFonts w:cs="Arial"/>
                <w:bCs/>
                <w:i/>
                <w:iCs/>
                <w:spacing w:val="-2"/>
                <w:w w:val="105"/>
                <w:szCs w:val="18"/>
              </w:rPr>
              <w:t>(Mus domesticus)</w:t>
            </w:r>
          </w:p>
        </w:tc>
        <w:tc>
          <w:tcPr>
            <w:tcW w:w="566" w:type="pct"/>
          </w:tcPr>
          <w:p w14:paraId="79AAF606" w14:textId="25E04CA0" w:rsidR="008E67EA" w:rsidRPr="00867EDB" w:rsidRDefault="008E67EA" w:rsidP="00FF707A">
            <w:pPr>
              <w:spacing w:line="240" w:lineRule="exact"/>
              <w:rPr>
                <w:rFonts w:cs="Arial"/>
                <w:bCs/>
                <w:spacing w:val="-2"/>
                <w:w w:val="105"/>
                <w:szCs w:val="18"/>
              </w:rPr>
            </w:pPr>
            <w:r>
              <w:rPr>
                <w:rFonts w:cs="Arial"/>
                <w:bCs/>
                <w:spacing w:val="-2"/>
                <w:w w:val="105"/>
                <w:szCs w:val="18"/>
              </w:rPr>
              <w:t>[as per current label]</w:t>
            </w:r>
          </w:p>
        </w:tc>
        <w:tc>
          <w:tcPr>
            <w:tcW w:w="2177" w:type="pct"/>
            <w:vMerge/>
          </w:tcPr>
          <w:p w14:paraId="2EAD4E93" w14:textId="77777777" w:rsidR="008E67EA" w:rsidRPr="00867EDB" w:rsidRDefault="008E67EA" w:rsidP="00B44A74">
            <w:pPr>
              <w:spacing w:line="240" w:lineRule="exact"/>
              <w:rPr>
                <w:rFonts w:cs="Arial"/>
                <w:bCs/>
                <w:spacing w:val="-2"/>
                <w:w w:val="105"/>
                <w:szCs w:val="18"/>
              </w:rPr>
            </w:pPr>
          </w:p>
        </w:tc>
      </w:tr>
      <w:tr w:rsidR="008E67EA" w:rsidRPr="00C118CC" w14:paraId="266F1498" w14:textId="77777777" w:rsidTr="00FF707A">
        <w:trPr>
          <w:trHeight w:val="1247"/>
        </w:trPr>
        <w:tc>
          <w:tcPr>
            <w:tcW w:w="1450" w:type="pct"/>
          </w:tcPr>
          <w:p w14:paraId="6BE4B8D1" w14:textId="4E3781CB" w:rsidR="008E67EA" w:rsidRPr="002F6425" w:rsidRDefault="008E67EA" w:rsidP="00B44A74">
            <w:pPr>
              <w:spacing w:line="240" w:lineRule="exact"/>
              <w:rPr>
                <w:rFonts w:cs="Arial"/>
                <w:b/>
                <w:spacing w:val="-2"/>
                <w:w w:val="105"/>
                <w:szCs w:val="18"/>
              </w:rPr>
            </w:pPr>
            <w:r w:rsidRPr="002F6425">
              <w:rPr>
                <w:rFonts w:cs="Arial"/>
                <w:b/>
                <w:spacing w:val="-2"/>
                <w:w w:val="105"/>
                <w:szCs w:val="18"/>
              </w:rPr>
              <w:t>Monitoring and/or Maintenance Treatments</w:t>
            </w:r>
          </w:p>
          <w:p w14:paraId="409326FB" w14:textId="77777777" w:rsidR="008E67EA" w:rsidRDefault="008E67EA" w:rsidP="00B44A74">
            <w:pPr>
              <w:spacing w:line="240" w:lineRule="exact"/>
              <w:rPr>
                <w:rFonts w:cs="Arial"/>
                <w:bCs/>
                <w:spacing w:val="-2"/>
                <w:w w:val="105"/>
                <w:szCs w:val="18"/>
              </w:rPr>
            </w:pPr>
            <w:r w:rsidRPr="00867EDB">
              <w:rPr>
                <w:rFonts w:cs="Arial"/>
                <w:bCs/>
                <w:spacing w:val="-2"/>
                <w:w w:val="105"/>
                <w:szCs w:val="18"/>
              </w:rPr>
              <w:t xml:space="preserve">In and around </w:t>
            </w:r>
            <w:r>
              <w:rPr>
                <w:rFonts w:cs="Arial"/>
                <w:bCs/>
                <w:spacing w:val="-2"/>
                <w:w w:val="105"/>
                <w:szCs w:val="18"/>
              </w:rPr>
              <w:t>(within 2 m) agricultural, commercial do</w:t>
            </w:r>
            <w:r w:rsidRPr="00867EDB">
              <w:rPr>
                <w:rFonts w:cs="Arial"/>
                <w:bCs/>
                <w:spacing w:val="-2"/>
                <w:w w:val="105"/>
                <w:szCs w:val="18"/>
              </w:rPr>
              <w:t>mestic</w:t>
            </w:r>
            <w:r>
              <w:rPr>
                <w:rFonts w:cs="Arial"/>
                <w:bCs/>
                <w:spacing w:val="-2"/>
                <w:w w:val="105"/>
                <w:szCs w:val="18"/>
              </w:rPr>
              <w:t xml:space="preserve"> and industrial buil</w:t>
            </w:r>
            <w:r w:rsidRPr="00867EDB">
              <w:rPr>
                <w:rFonts w:cs="Arial"/>
                <w:bCs/>
                <w:spacing w:val="-2"/>
                <w:w w:val="105"/>
                <w:szCs w:val="18"/>
              </w:rPr>
              <w:t>dings</w:t>
            </w:r>
          </w:p>
        </w:tc>
        <w:tc>
          <w:tcPr>
            <w:tcW w:w="807" w:type="pct"/>
          </w:tcPr>
          <w:p w14:paraId="684B4B2A" w14:textId="77777777" w:rsidR="008E67EA" w:rsidRPr="00867EDB" w:rsidRDefault="008E67EA" w:rsidP="00B44A74">
            <w:pPr>
              <w:spacing w:line="240" w:lineRule="exact"/>
              <w:rPr>
                <w:rFonts w:cs="Arial"/>
                <w:bCs/>
                <w:spacing w:val="-2"/>
                <w:w w:val="105"/>
                <w:szCs w:val="18"/>
              </w:rPr>
            </w:pPr>
            <w:r w:rsidRPr="00867EDB">
              <w:rPr>
                <w:rFonts w:cs="Arial"/>
                <w:bCs/>
                <w:spacing w:val="-2"/>
                <w:w w:val="105"/>
                <w:szCs w:val="18"/>
              </w:rPr>
              <w:t>Rats</w:t>
            </w:r>
          </w:p>
          <w:p w14:paraId="3AEB179F" w14:textId="16B2E49B" w:rsidR="008E67EA" w:rsidRPr="00867EDB" w:rsidRDefault="008E67EA" w:rsidP="00FF707A">
            <w:pPr>
              <w:spacing w:line="240" w:lineRule="exact"/>
              <w:rPr>
                <w:rFonts w:cs="Arial"/>
                <w:bCs/>
                <w:spacing w:val="-2"/>
                <w:w w:val="105"/>
                <w:szCs w:val="18"/>
              </w:rPr>
            </w:pPr>
            <w:r w:rsidRPr="002F6425">
              <w:rPr>
                <w:rFonts w:cs="Arial"/>
                <w:bCs/>
                <w:i/>
                <w:iCs/>
                <w:spacing w:val="-2"/>
                <w:w w:val="105"/>
                <w:szCs w:val="18"/>
              </w:rPr>
              <w:t>(Rattus rattus, R. norvegicus)</w:t>
            </w:r>
          </w:p>
        </w:tc>
        <w:tc>
          <w:tcPr>
            <w:tcW w:w="566" w:type="pct"/>
            <w:vMerge w:val="restart"/>
          </w:tcPr>
          <w:p w14:paraId="61D20EDA" w14:textId="427B26A2" w:rsidR="008E67EA" w:rsidRPr="00867EDB" w:rsidRDefault="008E67EA" w:rsidP="00FF707A">
            <w:pPr>
              <w:spacing w:line="240" w:lineRule="exact"/>
              <w:rPr>
                <w:rFonts w:cs="Arial"/>
                <w:bCs/>
                <w:spacing w:val="-2"/>
                <w:w w:val="105"/>
                <w:szCs w:val="18"/>
              </w:rPr>
            </w:pPr>
            <w:r>
              <w:rPr>
                <w:rFonts w:cs="Arial"/>
                <w:bCs/>
                <w:spacing w:val="-2"/>
                <w:w w:val="105"/>
                <w:szCs w:val="18"/>
              </w:rPr>
              <w:t>[as per current label]</w:t>
            </w:r>
          </w:p>
        </w:tc>
        <w:tc>
          <w:tcPr>
            <w:tcW w:w="2177" w:type="pct"/>
            <w:vMerge w:val="restart"/>
          </w:tcPr>
          <w:p w14:paraId="5290B1E3" w14:textId="77777777" w:rsidR="008E67EA" w:rsidRDefault="008E67EA" w:rsidP="00B44A74">
            <w:pPr>
              <w:spacing w:after="120" w:line="240" w:lineRule="exact"/>
              <w:rPr>
                <w:rFonts w:cs="Arial"/>
                <w:bCs/>
                <w:spacing w:val="-2"/>
                <w:w w:val="105"/>
                <w:szCs w:val="18"/>
              </w:rPr>
            </w:pPr>
            <w:r w:rsidRPr="00867EDB">
              <w:rPr>
                <w:rFonts w:cs="Arial"/>
                <w:bCs/>
                <w:spacing w:val="-2"/>
                <w:w w:val="105"/>
                <w:szCs w:val="18"/>
              </w:rPr>
              <w:t>Place bait stations</w:t>
            </w:r>
            <w:r w:rsidRPr="002F6425">
              <w:rPr>
                <w:rFonts w:cs="Arial"/>
                <w:bCs/>
                <w:spacing w:val="-2"/>
                <w:w w:val="105"/>
                <w:szCs w:val="18"/>
              </w:rPr>
              <w:t xml:space="preserve"> in areas prone to rodent</w:t>
            </w:r>
            <w:r>
              <w:rPr>
                <w:rFonts w:cs="Arial"/>
                <w:bCs/>
                <w:spacing w:val="-2"/>
                <w:w w:val="105"/>
                <w:szCs w:val="18"/>
              </w:rPr>
              <w:t xml:space="preserve"> </w:t>
            </w:r>
            <w:r w:rsidRPr="002F6425">
              <w:rPr>
                <w:rFonts w:cs="Arial"/>
                <w:bCs/>
                <w:spacing w:val="-2"/>
                <w:w w:val="105"/>
                <w:szCs w:val="18"/>
              </w:rPr>
              <w:t>infestation</w:t>
            </w:r>
            <w:r>
              <w:rPr>
                <w:rFonts w:cs="Arial"/>
                <w:bCs/>
                <w:spacing w:val="-2"/>
                <w:w w:val="105"/>
                <w:szCs w:val="18"/>
              </w:rPr>
              <w:t xml:space="preserve"> at</w:t>
            </w:r>
            <w:r w:rsidRPr="002F6425">
              <w:rPr>
                <w:rFonts w:cs="Arial"/>
                <w:bCs/>
                <w:spacing w:val="-2"/>
                <w:w w:val="105"/>
                <w:szCs w:val="18"/>
              </w:rPr>
              <w:t xml:space="preserve"> intervals of between 15 and 30</w:t>
            </w:r>
            <w:r>
              <w:rPr>
                <w:rFonts w:cs="Arial"/>
                <w:bCs/>
                <w:spacing w:val="-2"/>
                <w:w w:val="105"/>
                <w:szCs w:val="18"/>
              </w:rPr>
              <w:t xml:space="preserve"> </w:t>
            </w:r>
            <w:r w:rsidRPr="002F6425">
              <w:rPr>
                <w:rFonts w:cs="Arial"/>
                <w:bCs/>
                <w:spacing w:val="-2"/>
                <w:w w:val="105"/>
                <w:szCs w:val="18"/>
              </w:rPr>
              <w:t>m.</w:t>
            </w:r>
          </w:p>
          <w:p w14:paraId="14053280" w14:textId="77777777" w:rsidR="008E67EA" w:rsidRPr="00867EDB" w:rsidRDefault="008E67EA" w:rsidP="00B44A74">
            <w:pPr>
              <w:spacing w:after="120" w:line="240" w:lineRule="exact"/>
              <w:rPr>
                <w:rFonts w:cs="Arial"/>
                <w:bCs/>
                <w:spacing w:val="-2"/>
                <w:w w:val="105"/>
                <w:szCs w:val="18"/>
              </w:rPr>
            </w:pPr>
            <w:r>
              <w:rPr>
                <w:rFonts w:cs="Arial"/>
                <w:bCs/>
                <w:spacing w:val="-2"/>
                <w:w w:val="105"/>
                <w:szCs w:val="18"/>
              </w:rPr>
              <w:t>See also baiting strategy for monitoring and/or maintenance treatments.</w:t>
            </w:r>
          </w:p>
        </w:tc>
      </w:tr>
      <w:tr w:rsidR="008E67EA" w:rsidRPr="00C118CC" w14:paraId="2DA17767" w14:textId="77777777" w:rsidTr="00FF707A">
        <w:trPr>
          <w:trHeight w:val="1020"/>
        </w:trPr>
        <w:tc>
          <w:tcPr>
            <w:tcW w:w="1450" w:type="pct"/>
          </w:tcPr>
          <w:p w14:paraId="0E75D89F" w14:textId="67F8C8AD" w:rsidR="008E67EA" w:rsidRPr="002F6425" w:rsidRDefault="008E67EA" w:rsidP="00B44A74">
            <w:pPr>
              <w:spacing w:line="240" w:lineRule="exact"/>
              <w:rPr>
                <w:rFonts w:cs="Arial"/>
                <w:b/>
                <w:spacing w:val="-2"/>
                <w:w w:val="105"/>
                <w:szCs w:val="18"/>
              </w:rPr>
            </w:pPr>
            <w:r w:rsidRPr="002F6425">
              <w:rPr>
                <w:rFonts w:cs="Arial"/>
                <w:b/>
                <w:spacing w:val="-2"/>
                <w:w w:val="105"/>
                <w:szCs w:val="18"/>
              </w:rPr>
              <w:t>Monitoring and/or Maintenance Treatments</w:t>
            </w:r>
          </w:p>
          <w:p w14:paraId="5A041796" w14:textId="77777777" w:rsidR="008E67EA" w:rsidRDefault="008E67EA" w:rsidP="00B44A74">
            <w:pPr>
              <w:spacing w:line="240" w:lineRule="exact"/>
              <w:rPr>
                <w:rFonts w:cs="Arial"/>
                <w:bCs/>
                <w:spacing w:val="-2"/>
                <w:w w:val="105"/>
                <w:szCs w:val="18"/>
              </w:rPr>
            </w:pPr>
            <w:r w:rsidRPr="00867EDB">
              <w:rPr>
                <w:rFonts w:cs="Arial"/>
                <w:bCs/>
                <w:spacing w:val="-2"/>
                <w:w w:val="105"/>
                <w:szCs w:val="18"/>
              </w:rPr>
              <w:t xml:space="preserve">In </w:t>
            </w:r>
            <w:r>
              <w:rPr>
                <w:rFonts w:cs="Arial"/>
                <w:bCs/>
                <w:spacing w:val="-2"/>
                <w:w w:val="105"/>
                <w:szCs w:val="18"/>
              </w:rPr>
              <w:t>agricultural, commercial do</w:t>
            </w:r>
            <w:r w:rsidRPr="00867EDB">
              <w:rPr>
                <w:rFonts w:cs="Arial"/>
                <w:bCs/>
                <w:spacing w:val="-2"/>
                <w:w w:val="105"/>
                <w:szCs w:val="18"/>
              </w:rPr>
              <w:t>mestic</w:t>
            </w:r>
            <w:r>
              <w:rPr>
                <w:rFonts w:cs="Arial"/>
                <w:bCs/>
                <w:spacing w:val="-2"/>
                <w:w w:val="105"/>
                <w:szCs w:val="18"/>
              </w:rPr>
              <w:t xml:space="preserve"> and industrial buil</w:t>
            </w:r>
            <w:r w:rsidRPr="00867EDB">
              <w:rPr>
                <w:rFonts w:cs="Arial"/>
                <w:bCs/>
                <w:spacing w:val="-2"/>
                <w:w w:val="105"/>
                <w:szCs w:val="18"/>
              </w:rPr>
              <w:t>dings</w:t>
            </w:r>
          </w:p>
        </w:tc>
        <w:tc>
          <w:tcPr>
            <w:tcW w:w="807" w:type="pct"/>
          </w:tcPr>
          <w:p w14:paraId="6A09CECD" w14:textId="77777777" w:rsidR="008E67EA" w:rsidRPr="00867EDB" w:rsidRDefault="008E67EA" w:rsidP="00B44A74">
            <w:pPr>
              <w:spacing w:line="240" w:lineRule="exact"/>
              <w:rPr>
                <w:rFonts w:cs="Arial"/>
                <w:bCs/>
                <w:spacing w:val="-2"/>
                <w:w w:val="105"/>
                <w:szCs w:val="18"/>
              </w:rPr>
            </w:pPr>
            <w:r w:rsidRPr="00867EDB">
              <w:rPr>
                <w:rFonts w:cs="Arial"/>
                <w:bCs/>
                <w:spacing w:val="-2"/>
                <w:w w:val="105"/>
                <w:szCs w:val="18"/>
              </w:rPr>
              <w:t>Mice</w:t>
            </w:r>
          </w:p>
          <w:p w14:paraId="154F6B3D" w14:textId="77777777" w:rsidR="008E67EA" w:rsidRPr="002F6425" w:rsidRDefault="008E67EA" w:rsidP="00B44A74">
            <w:pPr>
              <w:spacing w:line="240" w:lineRule="exact"/>
              <w:rPr>
                <w:rFonts w:cs="Arial"/>
                <w:bCs/>
                <w:i/>
                <w:iCs/>
                <w:spacing w:val="-2"/>
                <w:w w:val="105"/>
                <w:szCs w:val="18"/>
              </w:rPr>
            </w:pPr>
            <w:r w:rsidRPr="002F6425">
              <w:rPr>
                <w:rFonts w:cs="Arial"/>
                <w:bCs/>
                <w:i/>
                <w:iCs/>
                <w:spacing w:val="-2"/>
                <w:w w:val="105"/>
                <w:szCs w:val="18"/>
              </w:rPr>
              <w:t>(Mus domesticus)</w:t>
            </w:r>
          </w:p>
          <w:p w14:paraId="22D1B1B1" w14:textId="77777777" w:rsidR="008E67EA" w:rsidRPr="00867EDB" w:rsidRDefault="008E67EA" w:rsidP="00B44A74">
            <w:pPr>
              <w:spacing w:line="240" w:lineRule="exact"/>
              <w:rPr>
                <w:rFonts w:cs="Arial"/>
                <w:bCs/>
                <w:spacing w:val="-2"/>
                <w:w w:val="105"/>
                <w:szCs w:val="18"/>
              </w:rPr>
            </w:pPr>
          </w:p>
        </w:tc>
        <w:tc>
          <w:tcPr>
            <w:tcW w:w="566" w:type="pct"/>
            <w:vMerge/>
          </w:tcPr>
          <w:p w14:paraId="619AA56C" w14:textId="77777777" w:rsidR="008E67EA" w:rsidRPr="00867EDB" w:rsidRDefault="008E67EA" w:rsidP="00B44A74">
            <w:pPr>
              <w:spacing w:line="240" w:lineRule="exact"/>
              <w:rPr>
                <w:rFonts w:cs="Arial"/>
                <w:bCs/>
                <w:spacing w:val="-2"/>
                <w:w w:val="105"/>
                <w:szCs w:val="18"/>
              </w:rPr>
            </w:pPr>
          </w:p>
        </w:tc>
        <w:tc>
          <w:tcPr>
            <w:tcW w:w="2177" w:type="pct"/>
            <w:vMerge/>
          </w:tcPr>
          <w:p w14:paraId="04C8FD13" w14:textId="77777777" w:rsidR="008E67EA" w:rsidRPr="00867EDB" w:rsidRDefault="008E67EA" w:rsidP="00B44A74">
            <w:pPr>
              <w:spacing w:line="240" w:lineRule="exact"/>
              <w:rPr>
                <w:rFonts w:cs="Arial"/>
                <w:bCs/>
                <w:spacing w:val="-2"/>
                <w:w w:val="105"/>
                <w:szCs w:val="18"/>
              </w:rPr>
            </w:pPr>
          </w:p>
        </w:tc>
      </w:tr>
    </w:tbl>
    <w:p w14:paraId="770E7E14" w14:textId="77777777" w:rsidR="008E67EA" w:rsidRDefault="008E67EA" w:rsidP="008E67EA">
      <w:pPr>
        <w:rPr>
          <w:rFonts w:cs="Arial"/>
          <w:b/>
          <w:bCs/>
          <w:i/>
          <w:iCs/>
          <w:sz w:val="20"/>
          <w:szCs w:val="20"/>
        </w:rPr>
      </w:pPr>
      <w:r>
        <w:rPr>
          <w:rFonts w:cs="Arial"/>
          <w:b/>
          <w:bCs/>
          <w:i/>
          <w:iCs/>
          <w:sz w:val="20"/>
          <w:szCs w:val="20"/>
        </w:rPr>
        <w:br w:type="page"/>
      </w:r>
    </w:p>
    <w:p w14:paraId="0207C3F9" w14:textId="77777777" w:rsidR="008E67EA" w:rsidRPr="00A67A8D" w:rsidRDefault="008E67EA" w:rsidP="008E67EA">
      <w:pPr>
        <w:spacing w:line="280" w:lineRule="exact"/>
        <w:rPr>
          <w:rFonts w:cs="Arial"/>
          <w:b/>
          <w:bCs/>
          <w:i/>
          <w:iCs/>
          <w:sz w:val="20"/>
          <w:szCs w:val="20"/>
        </w:rPr>
      </w:pPr>
      <w:r>
        <w:rPr>
          <w:rFonts w:cs="Arial"/>
          <w:b/>
          <w:bCs/>
          <w:i/>
          <w:iCs/>
          <w:sz w:val="20"/>
          <w:szCs w:val="20"/>
        </w:rPr>
        <w:lastRenderedPageBreak/>
        <w:t>S</w:t>
      </w:r>
      <w:r w:rsidRPr="00A67A8D">
        <w:rPr>
          <w:rFonts w:cs="Arial"/>
          <w:b/>
          <w:bCs/>
          <w:i/>
          <w:iCs/>
          <w:sz w:val="20"/>
          <w:szCs w:val="20"/>
        </w:rPr>
        <w:t>achets in bait stations for mice</w:t>
      </w:r>
      <w:r>
        <w:rPr>
          <w:rFonts w:cs="Arial"/>
          <w:b/>
          <w:bCs/>
          <w:i/>
          <w:iCs/>
          <w:sz w:val="20"/>
          <w:szCs w:val="20"/>
        </w:rPr>
        <w:t xml:space="preserve"> only</w:t>
      </w:r>
    </w:p>
    <w:tbl>
      <w:tblPr>
        <w:tblStyle w:val="TableGrid"/>
        <w:tblW w:w="48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1515"/>
        <w:gridCol w:w="1059"/>
        <w:gridCol w:w="4082"/>
      </w:tblGrid>
      <w:tr w:rsidR="008E67EA" w:rsidRPr="00C118CC" w14:paraId="2E7CE8AA" w14:textId="77777777" w:rsidTr="00FF707A">
        <w:trPr>
          <w:trHeight w:val="340"/>
        </w:trPr>
        <w:tc>
          <w:tcPr>
            <w:tcW w:w="1450" w:type="pct"/>
          </w:tcPr>
          <w:p w14:paraId="7EF5E0EC" w14:textId="77777777" w:rsidR="008E67EA" w:rsidRPr="002F6425" w:rsidRDefault="008E67EA" w:rsidP="00B44A74">
            <w:pPr>
              <w:spacing w:line="280" w:lineRule="exact"/>
              <w:rPr>
                <w:rFonts w:cs="Arial"/>
                <w:b/>
                <w:bCs/>
                <w:spacing w:val="-2"/>
                <w:w w:val="105"/>
                <w:szCs w:val="18"/>
              </w:rPr>
            </w:pPr>
            <w:r w:rsidRPr="002F6425">
              <w:rPr>
                <w:rFonts w:cs="Arial"/>
                <w:b/>
                <w:bCs/>
                <w:szCs w:val="18"/>
              </w:rPr>
              <w:t>SITUATION</w:t>
            </w:r>
          </w:p>
        </w:tc>
        <w:tc>
          <w:tcPr>
            <w:tcW w:w="808" w:type="pct"/>
          </w:tcPr>
          <w:p w14:paraId="39C2CA27" w14:textId="77777777" w:rsidR="008E67EA" w:rsidRPr="002F6425" w:rsidRDefault="008E67EA" w:rsidP="00B44A74">
            <w:pPr>
              <w:pStyle w:val="TableParagraph"/>
              <w:spacing w:before="61"/>
              <w:rPr>
                <w:b/>
                <w:bCs/>
                <w:spacing w:val="-4"/>
                <w:sz w:val="18"/>
                <w:szCs w:val="18"/>
              </w:rPr>
            </w:pPr>
            <w:r w:rsidRPr="002F6425">
              <w:rPr>
                <w:b/>
                <w:bCs/>
                <w:sz w:val="18"/>
                <w:szCs w:val="18"/>
              </w:rPr>
              <w:t>PEST</w:t>
            </w:r>
          </w:p>
        </w:tc>
        <w:tc>
          <w:tcPr>
            <w:tcW w:w="565" w:type="pct"/>
          </w:tcPr>
          <w:p w14:paraId="00D213DC" w14:textId="77777777" w:rsidR="008E67EA" w:rsidRPr="002F6425" w:rsidRDefault="008E67EA" w:rsidP="00B44A74">
            <w:pPr>
              <w:pStyle w:val="TableParagraph"/>
              <w:spacing w:before="61"/>
              <w:rPr>
                <w:b/>
                <w:bCs/>
                <w:sz w:val="18"/>
                <w:szCs w:val="18"/>
              </w:rPr>
            </w:pPr>
            <w:r w:rsidRPr="002F6425">
              <w:rPr>
                <w:b/>
                <w:bCs/>
                <w:sz w:val="18"/>
                <w:szCs w:val="18"/>
              </w:rPr>
              <w:t>RATE</w:t>
            </w:r>
          </w:p>
        </w:tc>
        <w:tc>
          <w:tcPr>
            <w:tcW w:w="2177" w:type="pct"/>
          </w:tcPr>
          <w:p w14:paraId="1650A2A9" w14:textId="77777777" w:rsidR="008E67EA" w:rsidRPr="002F6425" w:rsidRDefault="008E67EA" w:rsidP="00B44A74">
            <w:pPr>
              <w:pStyle w:val="TableParagraph"/>
              <w:spacing w:before="61"/>
              <w:rPr>
                <w:b/>
                <w:bCs/>
                <w:color w:val="7030A0"/>
                <w:sz w:val="18"/>
                <w:szCs w:val="18"/>
              </w:rPr>
            </w:pPr>
            <w:r w:rsidRPr="002F6425">
              <w:rPr>
                <w:b/>
                <w:bCs/>
                <w:sz w:val="18"/>
                <w:szCs w:val="18"/>
              </w:rPr>
              <w:t>CRITICAL COMMENTS</w:t>
            </w:r>
          </w:p>
        </w:tc>
      </w:tr>
      <w:tr w:rsidR="008E67EA" w:rsidRPr="00C118CC" w14:paraId="3DF4CA1F" w14:textId="77777777" w:rsidTr="00FF707A">
        <w:trPr>
          <w:trHeight w:val="416"/>
        </w:trPr>
        <w:tc>
          <w:tcPr>
            <w:tcW w:w="1450" w:type="pct"/>
          </w:tcPr>
          <w:p w14:paraId="08F69ABD" w14:textId="77777777" w:rsidR="008E67EA" w:rsidRDefault="008E67EA" w:rsidP="00B44A74">
            <w:pPr>
              <w:spacing w:line="240" w:lineRule="exact"/>
              <w:rPr>
                <w:rFonts w:cs="Arial"/>
                <w:bCs/>
                <w:spacing w:val="-2"/>
                <w:w w:val="105"/>
                <w:szCs w:val="18"/>
              </w:rPr>
            </w:pPr>
            <w:r w:rsidRPr="002F6425">
              <w:rPr>
                <w:rFonts w:cs="Arial"/>
                <w:b/>
                <w:spacing w:val="-2"/>
                <w:w w:val="105"/>
                <w:szCs w:val="18"/>
              </w:rPr>
              <w:t>Clean Out Treatment</w:t>
            </w:r>
            <w:r>
              <w:rPr>
                <w:rFonts w:cs="Arial"/>
                <w:b/>
                <w:spacing w:val="-2"/>
                <w:w w:val="105"/>
                <w:szCs w:val="18"/>
              </w:rPr>
              <w:t>s</w:t>
            </w:r>
          </w:p>
          <w:p w14:paraId="779AFFBD" w14:textId="77777777" w:rsidR="008E67EA" w:rsidRPr="00867EDB" w:rsidRDefault="008E67EA" w:rsidP="00B44A74">
            <w:pPr>
              <w:spacing w:line="240" w:lineRule="exact"/>
              <w:rPr>
                <w:rFonts w:cs="Arial"/>
                <w:bCs/>
                <w:spacing w:val="-2"/>
                <w:w w:val="105"/>
                <w:szCs w:val="18"/>
              </w:rPr>
            </w:pPr>
            <w:r w:rsidRPr="00867EDB">
              <w:rPr>
                <w:rFonts w:cs="Arial"/>
                <w:bCs/>
                <w:spacing w:val="-2"/>
                <w:w w:val="105"/>
                <w:szCs w:val="18"/>
              </w:rPr>
              <w:t xml:space="preserve">In </w:t>
            </w:r>
            <w:r>
              <w:rPr>
                <w:rFonts w:cs="Arial"/>
                <w:bCs/>
                <w:spacing w:val="-2"/>
                <w:w w:val="105"/>
                <w:szCs w:val="18"/>
              </w:rPr>
              <w:t>agricultural, commercial do</w:t>
            </w:r>
            <w:r w:rsidRPr="00867EDB">
              <w:rPr>
                <w:rFonts w:cs="Arial"/>
                <w:bCs/>
                <w:spacing w:val="-2"/>
                <w:w w:val="105"/>
                <w:szCs w:val="18"/>
              </w:rPr>
              <w:t>mestic</w:t>
            </w:r>
            <w:r>
              <w:rPr>
                <w:rFonts w:cs="Arial"/>
                <w:bCs/>
                <w:spacing w:val="-2"/>
                <w:w w:val="105"/>
                <w:szCs w:val="18"/>
              </w:rPr>
              <w:t xml:space="preserve"> and industrial buil</w:t>
            </w:r>
            <w:r w:rsidRPr="00867EDB">
              <w:rPr>
                <w:rFonts w:cs="Arial"/>
                <w:bCs/>
                <w:spacing w:val="-2"/>
                <w:w w:val="105"/>
                <w:szCs w:val="18"/>
              </w:rPr>
              <w:t>dings</w:t>
            </w:r>
          </w:p>
        </w:tc>
        <w:tc>
          <w:tcPr>
            <w:tcW w:w="808" w:type="pct"/>
          </w:tcPr>
          <w:p w14:paraId="1051EB43" w14:textId="77777777" w:rsidR="008E67EA" w:rsidRPr="00867EDB" w:rsidRDefault="008E67EA" w:rsidP="00B44A74">
            <w:pPr>
              <w:spacing w:line="240" w:lineRule="exact"/>
              <w:rPr>
                <w:rFonts w:cs="Arial"/>
                <w:bCs/>
                <w:spacing w:val="-2"/>
                <w:w w:val="105"/>
                <w:szCs w:val="18"/>
              </w:rPr>
            </w:pPr>
            <w:r w:rsidRPr="00867EDB">
              <w:rPr>
                <w:rFonts w:cs="Arial"/>
                <w:bCs/>
                <w:spacing w:val="-2"/>
                <w:w w:val="105"/>
                <w:szCs w:val="18"/>
              </w:rPr>
              <w:t>Mice</w:t>
            </w:r>
          </w:p>
          <w:p w14:paraId="75ABA8CC" w14:textId="6FCFC8BE" w:rsidR="008E67EA" w:rsidRPr="00641519" w:rsidRDefault="008E67EA" w:rsidP="00FF707A">
            <w:pPr>
              <w:spacing w:line="240" w:lineRule="exact"/>
              <w:rPr>
                <w:rFonts w:cs="Arial"/>
                <w:bCs/>
                <w:i/>
                <w:iCs/>
                <w:spacing w:val="-2"/>
                <w:w w:val="105"/>
                <w:szCs w:val="18"/>
              </w:rPr>
            </w:pPr>
            <w:r w:rsidRPr="002F6425">
              <w:rPr>
                <w:rFonts w:cs="Arial"/>
                <w:bCs/>
                <w:i/>
                <w:iCs/>
                <w:spacing w:val="-2"/>
                <w:w w:val="105"/>
                <w:szCs w:val="18"/>
              </w:rPr>
              <w:t>(Mus domesticus)</w:t>
            </w:r>
          </w:p>
        </w:tc>
        <w:tc>
          <w:tcPr>
            <w:tcW w:w="565" w:type="pct"/>
          </w:tcPr>
          <w:p w14:paraId="67091096" w14:textId="0985DF2F" w:rsidR="008E67EA" w:rsidRPr="00867EDB" w:rsidRDefault="008E67EA" w:rsidP="00FF707A">
            <w:pPr>
              <w:spacing w:line="240" w:lineRule="exact"/>
              <w:rPr>
                <w:rFonts w:cs="Arial"/>
                <w:bCs/>
                <w:spacing w:val="-2"/>
                <w:w w:val="105"/>
                <w:szCs w:val="18"/>
              </w:rPr>
            </w:pPr>
            <w:r>
              <w:rPr>
                <w:rFonts w:cs="Arial"/>
                <w:bCs/>
                <w:spacing w:val="-2"/>
                <w:w w:val="105"/>
                <w:szCs w:val="18"/>
              </w:rPr>
              <w:t>[as per current label]</w:t>
            </w:r>
          </w:p>
        </w:tc>
        <w:tc>
          <w:tcPr>
            <w:tcW w:w="2177" w:type="pct"/>
          </w:tcPr>
          <w:p w14:paraId="61CE2EE5" w14:textId="77777777" w:rsidR="008E67EA" w:rsidRPr="00F50857" w:rsidRDefault="008E67EA" w:rsidP="00B44A74">
            <w:pPr>
              <w:spacing w:after="120" w:line="240" w:lineRule="exact"/>
              <w:rPr>
                <w:rFonts w:cs="Arial"/>
                <w:bCs/>
                <w:spacing w:val="-2"/>
                <w:w w:val="105"/>
                <w:szCs w:val="18"/>
              </w:rPr>
            </w:pPr>
            <w:r w:rsidRPr="0013304D">
              <w:rPr>
                <w:rFonts w:cs="Arial"/>
                <w:bCs/>
                <w:spacing w:val="-2"/>
                <w:w w:val="105"/>
                <w:szCs w:val="18"/>
              </w:rPr>
              <w:t>First determine the infested areas. Where</w:t>
            </w:r>
            <w:r>
              <w:rPr>
                <w:rFonts w:cs="Arial"/>
                <w:bCs/>
                <w:spacing w:val="-2"/>
                <w:w w:val="105"/>
                <w:szCs w:val="18"/>
              </w:rPr>
              <w:t xml:space="preserve"> </w:t>
            </w:r>
            <w:r w:rsidRPr="0013304D">
              <w:rPr>
                <w:rFonts w:cs="Arial"/>
                <w:bCs/>
                <w:spacing w:val="-2"/>
                <w:w w:val="105"/>
                <w:szCs w:val="18"/>
              </w:rPr>
              <w:t>droppings are seen, inside ceiling</w:t>
            </w:r>
            <w:r>
              <w:rPr>
                <w:rFonts w:cs="Arial"/>
                <w:bCs/>
                <w:spacing w:val="-2"/>
                <w:w w:val="105"/>
                <w:szCs w:val="18"/>
              </w:rPr>
              <w:t xml:space="preserve"> </w:t>
            </w:r>
            <w:r w:rsidRPr="0013304D">
              <w:rPr>
                <w:rFonts w:cs="Arial"/>
                <w:bCs/>
                <w:spacing w:val="-2"/>
                <w:w w:val="105"/>
                <w:szCs w:val="18"/>
              </w:rPr>
              <w:t>cavities, along runs are locations more</w:t>
            </w:r>
            <w:r>
              <w:rPr>
                <w:rFonts w:cs="Arial"/>
                <w:bCs/>
                <w:spacing w:val="-2"/>
                <w:w w:val="105"/>
                <w:szCs w:val="18"/>
              </w:rPr>
              <w:t xml:space="preserve"> </w:t>
            </w:r>
            <w:r w:rsidRPr="0013304D">
              <w:rPr>
                <w:rFonts w:cs="Arial"/>
                <w:bCs/>
                <w:spacing w:val="-2"/>
                <w:w w:val="105"/>
                <w:szCs w:val="18"/>
              </w:rPr>
              <w:t xml:space="preserve">probably frequented by mice. </w:t>
            </w:r>
            <w:r w:rsidRPr="00F50857">
              <w:rPr>
                <w:rFonts w:cs="Arial"/>
                <w:bCs/>
                <w:spacing w:val="-2"/>
                <w:w w:val="105"/>
                <w:szCs w:val="18"/>
              </w:rPr>
              <w:t>Place baits in infested area.</w:t>
            </w:r>
            <w:r>
              <w:rPr>
                <w:rFonts w:cs="Arial"/>
                <w:bCs/>
                <w:spacing w:val="-2"/>
                <w:w w:val="105"/>
                <w:szCs w:val="18"/>
              </w:rPr>
              <w:t xml:space="preserve"> DO NOT touch bait.</w:t>
            </w:r>
          </w:p>
          <w:p w14:paraId="3DE9F051" w14:textId="77777777" w:rsidR="008E67EA" w:rsidRDefault="008E67EA" w:rsidP="00B44A74">
            <w:pPr>
              <w:spacing w:after="120" w:line="240" w:lineRule="exact"/>
              <w:rPr>
                <w:rFonts w:cs="Arial"/>
                <w:bCs/>
                <w:spacing w:val="-2"/>
                <w:w w:val="105"/>
                <w:szCs w:val="18"/>
              </w:rPr>
            </w:pPr>
            <w:r w:rsidRPr="00753F6C">
              <w:rPr>
                <w:rFonts w:cs="Arial"/>
                <w:bCs/>
                <w:i/>
                <w:iCs/>
                <w:spacing w:val="-2"/>
                <w:w w:val="105"/>
                <w:szCs w:val="18"/>
              </w:rPr>
              <w:t>For mice:</w:t>
            </w:r>
            <w:r>
              <w:rPr>
                <w:rFonts w:cs="Arial"/>
                <w:bCs/>
                <w:spacing w:val="-2"/>
                <w:w w:val="105"/>
                <w:szCs w:val="18"/>
              </w:rPr>
              <w:t xml:space="preserve"> </w:t>
            </w:r>
            <w:r w:rsidRPr="00867EDB">
              <w:rPr>
                <w:rFonts w:cs="Arial"/>
                <w:bCs/>
                <w:spacing w:val="-2"/>
                <w:w w:val="105"/>
                <w:szCs w:val="18"/>
              </w:rPr>
              <w:t xml:space="preserve">Place </w:t>
            </w:r>
            <w:r>
              <w:rPr>
                <w:rFonts w:cs="Arial"/>
                <w:bCs/>
                <w:spacing w:val="-2"/>
                <w:w w:val="105"/>
                <w:szCs w:val="18"/>
              </w:rPr>
              <w:t>bait stations</w:t>
            </w:r>
            <w:r w:rsidRPr="00867EDB">
              <w:rPr>
                <w:rFonts w:cs="Arial"/>
                <w:bCs/>
                <w:spacing w:val="-2"/>
                <w:w w:val="105"/>
                <w:szCs w:val="18"/>
              </w:rPr>
              <w:t xml:space="preserve"> at intervals of </w:t>
            </w:r>
            <w:r>
              <w:rPr>
                <w:rFonts w:cs="Arial"/>
                <w:bCs/>
                <w:spacing w:val="-2"/>
                <w:w w:val="105"/>
                <w:szCs w:val="18"/>
              </w:rPr>
              <w:t>2</w:t>
            </w:r>
            <w:r w:rsidRPr="00867EDB">
              <w:rPr>
                <w:rFonts w:cs="Arial"/>
                <w:bCs/>
                <w:spacing w:val="-2"/>
                <w:w w:val="105"/>
                <w:szCs w:val="18"/>
              </w:rPr>
              <w:t xml:space="preserve"> to </w:t>
            </w:r>
            <w:r>
              <w:rPr>
                <w:rFonts w:cs="Arial"/>
                <w:bCs/>
                <w:spacing w:val="-2"/>
                <w:w w:val="105"/>
                <w:szCs w:val="18"/>
              </w:rPr>
              <w:t>3</w:t>
            </w:r>
            <w:r w:rsidRPr="00867EDB">
              <w:rPr>
                <w:rFonts w:cs="Arial"/>
                <w:bCs/>
                <w:spacing w:val="-2"/>
                <w:w w:val="105"/>
                <w:szCs w:val="18"/>
              </w:rPr>
              <w:t xml:space="preserve"> m in infested areas</w:t>
            </w:r>
            <w:r>
              <w:rPr>
                <w:rFonts w:cs="Arial"/>
                <w:bCs/>
                <w:spacing w:val="-2"/>
                <w:w w:val="105"/>
                <w:szCs w:val="18"/>
              </w:rPr>
              <w:t>.</w:t>
            </w:r>
            <w:r w:rsidRPr="0013304D">
              <w:rPr>
                <w:rFonts w:cs="Arial"/>
                <w:bCs/>
                <w:spacing w:val="-2"/>
                <w:w w:val="105"/>
                <w:szCs w:val="18"/>
              </w:rPr>
              <w:t xml:space="preserve"> DO NOT exceed 3 m between bait stations for mice.</w:t>
            </w:r>
          </w:p>
          <w:p w14:paraId="52B52732" w14:textId="77777777" w:rsidR="008E67EA" w:rsidRDefault="008E67EA" w:rsidP="00B44A74">
            <w:pPr>
              <w:spacing w:after="120" w:line="240" w:lineRule="exact"/>
              <w:rPr>
                <w:rFonts w:cs="Arial"/>
                <w:bCs/>
                <w:spacing w:val="-2"/>
                <w:w w:val="105"/>
                <w:szCs w:val="18"/>
              </w:rPr>
            </w:pPr>
            <w:r w:rsidRPr="0013304D">
              <w:rPr>
                <w:rFonts w:cs="Arial"/>
                <w:bCs/>
                <w:spacing w:val="-2"/>
                <w:w w:val="105"/>
                <w:szCs w:val="18"/>
              </w:rPr>
              <w:t>Use the greater number of baits and shorter distance between bait placements when infestations are heavy.</w:t>
            </w:r>
          </w:p>
          <w:p w14:paraId="0AAD85DB" w14:textId="77777777" w:rsidR="008E67EA" w:rsidRPr="00867EDB" w:rsidRDefault="008E67EA" w:rsidP="00B44A74">
            <w:pPr>
              <w:spacing w:after="120" w:line="240" w:lineRule="exact"/>
              <w:rPr>
                <w:rFonts w:cs="Arial"/>
                <w:bCs/>
                <w:spacing w:val="-2"/>
                <w:w w:val="105"/>
                <w:szCs w:val="18"/>
              </w:rPr>
            </w:pPr>
            <w:r>
              <w:rPr>
                <w:rFonts w:cs="Arial"/>
                <w:bCs/>
                <w:spacing w:val="-2"/>
                <w:w w:val="105"/>
                <w:szCs w:val="18"/>
              </w:rPr>
              <w:t>See also baiting strategy for clean out treatments.</w:t>
            </w:r>
          </w:p>
        </w:tc>
      </w:tr>
      <w:tr w:rsidR="008E67EA" w:rsidRPr="00C118CC" w14:paraId="6ECCB165" w14:textId="77777777" w:rsidTr="00FF707A">
        <w:trPr>
          <w:trHeight w:val="1247"/>
        </w:trPr>
        <w:tc>
          <w:tcPr>
            <w:tcW w:w="1450" w:type="pct"/>
          </w:tcPr>
          <w:p w14:paraId="72FADD80" w14:textId="77777777" w:rsidR="008E67EA" w:rsidRPr="002F6425" w:rsidRDefault="008E67EA" w:rsidP="00B44A74">
            <w:pPr>
              <w:spacing w:line="240" w:lineRule="exact"/>
              <w:rPr>
                <w:rFonts w:cs="Arial"/>
                <w:b/>
                <w:spacing w:val="-2"/>
                <w:w w:val="105"/>
                <w:szCs w:val="18"/>
              </w:rPr>
            </w:pPr>
            <w:r w:rsidRPr="002F6425">
              <w:rPr>
                <w:rFonts w:cs="Arial"/>
                <w:b/>
                <w:spacing w:val="-2"/>
                <w:w w:val="105"/>
                <w:szCs w:val="18"/>
              </w:rPr>
              <w:t xml:space="preserve">Monitoring and/or Maintenance Treatments </w:t>
            </w:r>
          </w:p>
          <w:p w14:paraId="1D107A54" w14:textId="77777777" w:rsidR="008E67EA" w:rsidRDefault="008E67EA" w:rsidP="00B44A74">
            <w:pPr>
              <w:spacing w:line="240" w:lineRule="exact"/>
              <w:rPr>
                <w:rFonts w:cs="Arial"/>
                <w:bCs/>
                <w:spacing w:val="-2"/>
                <w:w w:val="105"/>
                <w:szCs w:val="18"/>
              </w:rPr>
            </w:pPr>
            <w:r w:rsidRPr="00867EDB">
              <w:rPr>
                <w:rFonts w:cs="Arial"/>
                <w:bCs/>
                <w:spacing w:val="-2"/>
                <w:w w:val="105"/>
                <w:szCs w:val="18"/>
              </w:rPr>
              <w:t xml:space="preserve">In </w:t>
            </w:r>
            <w:r>
              <w:rPr>
                <w:rFonts w:cs="Arial"/>
                <w:bCs/>
                <w:spacing w:val="-2"/>
                <w:w w:val="105"/>
                <w:szCs w:val="18"/>
              </w:rPr>
              <w:t>agricultural, commercial do</w:t>
            </w:r>
            <w:r w:rsidRPr="00867EDB">
              <w:rPr>
                <w:rFonts w:cs="Arial"/>
                <w:bCs/>
                <w:spacing w:val="-2"/>
                <w:w w:val="105"/>
                <w:szCs w:val="18"/>
              </w:rPr>
              <w:t>mestic</w:t>
            </w:r>
            <w:r>
              <w:rPr>
                <w:rFonts w:cs="Arial"/>
                <w:bCs/>
                <w:spacing w:val="-2"/>
                <w:w w:val="105"/>
                <w:szCs w:val="18"/>
              </w:rPr>
              <w:t xml:space="preserve"> and industrial buil</w:t>
            </w:r>
            <w:r w:rsidRPr="00867EDB">
              <w:rPr>
                <w:rFonts w:cs="Arial"/>
                <w:bCs/>
                <w:spacing w:val="-2"/>
                <w:w w:val="105"/>
                <w:szCs w:val="18"/>
              </w:rPr>
              <w:t>dings</w:t>
            </w:r>
          </w:p>
        </w:tc>
        <w:tc>
          <w:tcPr>
            <w:tcW w:w="808" w:type="pct"/>
          </w:tcPr>
          <w:p w14:paraId="1C31A1B0" w14:textId="77777777" w:rsidR="008E67EA" w:rsidRPr="00867EDB" w:rsidRDefault="008E67EA" w:rsidP="00B44A74">
            <w:pPr>
              <w:spacing w:line="240" w:lineRule="exact"/>
              <w:rPr>
                <w:rFonts w:cs="Arial"/>
                <w:bCs/>
                <w:spacing w:val="-2"/>
                <w:w w:val="105"/>
                <w:szCs w:val="18"/>
              </w:rPr>
            </w:pPr>
            <w:r w:rsidRPr="00867EDB">
              <w:rPr>
                <w:rFonts w:cs="Arial"/>
                <w:bCs/>
                <w:spacing w:val="-2"/>
                <w:w w:val="105"/>
                <w:szCs w:val="18"/>
              </w:rPr>
              <w:t>Mice</w:t>
            </w:r>
          </w:p>
          <w:p w14:paraId="2E5BFCFF" w14:textId="1155037B" w:rsidR="008E67EA" w:rsidRPr="00867EDB" w:rsidRDefault="008E67EA" w:rsidP="00FF707A">
            <w:pPr>
              <w:spacing w:line="240" w:lineRule="exact"/>
              <w:rPr>
                <w:rFonts w:cs="Arial"/>
                <w:bCs/>
                <w:spacing w:val="-2"/>
                <w:w w:val="105"/>
                <w:szCs w:val="18"/>
              </w:rPr>
            </w:pPr>
            <w:r w:rsidRPr="002F6425">
              <w:rPr>
                <w:rFonts w:cs="Arial"/>
                <w:bCs/>
                <w:i/>
                <w:iCs/>
                <w:spacing w:val="-2"/>
                <w:w w:val="105"/>
                <w:szCs w:val="18"/>
              </w:rPr>
              <w:t>(Mus domesticus)</w:t>
            </w:r>
          </w:p>
        </w:tc>
        <w:tc>
          <w:tcPr>
            <w:tcW w:w="565" w:type="pct"/>
          </w:tcPr>
          <w:p w14:paraId="6117CB1B" w14:textId="0573533D" w:rsidR="008E67EA" w:rsidRPr="00867EDB" w:rsidRDefault="008E67EA" w:rsidP="00FF707A">
            <w:pPr>
              <w:spacing w:line="240" w:lineRule="exact"/>
              <w:rPr>
                <w:rFonts w:cs="Arial"/>
                <w:bCs/>
                <w:spacing w:val="-2"/>
                <w:w w:val="105"/>
                <w:szCs w:val="18"/>
              </w:rPr>
            </w:pPr>
            <w:r>
              <w:rPr>
                <w:rFonts w:cs="Arial"/>
                <w:bCs/>
                <w:spacing w:val="-2"/>
                <w:w w:val="105"/>
                <w:szCs w:val="18"/>
              </w:rPr>
              <w:t>[as per current label]</w:t>
            </w:r>
          </w:p>
        </w:tc>
        <w:tc>
          <w:tcPr>
            <w:tcW w:w="2177" w:type="pct"/>
          </w:tcPr>
          <w:p w14:paraId="68D7C40A" w14:textId="77777777" w:rsidR="008E67EA" w:rsidRDefault="008E67EA" w:rsidP="00B44A74">
            <w:pPr>
              <w:spacing w:after="120" w:line="240" w:lineRule="exact"/>
              <w:rPr>
                <w:rFonts w:cs="Arial"/>
                <w:bCs/>
                <w:spacing w:val="-2"/>
                <w:w w:val="105"/>
                <w:szCs w:val="18"/>
              </w:rPr>
            </w:pPr>
            <w:r w:rsidRPr="00867EDB">
              <w:rPr>
                <w:rFonts w:cs="Arial"/>
                <w:bCs/>
                <w:spacing w:val="-2"/>
                <w:w w:val="105"/>
                <w:szCs w:val="18"/>
              </w:rPr>
              <w:t>Place bait stations</w:t>
            </w:r>
            <w:r w:rsidRPr="002F6425">
              <w:rPr>
                <w:rFonts w:cs="Arial"/>
                <w:bCs/>
                <w:spacing w:val="-2"/>
                <w:w w:val="105"/>
                <w:szCs w:val="18"/>
              </w:rPr>
              <w:t xml:space="preserve"> in areas prone to rodent</w:t>
            </w:r>
            <w:r>
              <w:rPr>
                <w:rFonts w:cs="Arial"/>
                <w:bCs/>
                <w:spacing w:val="-2"/>
                <w:w w:val="105"/>
                <w:szCs w:val="18"/>
              </w:rPr>
              <w:t xml:space="preserve"> </w:t>
            </w:r>
            <w:r w:rsidRPr="002F6425">
              <w:rPr>
                <w:rFonts w:cs="Arial"/>
                <w:bCs/>
                <w:spacing w:val="-2"/>
                <w:w w:val="105"/>
                <w:szCs w:val="18"/>
              </w:rPr>
              <w:t>infestation</w:t>
            </w:r>
            <w:r>
              <w:rPr>
                <w:rFonts w:cs="Arial"/>
                <w:bCs/>
                <w:spacing w:val="-2"/>
                <w:w w:val="105"/>
                <w:szCs w:val="18"/>
              </w:rPr>
              <w:t xml:space="preserve"> at</w:t>
            </w:r>
            <w:r w:rsidRPr="002F6425">
              <w:rPr>
                <w:rFonts w:cs="Arial"/>
                <w:bCs/>
                <w:spacing w:val="-2"/>
                <w:w w:val="105"/>
                <w:szCs w:val="18"/>
              </w:rPr>
              <w:t xml:space="preserve"> intervals of between 15 and 30</w:t>
            </w:r>
            <w:r>
              <w:rPr>
                <w:rFonts w:cs="Arial"/>
                <w:bCs/>
                <w:spacing w:val="-2"/>
                <w:w w:val="105"/>
                <w:szCs w:val="18"/>
              </w:rPr>
              <w:t xml:space="preserve"> </w:t>
            </w:r>
            <w:r w:rsidRPr="002F6425">
              <w:rPr>
                <w:rFonts w:cs="Arial"/>
                <w:bCs/>
                <w:spacing w:val="-2"/>
                <w:w w:val="105"/>
                <w:szCs w:val="18"/>
              </w:rPr>
              <w:t>m.</w:t>
            </w:r>
          </w:p>
          <w:p w14:paraId="3888AFCA" w14:textId="77777777" w:rsidR="008E67EA" w:rsidRPr="00867EDB" w:rsidRDefault="008E67EA" w:rsidP="00B44A74">
            <w:pPr>
              <w:spacing w:after="120" w:line="240" w:lineRule="exact"/>
              <w:rPr>
                <w:rFonts w:cs="Arial"/>
                <w:bCs/>
                <w:spacing w:val="-2"/>
                <w:w w:val="105"/>
                <w:szCs w:val="18"/>
              </w:rPr>
            </w:pPr>
            <w:r>
              <w:rPr>
                <w:rFonts w:cs="Arial"/>
                <w:bCs/>
                <w:spacing w:val="-2"/>
                <w:w w:val="105"/>
                <w:szCs w:val="18"/>
              </w:rPr>
              <w:t>See also baiting strategy for monitoring and/or maintenance treatments.</w:t>
            </w:r>
          </w:p>
        </w:tc>
      </w:tr>
    </w:tbl>
    <w:p w14:paraId="3DBE67CD" w14:textId="77777777" w:rsidR="008E67EA" w:rsidRDefault="008E67EA" w:rsidP="008E67EA">
      <w:pPr>
        <w:spacing w:line="280" w:lineRule="exact"/>
        <w:rPr>
          <w:rFonts w:cs="Arial"/>
          <w:b/>
          <w:bCs/>
          <w:sz w:val="20"/>
          <w:szCs w:val="20"/>
        </w:rPr>
      </w:pPr>
    </w:p>
    <w:p w14:paraId="4CA103E8" w14:textId="77777777" w:rsidR="008E67EA" w:rsidRPr="00867EDB" w:rsidRDefault="008E67EA" w:rsidP="008E67EA">
      <w:pPr>
        <w:spacing w:line="280" w:lineRule="exact"/>
        <w:rPr>
          <w:rFonts w:cs="Arial"/>
          <w:b/>
          <w:bCs/>
          <w:color w:val="000000" w:themeColor="text1"/>
          <w:sz w:val="20"/>
          <w:szCs w:val="20"/>
        </w:rPr>
      </w:pPr>
      <w:r w:rsidRPr="00867EDB">
        <w:rPr>
          <w:rFonts w:cs="Arial"/>
          <w:b/>
          <w:bCs/>
          <w:color w:val="000000" w:themeColor="text1"/>
          <w:sz w:val="20"/>
          <w:szCs w:val="20"/>
        </w:rPr>
        <w:t>Baiting Strategy</w:t>
      </w:r>
    </w:p>
    <w:p w14:paraId="581FAC5A" w14:textId="77777777" w:rsidR="008E67EA" w:rsidRPr="00B832BB"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Eliminate all alternative food sources as far as practical.</w:t>
      </w:r>
    </w:p>
    <w:p w14:paraId="5223E710" w14:textId="77777777" w:rsidR="008E67EA" w:rsidRPr="00B832BB"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B832BB">
        <w:rPr>
          <w:rFonts w:eastAsia="Calibri" w:cs="Arial"/>
          <w:sz w:val="20"/>
          <w:szCs w:val="20"/>
          <w:bdr w:val="none" w:sz="0" w:space="0" w:color="auto" w:frame="1"/>
          <w:lang w:val="en-GB" w:eastAsia="en-AU"/>
        </w:rPr>
        <w:t>When used in food producing animal housing situations careful consideration is necessary regarding the placement of bait stations to ensure any rodenticide contamination of water, feed or livestock is prevented.</w:t>
      </w:r>
    </w:p>
    <w:p w14:paraId="46644002" w14:textId="77777777" w:rsidR="008E67EA" w:rsidRPr="00867EDB" w:rsidRDefault="008E67EA" w:rsidP="008E67EA">
      <w:pPr>
        <w:spacing w:line="280" w:lineRule="exact"/>
        <w:rPr>
          <w:rFonts w:cs="Arial"/>
          <w:b/>
          <w:bCs/>
          <w:i/>
          <w:iCs/>
          <w:color w:val="000000" w:themeColor="text1"/>
          <w:sz w:val="20"/>
          <w:szCs w:val="20"/>
        </w:rPr>
      </w:pPr>
      <w:r w:rsidRPr="00867EDB">
        <w:rPr>
          <w:rFonts w:cs="Arial"/>
          <w:b/>
          <w:bCs/>
          <w:i/>
          <w:iCs/>
          <w:color w:val="000000" w:themeColor="text1"/>
          <w:sz w:val="20"/>
          <w:szCs w:val="20"/>
        </w:rPr>
        <w:t xml:space="preserve">Clean Out Treatments (Pulse Baiting) </w:t>
      </w:r>
    </w:p>
    <w:p w14:paraId="0EF8557C" w14:textId="77777777" w:rsidR="008E67EA" w:rsidRPr="00641519"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Clean out treatments are used to remove existing infestations</w:t>
      </w:r>
      <w:r>
        <w:rPr>
          <w:rFonts w:eastAsia="Calibri" w:cs="Arial"/>
          <w:sz w:val="20"/>
          <w:szCs w:val="20"/>
          <w:bdr w:val="none" w:sz="0" w:space="0" w:color="auto" w:frame="1"/>
          <w:lang w:val="en-GB" w:eastAsia="en-AU"/>
        </w:rPr>
        <w:t>.</w:t>
      </w:r>
    </w:p>
    <w:p w14:paraId="67F437D5" w14:textId="77777777" w:rsidR="008E67EA"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Survey site prior to treatment, including assessment of the extent of infestation and identification of any indications of the presence of non-target animals.</w:t>
      </w:r>
    </w:p>
    <w:p w14:paraId="1F0ED2A7" w14:textId="77777777" w:rsidR="008E67EA" w:rsidRPr="00F50857"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B01447">
        <w:rPr>
          <w:rFonts w:eastAsia="Calibri" w:cs="Arial"/>
          <w:sz w:val="20"/>
          <w:szCs w:val="20"/>
          <w:bdr w:val="none" w:sz="0" w:space="0" w:color="auto" w:frame="1"/>
          <w:lang w:val="en-GB" w:eastAsia="en-AU"/>
        </w:rPr>
        <w:t xml:space="preserve">Record the number and locations of bait stations for </w:t>
      </w:r>
      <w:r>
        <w:rPr>
          <w:rFonts w:eastAsia="Calibri" w:cs="Arial"/>
          <w:sz w:val="20"/>
          <w:szCs w:val="20"/>
          <w:bdr w:val="none" w:sz="0" w:space="0" w:color="auto" w:frame="1"/>
          <w:lang w:val="en-GB" w:eastAsia="en-AU"/>
        </w:rPr>
        <w:t xml:space="preserve">the </w:t>
      </w:r>
      <w:r w:rsidRPr="00B01447">
        <w:rPr>
          <w:rFonts w:eastAsia="Calibri" w:cs="Arial"/>
          <w:sz w:val="20"/>
          <w:szCs w:val="20"/>
          <w:bdr w:val="none" w:sz="0" w:space="0" w:color="auto" w:frame="1"/>
          <w:lang w:val="en-GB" w:eastAsia="en-AU"/>
        </w:rPr>
        <w:t>purpose of inspection, replacement and later removal.</w:t>
      </w:r>
    </w:p>
    <w:p w14:paraId="16B41634" w14:textId="344CFE90" w:rsidR="008E67EA" w:rsidRPr="0013304D"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 xml:space="preserve">Place </w:t>
      </w:r>
      <w:r>
        <w:rPr>
          <w:rFonts w:eastAsia="Calibri" w:cs="Arial"/>
          <w:sz w:val="20"/>
          <w:szCs w:val="20"/>
          <w:bdr w:val="none" w:sz="0" w:space="0" w:color="auto" w:frame="1"/>
          <w:lang w:val="en-GB" w:eastAsia="en-AU"/>
        </w:rPr>
        <w:t>bait stations</w:t>
      </w:r>
      <w:r w:rsidRPr="00641519">
        <w:rPr>
          <w:rFonts w:eastAsia="Calibri" w:cs="Arial"/>
          <w:sz w:val="20"/>
          <w:szCs w:val="20"/>
          <w:bdr w:val="none" w:sz="0" w:space="0" w:color="auto" w:frame="1"/>
          <w:lang w:val="en-GB" w:eastAsia="en-AU"/>
        </w:rPr>
        <w:t xml:space="preserve"> so as to prevent access to non-target animals.</w:t>
      </w:r>
      <w:r w:rsidRPr="00F50857">
        <w:t xml:space="preserve"> </w:t>
      </w:r>
      <w:r>
        <w:rPr>
          <w:rFonts w:eastAsia="Calibri" w:cs="Arial"/>
          <w:sz w:val="20"/>
          <w:szCs w:val="20"/>
          <w:bdr w:val="none" w:sz="0" w:space="0" w:color="auto" w:frame="1"/>
          <w:lang w:val="en-GB" w:eastAsia="en-AU"/>
        </w:rPr>
        <w:t xml:space="preserve">Always use </w:t>
      </w:r>
      <w:r w:rsidRPr="00A86A4B">
        <w:rPr>
          <w:rFonts w:cs="Arial"/>
          <w:sz w:val="20"/>
          <w:szCs w:val="20"/>
          <w:bdr w:val="none" w:sz="0" w:space="0" w:color="auto" w:frame="1"/>
          <w:lang w:val="en-GB" w:eastAsia="en-AU"/>
        </w:rPr>
        <w:t>tamper</w:t>
      </w:r>
      <w:r>
        <w:rPr>
          <w:rFonts w:cs="Arial"/>
          <w:sz w:val="20"/>
          <w:szCs w:val="20"/>
          <w:bdr w:val="none" w:sz="0" w:space="0" w:color="auto" w:frame="1"/>
          <w:lang w:val="en-GB" w:eastAsia="en-AU"/>
        </w:rPr>
        <w:t>-resistant bait stations that are secured in place in child accessible areas, outdoors and in animal or livestock housing.</w:t>
      </w:r>
    </w:p>
    <w:p w14:paraId="15C491F3" w14:textId="77777777" w:rsidR="008E67EA" w:rsidRPr="0013304D"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13304D">
        <w:rPr>
          <w:rFonts w:eastAsia="Calibri" w:cs="Arial"/>
          <w:sz w:val="20"/>
          <w:szCs w:val="20"/>
          <w:bdr w:val="none" w:sz="0" w:space="0" w:color="auto" w:frame="1"/>
          <w:lang w:eastAsia="en-AU"/>
        </w:rPr>
        <w:t>Conduct initial inspection of bait points after 3 or 4 days. Replace any bait that has been consumed. Repeat approximately 4 days later and then weekly. Replace contaminated or spoiled baits.</w:t>
      </w:r>
    </w:p>
    <w:p w14:paraId="311FCE93" w14:textId="08CEA505" w:rsidR="008E67EA" w:rsidRPr="00641519"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 xml:space="preserve">Baiting for at least 2 weeks (3 to 4 pulses) will be necessary to reduce rat/mouse numbers to a low level. Although heavy infestations may require longer treatments to achieve complete eradication. </w:t>
      </w:r>
      <w:r w:rsidRPr="0013304D">
        <w:rPr>
          <w:rFonts w:eastAsia="Calibri" w:cs="Arial"/>
          <w:sz w:val="20"/>
          <w:szCs w:val="20"/>
          <w:bdr w:val="none" w:sz="0" w:space="0" w:color="auto" w:frame="1"/>
          <w:lang w:eastAsia="en-AU"/>
        </w:rPr>
        <w:t>Usually, rodents will die within 3 to 5 days after eating the bait.</w:t>
      </w:r>
    </w:p>
    <w:p w14:paraId="2C44B931" w14:textId="77777777" w:rsidR="008E67EA" w:rsidRPr="00641519"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 xml:space="preserve">Discontinue the treatment when effective control has been achieved and remove all </w:t>
      </w:r>
      <w:r>
        <w:rPr>
          <w:rFonts w:eastAsia="Calibri" w:cs="Arial"/>
          <w:sz w:val="20"/>
          <w:szCs w:val="20"/>
          <w:bdr w:val="none" w:sz="0" w:space="0" w:color="auto" w:frame="1"/>
          <w:lang w:val="en-GB" w:eastAsia="en-AU"/>
        </w:rPr>
        <w:t>bait</w:t>
      </w:r>
      <w:r w:rsidRPr="00641519">
        <w:rPr>
          <w:rFonts w:eastAsia="Calibri" w:cs="Arial"/>
          <w:sz w:val="20"/>
          <w:szCs w:val="20"/>
          <w:bdr w:val="none" w:sz="0" w:space="0" w:color="auto" w:frame="1"/>
          <w:lang w:val="en-GB" w:eastAsia="en-AU"/>
        </w:rPr>
        <w:t xml:space="preserve"> and bait stations unless a maintenance treatment is to be undertaken.</w:t>
      </w:r>
    </w:p>
    <w:p w14:paraId="638153D5" w14:textId="77777777" w:rsidR="008E67EA" w:rsidRPr="00641519"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DO NOT use the product beyond 35 days without an evaluation of the state of the infestation and of the efficacy of the treatment.</w:t>
      </w:r>
    </w:p>
    <w:p w14:paraId="7379F3B5" w14:textId="77777777" w:rsidR="008E67EA"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Remove all uneaten bait at the end of treatment.</w:t>
      </w:r>
    </w:p>
    <w:p w14:paraId="34E2EF7B" w14:textId="440252EA" w:rsidR="008E67EA" w:rsidRPr="00FF707A" w:rsidRDefault="008E67EA">
      <w:pPr>
        <w:pStyle w:val="ListParagraph"/>
        <w:numPr>
          <w:ilvl w:val="0"/>
          <w:numId w:val="36"/>
        </w:numPr>
        <w:spacing w:after="120" w:line="280" w:lineRule="exact"/>
        <w:ind w:left="426"/>
        <w:rPr>
          <w:rFonts w:eastAsia="Calibri" w:cs="Arial"/>
          <w:sz w:val="20"/>
          <w:szCs w:val="20"/>
          <w:bdr w:val="none" w:sz="0" w:space="0" w:color="auto" w:frame="1"/>
          <w:lang w:eastAsia="en-AU"/>
        </w:rPr>
      </w:pPr>
      <w:r w:rsidRPr="003976C7">
        <w:rPr>
          <w:rFonts w:eastAsia="Calibri" w:cs="Arial"/>
          <w:sz w:val="20"/>
          <w:szCs w:val="20"/>
          <w:bdr w:val="none" w:sz="0" w:space="0" w:color="auto" w:frame="1"/>
          <w:lang w:eastAsia="en-AU"/>
        </w:rPr>
        <w:t>If reinfestation should occur, you can repeat treatment once. For further treatments, it is strongly advised to alternate with a product containing a different active ingredient to avoid the development of genetic resistance.</w:t>
      </w:r>
      <w:r w:rsidR="00FF707A">
        <w:rPr>
          <w:rFonts w:eastAsia="Calibri" w:cs="Arial"/>
          <w:sz w:val="20"/>
          <w:szCs w:val="20"/>
          <w:bdr w:val="none" w:sz="0" w:space="0" w:color="auto" w:frame="1"/>
          <w:lang w:eastAsia="en-AU"/>
        </w:rPr>
        <w:br w:type="page"/>
      </w:r>
    </w:p>
    <w:p w14:paraId="7417ACB6" w14:textId="77777777" w:rsidR="008E67EA" w:rsidRPr="00867EDB" w:rsidRDefault="008E67EA" w:rsidP="008E67EA">
      <w:pPr>
        <w:spacing w:line="280" w:lineRule="exact"/>
        <w:rPr>
          <w:rFonts w:cs="Arial"/>
          <w:b/>
          <w:bCs/>
          <w:i/>
          <w:iCs/>
          <w:color w:val="000000" w:themeColor="text1"/>
          <w:sz w:val="20"/>
          <w:szCs w:val="20"/>
        </w:rPr>
      </w:pPr>
      <w:r w:rsidRPr="00867EDB">
        <w:rPr>
          <w:rFonts w:cs="Arial"/>
          <w:b/>
          <w:bCs/>
          <w:i/>
          <w:iCs/>
          <w:color w:val="000000" w:themeColor="text1"/>
          <w:sz w:val="20"/>
          <w:szCs w:val="20"/>
        </w:rPr>
        <w:lastRenderedPageBreak/>
        <w:t xml:space="preserve">Monitoring and/or Maintenance Treatments </w:t>
      </w:r>
    </w:p>
    <w:p w14:paraId="4B49A53F" w14:textId="77777777" w:rsidR="008E67EA" w:rsidRPr="00B832BB"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Monitoring and maintenance treatments are required at sensitive sites where there is no current rodent infestation but where the prevention of such infestation is essential to prevent significant risks to human health. Such treatments may be a condition for audit approval within food safety guidelines. However, use of this product must comply with the conditions of this label.</w:t>
      </w:r>
    </w:p>
    <w:p w14:paraId="635547B6" w14:textId="77777777" w:rsidR="008E67EA"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3976C7">
        <w:rPr>
          <w:rFonts w:eastAsia="Calibri" w:cs="Arial"/>
          <w:sz w:val="20"/>
          <w:szCs w:val="20"/>
          <w:bdr w:val="none" w:sz="0" w:space="0" w:color="auto" w:frame="1"/>
          <w:lang w:eastAsia="en-AU"/>
        </w:rPr>
        <w:t>Always record the number and locations of bait stations for the purpose of bait replacement and later removal.</w:t>
      </w:r>
    </w:p>
    <w:p w14:paraId="59AD0B8C" w14:textId="77777777" w:rsidR="008E67EA" w:rsidRPr="003976C7"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3976C7">
        <w:rPr>
          <w:rFonts w:eastAsia="Calibri" w:cs="Arial"/>
          <w:sz w:val="20"/>
          <w:szCs w:val="20"/>
          <w:bdr w:val="none" w:sz="0" w:space="0" w:color="auto" w:frame="1"/>
          <w:lang w:val="en-GB" w:eastAsia="en-AU"/>
        </w:rPr>
        <w:t>Place bait stations so as to prevent access to non-target animals.</w:t>
      </w:r>
      <w:r>
        <w:rPr>
          <w:rFonts w:eastAsia="Calibri" w:cs="Arial"/>
          <w:sz w:val="20"/>
          <w:szCs w:val="20"/>
          <w:bdr w:val="none" w:sz="0" w:space="0" w:color="auto" w:frame="1"/>
          <w:lang w:val="en-GB" w:eastAsia="en-AU"/>
        </w:rPr>
        <w:t xml:space="preserve"> </w:t>
      </w:r>
      <w:r w:rsidRPr="003976C7">
        <w:rPr>
          <w:rFonts w:eastAsia="Calibri" w:cs="Arial"/>
          <w:sz w:val="20"/>
          <w:szCs w:val="20"/>
          <w:bdr w:val="none" w:sz="0" w:space="0" w:color="auto" w:frame="1"/>
          <w:lang w:val="en-GB" w:eastAsia="en-AU"/>
        </w:rPr>
        <w:t xml:space="preserve">Always use </w:t>
      </w:r>
      <w:r w:rsidRPr="003976C7">
        <w:rPr>
          <w:rFonts w:cs="Arial"/>
          <w:sz w:val="20"/>
          <w:szCs w:val="20"/>
          <w:bdr w:val="none" w:sz="0" w:space="0" w:color="auto" w:frame="1"/>
          <w:lang w:val="en-GB" w:eastAsia="en-AU"/>
        </w:rPr>
        <w:t xml:space="preserve">tamper-resistant bait stations for monitoring and maintenance treatments and fix the stations securely to the substrate. </w:t>
      </w:r>
    </w:p>
    <w:p w14:paraId="5EA0F26B" w14:textId="77777777" w:rsidR="008E67EA" w:rsidRPr="00641519"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 xml:space="preserve">Bait stations should be </w:t>
      </w:r>
      <w:r>
        <w:rPr>
          <w:rFonts w:eastAsia="Calibri" w:cs="Arial"/>
          <w:sz w:val="20"/>
          <w:szCs w:val="20"/>
          <w:bdr w:val="none" w:sz="0" w:space="0" w:color="auto" w:frame="1"/>
          <w:lang w:val="en-GB" w:eastAsia="en-AU"/>
        </w:rPr>
        <w:t>inspected</w:t>
      </w:r>
      <w:r w:rsidRPr="00641519">
        <w:rPr>
          <w:rFonts w:eastAsia="Calibri" w:cs="Arial"/>
          <w:sz w:val="20"/>
          <w:szCs w:val="20"/>
          <w:bdr w:val="none" w:sz="0" w:space="0" w:color="auto" w:frame="1"/>
          <w:lang w:val="en-GB" w:eastAsia="en-AU"/>
        </w:rPr>
        <w:t xml:space="preserve"> at regular intervals</w:t>
      </w:r>
      <w:r>
        <w:rPr>
          <w:rFonts w:eastAsia="Calibri" w:cs="Arial"/>
          <w:sz w:val="20"/>
          <w:szCs w:val="20"/>
          <w:bdr w:val="none" w:sz="0" w:space="0" w:color="auto" w:frame="1"/>
          <w:lang w:val="en-GB" w:eastAsia="en-AU"/>
        </w:rPr>
        <w:t xml:space="preserve"> no more than 7 days apart</w:t>
      </w:r>
      <w:r w:rsidRPr="00641519">
        <w:rPr>
          <w:rFonts w:eastAsia="Calibri" w:cs="Arial"/>
          <w:sz w:val="20"/>
          <w:szCs w:val="20"/>
          <w:bdr w:val="none" w:sz="0" w:space="0" w:color="auto" w:frame="1"/>
          <w:lang w:val="en-GB" w:eastAsia="en-AU"/>
        </w:rPr>
        <w:t xml:space="preserve"> according to an agreed and documented schedule.</w:t>
      </w:r>
    </w:p>
    <w:p w14:paraId="5F80D6AD" w14:textId="77777777" w:rsidR="008E67EA" w:rsidRPr="00641519"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Use placebo or unpoisoned bait if the placement of the bait presents a hazard to non-target animals.</w:t>
      </w:r>
    </w:p>
    <w:p w14:paraId="6CB88296" w14:textId="77777777" w:rsidR="008E67EA" w:rsidRPr="00641519"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eastAsia="en-AU"/>
        </w:rPr>
        <w:t>When a rodent infestation is detected</w:t>
      </w:r>
      <w:r>
        <w:rPr>
          <w:rFonts w:eastAsia="Calibri" w:cs="Arial"/>
          <w:sz w:val="20"/>
          <w:szCs w:val="20"/>
          <w:bdr w:val="none" w:sz="0" w:space="0" w:color="auto" w:frame="1"/>
          <w:lang w:eastAsia="en-AU"/>
        </w:rPr>
        <w:t>,</w:t>
      </w:r>
      <w:r w:rsidRPr="00641519">
        <w:rPr>
          <w:rFonts w:eastAsia="Calibri" w:cs="Arial"/>
          <w:sz w:val="20"/>
          <w:szCs w:val="20"/>
          <w:bdr w:val="none" w:sz="0" w:space="0" w:color="auto" w:frame="1"/>
          <w:lang w:eastAsia="en-AU"/>
        </w:rPr>
        <w:t xml:space="preserve"> </w:t>
      </w:r>
      <w:r>
        <w:rPr>
          <w:rFonts w:eastAsia="Calibri" w:cs="Arial"/>
          <w:sz w:val="20"/>
          <w:szCs w:val="20"/>
          <w:bdr w:val="none" w:sz="0" w:space="0" w:color="auto" w:frame="1"/>
          <w:lang w:eastAsia="en-AU"/>
        </w:rPr>
        <w:t xml:space="preserve">the operator should </w:t>
      </w:r>
      <w:r w:rsidRPr="00641519">
        <w:rPr>
          <w:rFonts w:eastAsia="Calibri" w:cs="Arial"/>
          <w:sz w:val="20"/>
          <w:szCs w:val="20"/>
          <w:bdr w:val="none" w:sz="0" w:space="0" w:color="auto" w:frame="1"/>
          <w:lang w:eastAsia="en-AU"/>
        </w:rPr>
        <w:t>revert to the directions for Clean</w:t>
      </w:r>
      <w:r>
        <w:rPr>
          <w:rFonts w:eastAsia="Calibri" w:cs="Arial"/>
          <w:sz w:val="20"/>
          <w:szCs w:val="20"/>
          <w:bdr w:val="none" w:sz="0" w:space="0" w:color="auto" w:frame="1"/>
          <w:lang w:eastAsia="en-AU"/>
        </w:rPr>
        <w:t>-</w:t>
      </w:r>
      <w:r w:rsidRPr="00641519">
        <w:rPr>
          <w:rFonts w:eastAsia="Calibri" w:cs="Arial"/>
          <w:sz w:val="20"/>
          <w:szCs w:val="20"/>
          <w:bdr w:val="none" w:sz="0" w:space="0" w:color="auto" w:frame="1"/>
          <w:lang w:eastAsia="en-AU"/>
        </w:rPr>
        <w:t>Out Treatments</w:t>
      </w:r>
      <w:r>
        <w:rPr>
          <w:rFonts w:eastAsia="Calibri" w:cs="Arial"/>
          <w:sz w:val="20"/>
          <w:szCs w:val="20"/>
          <w:bdr w:val="none" w:sz="0" w:space="0" w:color="auto" w:frame="1"/>
          <w:lang w:eastAsia="en-AU"/>
        </w:rPr>
        <w:t>.</w:t>
      </w:r>
    </w:p>
    <w:p w14:paraId="5E2E4D2D" w14:textId="637131B5" w:rsidR="008E67EA" w:rsidRDefault="008E67EA" w:rsidP="00FF707A">
      <w:pPr>
        <w:spacing w:line="280" w:lineRule="exact"/>
        <w:rPr>
          <w:rFonts w:cs="Arial"/>
          <w:b/>
          <w:bCs/>
          <w:sz w:val="20"/>
          <w:szCs w:val="20"/>
          <w:bdr w:val="none" w:sz="0" w:space="0" w:color="auto" w:frame="1"/>
          <w:lang w:val="en-GB" w:eastAsia="en-AU"/>
        </w:rPr>
      </w:pPr>
      <w:r w:rsidRPr="002F6425">
        <w:rPr>
          <w:rFonts w:cs="Arial"/>
          <w:b/>
          <w:bCs/>
          <w:color w:val="000000" w:themeColor="text1"/>
          <w:sz w:val="20"/>
          <w:szCs w:val="20"/>
        </w:rPr>
        <w:t>NOT TO BE USED FOR ANY PURPOSE, OR IN ANY MANNER, CONTRARY TO THIS LABEL UNLESS</w:t>
      </w:r>
      <w:r>
        <w:rPr>
          <w:rFonts w:cs="Arial"/>
          <w:b/>
          <w:bCs/>
          <w:color w:val="000000" w:themeColor="text1"/>
          <w:sz w:val="20"/>
          <w:szCs w:val="20"/>
        </w:rPr>
        <w:t xml:space="preserve"> </w:t>
      </w:r>
      <w:r w:rsidRPr="002F6425">
        <w:rPr>
          <w:rFonts w:cs="Arial"/>
          <w:b/>
          <w:bCs/>
          <w:color w:val="000000" w:themeColor="text1"/>
          <w:sz w:val="20"/>
          <w:szCs w:val="20"/>
        </w:rPr>
        <w:t>AUTHORISED UNDER APPROPRIATE LEGISLATION</w:t>
      </w:r>
      <w:r>
        <w:rPr>
          <w:rFonts w:cs="Arial"/>
          <w:b/>
          <w:bCs/>
          <w:sz w:val="20"/>
          <w:szCs w:val="20"/>
          <w:bdr w:val="none" w:sz="0" w:space="0" w:color="auto" w:frame="1"/>
          <w:lang w:val="en-GB" w:eastAsia="en-AU"/>
        </w:rPr>
        <w:br w:type="page"/>
      </w:r>
    </w:p>
    <w:p w14:paraId="315397B5" w14:textId="77777777" w:rsidR="008E67EA"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lastRenderedPageBreak/>
        <w:t xml:space="preserve">Template Label </w:t>
      </w:r>
      <w:r>
        <w:rPr>
          <w:rFonts w:cs="Arial"/>
          <w:b/>
          <w:bCs/>
          <w:sz w:val="20"/>
          <w:szCs w:val="20"/>
          <w:bdr w:val="none" w:sz="0" w:space="0" w:color="auto" w:frame="1"/>
          <w:lang w:val="en-GB" w:eastAsia="en-AU"/>
        </w:rPr>
        <w:t>11b</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26485A" w14:paraId="1FBBD32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EEFC4DB" w14:textId="77777777" w:rsidR="008E67EA" w:rsidRPr="00713087" w:rsidRDefault="008E67EA" w:rsidP="00B44A74">
            <w:pPr>
              <w:spacing w:line="280" w:lineRule="exact"/>
              <w:rPr>
                <w:rFonts w:cs="Arial"/>
                <w:sz w:val="20"/>
                <w:szCs w:val="20"/>
              </w:rPr>
            </w:pPr>
            <w:r w:rsidRPr="00713087">
              <w:rPr>
                <w:rFonts w:cs="Arial"/>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7F5FF80C" w14:textId="77777777" w:rsidR="008E67EA" w:rsidRPr="00713087" w:rsidRDefault="008E67EA" w:rsidP="00B44A74">
            <w:pPr>
              <w:spacing w:line="280" w:lineRule="exact"/>
              <w:rPr>
                <w:rFonts w:cs="Arial"/>
                <w:sz w:val="20"/>
                <w:szCs w:val="20"/>
              </w:rPr>
            </w:pPr>
            <w:r w:rsidRPr="00713087">
              <w:rPr>
                <w:rFonts w:cs="Arial"/>
                <w:sz w:val="20"/>
                <w:szCs w:val="20"/>
              </w:rPr>
              <w:t>[INSERT LABEL NAME]</w:t>
            </w:r>
            <w:r w:rsidRPr="00713087" w:rsidDel="005C2E53">
              <w:rPr>
                <w:rFonts w:cs="Arial"/>
                <w:sz w:val="20"/>
                <w:szCs w:val="20"/>
              </w:rPr>
              <w:t xml:space="preserve"> </w:t>
            </w:r>
          </w:p>
        </w:tc>
      </w:tr>
      <w:tr w:rsidR="008E67EA" w:rsidRPr="0026485A" w14:paraId="5336ED43" w14:textId="77777777" w:rsidTr="00B44A74">
        <w:trPr>
          <w:jc w:val="center"/>
        </w:trPr>
        <w:tc>
          <w:tcPr>
            <w:tcW w:w="2415" w:type="dxa"/>
            <w:tcBorders>
              <w:top w:val="single" w:sz="4" w:space="0" w:color="auto"/>
              <w:left w:val="nil"/>
              <w:bottom w:val="single" w:sz="4" w:space="0" w:color="auto"/>
              <w:right w:val="nil"/>
            </w:tcBorders>
          </w:tcPr>
          <w:p w14:paraId="03A15811" w14:textId="77777777" w:rsidR="008E67EA" w:rsidRPr="0071308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FBC3B2C" w14:textId="77777777" w:rsidR="008E67EA" w:rsidRPr="00713087" w:rsidRDefault="008E67EA" w:rsidP="00B44A74">
            <w:pPr>
              <w:spacing w:line="280" w:lineRule="exact"/>
              <w:rPr>
                <w:rFonts w:cs="Arial"/>
                <w:sz w:val="20"/>
                <w:szCs w:val="20"/>
              </w:rPr>
            </w:pPr>
          </w:p>
        </w:tc>
      </w:tr>
      <w:tr w:rsidR="008E67EA" w:rsidRPr="0026485A" w14:paraId="2B49797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D38FADA" w14:textId="77777777" w:rsidR="008E67EA" w:rsidRPr="00713087" w:rsidRDefault="008E67EA" w:rsidP="00B44A74">
            <w:pPr>
              <w:spacing w:line="280" w:lineRule="exact"/>
              <w:rPr>
                <w:rFonts w:cs="Arial"/>
                <w:sz w:val="20"/>
                <w:szCs w:val="20"/>
              </w:rPr>
            </w:pPr>
            <w:r w:rsidRPr="00713087">
              <w:rPr>
                <w:rFonts w:cs="Arial"/>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0DFC8365" w14:textId="77777777" w:rsidR="008E67EA" w:rsidRPr="00713087" w:rsidRDefault="008E67EA" w:rsidP="00B44A74">
            <w:pPr>
              <w:spacing w:line="280" w:lineRule="exact"/>
              <w:rPr>
                <w:rFonts w:cs="Arial"/>
                <w:sz w:val="20"/>
                <w:szCs w:val="20"/>
              </w:rPr>
            </w:pPr>
            <w:r w:rsidRPr="00713087">
              <w:rPr>
                <w:rFonts w:cs="Arial"/>
                <w:color w:val="000000"/>
                <w:sz w:val="20"/>
                <w:szCs w:val="20"/>
              </w:rPr>
              <w:t>POISON</w:t>
            </w:r>
            <w:r w:rsidRPr="00713087">
              <w:rPr>
                <w:rFonts w:cs="Arial"/>
                <w:color w:val="000000"/>
                <w:sz w:val="20"/>
                <w:szCs w:val="20"/>
              </w:rPr>
              <w:br/>
              <w:t>KEEP OUT OF REACH OF CHILDREN</w:t>
            </w:r>
            <w:r w:rsidRPr="00713087">
              <w:rPr>
                <w:rFonts w:cs="Arial"/>
                <w:color w:val="000000"/>
                <w:sz w:val="20"/>
                <w:szCs w:val="20"/>
              </w:rPr>
              <w:br/>
              <w:t>READ SAFETY DIRECTIONS BEFORE OPENING OR USING</w:t>
            </w:r>
          </w:p>
        </w:tc>
      </w:tr>
      <w:tr w:rsidR="008E67EA" w:rsidRPr="0026485A" w14:paraId="273A56B2" w14:textId="77777777" w:rsidTr="00B44A74">
        <w:trPr>
          <w:jc w:val="center"/>
        </w:trPr>
        <w:tc>
          <w:tcPr>
            <w:tcW w:w="2415" w:type="dxa"/>
            <w:tcBorders>
              <w:top w:val="single" w:sz="4" w:space="0" w:color="auto"/>
              <w:left w:val="nil"/>
              <w:bottom w:val="single" w:sz="4" w:space="0" w:color="auto"/>
              <w:right w:val="nil"/>
            </w:tcBorders>
          </w:tcPr>
          <w:p w14:paraId="3CC54716" w14:textId="77777777" w:rsidR="008E67EA" w:rsidRPr="0071308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744D8B4" w14:textId="77777777" w:rsidR="008E67EA" w:rsidRPr="00713087" w:rsidRDefault="008E67EA" w:rsidP="00B44A74">
            <w:pPr>
              <w:spacing w:line="280" w:lineRule="exact"/>
              <w:rPr>
                <w:rFonts w:cs="Arial"/>
                <w:sz w:val="20"/>
                <w:szCs w:val="20"/>
              </w:rPr>
            </w:pPr>
          </w:p>
        </w:tc>
      </w:tr>
      <w:tr w:rsidR="008E67EA" w:rsidRPr="0026485A" w14:paraId="6353BAC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41CB453" w14:textId="77777777" w:rsidR="008E67EA" w:rsidRPr="00713087" w:rsidRDefault="008E67EA" w:rsidP="00B44A74">
            <w:pPr>
              <w:spacing w:line="280" w:lineRule="exact"/>
              <w:rPr>
                <w:rFonts w:cs="Arial"/>
                <w:color w:val="000000"/>
                <w:sz w:val="20"/>
                <w:szCs w:val="20"/>
              </w:rPr>
            </w:pPr>
            <w:r w:rsidRPr="00713087">
              <w:rPr>
                <w:rFonts w:cs="Arial"/>
                <w:color w:val="000000"/>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5C3E7678" w14:textId="77777777" w:rsidR="008E67EA" w:rsidRPr="00713087" w:rsidRDefault="008E67EA" w:rsidP="00B44A74">
            <w:pPr>
              <w:spacing w:line="280" w:lineRule="exact"/>
              <w:rPr>
                <w:rFonts w:cs="Arial"/>
                <w:color w:val="000000"/>
                <w:sz w:val="20"/>
                <w:szCs w:val="20"/>
              </w:rPr>
            </w:pPr>
            <w:r w:rsidRPr="00713087">
              <w:rPr>
                <w:rFonts w:cs="Arial"/>
                <w:color w:val="000000"/>
                <w:sz w:val="20"/>
                <w:szCs w:val="20"/>
              </w:rPr>
              <w:t>ACTIVE CONSTITUENT: 0.05 g/kg BROMADIOLONE</w:t>
            </w:r>
          </w:p>
        </w:tc>
      </w:tr>
      <w:tr w:rsidR="008E67EA" w:rsidRPr="0026485A" w14:paraId="06B228A5" w14:textId="77777777" w:rsidTr="00B44A74">
        <w:trPr>
          <w:jc w:val="center"/>
        </w:trPr>
        <w:tc>
          <w:tcPr>
            <w:tcW w:w="2415" w:type="dxa"/>
            <w:tcBorders>
              <w:top w:val="single" w:sz="4" w:space="0" w:color="auto"/>
              <w:left w:val="nil"/>
              <w:bottom w:val="single" w:sz="4" w:space="0" w:color="auto"/>
              <w:right w:val="nil"/>
            </w:tcBorders>
          </w:tcPr>
          <w:p w14:paraId="1E312E53" w14:textId="77777777" w:rsidR="008E67EA" w:rsidRPr="0071308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FCAEB4F" w14:textId="77777777" w:rsidR="008E67EA" w:rsidRPr="00713087" w:rsidRDefault="008E67EA" w:rsidP="00B44A74">
            <w:pPr>
              <w:spacing w:line="280" w:lineRule="exact"/>
              <w:rPr>
                <w:rFonts w:cs="Arial"/>
                <w:sz w:val="20"/>
                <w:szCs w:val="20"/>
              </w:rPr>
            </w:pPr>
          </w:p>
        </w:tc>
      </w:tr>
      <w:tr w:rsidR="008E67EA" w:rsidRPr="0026485A" w14:paraId="2B664D39"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BCDE77A" w14:textId="77777777" w:rsidR="008E67EA" w:rsidRPr="00713087" w:rsidRDefault="008E67EA" w:rsidP="00B44A74">
            <w:pPr>
              <w:spacing w:line="280" w:lineRule="exact"/>
              <w:rPr>
                <w:rFonts w:cs="Arial"/>
                <w:sz w:val="20"/>
                <w:szCs w:val="20"/>
              </w:rPr>
            </w:pPr>
            <w:r w:rsidRPr="00713087">
              <w:rPr>
                <w:rFonts w:cs="Arial"/>
                <w:sz w:val="20"/>
                <w:szCs w:val="20"/>
              </w:rPr>
              <w:t>Mode of Action:</w:t>
            </w:r>
          </w:p>
        </w:tc>
        <w:tc>
          <w:tcPr>
            <w:tcW w:w="7755" w:type="dxa"/>
            <w:tcBorders>
              <w:top w:val="single" w:sz="4" w:space="0" w:color="auto"/>
              <w:left w:val="single" w:sz="4" w:space="0" w:color="auto"/>
              <w:bottom w:val="single" w:sz="4" w:space="0" w:color="auto"/>
              <w:right w:val="single" w:sz="4" w:space="0" w:color="auto"/>
            </w:tcBorders>
          </w:tcPr>
          <w:p w14:paraId="25363399" w14:textId="77777777" w:rsidR="008E67EA" w:rsidRPr="00713087" w:rsidRDefault="008E67EA" w:rsidP="00B44A74">
            <w:pPr>
              <w:spacing w:line="280" w:lineRule="exact"/>
              <w:jc w:val="both"/>
              <w:rPr>
                <w:rFonts w:cs="Arial"/>
                <w:sz w:val="20"/>
                <w:szCs w:val="20"/>
              </w:rPr>
            </w:pPr>
          </w:p>
        </w:tc>
      </w:tr>
      <w:tr w:rsidR="008E67EA" w:rsidRPr="0026485A" w14:paraId="1AB02078" w14:textId="77777777" w:rsidTr="00B44A74">
        <w:trPr>
          <w:jc w:val="center"/>
        </w:trPr>
        <w:tc>
          <w:tcPr>
            <w:tcW w:w="2415" w:type="dxa"/>
            <w:tcBorders>
              <w:top w:val="single" w:sz="4" w:space="0" w:color="auto"/>
              <w:left w:val="nil"/>
              <w:bottom w:val="single" w:sz="4" w:space="0" w:color="auto"/>
              <w:right w:val="nil"/>
            </w:tcBorders>
          </w:tcPr>
          <w:p w14:paraId="0EAD58FB" w14:textId="77777777" w:rsidR="008E67EA" w:rsidRPr="0071308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B3B3D6C" w14:textId="77777777" w:rsidR="008E67EA" w:rsidRPr="00713087" w:rsidRDefault="008E67EA" w:rsidP="00B44A74">
            <w:pPr>
              <w:spacing w:line="280" w:lineRule="exact"/>
              <w:rPr>
                <w:rFonts w:cs="Arial"/>
                <w:sz w:val="20"/>
                <w:szCs w:val="20"/>
              </w:rPr>
            </w:pPr>
          </w:p>
        </w:tc>
      </w:tr>
      <w:tr w:rsidR="008E67EA" w:rsidRPr="0026485A" w14:paraId="25586E79"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1DA52F7" w14:textId="77777777" w:rsidR="008E67EA" w:rsidRPr="00713087" w:rsidRDefault="008E67EA" w:rsidP="00B44A74">
            <w:pPr>
              <w:spacing w:line="280" w:lineRule="exact"/>
              <w:rPr>
                <w:rFonts w:cs="Arial"/>
                <w:sz w:val="20"/>
                <w:szCs w:val="20"/>
              </w:rPr>
            </w:pPr>
            <w:r w:rsidRPr="00713087">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5FADB07C" w14:textId="1769FFE1" w:rsidR="008E67EA" w:rsidRPr="00713087" w:rsidRDefault="008E67EA" w:rsidP="00B44A74">
            <w:pPr>
              <w:spacing w:line="280" w:lineRule="exact"/>
              <w:rPr>
                <w:rFonts w:cs="Arial"/>
                <w:color w:val="000000"/>
                <w:sz w:val="20"/>
                <w:szCs w:val="20"/>
              </w:rPr>
            </w:pPr>
            <w:r w:rsidRPr="00713087">
              <w:rPr>
                <w:rFonts w:cs="Arial"/>
                <w:color w:val="000000"/>
                <w:sz w:val="20"/>
                <w:szCs w:val="20"/>
              </w:rPr>
              <w:t>For control of mice in domestic, commercial, public services</w:t>
            </w:r>
            <w:r>
              <w:rPr>
                <w:rFonts w:cs="Arial"/>
                <w:color w:val="000000"/>
                <w:sz w:val="20"/>
                <w:szCs w:val="20"/>
              </w:rPr>
              <w:t xml:space="preserve">, </w:t>
            </w:r>
            <w:r w:rsidRPr="00713087">
              <w:rPr>
                <w:rFonts w:cs="Arial"/>
                <w:color w:val="000000"/>
                <w:sz w:val="20"/>
                <w:szCs w:val="20"/>
              </w:rPr>
              <w:t>industrial</w:t>
            </w:r>
            <w:r>
              <w:rPr>
                <w:rFonts w:cs="Arial"/>
                <w:color w:val="000000"/>
                <w:sz w:val="20"/>
                <w:szCs w:val="20"/>
              </w:rPr>
              <w:t xml:space="preserve"> and agricultural</w:t>
            </w:r>
            <w:r w:rsidRPr="00713087">
              <w:rPr>
                <w:rFonts w:cs="Arial"/>
                <w:color w:val="000000"/>
                <w:sz w:val="20"/>
                <w:szCs w:val="20"/>
              </w:rPr>
              <w:t xml:space="preserve"> buildings and rats in and around domestic, commercial, public services</w:t>
            </w:r>
            <w:r>
              <w:rPr>
                <w:rFonts w:cs="Arial"/>
                <w:color w:val="000000"/>
                <w:sz w:val="20"/>
                <w:szCs w:val="20"/>
              </w:rPr>
              <w:t>.</w:t>
            </w:r>
            <w:r w:rsidRPr="00713087">
              <w:rPr>
                <w:rFonts w:cs="Arial"/>
                <w:color w:val="000000"/>
                <w:sz w:val="20"/>
                <w:szCs w:val="20"/>
              </w:rPr>
              <w:t>Industrial</w:t>
            </w:r>
            <w:r>
              <w:rPr>
                <w:rFonts w:cs="Arial"/>
                <w:color w:val="000000"/>
                <w:sz w:val="20"/>
                <w:szCs w:val="20"/>
              </w:rPr>
              <w:t xml:space="preserve"> and agricultural</w:t>
            </w:r>
            <w:r w:rsidRPr="00713087">
              <w:rPr>
                <w:rFonts w:cs="Arial"/>
                <w:color w:val="000000"/>
                <w:sz w:val="20"/>
                <w:szCs w:val="20"/>
              </w:rPr>
              <w:t xml:space="preserve"> buildings. </w:t>
            </w:r>
          </w:p>
        </w:tc>
      </w:tr>
      <w:tr w:rsidR="008E67EA" w:rsidRPr="0026485A" w14:paraId="22229836" w14:textId="77777777" w:rsidTr="00B44A74">
        <w:trPr>
          <w:jc w:val="center"/>
        </w:trPr>
        <w:tc>
          <w:tcPr>
            <w:tcW w:w="2415" w:type="dxa"/>
            <w:tcBorders>
              <w:top w:val="single" w:sz="4" w:space="0" w:color="auto"/>
              <w:left w:val="nil"/>
              <w:bottom w:val="single" w:sz="4" w:space="0" w:color="auto"/>
              <w:right w:val="nil"/>
            </w:tcBorders>
          </w:tcPr>
          <w:p w14:paraId="4C92E13D" w14:textId="77777777" w:rsidR="008E67EA" w:rsidRPr="0071308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9D7AD5D" w14:textId="77777777" w:rsidR="008E67EA" w:rsidRPr="00713087" w:rsidRDefault="008E67EA" w:rsidP="00B44A74">
            <w:pPr>
              <w:spacing w:line="280" w:lineRule="exact"/>
              <w:rPr>
                <w:rFonts w:cs="Arial"/>
                <w:sz w:val="20"/>
                <w:szCs w:val="20"/>
              </w:rPr>
            </w:pPr>
          </w:p>
        </w:tc>
      </w:tr>
      <w:tr w:rsidR="008E67EA" w:rsidRPr="0026485A" w14:paraId="4F57DC8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43617C6" w14:textId="77777777" w:rsidR="008E67EA" w:rsidRPr="00713087" w:rsidRDefault="008E67EA" w:rsidP="00B44A74">
            <w:pPr>
              <w:spacing w:line="280" w:lineRule="exact"/>
              <w:rPr>
                <w:rFonts w:cs="Arial"/>
                <w:sz w:val="20"/>
                <w:szCs w:val="20"/>
              </w:rPr>
            </w:pPr>
            <w:r w:rsidRPr="00713087">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4A3ADDB2" w14:textId="77777777" w:rsidR="008E67EA" w:rsidRPr="00713087" w:rsidRDefault="008E67EA" w:rsidP="00B44A74">
            <w:pPr>
              <w:spacing w:line="280" w:lineRule="exact"/>
              <w:rPr>
                <w:rFonts w:cs="Arial"/>
                <w:sz w:val="20"/>
                <w:szCs w:val="20"/>
              </w:rPr>
            </w:pPr>
            <w:r w:rsidRPr="00713087">
              <w:rPr>
                <w:rFonts w:cs="Arial"/>
                <w:sz w:val="20"/>
                <w:szCs w:val="20"/>
              </w:rPr>
              <w:t>[INSERT NET CONTENTS]</w:t>
            </w:r>
          </w:p>
        </w:tc>
      </w:tr>
      <w:tr w:rsidR="008E67EA" w:rsidRPr="0026485A" w14:paraId="4E32947A" w14:textId="77777777" w:rsidTr="00B44A74">
        <w:trPr>
          <w:jc w:val="center"/>
        </w:trPr>
        <w:tc>
          <w:tcPr>
            <w:tcW w:w="2415" w:type="dxa"/>
            <w:tcBorders>
              <w:top w:val="single" w:sz="4" w:space="0" w:color="auto"/>
              <w:left w:val="nil"/>
              <w:bottom w:val="single" w:sz="4" w:space="0" w:color="auto"/>
              <w:right w:val="nil"/>
            </w:tcBorders>
          </w:tcPr>
          <w:p w14:paraId="78B48307" w14:textId="77777777" w:rsidR="008E67EA" w:rsidRPr="0071308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013AF22" w14:textId="77777777" w:rsidR="008E67EA" w:rsidRPr="00713087" w:rsidRDefault="008E67EA" w:rsidP="00B44A74">
            <w:pPr>
              <w:spacing w:line="280" w:lineRule="exact"/>
              <w:rPr>
                <w:rFonts w:cs="Arial"/>
                <w:sz w:val="20"/>
                <w:szCs w:val="20"/>
              </w:rPr>
            </w:pPr>
          </w:p>
        </w:tc>
      </w:tr>
      <w:tr w:rsidR="008E67EA" w:rsidRPr="0026485A" w14:paraId="096B06E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576E018" w14:textId="77777777" w:rsidR="008E67EA" w:rsidRPr="00713087" w:rsidRDefault="008E67EA" w:rsidP="00B44A74">
            <w:pPr>
              <w:spacing w:line="280" w:lineRule="exact"/>
              <w:rPr>
                <w:rFonts w:cs="Arial"/>
                <w:sz w:val="20"/>
                <w:szCs w:val="20"/>
              </w:rPr>
            </w:pPr>
            <w:r w:rsidRPr="00713087">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3C7FAF0B" w14:textId="77777777" w:rsidR="008E67EA" w:rsidRPr="00713087" w:rsidRDefault="008E67EA" w:rsidP="00B44A74">
            <w:pPr>
              <w:spacing w:line="280" w:lineRule="exact"/>
              <w:rPr>
                <w:rFonts w:cs="Arial"/>
                <w:b/>
                <w:bCs/>
                <w:i/>
                <w:iCs/>
                <w:sz w:val="20"/>
                <w:szCs w:val="20"/>
                <w:highlight w:val="yellow"/>
              </w:rPr>
            </w:pPr>
            <w:r w:rsidRPr="00713087">
              <w:rPr>
                <w:rFonts w:cs="Arial"/>
                <w:color w:val="000000"/>
                <w:sz w:val="20"/>
                <w:szCs w:val="20"/>
              </w:rPr>
              <w:t>RESTRAINTS</w:t>
            </w:r>
            <w:r w:rsidRPr="00713087">
              <w:rPr>
                <w:rFonts w:cs="Arial"/>
                <w:color w:val="000000"/>
                <w:sz w:val="20"/>
                <w:szCs w:val="20"/>
              </w:rPr>
              <w:br/>
              <w:t>DO NOT use this product unless you have a current qualification in the nationally recognised training course for rodent pest management CPPUPM3006 - Manage pests by applying pesticides, or an equivalent unit of competency.</w:t>
            </w:r>
            <w:r w:rsidRPr="00713087">
              <w:rPr>
                <w:rFonts w:cs="Arial"/>
                <w:color w:val="000000"/>
                <w:sz w:val="20"/>
                <w:szCs w:val="20"/>
              </w:rPr>
              <w:br/>
              <w:t>DO NOT place baits in areas that are accessible to children. In child-accessible areas baits must be placed in tamper-</w:t>
            </w:r>
            <w:r>
              <w:rPr>
                <w:rFonts w:cs="Arial"/>
                <w:color w:val="000000"/>
                <w:sz w:val="20"/>
                <w:szCs w:val="20"/>
              </w:rPr>
              <w:t>resistant</w:t>
            </w:r>
            <w:r w:rsidRPr="00713087">
              <w:rPr>
                <w:rFonts w:cs="Arial"/>
                <w:color w:val="000000"/>
                <w:sz w:val="20"/>
                <w:szCs w:val="20"/>
              </w:rPr>
              <w:t xml:space="preserve"> bait stations. If bait can be dislodged from bait station, bait station must be secured in place. </w:t>
            </w:r>
            <w:r w:rsidRPr="00713087">
              <w:rPr>
                <w:rFonts w:cs="Arial"/>
                <w:color w:val="000000"/>
                <w:sz w:val="20"/>
                <w:szCs w:val="20"/>
              </w:rPr>
              <w:br/>
              <w:t>DO NOT place bait outdoors unless it is in a tamper-</w:t>
            </w:r>
            <w:r>
              <w:rPr>
                <w:rFonts w:cs="Arial"/>
                <w:color w:val="000000"/>
                <w:sz w:val="20"/>
                <w:szCs w:val="20"/>
              </w:rPr>
              <w:t>resistant</w:t>
            </w:r>
            <w:r w:rsidRPr="00713087">
              <w:rPr>
                <w:rFonts w:cs="Arial"/>
                <w:color w:val="000000"/>
                <w:sz w:val="20"/>
                <w:szCs w:val="20"/>
              </w:rPr>
              <w:t xml:space="preserve"> bait station which is secured in place.</w:t>
            </w:r>
            <w:r w:rsidRPr="00713087">
              <w:rPr>
                <w:rFonts w:cs="Arial"/>
                <w:color w:val="000000"/>
                <w:sz w:val="20"/>
                <w:szCs w:val="20"/>
              </w:rPr>
              <w:br/>
              <w:t>DO NOT place bait stations more than 2 meters from buildings.</w:t>
            </w:r>
            <w:r w:rsidRPr="00713087">
              <w:rPr>
                <w:rFonts w:cs="Arial"/>
                <w:color w:val="000000"/>
                <w:sz w:val="20"/>
                <w:szCs w:val="20"/>
              </w:rPr>
              <w:br/>
              <w:t>DO NOT place bait stations outdoors around buildings for control of mice.</w:t>
            </w:r>
            <w:r w:rsidRPr="00713087">
              <w:rPr>
                <w:rFonts w:cs="Arial"/>
                <w:color w:val="000000"/>
                <w:sz w:val="20"/>
                <w:szCs w:val="20"/>
              </w:rPr>
              <w:br/>
              <w:t>DO NOT bait in areas where wildlife may be collected for human consumption.</w:t>
            </w:r>
            <w:r w:rsidRPr="00713087">
              <w:rPr>
                <w:rFonts w:cs="Arial"/>
                <w:color w:val="000000"/>
                <w:sz w:val="20"/>
                <w:szCs w:val="20"/>
              </w:rPr>
              <w:br/>
              <w:t>DO NOT place in animal or livestock housing unless used in tamper-</w:t>
            </w:r>
            <w:r>
              <w:rPr>
                <w:rFonts w:cs="Arial"/>
                <w:color w:val="000000"/>
                <w:sz w:val="20"/>
                <w:szCs w:val="20"/>
              </w:rPr>
              <w:t>resistant</w:t>
            </w:r>
            <w:r w:rsidRPr="00713087">
              <w:rPr>
                <w:rFonts w:cs="Arial"/>
                <w:color w:val="000000"/>
                <w:sz w:val="20"/>
                <w:szCs w:val="20"/>
              </w:rPr>
              <w:t xml:space="preserve"> and weather</w:t>
            </w:r>
            <w:r>
              <w:rPr>
                <w:rFonts w:cs="Arial"/>
                <w:color w:val="000000"/>
                <w:sz w:val="20"/>
                <w:szCs w:val="20"/>
              </w:rPr>
              <w:t>-</w:t>
            </w:r>
            <w:r w:rsidRPr="00713087">
              <w:rPr>
                <w:rFonts w:cs="Arial"/>
                <w:color w:val="000000"/>
                <w:sz w:val="20"/>
                <w:szCs w:val="20"/>
              </w:rPr>
              <w:t>resistant bait stations fixed to the ground or other structures.</w:t>
            </w:r>
            <w:r w:rsidRPr="00713087">
              <w:rPr>
                <w:rFonts w:cs="Arial"/>
                <w:color w:val="000000"/>
                <w:sz w:val="20"/>
                <w:szCs w:val="20"/>
              </w:rPr>
              <w:br/>
              <w:t>DO NOT place bait or bait stations above areas which would allow them to contaminate pig and poultry food or drinking water.</w:t>
            </w:r>
            <w:r w:rsidRPr="00713087">
              <w:rPr>
                <w:rFonts w:cs="Arial"/>
                <w:color w:val="000000"/>
                <w:sz w:val="20"/>
                <w:szCs w:val="20"/>
              </w:rPr>
              <w:br/>
              <w:t>DO NOT apply this product directly into burrows.</w:t>
            </w:r>
          </w:p>
        </w:tc>
      </w:tr>
      <w:tr w:rsidR="008E67EA" w:rsidRPr="0026485A" w14:paraId="2DF7F98B" w14:textId="77777777" w:rsidTr="00B44A74">
        <w:trPr>
          <w:jc w:val="center"/>
        </w:trPr>
        <w:tc>
          <w:tcPr>
            <w:tcW w:w="2415" w:type="dxa"/>
            <w:tcBorders>
              <w:top w:val="single" w:sz="4" w:space="0" w:color="auto"/>
              <w:left w:val="nil"/>
              <w:bottom w:val="single" w:sz="4" w:space="0" w:color="auto"/>
              <w:right w:val="nil"/>
            </w:tcBorders>
          </w:tcPr>
          <w:p w14:paraId="69F561F9" w14:textId="77777777" w:rsidR="008E67EA" w:rsidRPr="0071308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5BC9049" w14:textId="77777777" w:rsidR="008E67EA" w:rsidRPr="00713087" w:rsidRDefault="008E67EA" w:rsidP="00B44A74">
            <w:pPr>
              <w:spacing w:line="280" w:lineRule="exact"/>
              <w:rPr>
                <w:rFonts w:cs="Arial"/>
                <w:sz w:val="20"/>
                <w:szCs w:val="20"/>
              </w:rPr>
            </w:pPr>
          </w:p>
        </w:tc>
      </w:tr>
      <w:tr w:rsidR="008E67EA" w:rsidRPr="0026485A" w14:paraId="75E0669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D2D05BE" w14:textId="77777777" w:rsidR="008E67EA" w:rsidRPr="00713087" w:rsidRDefault="008E67EA" w:rsidP="00B44A74">
            <w:pPr>
              <w:spacing w:line="280" w:lineRule="exact"/>
              <w:rPr>
                <w:rFonts w:cs="Arial"/>
                <w:sz w:val="20"/>
                <w:szCs w:val="20"/>
              </w:rPr>
            </w:pPr>
            <w:r w:rsidRPr="00713087">
              <w:rPr>
                <w:rFonts w:cs="Arial"/>
                <w:sz w:val="20"/>
                <w:szCs w:val="20"/>
              </w:rPr>
              <w:t>Directions for Use:</w:t>
            </w:r>
          </w:p>
        </w:tc>
        <w:tc>
          <w:tcPr>
            <w:tcW w:w="7755" w:type="dxa"/>
            <w:tcBorders>
              <w:top w:val="single" w:sz="4" w:space="0" w:color="auto"/>
              <w:left w:val="single" w:sz="4" w:space="0" w:color="auto"/>
              <w:bottom w:val="single" w:sz="4" w:space="0" w:color="auto"/>
              <w:right w:val="single" w:sz="4" w:space="0" w:color="auto"/>
            </w:tcBorders>
          </w:tcPr>
          <w:p w14:paraId="6341FEFF" w14:textId="77777777" w:rsidR="008E67EA" w:rsidRPr="00713087" w:rsidRDefault="008E67EA" w:rsidP="00B44A74">
            <w:pPr>
              <w:spacing w:line="280" w:lineRule="exact"/>
              <w:rPr>
                <w:rFonts w:cs="Arial"/>
                <w:sz w:val="20"/>
                <w:szCs w:val="20"/>
              </w:rPr>
            </w:pPr>
            <w:r w:rsidRPr="00713087">
              <w:rPr>
                <w:rFonts w:cs="Arial"/>
                <w:sz w:val="20"/>
                <w:szCs w:val="20"/>
              </w:rPr>
              <w:t>[This section contains an attachment below]</w:t>
            </w:r>
          </w:p>
        </w:tc>
      </w:tr>
      <w:tr w:rsidR="008E67EA" w:rsidRPr="0026485A" w14:paraId="2AC67773" w14:textId="77777777" w:rsidTr="00B44A74">
        <w:trPr>
          <w:jc w:val="center"/>
        </w:trPr>
        <w:tc>
          <w:tcPr>
            <w:tcW w:w="2415" w:type="dxa"/>
            <w:tcBorders>
              <w:top w:val="single" w:sz="4" w:space="0" w:color="auto"/>
              <w:left w:val="nil"/>
              <w:bottom w:val="single" w:sz="4" w:space="0" w:color="auto"/>
              <w:right w:val="nil"/>
            </w:tcBorders>
          </w:tcPr>
          <w:p w14:paraId="3CCC5C30" w14:textId="77777777" w:rsidR="008E67EA" w:rsidRPr="0071308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6F9733C" w14:textId="77777777" w:rsidR="008E67EA" w:rsidRPr="00713087" w:rsidRDefault="008E67EA" w:rsidP="00B44A74">
            <w:pPr>
              <w:spacing w:line="280" w:lineRule="exact"/>
              <w:rPr>
                <w:rFonts w:cs="Arial"/>
                <w:sz w:val="20"/>
                <w:szCs w:val="20"/>
              </w:rPr>
            </w:pPr>
          </w:p>
        </w:tc>
      </w:tr>
      <w:tr w:rsidR="008E67EA" w:rsidRPr="0026485A" w14:paraId="7F6ED2B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AE14887" w14:textId="77777777" w:rsidR="008E67EA" w:rsidRPr="00713087" w:rsidRDefault="008E67EA" w:rsidP="00B44A74">
            <w:pPr>
              <w:spacing w:line="280" w:lineRule="exact"/>
              <w:rPr>
                <w:rFonts w:cs="Arial"/>
                <w:sz w:val="20"/>
                <w:szCs w:val="20"/>
              </w:rPr>
            </w:pPr>
            <w:r w:rsidRPr="00713087">
              <w:rPr>
                <w:rFonts w:cs="Arial"/>
                <w:sz w:val="20"/>
                <w:szCs w:val="20"/>
              </w:rPr>
              <w:t>Other Limitations:</w:t>
            </w:r>
          </w:p>
        </w:tc>
        <w:tc>
          <w:tcPr>
            <w:tcW w:w="7755" w:type="dxa"/>
            <w:tcBorders>
              <w:top w:val="single" w:sz="4" w:space="0" w:color="auto"/>
              <w:left w:val="single" w:sz="4" w:space="0" w:color="auto"/>
              <w:bottom w:val="single" w:sz="4" w:space="0" w:color="auto"/>
              <w:right w:val="single" w:sz="4" w:space="0" w:color="auto"/>
            </w:tcBorders>
          </w:tcPr>
          <w:p w14:paraId="4FA81D09" w14:textId="77777777" w:rsidR="008E67EA" w:rsidRPr="00713087" w:rsidRDefault="008E67EA" w:rsidP="00B44A74">
            <w:pPr>
              <w:spacing w:line="280" w:lineRule="exact"/>
              <w:rPr>
                <w:rFonts w:cs="Arial"/>
                <w:sz w:val="20"/>
                <w:szCs w:val="20"/>
              </w:rPr>
            </w:pPr>
          </w:p>
        </w:tc>
      </w:tr>
      <w:tr w:rsidR="008E67EA" w:rsidRPr="0026485A" w14:paraId="15676563" w14:textId="77777777" w:rsidTr="00B44A74">
        <w:trPr>
          <w:jc w:val="center"/>
        </w:trPr>
        <w:tc>
          <w:tcPr>
            <w:tcW w:w="2415" w:type="dxa"/>
            <w:tcBorders>
              <w:top w:val="single" w:sz="4" w:space="0" w:color="auto"/>
              <w:left w:val="nil"/>
              <w:bottom w:val="single" w:sz="4" w:space="0" w:color="auto"/>
              <w:right w:val="nil"/>
            </w:tcBorders>
          </w:tcPr>
          <w:p w14:paraId="599768C9" w14:textId="77777777" w:rsidR="008E67EA" w:rsidRPr="0071308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09BD5D7" w14:textId="77777777" w:rsidR="008E67EA" w:rsidRPr="00713087" w:rsidRDefault="008E67EA" w:rsidP="00B44A74">
            <w:pPr>
              <w:spacing w:line="280" w:lineRule="exact"/>
              <w:rPr>
                <w:rFonts w:cs="Arial"/>
                <w:sz w:val="20"/>
                <w:szCs w:val="20"/>
              </w:rPr>
            </w:pPr>
          </w:p>
        </w:tc>
      </w:tr>
      <w:tr w:rsidR="008E67EA" w:rsidRPr="0026485A" w14:paraId="5380D5A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AA936FF" w14:textId="77777777" w:rsidR="008E67EA" w:rsidRPr="00713087" w:rsidRDefault="008E67EA" w:rsidP="00B44A74">
            <w:pPr>
              <w:spacing w:line="280" w:lineRule="exact"/>
              <w:rPr>
                <w:rFonts w:cs="Arial"/>
                <w:sz w:val="20"/>
                <w:szCs w:val="20"/>
              </w:rPr>
            </w:pPr>
            <w:r w:rsidRPr="00713087">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08AF98AD" w14:textId="77777777" w:rsidR="008E67EA" w:rsidRPr="00713087" w:rsidRDefault="008E67EA" w:rsidP="00B44A74">
            <w:pPr>
              <w:spacing w:line="280" w:lineRule="exact"/>
              <w:rPr>
                <w:rFonts w:cs="Arial"/>
                <w:sz w:val="20"/>
                <w:szCs w:val="20"/>
              </w:rPr>
            </w:pPr>
          </w:p>
        </w:tc>
      </w:tr>
      <w:tr w:rsidR="008E67EA" w:rsidRPr="0026485A" w14:paraId="5A6005EC" w14:textId="77777777" w:rsidTr="00B44A74">
        <w:trPr>
          <w:jc w:val="center"/>
        </w:trPr>
        <w:tc>
          <w:tcPr>
            <w:tcW w:w="2415" w:type="dxa"/>
            <w:tcBorders>
              <w:top w:val="single" w:sz="4" w:space="0" w:color="auto"/>
              <w:left w:val="nil"/>
              <w:bottom w:val="single" w:sz="4" w:space="0" w:color="auto"/>
              <w:right w:val="nil"/>
            </w:tcBorders>
          </w:tcPr>
          <w:p w14:paraId="10903E7C" w14:textId="77777777" w:rsidR="008E67EA" w:rsidRPr="0071308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8B9C8FB" w14:textId="77777777" w:rsidR="008E67EA" w:rsidRPr="00713087" w:rsidRDefault="008E67EA" w:rsidP="00B44A74">
            <w:pPr>
              <w:spacing w:line="280" w:lineRule="exact"/>
              <w:rPr>
                <w:rFonts w:cs="Arial"/>
                <w:sz w:val="20"/>
                <w:szCs w:val="20"/>
              </w:rPr>
            </w:pPr>
          </w:p>
        </w:tc>
      </w:tr>
      <w:tr w:rsidR="008E67EA" w:rsidRPr="0026485A" w14:paraId="3B5F92C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0D0062D" w14:textId="77777777" w:rsidR="008E67EA" w:rsidRPr="00713087" w:rsidRDefault="008E67EA" w:rsidP="00B44A74">
            <w:pPr>
              <w:spacing w:line="280" w:lineRule="exact"/>
              <w:rPr>
                <w:rFonts w:cs="Arial"/>
                <w:sz w:val="20"/>
                <w:szCs w:val="20"/>
              </w:rPr>
            </w:pPr>
            <w:r w:rsidRPr="00713087">
              <w:rPr>
                <w:rFonts w:cs="Arial"/>
                <w:sz w:val="20"/>
                <w:szCs w:val="20"/>
              </w:rPr>
              <w:t>Trade Advice:</w:t>
            </w:r>
          </w:p>
        </w:tc>
        <w:tc>
          <w:tcPr>
            <w:tcW w:w="7755" w:type="dxa"/>
            <w:tcBorders>
              <w:top w:val="single" w:sz="4" w:space="0" w:color="auto"/>
              <w:left w:val="single" w:sz="4" w:space="0" w:color="auto"/>
              <w:bottom w:val="single" w:sz="4" w:space="0" w:color="auto"/>
              <w:right w:val="single" w:sz="4" w:space="0" w:color="auto"/>
            </w:tcBorders>
          </w:tcPr>
          <w:p w14:paraId="3789C537" w14:textId="77777777" w:rsidR="008E67EA" w:rsidRPr="00713087" w:rsidRDefault="008E67EA" w:rsidP="00B44A74">
            <w:pPr>
              <w:spacing w:line="280" w:lineRule="exact"/>
              <w:rPr>
                <w:rFonts w:cs="Arial"/>
                <w:sz w:val="20"/>
                <w:szCs w:val="20"/>
              </w:rPr>
            </w:pPr>
          </w:p>
        </w:tc>
      </w:tr>
      <w:tr w:rsidR="008E67EA" w:rsidRPr="0026485A" w14:paraId="6E617C16" w14:textId="77777777" w:rsidTr="00B44A74">
        <w:trPr>
          <w:jc w:val="center"/>
        </w:trPr>
        <w:tc>
          <w:tcPr>
            <w:tcW w:w="2415" w:type="dxa"/>
            <w:tcBorders>
              <w:top w:val="single" w:sz="4" w:space="0" w:color="auto"/>
              <w:left w:val="nil"/>
              <w:bottom w:val="single" w:sz="4" w:space="0" w:color="auto"/>
              <w:right w:val="nil"/>
            </w:tcBorders>
          </w:tcPr>
          <w:p w14:paraId="5C8F37FB" w14:textId="77777777" w:rsidR="008E67EA" w:rsidRPr="0071308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D6387E6" w14:textId="77777777" w:rsidR="008E67EA" w:rsidRPr="00713087" w:rsidRDefault="008E67EA" w:rsidP="00B44A74">
            <w:pPr>
              <w:spacing w:line="280" w:lineRule="exact"/>
              <w:rPr>
                <w:rFonts w:cs="Arial"/>
                <w:sz w:val="20"/>
                <w:szCs w:val="20"/>
              </w:rPr>
            </w:pPr>
          </w:p>
        </w:tc>
      </w:tr>
      <w:tr w:rsidR="008E67EA" w:rsidRPr="0026485A" w14:paraId="412A2AF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CE249CF" w14:textId="77777777" w:rsidR="008E67EA" w:rsidRPr="00713087" w:rsidRDefault="008E67EA" w:rsidP="00B44A74">
            <w:pPr>
              <w:spacing w:line="280" w:lineRule="exact"/>
              <w:rPr>
                <w:rFonts w:cs="Arial"/>
                <w:sz w:val="20"/>
                <w:szCs w:val="20"/>
              </w:rPr>
            </w:pPr>
            <w:r w:rsidRPr="00713087">
              <w:rPr>
                <w:rFonts w:cs="Arial"/>
                <w:sz w:val="20"/>
                <w:szCs w:val="20"/>
              </w:rPr>
              <w:t>General Directions:</w:t>
            </w:r>
          </w:p>
        </w:tc>
        <w:tc>
          <w:tcPr>
            <w:tcW w:w="7755" w:type="dxa"/>
            <w:tcBorders>
              <w:top w:val="single" w:sz="4" w:space="0" w:color="auto"/>
              <w:left w:val="single" w:sz="4" w:space="0" w:color="auto"/>
              <w:bottom w:val="single" w:sz="4" w:space="0" w:color="auto"/>
              <w:right w:val="single" w:sz="4" w:space="0" w:color="auto"/>
            </w:tcBorders>
          </w:tcPr>
          <w:p w14:paraId="003660BF" w14:textId="77777777" w:rsidR="008E67EA" w:rsidRPr="00713087" w:rsidRDefault="008E67EA" w:rsidP="00B44A74">
            <w:pPr>
              <w:spacing w:line="280" w:lineRule="exact"/>
              <w:rPr>
                <w:rFonts w:cs="Arial"/>
                <w:sz w:val="20"/>
                <w:szCs w:val="20"/>
              </w:rPr>
            </w:pPr>
          </w:p>
        </w:tc>
      </w:tr>
      <w:tr w:rsidR="008E67EA" w:rsidRPr="0026485A" w14:paraId="03BEE3CD" w14:textId="77777777" w:rsidTr="00B44A74">
        <w:trPr>
          <w:jc w:val="center"/>
        </w:trPr>
        <w:tc>
          <w:tcPr>
            <w:tcW w:w="2415" w:type="dxa"/>
            <w:tcBorders>
              <w:top w:val="single" w:sz="4" w:space="0" w:color="auto"/>
              <w:left w:val="nil"/>
              <w:bottom w:val="single" w:sz="4" w:space="0" w:color="auto"/>
              <w:right w:val="nil"/>
            </w:tcBorders>
          </w:tcPr>
          <w:p w14:paraId="09C0478B" w14:textId="77777777" w:rsidR="008E67EA" w:rsidRPr="0071308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0854543" w14:textId="77777777" w:rsidR="008E67EA" w:rsidRPr="00713087" w:rsidRDefault="008E67EA" w:rsidP="00B44A74">
            <w:pPr>
              <w:spacing w:line="280" w:lineRule="exact"/>
              <w:rPr>
                <w:rFonts w:cs="Arial"/>
                <w:sz w:val="20"/>
                <w:szCs w:val="20"/>
              </w:rPr>
            </w:pPr>
          </w:p>
        </w:tc>
      </w:tr>
      <w:tr w:rsidR="008E67EA" w:rsidRPr="0026485A" w14:paraId="5835467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D35D563" w14:textId="77777777" w:rsidR="008E67EA" w:rsidRPr="00713087" w:rsidRDefault="008E67EA" w:rsidP="00B44A74">
            <w:pPr>
              <w:spacing w:line="280" w:lineRule="exact"/>
              <w:rPr>
                <w:rFonts w:cs="Arial"/>
                <w:sz w:val="20"/>
                <w:szCs w:val="20"/>
              </w:rPr>
            </w:pPr>
            <w:r w:rsidRPr="00713087">
              <w:rPr>
                <w:rFonts w:cs="Arial"/>
                <w:sz w:val="20"/>
                <w:szCs w:val="20"/>
              </w:rPr>
              <w:t>Resistance Warning:</w:t>
            </w:r>
          </w:p>
        </w:tc>
        <w:tc>
          <w:tcPr>
            <w:tcW w:w="7755" w:type="dxa"/>
            <w:tcBorders>
              <w:top w:val="single" w:sz="4" w:space="0" w:color="auto"/>
              <w:left w:val="single" w:sz="4" w:space="0" w:color="auto"/>
              <w:bottom w:val="single" w:sz="4" w:space="0" w:color="auto"/>
              <w:right w:val="single" w:sz="4" w:space="0" w:color="auto"/>
            </w:tcBorders>
          </w:tcPr>
          <w:p w14:paraId="25480D5C" w14:textId="77777777" w:rsidR="008E67EA" w:rsidRPr="00713087" w:rsidRDefault="008E67EA" w:rsidP="00B44A74">
            <w:pPr>
              <w:spacing w:line="280" w:lineRule="exact"/>
              <w:rPr>
                <w:rFonts w:cs="Arial"/>
                <w:sz w:val="20"/>
                <w:szCs w:val="20"/>
              </w:rPr>
            </w:pPr>
          </w:p>
        </w:tc>
      </w:tr>
      <w:tr w:rsidR="008E67EA" w:rsidRPr="0026485A" w14:paraId="2EC635E8" w14:textId="77777777" w:rsidTr="00B44A74">
        <w:trPr>
          <w:jc w:val="center"/>
        </w:trPr>
        <w:tc>
          <w:tcPr>
            <w:tcW w:w="2415" w:type="dxa"/>
            <w:tcBorders>
              <w:top w:val="single" w:sz="4" w:space="0" w:color="auto"/>
              <w:left w:val="nil"/>
              <w:bottom w:val="single" w:sz="4" w:space="0" w:color="auto"/>
              <w:right w:val="nil"/>
            </w:tcBorders>
          </w:tcPr>
          <w:p w14:paraId="0EDCCDA6" w14:textId="77777777" w:rsidR="008E67EA" w:rsidRPr="0071308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7CA164C" w14:textId="77777777" w:rsidR="008E67EA" w:rsidRPr="00713087" w:rsidRDefault="008E67EA" w:rsidP="00B44A74">
            <w:pPr>
              <w:spacing w:line="280" w:lineRule="exact"/>
              <w:rPr>
                <w:rFonts w:cs="Arial"/>
                <w:sz w:val="20"/>
                <w:szCs w:val="20"/>
              </w:rPr>
            </w:pPr>
          </w:p>
        </w:tc>
      </w:tr>
      <w:tr w:rsidR="008E67EA" w:rsidRPr="0026485A" w14:paraId="0E380DD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50EC606" w14:textId="77777777" w:rsidR="008E67EA" w:rsidRPr="00713087" w:rsidRDefault="008E67EA" w:rsidP="00B44A74">
            <w:pPr>
              <w:spacing w:line="280" w:lineRule="exact"/>
              <w:rPr>
                <w:rFonts w:cs="Arial"/>
                <w:sz w:val="20"/>
                <w:szCs w:val="20"/>
              </w:rPr>
            </w:pPr>
            <w:r w:rsidRPr="00713087">
              <w:rPr>
                <w:rFonts w:cs="Arial"/>
                <w:sz w:val="20"/>
                <w:szCs w:val="20"/>
              </w:rPr>
              <w:t>Precautions:</w:t>
            </w:r>
          </w:p>
        </w:tc>
        <w:tc>
          <w:tcPr>
            <w:tcW w:w="7755" w:type="dxa"/>
            <w:tcBorders>
              <w:top w:val="single" w:sz="4" w:space="0" w:color="auto"/>
              <w:left w:val="single" w:sz="4" w:space="0" w:color="auto"/>
              <w:bottom w:val="single" w:sz="4" w:space="0" w:color="auto"/>
              <w:right w:val="single" w:sz="4" w:space="0" w:color="auto"/>
            </w:tcBorders>
          </w:tcPr>
          <w:p w14:paraId="22CF8543" w14:textId="77777777" w:rsidR="008E67EA" w:rsidRPr="00713087" w:rsidRDefault="008E67EA" w:rsidP="00B44A74">
            <w:pPr>
              <w:spacing w:line="280" w:lineRule="exact"/>
              <w:rPr>
                <w:rFonts w:cs="Arial"/>
                <w:b/>
                <w:bCs/>
                <w:i/>
                <w:iCs/>
                <w:sz w:val="20"/>
                <w:szCs w:val="20"/>
              </w:rPr>
            </w:pPr>
            <w:r w:rsidRPr="00713087">
              <w:rPr>
                <w:rFonts w:cs="Arial"/>
                <w:color w:val="000000"/>
                <w:sz w:val="20"/>
                <w:szCs w:val="20"/>
              </w:rPr>
              <w:t>PRECAUTIONS</w:t>
            </w:r>
            <w:r w:rsidRPr="00713087">
              <w:rPr>
                <w:rFonts w:cs="Arial"/>
                <w:color w:val="000000"/>
                <w:sz w:val="20"/>
                <w:szCs w:val="20"/>
              </w:rPr>
              <w:br/>
              <w:t>Caution should be used when baiting near areas where hunting of wildlife may occur. Careful consideration of bait placement is necessary to avoid secondary exposure from contaminated wildlife that may be consumed.</w:t>
            </w:r>
            <w:r w:rsidRPr="00713087">
              <w:rPr>
                <w:rFonts w:cs="Arial"/>
                <w:color w:val="000000"/>
                <w:sz w:val="20"/>
                <w:szCs w:val="20"/>
              </w:rPr>
              <w:br/>
              <w:t>DO NOT place bait in areas where there is a possibility of contaminating food, livestock feed or surfaces that come in direct contact with food or livestock feed.</w:t>
            </w:r>
          </w:p>
        </w:tc>
      </w:tr>
      <w:tr w:rsidR="008E67EA" w:rsidRPr="0026485A" w14:paraId="403BBB0C" w14:textId="77777777" w:rsidTr="00B44A74">
        <w:trPr>
          <w:jc w:val="center"/>
        </w:trPr>
        <w:tc>
          <w:tcPr>
            <w:tcW w:w="2415" w:type="dxa"/>
            <w:tcBorders>
              <w:top w:val="single" w:sz="4" w:space="0" w:color="auto"/>
              <w:left w:val="nil"/>
              <w:bottom w:val="single" w:sz="4" w:space="0" w:color="auto"/>
              <w:right w:val="nil"/>
            </w:tcBorders>
          </w:tcPr>
          <w:p w14:paraId="1777DB48" w14:textId="77777777" w:rsidR="008E67EA" w:rsidRPr="0071308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C241B64" w14:textId="77777777" w:rsidR="008E67EA" w:rsidRPr="00713087" w:rsidRDefault="008E67EA" w:rsidP="00B44A74">
            <w:pPr>
              <w:spacing w:line="280" w:lineRule="exact"/>
              <w:rPr>
                <w:rFonts w:cs="Arial"/>
                <w:sz w:val="20"/>
                <w:szCs w:val="20"/>
              </w:rPr>
            </w:pPr>
          </w:p>
        </w:tc>
      </w:tr>
      <w:tr w:rsidR="008E67EA" w:rsidRPr="0026485A" w14:paraId="661C6BC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E838E9B" w14:textId="77777777" w:rsidR="008E67EA" w:rsidRPr="00713087" w:rsidRDefault="008E67EA" w:rsidP="00B44A74">
            <w:pPr>
              <w:spacing w:line="280" w:lineRule="exact"/>
              <w:rPr>
                <w:rFonts w:cs="Arial"/>
                <w:sz w:val="20"/>
                <w:szCs w:val="20"/>
              </w:rPr>
            </w:pPr>
            <w:r w:rsidRPr="00713087">
              <w:rPr>
                <w:rFonts w:cs="Arial"/>
                <w:sz w:val="20"/>
                <w:szCs w:val="20"/>
              </w:rPr>
              <w:t>Protection Statements:</w:t>
            </w:r>
          </w:p>
        </w:tc>
        <w:tc>
          <w:tcPr>
            <w:tcW w:w="7755" w:type="dxa"/>
            <w:tcBorders>
              <w:top w:val="single" w:sz="4" w:space="0" w:color="auto"/>
              <w:left w:val="single" w:sz="4" w:space="0" w:color="auto"/>
              <w:bottom w:val="single" w:sz="4" w:space="0" w:color="auto"/>
              <w:right w:val="single" w:sz="4" w:space="0" w:color="auto"/>
            </w:tcBorders>
          </w:tcPr>
          <w:p w14:paraId="2802A295" w14:textId="77777777" w:rsidR="008E67EA" w:rsidRDefault="008E67EA" w:rsidP="00B44A74">
            <w:pPr>
              <w:spacing w:line="280" w:lineRule="exact"/>
              <w:rPr>
                <w:rFonts w:cs="Arial"/>
                <w:color w:val="000000"/>
                <w:sz w:val="20"/>
                <w:szCs w:val="20"/>
              </w:rPr>
            </w:pPr>
            <w:r w:rsidRPr="00713087">
              <w:rPr>
                <w:rFonts w:cs="Arial"/>
                <w:color w:val="000000"/>
                <w:sz w:val="20"/>
                <w:szCs w:val="20"/>
              </w:rPr>
              <w:t>PROTECTION OF LIVESTOCK AND WILDLIFE</w:t>
            </w:r>
            <w:r w:rsidRPr="00713087">
              <w:rPr>
                <w:rFonts w:cs="Arial"/>
                <w:color w:val="000000"/>
                <w:sz w:val="20"/>
                <w:szCs w:val="20"/>
              </w:rPr>
              <w:br/>
              <w:t>Hazardous to livestock, poultry and wildlife. DO NOT place baits in locations that are accessible to domestic animals, livestock, non-target native animals or birds.</w:t>
            </w:r>
            <w:r w:rsidRPr="00713087">
              <w:rPr>
                <w:rFonts w:cs="Arial"/>
                <w:color w:val="000000"/>
                <w:sz w:val="20"/>
                <w:szCs w:val="20"/>
              </w:rPr>
              <w:br/>
              <w:t xml:space="preserve">Search for and dispose of dead rodents and slugs/snails in the infested area at each visit to prevent secondary poisoning. In case slugs/snails are present, move bait station to another location within the rodent infested site, away from slugs/snails. Dispose of slugs/snails in a way non-target animals are not exposed. Dispose of dead rodents and uneaten bait in compliance with local, state or territory government regulations. </w:t>
            </w:r>
            <w:r w:rsidRPr="00713087">
              <w:rPr>
                <w:rFonts w:cs="Arial"/>
                <w:color w:val="000000"/>
                <w:sz w:val="20"/>
                <w:szCs w:val="20"/>
              </w:rPr>
              <w:br/>
              <w:t>DO NOT allow livestock or poultry to consume dead or moribund mice and rats. All dead or moribund animals and rodent faeces from baited rodents MUST be removed from areas accessible to livestock or poultry.</w:t>
            </w:r>
            <w:r w:rsidRPr="00713087">
              <w:rPr>
                <w:rFonts w:cs="Arial"/>
                <w:color w:val="000000"/>
                <w:sz w:val="20"/>
                <w:szCs w:val="20"/>
              </w:rPr>
              <w:br/>
              <w:t>The use of this product for the control of protected native rodents requires permission from wildlife authorities.</w:t>
            </w:r>
          </w:p>
          <w:p w14:paraId="0823F28B" w14:textId="5A6CD33F" w:rsidR="008E67EA" w:rsidRPr="00713087" w:rsidRDefault="008E67EA" w:rsidP="00B44A74">
            <w:pPr>
              <w:spacing w:line="280" w:lineRule="exact"/>
              <w:rPr>
                <w:rFonts w:cs="Arial"/>
                <w:sz w:val="20"/>
                <w:szCs w:val="20"/>
              </w:rPr>
            </w:pPr>
            <w:r w:rsidRPr="00713087">
              <w:rPr>
                <w:rFonts w:cs="Arial"/>
                <w:color w:val="000000"/>
                <w:sz w:val="20"/>
                <w:szCs w:val="20"/>
              </w:rPr>
              <w:br/>
              <w:t>PROTECTION OF FISH, CRUSTACEANS AND ENVIRONMENT</w:t>
            </w:r>
            <w:r w:rsidRPr="00713087">
              <w:rPr>
                <w:rFonts w:cs="Arial"/>
                <w:color w:val="000000"/>
                <w:sz w:val="20"/>
                <w:szCs w:val="20"/>
              </w:rPr>
              <w:br/>
              <w:t>Toxic to aquatic life. DO NOT contaminate wetlands or watercourses with this product or used containers. Place the bait stations in areas not liable to flooding. When placing bait stations close to water drainage systems, ensure that bait contact with water is avoided.</w:t>
            </w:r>
          </w:p>
        </w:tc>
      </w:tr>
      <w:tr w:rsidR="008E67EA" w:rsidRPr="0026485A" w14:paraId="1842FCC9" w14:textId="77777777" w:rsidTr="00B44A74">
        <w:trPr>
          <w:jc w:val="center"/>
        </w:trPr>
        <w:tc>
          <w:tcPr>
            <w:tcW w:w="2415" w:type="dxa"/>
            <w:tcBorders>
              <w:top w:val="single" w:sz="4" w:space="0" w:color="auto"/>
              <w:left w:val="nil"/>
              <w:bottom w:val="single" w:sz="4" w:space="0" w:color="auto"/>
              <w:right w:val="nil"/>
            </w:tcBorders>
          </w:tcPr>
          <w:p w14:paraId="6B5E99DC" w14:textId="77777777" w:rsidR="008E67EA" w:rsidRPr="0071308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7418974" w14:textId="77777777" w:rsidR="008E67EA" w:rsidRPr="00713087" w:rsidRDefault="008E67EA" w:rsidP="00B44A74">
            <w:pPr>
              <w:spacing w:line="280" w:lineRule="exact"/>
              <w:rPr>
                <w:rFonts w:cs="Arial"/>
                <w:sz w:val="20"/>
                <w:szCs w:val="20"/>
              </w:rPr>
            </w:pPr>
          </w:p>
        </w:tc>
      </w:tr>
      <w:tr w:rsidR="008E67EA" w:rsidRPr="0026485A" w14:paraId="161DFBF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CE87619" w14:textId="77777777" w:rsidR="008E67EA" w:rsidRPr="00713087" w:rsidRDefault="008E67EA" w:rsidP="00B44A74">
            <w:pPr>
              <w:spacing w:line="280" w:lineRule="exact"/>
              <w:rPr>
                <w:rFonts w:cs="Arial"/>
                <w:sz w:val="20"/>
                <w:szCs w:val="20"/>
              </w:rPr>
            </w:pPr>
            <w:r w:rsidRPr="00713087">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5D077712" w14:textId="77777777" w:rsidR="008E67EA" w:rsidRPr="00713087" w:rsidRDefault="008E67EA" w:rsidP="00B44A74">
            <w:pPr>
              <w:spacing w:line="280" w:lineRule="exact"/>
              <w:rPr>
                <w:rFonts w:cs="Arial"/>
                <w:color w:val="000000"/>
                <w:sz w:val="20"/>
                <w:szCs w:val="20"/>
              </w:rPr>
            </w:pPr>
            <w:r w:rsidRPr="00713087">
              <w:rPr>
                <w:rFonts w:cs="Arial"/>
                <w:color w:val="000000"/>
                <w:sz w:val="20"/>
                <w:szCs w:val="20"/>
              </w:rPr>
              <w:t>STORAGE AND DISPOSAL</w:t>
            </w:r>
          </w:p>
          <w:p w14:paraId="026FCD27" w14:textId="77777777" w:rsidR="008E67EA" w:rsidRPr="00713087" w:rsidRDefault="008E67EA" w:rsidP="00B44A74">
            <w:pPr>
              <w:spacing w:line="280" w:lineRule="exact"/>
              <w:rPr>
                <w:rFonts w:cs="Arial"/>
                <w:color w:val="000000"/>
                <w:sz w:val="20"/>
                <w:szCs w:val="20"/>
              </w:rPr>
            </w:pPr>
            <w:r w:rsidRPr="00713087">
              <w:rPr>
                <w:rFonts w:cs="Arial"/>
                <w:color w:val="000000"/>
                <w:sz w:val="20"/>
                <w:szCs w:val="20"/>
              </w:rPr>
              <w:t>Store in the closed, original container in a well-ventilated area, as cool as possible.</w:t>
            </w:r>
            <w:r w:rsidRPr="00713087">
              <w:rPr>
                <w:rFonts w:cs="Arial"/>
                <w:color w:val="000000"/>
                <w:sz w:val="20"/>
                <w:szCs w:val="20"/>
              </w:rPr>
              <w:br/>
              <w:t>DO NOT store for prolonged periods in direct sunlight. Triple rinse containers before disposal. Break, crush or puncture and deliver empty packaging to an approved waste management facility. If an approved waste management facility is not available, dispose of empty packaging in compliance with relevant local, state or territory government regulations.</w:t>
            </w:r>
            <w:r>
              <w:rPr>
                <w:rFonts w:cs="Arial"/>
                <w:color w:val="000000"/>
                <w:sz w:val="20"/>
                <w:szCs w:val="20"/>
              </w:rPr>
              <w:t xml:space="preserve"> </w:t>
            </w:r>
            <w:r w:rsidRPr="005E538D">
              <w:rPr>
                <w:rFonts w:cs="Arial"/>
                <w:sz w:val="20"/>
                <w:szCs w:val="20"/>
                <w:bdr w:val="none" w:sz="0" w:space="0" w:color="auto" w:frame="1"/>
                <w:lang w:val="en-GB" w:eastAsia="en-AU"/>
              </w:rPr>
              <w:t>Dispose of unused product in compliance with relevant local, state or territory government regulations.</w:t>
            </w:r>
            <w:r w:rsidRPr="00713087">
              <w:rPr>
                <w:rFonts w:cs="Arial"/>
                <w:color w:val="000000"/>
                <w:sz w:val="20"/>
                <w:szCs w:val="20"/>
              </w:rPr>
              <w:t xml:space="preserve"> DO NOT burn empty containers or product.</w:t>
            </w:r>
          </w:p>
        </w:tc>
      </w:tr>
      <w:tr w:rsidR="008E67EA" w:rsidRPr="0026485A" w14:paraId="4D415B99" w14:textId="77777777" w:rsidTr="00B44A74">
        <w:trPr>
          <w:jc w:val="center"/>
        </w:trPr>
        <w:tc>
          <w:tcPr>
            <w:tcW w:w="2415" w:type="dxa"/>
            <w:tcBorders>
              <w:top w:val="single" w:sz="4" w:space="0" w:color="auto"/>
              <w:left w:val="nil"/>
              <w:bottom w:val="single" w:sz="4" w:space="0" w:color="auto"/>
              <w:right w:val="nil"/>
            </w:tcBorders>
          </w:tcPr>
          <w:p w14:paraId="17578E9F" w14:textId="77777777" w:rsidR="008E67EA" w:rsidRPr="0071308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5071F1D" w14:textId="77777777" w:rsidR="008E67EA" w:rsidRPr="00713087" w:rsidRDefault="008E67EA" w:rsidP="00B44A74">
            <w:pPr>
              <w:spacing w:line="280" w:lineRule="exact"/>
              <w:rPr>
                <w:rFonts w:cs="Arial"/>
                <w:sz w:val="20"/>
                <w:szCs w:val="20"/>
              </w:rPr>
            </w:pPr>
          </w:p>
        </w:tc>
      </w:tr>
      <w:tr w:rsidR="008E67EA" w:rsidRPr="0026485A" w14:paraId="7CDD5B2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F63E209" w14:textId="77777777" w:rsidR="008E67EA" w:rsidRPr="00713087" w:rsidRDefault="008E67EA" w:rsidP="00B44A74">
            <w:pPr>
              <w:spacing w:line="280" w:lineRule="exact"/>
              <w:rPr>
                <w:rFonts w:cs="Arial"/>
                <w:sz w:val="20"/>
                <w:szCs w:val="20"/>
              </w:rPr>
            </w:pPr>
            <w:r w:rsidRPr="00713087">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15E34ADD" w14:textId="77777777" w:rsidR="008E67EA" w:rsidRPr="00713087" w:rsidRDefault="008E67EA" w:rsidP="00B44A74">
            <w:pPr>
              <w:spacing w:line="280" w:lineRule="exact"/>
              <w:rPr>
                <w:rFonts w:cs="Arial"/>
                <w:color w:val="000000"/>
                <w:sz w:val="20"/>
                <w:szCs w:val="20"/>
              </w:rPr>
            </w:pPr>
            <w:r w:rsidRPr="00713087">
              <w:rPr>
                <w:rFonts w:cs="Arial"/>
                <w:color w:val="000000"/>
                <w:sz w:val="20"/>
                <w:szCs w:val="20"/>
              </w:rPr>
              <w:t>SAFETY DIRECTIONS</w:t>
            </w:r>
          </w:p>
          <w:p w14:paraId="4BBBC0B9" w14:textId="77777777" w:rsidR="008E67EA" w:rsidRPr="00713087" w:rsidRDefault="008E67EA" w:rsidP="00B44A74">
            <w:pPr>
              <w:spacing w:line="280" w:lineRule="exact"/>
              <w:rPr>
                <w:rFonts w:cs="Arial"/>
                <w:color w:val="000000"/>
                <w:sz w:val="20"/>
                <w:szCs w:val="20"/>
              </w:rPr>
            </w:pPr>
            <w:r w:rsidRPr="00713087">
              <w:rPr>
                <w:rFonts w:cs="Arial"/>
                <w:color w:val="000000"/>
                <w:sz w:val="20"/>
                <w:szCs w:val="20"/>
              </w:rPr>
              <w:t>Repeated minor exposure may have a cumulative poisoning effect. When using the product wear disposable gloves. During cleanup, disposal operations of bait and bait stations and when handling rodent carcasses wear single layer clothing and disposable gloves. If on skin and after each baiting, wash thoroughly with soap and water. After each day’s use wash contaminated clothing. Wash clothes after performing re-handling activities.</w:t>
            </w:r>
          </w:p>
        </w:tc>
      </w:tr>
      <w:tr w:rsidR="008E67EA" w:rsidRPr="0026485A" w14:paraId="167CD07A" w14:textId="77777777" w:rsidTr="00B44A74">
        <w:trPr>
          <w:jc w:val="center"/>
        </w:trPr>
        <w:tc>
          <w:tcPr>
            <w:tcW w:w="2415" w:type="dxa"/>
            <w:tcBorders>
              <w:top w:val="single" w:sz="4" w:space="0" w:color="auto"/>
              <w:left w:val="nil"/>
              <w:bottom w:val="single" w:sz="4" w:space="0" w:color="auto"/>
              <w:right w:val="nil"/>
            </w:tcBorders>
          </w:tcPr>
          <w:p w14:paraId="52FE3710" w14:textId="77777777" w:rsidR="008E67EA" w:rsidRPr="0071308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D9349A2" w14:textId="77777777" w:rsidR="008E67EA" w:rsidRPr="00713087" w:rsidRDefault="008E67EA" w:rsidP="00B44A74">
            <w:pPr>
              <w:spacing w:line="280" w:lineRule="exact"/>
              <w:rPr>
                <w:rFonts w:cs="Arial"/>
                <w:sz w:val="20"/>
                <w:szCs w:val="20"/>
              </w:rPr>
            </w:pPr>
          </w:p>
        </w:tc>
      </w:tr>
      <w:tr w:rsidR="008E67EA" w:rsidRPr="0026485A" w14:paraId="18BACB4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D569F47" w14:textId="77777777" w:rsidR="008E67EA" w:rsidRPr="00713087" w:rsidRDefault="008E67EA" w:rsidP="00B44A74">
            <w:pPr>
              <w:spacing w:line="280" w:lineRule="exact"/>
              <w:rPr>
                <w:rFonts w:cs="Arial"/>
                <w:sz w:val="20"/>
                <w:szCs w:val="20"/>
              </w:rPr>
            </w:pPr>
            <w:r w:rsidRPr="00713087">
              <w:rPr>
                <w:rFonts w:cs="Arial"/>
                <w:sz w:val="20"/>
                <w:szCs w:val="20"/>
              </w:rPr>
              <w:t>First Aid Instructions:</w:t>
            </w:r>
          </w:p>
        </w:tc>
        <w:tc>
          <w:tcPr>
            <w:tcW w:w="7755" w:type="dxa"/>
            <w:tcBorders>
              <w:top w:val="single" w:sz="4" w:space="0" w:color="auto"/>
              <w:left w:val="single" w:sz="4" w:space="0" w:color="auto"/>
              <w:bottom w:val="single" w:sz="4" w:space="0" w:color="auto"/>
              <w:right w:val="single" w:sz="4" w:space="0" w:color="auto"/>
            </w:tcBorders>
          </w:tcPr>
          <w:p w14:paraId="0F294129" w14:textId="77777777" w:rsidR="008E67EA" w:rsidRPr="00713087" w:rsidRDefault="008E67EA" w:rsidP="00B44A74">
            <w:pPr>
              <w:spacing w:line="280" w:lineRule="exact"/>
              <w:rPr>
                <w:rFonts w:cs="Arial"/>
                <w:color w:val="000000"/>
                <w:sz w:val="20"/>
                <w:szCs w:val="20"/>
              </w:rPr>
            </w:pPr>
            <w:r w:rsidRPr="00713087">
              <w:rPr>
                <w:rFonts w:cs="Arial"/>
                <w:color w:val="000000"/>
                <w:sz w:val="20"/>
                <w:szCs w:val="20"/>
              </w:rPr>
              <w:t>FIRST AID</w:t>
            </w:r>
          </w:p>
          <w:p w14:paraId="3CB5779E" w14:textId="77777777" w:rsidR="008E67EA" w:rsidRPr="00713087" w:rsidRDefault="008E67EA" w:rsidP="00B44A74">
            <w:pPr>
              <w:spacing w:line="280" w:lineRule="exact"/>
              <w:rPr>
                <w:rFonts w:cs="Arial"/>
                <w:sz w:val="20"/>
                <w:szCs w:val="20"/>
              </w:rPr>
            </w:pPr>
            <w:r w:rsidRPr="00713087">
              <w:rPr>
                <w:rFonts w:cs="Arial"/>
                <w:color w:val="000000"/>
                <w:sz w:val="20"/>
                <w:szCs w:val="20"/>
              </w:rPr>
              <w:lastRenderedPageBreak/>
              <w:t>If poisoning occurs, contact a doctor or Poisons Information Centre. Phone Australia 13 11 26, New Zealand 0800 764 766. Vitamin K1 (Phytomenadione) is antidotal.</w:t>
            </w:r>
          </w:p>
        </w:tc>
      </w:tr>
      <w:tr w:rsidR="008E67EA" w:rsidRPr="0026485A" w14:paraId="3CEB9754" w14:textId="77777777" w:rsidTr="00B44A74">
        <w:trPr>
          <w:jc w:val="center"/>
        </w:trPr>
        <w:tc>
          <w:tcPr>
            <w:tcW w:w="2415" w:type="dxa"/>
            <w:tcBorders>
              <w:top w:val="single" w:sz="4" w:space="0" w:color="auto"/>
              <w:left w:val="nil"/>
              <w:bottom w:val="single" w:sz="4" w:space="0" w:color="auto"/>
              <w:right w:val="nil"/>
            </w:tcBorders>
          </w:tcPr>
          <w:p w14:paraId="5116402F" w14:textId="77777777" w:rsidR="008E67EA" w:rsidRPr="00713087"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DA9248A" w14:textId="77777777" w:rsidR="008E67EA" w:rsidRPr="00713087" w:rsidRDefault="008E67EA" w:rsidP="00B44A74">
            <w:pPr>
              <w:spacing w:line="280" w:lineRule="exact"/>
              <w:rPr>
                <w:rFonts w:cs="Arial"/>
                <w:sz w:val="20"/>
                <w:szCs w:val="20"/>
              </w:rPr>
            </w:pPr>
          </w:p>
        </w:tc>
      </w:tr>
      <w:tr w:rsidR="008E67EA" w:rsidRPr="0026485A" w14:paraId="066162E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5193926" w14:textId="77777777" w:rsidR="008E67EA" w:rsidRPr="00713087" w:rsidRDefault="008E67EA" w:rsidP="00B44A74">
            <w:pPr>
              <w:spacing w:line="280" w:lineRule="exact"/>
              <w:rPr>
                <w:rFonts w:cs="Arial"/>
                <w:sz w:val="20"/>
                <w:szCs w:val="20"/>
              </w:rPr>
            </w:pPr>
            <w:r w:rsidRPr="00713087">
              <w:rPr>
                <w:rFonts w:cs="Arial"/>
                <w:sz w:val="20"/>
                <w:szCs w:val="20"/>
              </w:rPr>
              <w:t>First Aid Warnings:</w:t>
            </w:r>
          </w:p>
        </w:tc>
        <w:tc>
          <w:tcPr>
            <w:tcW w:w="7755" w:type="dxa"/>
            <w:tcBorders>
              <w:top w:val="single" w:sz="4" w:space="0" w:color="auto"/>
              <w:left w:val="single" w:sz="4" w:space="0" w:color="auto"/>
              <w:bottom w:val="single" w:sz="4" w:space="0" w:color="auto"/>
              <w:right w:val="single" w:sz="4" w:space="0" w:color="auto"/>
            </w:tcBorders>
          </w:tcPr>
          <w:p w14:paraId="23B23329" w14:textId="77777777" w:rsidR="008E67EA" w:rsidRPr="00713087" w:rsidRDefault="008E67EA" w:rsidP="00B44A74">
            <w:pPr>
              <w:spacing w:line="280" w:lineRule="exact"/>
              <w:rPr>
                <w:rFonts w:cs="Arial"/>
                <w:sz w:val="20"/>
                <w:szCs w:val="20"/>
              </w:rPr>
            </w:pPr>
          </w:p>
        </w:tc>
      </w:tr>
    </w:tbl>
    <w:p w14:paraId="611BAB1B" w14:textId="77777777" w:rsidR="008E67EA" w:rsidRPr="00713087" w:rsidRDefault="008E67EA" w:rsidP="008E67EA">
      <w:pPr>
        <w:rPr>
          <w:rFonts w:cs="Arial"/>
          <w:sz w:val="20"/>
          <w:szCs w:val="20"/>
        </w:rPr>
      </w:pPr>
    </w:p>
    <w:p w14:paraId="7D800252" w14:textId="77777777" w:rsidR="008E67EA" w:rsidRPr="00FF36BF" w:rsidRDefault="008E67EA" w:rsidP="008E67EA">
      <w:pPr>
        <w:spacing w:line="280" w:lineRule="exact"/>
        <w:rPr>
          <w:rFonts w:cs="Arial"/>
          <w:b/>
          <w:bCs/>
          <w:sz w:val="20"/>
          <w:szCs w:val="20"/>
        </w:rPr>
      </w:pPr>
      <w:r w:rsidRPr="00FF36BF">
        <w:rPr>
          <w:rFonts w:cs="Arial"/>
          <w:b/>
          <w:bCs/>
          <w:sz w:val="20"/>
          <w:szCs w:val="20"/>
        </w:rPr>
        <w:t>DIRECTIONS FOR USE</w:t>
      </w:r>
    </w:p>
    <w:tbl>
      <w:tblPr>
        <w:tblStyle w:val="TableGrid"/>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1418"/>
        <w:gridCol w:w="1134"/>
        <w:gridCol w:w="3159"/>
      </w:tblGrid>
      <w:tr w:rsidR="008E67EA" w:rsidRPr="00A27FD2" w14:paraId="1E0860CA" w14:textId="77777777" w:rsidTr="00FF707A">
        <w:trPr>
          <w:trHeight w:val="340"/>
        </w:trPr>
        <w:tc>
          <w:tcPr>
            <w:tcW w:w="3289" w:type="dxa"/>
          </w:tcPr>
          <w:p w14:paraId="32E609FD" w14:textId="77777777" w:rsidR="008E67EA" w:rsidRPr="00382A84" w:rsidRDefault="008E67EA" w:rsidP="00B44A74">
            <w:pPr>
              <w:spacing w:line="280" w:lineRule="exact"/>
              <w:rPr>
                <w:rFonts w:cs="Arial"/>
                <w:b/>
                <w:bCs/>
                <w:szCs w:val="18"/>
              </w:rPr>
            </w:pPr>
            <w:r w:rsidRPr="00382A84">
              <w:rPr>
                <w:rFonts w:cs="Arial"/>
                <w:b/>
                <w:bCs/>
                <w:szCs w:val="18"/>
              </w:rPr>
              <w:t>SITUATION</w:t>
            </w:r>
          </w:p>
        </w:tc>
        <w:tc>
          <w:tcPr>
            <w:tcW w:w="1418" w:type="dxa"/>
          </w:tcPr>
          <w:p w14:paraId="3E19EEAD" w14:textId="77777777" w:rsidR="008E67EA" w:rsidRPr="00382A84" w:rsidRDefault="008E67EA" w:rsidP="00B44A74">
            <w:pPr>
              <w:spacing w:line="280" w:lineRule="exact"/>
              <w:rPr>
                <w:rFonts w:cs="Arial"/>
                <w:b/>
                <w:bCs/>
                <w:szCs w:val="18"/>
              </w:rPr>
            </w:pPr>
            <w:r w:rsidRPr="00382A84">
              <w:rPr>
                <w:rFonts w:cs="Arial"/>
                <w:b/>
                <w:bCs/>
                <w:szCs w:val="18"/>
              </w:rPr>
              <w:t>PEST</w:t>
            </w:r>
          </w:p>
        </w:tc>
        <w:tc>
          <w:tcPr>
            <w:tcW w:w="1134" w:type="dxa"/>
          </w:tcPr>
          <w:p w14:paraId="03E62C6E" w14:textId="77777777" w:rsidR="008E67EA" w:rsidRPr="00382A84" w:rsidRDefault="008E67EA" w:rsidP="00B44A74">
            <w:pPr>
              <w:spacing w:line="280" w:lineRule="exact"/>
              <w:rPr>
                <w:rFonts w:cs="Arial"/>
                <w:b/>
                <w:bCs/>
                <w:szCs w:val="18"/>
              </w:rPr>
            </w:pPr>
            <w:r w:rsidRPr="00382A84">
              <w:rPr>
                <w:rFonts w:cs="Arial"/>
                <w:b/>
                <w:bCs/>
                <w:szCs w:val="18"/>
              </w:rPr>
              <w:t>RATE</w:t>
            </w:r>
          </w:p>
        </w:tc>
        <w:tc>
          <w:tcPr>
            <w:tcW w:w="3159" w:type="dxa"/>
          </w:tcPr>
          <w:p w14:paraId="304339AD" w14:textId="77777777" w:rsidR="008E67EA" w:rsidRPr="00382A84" w:rsidRDefault="008E67EA" w:rsidP="00B44A74">
            <w:pPr>
              <w:spacing w:line="280" w:lineRule="exact"/>
              <w:rPr>
                <w:rFonts w:cs="Arial"/>
                <w:b/>
                <w:bCs/>
                <w:szCs w:val="18"/>
              </w:rPr>
            </w:pPr>
            <w:r w:rsidRPr="00382A84">
              <w:rPr>
                <w:rFonts w:cs="Arial"/>
                <w:b/>
                <w:bCs/>
                <w:szCs w:val="18"/>
              </w:rPr>
              <w:t>CRITICAL COMMENTS</w:t>
            </w:r>
          </w:p>
        </w:tc>
      </w:tr>
      <w:tr w:rsidR="008E67EA" w:rsidRPr="00A27FD2" w14:paraId="33D22373" w14:textId="77777777" w:rsidTr="00FF707A">
        <w:trPr>
          <w:trHeight w:val="841"/>
        </w:trPr>
        <w:tc>
          <w:tcPr>
            <w:tcW w:w="3289" w:type="dxa"/>
          </w:tcPr>
          <w:p w14:paraId="4275EF0A" w14:textId="77777777" w:rsidR="008E67EA" w:rsidRPr="00382A84" w:rsidRDefault="008E67EA" w:rsidP="00B44A74">
            <w:pPr>
              <w:spacing w:after="120" w:line="240" w:lineRule="exact"/>
              <w:rPr>
                <w:rFonts w:cs="Arial"/>
                <w:bCs/>
                <w:spacing w:val="-2"/>
                <w:w w:val="105"/>
                <w:szCs w:val="18"/>
              </w:rPr>
            </w:pPr>
            <w:r w:rsidRPr="00382A84">
              <w:rPr>
                <w:rFonts w:cs="Arial"/>
                <w:bCs/>
                <w:spacing w:val="-2"/>
                <w:w w:val="105"/>
                <w:szCs w:val="18"/>
              </w:rPr>
              <w:t xml:space="preserve">In </w:t>
            </w:r>
            <w:r>
              <w:rPr>
                <w:rFonts w:cs="Arial"/>
                <w:bCs/>
                <w:spacing w:val="-2"/>
                <w:w w:val="105"/>
                <w:szCs w:val="18"/>
              </w:rPr>
              <w:t>d</w:t>
            </w:r>
            <w:r w:rsidRPr="006469D5">
              <w:rPr>
                <w:rFonts w:cs="Arial"/>
                <w:bCs/>
                <w:spacing w:val="-2"/>
                <w:w w:val="105"/>
                <w:szCs w:val="18"/>
              </w:rPr>
              <w:t>omestic homes, agricultural, industrial and commercial buildings, animal</w:t>
            </w:r>
            <w:r>
              <w:rPr>
                <w:rFonts w:cs="Arial"/>
                <w:bCs/>
                <w:spacing w:val="-2"/>
                <w:w w:val="105"/>
                <w:szCs w:val="18"/>
              </w:rPr>
              <w:t xml:space="preserve"> </w:t>
            </w:r>
            <w:r w:rsidRPr="006469D5">
              <w:rPr>
                <w:rFonts w:cs="Arial"/>
                <w:bCs/>
                <w:spacing w:val="-2"/>
                <w:w w:val="105"/>
                <w:szCs w:val="18"/>
              </w:rPr>
              <w:t xml:space="preserve">houses, farms, wharves, public service buildings, food factories, hospitals, </w:t>
            </w:r>
            <w:r>
              <w:rPr>
                <w:rFonts w:cs="Arial"/>
                <w:bCs/>
                <w:spacing w:val="-2"/>
                <w:w w:val="105"/>
                <w:szCs w:val="18"/>
              </w:rPr>
              <w:t xml:space="preserve">and </w:t>
            </w:r>
            <w:r w:rsidRPr="006469D5">
              <w:rPr>
                <w:rFonts w:cs="Arial"/>
                <w:bCs/>
                <w:spacing w:val="-2"/>
                <w:w w:val="105"/>
                <w:szCs w:val="18"/>
              </w:rPr>
              <w:t>transport</w:t>
            </w:r>
            <w:r>
              <w:rPr>
                <w:rFonts w:cs="Arial"/>
                <w:bCs/>
                <w:spacing w:val="-2"/>
                <w:w w:val="105"/>
                <w:szCs w:val="18"/>
              </w:rPr>
              <w:t xml:space="preserve"> </w:t>
            </w:r>
            <w:r w:rsidRPr="006469D5">
              <w:rPr>
                <w:rFonts w:cs="Arial"/>
                <w:bCs/>
                <w:spacing w:val="-2"/>
                <w:w w:val="105"/>
                <w:szCs w:val="18"/>
              </w:rPr>
              <w:t>vehicles (including ships)</w:t>
            </w:r>
            <w:r>
              <w:rPr>
                <w:rFonts w:cs="Arial"/>
                <w:bCs/>
                <w:spacing w:val="-2"/>
                <w:w w:val="105"/>
                <w:szCs w:val="18"/>
              </w:rPr>
              <w:t>.</w:t>
            </w:r>
          </w:p>
        </w:tc>
        <w:tc>
          <w:tcPr>
            <w:tcW w:w="1418" w:type="dxa"/>
          </w:tcPr>
          <w:p w14:paraId="41601B50" w14:textId="77777777" w:rsidR="008E67EA" w:rsidRPr="006469D5" w:rsidRDefault="008E67EA" w:rsidP="00B44A74">
            <w:pPr>
              <w:spacing w:after="120" w:line="240" w:lineRule="exact"/>
              <w:rPr>
                <w:rFonts w:cs="Arial"/>
                <w:szCs w:val="18"/>
              </w:rPr>
            </w:pPr>
            <w:r w:rsidRPr="006469D5">
              <w:rPr>
                <w:rFonts w:cs="Arial"/>
                <w:bCs/>
                <w:spacing w:val="-2"/>
                <w:w w:val="105"/>
                <w:szCs w:val="18"/>
              </w:rPr>
              <w:t>Mice (</w:t>
            </w:r>
            <w:r w:rsidRPr="006469D5">
              <w:rPr>
                <w:rFonts w:cs="Arial"/>
                <w:bCs/>
                <w:i/>
                <w:iCs/>
                <w:spacing w:val="-2"/>
                <w:w w:val="105"/>
                <w:szCs w:val="18"/>
              </w:rPr>
              <w:t>Mus musculus</w:t>
            </w:r>
            <w:r w:rsidRPr="006469D5">
              <w:rPr>
                <w:rFonts w:cs="Arial"/>
                <w:bCs/>
                <w:spacing w:val="-2"/>
                <w:w w:val="105"/>
                <w:szCs w:val="18"/>
              </w:rPr>
              <w:t>)</w:t>
            </w:r>
          </w:p>
        </w:tc>
        <w:tc>
          <w:tcPr>
            <w:tcW w:w="1134" w:type="dxa"/>
          </w:tcPr>
          <w:p w14:paraId="1F04AD3F" w14:textId="77777777" w:rsidR="008E67EA" w:rsidRPr="00382A84" w:rsidRDefault="008E67EA" w:rsidP="00B44A74">
            <w:pPr>
              <w:spacing w:after="120" w:line="240" w:lineRule="exact"/>
              <w:rPr>
                <w:rFonts w:cs="Arial"/>
                <w:bCs/>
                <w:spacing w:val="-2"/>
                <w:w w:val="105"/>
                <w:szCs w:val="18"/>
              </w:rPr>
            </w:pPr>
            <w:r>
              <w:rPr>
                <w:rFonts w:cs="Arial"/>
                <w:bCs/>
                <w:spacing w:val="-2"/>
                <w:w w:val="105"/>
                <w:szCs w:val="18"/>
              </w:rPr>
              <w:t xml:space="preserve">1 – 4 baits/ bait station </w:t>
            </w:r>
          </w:p>
        </w:tc>
        <w:tc>
          <w:tcPr>
            <w:tcW w:w="3159" w:type="dxa"/>
            <w:vMerge w:val="restart"/>
          </w:tcPr>
          <w:p w14:paraId="117713EB" w14:textId="4DB18389" w:rsidR="008E67EA" w:rsidRDefault="008E67EA" w:rsidP="00B44A74">
            <w:pPr>
              <w:spacing w:after="120" w:line="240" w:lineRule="exact"/>
              <w:rPr>
                <w:rFonts w:cs="Arial"/>
                <w:bCs/>
                <w:spacing w:val="-2"/>
                <w:w w:val="105"/>
                <w:szCs w:val="18"/>
              </w:rPr>
            </w:pPr>
            <w:r w:rsidRPr="006469D5">
              <w:rPr>
                <w:rFonts w:cs="Arial"/>
                <w:bCs/>
                <w:spacing w:val="-2"/>
                <w:w w:val="105"/>
                <w:szCs w:val="18"/>
              </w:rPr>
              <w:t>Determine areas where rats and/or mice will most likely find and consume bait. Generally,</w:t>
            </w:r>
            <w:r>
              <w:rPr>
                <w:rFonts w:cs="Arial"/>
                <w:bCs/>
                <w:spacing w:val="-2"/>
                <w:w w:val="105"/>
                <w:szCs w:val="18"/>
              </w:rPr>
              <w:t xml:space="preserve"> </w:t>
            </w:r>
            <w:r w:rsidRPr="006469D5">
              <w:rPr>
                <w:rFonts w:cs="Arial"/>
                <w:bCs/>
                <w:spacing w:val="-2"/>
                <w:w w:val="105"/>
                <w:szCs w:val="18"/>
              </w:rPr>
              <w:t>these areas are along walls, by gnawed openings, beside burrows, in corners and</w:t>
            </w:r>
            <w:r>
              <w:rPr>
                <w:rFonts w:cs="Arial"/>
                <w:bCs/>
                <w:spacing w:val="-2"/>
                <w:w w:val="105"/>
                <w:szCs w:val="18"/>
              </w:rPr>
              <w:t xml:space="preserve"> </w:t>
            </w:r>
            <w:r w:rsidRPr="006469D5">
              <w:rPr>
                <w:rFonts w:cs="Arial"/>
                <w:bCs/>
                <w:spacing w:val="-2"/>
                <w:w w:val="105"/>
                <w:szCs w:val="18"/>
              </w:rPr>
              <w:t>concealed places between floors and walls or in locations where rodents or their signs</w:t>
            </w:r>
            <w:r>
              <w:rPr>
                <w:rFonts w:cs="Arial"/>
                <w:bCs/>
                <w:spacing w:val="-2"/>
                <w:w w:val="105"/>
                <w:szCs w:val="18"/>
              </w:rPr>
              <w:t xml:space="preserve"> </w:t>
            </w:r>
            <w:r w:rsidRPr="006469D5">
              <w:rPr>
                <w:rFonts w:cs="Arial"/>
                <w:bCs/>
                <w:spacing w:val="-2"/>
                <w:w w:val="105"/>
                <w:szCs w:val="18"/>
              </w:rPr>
              <w:t>have been observed.</w:t>
            </w:r>
          </w:p>
          <w:p w14:paraId="2043E388" w14:textId="77777777" w:rsidR="008E67EA" w:rsidRDefault="008E67EA" w:rsidP="00B44A74">
            <w:pPr>
              <w:spacing w:after="120" w:line="240" w:lineRule="exact"/>
              <w:rPr>
                <w:rFonts w:cs="Arial"/>
                <w:bCs/>
                <w:spacing w:val="-2"/>
                <w:w w:val="105"/>
                <w:szCs w:val="18"/>
              </w:rPr>
            </w:pPr>
            <w:r>
              <w:rPr>
                <w:rFonts w:cs="Arial"/>
                <w:bCs/>
                <w:spacing w:val="-2"/>
                <w:w w:val="105"/>
                <w:szCs w:val="18"/>
              </w:rPr>
              <w:t xml:space="preserve">Place bait stations in infested areas. </w:t>
            </w:r>
            <w:r w:rsidRPr="00373A10">
              <w:rPr>
                <w:rFonts w:cs="Arial"/>
                <w:bCs/>
                <w:spacing w:val="-2"/>
                <w:w w:val="105"/>
                <w:szCs w:val="18"/>
              </w:rPr>
              <w:t>Bait areas where conditions might encourage rodent activity</w:t>
            </w:r>
            <w:r>
              <w:rPr>
                <w:rFonts w:cs="Arial"/>
                <w:bCs/>
                <w:spacing w:val="-2"/>
                <w:w w:val="105"/>
                <w:szCs w:val="18"/>
              </w:rPr>
              <w:t xml:space="preserve">. </w:t>
            </w:r>
            <w:r w:rsidRPr="00DA3B59">
              <w:rPr>
                <w:rFonts w:cs="Arial"/>
                <w:bCs/>
                <w:spacing w:val="-2"/>
                <w:w w:val="105"/>
                <w:szCs w:val="18"/>
              </w:rPr>
              <w:t>DO NOT remove bait from sachet.</w:t>
            </w:r>
          </w:p>
          <w:p w14:paraId="677CA4FB" w14:textId="77777777" w:rsidR="008E67EA" w:rsidRPr="00382A84" w:rsidRDefault="008E67EA" w:rsidP="00B44A74">
            <w:pPr>
              <w:spacing w:after="120" w:line="240" w:lineRule="exact"/>
              <w:rPr>
                <w:rFonts w:cs="Arial"/>
                <w:bCs/>
                <w:spacing w:val="-2"/>
                <w:w w:val="105"/>
                <w:szCs w:val="18"/>
              </w:rPr>
            </w:pPr>
            <w:r w:rsidRPr="00382A84">
              <w:rPr>
                <w:rFonts w:cs="Arial"/>
                <w:bCs/>
                <w:spacing w:val="-2"/>
                <w:w w:val="105"/>
                <w:szCs w:val="18"/>
              </w:rPr>
              <w:t>DO NOT exceed 9 m between bait stations for rats and 3 m for mice.</w:t>
            </w:r>
          </w:p>
        </w:tc>
      </w:tr>
      <w:tr w:rsidR="008E67EA" w:rsidRPr="00A27FD2" w14:paraId="22D5C531" w14:textId="77777777" w:rsidTr="00FF707A">
        <w:trPr>
          <w:trHeight w:val="841"/>
        </w:trPr>
        <w:tc>
          <w:tcPr>
            <w:tcW w:w="3289" w:type="dxa"/>
          </w:tcPr>
          <w:p w14:paraId="1FA6CCB2" w14:textId="088CE0D2" w:rsidR="008E67EA" w:rsidRDefault="008E67EA" w:rsidP="00B44A74">
            <w:pPr>
              <w:spacing w:after="120" w:line="240" w:lineRule="exact"/>
              <w:rPr>
                <w:rFonts w:cs="Arial"/>
                <w:bCs/>
                <w:spacing w:val="-2"/>
                <w:w w:val="105"/>
                <w:szCs w:val="18"/>
              </w:rPr>
            </w:pPr>
            <w:r w:rsidRPr="00382A84">
              <w:rPr>
                <w:rFonts w:cs="Arial"/>
                <w:bCs/>
                <w:spacing w:val="-2"/>
                <w:w w:val="105"/>
                <w:szCs w:val="18"/>
              </w:rPr>
              <w:t xml:space="preserve">In </w:t>
            </w:r>
            <w:r>
              <w:rPr>
                <w:rFonts w:cs="Arial"/>
                <w:bCs/>
                <w:spacing w:val="-2"/>
                <w:w w:val="105"/>
                <w:szCs w:val="18"/>
              </w:rPr>
              <w:t>and around (within 2 meters) d</w:t>
            </w:r>
            <w:r w:rsidRPr="006469D5">
              <w:rPr>
                <w:rFonts w:cs="Arial"/>
                <w:bCs/>
                <w:spacing w:val="-2"/>
                <w:w w:val="105"/>
                <w:szCs w:val="18"/>
              </w:rPr>
              <w:t>omestic homes, agricultural, industrial and commercial buildings, animal</w:t>
            </w:r>
            <w:r>
              <w:rPr>
                <w:rFonts w:cs="Arial"/>
                <w:bCs/>
                <w:spacing w:val="-2"/>
                <w:w w:val="105"/>
                <w:szCs w:val="18"/>
              </w:rPr>
              <w:t xml:space="preserve"> </w:t>
            </w:r>
            <w:r w:rsidRPr="006469D5">
              <w:rPr>
                <w:rFonts w:cs="Arial"/>
                <w:bCs/>
                <w:spacing w:val="-2"/>
                <w:w w:val="105"/>
                <w:szCs w:val="18"/>
              </w:rPr>
              <w:t>houses, farms, wharves, public service buildings, food factories</w:t>
            </w:r>
            <w:r>
              <w:rPr>
                <w:rFonts w:cs="Arial"/>
                <w:bCs/>
                <w:spacing w:val="-2"/>
                <w:w w:val="105"/>
                <w:szCs w:val="18"/>
              </w:rPr>
              <w:t xml:space="preserve"> and</w:t>
            </w:r>
            <w:r w:rsidRPr="006469D5">
              <w:rPr>
                <w:rFonts w:cs="Arial"/>
                <w:bCs/>
                <w:spacing w:val="-2"/>
                <w:w w:val="105"/>
                <w:szCs w:val="18"/>
              </w:rPr>
              <w:t xml:space="preserve"> hospitals</w:t>
            </w:r>
            <w:r>
              <w:rPr>
                <w:rFonts w:cs="Arial"/>
                <w:bCs/>
                <w:spacing w:val="-2"/>
                <w:w w:val="105"/>
                <w:szCs w:val="18"/>
              </w:rPr>
              <w:t>.</w:t>
            </w:r>
          </w:p>
          <w:p w14:paraId="5D077AF1" w14:textId="77777777" w:rsidR="008E67EA" w:rsidRPr="00382A84" w:rsidRDefault="008E67EA" w:rsidP="00B44A74">
            <w:pPr>
              <w:spacing w:after="120" w:line="240" w:lineRule="exact"/>
              <w:rPr>
                <w:rFonts w:cs="Arial"/>
                <w:bCs/>
                <w:spacing w:val="-2"/>
                <w:w w:val="105"/>
                <w:szCs w:val="18"/>
              </w:rPr>
            </w:pPr>
            <w:r>
              <w:rPr>
                <w:rFonts w:cs="Arial"/>
                <w:bCs/>
                <w:spacing w:val="-2"/>
                <w:w w:val="105"/>
                <w:szCs w:val="18"/>
              </w:rPr>
              <w:t>I</w:t>
            </w:r>
            <w:r w:rsidRPr="006469D5">
              <w:rPr>
                <w:rFonts w:cs="Arial"/>
                <w:bCs/>
                <w:spacing w:val="-2"/>
                <w:w w:val="105"/>
                <w:szCs w:val="18"/>
              </w:rPr>
              <w:t>nside transport</w:t>
            </w:r>
            <w:r>
              <w:rPr>
                <w:rFonts w:cs="Arial"/>
                <w:bCs/>
                <w:spacing w:val="-2"/>
                <w:w w:val="105"/>
                <w:szCs w:val="18"/>
              </w:rPr>
              <w:t xml:space="preserve"> </w:t>
            </w:r>
            <w:r w:rsidRPr="006469D5">
              <w:rPr>
                <w:rFonts w:cs="Arial"/>
                <w:bCs/>
                <w:spacing w:val="-2"/>
                <w:w w:val="105"/>
                <w:szCs w:val="18"/>
              </w:rPr>
              <w:t>vehicles (including ships)</w:t>
            </w:r>
            <w:r>
              <w:rPr>
                <w:rFonts w:cs="Arial"/>
                <w:bCs/>
                <w:spacing w:val="-2"/>
                <w:w w:val="105"/>
                <w:szCs w:val="18"/>
              </w:rPr>
              <w:t xml:space="preserve"> and around (within 2 meters) </w:t>
            </w:r>
            <w:r w:rsidRPr="006469D5">
              <w:rPr>
                <w:rFonts w:cs="Arial"/>
                <w:bCs/>
                <w:spacing w:val="-2"/>
                <w:w w:val="105"/>
                <w:szCs w:val="18"/>
              </w:rPr>
              <w:t>grain terminals</w:t>
            </w:r>
            <w:r>
              <w:rPr>
                <w:rFonts w:cs="Arial"/>
                <w:bCs/>
                <w:spacing w:val="-2"/>
                <w:w w:val="105"/>
                <w:szCs w:val="18"/>
              </w:rPr>
              <w:t>.</w:t>
            </w:r>
          </w:p>
        </w:tc>
        <w:tc>
          <w:tcPr>
            <w:tcW w:w="1418" w:type="dxa"/>
          </w:tcPr>
          <w:p w14:paraId="030444D3" w14:textId="77777777" w:rsidR="008E67EA" w:rsidRPr="00485D88" w:rsidRDefault="008E67EA" w:rsidP="00B44A74">
            <w:pPr>
              <w:spacing w:after="120" w:line="240" w:lineRule="exact"/>
              <w:rPr>
                <w:rFonts w:cs="Arial"/>
                <w:bCs/>
                <w:i/>
                <w:iCs/>
                <w:spacing w:val="-2"/>
                <w:w w:val="105"/>
                <w:szCs w:val="18"/>
              </w:rPr>
            </w:pPr>
            <w:r w:rsidRPr="006469D5">
              <w:rPr>
                <w:rFonts w:cs="Arial"/>
                <w:bCs/>
                <w:spacing w:val="-2"/>
                <w:w w:val="105"/>
                <w:szCs w:val="18"/>
              </w:rPr>
              <w:t>Rats (</w:t>
            </w:r>
            <w:r w:rsidRPr="006469D5">
              <w:rPr>
                <w:rFonts w:cs="Arial"/>
                <w:bCs/>
                <w:i/>
                <w:iCs/>
                <w:spacing w:val="-2"/>
                <w:w w:val="105"/>
                <w:szCs w:val="18"/>
              </w:rPr>
              <w:t>Rattus norvegius, Rattus rattus</w:t>
            </w:r>
            <w:r w:rsidRPr="006469D5">
              <w:rPr>
                <w:rFonts w:cs="Arial"/>
                <w:bCs/>
                <w:spacing w:val="-2"/>
                <w:w w:val="105"/>
                <w:szCs w:val="18"/>
              </w:rPr>
              <w:t>)</w:t>
            </w:r>
          </w:p>
        </w:tc>
        <w:tc>
          <w:tcPr>
            <w:tcW w:w="1134" w:type="dxa"/>
          </w:tcPr>
          <w:p w14:paraId="55D0FAE3" w14:textId="77777777" w:rsidR="008E67EA" w:rsidRPr="00382A84" w:rsidRDefault="008E67EA" w:rsidP="00B44A74">
            <w:pPr>
              <w:spacing w:after="120" w:line="240" w:lineRule="exact"/>
              <w:rPr>
                <w:rFonts w:cs="Arial"/>
                <w:bCs/>
                <w:spacing w:val="-2"/>
                <w:w w:val="105"/>
                <w:szCs w:val="18"/>
              </w:rPr>
            </w:pPr>
            <w:r>
              <w:rPr>
                <w:rFonts w:cs="Arial"/>
                <w:bCs/>
                <w:spacing w:val="-2"/>
                <w:w w:val="105"/>
                <w:szCs w:val="18"/>
              </w:rPr>
              <w:t xml:space="preserve">2 – 20 baits/bait station </w:t>
            </w:r>
          </w:p>
        </w:tc>
        <w:tc>
          <w:tcPr>
            <w:tcW w:w="3159" w:type="dxa"/>
            <w:vMerge/>
          </w:tcPr>
          <w:p w14:paraId="4D35C510" w14:textId="77777777" w:rsidR="008E67EA" w:rsidRPr="00382A84" w:rsidRDefault="008E67EA" w:rsidP="00B44A74">
            <w:pPr>
              <w:ind w:firstLine="720"/>
              <w:rPr>
                <w:rFonts w:cs="Arial"/>
                <w:bCs/>
                <w:spacing w:val="-2"/>
                <w:w w:val="105"/>
                <w:szCs w:val="18"/>
              </w:rPr>
            </w:pPr>
          </w:p>
        </w:tc>
      </w:tr>
      <w:tr w:rsidR="008E67EA" w:rsidRPr="00A27FD2" w14:paraId="72198E62" w14:textId="77777777" w:rsidTr="00FF707A">
        <w:trPr>
          <w:trHeight w:val="841"/>
        </w:trPr>
        <w:tc>
          <w:tcPr>
            <w:tcW w:w="9000" w:type="dxa"/>
            <w:gridSpan w:val="4"/>
          </w:tcPr>
          <w:p w14:paraId="7DFA9C20" w14:textId="77777777" w:rsidR="008E67EA" w:rsidRPr="00382A84" w:rsidRDefault="008E67EA" w:rsidP="00B44A74">
            <w:pPr>
              <w:spacing w:after="120" w:line="240" w:lineRule="exact"/>
              <w:rPr>
                <w:rFonts w:cs="Arial"/>
                <w:b/>
                <w:spacing w:val="-2"/>
                <w:w w:val="105"/>
                <w:szCs w:val="18"/>
              </w:rPr>
            </w:pPr>
            <w:r w:rsidRPr="00382A84">
              <w:rPr>
                <w:rFonts w:cs="Arial"/>
                <w:b/>
                <w:spacing w:val="-2"/>
                <w:w w:val="105"/>
                <w:szCs w:val="18"/>
              </w:rPr>
              <w:t>Baiting strategy</w:t>
            </w:r>
          </w:p>
          <w:p w14:paraId="124461BA" w14:textId="1F9999A1" w:rsidR="008E67EA" w:rsidRPr="006469D5" w:rsidRDefault="008E67EA" w:rsidP="00B44A74">
            <w:pPr>
              <w:spacing w:after="120" w:line="240" w:lineRule="exact"/>
              <w:rPr>
                <w:rFonts w:cs="Arial"/>
                <w:bCs/>
                <w:spacing w:val="-2"/>
                <w:w w:val="105"/>
                <w:szCs w:val="18"/>
              </w:rPr>
            </w:pPr>
            <w:r w:rsidRPr="006469D5">
              <w:rPr>
                <w:rFonts w:cs="Arial"/>
                <w:bCs/>
                <w:spacing w:val="-2"/>
                <w:w w:val="105"/>
                <w:szCs w:val="18"/>
              </w:rPr>
              <w:t>Eliminate, as far as practicable, all other food sources.</w:t>
            </w:r>
          </w:p>
          <w:p w14:paraId="6465D7D6" w14:textId="77777777" w:rsidR="008E67EA" w:rsidRPr="006469D5" w:rsidRDefault="008E67EA" w:rsidP="00B44A74">
            <w:pPr>
              <w:spacing w:after="120" w:line="240" w:lineRule="exact"/>
              <w:rPr>
                <w:rFonts w:cs="Arial"/>
                <w:bCs/>
                <w:spacing w:val="-2"/>
                <w:w w:val="105"/>
                <w:szCs w:val="18"/>
              </w:rPr>
            </w:pPr>
            <w:r w:rsidRPr="006469D5">
              <w:rPr>
                <w:rFonts w:cs="Arial"/>
                <w:bCs/>
                <w:spacing w:val="-2"/>
                <w:w w:val="105"/>
                <w:szCs w:val="18"/>
              </w:rPr>
              <w:t>Survey site prior to treatment, including assessment of the extent of infestation and identification of any indications of the presence of non-target animals.</w:t>
            </w:r>
            <w:r w:rsidRPr="006469D5">
              <w:t xml:space="preserve"> </w:t>
            </w:r>
            <w:r w:rsidRPr="006469D5">
              <w:rPr>
                <w:rFonts w:cs="Arial"/>
                <w:bCs/>
                <w:spacing w:val="-2"/>
                <w:w w:val="105"/>
                <w:szCs w:val="18"/>
              </w:rPr>
              <w:t>Record the number and locations of bait stations for the purpose of inspection, replacement and later removal.</w:t>
            </w:r>
          </w:p>
          <w:p w14:paraId="32162095" w14:textId="62A777F3" w:rsidR="008E67EA" w:rsidRDefault="008E67EA" w:rsidP="00B44A74">
            <w:pPr>
              <w:spacing w:after="120" w:line="240" w:lineRule="exact"/>
              <w:rPr>
                <w:rFonts w:cs="Arial"/>
                <w:bCs/>
                <w:spacing w:val="-2"/>
                <w:w w:val="105"/>
                <w:szCs w:val="18"/>
              </w:rPr>
            </w:pPr>
            <w:r w:rsidRPr="006469D5">
              <w:rPr>
                <w:rFonts w:cs="Arial"/>
                <w:bCs/>
                <w:spacing w:val="-2"/>
                <w:w w:val="105"/>
                <w:szCs w:val="18"/>
              </w:rPr>
              <w:t>Place baits so as to prevent access to non-target animals. Always use tamper-resistant bait stations that are secured in place in child accessible areas, outdoors and in animal or livestock housing. When used in food producing animal housing situations careful consideration is necessary regarding the placement of bait stations to ensure any rodenticide contamination of water, feed or livestock is prevented.</w:t>
            </w:r>
          </w:p>
          <w:p w14:paraId="15ECC6ED" w14:textId="77777777" w:rsidR="008E67EA" w:rsidRDefault="008E67EA" w:rsidP="00B44A74">
            <w:pPr>
              <w:spacing w:after="120" w:line="240" w:lineRule="exact"/>
              <w:rPr>
                <w:rFonts w:cs="Arial"/>
                <w:bCs/>
                <w:spacing w:val="-2"/>
                <w:w w:val="105"/>
                <w:szCs w:val="18"/>
              </w:rPr>
            </w:pPr>
            <w:r w:rsidRPr="006469D5">
              <w:rPr>
                <w:rFonts w:cs="Arial"/>
                <w:bCs/>
                <w:spacing w:val="-2"/>
                <w:w w:val="105"/>
                <w:szCs w:val="18"/>
              </w:rPr>
              <w:t xml:space="preserve">Inspect bait stations </w:t>
            </w:r>
            <w:r w:rsidRPr="00DA3B59">
              <w:rPr>
                <w:rFonts w:cs="Arial"/>
                <w:bCs/>
                <w:spacing w:val="-2"/>
                <w:w w:val="105"/>
                <w:szCs w:val="18"/>
              </w:rPr>
              <w:t>at intervals no more than 7 days apart</w:t>
            </w:r>
            <w:r w:rsidRPr="006469D5">
              <w:rPr>
                <w:rFonts w:cs="Arial"/>
                <w:bCs/>
                <w:spacing w:val="-2"/>
                <w:w w:val="105"/>
                <w:szCs w:val="18"/>
              </w:rPr>
              <w:t>. Replace</w:t>
            </w:r>
            <w:r>
              <w:rPr>
                <w:rFonts w:cs="Arial"/>
                <w:bCs/>
                <w:spacing w:val="-2"/>
                <w:w w:val="105"/>
                <w:szCs w:val="18"/>
              </w:rPr>
              <w:t xml:space="preserve"> </w:t>
            </w:r>
            <w:r w:rsidRPr="006469D5">
              <w:rPr>
                <w:rFonts w:cs="Arial"/>
                <w:bCs/>
                <w:spacing w:val="-2"/>
                <w:w w:val="105"/>
                <w:szCs w:val="18"/>
              </w:rPr>
              <w:t>eaten</w:t>
            </w:r>
            <w:r>
              <w:rPr>
                <w:rFonts w:cs="Arial"/>
                <w:bCs/>
                <w:spacing w:val="-2"/>
                <w:w w:val="105"/>
                <w:szCs w:val="18"/>
              </w:rPr>
              <w:t xml:space="preserve">, contaminated or spoilt </w:t>
            </w:r>
            <w:r w:rsidRPr="006469D5">
              <w:rPr>
                <w:rFonts w:cs="Arial"/>
                <w:bCs/>
                <w:spacing w:val="-2"/>
                <w:w w:val="105"/>
                <w:szCs w:val="18"/>
              </w:rPr>
              <w:t>baits. If eaten quickly, increase the number of bait stations.</w:t>
            </w:r>
            <w:r>
              <w:rPr>
                <w:rFonts w:cs="Arial"/>
                <w:bCs/>
                <w:spacing w:val="-2"/>
                <w:w w:val="105"/>
                <w:szCs w:val="18"/>
              </w:rPr>
              <w:t xml:space="preserve"> </w:t>
            </w:r>
            <w:r w:rsidRPr="006469D5">
              <w:rPr>
                <w:rFonts w:cs="Arial"/>
                <w:bCs/>
                <w:spacing w:val="-2"/>
                <w:w w:val="105"/>
                <w:szCs w:val="18"/>
              </w:rPr>
              <w:t>Continue observation and replenish until no more baits are taken. Baiting for at least two</w:t>
            </w:r>
            <w:r>
              <w:rPr>
                <w:rFonts w:cs="Arial"/>
                <w:bCs/>
                <w:spacing w:val="-2"/>
                <w:w w:val="105"/>
                <w:szCs w:val="18"/>
              </w:rPr>
              <w:t xml:space="preserve"> </w:t>
            </w:r>
            <w:r w:rsidRPr="006469D5">
              <w:rPr>
                <w:rFonts w:cs="Arial"/>
                <w:bCs/>
                <w:spacing w:val="-2"/>
                <w:w w:val="105"/>
                <w:szCs w:val="18"/>
              </w:rPr>
              <w:t>weeks is necessary to reduce rat/mouse numbers.</w:t>
            </w:r>
          </w:p>
          <w:p w14:paraId="379840EC" w14:textId="2E100BF1" w:rsidR="008E67EA" w:rsidRDefault="008E67EA" w:rsidP="00B44A74">
            <w:pPr>
              <w:spacing w:after="120" w:line="240" w:lineRule="exact"/>
              <w:rPr>
                <w:rFonts w:cs="Arial"/>
                <w:bCs/>
                <w:spacing w:val="-2"/>
                <w:w w:val="105"/>
                <w:szCs w:val="18"/>
              </w:rPr>
            </w:pPr>
            <w:r w:rsidRPr="00382A84">
              <w:rPr>
                <w:rFonts w:cs="Arial"/>
                <w:bCs/>
                <w:spacing w:val="-2"/>
                <w:w w:val="105"/>
                <w:szCs w:val="18"/>
              </w:rPr>
              <w:t>DO NOT use the product beyond 35 days without an evaluation of the state of the infestation and of the efficacy of the treatment.</w:t>
            </w:r>
            <w:r>
              <w:t xml:space="preserve"> </w:t>
            </w:r>
            <w:r w:rsidRPr="00382A84">
              <w:rPr>
                <w:rFonts w:cs="Arial"/>
                <w:bCs/>
                <w:spacing w:val="-2"/>
                <w:w w:val="105"/>
                <w:szCs w:val="18"/>
              </w:rPr>
              <w:t>Remove all uneaten bait at the end of treatment</w:t>
            </w:r>
            <w:r w:rsidR="00FF707A">
              <w:rPr>
                <w:rFonts w:cs="Arial"/>
                <w:bCs/>
                <w:spacing w:val="-2"/>
                <w:w w:val="105"/>
                <w:szCs w:val="18"/>
              </w:rPr>
              <w:t>.</w:t>
            </w:r>
          </w:p>
          <w:p w14:paraId="66FF7ADE" w14:textId="77777777" w:rsidR="008E67EA" w:rsidRPr="00382A84" w:rsidRDefault="008E67EA" w:rsidP="00B44A74">
            <w:pPr>
              <w:spacing w:after="120" w:line="240" w:lineRule="exact"/>
              <w:rPr>
                <w:rFonts w:cs="Arial"/>
                <w:bCs/>
                <w:spacing w:val="-2"/>
                <w:w w:val="105"/>
                <w:szCs w:val="18"/>
              </w:rPr>
            </w:pPr>
            <w:r w:rsidRPr="00DA3B59">
              <w:rPr>
                <w:rFonts w:cs="Arial"/>
                <w:bCs/>
                <w:spacing w:val="-2"/>
                <w:w w:val="105"/>
                <w:szCs w:val="18"/>
              </w:rPr>
              <w:t>To prevent reinfestation, eliminate food, water and harbourage as much as possible. If reinfestation should occur, repeat treatment.</w:t>
            </w:r>
          </w:p>
        </w:tc>
      </w:tr>
    </w:tbl>
    <w:p w14:paraId="4C7185DE" w14:textId="4233CAF6" w:rsidR="008E67EA" w:rsidRDefault="008E67EA" w:rsidP="00FF707A">
      <w:pPr>
        <w:spacing w:line="280" w:lineRule="exact"/>
        <w:rPr>
          <w:rFonts w:cs="Arial"/>
          <w:b/>
          <w:bCs/>
          <w:sz w:val="20"/>
          <w:szCs w:val="20"/>
          <w:bdr w:val="none" w:sz="0" w:space="0" w:color="auto" w:frame="1"/>
          <w:lang w:val="en-GB" w:eastAsia="en-AU"/>
        </w:rPr>
      </w:pPr>
      <w:r w:rsidRPr="00FF36BF">
        <w:rPr>
          <w:rFonts w:cs="Arial"/>
          <w:b/>
          <w:bCs/>
          <w:sz w:val="20"/>
          <w:szCs w:val="20"/>
        </w:rPr>
        <w:t>NOT TO BE USED FOR ANY PURPOSE, OR IN ANY MANNER, CONTRARY TO THIS LABEL UNLESS AUTHORISED UNDER APPROPRIATE LEGISLATION.</w:t>
      </w:r>
      <w:r>
        <w:rPr>
          <w:rFonts w:cs="Arial"/>
          <w:b/>
          <w:bCs/>
          <w:sz w:val="20"/>
          <w:szCs w:val="20"/>
          <w:bdr w:val="none" w:sz="0" w:space="0" w:color="auto" w:frame="1"/>
          <w:lang w:val="en-GB" w:eastAsia="en-AU"/>
        </w:rPr>
        <w:br w:type="page"/>
      </w:r>
    </w:p>
    <w:p w14:paraId="3A297C9A" w14:textId="77777777" w:rsidR="008E67EA" w:rsidRPr="00FE2E3F"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lastRenderedPageBreak/>
        <w:t xml:space="preserve">Template Label </w:t>
      </w:r>
      <w:r>
        <w:rPr>
          <w:rFonts w:cs="Arial"/>
          <w:b/>
          <w:bCs/>
          <w:sz w:val="20"/>
          <w:szCs w:val="20"/>
          <w:bdr w:val="none" w:sz="0" w:space="0" w:color="auto" w:frame="1"/>
          <w:lang w:val="en-GB" w:eastAsia="en-AU"/>
        </w:rPr>
        <w:t>11c</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E11403" w14:paraId="5947E48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49DE973" w14:textId="77777777" w:rsidR="008E67EA" w:rsidRPr="00754D28" w:rsidRDefault="008E67EA" w:rsidP="00B44A74">
            <w:pPr>
              <w:spacing w:line="280" w:lineRule="exact"/>
              <w:rPr>
                <w:rFonts w:cs="Arial"/>
                <w:sz w:val="20"/>
                <w:szCs w:val="20"/>
              </w:rPr>
            </w:pPr>
            <w:r w:rsidRPr="00754D28">
              <w:rPr>
                <w:rFonts w:cs="Arial"/>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1911C1E3" w14:textId="77777777" w:rsidR="008E67EA" w:rsidRPr="00754D28" w:rsidRDefault="008E67EA" w:rsidP="00B44A74">
            <w:pPr>
              <w:spacing w:line="280" w:lineRule="exact"/>
              <w:rPr>
                <w:rFonts w:cs="Arial"/>
                <w:sz w:val="20"/>
                <w:szCs w:val="20"/>
              </w:rPr>
            </w:pPr>
            <w:r w:rsidRPr="00754D28">
              <w:rPr>
                <w:rFonts w:cs="Arial"/>
                <w:sz w:val="20"/>
                <w:szCs w:val="20"/>
              </w:rPr>
              <w:t>[INSERT LABEL NAME]</w:t>
            </w:r>
            <w:r w:rsidRPr="00754D28" w:rsidDel="00255DB9">
              <w:rPr>
                <w:rFonts w:cs="Arial"/>
                <w:sz w:val="20"/>
                <w:szCs w:val="20"/>
              </w:rPr>
              <w:t xml:space="preserve"> </w:t>
            </w:r>
          </w:p>
        </w:tc>
      </w:tr>
      <w:tr w:rsidR="008E67EA" w:rsidRPr="00E11403" w14:paraId="2F94D67C" w14:textId="77777777" w:rsidTr="00B44A74">
        <w:trPr>
          <w:jc w:val="center"/>
        </w:trPr>
        <w:tc>
          <w:tcPr>
            <w:tcW w:w="2415" w:type="dxa"/>
            <w:tcBorders>
              <w:top w:val="single" w:sz="4" w:space="0" w:color="auto"/>
              <w:left w:val="nil"/>
              <w:bottom w:val="single" w:sz="4" w:space="0" w:color="auto"/>
              <w:right w:val="nil"/>
            </w:tcBorders>
          </w:tcPr>
          <w:p w14:paraId="3616D853" w14:textId="77777777" w:rsidR="008E67EA" w:rsidRPr="00754D28"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575B45B" w14:textId="77777777" w:rsidR="008E67EA" w:rsidRPr="00754D28" w:rsidRDefault="008E67EA" w:rsidP="00B44A74">
            <w:pPr>
              <w:spacing w:line="280" w:lineRule="exact"/>
              <w:rPr>
                <w:rFonts w:cs="Arial"/>
                <w:sz w:val="20"/>
                <w:szCs w:val="20"/>
              </w:rPr>
            </w:pPr>
          </w:p>
        </w:tc>
      </w:tr>
      <w:tr w:rsidR="008E67EA" w:rsidRPr="00E11403" w14:paraId="0EB391E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BF51B33" w14:textId="77777777" w:rsidR="008E67EA" w:rsidRPr="00754D28" w:rsidRDefault="008E67EA" w:rsidP="00B44A74">
            <w:pPr>
              <w:spacing w:line="280" w:lineRule="exact"/>
              <w:rPr>
                <w:rFonts w:cs="Arial"/>
                <w:sz w:val="20"/>
                <w:szCs w:val="20"/>
              </w:rPr>
            </w:pPr>
            <w:r w:rsidRPr="00754D28">
              <w:rPr>
                <w:rFonts w:cs="Arial"/>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052170A9" w14:textId="77777777" w:rsidR="008E67EA" w:rsidRPr="00754D28" w:rsidRDefault="008E67EA" w:rsidP="00B44A74">
            <w:pPr>
              <w:spacing w:line="280" w:lineRule="exact"/>
              <w:rPr>
                <w:rFonts w:cs="Arial"/>
                <w:sz w:val="20"/>
                <w:szCs w:val="20"/>
              </w:rPr>
            </w:pPr>
            <w:r w:rsidRPr="00754D28">
              <w:rPr>
                <w:rFonts w:cs="Arial"/>
                <w:sz w:val="20"/>
                <w:szCs w:val="20"/>
              </w:rPr>
              <w:t>POISON</w:t>
            </w:r>
          </w:p>
          <w:p w14:paraId="6EEBC40E" w14:textId="77777777" w:rsidR="008E67EA" w:rsidRPr="00754D28" w:rsidRDefault="008E67EA" w:rsidP="00B44A74">
            <w:pPr>
              <w:spacing w:line="280" w:lineRule="exact"/>
              <w:rPr>
                <w:rFonts w:cs="Arial"/>
                <w:sz w:val="20"/>
                <w:szCs w:val="20"/>
              </w:rPr>
            </w:pPr>
            <w:r w:rsidRPr="00754D28">
              <w:rPr>
                <w:rFonts w:cs="Arial"/>
                <w:sz w:val="20"/>
                <w:szCs w:val="20"/>
              </w:rPr>
              <w:t>KEEP OUT OF REACH OF CHILDREN</w:t>
            </w:r>
          </w:p>
          <w:p w14:paraId="65CD43EC" w14:textId="77777777" w:rsidR="008E67EA" w:rsidRPr="00754D28" w:rsidRDefault="008E67EA" w:rsidP="00B44A74">
            <w:pPr>
              <w:spacing w:line="280" w:lineRule="exact"/>
              <w:rPr>
                <w:rFonts w:cs="Arial"/>
                <w:sz w:val="20"/>
                <w:szCs w:val="20"/>
              </w:rPr>
            </w:pPr>
            <w:r w:rsidRPr="00754D28">
              <w:rPr>
                <w:rFonts w:cs="Arial"/>
                <w:sz w:val="20"/>
                <w:szCs w:val="20"/>
              </w:rPr>
              <w:t>READ SAFETY DIRECTIONS BEFORE OPENING OR USING</w:t>
            </w:r>
          </w:p>
        </w:tc>
      </w:tr>
      <w:tr w:rsidR="008E67EA" w:rsidRPr="00E11403" w14:paraId="5F58A564" w14:textId="77777777" w:rsidTr="00B44A74">
        <w:trPr>
          <w:jc w:val="center"/>
        </w:trPr>
        <w:tc>
          <w:tcPr>
            <w:tcW w:w="2415" w:type="dxa"/>
            <w:tcBorders>
              <w:top w:val="single" w:sz="4" w:space="0" w:color="auto"/>
              <w:left w:val="nil"/>
              <w:bottom w:val="single" w:sz="4" w:space="0" w:color="auto"/>
              <w:right w:val="nil"/>
            </w:tcBorders>
          </w:tcPr>
          <w:p w14:paraId="19EFE963" w14:textId="77777777" w:rsidR="008E67EA" w:rsidRPr="00754D28"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3D9387C" w14:textId="77777777" w:rsidR="008E67EA" w:rsidRPr="00754D28" w:rsidRDefault="008E67EA" w:rsidP="00B44A74">
            <w:pPr>
              <w:spacing w:line="280" w:lineRule="exact"/>
              <w:rPr>
                <w:rFonts w:cs="Arial"/>
                <w:sz w:val="20"/>
                <w:szCs w:val="20"/>
              </w:rPr>
            </w:pPr>
          </w:p>
        </w:tc>
      </w:tr>
      <w:tr w:rsidR="008E67EA" w:rsidRPr="00E11403" w14:paraId="5D236B6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6CDDDF1" w14:textId="77777777" w:rsidR="008E67EA" w:rsidRPr="00754D28" w:rsidRDefault="008E67EA" w:rsidP="00B44A74">
            <w:pPr>
              <w:spacing w:line="280" w:lineRule="exact"/>
              <w:rPr>
                <w:rFonts w:cs="Arial"/>
                <w:sz w:val="20"/>
                <w:szCs w:val="20"/>
              </w:rPr>
            </w:pPr>
            <w:r w:rsidRPr="00754D28">
              <w:rPr>
                <w:rFonts w:cs="Arial"/>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02C866FB" w14:textId="77777777" w:rsidR="008E67EA" w:rsidRPr="00754D28" w:rsidRDefault="008E67EA" w:rsidP="00B44A74">
            <w:pPr>
              <w:spacing w:line="280" w:lineRule="exact"/>
              <w:rPr>
                <w:rFonts w:cs="Arial"/>
                <w:sz w:val="20"/>
                <w:szCs w:val="20"/>
              </w:rPr>
            </w:pPr>
            <w:r w:rsidRPr="00754D28">
              <w:rPr>
                <w:rFonts w:cs="Arial"/>
                <w:sz w:val="20"/>
                <w:szCs w:val="20"/>
              </w:rPr>
              <w:t>ACTIVE CONSTITUENT: 0.05 g/kg BROMADIOLONE</w:t>
            </w:r>
          </w:p>
        </w:tc>
      </w:tr>
      <w:tr w:rsidR="008E67EA" w:rsidRPr="00E11403" w14:paraId="6F3CD7AA" w14:textId="77777777" w:rsidTr="00B44A74">
        <w:trPr>
          <w:jc w:val="center"/>
        </w:trPr>
        <w:tc>
          <w:tcPr>
            <w:tcW w:w="2415" w:type="dxa"/>
            <w:tcBorders>
              <w:top w:val="single" w:sz="4" w:space="0" w:color="auto"/>
              <w:left w:val="nil"/>
              <w:bottom w:val="single" w:sz="4" w:space="0" w:color="auto"/>
              <w:right w:val="nil"/>
            </w:tcBorders>
          </w:tcPr>
          <w:p w14:paraId="32DBF516" w14:textId="77777777" w:rsidR="008E67EA" w:rsidRPr="00754D28"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B560CFB" w14:textId="77777777" w:rsidR="008E67EA" w:rsidRPr="00754D28" w:rsidRDefault="008E67EA" w:rsidP="00B44A74">
            <w:pPr>
              <w:spacing w:line="280" w:lineRule="exact"/>
              <w:rPr>
                <w:rFonts w:cs="Arial"/>
                <w:sz w:val="20"/>
                <w:szCs w:val="20"/>
              </w:rPr>
            </w:pPr>
          </w:p>
        </w:tc>
      </w:tr>
      <w:tr w:rsidR="008E67EA" w:rsidRPr="00E11403" w14:paraId="09A7774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C2A96D6" w14:textId="77777777" w:rsidR="008E67EA" w:rsidRPr="00754D28" w:rsidRDefault="008E67EA" w:rsidP="00B44A74">
            <w:pPr>
              <w:spacing w:line="280" w:lineRule="exact"/>
              <w:rPr>
                <w:rFonts w:cs="Arial"/>
                <w:sz w:val="20"/>
                <w:szCs w:val="20"/>
              </w:rPr>
            </w:pPr>
            <w:r w:rsidRPr="00754D28">
              <w:rPr>
                <w:rFonts w:cs="Arial"/>
                <w:sz w:val="20"/>
                <w:szCs w:val="20"/>
              </w:rPr>
              <w:t>Mode of Action:</w:t>
            </w:r>
          </w:p>
        </w:tc>
        <w:tc>
          <w:tcPr>
            <w:tcW w:w="7755" w:type="dxa"/>
            <w:tcBorders>
              <w:top w:val="single" w:sz="4" w:space="0" w:color="auto"/>
              <w:left w:val="single" w:sz="4" w:space="0" w:color="auto"/>
              <w:bottom w:val="single" w:sz="4" w:space="0" w:color="auto"/>
              <w:right w:val="single" w:sz="4" w:space="0" w:color="auto"/>
            </w:tcBorders>
          </w:tcPr>
          <w:p w14:paraId="58E94FCE" w14:textId="77777777" w:rsidR="008E67EA" w:rsidRPr="00754D28" w:rsidRDefault="008E67EA" w:rsidP="00B44A74">
            <w:pPr>
              <w:spacing w:line="280" w:lineRule="exact"/>
              <w:jc w:val="both"/>
              <w:rPr>
                <w:rFonts w:cs="Arial"/>
                <w:sz w:val="20"/>
                <w:szCs w:val="20"/>
              </w:rPr>
            </w:pPr>
          </w:p>
        </w:tc>
      </w:tr>
      <w:tr w:rsidR="008E67EA" w:rsidRPr="00E11403" w14:paraId="2D5D0D69" w14:textId="77777777" w:rsidTr="00B44A74">
        <w:trPr>
          <w:jc w:val="center"/>
        </w:trPr>
        <w:tc>
          <w:tcPr>
            <w:tcW w:w="2415" w:type="dxa"/>
            <w:tcBorders>
              <w:top w:val="single" w:sz="4" w:space="0" w:color="auto"/>
              <w:left w:val="nil"/>
              <w:bottom w:val="single" w:sz="4" w:space="0" w:color="auto"/>
              <w:right w:val="nil"/>
            </w:tcBorders>
          </w:tcPr>
          <w:p w14:paraId="78982979" w14:textId="77777777" w:rsidR="008E67EA" w:rsidRPr="00754D28"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07BEDC3" w14:textId="77777777" w:rsidR="008E67EA" w:rsidRPr="00754D28" w:rsidRDefault="008E67EA" w:rsidP="00B44A74">
            <w:pPr>
              <w:spacing w:line="280" w:lineRule="exact"/>
              <w:rPr>
                <w:rFonts w:cs="Arial"/>
                <w:sz w:val="20"/>
                <w:szCs w:val="20"/>
              </w:rPr>
            </w:pPr>
          </w:p>
        </w:tc>
      </w:tr>
      <w:tr w:rsidR="008E67EA" w:rsidRPr="00E11403" w14:paraId="78D3B04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5D83821" w14:textId="77777777" w:rsidR="008E67EA" w:rsidRPr="00754D28" w:rsidRDefault="008E67EA" w:rsidP="00B44A74">
            <w:pPr>
              <w:spacing w:line="280" w:lineRule="exact"/>
              <w:rPr>
                <w:rFonts w:cs="Arial"/>
                <w:sz w:val="20"/>
                <w:szCs w:val="20"/>
              </w:rPr>
            </w:pPr>
            <w:r w:rsidRPr="00754D28">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32EE3E2A" w14:textId="77777777" w:rsidR="008E67EA" w:rsidRPr="00754D28" w:rsidRDefault="008E67EA" w:rsidP="00B44A74">
            <w:pPr>
              <w:spacing w:line="280" w:lineRule="exact"/>
              <w:rPr>
                <w:rFonts w:cs="Arial"/>
                <w:sz w:val="20"/>
                <w:szCs w:val="20"/>
              </w:rPr>
            </w:pPr>
            <w:r w:rsidRPr="00754D28">
              <w:rPr>
                <w:rFonts w:cs="Arial"/>
                <w:sz w:val="20"/>
                <w:szCs w:val="20"/>
              </w:rPr>
              <w:t>For control of mice in domestic buildings and rats in and around domestic buildings.</w:t>
            </w:r>
          </w:p>
        </w:tc>
      </w:tr>
      <w:tr w:rsidR="008E67EA" w:rsidRPr="00E11403" w14:paraId="252A9907" w14:textId="77777777" w:rsidTr="00B44A74">
        <w:trPr>
          <w:jc w:val="center"/>
        </w:trPr>
        <w:tc>
          <w:tcPr>
            <w:tcW w:w="2415" w:type="dxa"/>
            <w:tcBorders>
              <w:top w:val="single" w:sz="4" w:space="0" w:color="auto"/>
              <w:left w:val="nil"/>
              <w:bottom w:val="single" w:sz="4" w:space="0" w:color="auto"/>
              <w:right w:val="nil"/>
            </w:tcBorders>
          </w:tcPr>
          <w:p w14:paraId="6C1E06D4" w14:textId="77777777" w:rsidR="008E67EA" w:rsidRPr="00754D28"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6F8E308" w14:textId="77777777" w:rsidR="008E67EA" w:rsidRPr="00754D28" w:rsidRDefault="008E67EA" w:rsidP="00B44A74">
            <w:pPr>
              <w:spacing w:line="280" w:lineRule="exact"/>
              <w:rPr>
                <w:rFonts w:cs="Arial"/>
                <w:sz w:val="20"/>
                <w:szCs w:val="20"/>
              </w:rPr>
            </w:pPr>
          </w:p>
        </w:tc>
      </w:tr>
      <w:tr w:rsidR="008E67EA" w:rsidRPr="00E11403" w14:paraId="7A04FFF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E3D6354" w14:textId="77777777" w:rsidR="008E67EA" w:rsidRPr="00754D28" w:rsidRDefault="008E67EA" w:rsidP="00B44A74">
            <w:pPr>
              <w:spacing w:line="280" w:lineRule="exact"/>
              <w:rPr>
                <w:rFonts w:cs="Arial"/>
                <w:sz w:val="20"/>
                <w:szCs w:val="20"/>
              </w:rPr>
            </w:pPr>
            <w:r w:rsidRPr="00754D28">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441879C9" w14:textId="77777777" w:rsidR="008E67EA" w:rsidRPr="00754D28" w:rsidRDefault="008E67EA" w:rsidP="00B44A74">
            <w:pPr>
              <w:spacing w:line="280" w:lineRule="exact"/>
              <w:rPr>
                <w:rFonts w:cs="Arial"/>
                <w:sz w:val="20"/>
                <w:szCs w:val="20"/>
              </w:rPr>
            </w:pPr>
            <w:r w:rsidRPr="00754D28">
              <w:rPr>
                <w:rFonts w:cs="Arial"/>
                <w:sz w:val="20"/>
                <w:szCs w:val="20"/>
              </w:rPr>
              <w:t>[INSERT NET CONTENTS]</w:t>
            </w:r>
          </w:p>
        </w:tc>
      </w:tr>
      <w:tr w:rsidR="008E67EA" w:rsidRPr="00E11403" w14:paraId="0C9191F8" w14:textId="77777777" w:rsidTr="00B44A74">
        <w:trPr>
          <w:jc w:val="center"/>
        </w:trPr>
        <w:tc>
          <w:tcPr>
            <w:tcW w:w="2415" w:type="dxa"/>
            <w:tcBorders>
              <w:top w:val="single" w:sz="4" w:space="0" w:color="auto"/>
              <w:left w:val="nil"/>
              <w:bottom w:val="single" w:sz="4" w:space="0" w:color="auto"/>
              <w:right w:val="nil"/>
            </w:tcBorders>
          </w:tcPr>
          <w:p w14:paraId="2CDD834C" w14:textId="77777777" w:rsidR="008E67EA" w:rsidRPr="00754D28"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902D426" w14:textId="77777777" w:rsidR="008E67EA" w:rsidRPr="00754D28" w:rsidRDefault="008E67EA" w:rsidP="00B44A74">
            <w:pPr>
              <w:spacing w:line="280" w:lineRule="exact"/>
              <w:rPr>
                <w:rFonts w:cs="Arial"/>
                <w:sz w:val="20"/>
                <w:szCs w:val="20"/>
              </w:rPr>
            </w:pPr>
          </w:p>
        </w:tc>
      </w:tr>
      <w:tr w:rsidR="008E67EA" w:rsidRPr="00E11403" w14:paraId="4DB50E3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7999A9B" w14:textId="77777777" w:rsidR="008E67EA" w:rsidRPr="00754D28" w:rsidRDefault="008E67EA" w:rsidP="00B44A74">
            <w:pPr>
              <w:spacing w:line="280" w:lineRule="exact"/>
              <w:rPr>
                <w:rFonts w:cs="Arial"/>
                <w:sz w:val="20"/>
                <w:szCs w:val="20"/>
              </w:rPr>
            </w:pPr>
            <w:r w:rsidRPr="00754D28">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6ACCF908" w14:textId="77777777" w:rsidR="008E67EA" w:rsidRPr="00754D28" w:rsidRDefault="008E67EA" w:rsidP="00B44A74">
            <w:pPr>
              <w:spacing w:line="280" w:lineRule="exact"/>
              <w:rPr>
                <w:rFonts w:cs="Arial"/>
                <w:sz w:val="20"/>
                <w:szCs w:val="20"/>
              </w:rPr>
            </w:pPr>
            <w:r w:rsidRPr="00754D28">
              <w:rPr>
                <w:rFonts w:cs="Arial"/>
                <w:sz w:val="20"/>
                <w:szCs w:val="20"/>
              </w:rPr>
              <w:t>RESTRAINTS</w:t>
            </w:r>
          </w:p>
          <w:p w14:paraId="547AA81C" w14:textId="77777777" w:rsidR="008E67EA" w:rsidRPr="00754D28" w:rsidRDefault="008E67EA" w:rsidP="00B44A74">
            <w:pPr>
              <w:spacing w:line="280" w:lineRule="exact"/>
              <w:rPr>
                <w:rFonts w:cs="Arial"/>
                <w:sz w:val="20"/>
                <w:szCs w:val="20"/>
              </w:rPr>
            </w:pPr>
            <w:r w:rsidRPr="00754D28">
              <w:rPr>
                <w:rFonts w:cs="Arial"/>
                <w:sz w:val="20"/>
                <w:szCs w:val="20"/>
              </w:rPr>
              <w:t>DO NOT use this product unless you have a current qualification in the nationally recognised training course for rodent pest management CPPUPM3006 - Manage pests by applying pesticides, or an equivalent unit of competency.</w:t>
            </w:r>
          </w:p>
          <w:p w14:paraId="00900BEC" w14:textId="57FE1768" w:rsidR="008E67EA" w:rsidRPr="00754D28" w:rsidRDefault="008E67EA" w:rsidP="00B44A74">
            <w:pPr>
              <w:spacing w:line="280" w:lineRule="exact"/>
              <w:rPr>
                <w:rFonts w:cs="Arial"/>
                <w:sz w:val="20"/>
                <w:szCs w:val="20"/>
              </w:rPr>
            </w:pPr>
            <w:r w:rsidRPr="00754D28">
              <w:rPr>
                <w:rFonts w:cs="Arial"/>
                <w:sz w:val="20"/>
                <w:szCs w:val="20"/>
              </w:rPr>
              <w:t>DO NOT place baits in areas that are accessible to children. In child-accessible areas baits must be placed in tamper-resistant bait stations. If bait can be dislodged from bait station, bait station must be secured in place.</w:t>
            </w:r>
          </w:p>
          <w:p w14:paraId="312616BB" w14:textId="77777777" w:rsidR="008E67EA" w:rsidRPr="00754D28" w:rsidRDefault="008E67EA" w:rsidP="00B44A74">
            <w:pPr>
              <w:spacing w:line="280" w:lineRule="exact"/>
              <w:rPr>
                <w:rFonts w:cs="Arial"/>
                <w:sz w:val="20"/>
                <w:szCs w:val="20"/>
              </w:rPr>
            </w:pPr>
            <w:r w:rsidRPr="00754D28">
              <w:rPr>
                <w:rFonts w:cs="Arial"/>
                <w:sz w:val="20"/>
                <w:szCs w:val="20"/>
              </w:rPr>
              <w:t>DO NOT place bait outdoors unless it is in a tamper-resistant bait station which is secured in place.</w:t>
            </w:r>
          </w:p>
          <w:p w14:paraId="1D42CE0B" w14:textId="77777777" w:rsidR="008E67EA" w:rsidRPr="00754D28" w:rsidRDefault="008E67EA" w:rsidP="00B44A74">
            <w:pPr>
              <w:spacing w:line="280" w:lineRule="exact"/>
              <w:rPr>
                <w:rFonts w:cs="Arial"/>
                <w:sz w:val="20"/>
                <w:szCs w:val="20"/>
              </w:rPr>
            </w:pPr>
            <w:r w:rsidRPr="00754D28">
              <w:rPr>
                <w:rFonts w:cs="Arial"/>
                <w:sz w:val="20"/>
                <w:szCs w:val="20"/>
              </w:rPr>
              <w:t>DO NOT place bait stations more than 2 meters from buildings.</w:t>
            </w:r>
          </w:p>
          <w:p w14:paraId="26E72D43" w14:textId="77777777" w:rsidR="008E67EA" w:rsidRPr="00754D28" w:rsidRDefault="008E67EA" w:rsidP="00B44A74">
            <w:pPr>
              <w:spacing w:line="280" w:lineRule="exact"/>
              <w:rPr>
                <w:rFonts w:cs="Arial"/>
                <w:sz w:val="20"/>
                <w:szCs w:val="20"/>
              </w:rPr>
            </w:pPr>
            <w:r w:rsidRPr="00754D28">
              <w:rPr>
                <w:rFonts w:cs="Arial"/>
                <w:sz w:val="20"/>
                <w:szCs w:val="20"/>
              </w:rPr>
              <w:t>DO NOT place bait stations outdoors around buildings for control of mice.</w:t>
            </w:r>
          </w:p>
          <w:p w14:paraId="0DC03A73" w14:textId="77777777" w:rsidR="008E67EA" w:rsidRPr="00754D28" w:rsidRDefault="008E67EA" w:rsidP="00B44A74">
            <w:pPr>
              <w:spacing w:line="280" w:lineRule="exact"/>
              <w:rPr>
                <w:rFonts w:cs="Arial"/>
                <w:sz w:val="20"/>
                <w:szCs w:val="20"/>
              </w:rPr>
            </w:pPr>
            <w:r w:rsidRPr="00754D28">
              <w:rPr>
                <w:rFonts w:cs="Arial"/>
                <w:sz w:val="20"/>
                <w:szCs w:val="20"/>
              </w:rPr>
              <w:t>DO NOT bait in areas where wildlife may be collected for human consumption.</w:t>
            </w:r>
          </w:p>
          <w:p w14:paraId="228EF41B" w14:textId="77777777" w:rsidR="008E67EA" w:rsidRPr="00754D28" w:rsidRDefault="008E67EA" w:rsidP="00B44A74">
            <w:pPr>
              <w:spacing w:line="280" w:lineRule="exact"/>
              <w:rPr>
                <w:rFonts w:cs="Arial"/>
                <w:sz w:val="20"/>
                <w:szCs w:val="20"/>
              </w:rPr>
            </w:pPr>
            <w:r w:rsidRPr="00754D28">
              <w:rPr>
                <w:rFonts w:cs="Arial"/>
                <w:sz w:val="20"/>
                <w:szCs w:val="20"/>
              </w:rPr>
              <w:t>DO NOT place in animal or livestock housing unless used in tamper-resistant and weather-resistant bait stations fixed to the ground or other structures.</w:t>
            </w:r>
          </w:p>
          <w:p w14:paraId="613772FB" w14:textId="77777777" w:rsidR="008E67EA" w:rsidRPr="00754D28" w:rsidRDefault="008E67EA" w:rsidP="00B44A74">
            <w:pPr>
              <w:spacing w:line="280" w:lineRule="exact"/>
              <w:rPr>
                <w:rFonts w:cs="Arial"/>
                <w:sz w:val="20"/>
                <w:szCs w:val="20"/>
              </w:rPr>
            </w:pPr>
            <w:r w:rsidRPr="00754D28">
              <w:rPr>
                <w:rFonts w:cs="Arial"/>
                <w:sz w:val="20"/>
                <w:szCs w:val="20"/>
              </w:rPr>
              <w:t>DO NOT place bait or bait stations above areas which would allow them to contaminate pig and poultry food or drinking water.</w:t>
            </w:r>
          </w:p>
          <w:p w14:paraId="2742EE19" w14:textId="77777777" w:rsidR="008E67EA" w:rsidRPr="00754D28" w:rsidRDefault="008E67EA" w:rsidP="00B44A74">
            <w:pPr>
              <w:spacing w:line="280" w:lineRule="exact"/>
              <w:rPr>
                <w:rFonts w:cs="Arial"/>
                <w:b/>
                <w:bCs/>
                <w:i/>
                <w:iCs/>
                <w:sz w:val="20"/>
                <w:szCs w:val="20"/>
                <w:highlight w:val="yellow"/>
              </w:rPr>
            </w:pPr>
            <w:r w:rsidRPr="00754D28">
              <w:rPr>
                <w:rFonts w:cs="Arial"/>
                <w:sz w:val="20"/>
                <w:szCs w:val="20"/>
              </w:rPr>
              <w:t>DO NOT apply this product directly into burrows.</w:t>
            </w:r>
          </w:p>
        </w:tc>
      </w:tr>
      <w:tr w:rsidR="008E67EA" w:rsidRPr="00E11403" w14:paraId="0D341463" w14:textId="77777777" w:rsidTr="00B44A74">
        <w:trPr>
          <w:jc w:val="center"/>
        </w:trPr>
        <w:tc>
          <w:tcPr>
            <w:tcW w:w="2415" w:type="dxa"/>
            <w:tcBorders>
              <w:top w:val="single" w:sz="4" w:space="0" w:color="auto"/>
              <w:left w:val="nil"/>
              <w:bottom w:val="single" w:sz="4" w:space="0" w:color="auto"/>
              <w:right w:val="nil"/>
            </w:tcBorders>
          </w:tcPr>
          <w:p w14:paraId="35F06692" w14:textId="77777777" w:rsidR="008E67EA" w:rsidRPr="00754D28"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29BC727" w14:textId="77777777" w:rsidR="008E67EA" w:rsidRPr="00754D28" w:rsidRDefault="008E67EA" w:rsidP="00B44A74">
            <w:pPr>
              <w:spacing w:line="280" w:lineRule="exact"/>
              <w:rPr>
                <w:rFonts w:cs="Arial"/>
                <w:sz w:val="20"/>
                <w:szCs w:val="20"/>
              </w:rPr>
            </w:pPr>
          </w:p>
        </w:tc>
      </w:tr>
      <w:tr w:rsidR="008E67EA" w:rsidRPr="00E11403" w14:paraId="5B827BE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1FEDF0D" w14:textId="77777777" w:rsidR="008E67EA" w:rsidRPr="00754D28" w:rsidRDefault="008E67EA" w:rsidP="00B44A74">
            <w:pPr>
              <w:spacing w:line="280" w:lineRule="exact"/>
              <w:rPr>
                <w:rFonts w:cs="Arial"/>
                <w:sz w:val="20"/>
                <w:szCs w:val="20"/>
              </w:rPr>
            </w:pPr>
            <w:r w:rsidRPr="00754D28">
              <w:rPr>
                <w:rFonts w:cs="Arial"/>
                <w:sz w:val="20"/>
                <w:szCs w:val="20"/>
              </w:rPr>
              <w:t>Directions for Use:</w:t>
            </w:r>
          </w:p>
        </w:tc>
        <w:tc>
          <w:tcPr>
            <w:tcW w:w="7755" w:type="dxa"/>
            <w:tcBorders>
              <w:top w:val="single" w:sz="4" w:space="0" w:color="auto"/>
              <w:left w:val="single" w:sz="4" w:space="0" w:color="auto"/>
              <w:bottom w:val="single" w:sz="4" w:space="0" w:color="auto"/>
              <w:right w:val="single" w:sz="4" w:space="0" w:color="auto"/>
            </w:tcBorders>
          </w:tcPr>
          <w:p w14:paraId="49BFBB55" w14:textId="77777777" w:rsidR="008E67EA" w:rsidRPr="00754D28" w:rsidRDefault="008E67EA" w:rsidP="00B44A74">
            <w:pPr>
              <w:spacing w:line="280" w:lineRule="exact"/>
              <w:rPr>
                <w:rFonts w:cs="Arial"/>
                <w:b/>
                <w:bCs/>
                <w:i/>
                <w:iCs/>
                <w:sz w:val="20"/>
                <w:szCs w:val="20"/>
              </w:rPr>
            </w:pPr>
            <w:r w:rsidRPr="00713087">
              <w:rPr>
                <w:rFonts w:cs="Arial"/>
                <w:sz w:val="20"/>
                <w:szCs w:val="20"/>
              </w:rPr>
              <w:t>[This section contains an attachment below]</w:t>
            </w:r>
          </w:p>
        </w:tc>
      </w:tr>
      <w:tr w:rsidR="008E67EA" w:rsidRPr="00E11403" w14:paraId="3ECC8DA2" w14:textId="77777777" w:rsidTr="00B44A74">
        <w:trPr>
          <w:jc w:val="center"/>
        </w:trPr>
        <w:tc>
          <w:tcPr>
            <w:tcW w:w="2415" w:type="dxa"/>
            <w:tcBorders>
              <w:top w:val="single" w:sz="4" w:space="0" w:color="auto"/>
              <w:left w:val="nil"/>
              <w:bottom w:val="single" w:sz="4" w:space="0" w:color="auto"/>
              <w:right w:val="nil"/>
            </w:tcBorders>
          </w:tcPr>
          <w:p w14:paraId="37D82675" w14:textId="77777777" w:rsidR="008E67EA" w:rsidRPr="00754D28"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A4832AA" w14:textId="77777777" w:rsidR="008E67EA" w:rsidRPr="00754D28" w:rsidRDefault="008E67EA" w:rsidP="00B44A74">
            <w:pPr>
              <w:spacing w:line="280" w:lineRule="exact"/>
              <w:rPr>
                <w:rFonts w:cs="Arial"/>
                <w:sz w:val="20"/>
                <w:szCs w:val="20"/>
              </w:rPr>
            </w:pPr>
          </w:p>
        </w:tc>
      </w:tr>
      <w:tr w:rsidR="008E67EA" w:rsidRPr="00E11403" w14:paraId="3377ACD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8624CA7" w14:textId="77777777" w:rsidR="008E67EA" w:rsidRPr="00754D28" w:rsidRDefault="008E67EA" w:rsidP="00B44A74">
            <w:pPr>
              <w:spacing w:line="280" w:lineRule="exact"/>
              <w:rPr>
                <w:rFonts w:cs="Arial"/>
                <w:sz w:val="20"/>
                <w:szCs w:val="20"/>
              </w:rPr>
            </w:pPr>
            <w:r w:rsidRPr="00754D28">
              <w:rPr>
                <w:rFonts w:cs="Arial"/>
                <w:sz w:val="20"/>
                <w:szCs w:val="20"/>
              </w:rPr>
              <w:t>Other Limitations:</w:t>
            </w:r>
          </w:p>
        </w:tc>
        <w:tc>
          <w:tcPr>
            <w:tcW w:w="7755" w:type="dxa"/>
            <w:tcBorders>
              <w:top w:val="single" w:sz="4" w:space="0" w:color="auto"/>
              <w:left w:val="single" w:sz="4" w:space="0" w:color="auto"/>
              <w:bottom w:val="single" w:sz="4" w:space="0" w:color="auto"/>
              <w:right w:val="single" w:sz="4" w:space="0" w:color="auto"/>
            </w:tcBorders>
          </w:tcPr>
          <w:p w14:paraId="7E238379" w14:textId="77777777" w:rsidR="008E67EA" w:rsidRPr="00754D28" w:rsidRDefault="008E67EA" w:rsidP="00B44A74">
            <w:pPr>
              <w:spacing w:line="280" w:lineRule="exact"/>
              <w:rPr>
                <w:rFonts w:cs="Arial"/>
                <w:sz w:val="20"/>
                <w:szCs w:val="20"/>
              </w:rPr>
            </w:pPr>
          </w:p>
        </w:tc>
      </w:tr>
      <w:tr w:rsidR="008E67EA" w:rsidRPr="00E11403" w14:paraId="3A59EA0A" w14:textId="77777777" w:rsidTr="00B44A74">
        <w:trPr>
          <w:jc w:val="center"/>
        </w:trPr>
        <w:tc>
          <w:tcPr>
            <w:tcW w:w="2415" w:type="dxa"/>
            <w:tcBorders>
              <w:top w:val="single" w:sz="4" w:space="0" w:color="auto"/>
              <w:left w:val="nil"/>
              <w:bottom w:val="single" w:sz="4" w:space="0" w:color="auto"/>
              <w:right w:val="nil"/>
            </w:tcBorders>
          </w:tcPr>
          <w:p w14:paraId="112FC0DB" w14:textId="77777777" w:rsidR="008E67EA" w:rsidRPr="00754D28"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0063CDD" w14:textId="77777777" w:rsidR="008E67EA" w:rsidRPr="00754D28" w:rsidRDefault="008E67EA" w:rsidP="00B44A74">
            <w:pPr>
              <w:spacing w:line="280" w:lineRule="exact"/>
              <w:rPr>
                <w:rFonts w:cs="Arial"/>
                <w:sz w:val="20"/>
                <w:szCs w:val="20"/>
              </w:rPr>
            </w:pPr>
          </w:p>
        </w:tc>
      </w:tr>
      <w:tr w:rsidR="008E67EA" w:rsidRPr="00E11403" w14:paraId="34A400B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6744FEF" w14:textId="77777777" w:rsidR="008E67EA" w:rsidRPr="00754D28" w:rsidRDefault="008E67EA" w:rsidP="00B44A74">
            <w:pPr>
              <w:spacing w:line="280" w:lineRule="exact"/>
              <w:rPr>
                <w:rFonts w:cs="Arial"/>
                <w:sz w:val="20"/>
                <w:szCs w:val="20"/>
              </w:rPr>
            </w:pPr>
            <w:r w:rsidRPr="00754D28">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572B568B" w14:textId="77777777" w:rsidR="008E67EA" w:rsidRPr="00754D28" w:rsidRDefault="008E67EA" w:rsidP="00B44A74">
            <w:pPr>
              <w:spacing w:line="280" w:lineRule="exact"/>
              <w:rPr>
                <w:rFonts w:cs="Arial"/>
                <w:sz w:val="20"/>
                <w:szCs w:val="20"/>
              </w:rPr>
            </w:pPr>
          </w:p>
        </w:tc>
      </w:tr>
      <w:tr w:rsidR="008E67EA" w:rsidRPr="00E11403" w14:paraId="41FB406F" w14:textId="77777777" w:rsidTr="00B44A74">
        <w:trPr>
          <w:jc w:val="center"/>
        </w:trPr>
        <w:tc>
          <w:tcPr>
            <w:tcW w:w="2415" w:type="dxa"/>
            <w:tcBorders>
              <w:top w:val="single" w:sz="4" w:space="0" w:color="auto"/>
              <w:left w:val="nil"/>
              <w:bottom w:val="single" w:sz="4" w:space="0" w:color="auto"/>
              <w:right w:val="nil"/>
            </w:tcBorders>
          </w:tcPr>
          <w:p w14:paraId="12BC4DBE" w14:textId="77777777" w:rsidR="008E67EA" w:rsidRPr="00754D28"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CFF1CA8" w14:textId="77777777" w:rsidR="008E67EA" w:rsidRPr="00754D28" w:rsidRDefault="008E67EA" w:rsidP="00B44A74">
            <w:pPr>
              <w:spacing w:line="280" w:lineRule="exact"/>
              <w:rPr>
                <w:rFonts w:cs="Arial"/>
                <w:sz w:val="20"/>
                <w:szCs w:val="20"/>
              </w:rPr>
            </w:pPr>
          </w:p>
        </w:tc>
      </w:tr>
      <w:tr w:rsidR="008E67EA" w:rsidRPr="00E11403" w14:paraId="169526A9"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EE3AF46" w14:textId="77777777" w:rsidR="008E67EA" w:rsidRPr="00754D28" w:rsidRDefault="008E67EA" w:rsidP="00B44A74">
            <w:pPr>
              <w:spacing w:line="280" w:lineRule="exact"/>
              <w:rPr>
                <w:rFonts w:cs="Arial"/>
                <w:sz w:val="20"/>
                <w:szCs w:val="20"/>
              </w:rPr>
            </w:pPr>
            <w:r w:rsidRPr="00754D28">
              <w:rPr>
                <w:rFonts w:cs="Arial"/>
                <w:sz w:val="20"/>
                <w:szCs w:val="20"/>
              </w:rPr>
              <w:t>Trade Advice:</w:t>
            </w:r>
          </w:p>
        </w:tc>
        <w:tc>
          <w:tcPr>
            <w:tcW w:w="7755" w:type="dxa"/>
            <w:tcBorders>
              <w:top w:val="single" w:sz="4" w:space="0" w:color="auto"/>
              <w:left w:val="single" w:sz="4" w:space="0" w:color="auto"/>
              <w:bottom w:val="single" w:sz="4" w:space="0" w:color="auto"/>
              <w:right w:val="single" w:sz="4" w:space="0" w:color="auto"/>
            </w:tcBorders>
          </w:tcPr>
          <w:p w14:paraId="5FC7FF2C" w14:textId="77777777" w:rsidR="008E67EA" w:rsidRPr="00754D28" w:rsidRDefault="008E67EA" w:rsidP="00B44A74">
            <w:pPr>
              <w:spacing w:line="280" w:lineRule="exact"/>
              <w:rPr>
                <w:rFonts w:cs="Arial"/>
                <w:sz w:val="20"/>
                <w:szCs w:val="20"/>
              </w:rPr>
            </w:pPr>
          </w:p>
        </w:tc>
      </w:tr>
      <w:tr w:rsidR="008E67EA" w:rsidRPr="00E11403" w14:paraId="5E370C0E" w14:textId="77777777" w:rsidTr="00B44A74">
        <w:trPr>
          <w:jc w:val="center"/>
        </w:trPr>
        <w:tc>
          <w:tcPr>
            <w:tcW w:w="2415" w:type="dxa"/>
            <w:tcBorders>
              <w:top w:val="single" w:sz="4" w:space="0" w:color="auto"/>
              <w:left w:val="nil"/>
              <w:bottom w:val="single" w:sz="4" w:space="0" w:color="auto"/>
              <w:right w:val="nil"/>
            </w:tcBorders>
          </w:tcPr>
          <w:p w14:paraId="72F8D58B" w14:textId="77777777" w:rsidR="008E67EA" w:rsidRPr="00754D28"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F251F85" w14:textId="77777777" w:rsidR="008E67EA" w:rsidRPr="00754D28" w:rsidRDefault="008E67EA" w:rsidP="00B44A74">
            <w:pPr>
              <w:spacing w:line="280" w:lineRule="exact"/>
              <w:rPr>
                <w:rFonts w:cs="Arial"/>
                <w:sz w:val="20"/>
                <w:szCs w:val="20"/>
              </w:rPr>
            </w:pPr>
          </w:p>
        </w:tc>
      </w:tr>
      <w:tr w:rsidR="008E67EA" w:rsidRPr="00E11403" w14:paraId="678375D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0D64DA8" w14:textId="77777777" w:rsidR="008E67EA" w:rsidRPr="00754D28" w:rsidRDefault="008E67EA" w:rsidP="00B44A74">
            <w:pPr>
              <w:spacing w:line="280" w:lineRule="exact"/>
              <w:rPr>
                <w:rFonts w:cs="Arial"/>
                <w:sz w:val="20"/>
                <w:szCs w:val="20"/>
              </w:rPr>
            </w:pPr>
            <w:r w:rsidRPr="00754D28">
              <w:rPr>
                <w:rFonts w:cs="Arial"/>
                <w:sz w:val="20"/>
                <w:szCs w:val="20"/>
              </w:rPr>
              <w:t>General Directions:</w:t>
            </w:r>
          </w:p>
        </w:tc>
        <w:tc>
          <w:tcPr>
            <w:tcW w:w="7755" w:type="dxa"/>
            <w:tcBorders>
              <w:top w:val="single" w:sz="4" w:space="0" w:color="auto"/>
              <w:left w:val="single" w:sz="4" w:space="0" w:color="auto"/>
              <w:bottom w:val="single" w:sz="4" w:space="0" w:color="auto"/>
              <w:right w:val="single" w:sz="4" w:space="0" w:color="auto"/>
            </w:tcBorders>
          </w:tcPr>
          <w:p w14:paraId="386DCDF8" w14:textId="77777777" w:rsidR="008E67EA" w:rsidRPr="00754D28" w:rsidRDefault="008E67EA" w:rsidP="00B44A74">
            <w:pPr>
              <w:spacing w:line="280" w:lineRule="exact"/>
              <w:rPr>
                <w:rFonts w:cs="Arial"/>
                <w:sz w:val="20"/>
                <w:szCs w:val="20"/>
              </w:rPr>
            </w:pPr>
          </w:p>
        </w:tc>
      </w:tr>
      <w:tr w:rsidR="008E67EA" w:rsidRPr="00E11403" w14:paraId="7119EA46" w14:textId="77777777" w:rsidTr="00B44A74">
        <w:trPr>
          <w:jc w:val="center"/>
        </w:trPr>
        <w:tc>
          <w:tcPr>
            <w:tcW w:w="2415" w:type="dxa"/>
            <w:tcBorders>
              <w:top w:val="single" w:sz="4" w:space="0" w:color="auto"/>
              <w:left w:val="nil"/>
              <w:bottom w:val="single" w:sz="4" w:space="0" w:color="auto"/>
              <w:right w:val="nil"/>
            </w:tcBorders>
          </w:tcPr>
          <w:p w14:paraId="394BA63F" w14:textId="77777777" w:rsidR="008E67EA" w:rsidRPr="00754D28"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6359821" w14:textId="77777777" w:rsidR="008E67EA" w:rsidRPr="00754D28" w:rsidRDefault="008E67EA" w:rsidP="00B44A74">
            <w:pPr>
              <w:spacing w:line="280" w:lineRule="exact"/>
              <w:rPr>
                <w:rFonts w:cs="Arial"/>
                <w:sz w:val="20"/>
                <w:szCs w:val="20"/>
              </w:rPr>
            </w:pPr>
          </w:p>
        </w:tc>
      </w:tr>
      <w:tr w:rsidR="008E67EA" w:rsidRPr="00E11403" w14:paraId="11C4F979"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A3D79CB" w14:textId="77777777" w:rsidR="008E67EA" w:rsidRPr="00754D28" w:rsidRDefault="008E67EA" w:rsidP="00B44A74">
            <w:pPr>
              <w:spacing w:line="280" w:lineRule="exact"/>
              <w:rPr>
                <w:rFonts w:cs="Arial"/>
                <w:sz w:val="20"/>
                <w:szCs w:val="20"/>
              </w:rPr>
            </w:pPr>
            <w:r w:rsidRPr="00754D28">
              <w:rPr>
                <w:rFonts w:cs="Arial"/>
                <w:sz w:val="20"/>
                <w:szCs w:val="20"/>
              </w:rPr>
              <w:t>Resistance Warning:</w:t>
            </w:r>
          </w:p>
        </w:tc>
        <w:tc>
          <w:tcPr>
            <w:tcW w:w="7755" w:type="dxa"/>
            <w:tcBorders>
              <w:top w:val="single" w:sz="4" w:space="0" w:color="auto"/>
              <w:left w:val="single" w:sz="4" w:space="0" w:color="auto"/>
              <w:bottom w:val="single" w:sz="4" w:space="0" w:color="auto"/>
              <w:right w:val="single" w:sz="4" w:space="0" w:color="auto"/>
            </w:tcBorders>
          </w:tcPr>
          <w:p w14:paraId="737605AF" w14:textId="77777777" w:rsidR="008E67EA" w:rsidRPr="00754D28" w:rsidRDefault="008E67EA" w:rsidP="00B44A74">
            <w:pPr>
              <w:spacing w:line="280" w:lineRule="exact"/>
              <w:rPr>
                <w:rFonts w:cs="Arial"/>
                <w:sz w:val="20"/>
                <w:szCs w:val="20"/>
              </w:rPr>
            </w:pPr>
          </w:p>
        </w:tc>
      </w:tr>
      <w:tr w:rsidR="008E67EA" w:rsidRPr="00E11403" w14:paraId="5B9A8AA5" w14:textId="77777777" w:rsidTr="00B44A74">
        <w:trPr>
          <w:jc w:val="center"/>
        </w:trPr>
        <w:tc>
          <w:tcPr>
            <w:tcW w:w="2415" w:type="dxa"/>
            <w:tcBorders>
              <w:top w:val="single" w:sz="4" w:space="0" w:color="auto"/>
              <w:left w:val="nil"/>
              <w:bottom w:val="single" w:sz="4" w:space="0" w:color="auto"/>
              <w:right w:val="nil"/>
            </w:tcBorders>
          </w:tcPr>
          <w:p w14:paraId="4CA343D7" w14:textId="77777777" w:rsidR="008E67EA" w:rsidRPr="00754D28"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E6E6161" w14:textId="77777777" w:rsidR="008E67EA" w:rsidRPr="00754D28" w:rsidRDefault="008E67EA" w:rsidP="00B44A74">
            <w:pPr>
              <w:spacing w:line="280" w:lineRule="exact"/>
              <w:rPr>
                <w:rFonts w:cs="Arial"/>
                <w:sz w:val="20"/>
                <w:szCs w:val="20"/>
              </w:rPr>
            </w:pPr>
          </w:p>
        </w:tc>
      </w:tr>
      <w:tr w:rsidR="008E67EA" w:rsidRPr="00E11403" w14:paraId="386A184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2C5D5ED" w14:textId="77777777" w:rsidR="008E67EA" w:rsidRPr="00754D28" w:rsidRDefault="008E67EA" w:rsidP="00B44A74">
            <w:pPr>
              <w:spacing w:line="280" w:lineRule="exact"/>
              <w:rPr>
                <w:rFonts w:cs="Arial"/>
                <w:sz w:val="20"/>
                <w:szCs w:val="20"/>
              </w:rPr>
            </w:pPr>
            <w:r w:rsidRPr="00754D28">
              <w:rPr>
                <w:rFonts w:cs="Arial"/>
                <w:sz w:val="20"/>
                <w:szCs w:val="20"/>
              </w:rPr>
              <w:lastRenderedPageBreak/>
              <w:t>Precautions:</w:t>
            </w:r>
          </w:p>
        </w:tc>
        <w:tc>
          <w:tcPr>
            <w:tcW w:w="7755" w:type="dxa"/>
            <w:tcBorders>
              <w:top w:val="single" w:sz="4" w:space="0" w:color="auto"/>
              <w:left w:val="single" w:sz="4" w:space="0" w:color="auto"/>
              <w:bottom w:val="single" w:sz="4" w:space="0" w:color="auto"/>
              <w:right w:val="single" w:sz="4" w:space="0" w:color="auto"/>
            </w:tcBorders>
          </w:tcPr>
          <w:p w14:paraId="0AACB3DA" w14:textId="77777777" w:rsidR="008E67EA" w:rsidRPr="00754D28" w:rsidRDefault="008E67EA" w:rsidP="00B44A74">
            <w:pPr>
              <w:spacing w:line="280" w:lineRule="exact"/>
              <w:rPr>
                <w:rFonts w:cs="Arial"/>
                <w:sz w:val="20"/>
                <w:szCs w:val="20"/>
              </w:rPr>
            </w:pPr>
            <w:r w:rsidRPr="00754D28">
              <w:rPr>
                <w:rFonts w:cs="Arial"/>
                <w:sz w:val="20"/>
                <w:szCs w:val="20"/>
              </w:rPr>
              <w:t>PRECAUTIONS</w:t>
            </w:r>
          </w:p>
          <w:p w14:paraId="1E7C6200" w14:textId="77777777" w:rsidR="008E67EA" w:rsidRPr="00754D28" w:rsidRDefault="008E67EA" w:rsidP="00B44A74">
            <w:pPr>
              <w:spacing w:line="280" w:lineRule="exact"/>
              <w:rPr>
                <w:rFonts w:cs="Arial"/>
                <w:sz w:val="20"/>
                <w:szCs w:val="20"/>
              </w:rPr>
            </w:pPr>
            <w:r w:rsidRPr="00754D28">
              <w:rPr>
                <w:rFonts w:cs="Arial"/>
                <w:sz w:val="20"/>
                <w:szCs w:val="20"/>
              </w:rPr>
              <w:t>Caution should be used when baiting near areas where hunting of wildlife may occur. Careful consideration of bait placement is necessary to avoid secondary exposure from contaminated wildlife that may be consumed.</w:t>
            </w:r>
          </w:p>
          <w:p w14:paraId="24C86F7F" w14:textId="77777777" w:rsidR="008E67EA" w:rsidRPr="00754D28" w:rsidRDefault="008E67EA" w:rsidP="00B44A74">
            <w:pPr>
              <w:spacing w:line="280" w:lineRule="exact"/>
              <w:rPr>
                <w:rFonts w:cs="Arial"/>
                <w:b/>
                <w:bCs/>
                <w:i/>
                <w:iCs/>
                <w:sz w:val="20"/>
                <w:szCs w:val="20"/>
                <w:highlight w:val="yellow"/>
              </w:rPr>
            </w:pPr>
            <w:r w:rsidRPr="00754D28">
              <w:rPr>
                <w:rFonts w:cs="Arial"/>
                <w:sz w:val="20"/>
                <w:szCs w:val="20"/>
              </w:rPr>
              <w:t>DO NOT place bait in areas where there is a possibility of contaminating food, livestock feed or surfaces that come in direct contact with food or livestock feed.</w:t>
            </w:r>
          </w:p>
        </w:tc>
      </w:tr>
      <w:tr w:rsidR="008E67EA" w:rsidRPr="00E11403" w14:paraId="5C8596D2" w14:textId="77777777" w:rsidTr="00B44A74">
        <w:trPr>
          <w:jc w:val="center"/>
        </w:trPr>
        <w:tc>
          <w:tcPr>
            <w:tcW w:w="2415" w:type="dxa"/>
            <w:tcBorders>
              <w:top w:val="single" w:sz="4" w:space="0" w:color="auto"/>
              <w:left w:val="nil"/>
              <w:bottom w:val="single" w:sz="4" w:space="0" w:color="auto"/>
              <w:right w:val="nil"/>
            </w:tcBorders>
          </w:tcPr>
          <w:p w14:paraId="59323E06" w14:textId="77777777" w:rsidR="008E67EA" w:rsidRPr="00754D28"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7824B09" w14:textId="77777777" w:rsidR="008E67EA" w:rsidRPr="00754D28" w:rsidRDefault="008E67EA" w:rsidP="00B44A74">
            <w:pPr>
              <w:spacing w:line="280" w:lineRule="exact"/>
              <w:rPr>
                <w:rFonts w:cs="Arial"/>
                <w:sz w:val="20"/>
                <w:szCs w:val="20"/>
              </w:rPr>
            </w:pPr>
          </w:p>
        </w:tc>
      </w:tr>
      <w:tr w:rsidR="008E67EA" w:rsidRPr="00E11403" w14:paraId="2BC8A65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BF7EE8D" w14:textId="77777777" w:rsidR="008E67EA" w:rsidRPr="00754D28" w:rsidRDefault="008E67EA" w:rsidP="00B44A74">
            <w:pPr>
              <w:spacing w:line="280" w:lineRule="exact"/>
              <w:rPr>
                <w:rFonts w:cs="Arial"/>
                <w:sz w:val="20"/>
                <w:szCs w:val="20"/>
              </w:rPr>
            </w:pPr>
            <w:r w:rsidRPr="00754D28">
              <w:rPr>
                <w:rFonts w:cs="Arial"/>
                <w:sz w:val="20"/>
                <w:szCs w:val="20"/>
              </w:rPr>
              <w:t>Protection Statements:</w:t>
            </w:r>
          </w:p>
        </w:tc>
        <w:tc>
          <w:tcPr>
            <w:tcW w:w="7755" w:type="dxa"/>
            <w:tcBorders>
              <w:top w:val="single" w:sz="4" w:space="0" w:color="auto"/>
              <w:left w:val="single" w:sz="4" w:space="0" w:color="auto"/>
              <w:bottom w:val="single" w:sz="4" w:space="0" w:color="auto"/>
              <w:right w:val="single" w:sz="4" w:space="0" w:color="auto"/>
            </w:tcBorders>
          </w:tcPr>
          <w:p w14:paraId="41875F27" w14:textId="77777777" w:rsidR="008E67EA" w:rsidRPr="00754D28" w:rsidRDefault="008E67EA" w:rsidP="00B44A74">
            <w:pPr>
              <w:spacing w:line="280" w:lineRule="exact"/>
              <w:rPr>
                <w:rFonts w:cs="Arial"/>
                <w:sz w:val="20"/>
                <w:szCs w:val="20"/>
              </w:rPr>
            </w:pPr>
            <w:r w:rsidRPr="00754D28">
              <w:rPr>
                <w:rFonts w:cs="Arial"/>
                <w:sz w:val="20"/>
                <w:szCs w:val="20"/>
              </w:rPr>
              <w:t>PROTECTION OF LIVESTOCK AND WILDLIFE</w:t>
            </w:r>
          </w:p>
          <w:p w14:paraId="015A4366" w14:textId="77777777" w:rsidR="008E67EA" w:rsidRPr="00754D28" w:rsidRDefault="008E67EA" w:rsidP="00B44A74">
            <w:pPr>
              <w:spacing w:line="280" w:lineRule="exact"/>
              <w:rPr>
                <w:rFonts w:cs="Arial"/>
                <w:sz w:val="20"/>
                <w:szCs w:val="20"/>
              </w:rPr>
            </w:pPr>
            <w:r w:rsidRPr="00754D28">
              <w:rPr>
                <w:rFonts w:cs="Arial"/>
                <w:sz w:val="20"/>
                <w:szCs w:val="20"/>
              </w:rPr>
              <w:t>Hazardous to livestock, poultry and wildlife. DO NOT place baits in locations that are accessible to domestic animals, livestock, non-target native animals or birds.</w:t>
            </w:r>
          </w:p>
          <w:p w14:paraId="7ED84690" w14:textId="49D4DB07" w:rsidR="008E67EA" w:rsidRPr="00754D28" w:rsidRDefault="008E67EA" w:rsidP="00B44A74">
            <w:pPr>
              <w:spacing w:line="280" w:lineRule="exact"/>
              <w:rPr>
                <w:rFonts w:cs="Arial"/>
                <w:sz w:val="20"/>
                <w:szCs w:val="20"/>
              </w:rPr>
            </w:pPr>
            <w:r w:rsidRPr="00754D28">
              <w:rPr>
                <w:rFonts w:cs="Arial"/>
                <w:sz w:val="20"/>
                <w:szCs w:val="20"/>
              </w:rPr>
              <w:t>Search for and dispose of dead rodents and slugs/snails in the infested area at each visit to prevent secondary poisoning. In case slugs/snails are present, move bait station to another location within the rodent infested site, away from slugs/snails. Dispose of slugs/snails in a way non-target animals are not exposed. Dispose of dead rodents and uneaten bait in compliance with local, state or territory government regulations.</w:t>
            </w:r>
          </w:p>
          <w:p w14:paraId="4A181074" w14:textId="77777777" w:rsidR="008E67EA" w:rsidRDefault="008E67EA" w:rsidP="00B44A74">
            <w:pPr>
              <w:spacing w:line="280" w:lineRule="exact"/>
              <w:rPr>
                <w:rFonts w:cs="Arial"/>
                <w:sz w:val="20"/>
                <w:szCs w:val="20"/>
              </w:rPr>
            </w:pPr>
            <w:r w:rsidRPr="00754D28">
              <w:rPr>
                <w:rFonts w:cs="Arial"/>
                <w:sz w:val="20"/>
                <w:szCs w:val="20"/>
              </w:rPr>
              <w:t>DO NOT allow livestock or poultry to consume dead or moribund mice and rats. All dead or moribund animals and rodent faeces from baited rodents MUST be removed from areas accessible to livestock or poultry.</w:t>
            </w:r>
          </w:p>
          <w:p w14:paraId="183C0730" w14:textId="77777777" w:rsidR="008E67EA" w:rsidRPr="00754D28" w:rsidRDefault="008E67EA" w:rsidP="00B44A74">
            <w:pPr>
              <w:spacing w:line="280" w:lineRule="exact"/>
              <w:rPr>
                <w:rFonts w:cs="Arial"/>
                <w:sz w:val="20"/>
                <w:szCs w:val="20"/>
              </w:rPr>
            </w:pPr>
            <w:r w:rsidRPr="000B1D56">
              <w:rPr>
                <w:rFonts w:cs="Arial"/>
                <w:sz w:val="20"/>
                <w:szCs w:val="20"/>
              </w:rPr>
              <w:t>DO NOT let cats and dogs eat poisoned rats and mice.</w:t>
            </w:r>
          </w:p>
          <w:p w14:paraId="51EC7622" w14:textId="77777777" w:rsidR="008E67EA" w:rsidRDefault="008E67EA" w:rsidP="00B44A74">
            <w:pPr>
              <w:spacing w:line="280" w:lineRule="exact"/>
              <w:rPr>
                <w:rFonts w:cs="Arial"/>
                <w:sz w:val="20"/>
                <w:szCs w:val="20"/>
              </w:rPr>
            </w:pPr>
            <w:r w:rsidRPr="00754D28">
              <w:rPr>
                <w:rFonts w:cs="Arial"/>
                <w:sz w:val="20"/>
                <w:szCs w:val="20"/>
              </w:rPr>
              <w:t>The use of this product for the control of protected native rodents requires permission from wildlife authorities.</w:t>
            </w:r>
          </w:p>
          <w:p w14:paraId="777CCAF1" w14:textId="77777777" w:rsidR="008E67EA" w:rsidRPr="00754D28" w:rsidRDefault="008E67EA" w:rsidP="00B44A74">
            <w:pPr>
              <w:spacing w:line="280" w:lineRule="exact"/>
              <w:rPr>
                <w:rFonts w:cs="Arial"/>
                <w:sz w:val="20"/>
                <w:szCs w:val="20"/>
              </w:rPr>
            </w:pPr>
          </w:p>
          <w:p w14:paraId="09828287" w14:textId="77777777" w:rsidR="008E67EA" w:rsidRPr="00754D28" w:rsidRDefault="008E67EA" w:rsidP="00B44A74">
            <w:pPr>
              <w:spacing w:line="280" w:lineRule="exact"/>
              <w:rPr>
                <w:rFonts w:cs="Arial"/>
                <w:sz w:val="20"/>
                <w:szCs w:val="20"/>
              </w:rPr>
            </w:pPr>
            <w:r w:rsidRPr="00754D28">
              <w:rPr>
                <w:rFonts w:cs="Arial"/>
                <w:sz w:val="20"/>
                <w:szCs w:val="20"/>
              </w:rPr>
              <w:t>PROTECTION OF FISH, CRUSTACEANS AND ENVIRONMENT</w:t>
            </w:r>
          </w:p>
          <w:p w14:paraId="6ED63BFF" w14:textId="77777777" w:rsidR="008E67EA" w:rsidRPr="00754D28" w:rsidRDefault="008E67EA" w:rsidP="00B44A74">
            <w:pPr>
              <w:spacing w:line="280" w:lineRule="exact"/>
              <w:rPr>
                <w:rFonts w:cs="Arial"/>
                <w:sz w:val="20"/>
                <w:szCs w:val="20"/>
              </w:rPr>
            </w:pPr>
            <w:r w:rsidRPr="00754D28">
              <w:rPr>
                <w:rFonts w:cs="Arial"/>
                <w:sz w:val="20"/>
                <w:szCs w:val="20"/>
              </w:rPr>
              <w:t>Toxic to aquatic life. DO NOT contaminate wetlands or watercourses with this product or used containers. Place the bait stations in areas not liable to flooding. When placing bait stations close to water drainage systems, ensure that bait contact with water is avoided.</w:t>
            </w:r>
          </w:p>
        </w:tc>
      </w:tr>
      <w:tr w:rsidR="008E67EA" w:rsidRPr="00E11403" w14:paraId="2A807600" w14:textId="77777777" w:rsidTr="00B44A74">
        <w:trPr>
          <w:jc w:val="center"/>
        </w:trPr>
        <w:tc>
          <w:tcPr>
            <w:tcW w:w="2415" w:type="dxa"/>
            <w:tcBorders>
              <w:top w:val="single" w:sz="4" w:space="0" w:color="auto"/>
              <w:left w:val="nil"/>
              <w:bottom w:val="single" w:sz="4" w:space="0" w:color="auto"/>
              <w:right w:val="nil"/>
            </w:tcBorders>
          </w:tcPr>
          <w:p w14:paraId="4BA31A06" w14:textId="77777777" w:rsidR="008E67EA" w:rsidRPr="00754D28"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B2A22A8" w14:textId="77777777" w:rsidR="008E67EA" w:rsidRPr="00754D28" w:rsidRDefault="008E67EA" w:rsidP="00B44A74">
            <w:pPr>
              <w:spacing w:line="280" w:lineRule="exact"/>
              <w:rPr>
                <w:rFonts w:cs="Arial"/>
                <w:sz w:val="20"/>
                <w:szCs w:val="20"/>
              </w:rPr>
            </w:pPr>
          </w:p>
        </w:tc>
      </w:tr>
      <w:tr w:rsidR="008E67EA" w:rsidRPr="00E11403" w14:paraId="34911B1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D3BB837" w14:textId="77777777" w:rsidR="008E67EA" w:rsidRPr="00754D28" w:rsidRDefault="008E67EA" w:rsidP="00B44A74">
            <w:pPr>
              <w:spacing w:line="280" w:lineRule="exact"/>
              <w:rPr>
                <w:rFonts w:cs="Arial"/>
                <w:sz w:val="20"/>
                <w:szCs w:val="20"/>
              </w:rPr>
            </w:pPr>
            <w:r w:rsidRPr="00754D28">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1716E422" w14:textId="77777777" w:rsidR="008E67EA" w:rsidRPr="00754D28" w:rsidRDefault="008E67EA" w:rsidP="00B44A74">
            <w:pPr>
              <w:spacing w:line="280" w:lineRule="exact"/>
              <w:rPr>
                <w:rFonts w:cs="Arial"/>
                <w:sz w:val="20"/>
                <w:szCs w:val="20"/>
              </w:rPr>
            </w:pPr>
            <w:r w:rsidRPr="00754D28">
              <w:rPr>
                <w:rFonts w:cs="Arial"/>
                <w:sz w:val="20"/>
                <w:szCs w:val="20"/>
              </w:rPr>
              <w:t>STORAGE AND DISPOSAL</w:t>
            </w:r>
          </w:p>
          <w:p w14:paraId="643AB122" w14:textId="055C9CC6" w:rsidR="008E67EA" w:rsidRPr="00754D28" w:rsidRDefault="008E67EA" w:rsidP="00B44A74">
            <w:pPr>
              <w:spacing w:line="280" w:lineRule="exact"/>
              <w:rPr>
                <w:rFonts w:cs="Arial"/>
                <w:sz w:val="20"/>
                <w:szCs w:val="20"/>
              </w:rPr>
            </w:pPr>
            <w:r w:rsidRPr="00754D28">
              <w:rPr>
                <w:rFonts w:cs="Arial"/>
                <w:sz w:val="20"/>
                <w:szCs w:val="20"/>
              </w:rPr>
              <w:t>Store in original containers, tightly closed in a cool, well-ventilated</w:t>
            </w:r>
            <w:r>
              <w:rPr>
                <w:rFonts w:cs="Arial"/>
                <w:sz w:val="20"/>
                <w:szCs w:val="20"/>
              </w:rPr>
              <w:t xml:space="preserve"> </w:t>
            </w:r>
            <w:r w:rsidRPr="00754D28">
              <w:rPr>
                <w:rFonts w:cs="Arial"/>
                <w:sz w:val="20"/>
                <w:szCs w:val="20"/>
              </w:rPr>
              <w:t>room</w:t>
            </w:r>
            <w:r>
              <w:rPr>
                <w:rFonts w:cs="Arial"/>
                <w:sz w:val="20"/>
                <w:szCs w:val="20"/>
              </w:rPr>
              <w:t xml:space="preserve">. </w:t>
            </w:r>
            <w:r w:rsidRPr="00754D28">
              <w:rPr>
                <w:rFonts w:cs="Arial"/>
                <w:sz w:val="20"/>
                <w:szCs w:val="20"/>
              </w:rPr>
              <w:t>DO NOT store for prolonged periods in direct sunlight.</w:t>
            </w:r>
          </w:p>
          <w:p w14:paraId="3AAA5BD0" w14:textId="77777777" w:rsidR="008E67EA" w:rsidRPr="00754D28" w:rsidRDefault="008E67EA" w:rsidP="00B44A74">
            <w:pPr>
              <w:spacing w:line="280" w:lineRule="exact"/>
              <w:rPr>
                <w:rFonts w:cs="Arial"/>
                <w:sz w:val="20"/>
                <w:szCs w:val="20"/>
              </w:rPr>
            </w:pPr>
            <w:r w:rsidRPr="00754D28">
              <w:rPr>
                <w:rFonts w:cs="Arial"/>
                <w:sz w:val="20"/>
                <w:szCs w:val="20"/>
              </w:rPr>
              <w:t xml:space="preserve">Triple rinse containers before disposal. Break, crush or puncture and deliver empty packaging to an approved waste management facility. If an approved waste management facility is not available, dispose of empty packaging in compliance with relevant local, state or territory government regulations. </w:t>
            </w:r>
            <w:r w:rsidRPr="005E538D">
              <w:rPr>
                <w:rFonts w:cs="Arial"/>
                <w:sz w:val="20"/>
                <w:szCs w:val="20"/>
                <w:bdr w:val="none" w:sz="0" w:space="0" w:color="auto" w:frame="1"/>
                <w:lang w:val="en-GB" w:eastAsia="en-AU"/>
              </w:rPr>
              <w:t xml:space="preserve">Dispose of unused product in compliance with relevant local, state or territory government regulations. </w:t>
            </w:r>
            <w:r w:rsidRPr="00754D28">
              <w:rPr>
                <w:rFonts w:cs="Arial"/>
                <w:sz w:val="20"/>
                <w:szCs w:val="20"/>
              </w:rPr>
              <w:t>DO NOT burn empty containers or product.</w:t>
            </w:r>
          </w:p>
        </w:tc>
      </w:tr>
      <w:tr w:rsidR="008E67EA" w:rsidRPr="00E11403" w14:paraId="7F5FFBA8" w14:textId="77777777" w:rsidTr="00B44A74">
        <w:trPr>
          <w:jc w:val="center"/>
        </w:trPr>
        <w:tc>
          <w:tcPr>
            <w:tcW w:w="2415" w:type="dxa"/>
            <w:tcBorders>
              <w:top w:val="single" w:sz="4" w:space="0" w:color="auto"/>
              <w:left w:val="nil"/>
              <w:bottom w:val="single" w:sz="4" w:space="0" w:color="auto"/>
              <w:right w:val="nil"/>
            </w:tcBorders>
          </w:tcPr>
          <w:p w14:paraId="3DC85995" w14:textId="77777777" w:rsidR="008E67EA" w:rsidRPr="00754D28"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A216D03" w14:textId="77777777" w:rsidR="008E67EA" w:rsidRPr="00754D28" w:rsidRDefault="008E67EA" w:rsidP="00B44A74">
            <w:pPr>
              <w:spacing w:line="280" w:lineRule="exact"/>
              <w:rPr>
                <w:rFonts w:cs="Arial"/>
                <w:sz w:val="20"/>
                <w:szCs w:val="20"/>
              </w:rPr>
            </w:pPr>
          </w:p>
        </w:tc>
      </w:tr>
      <w:tr w:rsidR="008E67EA" w:rsidRPr="00E11403" w14:paraId="3A15C10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04647A1" w14:textId="77777777" w:rsidR="008E67EA" w:rsidRPr="00754D28" w:rsidRDefault="008E67EA" w:rsidP="00B44A74">
            <w:pPr>
              <w:spacing w:line="280" w:lineRule="exact"/>
              <w:rPr>
                <w:rFonts w:cs="Arial"/>
                <w:sz w:val="20"/>
                <w:szCs w:val="20"/>
              </w:rPr>
            </w:pPr>
            <w:r w:rsidRPr="00754D28">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4336BF09" w14:textId="77777777" w:rsidR="008E67EA" w:rsidRPr="00754D28" w:rsidRDefault="008E67EA" w:rsidP="00B44A74">
            <w:pPr>
              <w:spacing w:line="280" w:lineRule="exact"/>
              <w:rPr>
                <w:rFonts w:cs="Arial"/>
                <w:sz w:val="20"/>
                <w:szCs w:val="20"/>
              </w:rPr>
            </w:pPr>
            <w:r w:rsidRPr="00754D28">
              <w:rPr>
                <w:rFonts w:cs="Arial"/>
                <w:sz w:val="20"/>
                <w:szCs w:val="20"/>
              </w:rPr>
              <w:t>SAFETY DIRECTIONS</w:t>
            </w:r>
          </w:p>
          <w:p w14:paraId="264B840D" w14:textId="77777777" w:rsidR="008E67EA" w:rsidRPr="00754D28" w:rsidRDefault="008E67EA" w:rsidP="00B44A74">
            <w:pPr>
              <w:spacing w:line="280" w:lineRule="exact"/>
              <w:rPr>
                <w:rFonts w:cs="Arial"/>
                <w:sz w:val="20"/>
                <w:szCs w:val="20"/>
              </w:rPr>
            </w:pPr>
            <w:r w:rsidRPr="00754D28">
              <w:rPr>
                <w:rFonts w:cs="Arial"/>
                <w:sz w:val="20"/>
                <w:szCs w:val="20"/>
              </w:rPr>
              <w:t>Repeated minor exposure may have a cumulative poisoning effect. When using the product wear disposable gloves. During cleanup, disposal operations of bait and bait stations and when handling rodent carcasses wear single layer clothing and disposable gloves. If on skin and after each baiting, wash thoroughly with soap and water. After each day’s use wash contaminated clothing. Wash clothes after performing re-handling activities.</w:t>
            </w:r>
          </w:p>
        </w:tc>
      </w:tr>
      <w:tr w:rsidR="008E67EA" w:rsidRPr="00E11403" w14:paraId="01845FB5" w14:textId="77777777" w:rsidTr="00B44A74">
        <w:trPr>
          <w:jc w:val="center"/>
        </w:trPr>
        <w:tc>
          <w:tcPr>
            <w:tcW w:w="2415" w:type="dxa"/>
            <w:tcBorders>
              <w:top w:val="single" w:sz="4" w:space="0" w:color="auto"/>
              <w:left w:val="nil"/>
              <w:bottom w:val="single" w:sz="4" w:space="0" w:color="auto"/>
              <w:right w:val="nil"/>
            </w:tcBorders>
          </w:tcPr>
          <w:p w14:paraId="6F9A6535" w14:textId="77777777" w:rsidR="008E67EA" w:rsidRPr="00754D28"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1298949" w14:textId="77777777" w:rsidR="008E67EA" w:rsidRPr="00754D28" w:rsidRDefault="008E67EA" w:rsidP="00B44A74">
            <w:pPr>
              <w:spacing w:line="280" w:lineRule="exact"/>
              <w:rPr>
                <w:rFonts w:cs="Arial"/>
                <w:sz w:val="20"/>
                <w:szCs w:val="20"/>
              </w:rPr>
            </w:pPr>
          </w:p>
        </w:tc>
      </w:tr>
      <w:tr w:rsidR="008E67EA" w:rsidRPr="00E11403" w14:paraId="76DC1A5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E586058" w14:textId="77777777" w:rsidR="008E67EA" w:rsidRPr="00754D28" w:rsidRDefault="008E67EA" w:rsidP="00B44A74">
            <w:pPr>
              <w:spacing w:line="280" w:lineRule="exact"/>
              <w:rPr>
                <w:rFonts w:cs="Arial"/>
                <w:sz w:val="20"/>
                <w:szCs w:val="20"/>
              </w:rPr>
            </w:pPr>
            <w:r w:rsidRPr="00754D28">
              <w:rPr>
                <w:rFonts w:cs="Arial"/>
                <w:sz w:val="20"/>
                <w:szCs w:val="20"/>
              </w:rPr>
              <w:t>First Aid Instructions:</w:t>
            </w:r>
          </w:p>
        </w:tc>
        <w:tc>
          <w:tcPr>
            <w:tcW w:w="7755" w:type="dxa"/>
            <w:tcBorders>
              <w:top w:val="single" w:sz="4" w:space="0" w:color="auto"/>
              <w:left w:val="single" w:sz="4" w:space="0" w:color="auto"/>
              <w:bottom w:val="single" w:sz="4" w:space="0" w:color="auto"/>
              <w:right w:val="single" w:sz="4" w:space="0" w:color="auto"/>
            </w:tcBorders>
          </w:tcPr>
          <w:p w14:paraId="2F74F5A6" w14:textId="77777777" w:rsidR="008E67EA" w:rsidRPr="00754D28" w:rsidRDefault="008E67EA" w:rsidP="00B44A74">
            <w:pPr>
              <w:spacing w:line="280" w:lineRule="exact"/>
              <w:rPr>
                <w:rFonts w:cs="Arial"/>
                <w:sz w:val="20"/>
                <w:szCs w:val="20"/>
              </w:rPr>
            </w:pPr>
            <w:r w:rsidRPr="00754D28">
              <w:rPr>
                <w:rFonts w:cs="Arial"/>
                <w:sz w:val="20"/>
                <w:szCs w:val="20"/>
              </w:rPr>
              <w:t>FIRST AID</w:t>
            </w:r>
          </w:p>
          <w:p w14:paraId="3500B2E7" w14:textId="77777777" w:rsidR="008E67EA" w:rsidRPr="00754D28" w:rsidRDefault="008E67EA" w:rsidP="00B44A74">
            <w:pPr>
              <w:spacing w:line="280" w:lineRule="exact"/>
              <w:rPr>
                <w:rFonts w:cs="Arial"/>
                <w:sz w:val="20"/>
                <w:szCs w:val="20"/>
              </w:rPr>
            </w:pPr>
            <w:r w:rsidRPr="00754D28">
              <w:rPr>
                <w:rFonts w:cs="Arial"/>
                <w:sz w:val="20"/>
                <w:szCs w:val="20"/>
              </w:rPr>
              <w:lastRenderedPageBreak/>
              <w:t>If poisoning occurs, contact a doctor or Poisons Information Centre. Phone Australia 13 11 26, New Zealand 0800 764 766. Vitamin K1 (Phytomenadione) is antidotal.</w:t>
            </w:r>
          </w:p>
        </w:tc>
      </w:tr>
      <w:tr w:rsidR="008E67EA" w:rsidRPr="00E11403" w14:paraId="473F5043" w14:textId="77777777" w:rsidTr="00B44A74">
        <w:trPr>
          <w:jc w:val="center"/>
        </w:trPr>
        <w:tc>
          <w:tcPr>
            <w:tcW w:w="2415" w:type="dxa"/>
            <w:tcBorders>
              <w:top w:val="single" w:sz="4" w:space="0" w:color="auto"/>
              <w:left w:val="nil"/>
              <w:bottom w:val="single" w:sz="4" w:space="0" w:color="auto"/>
              <w:right w:val="nil"/>
            </w:tcBorders>
          </w:tcPr>
          <w:p w14:paraId="74EB4DF3" w14:textId="77777777" w:rsidR="008E67EA" w:rsidRPr="00754D28"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21A5519" w14:textId="77777777" w:rsidR="008E67EA" w:rsidRPr="00754D28" w:rsidRDefault="008E67EA" w:rsidP="00B44A74">
            <w:pPr>
              <w:spacing w:line="280" w:lineRule="exact"/>
              <w:rPr>
                <w:rFonts w:cs="Arial"/>
                <w:sz w:val="20"/>
                <w:szCs w:val="20"/>
              </w:rPr>
            </w:pPr>
          </w:p>
        </w:tc>
      </w:tr>
      <w:tr w:rsidR="008E67EA" w:rsidRPr="00E11403" w14:paraId="38E344C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2F6EC50" w14:textId="77777777" w:rsidR="008E67EA" w:rsidRPr="00E11403" w:rsidRDefault="008E67EA" w:rsidP="00B44A74">
            <w:pPr>
              <w:spacing w:line="280" w:lineRule="exact"/>
              <w:rPr>
                <w:rFonts w:cs="Arial"/>
                <w:sz w:val="20"/>
                <w:szCs w:val="20"/>
              </w:rPr>
            </w:pPr>
            <w:r w:rsidRPr="00E11403">
              <w:rPr>
                <w:rFonts w:cs="Arial"/>
                <w:sz w:val="20"/>
                <w:szCs w:val="20"/>
              </w:rPr>
              <w:t>First Aid Warnings:</w:t>
            </w:r>
          </w:p>
        </w:tc>
        <w:tc>
          <w:tcPr>
            <w:tcW w:w="7755" w:type="dxa"/>
            <w:tcBorders>
              <w:top w:val="single" w:sz="4" w:space="0" w:color="auto"/>
              <w:left w:val="single" w:sz="4" w:space="0" w:color="auto"/>
              <w:bottom w:val="single" w:sz="4" w:space="0" w:color="auto"/>
              <w:right w:val="single" w:sz="4" w:space="0" w:color="auto"/>
            </w:tcBorders>
          </w:tcPr>
          <w:p w14:paraId="35D49EF7" w14:textId="77777777" w:rsidR="008E67EA" w:rsidRPr="00E11403" w:rsidRDefault="008E67EA" w:rsidP="00B44A74">
            <w:pPr>
              <w:spacing w:line="280" w:lineRule="exact"/>
              <w:rPr>
                <w:rFonts w:cs="Arial"/>
                <w:sz w:val="20"/>
                <w:szCs w:val="20"/>
              </w:rPr>
            </w:pPr>
          </w:p>
        </w:tc>
      </w:tr>
    </w:tbl>
    <w:p w14:paraId="01D207A5" w14:textId="77777777" w:rsidR="008E67EA" w:rsidRPr="00754D28" w:rsidRDefault="008E67EA" w:rsidP="008E67EA">
      <w:pPr>
        <w:rPr>
          <w:rFonts w:cs="Arial"/>
          <w:sz w:val="20"/>
          <w:szCs w:val="20"/>
        </w:rPr>
      </w:pPr>
    </w:p>
    <w:p w14:paraId="717C02C1" w14:textId="77777777" w:rsidR="008E67EA" w:rsidRPr="00FF36BF" w:rsidRDefault="008E67EA" w:rsidP="008E67EA">
      <w:pPr>
        <w:spacing w:line="280" w:lineRule="exact"/>
        <w:rPr>
          <w:rFonts w:cs="Arial"/>
          <w:b/>
          <w:bCs/>
          <w:sz w:val="20"/>
          <w:szCs w:val="20"/>
        </w:rPr>
      </w:pPr>
      <w:r w:rsidRPr="00FF36BF">
        <w:rPr>
          <w:rFonts w:cs="Arial"/>
          <w:b/>
          <w:bCs/>
          <w:sz w:val="20"/>
          <w:szCs w:val="20"/>
        </w:rPr>
        <w:t>DIRECTIONS FOR USE</w:t>
      </w:r>
    </w:p>
    <w:tbl>
      <w:tblPr>
        <w:tblStyle w:val="TableGrid"/>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417"/>
        <w:gridCol w:w="1276"/>
        <w:gridCol w:w="4327"/>
      </w:tblGrid>
      <w:tr w:rsidR="008E67EA" w:rsidRPr="00A27FD2" w14:paraId="7A3A13AD" w14:textId="77777777" w:rsidTr="00FF707A">
        <w:trPr>
          <w:trHeight w:val="340"/>
        </w:trPr>
        <w:tc>
          <w:tcPr>
            <w:tcW w:w="1980" w:type="dxa"/>
          </w:tcPr>
          <w:p w14:paraId="3D82A0B3" w14:textId="77777777" w:rsidR="008E67EA" w:rsidRPr="00382A84" w:rsidRDefault="008E67EA" w:rsidP="00B44A74">
            <w:pPr>
              <w:spacing w:line="280" w:lineRule="exact"/>
              <w:rPr>
                <w:rFonts w:cs="Arial"/>
                <w:b/>
                <w:bCs/>
                <w:szCs w:val="18"/>
              </w:rPr>
            </w:pPr>
            <w:r w:rsidRPr="00382A84">
              <w:rPr>
                <w:rFonts w:cs="Arial"/>
                <w:b/>
                <w:bCs/>
                <w:szCs w:val="18"/>
              </w:rPr>
              <w:t>SITUATION</w:t>
            </w:r>
          </w:p>
        </w:tc>
        <w:tc>
          <w:tcPr>
            <w:tcW w:w="1417" w:type="dxa"/>
          </w:tcPr>
          <w:p w14:paraId="575BC3E0" w14:textId="77777777" w:rsidR="008E67EA" w:rsidRPr="00382A84" w:rsidRDefault="008E67EA" w:rsidP="00B44A74">
            <w:pPr>
              <w:spacing w:line="280" w:lineRule="exact"/>
              <w:rPr>
                <w:rFonts w:cs="Arial"/>
                <w:b/>
                <w:bCs/>
                <w:szCs w:val="18"/>
              </w:rPr>
            </w:pPr>
            <w:r w:rsidRPr="00382A84">
              <w:rPr>
                <w:rFonts w:cs="Arial"/>
                <w:b/>
                <w:bCs/>
                <w:szCs w:val="18"/>
              </w:rPr>
              <w:t>PEST</w:t>
            </w:r>
          </w:p>
        </w:tc>
        <w:tc>
          <w:tcPr>
            <w:tcW w:w="1276" w:type="dxa"/>
          </w:tcPr>
          <w:p w14:paraId="767641D6" w14:textId="77777777" w:rsidR="008E67EA" w:rsidRPr="00382A84" w:rsidRDefault="008E67EA" w:rsidP="00B44A74">
            <w:pPr>
              <w:spacing w:line="280" w:lineRule="exact"/>
              <w:rPr>
                <w:rFonts w:cs="Arial"/>
                <w:b/>
                <w:bCs/>
                <w:szCs w:val="18"/>
              </w:rPr>
            </w:pPr>
            <w:r w:rsidRPr="00382A84">
              <w:rPr>
                <w:rFonts w:cs="Arial"/>
                <w:b/>
                <w:bCs/>
                <w:szCs w:val="18"/>
              </w:rPr>
              <w:t>RATE</w:t>
            </w:r>
          </w:p>
        </w:tc>
        <w:tc>
          <w:tcPr>
            <w:tcW w:w="4327" w:type="dxa"/>
          </w:tcPr>
          <w:p w14:paraId="31C8AA4D" w14:textId="77777777" w:rsidR="008E67EA" w:rsidRPr="00382A84" w:rsidRDefault="008E67EA" w:rsidP="00B44A74">
            <w:pPr>
              <w:spacing w:line="280" w:lineRule="exact"/>
              <w:rPr>
                <w:rFonts w:cs="Arial"/>
                <w:b/>
                <w:bCs/>
                <w:szCs w:val="18"/>
              </w:rPr>
            </w:pPr>
            <w:r w:rsidRPr="00382A84">
              <w:rPr>
                <w:rFonts w:cs="Arial"/>
                <w:b/>
                <w:bCs/>
                <w:szCs w:val="18"/>
              </w:rPr>
              <w:t>CRITICAL COMMENTS</w:t>
            </w:r>
          </w:p>
        </w:tc>
      </w:tr>
      <w:tr w:rsidR="008E67EA" w:rsidRPr="00A27FD2" w14:paraId="03D569F9" w14:textId="77777777" w:rsidTr="00FF707A">
        <w:trPr>
          <w:trHeight w:val="841"/>
        </w:trPr>
        <w:tc>
          <w:tcPr>
            <w:tcW w:w="1980" w:type="dxa"/>
          </w:tcPr>
          <w:p w14:paraId="2111CD89" w14:textId="77777777" w:rsidR="008E67EA" w:rsidRPr="00382A84" w:rsidRDefault="008E67EA" w:rsidP="00B44A74">
            <w:pPr>
              <w:spacing w:after="120" w:line="240" w:lineRule="exact"/>
              <w:rPr>
                <w:rFonts w:cs="Arial"/>
                <w:bCs/>
                <w:spacing w:val="-2"/>
                <w:w w:val="105"/>
                <w:szCs w:val="18"/>
              </w:rPr>
            </w:pPr>
            <w:r w:rsidRPr="00382A84">
              <w:rPr>
                <w:rFonts w:cs="Arial"/>
                <w:bCs/>
                <w:spacing w:val="-2"/>
                <w:w w:val="105"/>
                <w:szCs w:val="18"/>
              </w:rPr>
              <w:t xml:space="preserve">In </w:t>
            </w:r>
            <w:r>
              <w:rPr>
                <w:rFonts w:cs="Arial"/>
                <w:bCs/>
                <w:spacing w:val="-2"/>
                <w:w w:val="105"/>
                <w:szCs w:val="18"/>
              </w:rPr>
              <w:t>d</w:t>
            </w:r>
            <w:r w:rsidRPr="006469D5">
              <w:rPr>
                <w:rFonts w:cs="Arial"/>
                <w:bCs/>
                <w:spacing w:val="-2"/>
                <w:w w:val="105"/>
                <w:szCs w:val="18"/>
              </w:rPr>
              <w:t>omestic homes</w:t>
            </w:r>
            <w:r>
              <w:rPr>
                <w:rFonts w:cs="Arial"/>
                <w:bCs/>
                <w:spacing w:val="-2"/>
                <w:w w:val="105"/>
                <w:szCs w:val="18"/>
              </w:rPr>
              <w:t>.</w:t>
            </w:r>
            <w:r w:rsidRPr="006469D5">
              <w:rPr>
                <w:rFonts w:cs="Arial"/>
                <w:bCs/>
                <w:spacing w:val="-2"/>
                <w:w w:val="105"/>
                <w:szCs w:val="18"/>
              </w:rPr>
              <w:t xml:space="preserve"> </w:t>
            </w:r>
          </w:p>
        </w:tc>
        <w:tc>
          <w:tcPr>
            <w:tcW w:w="1417" w:type="dxa"/>
          </w:tcPr>
          <w:p w14:paraId="4306B3A5" w14:textId="77777777" w:rsidR="008E67EA" w:rsidRPr="006469D5" w:rsidRDefault="008E67EA" w:rsidP="00B44A74">
            <w:pPr>
              <w:spacing w:after="120" w:line="240" w:lineRule="exact"/>
              <w:rPr>
                <w:rFonts w:cs="Arial"/>
                <w:szCs w:val="18"/>
              </w:rPr>
            </w:pPr>
            <w:r w:rsidRPr="006469D5">
              <w:rPr>
                <w:rFonts w:cs="Arial"/>
                <w:bCs/>
                <w:spacing w:val="-2"/>
                <w:w w:val="105"/>
                <w:szCs w:val="18"/>
              </w:rPr>
              <w:t>Rats (</w:t>
            </w:r>
            <w:r w:rsidRPr="006469D5">
              <w:rPr>
                <w:rFonts w:cs="Arial"/>
                <w:bCs/>
                <w:i/>
                <w:iCs/>
                <w:spacing w:val="-2"/>
                <w:w w:val="105"/>
                <w:szCs w:val="18"/>
              </w:rPr>
              <w:t>Rattus norvegius, Rattus rattus</w:t>
            </w:r>
            <w:r w:rsidRPr="006469D5">
              <w:rPr>
                <w:rFonts w:cs="Arial"/>
                <w:bCs/>
                <w:spacing w:val="-2"/>
                <w:w w:val="105"/>
                <w:szCs w:val="18"/>
              </w:rPr>
              <w:t>)</w:t>
            </w:r>
          </w:p>
        </w:tc>
        <w:tc>
          <w:tcPr>
            <w:tcW w:w="1276" w:type="dxa"/>
          </w:tcPr>
          <w:p w14:paraId="7326A797" w14:textId="77777777" w:rsidR="008E67EA" w:rsidRPr="00382A84" w:rsidRDefault="008E67EA" w:rsidP="00B44A74">
            <w:pPr>
              <w:spacing w:after="120" w:line="240" w:lineRule="exact"/>
              <w:rPr>
                <w:rFonts w:cs="Arial"/>
                <w:bCs/>
                <w:spacing w:val="-2"/>
                <w:w w:val="105"/>
                <w:szCs w:val="18"/>
              </w:rPr>
            </w:pPr>
            <w:r>
              <w:rPr>
                <w:rFonts w:cs="Arial"/>
                <w:bCs/>
                <w:spacing w:val="-2"/>
                <w:w w:val="105"/>
                <w:szCs w:val="18"/>
              </w:rPr>
              <w:t xml:space="preserve">1 – 5 baits/bait station </w:t>
            </w:r>
          </w:p>
        </w:tc>
        <w:tc>
          <w:tcPr>
            <w:tcW w:w="4327" w:type="dxa"/>
            <w:vMerge w:val="restart"/>
          </w:tcPr>
          <w:p w14:paraId="2CF84637" w14:textId="4CF7051C" w:rsidR="008E67EA" w:rsidRDefault="008E67EA" w:rsidP="00B44A74">
            <w:pPr>
              <w:spacing w:after="120" w:line="240" w:lineRule="exact"/>
              <w:rPr>
                <w:rFonts w:cs="Arial"/>
                <w:bCs/>
                <w:spacing w:val="-2"/>
                <w:w w:val="105"/>
                <w:szCs w:val="18"/>
              </w:rPr>
            </w:pPr>
            <w:r w:rsidRPr="006469D5">
              <w:rPr>
                <w:rFonts w:cs="Arial"/>
                <w:bCs/>
                <w:spacing w:val="-2"/>
                <w:w w:val="105"/>
                <w:szCs w:val="18"/>
              </w:rPr>
              <w:t>Determine areas where rats and/or mice will most likely find and consume bait. Generally,</w:t>
            </w:r>
            <w:r>
              <w:rPr>
                <w:rFonts w:cs="Arial"/>
                <w:bCs/>
                <w:spacing w:val="-2"/>
                <w:w w:val="105"/>
                <w:szCs w:val="18"/>
              </w:rPr>
              <w:t xml:space="preserve"> </w:t>
            </w:r>
            <w:r w:rsidRPr="006469D5">
              <w:rPr>
                <w:rFonts w:cs="Arial"/>
                <w:bCs/>
                <w:spacing w:val="-2"/>
                <w:w w:val="105"/>
                <w:szCs w:val="18"/>
              </w:rPr>
              <w:t>these areas are along walls, by gnawed openings, beside burrows, in corners and</w:t>
            </w:r>
            <w:r>
              <w:rPr>
                <w:rFonts w:cs="Arial"/>
                <w:bCs/>
                <w:spacing w:val="-2"/>
                <w:w w:val="105"/>
                <w:szCs w:val="18"/>
              </w:rPr>
              <w:t xml:space="preserve"> </w:t>
            </w:r>
            <w:r w:rsidRPr="006469D5">
              <w:rPr>
                <w:rFonts w:cs="Arial"/>
                <w:bCs/>
                <w:spacing w:val="-2"/>
                <w:w w:val="105"/>
                <w:szCs w:val="18"/>
              </w:rPr>
              <w:t>concealed places between floors and walls or in locations where rodents or their signs</w:t>
            </w:r>
            <w:r>
              <w:rPr>
                <w:rFonts w:cs="Arial"/>
                <w:bCs/>
                <w:spacing w:val="-2"/>
                <w:w w:val="105"/>
                <w:szCs w:val="18"/>
              </w:rPr>
              <w:t xml:space="preserve"> </w:t>
            </w:r>
            <w:r w:rsidRPr="006469D5">
              <w:rPr>
                <w:rFonts w:cs="Arial"/>
                <w:bCs/>
                <w:spacing w:val="-2"/>
                <w:w w:val="105"/>
                <w:szCs w:val="18"/>
              </w:rPr>
              <w:t>have been observed.</w:t>
            </w:r>
          </w:p>
          <w:p w14:paraId="4BAA7748" w14:textId="77777777" w:rsidR="008E67EA" w:rsidRDefault="008E67EA" w:rsidP="00B44A74">
            <w:pPr>
              <w:spacing w:after="120" w:line="240" w:lineRule="exact"/>
              <w:rPr>
                <w:rFonts w:cs="Arial"/>
                <w:bCs/>
                <w:spacing w:val="-2"/>
                <w:w w:val="105"/>
                <w:szCs w:val="18"/>
              </w:rPr>
            </w:pPr>
            <w:r>
              <w:rPr>
                <w:rFonts w:cs="Arial"/>
                <w:bCs/>
                <w:spacing w:val="-2"/>
                <w:w w:val="105"/>
                <w:szCs w:val="18"/>
              </w:rPr>
              <w:t xml:space="preserve">Place bait stations in infested areas. </w:t>
            </w:r>
            <w:r w:rsidRPr="00DA3B59">
              <w:rPr>
                <w:rFonts w:cs="Arial"/>
                <w:bCs/>
                <w:spacing w:val="-2"/>
                <w:w w:val="105"/>
                <w:szCs w:val="18"/>
              </w:rPr>
              <w:t xml:space="preserve">DO NOT </w:t>
            </w:r>
            <w:r>
              <w:rPr>
                <w:rFonts w:cs="Arial"/>
                <w:bCs/>
                <w:spacing w:val="-2"/>
                <w:w w:val="105"/>
                <w:szCs w:val="18"/>
              </w:rPr>
              <w:t>open place packs</w:t>
            </w:r>
            <w:r w:rsidRPr="00DA3B59">
              <w:rPr>
                <w:rFonts w:cs="Arial"/>
                <w:bCs/>
                <w:spacing w:val="-2"/>
                <w:w w:val="105"/>
                <w:szCs w:val="18"/>
              </w:rPr>
              <w:t>.</w:t>
            </w:r>
          </w:p>
          <w:p w14:paraId="65AEF40C" w14:textId="77777777" w:rsidR="008E67EA" w:rsidRPr="00382A84" w:rsidRDefault="008E67EA" w:rsidP="00B44A74">
            <w:pPr>
              <w:spacing w:after="120" w:line="240" w:lineRule="exact"/>
              <w:rPr>
                <w:rFonts w:cs="Arial"/>
                <w:bCs/>
                <w:spacing w:val="-2"/>
                <w:w w:val="105"/>
                <w:szCs w:val="18"/>
              </w:rPr>
            </w:pPr>
            <w:r w:rsidRPr="00382A84">
              <w:rPr>
                <w:rFonts w:cs="Arial"/>
                <w:bCs/>
                <w:spacing w:val="-2"/>
                <w:w w:val="105"/>
                <w:szCs w:val="18"/>
              </w:rPr>
              <w:t xml:space="preserve">DO NOT exceed 9 m between bait stations for rats </w:t>
            </w:r>
            <w:r>
              <w:rPr>
                <w:rFonts w:cs="Arial"/>
                <w:bCs/>
                <w:spacing w:val="-2"/>
                <w:w w:val="105"/>
                <w:szCs w:val="18"/>
              </w:rPr>
              <w:t>or</w:t>
            </w:r>
            <w:r w:rsidRPr="00382A84">
              <w:rPr>
                <w:rFonts w:cs="Arial"/>
                <w:bCs/>
                <w:spacing w:val="-2"/>
                <w:w w:val="105"/>
                <w:szCs w:val="18"/>
              </w:rPr>
              <w:t xml:space="preserve"> 3 m </w:t>
            </w:r>
            <w:r>
              <w:rPr>
                <w:rFonts w:cs="Arial"/>
                <w:bCs/>
                <w:spacing w:val="-2"/>
                <w:w w:val="105"/>
                <w:szCs w:val="18"/>
              </w:rPr>
              <w:t xml:space="preserve">between bait stations </w:t>
            </w:r>
            <w:r w:rsidRPr="00382A84">
              <w:rPr>
                <w:rFonts w:cs="Arial"/>
                <w:bCs/>
                <w:spacing w:val="-2"/>
                <w:w w:val="105"/>
                <w:szCs w:val="18"/>
              </w:rPr>
              <w:t>for mice.</w:t>
            </w:r>
          </w:p>
        </w:tc>
      </w:tr>
      <w:tr w:rsidR="008E67EA" w:rsidRPr="00A27FD2" w14:paraId="5757EA8D" w14:textId="77777777" w:rsidTr="00FF707A">
        <w:trPr>
          <w:trHeight w:val="841"/>
        </w:trPr>
        <w:tc>
          <w:tcPr>
            <w:tcW w:w="1980" w:type="dxa"/>
          </w:tcPr>
          <w:p w14:paraId="2D4F215E" w14:textId="77777777" w:rsidR="008E67EA" w:rsidRPr="00382A84" w:rsidRDefault="008E67EA" w:rsidP="00B44A74">
            <w:pPr>
              <w:spacing w:after="120" w:line="240" w:lineRule="exact"/>
              <w:rPr>
                <w:rFonts w:cs="Arial"/>
                <w:bCs/>
                <w:spacing w:val="-2"/>
                <w:w w:val="105"/>
                <w:szCs w:val="18"/>
              </w:rPr>
            </w:pPr>
            <w:r w:rsidRPr="00382A84">
              <w:rPr>
                <w:rFonts w:cs="Arial"/>
                <w:bCs/>
                <w:spacing w:val="-2"/>
                <w:w w:val="105"/>
                <w:szCs w:val="18"/>
              </w:rPr>
              <w:t xml:space="preserve">In </w:t>
            </w:r>
            <w:r>
              <w:rPr>
                <w:rFonts w:cs="Arial"/>
                <w:bCs/>
                <w:spacing w:val="-2"/>
                <w:w w:val="105"/>
                <w:szCs w:val="18"/>
              </w:rPr>
              <w:t>and around (within 2 meters) d</w:t>
            </w:r>
            <w:r w:rsidRPr="006469D5">
              <w:rPr>
                <w:rFonts w:cs="Arial"/>
                <w:bCs/>
                <w:spacing w:val="-2"/>
                <w:w w:val="105"/>
                <w:szCs w:val="18"/>
              </w:rPr>
              <w:t>omestic homes</w:t>
            </w:r>
            <w:r>
              <w:rPr>
                <w:rFonts w:cs="Arial"/>
                <w:bCs/>
                <w:spacing w:val="-2"/>
                <w:w w:val="105"/>
                <w:szCs w:val="18"/>
              </w:rPr>
              <w:t>.</w:t>
            </w:r>
          </w:p>
        </w:tc>
        <w:tc>
          <w:tcPr>
            <w:tcW w:w="1417" w:type="dxa"/>
          </w:tcPr>
          <w:p w14:paraId="4FBFD78F" w14:textId="77777777" w:rsidR="008E67EA" w:rsidRPr="00485D88" w:rsidRDefault="008E67EA" w:rsidP="00B44A74">
            <w:pPr>
              <w:spacing w:after="120" w:line="240" w:lineRule="exact"/>
              <w:rPr>
                <w:rFonts w:cs="Arial"/>
                <w:bCs/>
                <w:i/>
                <w:iCs/>
                <w:spacing w:val="-2"/>
                <w:w w:val="105"/>
                <w:szCs w:val="18"/>
              </w:rPr>
            </w:pPr>
            <w:r w:rsidRPr="006469D5">
              <w:rPr>
                <w:rFonts w:cs="Arial"/>
                <w:bCs/>
                <w:spacing w:val="-2"/>
                <w:w w:val="105"/>
                <w:szCs w:val="18"/>
              </w:rPr>
              <w:t>Mice (</w:t>
            </w:r>
            <w:r w:rsidRPr="006469D5">
              <w:rPr>
                <w:rFonts w:cs="Arial"/>
                <w:bCs/>
                <w:i/>
                <w:iCs/>
                <w:spacing w:val="-2"/>
                <w:w w:val="105"/>
                <w:szCs w:val="18"/>
              </w:rPr>
              <w:t>Mus musculus</w:t>
            </w:r>
            <w:r w:rsidRPr="006469D5">
              <w:rPr>
                <w:rFonts w:cs="Arial"/>
                <w:bCs/>
                <w:spacing w:val="-2"/>
                <w:w w:val="105"/>
                <w:szCs w:val="18"/>
              </w:rPr>
              <w:t>)</w:t>
            </w:r>
          </w:p>
        </w:tc>
        <w:tc>
          <w:tcPr>
            <w:tcW w:w="1276" w:type="dxa"/>
          </w:tcPr>
          <w:p w14:paraId="0DBD5C93" w14:textId="77777777" w:rsidR="008E67EA" w:rsidRPr="00382A84" w:rsidRDefault="008E67EA" w:rsidP="00B44A74">
            <w:pPr>
              <w:spacing w:after="120" w:line="240" w:lineRule="exact"/>
              <w:rPr>
                <w:rFonts w:cs="Arial"/>
                <w:bCs/>
                <w:spacing w:val="-2"/>
                <w:w w:val="105"/>
                <w:szCs w:val="18"/>
              </w:rPr>
            </w:pPr>
            <w:r>
              <w:rPr>
                <w:rFonts w:cs="Arial"/>
                <w:bCs/>
                <w:spacing w:val="-2"/>
                <w:w w:val="105"/>
                <w:szCs w:val="18"/>
              </w:rPr>
              <w:t xml:space="preserve">1 bait/bait station </w:t>
            </w:r>
          </w:p>
        </w:tc>
        <w:tc>
          <w:tcPr>
            <w:tcW w:w="4327" w:type="dxa"/>
            <w:vMerge/>
          </w:tcPr>
          <w:p w14:paraId="34951BCA" w14:textId="77777777" w:rsidR="008E67EA" w:rsidRPr="00382A84" w:rsidRDefault="008E67EA" w:rsidP="00B44A74">
            <w:pPr>
              <w:ind w:firstLine="720"/>
              <w:rPr>
                <w:rFonts w:cs="Arial"/>
                <w:bCs/>
                <w:spacing w:val="-2"/>
                <w:w w:val="105"/>
                <w:szCs w:val="18"/>
              </w:rPr>
            </w:pPr>
          </w:p>
        </w:tc>
      </w:tr>
      <w:tr w:rsidR="008E67EA" w:rsidRPr="00A27FD2" w14:paraId="1C60B22E" w14:textId="77777777" w:rsidTr="00FF707A">
        <w:trPr>
          <w:trHeight w:val="841"/>
        </w:trPr>
        <w:tc>
          <w:tcPr>
            <w:tcW w:w="9000" w:type="dxa"/>
            <w:gridSpan w:val="4"/>
          </w:tcPr>
          <w:p w14:paraId="62CDF8B7" w14:textId="77777777" w:rsidR="008E67EA" w:rsidRPr="00382A84" w:rsidRDefault="008E67EA" w:rsidP="00B44A74">
            <w:pPr>
              <w:spacing w:after="120" w:line="240" w:lineRule="exact"/>
              <w:rPr>
                <w:rFonts w:cs="Arial"/>
                <w:b/>
                <w:spacing w:val="-2"/>
                <w:w w:val="105"/>
                <w:szCs w:val="18"/>
              </w:rPr>
            </w:pPr>
            <w:r w:rsidRPr="00382A84">
              <w:rPr>
                <w:rFonts w:cs="Arial"/>
                <w:b/>
                <w:spacing w:val="-2"/>
                <w:w w:val="105"/>
                <w:szCs w:val="18"/>
              </w:rPr>
              <w:t>Baiting strategy</w:t>
            </w:r>
          </w:p>
          <w:p w14:paraId="12CB67FD" w14:textId="3B8BF151" w:rsidR="008E67EA" w:rsidRPr="006469D5" w:rsidRDefault="008E67EA" w:rsidP="00B44A74">
            <w:pPr>
              <w:spacing w:after="120" w:line="240" w:lineRule="exact"/>
              <w:rPr>
                <w:rFonts w:cs="Arial"/>
                <w:bCs/>
                <w:spacing w:val="-2"/>
                <w:w w:val="105"/>
                <w:szCs w:val="18"/>
              </w:rPr>
            </w:pPr>
            <w:r w:rsidRPr="006469D5">
              <w:rPr>
                <w:rFonts w:cs="Arial"/>
                <w:bCs/>
                <w:spacing w:val="-2"/>
                <w:w w:val="105"/>
                <w:szCs w:val="18"/>
              </w:rPr>
              <w:t>Eliminate, as far as practicable, all other food sources.</w:t>
            </w:r>
          </w:p>
          <w:p w14:paraId="206110C8" w14:textId="77777777" w:rsidR="008E67EA" w:rsidRPr="006469D5" w:rsidRDefault="008E67EA" w:rsidP="00B44A74">
            <w:pPr>
              <w:spacing w:after="120" w:line="240" w:lineRule="exact"/>
              <w:rPr>
                <w:rFonts w:cs="Arial"/>
                <w:bCs/>
                <w:spacing w:val="-2"/>
                <w:w w:val="105"/>
                <w:szCs w:val="18"/>
              </w:rPr>
            </w:pPr>
            <w:r w:rsidRPr="006469D5">
              <w:rPr>
                <w:rFonts w:cs="Arial"/>
                <w:bCs/>
                <w:spacing w:val="-2"/>
                <w:w w:val="105"/>
                <w:szCs w:val="18"/>
              </w:rPr>
              <w:t>Survey site prior to treatment, including assessment of the extent of infestation and identification of any indications of the presence of non-target animals.</w:t>
            </w:r>
            <w:r w:rsidRPr="006469D5">
              <w:t xml:space="preserve"> </w:t>
            </w:r>
            <w:r w:rsidRPr="006469D5">
              <w:rPr>
                <w:rFonts w:cs="Arial"/>
                <w:bCs/>
                <w:spacing w:val="-2"/>
                <w:w w:val="105"/>
                <w:szCs w:val="18"/>
              </w:rPr>
              <w:t>Record the number and locations of bait stations for the purpose of inspection, replacement and later removal.</w:t>
            </w:r>
          </w:p>
          <w:p w14:paraId="46CD8127" w14:textId="02B58AB8" w:rsidR="008E67EA" w:rsidRDefault="008E67EA" w:rsidP="00B44A74">
            <w:pPr>
              <w:spacing w:after="120" w:line="240" w:lineRule="exact"/>
              <w:rPr>
                <w:rFonts w:cs="Arial"/>
                <w:bCs/>
                <w:spacing w:val="-2"/>
                <w:w w:val="105"/>
                <w:szCs w:val="18"/>
              </w:rPr>
            </w:pPr>
            <w:r w:rsidRPr="006469D5">
              <w:rPr>
                <w:rFonts w:cs="Arial"/>
                <w:bCs/>
                <w:spacing w:val="-2"/>
                <w:w w:val="105"/>
                <w:szCs w:val="18"/>
              </w:rPr>
              <w:t>Always use tamper-resistant bait stations that are secured in place in child accessible areas, outdoors and in animal or livestock housing. When used in food producing animal housing situations careful consideration is necessary regarding the placement of bait stations to ensure any rodenticide contamination of water, feed or livestock is prevented.</w:t>
            </w:r>
          </w:p>
          <w:p w14:paraId="54E08D5C" w14:textId="77777777" w:rsidR="008E67EA" w:rsidRDefault="008E67EA" w:rsidP="00B44A74">
            <w:pPr>
              <w:spacing w:after="120" w:line="240" w:lineRule="exact"/>
              <w:rPr>
                <w:rFonts w:cs="Arial"/>
                <w:bCs/>
                <w:spacing w:val="-2"/>
                <w:w w:val="105"/>
                <w:szCs w:val="18"/>
              </w:rPr>
            </w:pPr>
            <w:r w:rsidRPr="006469D5">
              <w:rPr>
                <w:rFonts w:cs="Arial"/>
                <w:bCs/>
                <w:spacing w:val="-2"/>
                <w:w w:val="105"/>
                <w:szCs w:val="18"/>
              </w:rPr>
              <w:t xml:space="preserve">Inspect </w:t>
            </w:r>
            <w:r>
              <w:rPr>
                <w:rFonts w:cs="Arial"/>
                <w:bCs/>
                <w:spacing w:val="-2"/>
                <w:w w:val="105"/>
                <w:szCs w:val="18"/>
              </w:rPr>
              <w:t>place packs daily</w:t>
            </w:r>
            <w:r w:rsidRPr="006469D5">
              <w:rPr>
                <w:rFonts w:cs="Arial"/>
                <w:bCs/>
                <w:spacing w:val="-2"/>
                <w:w w:val="105"/>
                <w:szCs w:val="18"/>
              </w:rPr>
              <w:t>. Replace</w:t>
            </w:r>
            <w:r>
              <w:rPr>
                <w:rFonts w:cs="Arial"/>
                <w:bCs/>
                <w:spacing w:val="-2"/>
                <w:w w:val="105"/>
                <w:szCs w:val="18"/>
              </w:rPr>
              <w:t xml:space="preserve"> </w:t>
            </w:r>
            <w:r w:rsidRPr="006469D5">
              <w:rPr>
                <w:rFonts w:cs="Arial"/>
                <w:bCs/>
                <w:spacing w:val="-2"/>
                <w:w w:val="105"/>
                <w:szCs w:val="18"/>
              </w:rPr>
              <w:t>eaten</w:t>
            </w:r>
            <w:r>
              <w:rPr>
                <w:rFonts w:cs="Arial"/>
                <w:bCs/>
                <w:spacing w:val="-2"/>
                <w:w w:val="105"/>
                <w:szCs w:val="18"/>
              </w:rPr>
              <w:t xml:space="preserve">, contaminated or spoilt </w:t>
            </w:r>
            <w:r w:rsidRPr="006469D5">
              <w:rPr>
                <w:rFonts w:cs="Arial"/>
                <w:bCs/>
                <w:spacing w:val="-2"/>
                <w:w w:val="105"/>
                <w:szCs w:val="18"/>
              </w:rPr>
              <w:t>baits</w:t>
            </w:r>
            <w:r>
              <w:rPr>
                <w:rFonts w:cs="Arial"/>
                <w:bCs/>
                <w:spacing w:val="-2"/>
                <w:w w:val="105"/>
                <w:szCs w:val="18"/>
              </w:rPr>
              <w:t xml:space="preserve"> immediately</w:t>
            </w:r>
            <w:r w:rsidRPr="006469D5">
              <w:rPr>
                <w:rFonts w:cs="Arial"/>
                <w:bCs/>
                <w:spacing w:val="-2"/>
                <w:w w:val="105"/>
                <w:szCs w:val="18"/>
              </w:rPr>
              <w:t xml:space="preserve">. </w:t>
            </w:r>
            <w:r w:rsidRPr="000B1D56">
              <w:rPr>
                <w:rFonts w:cs="Arial"/>
                <w:bCs/>
                <w:spacing w:val="-2"/>
                <w:w w:val="105"/>
                <w:szCs w:val="18"/>
              </w:rPr>
              <w:t>If eaten quickly increase the number</w:t>
            </w:r>
            <w:r>
              <w:rPr>
                <w:rFonts w:cs="Arial"/>
                <w:bCs/>
                <w:spacing w:val="-2"/>
                <w:w w:val="105"/>
                <w:szCs w:val="18"/>
              </w:rPr>
              <w:t xml:space="preserve"> </w:t>
            </w:r>
            <w:r w:rsidRPr="000B1D56">
              <w:rPr>
                <w:rFonts w:cs="Arial"/>
                <w:bCs/>
                <w:spacing w:val="-2"/>
                <w:w w:val="105"/>
                <w:szCs w:val="18"/>
              </w:rPr>
              <w:t>of bait placements. Continue observation</w:t>
            </w:r>
            <w:r>
              <w:rPr>
                <w:rFonts w:cs="Arial"/>
                <w:bCs/>
                <w:spacing w:val="-2"/>
                <w:w w:val="105"/>
                <w:szCs w:val="18"/>
              </w:rPr>
              <w:t xml:space="preserve"> </w:t>
            </w:r>
            <w:r w:rsidRPr="000B1D56">
              <w:rPr>
                <w:rFonts w:cs="Arial"/>
                <w:bCs/>
                <w:spacing w:val="-2"/>
                <w:w w:val="105"/>
                <w:szCs w:val="18"/>
              </w:rPr>
              <w:t>and replenishment until no more baits are</w:t>
            </w:r>
            <w:r>
              <w:rPr>
                <w:rFonts w:cs="Arial"/>
                <w:bCs/>
                <w:spacing w:val="-2"/>
                <w:w w:val="105"/>
                <w:szCs w:val="18"/>
              </w:rPr>
              <w:t xml:space="preserve"> </w:t>
            </w:r>
            <w:r w:rsidRPr="000B1D56">
              <w:rPr>
                <w:rFonts w:cs="Arial"/>
                <w:bCs/>
                <w:spacing w:val="-2"/>
                <w:w w:val="105"/>
                <w:szCs w:val="18"/>
              </w:rPr>
              <w:t>taken. Most deaths occur 4 to 7 days after</w:t>
            </w:r>
            <w:r>
              <w:rPr>
                <w:rFonts w:cs="Arial"/>
                <w:bCs/>
                <w:spacing w:val="-2"/>
                <w:w w:val="105"/>
                <w:szCs w:val="18"/>
              </w:rPr>
              <w:t xml:space="preserve"> </w:t>
            </w:r>
            <w:r w:rsidRPr="000B1D56">
              <w:rPr>
                <w:rFonts w:cs="Arial"/>
                <w:bCs/>
                <w:spacing w:val="-2"/>
                <w:w w:val="105"/>
                <w:szCs w:val="18"/>
              </w:rPr>
              <w:t>consumption of bait. Baiting for at least 2</w:t>
            </w:r>
            <w:r>
              <w:rPr>
                <w:rFonts w:cs="Arial"/>
                <w:bCs/>
                <w:spacing w:val="-2"/>
                <w:w w:val="105"/>
                <w:szCs w:val="18"/>
              </w:rPr>
              <w:t xml:space="preserve"> </w:t>
            </w:r>
            <w:r w:rsidRPr="000B1D56">
              <w:rPr>
                <w:rFonts w:cs="Arial"/>
                <w:bCs/>
                <w:spacing w:val="-2"/>
                <w:w w:val="105"/>
                <w:szCs w:val="18"/>
              </w:rPr>
              <w:t>weeks is necessary to reduce rat/mouse</w:t>
            </w:r>
            <w:r>
              <w:rPr>
                <w:rFonts w:cs="Arial"/>
                <w:bCs/>
                <w:spacing w:val="-2"/>
                <w:w w:val="105"/>
                <w:szCs w:val="18"/>
              </w:rPr>
              <w:t xml:space="preserve"> </w:t>
            </w:r>
            <w:r w:rsidRPr="000B1D56">
              <w:rPr>
                <w:rFonts w:cs="Arial"/>
                <w:bCs/>
                <w:spacing w:val="-2"/>
                <w:w w:val="105"/>
                <w:szCs w:val="18"/>
              </w:rPr>
              <w:t>numbers.</w:t>
            </w:r>
          </w:p>
          <w:p w14:paraId="459BD43E" w14:textId="0997639A" w:rsidR="008E67EA" w:rsidRDefault="008E67EA" w:rsidP="00B44A74">
            <w:pPr>
              <w:spacing w:after="120" w:line="240" w:lineRule="exact"/>
              <w:rPr>
                <w:rFonts w:cs="Arial"/>
                <w:bCs/>
                <w:spacing w:val="-2"/>
                <w:w w:val="105"/>
                <w:szCs w:val="18"/>
              </w:rPr>
            </w:pPr>
            <w:r w:rsidRPr="00382A84">
              <w:rPr>
                <w:rFonts w:cs="Arial"/>
                <w:bCs/>
                <w:spacing w:val="-2"/>
                <w:w w:val="105"/>
                <w:szCs w:val="18"/>
              </w:rPr>
              <w:t>DO NOT use the product beyond 35 days without an evaluation of the state of the infestation and of the efficacy of the treatment.</w:t>
            </w:r>
            <w:r>
              <w:t xml:space="preserve"> </w:t>
            </w:r>
            <w:r w:rsidRPr="00382A84">
              <w:rPr>
                <w:rFonts w:cs="Arial"/>
                <w:bCs/>
                <w:spacing w:val="-2"/>
                <w:w w:val="105"/>
                <w:szCs w:val="18"/>
              </w:rPr>
              <w:t>Remove all uneaten bait at the end of treatment</w:t>
            </w:r>
            <w:r w:rsidR="00FF707A">
              <w:rPr>
                <w:rFonts w:cs="Arial"/>
                <w:bCs/>
                <w:spacing w:val="-2"/>
                <w:w w:val="105"/>
                <w:szCs w:val="18"/>
              </w:rPr>
              <w:t>.</w:t>
            </w:r>
          </w:p>
          <w:p w14:paraId="062A35DA" w14:textId="77777777" w:rsidR="008E67EA" w:rsidRPr="00382A84" w:rsidRDefault="008E67EA" w:rsidP="00B44A74">
            <w:pPr>
              <w:spacing w:after="120" w:line="240" w:lineRule="exact"/>
              <w:rPr>
                <w:rFonts w:cs="Arial"/>
                <w:bCs/>
                <w:spacing w:val="-2"/>
                <w:w w:val="105"/>
                <w:szCs w:val="18"/>
              </w:rPr>
            </w:pPr>
            <w:r w:rsidRPr="00DA3B59">
              <w:rPr>
                <w:rFonts w:cs="Arial"/>
                <w:bCs/>
                <w:spacing w:val="-2"/>
                <w:w w:val="105"/>
                <w:szCs w:val="18"/>
              </w:rPr>
              <w:t>To prevent reinfestation, eliminate food, water and harbourage as much as possible. If reinfestation should occur, repeat treatment.</w:t>
            </w:r>
          </w:p>
        </w:tc>
      </w:tr>
    </w:tbl>
    <w:p w14:paraId="56D811EA" w14:textId="0FD4CB9D" w:rsidR="008E67EA" w:rsidRDefault="008E67EA" w:rsidP="00FF707A">
      <w:pPr>
        <w:spacing w:line="280" w:lineRule="exact"/>
        <w:rPr>
          <w:rFonts w:cs="Arial"/>
          <w:b/>
          <w:bCs/>
          <w:sz w:val="20"/>
          <w:szCs w:val="20"/>
          <w:bdr w:val="none" w:sz="0" w:space="0" w:color="auto" w:frame="1"/>
          <w:lang w:val="en-GB" w:eastAsia="en-AU"/>
        </w:rPr>
      </w:pPr>
      <w:r w:rsidRPr="00FF36BF">
        <w:rPr>
          <w:rFonts w:cs="Arial"/>
          <w:b/>
          <w:bCs/>
          <w:sz w:val="20"/>
          <w:szCs w:val="20"/>
        </w:rPr>
        <w:t>NOT TO BE USED FOR ANY PURPOSE, OR IN ANY MANNER, CONTRARY TO THIS LABEL UNLESS AUTHORISED UNDER APPROPRIATE LEGISLATION.</w:t>
      </w:r>
      <w:r>
        <w:rPr>
          <w:rFonts w:cs="Arial"/>
          <w:b/>
          <w:bCs/>
          <w:sz w:val="20"/>
          <w:szCs w:val="20"/>
          <w:bdr w:val="none" w:sz="0" w:space="0" w:color="auto" w:frame="1"/>
          <w:lang w:val="en-GB" w:eastAsia="en-AU"/>
        </w:rPr>
        <w:br w:type="page"/>
      </w:r>
    </w:p>
    <w:p w14:paraId="3A341C0B" w14:textId="77777777" w:rsidR="008E67EA" w:rsidRPr="00DA343B" w:rsidRDefault="008E67EA" w:rsidP="008E67EA">
      <w:pPr>
        <w:pStyle w:val="Heading1"/>
        <w:rPr>
          <w:rFonts w:ascii="Franklin Gothic Medium" w:eastAsia="Arial Unicode MS" w:hAnsi="Franklin Gothic Medium"/>
          <w:color w:val="000000" w:themeColor="text1"/>
          <w:sz w:val="28"/>
          <w:szCs w:val="28"/>
          <w:bdr w:val="none" w:sz="0" w:space="0" w:color="auto" w:frame="1"/>
          <w:lang w:val="en-GB" w:eastAsia="en-AU"/>
        </w:rPr>
      </w:pPr>
      <w:r w:rsidRPr="00DA343B">
        <w:rPr>
          <w:rFonts w:ascii="Franklin Gothic Medium" w:eastAsia="Arial Unicode MS" w:hAnsi="Franklin Gothic Medium"/>
          <w:color w:val="000000" w:themeColor="text1"/>
          <w:sz w:val="28"/>
          <w:szCs w:val="28"/>
          <w:bdr w:val="none" w:sz="0" w:space="0" w:color="auto" w:frame="1"/>
          <w:lang w:val="en-GB" w:eastAsia="en-AU"/>
        </w:rPr>
        <w:lastRenderedPageBreak/>
        <w:t>Bromadiolone</w:t>
      </w:r>
      <w:r>
        <w:rPr>
          <w:rFonts w:ascii="Franklin Gothic Medium" w:eastAsia="Arial Unicode MS" w:hAnsi="Franklin Gothic Medium"/>
          <w:color w:val="000000" w:themeColor="text1"/>
          <w:sz w:val="28"/>
          <w:szCs w:val="28"/>
          <w:bdr w:val="none" w:sz="0" w:space="0" w:color="auto" w:frame="1"/>
          <w:lang w:val="en-GB" w:eastAsia="en-AU"/>
        </w:rPr>
        <w:t xml:space="preserve"> and difenacoum</w:t>
      </w:r>
    </w:p>
    <w:p w14:paraId="7C24AA42" w14:textId="77777777" w:rsidR="008E67EA" w:rsidRDefault="008E67EA" w:rsidP="008E67EA">
      <w:pPr>
        <w:keepNext/>
        <w:keepLines/>
        <w:spacing w:before="400" w:after="240" w:line="280" w:lineRule="exact"/>
        <w:outlineLvl w:val="1"/>
        <w:rPr>
          <w:rFonts w:ascii="Franklin Gothic Medium" w:eastAsia="Arial Unicode MS" w:hAnsi="Franklin Gothic Medium"/>
          <w:bCs/>
          <w:iCs/>
          <w:bdr w:val="none" w:sz="0" w:space="0" w:color="auto" w:frame="1"/>
          <w:lang w:val="en-GB" w:eastAsia="en-AU"/>
        </w:rPr>
      </w:pPr>
      <w:r w:rsidRPr="00FF36BF">
        <w:rPr>
          <w:rFonts w:ascii="Franklin Gothic Medium" w:eastAsia="Arial Unicode MS" w:hAnsi="Franklin Gothic Medium"/>
          <w:bCs/>
          <w:iCs/>
          <w:bdr w:val="none" w:sz="0" w:space="0" w:color="auto" w:frame="1"/>
          <w:lang w:val="en-GB" w:eastAsia="en-AU"/>
        </w:rPr>
        <w:t>Commercial</w:t>
      </w:r>
      <w:r>
        <w:rPr>
          <w:rFonts w:ascii="Franklin Gothic Medium" w:eastAsia="Arial Unicode MS" w:hAnsi="Franklin Gothic Medium"/>
          <w:bCs/>
          <w:iCs/>
          <w:bdr w:val="none" w:sz="0" w:space="0" w:color="auto" w:frame="1"/>
          <w:lang w:val="en-GB" w:eastAsia="en-AU"/>
        </w:rPr>
        <w:t xml:space="preserve"> pest-control product:</w:t>
      </w:r>
      <w:r w:rsidRPr="00FF36BF">
        <w:rPr>
          <w:rFonts w:ascii="Franklin Gothic Medium" w:eastAsia="Arial Unicode MS" w:hAnsi="Franklin Gothic Medium"/>
          <w:bCs/>
          <w:iCs/>
          <w:bdr w:val="none" w:sz="0" w:space="0" w:color="auto" w:frame="1"/>
          <w:lang w:val="en-GB" w:eastAsia="en-AU"/>
        </w:rPr>
        <w:t xml:space="preserve"> </w:t>
      </w:r>
      <w:r w:rsidRPr="00DA343B">
        <w:rPr>
          <w:rFonts w:ascii="Franklin Gothic Medium" w:eastAsia="Arial Unicode MS" w:hAnsi="Franklin Gothic Medium"/>
          <w:bCs/>
          <w:iCs/>
          <w:bdr w:val="none" w:sz="0" w:space="0" w:color="auto" w:frame="1"/>
          <w:lang w:val="en-GB" w:eastAsia="en-AU"/>
        </w:rPr>
        <w:t>RB 0.05 g/kg or less in block formulation</w:t>
      </w:r>
    </w:p>
    <w:p w14:paraId="25A4A522" w14:textId="77777777" w:rsidR="008E67EA"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t xml:space="preserve">Template Label </w:t>
      </w:r>
      <w:r>
        <w:rPr>
          <w:rFonts w:cs="Arial"/>
          <w:b/>
          <w:bCs/>
          <w:sz w:val="20"/>
          <w:szCs w:val="20"/>
          <w:bdr w:val="none" w:sz="0" w:space="0" w:color="auto" w:frame="1"/>
          <w:lang w:val="en-GB" w:eastAsia="en-AU"/>
        </w:rPr>
        <w:t>12</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617F01" w14:paraId="143C718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85FC645" w14:textId="77777777" w:rsidR="008E67EA" w:rsidRPr="00617F01" w:rsidRDefault="008E67EA" w:rsidP="00B44A74">
            <w:pPr>
              <w:spacing w:line="280" w:lineRule="exact"/>
              <w:rPr>
                <w:rFonts w:cs="Arial"/>
                <w:sz w:val="20"/>
                <w:szCs w:val="20"/>
              </w:rPr>
            </w:pPr>
            <w:r w:rsidRPr="00617F01">
              <w:rPr>
                <w:rFonts w:cs="Arial"/>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4D461264" w14:textId="77777777" w:rsidR="008E67EA" w:rsidRPr="00617F01" w:rsidRDefault="008E67EA" w:rsidP="00B44A74">
            <w:pPr>
              <w:spacing w:line="280" w:lineRule="exact"/>
              <w:rPr>
                <w:rFonts w:cs="Arial"/>
                <w:sz w:val="20"/>
                <w:szCs w:val="20"/>
              </w:rPr>
            </w:pPr>
            <w:r w:rsidRPr="00617F01">
              <w:rPr>
                <w:rFonts w:cs="Arial"/>
                <w:sz w:val="20"/>
                <w:szCs w:val="20"/>
              </w:rPr>
              <w:t>[INSERT LABEL NAME]</w:t>
            </w:r>
          </w:p>
        </w:tc>
      </w:tr>
      <w:tr w:rsidR="008E67EA" w:rsidRPr="00617F01" w14:paraId="2B16638F" w14:textId="77777777" w:rsidTr="00B44A74">
        <w:trPr>
          <w:jc w:val="center"/>
        </w:trPr>
        <w:tc>
          <w:tcPr>
            <w:tcW w:w="2415" w:type="dxa"/>
            <w:tcBorders>
              <w:top w:val="single" w:sz="4" w:space="0" w:color="auto"/>
              <w:left w:val="nil"/>
              <w:bottom w:val="single" w:sz="4" w:space="0" w:color="auto"/>
              <w:right w:val="nil"/>
            </w:tcBorders>
          </w:tcPr>
          <w:p w14:paraId="6DDD0549" w14:textId="77777777" w:rsidR="008E67EA" w:rsidRPr="00617F01"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320C445" w14:textId="77777777" w:rsidR="008E67EA" w:rsidRPr="00617F01" w:rsidRDefault="008E67EA" w:rsidP="00B44A74">
            <w:pPr>
              <w:spacing w:line="280" w:lineRule="exact"/>
              <w:rPr>
                <w:rFonts w:cs="Arial"/>
                <w:sz w:val="20"/>
                <w:szCs w:val="20"/>
              </w:rPr>
            </w:pPr>
          </w:p>
        </w:tc>
      </w:tr>
      <w:tr w:rsidR="008E67EA" w:rsidRPr="00617F01" w14:paraId="19B10B8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4F62C49" w14:textId="77777777" w:rsidR="008E67EA" w:rsidRPr="00617F01" w:rsidRDefault="008E67EA" w:rsidP="00B44A74">
            <w:pPr>
              <w:spacing w:line="280" w:lineRule="exact"/>
              <w:rPr>
                <w:rFonts w:cs="Arial"/>
                <w:sz w:val="20"/>
                <w:szCs w:val="20"/>
              </w:rPr>
            </w:pPr>
            <w:r w:rsidRPr="00617F01">
              <w:rPr>
                <w:rFonts w:cs="Arial"/>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430D9D00" w14:textId="77777777" w:rsidR="008E67EA" w:rsidRPr="00F50857" w:rsidRDefault="008E67EA" w:rsidP="00B44A74">
            <w:pPr>
              <w:spacing w:line="280" w:lineRule="exact"/>
              <w:rPr>
                <w:rFonts w:cs="Arial"/>
                <w:sz w:val="20"/>
                <w:szCs w:val="20"/>
              </w:rPr>
            </w:pPr>
            <w:r w:rsidRPr="00F50857">
              <w:rPr>
                <w:rFonts w:cs="Arial"/>
                <w:sz w:val="20"/>
                <w:szCs w:val="20"/>
              </w:rPr>
              <w:t>POISON</w:t>
            </w:r>
          </w:p>
          <w:p w14:paraId="7C4CD07A" w14:textId="77777777" w:rsidR="008E67EA" w:rsidRPr="00617F01" w:rsidRDefault="008E67EA" w:rsidP="00B44A74">
            <w:pPr>
              <w:spacing w:line="280" w:lineRule="exact"/>
              <w:rPr>
                <w:rFonts w:cs="Arial"/>
                <w:sz w:val="20"/>
                <w:szCs w:val="20"/>
              </w:rPr>
            </w:pPr>
            <w:r w:rsidRPr="00617F01">
              <w:rPr>
                <w:rFonts w:cs="Arial"/>
                <w:sz w:val="20"/>
                <w:szCs w:val="20"/>
              </w:rPr>
              <w:t>KEEP OUT OF REACH OF CHILDREN</w:t>
            </w:r>
          </w:p>
          <w:p w14:paraId="29E6E377" w14:textId="77777777" w:rsidR="008E67EA" w:rsidRPr="00617F01" w:rsidRDefault="008E67EA" w:rsidP="00B44A74">
            <w:pPr>
              <w:spacing w:line="280" w:lineRule="exact"/>
              <w:rPr>
                <w:rFonts w:cs="Arial"/>
                <w:sz w:val="20"/>
                <w:szCs w:val="20"/>
              </w:rPr>
            </w:pPr>
            <w:r w:rsidRPr="00617F01">
              <w:rPr>
                <w:rFonts w:cs="Arial"/>
                <w:sz w:val="20"/>
                <w:szCs w:val="20"/>
              </w:rPr>
              <w:t>READ SAFETY DIRECIONS BEFORE OPENING OR USING</w:t>
            </w:r>
          </w:p>
        </w:tc>
      </w:tr>
      <w:tr w:rsidR="008E67EA" w:rsidRPr="00617F01" w14:paraId="65B0222C" w14:textId="77777777" w:rsidTr="00B44A74">
        <w:trPr>
          <w:jc w:val="center"/>
        </w:trPr>
        <w:tc>
          <w:tcPr>
            <w:tcW w:w="2415" w:type="dxa"/>
            <w:tcBorders>
              <w:top w:val="single" w:sz="4" w:space="0" w:color="auto"/>
              <w:left w:val="nil"/>
              <w:bottom w:val="single" w:sz="4" w:space="0" w:color="auto"/>
              <w:right w:val="nil"/>
            </w:tcBorders>
          </w:tcPr>
          <w:p w14:paraId="3814BFFE" w14:textId="77777777" w:rsidR="008E67EA" w:rsidRPr="00617F01"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F164DB7" w14:textId="77777777" w:rsidR="008E67EA" w:rsidRPr="00617F01" w:rsidRDefault="008E67EA" w:rsidP="00B44A74">
            <w:pPr>
              <w:spacing w:line="280" w:lineRule="exact"/>
              <w:rPr>
                <w:rFonts w:cs="Arial"/>
                <w:sz w:val="20"/>
                <w:szCs w:val="20"/>
              </w:rPr>
            </w:pPr>
          </w:p>
        </w:tc>
      </w:tr>
      <w:tr w:rsidR="008E67EA" w:rsidRPr="00617F01" w14:paraId="485F215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11BD0C5" w14:textId="77777777" w:rsidR="008E67EA" w:rsidRPr="00617F01" w:rsidRDefault="008E67EA" w:rsidP="00B44A74">
            <w:pPr>
              <w:spacing w:line="280" w:lineRule="exact"/>
              <w:rPr>
                <w:rFonts w:cs="Arial"/>
                <w:sz w:val="20"/>
                <w:szCs w:val="20"/>
              </w:rPr>
            </w:pPr>
            <w:r w:rsidRPr="00617F01">
              <w:rPr>
                <w:rFonts w:cs="Arial"/>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1324E6CB" w14:textId="71940723" w:rsidR="008E67EA" w:rsidRPr="00617F01" w:rsidRDefault="008E67EA" w:rsidP="00B44A74">
            <w:pPr>
              <w:spacing w:line="280" w:lineRule="exact"/>
              <w:rPr>
                <w:rFonts w:cs="Arial"/>
                <w:sz w:val="20"/>
                <w:szCs w:val="20"/>
                <w:highlight w:val="yellow"/>
              </w:rPr>
            </w:pPr>
            <w:r w:rsidRPr="00617F01">
              <w:rPr>
                <w:rFonts w:cs="Arial"/>
                <w:sz w:val="20"/>
                <w:szCs w:val="20"/>
              </w:rPr>
              <w:t>ACTIVE CONSTITUENT</w:t>
            </w:r>
            <w:r>
              <w:rPr>
                <w:rFonts w:cs="Arial"/>
                <w:sz w:val="20"/>
                <w:szCs w:val="20"/>
              </w:rPr>
              <w:t>S</w:t>
            </w:r>
            <w:r w:rsidRPr="00617F01">
              <w:rPr>
                <w:rFonts w:cs="Arial"/>
                <w:sz w:val="20"/>
                <w:szCs w:val="20"/>
              </w:rPr>
              <w:t>:</w:t>
            </w:r>
          </w:p>
          <w:p w14:paraId="09B6A954" w14:textId="56E2B4C0" w:rsidR="008E67EA" w:rsidRPr="00617F01" w:rsidRDefault="008E67EA" w:rsidP="00B44A74">
            <w:pPr>
              <w:spacing w:line="280" w:lineRule="exact"/>
              <w:rPr>
                <w:rFonts w:cs="Arial"/>
                <w:sz w:val="20"/>
                <w:szCs w:val="20"/>
              </w:rPr>
            </w:pPr>
            <w:r w:rsidRPr="00617F01">
              <w:rPr>
                <w:rFonts w:cs="Arial"/>
                <w:sz w:val="20"/>
                <w:szCs w:val="20"/>
              </w:rPr>
              <w:t>0.025 g/kg BROMADIOLONE</w:t>
            </w:r>
          </w:p>
          <w:p w14:paraId="3F8ABC1B" w14:textId="77777777" w:rsidR="008E67EA" w:rsidRPr="00617F01" w:rsidRDefault="008E67EA" w:rsidP="00B44A74">
            <w:pPr>
              <w:spacing w:line="280" w:lineRule="exact"/>
              <w:rPr>
                <w:rFonts w:cs="Arial"/>
                <w:sz w:val="20"/>
                <w:szCs w:val="20"/>
              </w:rPr>
            </w:pPr>
            <w:r w:rsidRPr="00617F01">
              <w:rPr>
                <w:rFonts w:cs="Arial"/>
                <w:sz w:val="20"/>
                <w:szCs w:val="20"/>
              </w:rPr>
              <w:t>0.025 g/kg DIFENACOUM</w:t>
            </w:r>
          </w:p>
        </w:tc>
      </w:tr>
      <w:tr w:rsidR="008E67EA" w:rsidRPr="00617F01" w14:paraId="03A897A5" w14:textId="77777777" w:rsidTr="00B44A74">
        <w:trPr>
          <w:jc w:val="center"/>
        </w:trPr>
        <w:tc>
          <w:tcPr>
            <w:tcW w:w="2415" w:type="dxa"/>
            <w:tcBorders>
              <w:top w:val="single" w:sz="4" w:space="0" w:color="auto"/>
              <w:left w:val="nil"/>
              <w:bottom w:val="single" w:sz="4" w:space="0" w:color="auto"/>
              <w:right w:val="nil"/>
            </w:tcBorders>
          </w:tcPr>
          <w:p w14:paraId="048DDB2C" w14:textId="77777777" w:rsidR="008E67EA" w:rsidRPr="00617F01"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11DEA0B" w14:textId="77777777" w:rsidR="008E67EA" w:rsidRPr="00617F01" w:rsidRDefault="008E67EA" w:rsidP="00B44A74">
            <w:pPr>
              <w:spacing w:line="280" w:lineRule="exact"/>
              <w:rPr>
                <w:rFonts w:cs="Arial"/>
                <w:sz w:val="20"/>
                <w:szCs w:val="20"/>
              </w:rPr>
            </w:pPr>
          </w:p>
        </w:tc>
      </w:tr>
      <w:tr w:rsidR="008E67EA" w:rsidRPr="00617F01" w14:paraId="59081FC9"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5CE3AC7" w14:textId="77777777" w:rsidR="008E67EA" w:rsidRPr="00617F01" w:rsidRDefault="008E67EA" w:rsidP="00B44A74">
            <w:pPr>
              <w:spacing w:line="280" w:lineRule="exact"/>
              <w:rPr>
                <w:rFonts w:cs="Arial"/>
                <w:sz w:val="20"/>
                <w:szCs w:val="20"/>
              </w:rPr>
            </w:pPr>
            <w:r w:rsidRPr="00617F01">
              <w:rPr>
                <w:rFonts w:cs="Arial"/>
                <w:sz w:val="20"/>
                <w:szCs w:val="20"/>
              </w:rPr>
              <w:t>Mode of Action:</w:t>
            </w:r>
          </w:p>
        </w:tc>
        <w:tc>
          <w:tcPr>
            <w:tcW w:w="7755" w:type="dxa"/>
            <w:tcBorders>
              <w:top w:val="single" w:sz="4" w:space="0" w:color="auto"/>
              <w:left w:val="single" w:sz="4" w:space="0" w:color="auto"/>
              <w:bottom w:val="single" w:sz="4" w:space="0" w:color="auto"/>
              <w:right w:val="single" w:sz="4" w:space="0" w:color="auto"/>
            </w:tcBorders>
          </w:tcPr>
          <w:p w14:paraId="03B1DA16" w14:textId="77777777" w:rsidR="008E67EA" w:rsidRPr="00617F01" w:rsidRDefault="008E67EA" w:rsidP="00B44A74">
            <w:pPr>
              <w:spacing w:line="280" w:lineRule="exact"/>
              <w:jc w:val="both"/>
              <w:rPr>
                <w:rFonts w:cs="Arial"/>
                <w:sz w:val="20"/>
                <w:szCs w:val="20"/>
              </w:rPr>
            </w:pPr>
          </w:p>
        </w:tc>
      </w:tr>
      <w:tr w:rsidR="008E67EA" w:rsidRPr="00617F01" w14:paraId="558A0317" w14:textId="77777777" w:rsidTr="00B44A74">
        <w:trPr>
          <w:jc w:val="center"/>
        </w:trPr>
        <w:tc>
          <w:tcPr>
            <w:tcW w:w="2415" w:type="dxa"/>
            <w:tcBorders>
              <w:top w:val="single" w:sz="4" w:space="0" w:color="auto"/>
              <w:left w:val="nil"/>
              <w:bottom w:val="single" w:sz="4" w:space="0" w:color="auto"/>
              <w:right w:val="nil"/>
            </w:tcBorders>
          </w:tcPr>
          <w:p w14:paraId="27B838CA" w14:textId="77777777" w:rsidR="008E67EA" w:rsidRPr="00617F01"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1675DE5" w14:textId="77777777" w:rsidR="008E67EA" w:rsidRPr="00617F01" w:rsidRDefault="008E67EA" w:rsidP="00B44A74">
            <w:pPr>
              <w:spacing w:line="280" w:lineRule="exact"/>
              <w:rPr>
                <w:rFonts w:cs="Arial"/>
                <w:sz w:val="20"/>
                <w:szCs w:val="20"/>
              </w:rPr>
            </w:pPr>
          </w:p>
        </w:tc>
      </w:tr>
      <w:tr w:rsidR="008E67EA" w:rsidRPr="00617F01" w14:paraId="6208388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AA56E96" w14:textId="77777777" w:rsidR="008E67EA" w:rsidRPr="00617F01" w:rsidRDefault="008E67EA" w:rsidP="00B44A74">
            <w:pPr>
              <w:spacing w:line="280" w:lineRule="exact"/>
              <w:rPr>
                <w:rFonts w:cs="Arial"/>
                <w:sz w:val="20"/>
                <w:szCs w:val="20"/>
              </w:rPr>
            </w:pPr>
            <w:r w:rsidRPr="00617F01">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2790332E" w14:textId="77777777" w:rsidR="008E67EA" w:rsidRPr="00617F01" w:rsidRDefault="008E67EA" w:rsidP="00B44A74">
            <w:pPr>
              <w:spacing w:line="280" w:lineRule="exact"/>
              <w:rPr>
                <w:rFonts w:cs="Arial"/>
                <w:sz w:val="20"/>
                <w:szCs w:val="20"/>
              </w:rPr>
            </w:pPr>
            <w:r>
              <w:rPr>
                <w:rFonts w:cs="Arial"/>
                <w:sz w:val="20"/>
                <w:szCs w:val="20"/>
              </w:rPr>
              <w:t>For c</w:t>
            </w:r>
            <w:r w:rsidRPr="00D42792">
              <w:rPr>
                <w:rFonts w:cs="Arial"/>
                <w:sz w:val="20"/>
                <w:szCs w:val="20"/>
              </w:rPr>
              <w:t>ontrol</w:t>
            </w:r>
            <w:r>
              <w:rPr>
                <w:rFonts w:cs="Arial"/>
                <w:sz w:val="20"/>
                <w:szCs w:val="20"/>
              </w:rPr>
              <w:t xml:space="preserve"> of</w:t>
            </w:r>
            <w:r w:rsidRPr="00D42792">
              <w:rPr>
                <w:rFonts w:cs="Arial"/>
                <w:sz w:val="20"/>
                <w:szCs w:val="20"/>
              </w:rPr>
              <w:t xml:space="preserve"> mice in industrial, commercial, </w:t>
            </w:r>
            <w:r>
              <w:rPr>
                <w:rFonts w:cs="Arial"/>
                <w:sz w:val="20"/>
                <w:szCs w:val="20"/>
              </w:rPr>
              <w:t xml:space="preserve">public services, </w:t>
            </w:r>
            <w:r w:rsidRPr="00D42792">
              <w:rPr>
                <w:rFonts w:cs="Arial"/>
                <w:sz w:val="20"/>
                <w:szCs w:val="20"/>
              </w:rPr>
              <w:t xml:space="preserve">agricultural and domestic buildings and rats in and around industrial, commercial, </w:t>
            </w:r>
            <w:r>
              <w:rPr>
                <w:rFonts w:cs="Arial"/>
                <w:sz w:val="20"/>
                <w:szCs w:val="20"/>
              </w:rPr>
              <w:t xml:space="preserve">public services, </w:t>
            </w:r>
            <w:r w:rsidRPr="00D42792">
              <w:rPr>
                <w:rFonts w:cs="Arial"/>
                <w:sz w:val="20"/>
                <w:szCs w:val="20"/>
              </w:rPr>
              <w:t>agricultural and domestic buildings.</w:t>
            </w:r>
          </w:p>
        </w:tc>
      </w:tr>
      <w:tr w:rsidR="008E67EA" w:rsidRPr="00617F01" w14:paraId="68053C25" w14:textId="77777777" w:rsidTr="00B44A74">
        <w:trPr>
          <w:jc w:val="center"/>
        </w:trPr>
        <w:tc>
          <w:tcPr>
            <w:tcW w:w="2415" w:type="dxa"/>
            <w:tcBorders>
              <w:top w:val="single" w:sz="4" w:space="0" w:color="auto"/>
              <w:left w:val="nil"/>
              <w:bottom w:val="single" w:sz="4" w:space="0" w:color="auto"/>
              <w:right w:val="nil"/>
            </w:tcBorders>
          </w:tcPr>
          <w:p w14:paraId="706CDA65" w14:textId="77777777" w:rsidR="008E67EA" w:rsidRPr="00617F01"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B03489C" w14:textId="77777777" w:rsidR="008E67EA" w:rsidRPr="00617F01" w:rsidRDefault="008E67EA" w:rsidP="00B44A74">
            <w:pPr>
              <w:spacing w:line="280" w:lineRule="exact"/>
              <w:rPr>
                <w:rFonts w:cs="Arial"/>
                <w:sz w:val="20"/>
                <w:szCs w:val="20"/>
              </w:rPr>
            </w:pPr>
          </w:p>
        </w:tc>
      </w:tr>
      <w:tr w:rsidR="008E67EA" w:rsidRPr="00617F01" w14:paraId="5097185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BE14F7A" w14:textId="77777777" w:rsidR="008E67EA" w:rsidRPr="00617F01" w:rsidRDefault="008E67EA" w:rsidP="00B44A74">
            <w:pPr>
              <w:spacing w:line="280" w:lineRule="exact"/>
              <w:rPr>
                <w:rFonts w:cs="Arial"/>
                <w:sz w:val="20"/>
                <w:szCs w:val="20"/>
              </w:rPr>
            </w:pPr>
            <w:r w:rsidRPr="00617F01">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7DB2D4B5" w14:textId="77777777" w:rsidR="008E67EA" w:rsidRPr="00617F01" w:rsidRDefault="008E67EA" w:rsidP="00B44A74">
            <w:pPr>
              <w:spacing w:line="280" w:lineRule="exact"/>
              <w:rPr>
                <w:rFonts w:cs="Arial"/>
                <w:sz w:val="20"/>
                <w:szCs w:val="20"/>
              </w:rPr>
            </w:pPr>
            <w:r w:rsidRPr="00617F01">
              <w:rPr>
                <w:rFonts w:cs="Arial"/>
                <w:sz w:val="20"/>
                <w:szCs w:val="20"/>
              </w:rPr>
              <w:t xml:space="preserve">[INSERT </w:t>
            </w:r>
            <w:r>
              <w:rPr>
                <w:rFonts w:cs="Arial"/>
                <w:sz w:val="20"/>
                <w:szCs w:val="20"/>
              </w:rPr>
              <w:t>NET CONTENTS</w:t>
            </w:r>
            <w:r w:rsidRPr="00617F01">
              <w:rPr>
                <w:rFonts w:cs="Arial"/>
                <w:sz w:val="20"/>
                <w:szCs w:val="20"/>
              </w:rPr>
              <w:t>]</w:t>
            </w:r>
          </w:p>
        </w:tc>
      </w:tr>
      <w:tr w:rsidR="008E67EA" w:rsidRPr="00617F01" w14:paraId="1CF2C7F5" w14:textId="77777777" w:rsidTr="00B44A74">
        <w:trPr>
          <w:jc w:val="center"/>
        </w:trPr>
        <w:tc>
          <w:tcPr>
            <w:tcW w:w="2415" w:type="dxa"/>
            <w:tcBorders>
              <w:top w:val="single" w:sz="4" w:space="0" w:color="auto"/>
              <w:left w:val="nil"/>
              <w:bottom w:val="single" w:sz="4" w:space="0" w:color="auto"/>
              <w:right w:val="nil"/>
            </w:tcBorders>
          </w:tcPr>
          <w:p w14:paraId="4F8DB3B8" w14:textId="77777777" w:rsidR="008E67EA" w:rsidRPr="00617F01"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A348C30" w14:textId="77777777" w:rsidR="008E67EA" w:rsidRPr="00617F01" w:rsidRDefault="008E67EA" w:rsidP="00B44A74">
            <w:pPr>
              <w:spacing w:line="280" w:lineRule="exact"/>
              <w:rPr>
                <w:rFonts w:cs="Arial"/>
                <w:sz w:val="20"/>
                <w:szCs w:val="20"/>
              </w:rPr>
            </w:pPr>
          </w:p>
        </w:tc>
      </w:tr>
      <w:tr w:rsidR="008E67EA" w:rsidRPr="00F8580E" w14:paraId="5E2BD40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8EDD686" w14:textId="77777777" w:rsidR="008E67EA" w:rsidRPr="00617F01" w:rsidRDefault="008E67EA" w:rsidP="00B44A74">
            <w:pPr>
              <w:spacing w:line="280" w:lineRule="exact"/>
              <w:rPr>
                <w:rFonts w:cs="Arial"/>
                <w:sz w:val="20"/>
                <w:szCs w:val="20"/>
              </w:rPr>
            </w:pPr>
            <w:r w:rsidRPr="00617F01">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474BA853" w14:textId="77777777" w:rsidR="008E67EA" w:rsidRPr="00F8580E" w:rsidRDefault="008E67EA" w:rsidP="00B44A74">
            <w:pPr>
              <w:spacing w:line="280" w:lineRule="exact"/>
              <w:rPr>
                <w:rFonts w:cs="Arial"/>
                <w:sz w:val="20"/>
                <w:szCs w:val="20"/>
              </w:rPr>
            </w:pPr>
            <w:r w:rsidRPr="00F8580E">
              <w:rPr>
                <w:rFonts w:cs="Arial"/>
                <w:sz w:val="20"/>
                <w:szCs w:val="20"/>
              </w:rPr>
              <w:t>RESTRAINTS</w:t>
            </w:r>
          </w:p>
          <w:p w14:paraId="3C85433B" w14:textId="77777777" w:rsidR="008E67EA" w:rsidRPr="00F8580E" w:rsidRDefault="008E67EA" w:rsidP="00B44A74">
            <w:pPr>
              <w:spacing w:line="280" w:lineRule="exact"/>
              <w:rPr>
                <w:rFonts w:cs="Arial"/>
                <w:sz w:val="20"/>
                <w:szCs w:val="20"/>
              </w:rPr>
            </w:pPr>
            <w:r w:rsidRPr="00F8580E">
              <w:rPr>
                <w:rFonts w:cs="Arial"/>
                <w:sz w:val="20"/>
                <w:szCs w:val="20"/>
              </w:rPr>
              <w:t>DO NOT use this product unless you have a current qualification in the nationally recognised training course for rodent pest management CPPUPM3006 - Manage pests by applying pesticides, or an equivalent unit of competency.</w:t>
            </w:r>
          </w:p>
          <w:p w14:paraId="5F71086C" w14:textId="523D02B0" w:rsidR="008E67EA" w:rsidRPr="00F8580E" w:rsidRDefault="008E67EA" w:rsidP="00B44A74">
            <w:pPr>
              <w:spacing w:line="280" w:lineRule="exact"/>
              <w:rPr>
                <w:rFonts w:cs="Arial"/>
                <w:sz w:val="20"/>
                <w:szCs w:val="20"/>
              </w:rPr>
            </w:pPr>
            <w:r w:rsidRPr="00F8580E">
              <w:rPr>
                <w:rFonts w:cs="Arial"/>
                <w:sz w:val="20"/>
                <w:szCs w:val="20"/>
              </w:rPr>
              <w:t>DO NOT place baits in areas that are accessible to children. In child-accessible areas baits must be placed in tamper-</w:t>
            </w:r>
            <w:r>
              <w:rPr>
                <w:rFonts w:cs="Arial"/>
                <w:sz w:val="20"/>
                <w:szCs w:val="20"/>
              </w:rPr>
              <w:t>resistant</w:t>
            </w:r>
            <w:r w:rsidRPr="00F8580E">
              <w:rPr>
                <w:rFonts w:cs="Arial"/>
                <w:sz w:val="20"/>
                <w:szCs w:val="20"/>
              </w:rPr>
              <w:t xml:space="preserve"> bait stations. If bait can be dislodged from bait station, bait station must be secured in place.</w:t>
            </w:r>
          </w:p>
          <w:p w14:paraId="0E5CF6D9" w14:textId="77777777" w:rsidR="008E67EA" w:rsidRPr="00F8580E" w:rsidRDefault="008E67EA" w:rsidP="00B44A74">
            <w:pPr>
              <w:spacing w:line="280" w:lineRule="exact"/>
              <w:rPr>
                <w:rFonts w:cs="Arial"/>
                <w:sz w:val="20"/>
                <w:szCs w:val="20"/>
              </w:rPr>
            </w:pPr>
            <w:r w:rsidRPr="00F8580E">
              <w:rPr>
                <w:rFonts w:cs="Arial"/>
                <w:sz w:val="20"/>
                <w:szCs w:val="20"/>
              </w:rPr>
              <w:t>DO NOT place bait outdoors unless it is in a tamper</w:t>
            </w:r>
            <w:r>
              <w:rPr>
                <w:rFonts w:cs="Arial"/>
                <w:sz w:val="20"/>
                <w:szCs w:val="20"/>
              </w:rPr>
              <w:t xml:space="preserve">-resistant </w:t>
            </w:r>
            <w:r w:rsidRPr="00F8580E">
              <w:rPr>
                <w:rFonts w:cs="Arial"/>
                <w:sz w:val="20"/>
                <w:szCs w:val="20"/>
              </w:rPr>
              <w:t>bait station which is secured in place.</w:t>
            </w:r>
          </w:p>
          <w:p w14:paraId="1F768D9E" w14:textId="77777777" w:rsidR="008E67EA" w:rsidRPr="00F8580E" w:rsidRDefault="008E67EA" w:rsidP="00B44A74">
            <w:pPr>
              <w:spacing w:line="280" w:lineRule="exact"/>
              <w:rPr>
                <w:rFonts w:cs="Arial"/>
                <w:sz w:val="20"/>
                <w:szCs w:val="20"/>
              </w:rPr>
            </w:pPr>
            <w:r w:rsidRPr="00F8580E">
              <w:rPr>
                <w:rFonts w:cs="Arial"/>
                <w:sz w:val="20"/>
                <w:szCs w:val="20"/>
              </w:rPr>
              <w:t>DO NOT place bait stations more than 2 meters from buildings.</w:t>
            </w:r>
          </w:p>
          <w:p w14:paraId="2223B560" w14:textId="77777777" w:rsidR="008E67EA" w:rsidRPr="00F8580E" w:rsidRDefault="008E67EA" w:rsidP="00B44A74">
            <w:pPr>
              <w:spacing w:line="280" w:lineRule="exact"/>
              <w:rPr>
                <w:rFonts w:cs="Arial"/>
                <w:sz w:val="20"/>
                <w:szCs w:val="20"/>
              </w:rPr>
            </w:pPr>
            <w:r w:rsidRPr="00F8580E">
              <w:rPr>
                <w:rFonts w:cs="Arial"/>
                <w:sz w:val="20"/>
                <w:szCs w:val="20"/>
              </w:rPr>
              <w:t>DO NOT place bait stations outdoors around buildings for control of mice.</w:t>
            </w:r>
          </w:p>
          <w:p w14:paraId="4EF1E895" w14:textId="77777777" w:rsidR="008E67EA" w:rsidRPr="00F8580E" w:rsidRDefault="008E67EA" w:rsidP="00B44A74">
            <w:pPr>
              <w:spacing w:line="280" w:lineRule="exact"/>
              <w:rPr>
                <w:rFonts w:cs="Arial"/>
                <w:sz w:val="20"/>
                <w:szCs w:val="20"/>
              </w:rPr>
            </w:pPr>
            <w:r w:rsidRPr="00F8580E">
              <w:rPr>
                <w:rFonts w:cs="Arial"/>
                <w:sz w:val="20"/>
                <w:szCs w:val="20"/>
              </w:rPr>
              <w:t>DO NOT bait in areas where wildlife may be collected for human consumption.</w:t>
            </w:r>
          </w:p>
          <w:p w14:paraId="31748BA0" w14:textId="77777777" w:rsidR="008E67EA" w:rsidRPr="00F8580E" w:rsidRDefault="008E67EA" w:rsidP="00B44A74">
            <w:pPr>
              <w:spacing w:line="280" w:lineRule="exact"/>
              <w:rPr>
                <w:rFonts w:cs="Arial"/>
                <w:sz w:val="20"/>
                <w:szCs w:val="20"/>
              </w:rPr>
            </w:pPr>
            <w:r w:rsidRPr="00F8580E">
              <w:rPr>
                <w:rFonts w:cs="Arial"/>
                <w:sz w:val="20"/>
                <w:szCs w:val="20"/>
              </w:rPr>
              <w:t>DO NOT place in animal or livestock housing unless used in tamper</w:t>
            </w:r>
            <w:r>
              <w:rPr>
                <w:rFonts w:cs="Arial"/>
                <w:sz w:val="20"/>
                <w:szCs w:val="20"/>
              </w:rPr>
              <w:t xml:space="preserve">-resistant </w:t>
            </w:r>
            <w:r w:rsidRPr="00F8580E">
              <w:rPr>
                <w:rFonts w:cs="Arial"/>
                <w:sz w:val="20"/>
                <w:szCs w:val="20"/>
              </w:rPr>
              <w:t>and weather</w:t>
            </w:r>
            <w:r>
              <w:rPr>
                <w:rFonts w:cs="Arial"/>
                <w:sz w:val="20"/>
                <w:szCs w:val="20"/>
              </w:rPr>
              <w:t>-</w:t>
            </w:r>
            <w:r w:rsidRPr="00F8580E">
              <w:rPr>
                <w:rFonts w:cs="Arial"/>
                <w:sz w:val="20"/>
                <w:szCs w:val="20"/>
              </w:rPr>
              <w:t>resistant bait stations fixed to the ground or other structures.</w:t>
            </w:r>
          </w:p>
          <w:p w14:paraId="5F1D3764" w14:textId="77777777" w:rsidR="008E67EA" w:rsidRPr="00F8580E" w:rsidRDefault="008E67EA" w:rsidP="00B44A74">
            <w:pPr>
              <w:spacing w:line="280" w:lineRule="exact"/>
              <w:rPr>
                <w:rFonts w:cs="Arial"/>
                <w:sz w:val="20"/>
                <w:szCs w:val="20"/>
              </w:rPr>
            </w:pPr>
            <w:r w:rsidRPr="00F8580E">
              <w:rPr>
                <w:rFonts w:cs="Arial"/>
                <w:sz w:val="20"/>
                <w:szCs w:val="20"/>
              </w:rPr>
              <w:t>DO NOT place bait or bait stations above areas which would allow them to contaminate pig and poultry food or drinking water.</w:t>
            </w:r>
          </w:p>
          <w:p w14:paraId="7EE2CEFE" w14:textId="77777777" w:rsidR="008E67EA" w:rsidRPr="00F8580E" w:rsidRDefault="008E67EA" w:rsidP="00B44A74">
            <w:pPr>
              <w:spacing w:line="280" w:lineRule="exact"/>
              <w:rPr>
                <w:rFonts w:cs="Arial"/>
                <w:b/>
                <w:bCs/>
                <w:i/>
                <w:iCs/>
                <w:sz w:val="20"/>
                <w:szCs w:val="20"/>
              </w:rPr>
            </w:pPr>
            <w:r w:rsidRPr="00F8580E">
              <w:rPr>
                <w:rFonts w:cs="Arial"/>
                <w:sz w:val="20"/>
                <w:szCs w:val="20"/>
              </w:rPr>
              <w:t>DO NOT apply this product directly into burrows.</w:t>
            </w:r>
          </w:p>
        </w:tc>
      </w:tr>
      <w:tr w:rsidR="008E67EA" w:rsidRPr="00617F01" w14:paraId="6A9763FE" w14:textId="77777777" w:rsidTr="00B44A74">
        <w:trPr>
          <w:jc w:val="center"/>
        </w:trPr>
        <w:tc>
          <w:tcPr>
            <w:tcW w:w="2415" w:type="dxa"/>
            <w:tcBorders>
              <w:top w:val="single" w:sz="4" w:space="0" w:color="auto"/>
              <w:left w:val="nil"/>
              <w:bottom w:val="single" w:sz="4" w:space="0" w:color="auto"/>
              <w:right w:val="nil"/>
            </w:tcBorders>
          </w:tcPr>
          <w:p w14:paraId="527287E1" w14:textId="77777777" w:rsidR="008E67EA" w:rsidRPr="00617F01"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ED3B36F" w14:textId="77777777" w:rsidR="008E67EA" w:rsidRPr="00617F01" w:rsidRDefault="008E67EA" w:rsidP="00B44A74">
            <w:pPr>
              <w:spacing w:line="280" w:lineRule="exact"/>
              <w:rPr>
                <w:rFonts w:cs="Arial"/>
                <w:sz w:val="20"/>
                <w:szCs w:val="20"/>
              </w:rPr>
            </w:pPr>
          </w:p>
        </w:tc>
      </w:tr>
      <w:tr w:rsidR="008E67EA" w:rsidRPr="00F8580E" w14:paraId="0137471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CE3E9BB" w14:textId="77777777" w:rsidR="008E67EA" w:rsidRPr="00617F01" w:rsidRDefault="008E67EA" w:rsidP="00B44A74">
            <w:pPr>
              <w:spacing w:line="280" w:lineRule="exact"/>
              <w:rPr>
                <w:rFonts w:cs="Arial"/>
                <w:sz w:val="20"/>
                <w:szCs w:val="20"/>
              </w:rPr>
            </w:pPr>
            <w:r w:rsidRPr="00617F01">
              <w:rPr>
                <w:rFonts w:cs="Arial"/>
                <w:sz w:val="20"/>
                <w:szCs w:val="20"/>
              </w:rPr>
              <w:t>Directions for Use:</w:t>
            </w:r>
          </w:p>
        </w:tc>
        <w:tc>
          <w:tcPr>
            <w:tcW w:w="7755" w:type="dxa"/>
            <w:tcBorders>
              <w:top w:val="single" w:sz="4" w:space="0" w:color="auto"/>
              <w:left w:val="single" w:sz="4" w:space="0" w:color="auto"/>
              <w:bottom w:val="single" w:sz="4" w:space="0" w:color="auto"/>
              <w:right w:val="single" w:sz="4" w:space="0" w:color="auto"/>
            </w:tcBorders>
          </w:tcPr>
          <w:p w14:paraId="5E8A7855" w14:textId="77777777" w:rsidR="008E67EA" w:rsidRPr="00F8580E" w:rsidRDefault="008E67EA" w:rsidP="00B44A74">
            <w:pPr>
              <w:spacing w:line="280" w:lineRule="exact"/>
              <w:rPr>
                <w:rFonts w:cs="Arial"/>
                <w:b/>
                <w:bCs/>
                <w:i/>
                <w:iCs/>
                <w:sz w:val="20"/>
                <w:szCs w:val="20"/>
              </w:rPr>
            </w:pPr>
            <w:r w:rsidRPr="00713087">
              <w:rPr>
                <w:rFonts w:cs="Arial"/>
                <w:sz w:val="20"/>
                <w:szCs w:val="20"/>
              </w:rPr>
              <w:t>[This section contains an attachment below]</w:t>
            </w:r>
          </w:p>
        </w:tc>
      </w:tr>
      <w:tr w:rsidR="008E67EA" w:rsidRPr="00617F01" w14:paraId="4A4AC28F" w14:textId="77777777" w:rsidTr="00B44A74">
        <w:trPr>
          <w:jc w:val="center"/>
        </w:trPr>
        <w:tc>
          <w:tcPr>
            <w:tcW w:w="2415" w:type="dxa"/>
            <w:tcBorders>
              <w:top w:val="single" w:sz="4" w:space="0" w:color="auto"/>
              <w:left w:val="nil"/>
              <w:bottom w:val="single" w:sz="4" w:space="0" w:color="auto"/>
              <w:right w:val="nil"/>
            </w:tcBorders>
          </w:tcPr>
          <w:p w14:paraId="40AE507C" w14:textId="77777777" w:rsidR="008E67EA" w:rsidRPr="00617F01"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A5281CE" w14:textId="77777777" w:rsidR="008E67EA" w:rsidRPr="00617F01" w:rsidRDefault="008E67EA" w:rsidP="00B44A74">
            <w:pPr>
              <w:spacing w:line="280" w:lineRule="exact"/>
              <w:rPr>
                <w:rFonts w:cs="Arial"/>
                <w:sz w:val="20"/>
                <w:szCs w:val="20"/>
              </w:rPr>
            </w:pPr>
          </w:p>
        </w:tc>
      </w:tr>
      <w:tr w:rsidR="008E67EA" w:rsidRPr="00617F01" w14:paraId="1C44CD3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116B234" w14:textId="77777777" w:rsidR="008E67EA" w:rsidRPr="00617F01" w:rsidRDefault="008E67EA" w:rsidP="00B44A74">
            <w:pPr>
              <w:spacing w:line="280" w:lineRule="exact"/>
              <w:rPr>
                <w:rFonts w:cs="Arial"/>
                <w:sz w:val="20"/>
                <w:szCs w:val="20"/>
              </w:rPr>
            </w:pPr>
            <w:r w:rsidRPr="00617F01">
              <w:rPr>
                <w:rFonts w:cs="Arial"/>
                <w:sz w:val="20"/>
                <w:szCs w:val="20"/>
              </w:rPr>
              <w:t>Other Limitations:</w:t>
            </w:r>
          </w:p>
        </w:tc>
        <w:tc>
          <w:tcPr>
            <w:tcW w:w="7755" w:type="dxa"/>
            <w:tcBorders>
              <w:top w:val="single" w:sz="4" w:space="0" w:color="auto"/>
              <w:left w:val="single" w:sz="4" w:space="0" w:color="auto"/>
              <w:bottom w:val="single" w:sz="4" w:space="0" w:color="auto"/>
              <w:right w:val="single" w:sz="4" w:space="0" w:color="auto"/>
            </w:tcBorders>
          </w:tcPr>
          <w:p w14:paraId="4EBF4EF4" w14:textId="77777777" w:rsidR="008E67EA" w:rsidRPr="00617F01" w:rsidRDefault="008E67EA" w:rsidP="00B44A74">
            <w:pPr>
              <w:spacing w:line="280" w:lineRule="exact"/>
              <w:rPr>
                <w:rFonts w:cs="Arial"/>
                <w:sz w:val="20"/>
                <w:szCs w:val="20"/>
              </w:rPr>
            </w:pPr>
          </w:p>
        </w:tc>
      </w:tr>
      <w:tr w:rsidR="008E67EA" w:rsidRPr="00617F01" w14:paraId="33F35879" w14:textId="77777777" w:rsidTr="00B44A74">
        <w:trPr>
          <w:jc w:val="center"/>
        </w:trPr>
        <w:tc>
          <w:tcPr>
            <w:tcW w:w="2415" w:type="dxa"/>
            <w:tcBorders>
              <w:top w:val="single" w:sz="4" w:space="0" w:color="auto"/>
              <w:left w:val="nil"/>
              <w:bottom w:val="single" w:sz="4" w:space="0" w:color="auto"/>
              <w:right w:val="nil"/>
            </w:tcBorders>
          </w:tcPr>
          <w:p w14:paraId="1681AA5F" w14:textId="77777777" w:rsidR="008E67EA" w:rsidRPr="00617F01"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771CDDD" w14:textId="77777777" w:rsidR="008E67EA" w:rsidRPr="00617F01" w:rsidRDefault="008E67EA" w:rsidP="00B44A74">
            <w:pPr>
              <w:spacing w:line="280" w:lineRule="exact"/>
              <w:rPr>
                <w:rFonts w:cs="Arial"/>
                <w:sz w:val="20"/>
                <w:szCs w:val="20"/>
              </w:rPr>
            </w:pPr>
          </w:p>
        </w:tc>
      </w:tr>
      <w:tr w:rsidR="008E67EA" w:rsidRPr="00617F01" w14:paraId="0A9C5E8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995F4D9" w14:textId="77777777" w:rsidR="008E67EA" w:rsidRPr="00617F01" w:rsidRDefault="008E67EA" w:rsidP="00B44A74">
            <w:pPr>
              <w:spacing w:line="280" w:lineRule="exact"/>
              <w:rPr>
                <w:rFonts w:cs="Arial"/>
                <w:sz w:val="20"/>
                <w:szCs w:val="20"/>
              </w:rPr>
            </w:pPr>
            <w:r w:rsidRPr="00617F01">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28DEE8F9" w14:textId="77777777" w:rsidR="008E67EA" w:rsidRPr="00617F01" w:rsidRDefault="008E67EA" w:rsidP="00B44A74">
            <w:pPr>
              <w:spacing w:line="280" w:lineRule="exact"/>
              <w:rPr>
                <w:rFonts w:cs="Arial"/>
                <w:sz w:val="20"/>
                <w:szCs w:val="20"/>
              </w:rPr>
            </w:pPr>
          </w:p>
        </w:tc>
      </w:tr>
      <w:tr w:rsidR="008E67EA" w:rsidRPr="00617F01" w14:paraId="2278218E" w14:textId="77777777" w:rsidTr="00B44A74">
        <w:trPr>
          <w:jc w:val="center"/>
        </w:trPr>
        <w:tc>
          <w:tcPr>
            <w:tcW w:w="2415" w:type="dxa"/>
            <w:tcBorders>
              <w:top w:val="single" w:sz="4" w:space="0" w:color="auto"/>
              <w:left w:val="nil"/>
              <w:bottom w:val="single" w:sz="4" w:space="0" w:color="auto"/>
              <w:right w:val="nil"/>
            </w:tcBorders>
          </w:tcPr>
          <w:p w14:paraId="2BE2C16D" w14:textId="77777777" w:rsidR="008E67EA" w:rsidRPr="00617F01"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5233369" w14:textId="77777777" w:rsidR="008E67EA" w:rsidRPr="00617F01" w:rsidRDefault="008E67EA" w:rsidP="00B44A74">
            <w:pPr>
              <w:spacing w:line="280" w:lineRule="exact"/>
              <w:rPr>
                <w:rFonts w:cs="Arial"/>
                <w:sz w:val="20"/>
                <w:szCs w:val="20"/>
              </w:rPr>
            </w:pPr>
          </w:p>
        </w:tc>
      </w:tr>
      <w:tr w:rsidR="008E67EA" w:rsidRPr="00617F01" w14:paraId="560DC90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5AC1954" w14:textId="77777777" w:rsidR="008E67EA" w:rsidRPr="00617F01" w:rsidRDefault="008E67EA" w:rsidP="00B44A74">
            <w:pPr>
              <w:spacing w:line="280" w:lineRule="exact"/>
              <w:rPr>
                <w:rFonts w:cs="Arial"/>
                <w:sz w:val="20"/>
                <w:szCs w:val="20"/>
              </w:rPr>
            </w:pPr>
            <w:r w:rsidRPr="00617F01">
              <w:rPr>
                <w:rFonts w:cs="Arial"/>
                <w:sz w:val="20"/>
                <w:szCs w:val="20"/>
              </w:rPr>
              <w:t>Trade Advice:</w:t>
            </w:r>
          </w:p>
        </w:tc>
        <w:tc>
          <w:tcPr>
            <w:tcW w:w="7755" w:type="dxa"/>
            <w:tcBorders>
              <w:top w:val="single" w:sz="4" w:space="0" w:color="auto"/>
              <w:left w:val="single" w:sz="4" w:space="0" w:color="auto"/>
              <w:bottom w:val="single" w:sz="4" w:space="0" w:color="auto"/>
              <w:right w:val="single" w:sz="4" w:space="0" w:color="auto"/>
            </w:tcBorders>
          </w:tcPr>
          <w:p w14:paraId="66549610" w14:textId="77777777" w:rsidR="008E67EA" w:rsidRPr="00617F01" w:rsidRDefault="008E67EA" w:rsidP="00B44A74">
            <w:pPr>
              <w:spacing w:line="280" w:lineRule="exact"/>
              <w:rPr>
                <w:rFonts w:cs="Arial"/>
                <w:sz w:val="20"/>
                <w:szCs w:val="20"/>
              </w:rPr>
            </w:pPr>
          </w:p>
        </w:tc>
      </w:tr>
      <w:tr w:rsidR="008E67EA" w:rsidRPr="00617F01" w14:paraId="5A9106AE" w14:textId="77777777" w:rsidTr="00B44A74">
        <w:trPr>
          <w:jc w:val="center"/>
        </w:trPr>
        <w:tc>
          <w:tcPr>
            <w:tcW w:w="2415" w:type="dxa"/>
            <w:tcBorders>
              <w:top w:val="single" w:sz="4" w:space="0" w:color="auto"/>
              <w:left w:val="nil"/>
              <w:bottom w:val="single" w:sz="4" w:space="0" w:color="auto"/>
              <w:right w:val="nil"/>
            </w:tcBorders>
          </w:tcPr>
          <w:p w14:paraId="69E66DAE" w14:textId="77777777" w:rsidR="008E67EA" w:rsidRPr="00617F01"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80A9F60" w14:textId="77777777" w:rsidR="008E67EA" w:rsidRPr="00617F01" w:rsidRDefault="008E67EA" w:rsidP="00B44A74">
            <w:pPr>
              <w:spacing w:line="280" w:lineRule="exact"/>
              <w:rPr>
                <w:rFonts w:cs="Arial"/>
                <w:sz w:val="20"/>
                <w:szCs w:val="20"/>
              </w:rPr>
            </w:pPr>
          </w:p>
        </w:tc>
      </w:tr>
      <w:tr w:rsidR="008E67EA" w:rsidRPr="00F50857" w14:paraId="4A65F16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8BA3521" w14:textId="77777777" w:rsidR="008E67EA" w:rsidRPr="00617F01" w:rsidRDefault="008E67EA" w:rsidP="00B44A74">
            <w:pPr>
              <w:spacing w:line="280" w:lineRule="exact"/>
              <w:rPr>
                <w:rFonts w:cs="Arial"/>
                <w:sz w:val="20"/>
                <w:szCs w:val="20"/>
              </w:rPr>
            </w:pPr>
            <w:r w:rsidRPr="00617F01">
              <w:rPr>
                <w:rFonts w:cs="Arial"/>
                <w:sz w:val="20"/>
                <w:szCs w:val="20"/>
              </w:rPr>
              <w:t>General Directions:</w:t>
            </w:r>
          </w:p>
        </w:tc>
        <w:tc>
          <w:tcPr>
            <w:tcW w:w="7755" w:type="dxa"/>
            <w:tcBorders>
              <w:top w:val="single" w:sz="4" w:space="0" w:color="auto"/>
              <w:left w:val="single" w:sz="4" w:space="0" w:color="auto"/>
              <w:bottom w:val="single" w:sz="4" w:space="0" w:color="auto"/>
              <w:right w:val="single" w:sz="4" w:space="0" w:color="auto"/>
            </w:tcBorders>
          </w:tcPr>
          <w:p w14:paraId="6A94E663" w14:textId="099D0B15" w:rsidR="008E67EA" w:rsidRPr="00F50857" w:rsidRDefault="008E67EA" w:rsidP="00B44A74">
            <w:pPr>
              <w:spacing w:line="280" w:lineRule="exact"/>
              <w:rPr>
                <w:rFonts w:cs="Arial"/>
                <w:color w:val="000000" w:themeColor="text1"/>
                <w:sz w:val="20"/>
                <w:szCs w:val="20"/>
              </w:rPr>
            </w:pPr>
            <w:r w:rsidRPr="00F50857">
              <w:rPr>
                <w:rFonts w:cs="Arial"/>
                <w:color w:val="000000" w:themeColor="text1"/>
                <w:sz w:val="20"/>
                <w:szCs w:val="20"/>
              </w:rPr>
              <w:t>GENERAL INSTRUCTIONS</w:t>
            </w:r>
          </w:p>
          <w:p w14:paraId="6D575507" w14:textId="77777777" w:rsidR="008E67EA" w:rsidRPr="00F50857" w:rsidRDefault="008E67EA" w:rsidP="00B44A74">
            <w:pPr>
              <w:spacing w:line="280" w:lineRule="exact"/>
              <w:rPr>
                <w:rFonts w:cs="Arial"/>
                <w:color w:val="000000" w:themeColor="text1"/>
                <w:sz w:val="20"/>
                <w:szCs w:val="20"/>
              </w:rPr>
            </w:pPr>
            <w:r w:rsidRPr="00F50857">
              <w:rPr>
                <w:rFonts w:cs="Arial"/>
                <w:color w:val="000000" w:themeColor="text1"/>
                <w:sz w:val="20"/>
                <w:szCs w:val="20"/>
              </w:rPr>
              <w:t>This product contains FLUO-NP, a special additive that makes bait and rodent droppings glow bright red under UV light. By shining a handheld UV lamp (black light) on the rodent droppings it is easy to identify and track rodent movement. When used as a perimeter bait, one can more accurately determine if rodents are gaining access to a building's interior and, if so, where the access points are located. Identifying rodent's movement gives valuable insight for establishing additional bait placements or determining where exclusionary or sanitation measures are needed. FLUONP also helps in tracking rodent activity in drop ceilings, sub-floors, wall voids and other dark, hard-to-access areas where the droppings might not normally be visible. The addition of FLUO-NP also helps confirm security of bait placements.</w:t>
            </w:r>
          </w:p>
        </w:tc>
      </w:tr>
      <w:tr w:rsidR="008E67EA" w:rsidRPr="00617F01" w14:paraId="75F07243" w14:textId="77777777" w:rsidTr="00B44A74">
        <w:trPr>
          <w:jc w:val="center"/>
        </w:trPr>
        <w:tc>
          <w:tcPr>
            <w:tcW w:w="2415" w:type="dxa"/>
            <w:tcBorders>
              <w:top w:val="single" w:sz="4" w:space="0" w:color="auto"/>
              <w:left w:val="nil"/>
              <w:bottom w:val="single" w:sz="4" w:space="0" w:color="auto"/>
              <w:right w:val="nil"/>
            </w:tcBorders>
          </w:tcPr>
          <w:p w14:paraId="43EB63B9" w14:textId="77777777" w:rsidR="008E67EA" w:rsidRPr="00617F01"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85D7F7B" w14:textId="77777777" w:rsidR="008E67EA" w:rsidRPr="00617F01" w:rsidRDefault="008E67EA" w:rsidP="00B44A74">
            <w:pPr>
              <w:spacing w:line="280" w:lineRule="exact"/>
              <w:rPr>
                <w:rFonts w:cs="Arial"/>
                <w:sz w:val="20"/>
                <w:szCs w:val="20"/>
              </w:rPr>
            </w:pPr>
          </w:p>
        </w:tc>
      </w:tr>
      <w:tr w:rsidR="008E67EA" w:rsidRPr="00617F01" w14:paraId="0826377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45C79B7" w14:textId="77777777" w:rsidR="008E67EA" w:rsidRPr="00617F01" w:rsidRDefault="008E67EA" w:rsidP="00B44A74">
            <w:pPr>
              <w:spacing w:line="280" w:lineRule="exact"/>
              <w:rPr>
                <w:rFonts w:cs="Arial"/>
                <w:sz w:val="20"/>
                <w:szCs w:val="20"/>
              </w:rPr>
            </w:pPr>
            <w:r w:rsidRPr="00617F01">
              <w:rPr>
                <w:rFonts w:cs="Arial"/>
                <w:sz w:val="20"/>
                <w:szCs w:val="20"/>
              </w:rPr>
              <w:t>Resistance Warning:</w:t>
            </w:r>
          </w:p>
        </w:tc>
        <w:tc>
          <w:tcPr>
            <w:tcW w:w="7755" w:type="dxa"/>
            <w:tcBorders>
              <w:top w:val="single" w:sz="4" w:space="0" w:color="auto"/>
              <w:left w:val="single" w:sz="4" w:space="0" w:color="auto"/>
              <w:bottom w:val="single" w:sz="4" w:space="0" w:color="auto"/>
              <w:right w:val="single" w:sz="4" w:space="0" w:color="auto"/>
            </w:tcBorders>
          </w:tcPr>
          <w:p w14:paraId="0AB6213F" w14:textId="77777777" w:rsidR="008E67EA" w:rsidRPr="00617F01" w:rsidRDefault="008E67EA" w:rsidP="00B44A74">
            <w:pPr>
              <w:spacing w:line="280" w:lineRule="exact"/>
              <w:rPr>
                <w:rFonts w:cs="Arial"/>
                <w:sz w:val="20"/>
                <w:szCs w:val="20"/>
              </w:rPr>
            </w:pPr>
          </w:p>
        </w:tc>
      </w:tr>
      <w:tr w:rsidR="008E67EA" w:rsidRPr="00617F01" w14:paraId="7193F63B" w14:textId="77777777" w:rsidTr="00B44A74">
        <w:trPr>
          <w:jc w:val="center"/>
        </w:trPr>
        <w:tc>
          <w:tcPr>
            <w:tcW w:w="2415" w:type="dxa"/>
            <w:tcBorders>
              <w:top w:val="single" w:sz="4" w:space="0" w:color="auto"/>
              <w:left w:val="nil"/>
              <w:bottom w:val="single" w:sz="4" w:space="0" w:color="auto"/>
              <w:right w:val="nil"/>
            </w:tcBorders>
          </w:tcPr>
          <w:p w14:paraId="3D2AB84E" w14:textId="77777777" w:rsidR="008E67EA" w:rsidRPr="00617F01"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AED6DA4" w14:textId="77777777" w:rsidR="008E67EA" w:rsidRPr="00617F01" w:rsidRDefault="008E67EA" w:rsidP="00B44A74">
            <w:pPr>
              <w:spacing w:line="280" w:lineRule="exact"/>
              <w:rPr>
                <w:rFonts w:cs="Arial"/>
                <w:sz w:val="20"/>
                <w:szCs w:val="20"/>
              </w:rPr>
            </w:pPr>
          </w:p>
        </w:tc>
      </w:tr>
      <w:tr w:rsidR="008E67EA" w:rsidRPr="00617F01" w14:paraId="3026A6A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45A247A" w14:textId="77777777" w:rsidR="008E67EA" w:rsidRPr="00617F01" w:rsidRDefault="008E67EA" w:rsidP="00B44A74">
            <w:pPr>
              <w:spacing w:line="280" w:lineRule="exact"/>
              <w:rPr>
                <w:rFonts w:cs="Arial"/>
                <w:sz w:val="20"/>
                <w:szCs w:val="20"/>
              </w:rPr>
            </w:pPr>
            <w:r w:rsidRPr="00617F01">
              <w:rPr>
                <w:rFonts w:cs="Arial"/>
                <w:sz w:val="20"/>
                <w:szCs w:val="20"/>
              </w:rPr>
              <w:t>Precautions:</w:t>
            </w:r>
          </w:p>
        </w:tc>
        <w:tc>
          <w:tcPr>
            <w:tcW w:w="7755" w:type="dxa"/>
            <w:tcBorders>
              <w:top w:val="single" w:sz="4" w:space="0" w:color="auto"/>
              <w:left w:val="single" w:sz="4" w:space="0" w:color="auto"/>
              <w:bottom w:val="single" w:sz="4" w:space="0" w:color="auto"/>
              <w:right w:val="single" w:sz="4" w:space="0" w:color="auto"/>
            </w:tcBorders>
          </w:tcPr>
          <w:p w14:paraId="21363DA8" w14:textId="77777777" w:rsidR="008E67EA" w:rsidRDefault="008E67EA" w:rsidP="00B44A74">
            <w:pPr>
              <w:spacing w:line="280" w:lineRule="exact"/>
              <w:rPr>
                <w:rFonts w:cs="Arial"/>
                <w:sz w:val="20"/>
                <w:szCs w:val="20"/>
              </w:rPr>
            </w:pPr>
            <w:r>
              <w:rPr>
                <w:rFonts w:cs="Arial"/>
                <w:sz w:val="20"/>
                <w:szCs w:val="20"/>
              </w:rPr>
              <w:t>PRECAUTIONS</w:t>
            </w:r>
          </w:p>
          <w:p w14:paraId="38E807A2" w14:textId="68BEE2BE" w:rsidR="008E67EA" w:rsidRDefault="008E67EA" w:rsidP="00B44A74">
            <w:pPr>
              <w:spacing w:line="280" w:lineRule="exact"/>
            </w:pPr>
            <w:r w:rsidRPr="00174925">
              <w:rPr>
                <w:rFonts w:cs="Arial"/>
                <w:sz w:val="20"/>
                <w:szCs w:val="20"/>
              </w:rPr>
              <w:t>Caution should be used when baiting near areas where hunting of wildlife may occur. Careful consideration of bait placement is necessary to avoid secondary exposure from contaminated wildlife that may be consumed.</w:t>
            </w:r>
          </w:p>
          <w:p w14:paraId="3879B522" w14:textId="77777777" w:rsidR="008E67EA" w:rsidRPr="00617F01" w:rsidRDefault="008E67EA" w:rsidP="00B44A74">
            <w:pPr>
              <w:spacing w:line="280" w:lineRule="exact"/>
              <w:rPr>
                <w:rFonts w:cs="Arial"/>
                <w:sz w:val="20"/>
                <w:szCs w:val="20"/>
                <w:highlight w:val="yellow"/>
              </w:rPr>
            </w:pPr>
            <w:r w:rsidRPr="001B00C6">
              <w:rPr>
                <w:rFonts w:cs="Arial"/>
                <w:sz w:val="20"/>
                <w:szCs w:val="20"/>
              </w:rPr>
              <w:t>DO NOT place bait in areas where there is a possibility of contaminating food, livestock feed or surfaces that come in direct contact with food or livestock feed.</w:t>
            </w:r>
          </w:p>
        </w:tc>
      </w:tr>
      <w:tr w:rsidR="008E67EA" w:rsidRPr="00617F01" w14:paraId="5987B1B2" w14:textId="77777777" w:rsidTr="00B44A74">
        <w:trPr>
          <w:jc w:val="center"/>
        </w:trPr>
        <w:tc>
          <w:tcPr>
            <w:tcW w:w="2415" w:type="dxa"/>
            <w:tcBorders>
              <w:top w:val="single" w:sz="4" w:space="0" w:color="auto"/>
              <w:left w:val="nil"/>
              <w:bottom w:val="single" w:sz="4" w:space="0" w:color="auto"/>
              <w:right w:val="nil"/>
            </w:tcBorders>
          </w:tcPr>
          <w:p w14:paraId="55D52612" w14:textId="77777777" w:rsidR="008E67EA" w:rsidRPr="00617F01"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D22579A" w14:textId="77777777" w:rsidR="008E67EA" w:rsidRPr="00617F01" w:rsidRDefault="008E67EA" w:rsidP="00B44A74">
            <w:pPr>
              <w:spacing w:line="280" w:lineRule="exact"/>
              <w:rPr>
                <w:rFonts w:cs="Arial"/>
                <w:sz w:val="20"/>
                <w:szCs w:val="20"/>
              </w:rPr>
            </w:pPr>
          </w:p>
        </w:tc>
      </w:tr>
      <w:tr w:rsidR="008E67EA" w:rsidRPr="00617F01" w14:paraId="3AA2BD5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5B8D228" w14:textId="77777777" w:rsidR="008E67EA" w:rsidRPr="00617F01" w:rsidRDefault="008E67EA" w:rsidP="00B44A74">
            <w:pPr>
              <w:spacing w:line="280" w:lineRule="exact"/>
              <w:rPr>
                <w:rFonts w:cs="Arial"/>
                <w:sz w:val="20"/>
                <w:szCs w:val="20"/>
              </w:rPr>
            </w:pPr>
            <w:r w:rsidRPr="00617F01">
              <w:rPr>
                <w:rFonts w:cs="Arial"/>
                <w:sz w:val="20"/>
                <w:szCs w:val="20"/>
              </w:rPr>
              <w:t>Protection Statements:</w:t>
            </w:r>
          </w:p>
        </w:tc>
        <w:tc>
          <w:tcPr>
            <w:tcW w:w="7755" w:type="dxa"/>
            <w:tcBorders>
              <w:top w:val="single" w:sz="4" w:space="0" w:color="auto"/>
              <w:left w:val="single" w:sz="4" w:space="0" w:color="auto"/>
              <w:bottom w:val="single" w:sz="4" w:space="0" w:color="auto"/>
              <w:right w:val="single" w:sz="4" w:space="0" w:color="auto"/>
            </w:tcBorders>
          </w:tcPr>
          <w:p w14:paraId="5E630FDD" w14:textId="77777777" w:rsidR="008E67EA" w:rsidRPr="00F50857" w:rsidRDefault="008E67EA" w:rsidP="00B44A74">
            <w:pPr>
              <w:spacing w:line="280" w:lineRule="exact"/>
              <w:rPr>
                <w:rFonts w:cs="Arial"/>
                <w:color w:val="000000"/>
                <w:sz w:val="20"/>
                <w:szCs w:val="20"/>
              </w:rPr>
            </w:pPr>
            <w:r w:rsidRPr="00F50857">
              <w:rPr>
                <w:rFonts w:cs="Arial"/>
                <w:color w:val="000000"/>
                <w:sz w:val="20"/>
                <w:szCs w:val="20"/>
              </w:rPr>
              <w:t>PROTECTION OF LIVESTOCK AND WILDLIFE</w:t>
            </w:r>
            <w:r w:rsidRPr="00F50857">
              <w:rPr>
                <w:rFonts w:cs="Arial"/>
                <w:color w:val="000000"/>
                <w:sz w:val="20"/>
                <w:szCs w:val="20"/>
              </w:rPr>
              <w:br/>
              <w:t>Hazardous to livestock, poultry and wildlife. DO NOT place baits in locations that are accessible to domestic animals, livestock, non-target native animals or birds.</w:t>
            </w:r>
            <w:r w:rsidRPr="00F50857">
              <w:rPr>
                <w:rFonts w:cs="Arial"/>
                <w:color w:val="000000"/>
                <w:sz w:val="20"/>
                <w:szCs w:val="20"/>
              </w:rPr>
              <w:br/>
              <w:t xml:space="preserve">Search for and dispose of dead rodents and slugs/snails in the infested area at each visit to prevent secondary poisoning. In case slugs/snails are present, move bait station to another location within the rodent infested site, away from slugs/snails. Dispose of slugs/snails in a way non-target animals are not exposed. Dispose of dead rodents and uneaten bait in compliance with local, state or territory government regulations. </w:t>
            </w:r>
            <w:r w:rsidRPr="00F50857">
              <w:rPr>
                <w:rFonts w:cs="Arial"/>
                <w:color w:val="000000"/>
                <w:sz w:val="20"/>
                <w:szCs w:val="20"/>
              </w:rPr>
              <w:br/>
              <w:t>DO NOT allow livestock or poultry to consume dead or moribund mice and rats. All dead or moribund animals and rodent faeces from baited rodents MUST be removed from areas accessible to livestock or poultry.</w:t>
            </w:r>
          </w:p>
          <w:p w14:paraId="19646821" w14:textId="77777777" w:rsidR="008E67EA" w:rsidRPr="00F50857" w:rsidRDefault="008E67EA" w:rsidP="00B44A74">
            <w:pPr>
              <w:spacing w:line="280" w:lineRule="exact"/>
              <w:rPr>
                <w:rFonts w:cs="Arial"/>
                <w:color w:val="000000"/>
                <w:sz w:val="20"/>
                <w:szCs w:val="20"/>
              </w:rPr>
            </w:pPr>
            <w:r w:rsidRPr="00F50857">
              <w:rPr>
                <w:rFonts w:cs="Arial"/>
                <w:color w:val="000000"/>
                <w:sz w:val="20"/>
                <w:szCs w:val="20"/>
              </w:rPr>
              <w:t>The use of this product for the control of protected native rodents and rodent like animals requires permission from wildlife authorities.</w:t>
            </w:r>
            <w:r w:rsidRPr="00F50857">
              <w:rPr>
                <w:rFonts w:cs="Arial"/>
                <w:color w:val="000000"/>
                <w:sz w:val="20"/>
                <w:szCs w:val="20"/>
              </w:rPr>
              <w:br/>
            </w:r>
          </w:p>
          <w:p w14:paraId="3BFB8178" w14:textId="107E0216" w:rsidR="008E67EA" w:rsidRPr="00617F01" w:rsidRDefault="008E67EA" w:rsidP="00B44A74">
            <w:pPr>
              <w:spacing w:line="280" w:lineRule="exact"/>
              <w:rPr>
                <w:rFonts w:cs="Arial"/>
                <w:sz w:val="20"/>
                <w:szCs w:val="20"/>
              </w:rPr>
            </w:pPr>
            <w:r w:rsidRPr="00F50857">
              <w:rPr>
                <w:rFonts w:cs="Arial"/>
                <w:color w:val="000000"/>
                <w:sz w:val="20"/>
                <w:szCs w:val="20"/>
              </w:rPr>
              <w:t>PROTECTION OF FISH, CRUSTACEANS AND ENVIRONMENT</w:t>
            </w:r>
            <w:r w:rsidRPr="00F50857">
              <w:rPr>
                <w:rFonts w:cs="Arial"/>
                <w:color w:val="000000"/>
                <w:sz w:val="20"/>
                <w:szCs w:val="20"/>
              </w:rPr>
              <w:br/>
              <w:t>Very toxic to aquatic life. DO NOT contaminate wetlands or watercourses with this product or used containers. Place the bait stations in areas not liable to flooding. When placing bait stations close to water drainage systems, ensure that bait contact with water is avoided</w:t>
            </w:r>
          </w:p>
        </w:tc>
      </w:tr>
      <w:tr w:rsidR="008E67EA" w:rsidRPr="00617F01" w14:paraId="3DC42D5F" w14:textId="77777777" w:rsidTr="00B44A74">
        <w:trPr>
          <w:jc w:val="center"/>
        </w:trPr>
        <w:tc>
          <w:tcPr>
            <w:tcW w:w="2415" w:type="dxa"/>
            <w:tcBorders>
              <w:top w:val="single" w:sz="4" w:space="0" w:color="auto"/>
              <w:left w:val="nil"/>
              <w:bottom w:val="single" w:sz="4" w:space="0" w:color="auto"/>
              <w:right w:val="nil"/>
            </w:tcBorders>
          </w:tcPr>
          <w:p w14:paraId="1047CB1E" w14:textId="77777777" w:rsidR="008E67EA" w:rsidRPr="00617F01"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D47FD11" w14:textId="77777777" w:rsidR="008E67EA" w:rsidRPr="00617F01" w:rsidRDefault="008E67EA" w:rsidP="00B44A74">
            <w:pPr>
              <w:spacing w:line="280" w:lineRule="exact"/>
              <w:rPr>
                <w:rFonts w:cs="Arial"/>
                <w:sz w:val="20"/>
                <w:szCs w:val="20"/>
              </w:rPr>
            </w:pPr>
          </w:p>
        </w:tc>
      </w:tr>
      <w:tr w:rsidR="008E67EA" w:rsidRPr="00617F01" w14:paraId="2BC9B049"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A0D7832" w14:textId="77777777" w:rsidR="008E67EA" w:rsidRPr="00617F01" w:rsidRDefault="008E67EA" w:rsidP="00B44A74">
            <w:pPr>
              <w:spacing w:line="280" w:lineRule="exact"/>
              <w:rPr>
                <w:rFonts w:cs="Arial"/>
                <w:sz w:val="20"/>
                <w:szCs w:val="20"/>
              </w:rPr>
            </w:pPr>
            <w:r w:rsidRPr="00617F01">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61C8D21B" w14:textId="77777777" w:rsidR="008E67EA" w:rsidRPr="00174925" w:rsidRDefault="008E67EA" w:rsidP="00B44A74">
            <w:pPr>
              <w:spacing w:line="280" w:lineRule="exact"/>
              <w:rPr>
                <w:rFonts w:cs="Arial"/>
                <w:sz w:val="20"/>
                <w:szCs w:val="20"/>
              </w:rPr>
            </w:pPr>
            <w:r w:rsidRPr="00174925">
              <w:rPr>
                <w:rFonts w:cs="Arial"/>
                <w:sz w:val="20"/>
                <w:szCs w:val="20"/>
              </w:rPr>
              <w:t>STORAGE AND DISPOSAL</w:t>
            </w:r>
          </w:p>
          <w:p w14:paraId="70313BA2" w14:textId="77777777" w:rsidR="008E67EA" w:rsidRPr="00617F01" w:rsidRDefault="008E67EA" w:rsidP="00B44A74">
            <w:pPr>
              <w:spacing w:line="280" w:lineRule="exact"/>
              <w:rPr>
                <w:rFonts w:cs="Arial"/>
                <w:sz w:val="20"/>
                <w:szCs w:val="20"/>
              </w:rPr>
            </w:pPr>
            <w:r w:rsidRPr="00174925">
              <w:rPr>
                <w:rFonts w:cs="Arial"/>
                <w:sz w:val="20"/>
                <w:szCs w:val="20"/>
              </w:rPr>
              <w:t xml:space="preserve">Store in the closed, original container in a cool dry place out of reach of children. DO NOT store in direct sunlight. Triple rinse containers before disposal. Break, crush or </w:t>
            </w:r>
            <w:r w:rsidRPr="00174925">
              <w:rPr>
                <w:rFonts w:cs="Arial"/>
                <w:sz w:val="20"/>
                <w:szCs w:val="20"/>
              </w:rPr>
              <w:lastRenderedPageBreak/>
              <w:t>puncture and deliver empty packaging to an approved waste management facility. If an approved waste management facility is not available, dispose of empty packaging in compliance with relevant local, state or territory government regulations.</w:t>
            </w:r>
            <w:r>
              <w:rPr>
                <w:rFonts w:cs="Arial"/>
                <w:sz w:val="20"/>
                <w:szCs w:val="20"/>
              </w:rPr>
              <w:t xml:space="preserve"> </w:t>
            </w:r>
            <w:r w:rsidRPr="005E538D">
              <w:rPr>
                <w:rFonts w:cs="Arial"/>
                <w:sz w:val="20"/>
                <w:szCs w:val="20"/>
                <w:bdr w:val="none" w:sz="0" w:space="0" w:color="auto" w:frame="1"/>
                <w:lang w:val="en-GB" w:eastAsia="en-AU"/>
              </w:rPr>
              <w:t>Dispose of unused product in compliance with relevant local, state or territory government regulations</w:t>
            </w:r>
            <w:r>
              <w:rPr>
                <w:rFonts w:cs="Arial"/>
                <w:sz w:val="20"/>
                <w:szCs w:val="20"/>
                <w:bdr w:val="none" w:sz="0" w:space="0" w:color="auto" w:frame="1"/>
                <w:lang w:val="en-GB" w:eastAsia="en-AU"/>
              </w:rPr>
              <w:t>.</w:t>
            </w:r>
            <w:r w:rsidRPr="00174925">
              <w:rPr>
                <w:rFonts w:cs="Arial"/>
                <w:sz w:val="20"/>
                <w:szCs w:val="20"/>
              </w:rPr>
              <w:t xml:space="preserve"> DO NOT burn empty containers or product.</w:t>
            </w:r>
          </w:p>
        </w:tc>
      </w:tr>
      <w:tr w:rsidR="008E67EA" w:rsidRPr="00617F01" w14:paraId="5B7B6E31" w14:textId="77777777" w:rsidTr="00B44A74">
        <w:trPr>
          <w:jc w:val="center"/>
        </w:trPr>
        <w:tc>
          <w:tcPr>
            <w:tcW w:w="2415" w:type="dxa"/>
            <w:tcBorders>
              <w:top w:val="single" w:sz="4" w:space="0" w:color="auto"/>
              <w:left w:val="nil"/>
              <w:bottom w:val="single" w:sz="4" w:space="0" w:color="auto"/>
              <w:right w:val="nil"/>
            </w:tcBorders>
          </w:tcPr>
          <w:p w14:paraId="737CB2DD" w14:textId="77777777" w:rsidR="008E67EA" w:rsidRPr="00617F01"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1E6BA08" w14:textId="77777777" w:rsidR="008E67EA" w:rsidRPr="00617F01" w:rsidRDefault="008E67EA" w:rsidP="00B44A74">
            <w:pPr>
              <w:spacing w:line="280" w:lineRule="exact"/>
              <w:rPr>
                <w:rFonts w:cs="Arial"/>
                <w:sz w:val="20"/>
                <w:szCs w:val="20"/>
              </w:rPr>
            </w:pPr>
          </w:p>
        </w:tc>
      </w:tr>
      <w:tr w:rsidR="008E67EA" w:rsidRPr="00617F01" w14:paraId="795AD47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93F2ADD" w14:textId="77777777" w:rsidR="008E67EA" w:rsidRPr="00617F01" w:rsidRDefault="008E67EA" w:rsidP="00B44A74">
            <w:pPr>
              <w:spacing w:line="280" w:lineRule="exact"/>
              <w:rPr>
                <w:rFonts w:cs="Arial"/>
                <w:sz w:val="20"/>
                <w:szCs w:val="20"/>
              </w:rPr>
            </w:pPr>
            <w:r w:rsidRPr="00617F01">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775C2AB0" w14:textId="77777777" w:rsidR="008E67EA" w:rsidRPr="00F50857" w:rsidRDefault="008E67EA" w:rsidP="00B44A74">
            <w:pPr>
              <w:spacing w:line="280" w:lineRule="exact"/>
              <w:rPr>
                <w:rFonts w:cs="Arial"/>
                <w:color w:val="000000" w:themeColor="text1"/>
                <w:sz w:val="20"/>
                <w:szCs w:val="20"/>
              </w:rPr>
            </w:pPr>
            <w:r w:rsidRPr="00F50857">
              <w:rPr>
                <w:rFonts w:cs="Arial"/>
                <w:color w:val="000000" w:themeColor="text1"/>
                <w:sz w:val="20"/>
                <w:szCs w:val="20"/>
              </w:rPr>
              <w:t>SAFETY DIRECTIONS</w:t>
            </w:r>
          </w:p>
          <w:p w14:paraId="25DE89F1" w14:textId="7E0D831D" w:rsidR="008E67EA" w:rsidRDefault="008E67EA" w:rsidP="00B44A74">
            <w:pPr>
              <w:spacing w:line="280" w:lineRule="exact"/>
              <w:rPr>
                <w:rFonts w:cs="Arial"/>
                <w:sz w:val="20"/>
                <w:szCs w:val="20"/>
              </w:rPr>
            </w:pPr>
            <w:r w:rsidRPr="00174925">
              <w:rPr>
                <w:rFonts w:cs="Arial"/>
                <w:sz w:val="20"/>
                <w:szCs w:val="20"/>
              </w:rPr>
              <w:t>Repeated minor exposure may have a cumulative poisoning effect. Will irritate the skin. May irritate eyes. Avoid contact with eyes and skin. Do not touch bait, use scoop or measure. When using the product wear disposable gloves. If on skin and after each baiting, wash thoroughly with soap and water.</w:t>
            </w:r>
          </w:p>
          <w:p w14:paraId="655E9A85" w14:textId="5A7D419D" w:rsidR="008E67EA" w:rsidRPr="00617F01" w:rsidRDefault="008E67EA" w:rsidP="00B44A74">
            <w:pPr>
              <w:spacing w:line="280" w:lineRule="exact"/>
              <w:rPr>
                <w:rFonts w:cs="Arial"/>
                <w:sz w:val="20"/>
                <w:szCs w:val="20"/>
              </w:rPr>
            </w:pPr>
            <w:r w:rsidRPr="001B00C6">
              <w:rPr>
                <w:rFonts w:cs="Arial"/>
                <w:sz w:val="20"/>
                <w:szCs w:val="20"/>
              </w:rPr>
              <w:t>During cleanup and disposal operations of bait and bait stations, wear a single layer of clothing and disposable gloves. Wear disposable gloves when handling rodent carcasses. Wash clothes after performing re-handling activities.</w:t>
            </w:r>
          </w:p>
        </w:tc>
      </w:tr>
      <w:tr w:rsidR="008E67EA" w:rsidRPr="00617F01" w14:paraId="6AFEF56C" w14:textId="77777777" w:rsidTr="00B44A74">
        <w:trPr>
          <w:jc w:val="center"/>
        </w:trPr>
        <w:tc>
          <w:tcPr>
            <w:tcW w:w="2415" w:type="dxa"/>
            <w:tcBorders>
              <w:top w:val="single" w:sz="4" w:space="0" w:color="auto"/>
              <w:left w:val="nil"/>
              <w:bottom w:val="single" w:sz="4" w:space="0" w:color="auto"/>
              <w:right w:val="nil"/>
            </w:tcBorders>
          </w:tcPr>
          <w:p w14:paraId="2C9554D0" w14:textId="77777777" w:rsidR="008E67EA" w:rsidRPr="00617F01"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7E36DFA" w14:textId="77777777" w:rsidR="008E67EA" w:rsidRPr="00617F01" w:rsidRDefault="008E67EA" w:rsidP="00B44A74">
            <w:pPr>
              <w:spacing w:line="280" w:lineRule="exact"/>
              <w:rPr>
                <w:rFonts w:cs="Arial"/>
                <w:sz w:val="20"/>
                <w:szCs w:val="20"/>
              </w:rPr>
            </w:pPr>
          </w:p>
        </w:tc>
      </w:tr>
      <w:tr w:rsidR="008E67EA" w:rsidRPr="00617F01" w14:paraId="6AFE8F7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21A15C3" w14:textId="77777777" w:rsidR="008E67EA" w:rsidRPr="00617F01" w:rsidRDefault="008E67EA" w:rsidP="00B44A74">
            <w:pPr>
              <w:spacing w:line="280" w:lineRule="exact"/>
              <w:rPr>
                <w:rFonts w:cs="Arial"/>
                <w:sz w:val="20"/>
                <w:szCs w:val="20"/>
              </w:rPr>
            </w:pPr>
            <w:r w:rsidRPr="00617F01">
              <w:rPr>
                <w:rFonts w:cs="Arial"/>
                <w:sz w:val="20"/>
                <w:szCs w:val="20"/>
              </w:rPr>
              <w:t>First Aid Instructions:</w:t>
            </w:r>
          </w:p>
        </w:tc>
        <w:tc>
          <w:tcPr>
            <w:tcW w:w="7755" w:type="dxa"/>
            <w:tcBorders>
              <w:top w:val="single" w:sz="4" w:space="0" w:color="auto"/>
              <w:left w:val="single" w:sz="4" w:space="0" w:color="auto"/>
              <w:bottom w:val="single" w:sz="4" w:space="0" w:color="auto"/>
              <w:right w:val="single" w:sz="4" w:space="0" w:color="auto"/>
            </w:tcBorders>
          </w:tcPr>
          <w:p w14:paraId="4DC1B879" w14:textId="77777777" w:rsidR="008E67EA" w:rsidRDefault="008E67EA" w:rsidP="00B44A74">
            <w:pPr>
              <w:spacing w:line="280" w:lineRule="exact"/>
              <w:rPr>
                <w:rFonts w:cs="Arial"/>
                <w:sz w:val="20"/>
                <w:szCs w:val="20"/>
              </w:rPr>
            </w:pPr>
            <w:r>
              <w:rPr>
                <w:rFonts w:cs="Arial"/>
                <w:sz w:val="20"/>
                <w:szCs w:val="20"/>
              </w:rPr>
              <w:t>FIRST AID</w:t>
            </w:r>
          </w:p>
          <w:p w14:paraId="1BCEE39C" w14:textId="6B6FB5DB" w:rsidR="008E67EA" w:rsidRPr="00617F01" w:rsidRDefault="008E67EA" w:rsidP="00B44A74">
            <w:pPr>
              <w:spacing w:line="280" w:lineRule="exact"/>
              <w:rPr>
                <w:rFonts w:cs="Arial"/>
                <w:sz w:val="20"/>
                <w:szCs w:val="20"/>
              </w:rPr>
            </w:pPr>
            <w:r w:rsidRPr="00174925">
              <w:rPr>
                <w:rFonts w:cs="Arial"/>
                <w:sz w:val="20"/>
                <w:szCs w:val="20"/>
              </w:rPr>
              <w:t>If poisoning occurs, contact a doctor or Poisons Information Centre. Phone Australia 13 11 26, New Zealand 0800 764 766. Vitamin K1 (Phytomenadione) is antidotal.</w:t>
            </w:r>
          </w:p>
        </w:tc>
      </w:tr>
      <w:tr w:rsidR="008E67EA" w:rsidRPr="00617F01" w14:paraId="0177CF1B" w14:textId="77777777" w:rsidTr="00B44A74">
        <w:trPr>
          <w:jc w:val="center"/>
        </w:trPr>
        <w:tc>
          <w:tcPr>
            <w:tcW w:w="2415" w:type="dxa"/>
            <w:tcBorders>
              <w:top w:val="single" w:sz="4" w:space="0" w:color="auto"/>
              <w:left w:val="nil"/>
              <w:bottom w:val="single" w:sz="4" w:space="0" w:color="auto"/>
              <w:right w:val="nil"/>
            </w:tcBorders>
          </w:tcPr>
          <w:p w14:paraId="42D3BAFA" w14:textId="77777777" w:rsidR="008E67EA" w:rsidRPr="00617F01"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FB8D95E" w14:textId="77777777" w:rsidR="008E67EA" w:rsidRPr="00617F01" w:rsidRDefault="008E67EA" w:rsidP="00B44A74">
            <w:pPr>
              <w:spacing w:line="280" w:lineRule="exact"/>
              <w:rPr>
                <w:rFonts w:cs="Arial"/>
                <w:sz w:val="20"/>
                <w:szCs w:val="20"/>
              </w:rPr>
            </w:pPr>
          </w:p>
        </w:tc>
      </w:tr>
      <w:tr w:rsidR="008E67EA" w:rsidRPr="00617F01" w14:paraId="652F137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C50FE1F" w14:textId="77777777" w:rsidR="008E67EA" w:rsidRPr="00617F01" w:rsidRDefault="008E67EA" w:rsidP="00B44A74">
            <w:pPr>
              <w:spacing w:line="280" w:lineRule="exact"/>
              <w:rPr>
                <w:rFonts w:cs="Arial"/>
                <w:sz w:val="20"/>
                <w:szCs w:val="20"/>
              </w:rPr>
            </w:pPr>
            <w:r w:rsidRPr="00617F01">
              <w:rPr>
                <w:rFonts w:cs="Arial"/>
                <w:sz w:val="20"/>
                <w:szCs w:val="20"/>
              </w:rPr>
              <w:t>First Aid Warnings:</w:t>
            </w:r>
          </w:p>
        </w:tc>
        <w:tc>
          <w:tcPr>
            <w:tcW w:w="7755" w:type="dxa"/>
            <w:tcBorders>
              <w:top w:val="single" w:sz="4" w:space="0" w:color="auto"/>
              <w:left w:val="single" w:sz="4" w:space="0" w:color="auto"/>
              <w:bottom w:val="single" w:sz="4" w:space="0" w:color="auto"/>
              <w:right w:val="single" w:sz="4" w:space="0" w:color="auto"/>
            </w:tcBorders>
          </w:tcPr>
          <w:p w14:paraId="7A31D7C1" w14:textId="77777777" w:rsidR="008E67EA" w:rsidRPr="00617F01" w:rsidRDefault="008E67EA" w:rsidP="00B44A74">
            <w:pPr>
              <w:spacing w:line="280" w:lineRule="exact"/>
              <w:rPr>
                <w:rFonts w:cs="Arial"/>
                <w:sz w:val="20"/>
                <w:szCs w:val="20"/>
              </w:rPr>
            </w:pPr>
          </w:p>
        </w:tc>
      </w:tr>
    </w:tbl>
    <w:p w14:paraId="5A0A2B38" w14:textId="77777777" w:rsidR="008E67EA" w:rsidRDefault="008E67EA" w:rsidP="008E67EA">
      <w:pPr>
        <w:spacing w:line="280" w:lineRule="exact"/>
        <w:rPr>
          <w:rFonts w:cs="Arial"/>
          <w:b/>
          <w:bCs/>
          <w:sz w:val="20"/>
          <w:szCs w:val="20"/>
        </w:rPr>
      </w:pPr>
    </w:p>
    <w:p w14:paraId="5328FAA1" w14:textId="77777777" w:rsidR="008E67EA" w:rsidRDefault="008E67EA" w:rsidP="008E67EA">
      <w:pPr>
        <w:spacing w:line="280" w:lineRule="exact"/>
        <w:rPr>
          <w:rFonts w:cs="Arial"/>
          <w:b/>
          <w:bCs/>
          <w:sz w:val="20"/>
          <w:szCs w:val="20"/>
        </w:rPr>
      </w:pPr>
      <w:r w:rsidRPr="00617F01">
        <w:rPr>
          <w:rFonts w:cs="Arial"/>
          <w:b/>
          <w:bCs/>
          <w:sz w:val="20"/>
          <w:szCs w:val="20"/>
        </w:rPr>
        <w:t>DIRECTIONS FOR USE</w:t>
      </w:r>
    </w:p>
    <w:tbl>
      <w:tblPr>
        <w:tblStyle w:val="TableGrid"/>
        <w:tblW w:w="48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1500"/>
        <w:gridCol w:w="1313"/>
        <w:gridCol w:w="3561"/>
      </w:tblGrid>
      <w:tr w:rsidR="008E67EA" w:rsidRPr="00C118CC" w14:paraId="468DF3BF" w14:textId="77777777" w:rsidTr="00FF707A">
        <w:trPr>
          <w:trHeight w:val="340"/>
        </w:trPr>
        <w:tc>
          <w:tcPr>
            <w:tcW w:w="1601" w:type="pct"/>
          </w:tcPr>
          <w:p w14:paraId="6623D2EB" w14:textId="77777777" w:rsidR="008E67EA" w:rsidRPr="00FF707A" w:rsidRDefault="008E67EA" w:rsidP="00B44A74">
            <w:pPr>
              <w:spacing w:line="280" w:lineRule="exact"/>
              <w:rPr>
                <w:rFonts w:cs="Arial"/>
                <w:b/>
                <w:bCs/>
                <w:spacing w:val="-2"/>
                <w:w w:val="105"/>
                <w:szCs w:val="18"/>
              </w:rPr>
            </w:pPr>
            <w:bookmarkStart w:id="343" w:name="_Hlk212639095"/>
            <w:bookmarkStart w:id="344" w:name="_Hlk213920866"/>
            <w:r w:rsidRPr="00FF707A">
              <w:rPr>
                <w:rFonts w:cs="Arial"/>
                <w:b/>
                <w:bCs/>
                <w:szCs w:val="18"/>
              </w:rPr>
              <w:t>SITUATION</w:t>
            </w:r>
          </w:p>
        </w:tc>
        <w:tc>
          <w:tcPr>
            <w:tcW w:w="800" w:type="pct"/>
          </w:tcPr>
          <w:p w14:paraId="075F78D0" w14:textId="77777777" w:rsidR="008E67EA" w:rsidRPr="00FF707A" w:rsidRDefault="008E67EA" w:rsidP="00B44A74">
            <w:pPr>
              <w:pStyle w:val="TableParagraph"/>
              <w:spacing w:before="61"/>
              <w:rPr>
                <w:b/>
                <w:bCs/>
                <w:spacing w:val="-4"/>
                <w:sz w:val="18"/>
                <w:szCs w:val="18"/>
              </w:rPr>
            </w:pPr>
            <w:r w:rsidRPr="00FF707A">
              <w:rPr>
                <w:b/>
                <w:bCs/>
                <w:sz w:val="18"/>
                <w:szCs w:val="18"/>
              </w:rPr>
              <w:t>PEST</w:t>
            </w:r>
          </w:p>
        </w:tc>
        <w:tc>
          <w:tcPr>
            <w:tcW w:w="700" w:type="pct"/>
          </w:tcPr>
          <w:p w14:paraId="74AA6534" w14:textId="77777777" w:rsidR="008E67EA" w:rsidRPr="00FF707A" w:rsidRDefault="008E67EA" w:rsidP="00B44A74">
            <w:pPr>
              <w:pStyle w:val="TableParagraph"/>
              <w:spacing w:before="61"/>
              <w:rPr>
                <w:b/>
                <w:bCs/>
                <w:sz w:val="18"/>
                <w:szCs w:val="18"/>
              </w:rPr>
            </w:pPr>
            <w:r w:rsidRPr="00FF707A">
              <w:rPr>
                <w:b/>
                <w:bCs/>
                <w:sz w:val="18"/>
                <w:szCs w:val="18"/>
              </w:rPr>
              <w:t>RATE</w:t>
            </w:r>
          </w:p>
        </w:tc>
        <w:tc>
          <w:tcPr>
            <w:tcW w:w="1899" w:type="pct"/>
          </w:tcPr>
          <w:p w14:paraId="47F96B16" w14:textId="77777777" w:rsidR="008E67EA" w:rsidRPr="00FF707A" w:rsidRDefault="008E67EA" w:rsidP="00B44A74">
            <w:pPr>
              <w:pStyle w:val="TableParagraph"/>
              <w:spacing w:before="61"/>
              <w:rPr>
                <w:b/>
                <w:bCs/>
                <w:sz w:val="18"/>
                <w:szCs w:val="18"/>
              </w:rPr>
            </w:pPr>
            <w:r w:rsidRPr="00FF707A">
              <w:rPr>
                <w:b/>
                <w:bCs/>
                <w:sz w:val="18"/>
                <w:szCs w:val="18"/>
              </w:rPr>
              <w:t>CRITICAL COMMENTS</w:t>
            </w:r>
          </w:p>
        </w:tc>
      </w:tr>
      <w:tr w:rsidR="008E67EA" w:rsidRPr="00C118CC" w14:paraId="67B6AEDD" w14:textId="77777777" w:rsidTr="00FF707A">
        <w:trPr>
          <w:trHeight w:val="1050"/>
        </w:trPr>
        <w:tc>
          <w:tcPr>
            <w:tcW w:w="1601" w:type="pct"/>
          </w:tcPr>
          <w:p w14:paraId="4ECCCE89" w14:textId="77777777" w:rsidR="008E67EA" w:rsidRPr="002F6425" w:rsidRDefault="008E67EA" w:rsidP="00B44A74">
            <w:pPr>
              <w:spacing w:line="240" w:lineRule="exact"/>
              <w:rPr>
                <w:rFonts w:cs="Arial"/>
                <w:b/>
                <w:spacing w:val="-2"/>
                <w:w w:val="105"/>
                <w:szCs w:val="18"/>
              </w:rPr>
            </w:pPr>
            <w:r w:rsidRPr="002F6425">
              <w:rPr>
                <w:rFonts w:cs="Arial"/>
                <w:b/>
                <w:spacing w:val="-2"/>
                <w:w w:val="105"/>
                <w:szCs w:val="18"/>
              </w:rPr>
              <w:t>Clean Out Treatment</w:t>
            </w:r>
            <w:r>
              <w:rPr>
                <w:rFonts w:cs="Arial"/>
                <w:b/>
                <w:spacing w:val="-2"/>
                <w:w w:val="105"/>
                <w:szCs w:val="18"/>
              </w:rPr>
              <w:t>s</w:t>
            </w:r>
            <w:r w:rsidRPr="002F6425">
              <w:rPr>
                <w:rFonts w:cs="Arial"/>
                <w:b/>
                <w:spacing w:val="-2"/>
                <w:w w:val="105"/>
                <w:szCs w:val="18"/>
              </w:rPr>
              <w:t xml:space="preserve"> </w:t>
            </w:r>
          </w:p>
          <w:p w14:paraId="221C4A0B" w14:textId="77777777" w:rsidR="008E67EA" w:rsidRPr="00867EDB" w:rsidRDefault="008E67EA" w:rsidP="00B44A74">
            <w:pPr>
              <w:spacing w:line="240" w:lineRule="exact"/>
              <w:rPr>
                <w:rFonts w:cs="Arial"/>
                <w:bCs/>
                <w:spacing w:val="-2"/>
                <w:w w:val="105"/>
                <w:szCs w:val="18"/>
              </w:rPr>
            </w:pPr>
            <w:r w:rsidRPr="00867EDB">
              <w:rPr>
                <w:rFonts w:cs="Arial"/>
                <w:bCs/>
                <w:spacing w:val="-2"/>
                <w:w w:val="105"/>
                <w:szCs w:val="18"/>
              </w:rPr>
              <w:t xml:space="preserve">In and around </w:t>
            </w:r>
            <w:r>
              <w:rPr>
                <w:rFonts w:cs="Arial"/>
                <w:bCs/>
                <w:spacing w:val="-2"/>
                <w:w w:val="105"/>
                <w:szCs w:val="18"/>
              </w:rPr>
              <w:t>(within 2 m) industrial commercial, public service, agricultural and do</w:t>
            </w:r>
            <w:r w:rsidRPr="00867EDB">
              <w:rPr>
                <w:rFonts w:cs="Arial"/>
                <w:bCs/>
                <w:spacing w:val="-2"/>
                <w:w w:val="105"/>
                <w:szCs w:val="18"/>
              </w:rPr>
              <w:t>mestic</w:t>
            </w:r>
            <w:r>
              <w:rPr>
                <w:rFonts w:cs="Arial"/>
                <w:bCs/>
                <w:spacing w:val="-2"/>
                <w:w w:val="105"/>
                <w:szCs w:val="18"/>
              </w:rPr>
              <w:t xml:space="preserve"> buil</w:t>
            </w:r>
            <w:r w:rsidRPr="00867EDB">
              <w:rPr>
                <w:rFonts w:cs="Arial"/>
                <w:bCs/>
                <w:spacing w:val="-2"/>
                <w:w w:val="105"/>
                <w:szCs w:val="18"/>
              </w:rPr>
              <w:t>dings</w:t>
            </w:r>
          </w:p>
        </w:tc>
        <w:tc>
          <w:tcPr>
            <w:tcW w:w="800" w:type="pct"/>
          </w:tcPr>
          <w:p w14:paraId="32514D88" w14:textId="77777777" w:rsidR="008E67EA" w:rsidRPr="00867EDB" w:rsidRDefault="008E67EA" w:rsidP="00B44A74">
            <w:pPr>
              <w:spacing w:line="240" w:lineRule="exact"/>
              <w:rPr>
                <w:rFonts w:cs="Arial"/>
                <w:bCs/>
                <w:spacing w:val="-2"/>
                <w:w w:val="105"/>
                <w:szCs w:val="18"/>
              </w:rPr>
            </w:pPr>
            <w:r w:rsidRPr="00867EDB">
              <w:rPr>
                <w:rFonts w:cs="Arial"/>
                <w:bCs/>
                <w:spacing w:val="-2"/>
                <w:w w:val="105"/>
                <w:szCs w:val="18"/>
              </w:rPr>
              <w:t>Rats</w:t>
            </w:r>
          </w:p>
          <w:p w14:paraId="74182375" w14:textId="77777777" w:rsidR="008E67EA" w:rsidRPr="00641519" w:rsidRDefault="008E67EA" w:rsidP="00B44A74">
            <w:pPr>
              <w:spacing w:line="240" w:lineRule="exact"/>
              <w:rPr>
                <w:rFonts w:cs="Arial"/>
                <w:bCs/>
                <w:i/>
                <w:iCs/>
                <w:spacing w:val="-2"/>
                <w:w w:val="105"/>
                <w:szCs w:val="18"/>
              </w:rPr>
            </w:pPr>
            <w:r w:rsidRPr="00867EDB">
              <w:rPr>
                <w:rFonts w:cs="Arial"/>
                <w:bCs/>
                <w:spacing w:val="-2"/>
                <w:w w:val="105"/>
                <w:szCs w:val="18"/>
              </w:rPr>
              <w:t>(</w:t>
            </w:r>
            <w:r w:rsidRPr="002F6425">
              <w:rPr>
                <w:rFonts w:cs="Arial"/>
                <w:bCs/>
                <w:i/>
                <w:iCs/>
                <w:spacing w:val="-2"/>
                <w:w w:val="105"/>
                <w:szCs w:val="18"/>
              </w:rPr>
              <w:t>Rattus rattus, R. norvegicus)</w:t>
            </w:r>
          </w:p>
        </w:tc>
        <w:tc>
          <w:tcPr>
            <w:tcW w:w="700" w:type="pct"/>
          </w:tcPr>
          <w:p w14:paraId="5D154387" w14:textId="77777777" w:rsidR="008E67EA" w:rsidRPr="002F6425" w:rsidRDefault="008E67EA" w:rsidP="00B44A74">
            <w:pPr>
              <w:spacing w:line="240" w:lineRule="exact"/>
              <w:rPr>
                <w:rFonts w:cs="Arial"/>
                <w:bCs/>
                <w:spacing w:val="-2"/>
                <w:w w:val="105"/>
                <w:szCs w:val="18"/>
              </w:rPr>
            </w:pPr>
            <w:r w:rsidRPr="002F6425">
              <w:rPr>
                <w:rFonts w:cs="Arial"/>
                <w:bCs/>
                <w:spacing w:val="-2"/>
                <w:w w:val="105"/>
                <w:szCs w:val="18"/>
              </w:rPr>
              <w:t>1 to 3 blocks/bait</w:t>
            </w:r>
          </w:p>
          <w:p w14:paraId="24A40B27" w14:textId="3393CDAE" w:rsidR="008E67EA" w:rsidRPr="00867EDB" w:rsidRDefault="008E67EA" w:rsidP="00FF707A">
            <w:pPr>
              <w:spacing w:line="240" w:lineRule="exact"/>
              <w:rPr>
                <w:rFonts w:cs="Arial"/>
                <w:bCs/>
                <w:spacing w:val="-2"/>
                <w:w w:val="105"/>
                <w:szCs w:val="18"/>
              </w:rPr>
            </w:pPr>
            <w:r w:rsidRPr="002F6425">
              <w:rPr>
                <w:rFonts w:cs="Arial"/>
                <w:bCs/>
                <w:spacing w:val="-2"/>
                <w:w w:val="105"/>
                <w:szCs w:val="18"/>
              </w:rPr>
              <w:t>station</w:t>
            </w:r>
          </w:p>
        </w:tc>
        <w:tc>
          <w:tcPr>
            <w:tcW w:w="1899" w:type="pct"/>
            <w:vMerge w:val="restart"/>
          </w:tcPr>
          <w:p w14:paraId="444CB042" w14:textId="0862062E" w:rsidR="008E67EA" w:rsidRPr="00F50857" w:rsidRDefault="008E67EA" w:rsidP="00B44A74">
            <w:pPr>
              <w:spacing w:after="120" w:line="240" w:lineRule="exact"/>
              <w:rPr>
                <w:rFonts w:cs="Arial"/>
                <w:bCs/>
                <w:spacing w:val="-2"/>
                <w:w w:val="105"/>
                <w:szCs w:val="18"/>
              </w:rPr>
            </w:pPr>
            <w:r w:rsidRPr="00F50857">
              <w:rPr>
                <w:rFonts w:cs="Arial"/>
                <w:bCs/>
                <w:spacing w:val="-2"/>
                <w:w w:val="105"/>
                <w:szCs w:val="18"/>
              </w:rPr>
              <w:t>Place baits in infested area.</w:t>
            </w:r>
          </w:p>
          <w:p w14:paraId="4D12ACB1" w14:textId="77777777" w:rsidR="008E67EA" w:rsidRDefault="008E67EA" w:rsidP="00B44A74">
            <w:pPr>
              <w:spacing w:after="120" w:line="240" w:lineRule="exact"/>
              <w:rPr>
                <w:rFonts w:cs="Arial"/>
                <w:bCs/>
                <w:spacing w:val="-2"/>
                <w:w w:val="105"/>
                <w:szCs w:val="18"/>
              </w:rPr>
            </w:pPr>
            <w:r w:rsidRPr="00753F6C">
              <w:rPr>
                <w:rFonts w:cs="Arial"/>
                <w:bCs/>
                <w:i/>
                <w:iCs/>
                <w:spacing w:val="-2"/>
                <w:w w:val="105"/>
                <w:szCs w:val="18"/>
              </w:rPr>
              <w:t>For rats:</w:t>
            </w:r>
            <w:r>
              <w:rPr>
                <w:rFonts w:cs="Arial"/>
                <w:bCs/>
                <w:spacing w:val="-2"/>
                <w:w w:val="105"/>
                <w:szCs w:val="18"/>
              </w:rPr>
              <w:t xml:space="preserve"> </w:t>
            </w:r>
            <w:r w:rsidRPr="00867EDB">
              <w:rPr>
                <w:rFonts w:cs="Arial"/>
                <w:bCs/>
                <w:spacing w:val="-2"/>
                <w:w w:val="105"/>
                <w:szCs w:val="18"/>
              </w:rPr>
              <w:t xml:space="preserve">Place </w:t>
            </w:r>
            <w:r>
              <w:rPr>
                <w:rFonts w:cs="Arial"/>
                <w:bCs/>
                <w:spacing w:val="-2"/>
                <w:w w:val="105"/>
                <w:szCs w:val="18"/>
              </w:rPr>
              <w:t>bait stations</w:t>
            </w:r>
            <w:r w:rsidRPr="00867EDB">
              <w:rPr>
                <w:rFonts w:cs="Arial"/>
                <w:bCs/>
                <w:spacing w:val="-2"/>
                <w:w w:val="105"/>
                <w:szCs w:val="18"/>
              </w:rPr>
              <w:t xml:space="preserve"> at intervals of 5 to 9 m in infested areas</w:t>
            </w:r>
            <w:r>
              <w:rPr>
                <w:rFonts w:cs="Arial"/>
                <w:bCs/>
                <w:spacing w:val="-2"/>
                <w:w w:val="105"/>
                <w:szCs w:val="18"/>
              </w:rPr>
              <w:t>.</w:t>
            </w:r>
          </w:p>
          <w:p w14:paraId="6077DE89" w14:textId="77777777" w:rsidR="008E67EA" w:rsidRDefault="008E67EA" w:rsidP="00B44A74">
            <w:pPr>
              <w:spacing w:after="120" w:line="240" w:lineRule="exact"/>
              <w:rPr>
                <w:rFonts w:cs="Arial"/>
                <w:bCs/>
                <w:spacing w:val="-2"/>
                <w:w w:val="105"/>
                <w:szCs w:val="18"/>
              </w:rPr>
            </w:pPr>
            <w:r w:rsidRPr="00753F6C">
              <w:rPr>
                <w:rFonts w:cs="Arial"/>
                <w:bCs/>
                <w:i/>
                <w:iCs/>
                <w:spacing w:val="-2"/>
                <w:w w:val="105"/>
                <w:szCs w:val="18"/>
              </w:rPr>
              <w:t>For mice:</w:t>
            </w:r>
            <w:r>
              <w:rPr>
                <w:rFonts w:cs="Arial"/>
                <w:bCs/>
                <w:spacing w:val="-2"/>
                <w:w w:val="105"/>
                <w:szCs w:val="18"/>
              </w:rPr>
              <w:t xml:space="preserve"> </w:t>
            </w:r>
            <w:r w:rsidRPr="00867EDB">
              <w:rPr>
                <w:rFonts w:cs="Arial"/>
                <w:bCs/>
                <w:spacing w:val="-2"/>
                <w:w w:val="105"/>
                <w:szCs w:val="18"/>
              </w:rPr>
              <w:t xml:space="preserve">Place </w:t>
            </w:r>
            <w:r>
              <w:rPr>
                <w:rFonts w:cs="Arial"/>
                <w:bCs/>
                <w:spacing w:val="-2"/>
                <w:w w:val="105"/>
                <w:szCs w:val="18"/>
              </w:rPr>
              <w:t>bait stations</w:t>
            </w:r>
            <w:r w:rsidRPr="00867EDB">
              <w:rPr>
                <w:rFonts w:cs="Arial"/>
                <w:bCs/>
                <w:spacing w:val="-2"/>
                <w:w w:val="105"/>
                <w:szCs w:val="18"/>
              </w:rPr>
              <w:t xml:space="preserve"> at intervals of </w:t>
            </w:r>
            <w:r>
              <w:rPr>
                <w:rFonts w:cs="Arial"/>
                <w:bCs/>
                <w:spacing w:val="-2"/>
                <w:w w:val="105"/>
                <w:szCs w:val="18"/>
              </w:rPr>
              <w:t>2</w:t>
            </w:r>
            <w:r w:rsidRPr="00867EDB">
              <w:rPr>
                <w:rFonts w:cs="Arial"/>
                <w:bCs/>
                <w:spacing w:val="-2"/>
                <w:w w:val="105"/>
                <w:szCs w:val="18"/>
              </w:rPr>
              <w:t xml:space="preserve"> to </w:t>
            </w:r>
            <w:r>
              <w:rPr>
                <w:rFonts w:cs="Arial"/>
                <w:bCs/>
                <w:spacing w:val="-2"/>
                <w:w w:val="105"/>
                <w:szCs w:val="18"/>
              </w:rPr>
              <w:t>3</w:t>
            </w:r>
            <w:r w:rsidRPr="00867EDB">
              <w:rPr>
                <w:rFonts w:cs="Arial"/>
                <w:bCs/>
                <w:spacing w:val="-2"/>
                <w:w w:val="105"/>
                <w:szCs w:val="18"/>
              </w:rPr>
              <w:t xml:space="preserve"> m in infested areas</w:t>
            </w:r>
            <w:r>
              <w:rPr>
                <w:rFonts w:cs="Arial"/>
                <w:bCs/>
                <w:spacing w:val="-2"/>
                <w:w w:val="105"/>
                <w:szCs w:val="18"/>
              </w:rPr>
              <w:t>.</w:t>
            </w:r>
          </w:p>
          <w:p w14:paraId="71A11E9C" w14:textId="77777777" w:rsidR="008E67EA" w:rsidRPr="00867EDB" w:rsidRDefault="008E67EA" w:rsidP="00B44A74">
            <w:pPr>
              <w:spacing w:after="120" w:line="240" w:lineRule="exact"/>
              <w:rPr>
                <w:rFonts w:cs="Arial"/>
                <w:bCs/>
                <w:spacing w:val="-2"/>
                <w:w w:val="105"/>
                <w:szCs w:val="18"/>
              </w:rPr>
            </w:pPr>
            <w:r w:rsidRPr="00F50857">
              <w:rPr>
                <w:rFonts w:cs="Arial"/>
                <w:bCs/>
                <w:spacing w:val="-2"/>
                <w:w w:val="105"/>
                <w:szCs w:val="18"/>
              </w:rPr>
              <w:t>Use the greater number of blocks and shorter distance between bait placements</w:t>
            </w:r>
            <w:r>
              <w:rPr>
                <w:rFonts w:cs="Arial"/>
                <w:bCs/>
                <w:spacing w:val="-2"/>
                <w:w w:val="105"/>
                <w:szCs w:val="18"/>
              </w:rPr>
              <w:t xml:space="preserve"> </w:t>
            </w:r>
            <w:r w:rsidRPr="00F50857">
              <w:rPr>
                <w:rFonts w:cs="Arial"/>
                <w:bCs/>
                <w:spacing w:val="-2"/>
                <w:w w:val="105"/>
                <w:szCs w:val="18"/>
              </w:rPr>
              <w:t>when infestations are heavy</w:t>
            </w:r>
          </w:p>
          <w:p w14:paraId="4D2035A4" w14:textId="77777777" w:rsidR="008E67EA" w:rsidRPr="00867EDB" w:rsidRDefault="008E67EA" w:rsidP="00B44A74">
            <w:pPr>
              <w:spacing w:after="120" w:line="240" w:lineRule="exact"/>
              <w:rPr>
                <w:rFonts w:cs="Arial"/>
                <w:bCs/>
                <w:spacing w:val="-2"/>
                <w:w w:val="105"/>
                <w:szCs w:val="18"/>
              </w:rPr>
            </w:pPr>
            <w:r>
              <w:rPr>
                <w:rFonts w:cs="Arial"/>
                <w:bCs/>
                <w:spacing w:val="-2"/>
                <w:w w:val="105"/>
                <w:szCs w:val="18"/>
              </w:rPr>
              <w:t xml:space="preserve">See also baiting strategy for clean out treatments. </w:t>
            </w:r>
          </w:p>
        </w:tc>
      </w:tr>
      <w:tr w:rsidR="008E67EA" w:rsidRPr="00C118CC" w14:paraId="4BE0E90D" w14:textId="77777777" w:rsidTr="00FF707A">
        <w:trPr>
          <w:trHeight w:val="402"/>
        </w:trPr>
        <w:tc>
          <w:tcPr>
            <w:tcW w:w="1601" w:type="pct"/>
          </w:tcPr>
          <w:p w14:paraId="665F4FC4" w14:textId="77777777" w:rsidR="008E67EA" w:rsidRDefault="008E67EA" w:rsidP="00B44A74">
            <w:pPr>
              <w:spacing w:line="240" w:lineRule="exact"/>
              <w:rPr>
                <w:rFonts w:cs="Arial"/>
                <w:bCs/>
                <w:spacing w:val="-2"/>
                <w:w w:val="105"/>
                <w:szCs w:val="18"/>
              </w:rPr>
            </w:pPr>
            <w:r w:rsidRPr="002F6425">
              <w:rPr>
                <w:rFonts w:cs="Arial"/>
                <w:b/>
                <w:spacing w:val="-2"/>
                <w:w w:val="105"/>
                <w:szCs w:val="18"/>
              </w:rPr>
              <w:t>Clean Out Treatment</w:t>
            </w:r>
            <w:r>
              <w:rPr>
                <w:rFonts w:cs="Arial"/>
                <w:b/>
                <w:spacing w:val="-2"/>
                <w:w w:val="105"/>
                <w:szCs w:val="18"/>
              </w:rPr>
              <w:t>s</w:t>
            </w:r>
          </w:p>
          <w:p w14:paraId="7183F93A" w14:textId="77777777" w:rsidR="008E67EA" w:rsidRPr="00867EDB" w:rsidRDefault="008E67EA" w:rsidP="00B44A74">
            <w:pPr>
              <w:spacing w:line="240" w:lineRule="exact"/>
              <w:rPr>
                <w:rFonts w:cs="Arial"/>
                <w:bCs/>
                <w:spacing w:val="-2"/>
                <w:w w:val="105"/>
                <w:szCs w:val="18"/>
              </w:rPr>
            </w:pPr>
            <w:r w:rsidRPr="00867EDB">
              <w:rPr>
                <w:rFonts w:cs="Arial"/>
                <w:bCs/>
                <w:spacing w:val="-2"/>
                <w:w w:val="105"/>
                <w:szCs w:val="18"/>
              </w:rPr>
              <w:t xml:space="preserve">In </w:t>
            </w:r>
            <w:r>
              <w:rPr>
                <w:rFonts w:cs="Arial"/>
                <w:bCs/>
                <w:spacing w:val="-2"/>
                <w:w w:val="105"/>
                <w:szCs w:val="18"/>
              </w:rPr>
              <w:t>industrial commercial, public service, agricultural and do</w:t>
            </w:r>
            <w:r w:rsidRPr="00867EDB">
              <w:rPr>
                <w:rFonts w:cs="Arial"/>
                <w:bCs/>
                <w:spacing w:val="-2"/>
                <w:w w:val="105"/>
                <w:szCs w:val="18"/>
              </w:rPr>
              <w:t>mestic</w:t>
            </w:r>
            <w:r>
              <w:rPr>
                <w:rFonts w:cs="Arial"/>
                <w:bCs/>
                <w:spacing w:val="-2"/>
                <w:w w:val="105"/>
                <w:szCs w:val="18"/>
              </w:rPr>
              <w:t xml:space="preserve"> buil</w:t>
            </w:r>
            <w:r w:rsidRPr="00867EDB">
              <w:rPr>
                <w:rFonts w:cs="Arial"/>
                <w:bCs/>
                <w:spacing w:val="-2"/>
                <w:w w:val="105"/>
                <w:szCs w:val="18"/>
              </w:rPr>
              <w:t>dings</w:t>
            </w:r>
          </w:p>
        </w:tc>
        <w:tc>
          <w:tcPr>
            <w:tcW w:w="800" w:type="pct"/>
          </w:tcPr>
          <w:p w14:paraId="6EFD1CE7" w14:textId="77777777" w:rsidR="008E67EA" w:rsidRPr="00867EDB" w:rsidRDefault="008E67EA" w:rsidP="00B44A74">
            <w:pPr>
              <w:spacing w:line="240" w:lineRule="exact"/>
              <w:rPr>
                <w:rFonts w:cs="Arial"/>
                <w:bCs/>
                <w:spacing w:val="-2"/>
                <w:w w:val="105"/>
                <w:szCs w:val="18"/>
              </w:rPr>
            </w:pPr>
            <w:r w:rsidRPr="00867EDB">
              <w:rPr>
                <w:rFonts w:cs="Arial"/>
                <w:bCs/>
                <w:spacing w:val="-2"/>
                <w:w w:val="105"/>
                <w:szCs w:val="18"/>
              </w:rPr>
              <w:t>Mice</w:t>
            </w:r>
          </w:p>
          <w:p w14:paraId="73B75351" w14:textId="4846642D" w:rsidR="008E67EA" w:rsidRPr="00867EDB" w:rsidRDefault="008E67EA" w:rsidP="00FF707A">
            <w:pPr>
              <w:spacing w:line="240" w:lineRule="exact"/>
              <w:rPr>
                <w:rFonts w:cs="Arial"/>
                <w:bCs/>
                <w:spacing w:val="-2"/>
                <w:w w:val="105"/>
                <w:szCs w:val="18"/>
              </w:rPr>
            </w:pPr>
            <w:r w:rsidRPr="002F6425">
              <w:rPr>
                <w:rFonts w:cs="Arial"/>
                <w:bCs/>
                <w:i/>
                <w:iCs/>
                <w:spacing w:val="-2"/>
                <w:w w:val="105"/>
                <w:szCs w:val="18"/>
              </w:rPr>
              <w:t>(Mus domesticus)</w:t>
            </w:r>
          </w:p>
        </w:tc>
        <w:tc>
          <w:tcPr>
            <w:tcW w:w="700" w:type="pct"/>
          </w:tcPr>
          <w:p w14:paraId="4B7F78F7" w14:textId="4F7DF5A1" w:rsidR="008E67EA" w:rsidRPr="00867EDB" w:rsidRDefault="008E67EA" w:rsidP="00FF707A">
            <w:pPr>
              <w:spacing w:line="240" w:lineRule="exact"/>
              <w:rPr>
                <w:rFonts w:cs="Arial"/>
                <w:bCs/>
                <w:spacing w:val="-2"/>
                <w:w w:val="105"/>
                <w:szCs w:val="18"/>
              </w:rPr>
            </w:pPr>
            <w:r>
              <w:rPr>
                <w:rFonts w:cs="Arial"/>
                <w:bCs/>
                <w:spacing w:val="-2"/>
                <w:w w:val="105"/>
                <w:szCs w:val="18"/>
              </w:rPr>
              <w:t>1 block/bait station</w:t>
            </w:r>
          </w:p>
        </w:tc>
        <w:tc>
          <w:tcPr>
            <w:tcW w:w="1899" w:type="pct"/>
            <w:vMerge/>
          </w:tcPr>
          <w:p w14:paraId="74506934" w14:textId="77777777" w:rsidR="008E67EA" w:rsidRPr="00867EDB" w:rsidRDefault="008E67EA" w:rsidP="00B44A74">
            <w:pPr>
              <w:spacing w:line="240" w:lineRule="exact"/>
              <w:rPr>
                <w:rFonts w:cs="Arial"/>
                <w:bCs/>
                <w:spacing w:val="-2"/>
                <w:w w:val="105"/>
                <w:szCs w:val="18"/>
              </w:rPr>
            </w:pPr>
          </w:p>
        </w:tc>
      </w:tr>
      <w:tr w:rsidR="008E67EA" w:rsidRPr="00C118CC" w14:paraId="757DF1B4" w14:textId="77777777" w:rsidTr="00FF707A">
        <w:trPr>
          <w:trHeight w:val="1247"/>
        </w:trPr>
        <w:tc>
          <w:tcPr>
            <w:tcW w:w="1601" w:type="pct"/>
          </w:tcPr>
          <w:p w14:paraId="0E5966A0" w14:textId="77777777" w:rsidR="008E67EA" w:rsidRPr="002F6425" w:rsidRDefault="008E67EA" w:rsidP="00B44A74">
            <w:pPr>
              <w:spacing w:line="240" w:lineRule="exact"/>
              <w:rPr>
                <w:rFonts w:cs="Arial"/>
                <w:b/>
                <w:spacing w:val="-2"/>
                <w:w w:val="105"/>
                <w:szCs w:val="18"/>
              </w:rPr>
            </w:pPr>
            <w:r w:rsidRPr="002F6425">
              <w:rPr>
                <w:rFonts w:cs="Arial"/>
                <w:b/>
                <w:spacing w:val="-2"/>
                <w:w w:val="105"/>
                <w:szCs w:val="18"/>
              </w:rPr>
              <w:t xml:space="preserve">Monitoring and/or Maintenance Treatments </w:t>
            </w:r>
          </w:p>
          <w:p w14:paraId="16C2C5DE" w14:textId="77777777" w:rsidR="008E67EA" w:rsidRDefault="008E67EA" w:rsidP="00B44A74">
            <w:pPr>
              <w:spacing w:line="240" w:lineRule="exact"/>
              <w:rPr>
                <w:rFonts w:cs="Arial"/>
                <w:bCs/>
                <w:spacing w:val="-2"/>
                <w:w w:val="105"/>
                <w:szCs w:val="18"/>
              </w:rPr>
            </w:pPr>
            <w:r w:rsidRPr="00867EDB">
              <w:rPr>
                <w:rFonts w:cs="Arial"/>
                <w:bCs/>
                <w:spacing w:val="-2"/>
                <w:w w:val="105"/>
                <w:szCs w:val="18"/>
              </w:rPr>
              <w:t xml:space="preserve">In and around </w:t>
            </w:r>
            <w:r>
              <w:rPr>
                <w:rFonts w:cs="Arial"/>
                <w:bCs/>
                <w:spacing w:val="-2"/>
                <w:w w:val="105"/>
                <w:szCs w:val="18"/>
              </w:rPr>
              <w:t>(within 2 m) industrial commercial, public service, agricultural and do</w:t>
            </w:r>
            <w:r w:rsidRPr="00867EDB">
              <w:rPr>
                <w:rFonts w:cs="Arial"/>
                <w:bCs/>
                <w:spacing w:val="-2"/>
                <w:w w:val="105"/>
                <w:szCs w:val="18"/>
              </w:rPr>
              <w:t>mestic</w:t>
            </w:r>
            <w:r>
              <w:rPr>
                <w:rFonts w:cs="Arial"/>
                <w:bCs/>
                <w:spacing w:val="-2"/>
                <w:w w:val="105"/>
                <w:szCs w:val="18"/>
              </w:rPr>
              <w:t xml:space="preserve"> buil</w:t>
            </w:r>
            <w:r w:rsidRPr="00867EDB">
              <w:rPr>
                <w:rFonts w:cs="Arial"/>
                <w:bCs/>
                <w:spacing w:val="-2"/>
                <w:w w:val="105"/>
                <w:szCs w:val="18"/>
              </w:rPr>
              <w:t>dings</w:t>
            </w:r>
          </w:p>
        </w:tc>
        <w:tc>
          <w:tcPr>
            <w:tcW w:w="800" w:type="pct"/>
          </w:tcPr>
          <w:p w14:paraId="492DA2E6" w14:textId="77777777" w:rsidR="008E67EA" w:rsidRPr="00867EDB" w:rsidRDefault="008E67EA" w:rsidP="00B44A74">
            <w:pPr>
              <w:spacing w:line="240" w:lineRule="exact"/>
              <w:rPr>
                <w:rFonts w:cs="Arial"/>
                <w:bCs/>
                <w:spacing w:val="-2"/>
                <w:w w:val="105"/>
                <w:szCs w:val="18"/>
              </w:rPr>
            </w:pPr>
            <w:r w:rsidRPr="00867EDB">
              <w:rPr>
                <w:rFonts w:cs="Arial"/>
                <w:bCs/>
                <w:spacing w:val="-2"/>
                <w:w w:val="105"/>
                <w:szCs w:val="18"/>
              </w:rPr>
              <w:t>Rats</w:t>
            </w:r>
          </w:p>
          <w:p w14:paraId="06502164" w14:textId="2E44EED1" w:rsidR="008E67EA" w:rsidRPr="00867EDB" w:rsidRDefault="008E67EA" w:rsidP="00FF707A">
            <w:pPr>
              <w:spacing w:line="240" w:lineRule="exact"/>
              <w:rPr>
                <w:rFonts w:cs="Arial"/>
                <w:bCs/>
                <w:spacing w:val="-2"/>
                <w:w w:val="105"/>
                <w:szCs w:val="18"/>
              </w:rPr>
            </w:pPr>
            <w:r w:rsidRPr="002F6425">
              <w:rPr>
                <w:rFonts w:cs="Arial"/>
                <w:bCs/>
                <w:i/>
                <w:iCs/>
                <w:spacing w:val="-2"/>
                <w:w w:val="105"/>
                <w:szCs w:val="18"/>
              </w:rPr>
              <w:t>(Rattus rattus, R. norvegicus)</w:t>
            </w:r>
          </w:p>
        </w:tc>
        <w:tc>
          <w:tcPr>
            <w:tcW w:w="700" w:type="pct"/>
            <w:vMerge w:val="restart"/>
          </w:tcPr>
          <w:p w14:paraId="4B1DAF0D" w14:textId="77777777" w:rsidR="008E67EA" w:rsidRPr="00867EDB" w:rsidRDefault="008E67EA" w:rsidP="00B44A74">
            <w:pPr>
              <w:spacing w:line="240" w:lineRule="exact"/>
              <w:rPr>
                <w:rFonts w:cs="Arial"/>
                <w:bCs/>
                <w:spacing w:val="-2"/>
                <w:w w:val="105"/>
                <w:szCs w:val="18"/>
              </w:rPr>
            </w:pPr>
            <w:r>
              <w:rPr>
                <w:rFonts w:cs="Arial"/>
                <w:bCs/>
                <w:spacing w:val="-2"/>
                <w:w w:val="105"/>
                <w:szCs w:val="18"/>
              </w:rPr>
              <w:t>1 block/bait station</w:t>
            </w:r>
          </w:p>
        </w:tc>
        <w:tc>
          <w:tcPr>
            <w:tcW w:w="1899" w:type="pct"/>
            <w:vMerge w:val="restart"/>
          </w:tcPr>
          <w:p w14:paraId="4CD168A1" w14:textId="77777777" w:rsidR="008E67EA" w:rsidRDefault="008E67EA" w:rsidP="00B44A74">
            <w:pPr>
              <w:spacing w:after="120" w:line="240" w:lineRule="exact"/>
              <w:rPr>
                <w:rFonts w:cs="Arial"/>
                <w:bCs/>
                <w:spacing w:val="-2"/>
                <w:w w:val="105"/>
                <w:szCs w:val="18"/>
              </w:rPr>
            </w:pPr>
            <w:r w:rsidRPr="00867EDB">
              <w:rPr>
                <w:rFonts w:cs="Arial"/>
                <w:bCs/>
                <w:spacing w:val="-2"/>
                <w:w w:val="105"/>
                <w:szCs w:val="18"/>
              </w:rPr>
              <w:t>Place bait stations</w:t>
            </w:r>
            <w:r w:rsidRPr="002F6425">
              <w:rPr>
                <w:rFonts w:cs="Arial"/>
                <w:bCs/>
                <w:spacing w:val="-2"/>
                <w:w w:val="105"/>
                <w:szCs w:val="18"/>
              </w:rPr>
              <w:t xml:space="preserve"> in areas prone to rodent</w:t>
            </w:r>
            <w:r>
              <w:rPr>
                <w:rFonts w:cs="Arial"/>
                <w:bCs/>
                <w:spacing w:val="-2"/>
                <w:w w:val="105"/>
                <w:szCs w:val="18"/>
              </w:rPr>
              <w:t xml:space="preserve"> </w:t>
            </w:r>
            <w:r w:rsidRPr="002F6425">
              <w:rPr>
                <w:rFonts w:cs="Arial"/>
                <w:bCs/>
                <w:spacing w:val="-2"/>
                <w:w w:val="105"/>
                <w:szCs w:val="18"/>
              </w:rPr>
              <w:t>infestation</w:t>
            </w:r>
            <w:r>
              <w:rPr>
                <w:rFonts w:cs="Arial"/>
                <w:bCs/>
                <w:spacing w:val="-2"/>
                <w:w w:val="105"/>
                <w:szCs w:val="18"/>
              </w:rPr>
              <w:t xml:space="preserve"> at</w:t>
            </w:r>
            <w:r w:rsidRPr="002F6425">
              <w:rPr>
                <w:rFonts w:cs="Arial"/>
                <w:bCs/>
                <w:spacing w:val="-2"/>
                <w:w w:val="105"/>
                <w:szCs w:val="18"/>
              </w:rPr>
              <w:t xml:space="preserve"> intervals of between 15 and 30</w:t>
            </w:r>
            <w:r>
              <w:rPr>
                <w:rFonts w:cs="Arial"/>
                <w:bCs/>
                <w:spacing w:val="-2"/>
                <w:w w:val="105"/>
                <w:szCs w:val="18"/>
              </w:rPr>
              <w:t xml:space="preserve"> </w:t>
            </w:r>
            <w:r w:rsidRPr="002F6425">
              <w:rPr>
                <w:rFonts w:cs="Arial"/>
                <w:bCs/>
                <w:spacing w:val="-2"/>
                <w:w w:val="105"/>
                <w:szCs w:val="18"/>
              </w:rPr>
              <w:t>m.</w:t>
            </w:r>
          </w:p>
          <w:p w14:paraId="18A7B957" w14:textId="77777777" w:rsidR="008E67EA" w:rsidRPr="00867EDB" w:rsidRDefault="008E67EA" w:rsidP="00B44A74">
            <w:pPr>
              <w:spacing w:after="120" w:line="240" w:lineRule="exact"/>
              <w:rPr>
                <w:rFonts w:cs="Arial"/>
                <w:bCs/>
                <w:spacing w:val="-2"/>
                <w:w w:val="105"/>
                <w:szCs w:val="18"/>
              </w:rPr>
            </w:pPr>
            <w:r>
              <w:rPr>
                <w:rFonts w:cs="Arial"/>
                <w:bCs/>
                <w:spacing w:val="-2"/>
                <w:w w:val="105"/>
                <w:szCs w:val="18"/>
              </w:rPr>
              <w:t>See also baiting strategy for monitoring and/or maintenance treatments.</w:t>
            </w:r>
          </w:p>
        </w:tc>
      </w:tr>
      <w:tr w:rsidR="008E67EA" w:rsidRPr="00C118CC" w14:paraId="1E666947" w14:textId="77777777" w:rsidTr="00FF707A">
        <w:trPr>
          <w:trHeight w:val="1020"/>
        </w:trPr>
        <w:tc>
          <w:tcPr>
            <w:tcW w:w="1601" w:type="pct"/>
          </w:tcPr>
          <w:p w14:paraId="7BAE81F2" w14:textId="77777777" w:rsidR="008E67EA" w:rsidRPr="002F6425" w:rsidRDefault="008E67EA" w:rsidP="00B44A74">
            <w:pPr>
              <w:spacing w:line="240" w:lineRule="exact"/>
              <w:rPr>
                <w:rFonts w:cs="Arial"/>
                <w:b/>
                <w:spacing w:val="-2"/>
                <w:w w:val="105"/>
                <w:szCs w:val="18"/>
              </w:rPr>
            </w:pPr>
            <w:r w:rsidRPr="002F6425">
              <w:rPr>
                <w:rFonts w:cs="Arial"/>
                <w:b/>
                <w:spacing w:val="-2"/>
                <w:w w:val="105"/>
                <w:szCs w:val="18"/>
              </w:rPr>
              <w:t xml:space="preserve">Monitoring and/or Maintenance Treatments </w:t>
            </w:r>
          </w:p>
          <w:p w14:paraId="70BC0EFB" w14:textId="77777777" w:rsidR="008E67EA" w:rsidRDefault="008E67EA" w:rsidP="00B44A74">
            <w:pPr>
              <w:spacing w:line="240" w:lineRule="exact"/>
              <w:rPr>
                <w:rFonts w:cs="Arial"/>
                <w:bCs/>
                <w:spacing w:val="-2"/>
                <w:w w:val="105"/>
                <w:szCs w:val="18"/>
              </w:rPr>
            </w:pPr>
            <w:r w:rsidRPr="00867EDB">
              <w:rPr>
                <w:rFonts w:cs="Arial"/>
                <w:bCs/>
                <w:spacing w:val="-2"/>
                <w:w w:val="105"/>
                <w:szCs w:val="18"/>
              </w:rPr>
              <w:t xml:space="preserve">In </w:t>
            </w:r>
            <w:r>
              <w:rPr>
                <w:rFonts w:cs="Arial"/>
                <w:bCs/>
                <w:spacing w:val="-2"/>
                <w:w w:val="105"/>
                <w:szCs w:val="18"/>
              </w:rPr>
              <w:t>industrial commercial, public service, agricultural and do</w:t>
            </w:r>
            <w:r w:rsidRPr="00867EDB">
              <w:rPr>
                <w:rFonts w:cs="Arial"/>
                <w:bCs/>
                <w:spacing w:val="-2"/>
                <w:w w:val="105"/>
                <w:szCs w:val="18"/>
              </w:rPr>
              <w:t>mestic</w:t>
            </w:r>
            <w:r>
              <w:rPr>
                <w:rFonts w:cs="Arial"/>
                <w:bCs/>
                <w:spacing w:val="-2"/>
                <w:w w:val="105"/>
                <w:szCs w:val="18"/>
              </w:rPr>
              <w:t xml:space="preserve"> buil</w:t>
            </w:r>
            <w:r w:rsidRPr="00867EDB">
              <w:rPr>
                <w:rFonts w:cs="Arial"/>
                <w:bCs/>
                <w:spacing w:val="-2"/>
                <w:w w:val="105"/>
                <w:szCs w:val="18"/>
              </w:rPr>
              <w:t>dings</w:t>
            </w:r>
          </w:p>
        </w:tc>
        <w:tc>
          <w:tcPr>
            <w:tcW w:w="800" w:type="pct"/>
          </w:tcPr>
          <w:p w14:paraId="7997ACF0" w14:textId="77777777" w:rsidR="008E67EA" w:rsidRPr="00867EDB" w:rsidRDefault="008E67EA" w:rsidP="00B44A74">
            <w:pPr>
              <w:spacing w:line="240" w:lineRule="exact"/>
              <w:rPr>
                <w:rFonts w:cs="Arial"/>
                <w:bCs/>
                <w:spacing w:val="-2"/>
                <w:w w:val="105"/>
                <w:szCs w:val="18"/>
              </w:rPr>
            </w:pPr>
            <w:r w:rsidRPr="00867EDB">
              <w:rPr>
                <w:rFonts w:cs="Arial"/>
                <w:bCs/>
                <w:spacing w:val="-2"/>
                <w:w w:val="105"/>
                <w:szCs w:val="18"/>
              </w:rPr>
              <w:t>Mice</w:t>
            </w:r>
          </w:p>
          <w:p w14:paraId="0798C9F5" w14:textId="258A8CC9" w:rsidR="008E67EA" w:rsidRPr="00867EDB" w:rsidRDefault="008E67EA" w:rsidP="00FF707A">
            <w:pPr>
              <w:spacing w:line="240" w:lineRule="exact"/>
              <w:rPr>
                <w:rFonts w:cs="Arial"/>
                <w:bCs/>
                <w:spacing w:val="-2"/>
                <w:w w:val="105"/>
                <w:szCs w:val="18"/>
              </w:rPr>
            </w:pPr>
            <w:r w:rsidRPr="002F6425">
              <w:rPr>
                <w:rFonts w:cs="Arial"/>
                <w:bCs/>
                <w:i/>
                <w:iCs/>
                <w:spacing w:val="-2"/>
                <w:w w:val="105"/>
                <w:szCs w:val="18"/>
              </w:rPr>
              <w:t>(Mus domesticus)</w:t>
            </w:r>
          </w:p>
        </w:tc>
        <w:tc>
          <w:tcPr>
            <w:tcW w:w="700" w:type="pct"/>
            <w:vMerge/>
          </w:tcPr>
          <w:p w14:paraId="0B886CDC" w14:textId="77777777" w:rsidR="008E67EA" w:rsidRPr="00867EDB" w:rsidRDefault="008E67EA" w:rsidP="00B44A74">
            <w:pPr>
              <w:spacing w:line="240" w:lineRule="exact"/>
              <w:rPr>
                <w:rFonts w:cs="Arial"/>
                <w:bCs/>
                <w:spacing w:val="-2"/>
                <w:w w:val="105"/>
                <w:szCs w:val="18"/>
              </w:rPr>
            </w:pPr>
          </w:p>
        </w:tc>
        <w:tc>
          <w:tcPr>
            <w:tcW w:w="1899" w:type="pct"/>
            <w:vMerge/>
          </w:tcPr>
          <w:p w14:paraId="0BC4F7E3" w14:textId="77777777" w:rsidR="008E67EA" w:rsidRPr="00867EDB" w:rsidRDefault="008E67EA" w:rsidP="00B44A74">
            <w:pPr>
              <w:spacing w:line="240" w:lineRule="exact"/>
              <w:rPr>
                <w:rFonts w:cs="Arial"/>
                <w:bCs/>
                <w:spacing w:val="-2"/>
                <w:w w:val="105"/>
                <w:szCs w:val="18"/>
              </w:rPr>
            </w:pPr>
          </w:p>
        </w:tc>
      </w:tr>
      <w:bookmarkEnd w:id="343"/>
    </w:tbl>
    <w:p w14:paraId="59E189E8" w14:textId="77777777" w:rsidR="008E67EA" w:rsidRDefault="008E67EA" w:rsidP="008E67EA">
      <w:pPr>
        <w:spacing w:line="280" w:lineRule="exact"/>
        <w:rPr>
          <w:rFonts w:cs="Arial"/>
          <w:b/>
          <w:bCs/>
          <w:sz w:val="20"/>
          <w:szCs w:val="20"/>
        </w:rPr>
      </w:pPr>
    </w:p>
    <w:p w14:paraId="3C745D34" w14:textId="77777777" w:rsidR="008E67EA" w:rsidRPr="00867EDB" w:rsidRDefault="008E67EA" w:rsidP="008E67EA">
      <w:pPr>
        <w:spacing w:line="280" w:lineRule="exact"/>
        <w:rPr>
          <w:rFonts w:cs="Arial"/>
          <w:b/>
          <w:bCs/>
          <w:color w:val="000000" w:themeColor="text1"/>
          <w:sz w:val="20"/>
          <w:szCs w:val="20"/>
        </w:rPr>
      </w:pPr>
      <w:r w:rsidRPr="00867EDB">
        <w:rPr>
          <w:rFonts w:cs="Arial"/>
          <w:b/>
          <w:bCs/>
          <w:color w:val="000000" w:themeColor="text1"/>
          <w:sz w:val="20"/>
          <w:szCs w:val="20"/>
        </w:rPr>
        <w:t>Baiting Strategy</w:t>
      </w:r>
    </w:p>
    <w:p w14:paraId="57285826" w14:textId="77777777" w:rsidR="008E67EA" w:rsidRPr="00B832BB"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Eliminate all alternative food sources as far as practical.</w:t>
      </w:r>
    </w:p>
    <w:p w14:paraId="41CA95DA" w14:textId="77777777" w:rsidR="008E67EA" w:rsidRPr="00B832BB"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bookmarkStart w:id="345" w:name="_Hlk212641049"/>
      <w:r w:rsidRPr="00B832BB">
        <w:rPr>
          <w:rFonts w:eastAsia="Calibri" w:cs="Arial"/>
          <w:sz w:val="20"/>
          <w:szCs w:val="20"/>
          <w:bdr w:val="none" w:sz="0" w:space="0" w:color="auto" w:frame="1"/>
          <w:lang w:val="en-GB" w:eastAsia="en-AU"/>
        </w:rPr>
        <w:lastRenderedPageBreak/>
        <w:t>When used in food producing animal housing situations careful consideration is necessary regarding the placement of bait stations to ensure any rodenticide contamination of water, feed or livestock is prevented.</w:t>
      </w:r>
    </w:p>
    <w:bookmarkEnd w:id="345"/>
    <w:p w14:paraId="13E3A331" w14:textId="4F47D216" w:rsidR="008E67EA" w:rsidRPr="00867EDB" w:rsidRDefault="008E67EA" w:rsidP="008E67EA">
      <w:pPr>
        <w:spacing w:line="280" w:lineRule="exact"/>
        <w:rPr>
          <w:rFonts w:cs="Arial"/>
          <w:b/>
          <w:bCs/>
          <w:i/>
          <w:iCs/>
          <w:color w:val="000000" w:themeColor="text1"/>
          <w:sz w:val="20"/>
          <w:szCs w:val="20"/>
        </w:rPr>
      </w:pPr>
      <w:r w:rsidRPr="00867EDB">
        <w:rPr>
          <w:rFonts w:cs="Arial"/>
          <w:b/>
          <w:bCs/>
          <w:i/>
          <w:iCs/>
          <w:color w:val="000000" w:themeColor="text1"/>
          <w:sz w:val="20"/>
          <w:szCs w:val="20"/>
        </w:rPr>
        <w:t>Clean Out Treatments (Pulse Baiting)</w:t>
      </w:r>
    </w:p>
    <w:p w14:paraId="1EF83DDC" w14:textId="77777777" w:rsidR="008E67EA" w:rsidRPr="00641519"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Clean out treatments are used to remove existing infestations of rats and mice</w:t>
      </w:r>
    </w:p>
    <w:p w14:paraId="3469D719" w14:textId="77777777" w:rsidR="008E67EA" w:rsidRPr="00B832BB"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bookmarkStart w:id="346" w:name="_Hlk212647405"/>
      <w:r w:rsidRPr="00641519">
        <w:rPr>
          <w:rFonts w:eastAsia="Calibri" w:cs="Arial"/>
          <w:sz w:val="20"/>
          <w:szCs w:val="20"/>
          <w:bdr w:val="none" w:sz="0" w:space="0" w:color="auto" w:frame="1"/>
          <w:lang w:val="en-GB" w:eastAsia="en-AU"/>
        </w:rPr>
        <w:t>Survey site prior to treatment, including assessment of the extent of infestation and identification of any indications of the presence of non-target animals.</w:t>
      </w:r>
    </w:p>
    <w:p w14:paraId="5B6D9A12" w14:textId="73267627" w:rsidR="008E67EA" w:rsidRPr="00641519"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bookmarkStart w:id="347" w:name="_Hlk212641073"/>
      <w:r>
        <w:rPr>
          <w:rFonts w:eastAsia="Calibri" w:cs="Arial"/>
          <w:sz w:val="20"/>
          <w:szCs w:val="20"/>
          <w:bdr w:val="none" w:sz="0" w:space="0" w:color="auto" w:frame="1"/>
          <w:lang w:val="en-GB" w:eastAsia="en-AU"/>
        </w:rPr>
        <w:t xml:space="preserve">Always use </w:t>
      </w:r>
      <w:r w:rsidRPr="00A86A4B">
        <w:rPr>
          <w:rFonts w:cs="Arial"/>
          <w:sz w:val="20"/>
          <w:szCs w:val="20"/>
          <w:bdr w:val="none" w:sz="0" w:space="0" w:color="auto" w:frame="1"/>
          <w:lang w:val="en-GB" w:eastAsia="en-AU"/>
        </w:rPr>
        <w:t>tamper</w:t>
      </w:r>
      <w:r>
        <w:rPr>
          <w:rFonts w:cs="Arial"/>
          <w:sz w:val="20"/>
          <w:szCs w:val="20"/>
          <w:bdr w:val="none" w:sz="0" w:space="0" w:color="auto" w:frame="1"/>
          <w:lang w:val="en-GB" w:eastAsia="en-AU"/>
        </w:rPr>
        <w:t>-resistant bait stations that are secured in place in child accessible areas, outdoors and in animal or livestock housing</w:t>
      </w:r>
      <w:bookmarkEnd w:id="346"/>
      <w:r>
        <w:rPr>
          <w:rFonts w:cs="Arial"/>
          <w:sz w:val="20"/>
          <w:szCs w:val="20"/>
          <w:bdr w:val="none" w:sz="0" w:space="0" w:color="auto" w:frame="1"/>
          <w:lang w:val="en-GB" w:eastAsia="en-AU"/>
        </w:rPr>
        <w:t>.</w:t>
      </w:r>
    </w:p>
    <w:bookmarkEnd w:id="347"/>
    <w:p w14:paraId="16BC8307" w14:textId="77777777" w:rsidR="008E67EA" w:rsidRPr="00641519"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Place wax blocks so as to prevent access to non-target animals.</w:t>
      </w:r>
      <w:r w:rsidRPr="00F50857">
        <w:t xml:space="preserve"> </w:t>
      </w:r>
      <w:r w:rsidRPr="00F50857">
        <w:rPr>
          <w:rFonts w:eastAsia="Calibri" w:cs="Arial"/>
          <w:sz w:val="20"/>
          <w:szCs w:val="20"/>
          <w:bdr w:val="none" w:sz="0" w:space="0" w:color="auto" w:frame="1"/>
          <w:lang w:eastAsia="en-AU"/>
        </w:rPr>
        <w:t>Securely fasten bait and bait stations to minimise risk of consumption by other animals or of being dragged away.</w:t>
      </w:r>
    </w:p>
    <w:p w14:paraId="58FB58E4" w14:textId="77777777" w:rsidR="008E67EA" w:rsidRPr="00F50857"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bookmarkStart w:id="348" w:name="_Hlk215058934"/>
      <w:r w:rsidRPr="00B01447">
        <w:rPr>
          <w:rFonts w:eastAsia="Calibri" w:cs="Arial"/>
          <w:sz w:val="20"/>
          <w:szCs w:val="20"/>
          <w:bdr w:val="none" w:sz="0" w:space="0" w:color="auto" w:frame="1"/>
          <w:lang w:val="en-GB" w:eastAsia="en-AU"/>
        </w:rPr>
        <w:t xml:space="preserve">Record the number and locations of bait stations for </w:t>
      </w:r>
      <w:r>
        <w:rPr>
          <w:rFonts w:eastAsia="Calibri" w:cs="Arial"/>
          <w:sz w:val="20"/>
          <w:szCs w:val="20"/>
          <w:bdr w:val="none" w:sz="0" w:space="0" w:color="auto" w:frame="1"/>
          <w:lang w:val="en-GB" w:eastAsia="en-AU"/>
        </w:rPr>
        <w:t xml:space="preserve">the </w:t>
      </w:r>
      <w:r w:rsidRPr="00B01447">
        <w:rPr>
          <w:rFonts w:eastAsia="Calibri" w:cs="Arial"/>
          <w:sz w:val="20"/>
          <w:szCs w:val="20"/>
          <w:bdr w:val="none" w:sz="0" w:space="0" w:color="auto" w:frame="1"/>
          <w:lang w:val="en-GB" w:eastAsia="en-AU"/>
        </w:rPr>
        <w:t>purpose of inspection, replacement and later removal.</w:t>
      </w:r>
    </w:p>
    <w:bookmarkEnd w:id="348"/>
    <w:p w14:paraId="3D8E0941" w14:textId="12FB675E" w:rsidR="008E67EA"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753F40">
        <w:rPr>
          <w:rFonts w:eastAsia="Calibri" w:cs="Arial"/>
          <w:sz w:val="20"/>
          <w:szCs w:val="20"/>
          <w:bdr w:val="none" w:sz="0" w:space="0" w:color="auto" w:frame="1"/>
          <w:lang w:eastAsia="en-AU"/>
        </w:rPr>
        <w:t>Inspect baits frequently, particularly in the first ten days. UV (black light) can be used to increase visibility of the fluorescent baits. Replace any bait that has been consumed. Repeat approximately 4</w:t>
      </w:r>
      <w:r w:rsidR="00FF707A">
        <w:rPr>
          <w:rFonts w:eastAsia="Calibri" w:cs="Arial"/>
          <w:sz w:val="20"/>
          <w:szCs w:val="20"/>
          <w:bdr w:val="none" w:sz="0" w:space="0" w:color="auto" w:frame="1"/>
          <w:lang w:eastAsia="en-AU"/>
        </w:rPr>
        <w:t> </w:t>
      </w:r>
      <w:r w:rsidRPr="00753F40">
        <w:rPr>
          <w:rFonts w:eastAsia="Calibri" w:cs="Arial"/>
          <w:sz w:val="20"/>
          <w:szCs w:val="20"/>
          <w:bdr w:val="none" w:sz="0" w:space="0" w:color="auto" w:frame="1"/>
          <w:lang w:eastAsia="en-AU"/>
        </w:rPr>
        <w:t>days later and then weekly. Replace contaminated or spoiled baits</w:t>
      </w:r>
      <w:r>
        <w:rPr>
          <w:rFonts w:eastAsia="Calibri" w:cs="Arial"/>
          <w:sz w:val="20"/>
          <w:szCs w:val="20"/>
          <w:bdr w:val="none" w:sz="0" w:space="0" w:color="auto" w:frame="1"/>
          <w:lang w:eastAsia="en-AU"/>
        </w:rPr>
        <w:t>.</w:t>
      </w:r>
    </w:p>
    <w:p w14:paraId="0D05E812" w14:textId="77777777" w:rsidR="008E67EA" w:rsidRPr="00641519"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 xml:space="preserve">Baiting for at least 2 weeks (3 to 4 pulses) will be necessary to reduce rat/mouse numbers to a low level. Although heavy infestations may require longer treatments to achieve complete eradication. </w:t>
      </w:r>
      <w:r w:rsidRPr="00753F40">
        <w:rPr>
          <w:rFonts w:eastAsia="Calibri" w:cs="Arial"/>
          <w:sz w:val="20"/>
          <w:szCs w:val="20"/>
          <w:bdr w:val="none" w:sz="0" w:space="0" w:color="auto" w:frame="1"/>
          <w:lang w:eastAsia="en-AU"/>
        </w:rPr>
        <w:t>Most deaths occur 4 to 7 days after consumption of bait.</w:t>
      </w:r>
    </w:p>
    <w:p w14:paraId="36A4ABC5" w14:textId="77777777" w:rsidR="008E67EA" w:rsidRPr="00641519"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 xml:space="preserve">Discontinue the treatment when effective control has been achieved and remove all </w:t>
      </w:r>
      <w:r>
        <w:rPr>
          <w:rFonts w:eastAsia="Calibri" w:cs="Arial"/>
          <w:sz w:val="20"/>
          <w:szCs w:val="20"/>
          <w:bdr w:val="none" w:sz="0" w:space="0" w:color="auto" w:frame="1"/>
          <w:lang w:val="en-GB" w:eastAsia="en-AU"/>
        </w:rPr>
        <w:t>bait</w:t>
      </w:r>
      <w:r w:rsidRPr="00641519">
        <w:rPr>
          <w:rFonts w:eastAsia="Calibri" w:cs="Arial"/>
          <w:sz w:val="20"/>
          <w:szCs w:val="20"/>
          <w:bdr w:val="none" w:sz="0" w:space="0" w:color="auto" w:frame="1"/>
          <w:lang w:val="en-GB" w:eastAsia="en-AU"/>
        </w:rPr>
        <w:t xml:space="preserve"> and bait stations unless a maintenance treatment is to be undertaken.</w:t>
      </w:r>
    </w:p>
    <w:p w14:paraId="665E6501" w14:textId="77777777" w:rsidR="008E67EA" w:rsidRPr="00641519"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bookmarkStart w:id="349" w:name="_Hlk212647443"/>
      <w:r w:rsidRPr="00641519">
        <w:rPr>
          <w:rFonts w:eastAsia="Calibri" w:cs="Arial"/>
          <w:sz w:val="20"/>
          <w:szCs w:val="20"/>
          <w:bdr w:val="none" w:sz="0" w:space="0" w:color="auto" w:frame="1"/>
          <w:lang w:val="en-GB" w:eastAsia="en-AU"/>
        </w:rPr>
        <w:t>DO NOT use the product beyond 35 days without an evaluation of the state of the infestation and of the efficacy of the treatment.</w:t>
      </w:r>
    </w:p>
    <w:p w14:paraId="4E55B94B" w14:textId="77777777" w:rsidR="008E67EA" w:rsidRPr="00641519"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Remove all uneaten bait at the end of treatment.</w:t>
      </w:r>
    </w:p>
    <w:bookmarkEnd w:id="349"/>
    <w:p w14:paraId="49B25B98" w14:textId="77777777" w:rsidR="008E67EA" w:rsidRPr="00867EDB" w:rsidRDefault="008E67EA" w:rsidP="008E67EA">
      <w:pPr>
        <w:spacing w:line="280" w:lineRule="exact"/>
        <w:rPr>
          <w:rFonts w:cs="Arial"/>
          <w:b/>
          <w:bCs/>
          <w:i/>
          <w:iCs/>
          <w:color w:val="000000" w:themeColor="text1"/>
          <w:sz w:val="20"/>
          <w:szCs w:val="20"/>
        </w:rPr>
      </w:pPr>
      <w:r w:rsidRPr="00867EDB">
        <w:rPr>
          <w:rFonts w:cs="Arial"/>
          <w:b/>
          <w:bCs/>
          <w:i/>
          <w:iCs/>
          <w:color w:val="000000" w:themeColor="text1"/>
          <w:sz w:val="20"/>
          <w:szCs w:val="20"/>
        </w:rPr>
        <w:t xml:space="preserve">Monitoring and/or Maintenance Treatments </w:t>
      </w:r>
    </w:p>
    <w:p w14:paraId="5A70BEE4" w14:textId="77777777" w:rsidR="008E67EA" w:rsidRPr="00B832BB"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Monitoring and maintenance treatments are required at sensitive sites where there is no current rodent infestation but where the prevention of such infestation is essential to prevent significant risks to human health. Such treatments may be a condition for audit approval within food safety guidelines. However, use of this product must comply with the conditions of this label.</w:t>
      </w:r>
    </w:p>
    <w:p w14:paraId="32582784" w14:textId="77777777" w:rsidR="008E67EA" w:rsidRPr="00B832BB"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Pr>
          <w:rFonts w:eastAsia="Calibri" w:cs="Arial"/>
          <w:sz w:val="20"/>
          <w:szCs w:val="20"/>
          <w:bdr w:val="none" w:sz="0" w:space="0" w:color="auto" w:frame="1"/>
          <w:lang w:val="en-GB" w:eastAsia="en-AU"/>
        </w:rPr>
        <w:t xml:space="preserve">Always use </w:t>
      </w:r>
      <w:r w:rsidRPr="00A86A4B">
        <w:rPr>
          <w:rFonts w:cs="Arial"/>
          <w:sz w:val="20"/>
          <w:szCs w:val="20"/>
          <w:bdr w:val="none" w:sz="0" w:space="0" w:color="auto" w:frame="1"/>
          <w:lang w:val="en-GB" w:eastAsia="en-AU"/>
        </w:rPr>
        <w:t>tamper</w:t>
      </w:r>
      <w:r>
        <w:rPr>
          <w:rFonts w:cs="Arial"/>
          <w:sz w:val="20"/>
          <w:szCs w:val="20"/>
          <w:bdr w:val="none" w:sz="0" w:space="0" w:color="auto" w:frame="1"/>
          <w:lang w:val="en-GB" w:eastAsia="en-AU"/>
        </w:rPr>
        <w:t xml:space="preserve">-resistant bait stations for monitoring and maintenance treatments and fix the stations securely to the substrate. </w:t>
      </w:r>
    </w:p>
    <w:p w14:paraId="7AF0C200" w14:textId="77777777" w:rsidR="008E67EA" w:rsidRPr="00641519"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Place bait stations so as to prevent access to non-target animals.</w:t>
      </w:r>
    </w:p>
    <w:p w14:paraId="014F6C0C" w14:textId="77777777" w:rsidR="008E67EA" w:rsidRPr="00641519"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Use placebo or unpoisoned bait blocks if the placement of the bait presents a hazard to non-target animals.</w:t>
      </w:r>
    </w:p>
    <w:p w14:paraId="5EF0A727" w14:textId="77777777" w:rsidR="008E67EA" w:rsidRPr="00641519"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 xml:space="preserve">Always </w:t>
      </w:r>
      <w:r>
        <w:rPr>
          <w:rFonts w:eastAsia="Calibri" w:cs="Arial"/>
          <w:sz w:val="20"/>
          <w:szCs w:val="20"/>
          <w:bdr w:val="none" w:sz="0" w:space="0" w:color="auto" w:frame="1"/>
          <w:lang w:val="en-GB" w:eastAsia="en-AU"/>
        </w:rPr>
        <w:t xml:space="preserve">map location and number of bait blocks to assist in retrieval and ongoing </w:t>
      </w:r>
      <w:r w:rsidRPr="00753F40">
        <w:rPr>
          <w:rFonts w:eastAsia="Calibri" w:cs="Arial"/>
          <w:sz w:val="20"/>
          <w:szCs w:val="20"/>
          <w:bdr w:val="none" w:sz="0" w:space="0" w:color="auto" w:frame="1"/>
          <w:lang w:eastAsia="en-AU"/>
        </w:rPr>
        <w:t>surveillance</w:t>
      </w:r>
      <w:r>
        <w:rPr>
          <w:rFonts w:eastAsia="Calibri" w:cs="Arial"/>
          <w:sz w:val="20"/>
          <w:szCs w:val="20"/>
          <w:bdr w:val="none" w:sz="0" w:space="0" w:color="auto" w:frame="1"/>
          <w:lang w:val="en-GB" w:eastAsia="en-AU"/>
        </w:rPr>
        <w:t>.</w:t>
      </w:r>
    </w:p>
    <w:p w14:paraId="5149761C" w14:textId="77777777" w:rsidR="008E67EA" w:rsidRPr="00641519"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 xml:space="preserve">Bait stations should be </w:t>
      </w:r>
      <w:r>
        <w:rPr>
          <w:rFonts w:eastAsia="Calibri" w:cs="Arial"/>
          <w:sz w:val="20"/>
          <w:szCs w:val="20"/>
          <w:bdr w:val="none" w:sz="0" w:space="0" w:color="auto" w:frame="1"/>
          <w:lang w:val="en-GB" w:eastAsia="en-AU"/>
        </w:rPr>
        <w:t>inspected</w:t>
      </w:r>
      <w:r w:rsidRPr="00641519">
        <w:rPr>
          <w:rFonts w:eastAsia="Calibri" w:cs="Arial"/>
          <w:sz w:val="20"/>
          <w:szCs w:val="20"/>
          <w:bdr w:val="none" w:sz="0" w:space="0" w:color="auto" w:frame="1"/>
          <w:lang w:val="en-GB" w:eastAsia="en-AU"/>
        </w:rPr>
        <w:t xml:space="preserve"> at regular intervals</w:t>
      </w:r>
      <w:r>
        <w:rPr>
          <w:rFonts w:eastAsia="Calibri" w:cs="Arial"/>
          <w:sz w:val="20"/>
          <w:szCs w:val="20"/>
          <w:bdr w:val="none" w:sz="0" w:space="0" w:color="auto" w:frame="1"/>
          <w:lang w:val="en-GB" w:eastAsia="en-AU"/>
        </w:rPr>
        <w:t xml:space="preserve"> no more than 7 days apart</w:t>
      </w:r>
      <w:r w:rsidRPr="00641519">
        <w:rPr>
          <w:rFonts w:eastAsia="Calibri" w:cs="Arial"/>
          <w:sz w:val="20"/>
          <w:szCs w:val="20"/>
          <w:bdr w:val="none" w:sz="0" w:space="0" w:color="auto" w:frame="1"/>
          <w:lang w:val="en-GB" w:eastAsia="en-AU"/>
        </w:rPr>
        <w:t xml:space="preserve"> according to an agreed and documented schedule.</w:t>
      </w:r>
    </w:p>
    <w:p w14:paraId="0A44E78B" w14:textId="77777777" w:rsidR="008E67EA" w:rsidRPr="00641519"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eastAsia="en-AU"/>
        </w:rPr>
        <w:t>When a rodent infestation is detected</w:t>
      </w:r>
      <w:r>
        <w:rPr>
          <w:rFonts w:eastAsia="Calibri" w:cs="Arial"/>
          <w:sz w:val="20"/>
          <w:szCs w:val="20"/>
          <w:bdr w:val="none" w:sz="0" w:space="0" w:color="auto" w:frame="1"/>
          <w:lang w:eastAsia="en-AU"/>
        </w:rPr>
        <w:t>,</w:t>
      </w:r>
      <w:r w:rsidRPr="00641519">
        <w:rPr>
          <w:rFonts w:eastAsia="Calibri" w:cs="Arial"/>
          <w:sz w:val="20"/>
          <w:szCs w:val="20"/>
          <w:bdr w:val="none" w:sz="0" w:space="0" w:color="auto" w:frame="1"/>
          <w:lang w:eastAsia="en-AU"/>
        </w:rPr>
        <w:t xml:space="preserve"> </w:t>
      </w:r>
      <w:r>
        <w:rPr>
          <w:rFonts w:eastAsia="Calibri" w:cs="Arial"/>
          <w:sz w:val="20"/>
          <w:szCs w:val="20"/>
          <w:bdr w:val="none" w:sz="0" w:space="0" w:color="auto" w:frame="1"/>
          <w:lang w:eastAsia="en-AU"/>
        </w:rPr>
        <w:t xml:space="preserve">the operator should </w:t>
      </w:r>
      <w:r w:rsidRPr="00641519">
        <w:rPr>
          <w:rFonts w:eastAsia="Calibri" w:cs="Arial"/>
          <w:sz w:val="20"/>
          <w:szCs w:val="20"/>
          <w:bdr w:val="none" w:sz="0" w:space="0" w:color="auto" w:frame="1"/>
          <w:lang w:eastAsia="en-AU"/>
        </w:rPr>
        <w:t>revert to the directions for Clean</w:t>
      </w:r>
      <w:r>
        <w:rPr>
          <w:rFonts w:eastAsia="Calibri" w:cs="Arial"/>
          <w:sz w:val="20"/>
          <w:szCs w:val="20"/>
          <w:bdr w:val="none" w:sz="0" w:space="0" w:color="auto" w:frame="1"/>
          <w:lang w:eastAsia="en-AU"/>
        </w:rPr>
        <w:t>-</w:t>
      </w:r>
      <w:r w:rsidRPr="00641519">
        <w:rPr>
          <w:rFonts w:eastAsia="Calibri" w:cs="Arial"/>
          <w:sz w:val="20"/>
          <w:szCs w:val="20"/>
          <w:bdr w:val="none" w:sz="0" w:space="0" w:color="auto" w:frame="1"/>
          <w:lang w:eastAsia="en-AU"/>
        </w:rPr>
        <w:t>Out Treatments</w:t>
      </w:r>
      <w:r>
        <w:rPr>
          <w:rFonts w:eastAsia="Calibri" w:cs="Arial"/>
          <w:sz w:val="20"/>
          <w:szCs w:val="20"/>
          <w:bdr w:val="none" w:sz="0" w:space="0" w:color="auto" w:frame="1"/>
          <w:lang w:eastAsia="en-AU"/>
        </w:rPr>
        <w:t>.</w:t>
      </w:r>
    </w:p>
    <w:p w14:paraId="77FACEF7" w14:textId="48025CDC" w:rsidR="008E67EA" w:rsidRDefault="008E67EA" w:rsidP="00FF707A">
      <w:pPr>
        <w:spacing w:line="280" w:lineRule="exact"/>
        <w:rPr>
          <w:rFonts w:ascii="Franklin Gothic Medium" w:eastAsia="Arial Unicode MS" w:hAnsi="Franklin Gothic Medium"/>
          <w:bCs/>
          <w:iCs/>
          <w:bdr w:val="none" w:sz="0" w:space="0" w:color="auto" w:frame="1"/>
          <w:lang w:val="en-GB" w:eastAsia="en-AU"/>
        </w:rPr>
      </w:pPr>
      <w:r w:rsidRPr="002F6425">
        <w:rPr>
          <w:rFonts w:cs="Arial"/>
          <w:b/>
          <w:bCs/>
          <w:color w:val="000000" w:themeColor="text1"/>
          <w:sz w:val="20"/>
          <w:szCs w:val="20"/>
        </w:rPr>
        <w:t>NOT TO BE USED FOR ANY PURPOSE, OR IN ANY MANNER, CONTRARY TO THIS LABEL UNLESS</w:t>
      </w:r>
      <w:r>
        <w:rPr>
          <w:rFonts w:cs="Arial"/>
          <w:b/>
          <w:bCs/>
          <w:color w:val="000000" w:themeColor="text1"/>
          <w:sz w:val="20"/>
          <w:szCs w:val="20"/>
        </w:rPr>
        <w:t xml:space="preserve"> </w:t>
      </w:r>
      <w:r w:rsidRPr="002F6425">
        <w:rPr>
          <w:rFonts w:cs="Arial"/>
          <w:b/>
          <w:bCs/>
          <w:color w:val="000000" w:themeColor="text1"/>
          <w:sz w:val="20"/>
          <w:szCs w:val="20"/>
        </w:rPr>
        <w:t>AUTHORISED UNDER APPROPRIATE LEGISLATION</w:t>
      </w:r>
      <w:bookmarkEnd w:id="344"/>
      <w:r>
        <w:rPr>
          <w:rFonts w:ascii="Franklin Gothic Medium" w:eastAsia="Arial Unicode MS" w:hAnsi="Franklin Gothic Medium"/>
          <w:bCs/>
          <w:iCs/>
          <w:bdr w:val="none" w:sz="0" w:space="0" w:color="auto" w:frame="1"/>
          <w:lang w:val="en-GB" w:eastAsia="en-AU"/>
        </w:rPr>
        <w:br w:type="page"/>
      </w:r>
    </w:p>
    <w:p w14:paraId="6BE2CCF8" w14:textId="77777777" w:rsidR="008E67EA" w:rsidRDefault="008E67EA" w:rsidP="008E67EA">
      <w:pPr>
        <w:keepNext/>
        <w:keepLines/>
        <w:spacing w:before="400" w:after="240" w:line="280" w:lineRule="exact"/>
        <w:outlineLvl w:val="1"/>
        <w:rPr>
          <w:rFonts w:ascii="Franklin Gothic Medium" w:eastAsia="Arial Unicode MS" w:hAnsi="Franklin Gothic Medium"/>
          <w:bCs/>
          <w:iCs/>
          <w:bdr w:val="none" w:sz="0" w:space="0" w:color="auto" w:frame="1"/>
          <w:lang w:val="en-GB" w:eastAsia="en-AU"/>
        </w:rPr>
      </w:pPr>
      <w:r w:rsidRPr="00FF36BF">
        <w:rPr>
          <w:rFonts w:ascii="Franklin Gothic Medium" w:eastAsia="Arial Unicode MS" w:hAnsi="Franklin Gothic Medium"/>
          <w:bCs/>
          <w:iCs/>
          <w:bdr w:val="none" w:sz="0" w:space="0" w:color="auto" w:frame="1"/>
          <w:lang w:val="en-GB" w:eastAsia="en-AU"/>
        </w:rPr>
        <w:lastRenderedPageBreak/>
        <w:t>Commercial</w:t>
      </w:r>
      <w:r>
        <w:rPr>
          <w:rFonts w:ascii="Franklin Gothic Medium" w:eastAsia="Arial Unicode MS" w:hAnsi="Franklin Gothic Medium"/>
          <w:bCs/>
          <w:iCs/>
          <w:bdr w:val="none" w:sz="0" w:space="0" w:color="auto" w:frame="1"/>
          <w:lang w:val="en-GB" w:eastAsia="en-AU"/>
        </w:rPr>
        <w:t xml:space="preserve"> pest-control product:</w:t>
      </w:r>
      <w:r w:rsidRPr="00FF36BF">
        <w:rPr>
          <w:rFonts w:ascii="Franklin Gothic Medium" w:eastAsia="Arial Unicode MS" w:hAnsi="Franklin Gothic Medium"/>
          <w:bCs/>
          <w:iCs/>
          <w:bdr w:val="none" w:sz="0" w:space="0" w:color="auto" w:frame="1"/>
          <w:lang w:val="en-GB" w:eastAsia="en-AU"/>
        </w:rPr>
        <w:t xml:space="preserve"> </w:t>
      </w:r>
      <w:r w:rsidRPr="00DA343B">
        <w:rPr>
          <w:rFonts w:ascii="Franklin Gothic Medium" w:eastAsia="Arial Unicode MS" w:hAnsi="Franklin Gothic Medium"/>
          <w:bCs/>
          <w:iCs/>
          <w:bdr w:val="none" w:sz="0" w:space="0" w:color="auto" w:frame="1"/>
          <w:lang w:val="en-GB" w:eastAsia="en-AU"/>
        </w:rPr>
        <w:t>RB 0.05 g/kg or less in sachet or place pack</w:t>
      </w:r>
    </w:p>
    <w:p w14:paraId="76DE2E04" w14:textId="77777777" w:rsidR="008E67EA"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t xml:space="preserve">Template Label </w:t>
      </w:r>
      <w:r>
        <w:rPr>
          <w:rFonts w:cs="Arial"/>
          <w:b/>
          <w:bCs/>
          <w:sz w:val="20"/>
          <w:szCs w:val="20"/>
          <w:bdr w:val="none" w:sz="0" w:space="0" w:color="auto" w:frame="1"/>
          <w:lang w:val="en-GB" w:eastAsia="en-AU"/>
        </w:rPr>
        <w:t>13</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420AE5" w14:paraId="11C7C32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4984D42" w14:textId="77777777" w:rsidR="008E67EA" w:rsidRPr="00420AE5" w:rsidRDefault="008E67EA" w:rsidP="00B44A74">
            <w:pPr>
              <w:spacing w:line="280" w:lineRule="exact"/>
              <w:rPr>
                <w:rFonts w:cs="Arial"/>
                <w:sz w:val="20"/>
                <w:szCs w:val="20"/>
              </w:rPr>
            </w:pPr>
            <w:r w:rsidRPr="00420AE5">
              <w:rPr>
                <w:rFonts w:cs="Arial"/>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21D8B5EB" w14:textId="77777777" w:rsidR="008E67EA" w:rsidRPr="00420AE5" w:rsidRDefault="008E67EA" w:rsidP="00B44A74">
            <w:pPr>
              <w:spacing w:line="280" w:lineRule="exact"/>
              <w:rPr>
                <w:rFonts w:cs="Arial"/>
                <w:sz w:val="20"/>
                <w:szCs w:val="20"/>
              </w:rPr>
            </w:pPr>
            <w:r w:rsidRPr="00420AE5">
              <w:rPr>
                <w:rFonts w:cs="Arial"/>
                <w:sz w:val="20"/>
                <w:szCs w:val="20"/>
              </w:rPr>
              <w:t>[INSERT LABEL NAME]</w:t>
            </w:r>
          </w:p>
        </w:tc>
      </w:tr>
      <w:tr w:rsidR="008E67EA" w:rsidRPr="00420AE5" w14:paraId="7EE58DE5" w14:textId="77777777" w:rsidTr="00B44A74">
        <w:trPr>
          <w:jc w:val="center"/>
        </w:trPr>
        <w:tc>
          <w:tcPr>
            <w:tcW w:w="2415" w:type="dxa"/>
            <w:tcBorders>
              <w:top w:val="single" w:sz="4" w:space="0" w:color="auto"/>
              <w:left w:val="nil"/>
              <w:bottom w:val="single" w:sz="4" w:space="0" w:color="auto"/>
              <w:right w:val="nil"/>
            </w:tcBorders>
          </w:tcPr>
          <w:p w14:paraId="37966D49" w14:textId="77777777" w:rsidR="008E67EA" w:rsidRPr="00420AE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0EB5340" w14:textId="77777777" w:rsidR="008E67EA" w:rsidRPr="00420AE5" w:rsidRDefault="008E67EA" w:rsidP="00B44A74">
            <w:pPr>
              <w:spacing w:line="280" w:lineRule="exact"/>
              <w:rPr>
                <w:rFonts w:cs="Arial"/>
                <w:sz w:val="20"/>
                <w:szCs w:val="20"/>
              </w:rPr>
            </w:pPr>
          </w:p>
        </w:tc>
      </w:tr>
      <w:tr w:rsidR="008E67EA" w:rsidRPr="00420AE5" w14:paraId="3A81BB6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7818D9E" w14:textId="77777777" w:rsidR="008E67EA" w:rsidRPr="00420AE5" w:rsidRDefault="008E67EA" w:rsidP="00B44A74">
            <w:pPr>
              <w:spacing w:line="280" w:lineRule="exact"/>
              <w:rPr>
                <w:rFonts w:cs="Arial"/>
                <w:sz w:val="20"/>
                <w:szCs w:val="20"/>
              </w:rPr>
            </w:pPr>
            <w:r w:rsidRPr="00420AE5">
              <w:rPr>
                <w:rFonts w:cs="Arial"/>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5022B0F4" w14:textId="77777777" w:rsidR="008E67EA" w:rsidRPr="009C31AE" w:rsidRDefault="008E67EA" w:rsidP="00B44A74">
            <w:pPr>
              <w:spacing w:line="280" w:lineRule="exact"/>
              <w:rPr>
                <w:rFonts w:cs="Arial"/>
                <w:sz w:val="20"/>
                <w:szCs w:val="20"/>
              </w:rPr>
            </w:pPr>
            <w:r w:rsidRPr="009C31AE">
              <w:rPr>
                <w:rFonts w:cs="Arial"/>
                <w:sz w:val="20"/>
                <w:szCs w:val="20"/>
              </w:rPr>
              <w:t>POISON</w:t>
            </w:r>
          </w:p>
          <w:p w14:paraId="5DEB5037" w14:textId="77777777" w:rsidR="008E67EA" w:rsidRPr="00420AE5" w:rsidRDefault="008E67EA" w:rsidP="00B44A74">
            <w:pPr>
              <w:spacing w:line="280" w:lineRule="exact"/>
              <w:rPr>
                <w:rFonts w:cs="Arial"/>
                <w:sz w:val="20"/>
                <w:szCs w:val="20"/>
              </w:rPr>
            </w:pPr>
            <w:r w:rsidRPr="00420AE5">
              <w:rPr>
                <w:rFonts w:cs="Arial"/>
                <w:sz w:val="20"/>
                <w:szCs w:val="20"/>
              </w:rPr>
              <w:t>KEEP OUT OF REACH OF CHILDREN</w:t>
            </w:r>
          </w:p>
          <w:p w14:paraId="27712413" w14:textId="77777777" w:rsidR="008E67EA" w:rsidRPr="00420AE5" w:rsidRDefault="008E67EA" w:rsidP="00B44A74">
            <w:pPr>
              <w:spacing w:line="280" w:lineRule="exact"/>
              <w:rPr>
                <w:rFonts w:cs="Arial"/>
                <w:sz w:val="20"/>
                <w:szCs w:val="20"/>
              </w:rPr>
            </w:pPr>
            <w:r w:rsidRPr="00420AE5">
              <w:rPr>
                <w:rFonts w:cs="Arial"/>
                <w:sz w:val="20"/>
                <w:szCs w:val="20"/>
              </w:rPr>
              <w:t>READ SAFETY DIRECTIONS BEFORE OPENING OR USING</w:t>
            </w:r>
          </w:p>
        </w:tc>
      </w:tr>
      <w:tr w:rsidR="008E67EA" w:rsidRPr="00420AE5" w14:paraId="22913EB2" w14:textId="77777777" w:rsidTr="00B44A74">
        <w:trPr>
          <w:jc w:val="center"/>
        </w:trPr>
        <w:tc>
          <w:tcPr>
            <w:tcW w:w="2415" w:type="dxa"/>
            <w:tcBorders>
              <w:top w:val="single" w:sz="4" w:space="0" w:color="auto"/>
              <w:left w:val="nil"/>
              <w:bottom w:val="single" w:sz="4" w:space="0" w:color="auto"/>
              <w:right w:val="nil"/>
            </w:tcBorders>
          </w:tcPr>
          <w:p w14:paraId="1E002C3A" w14:textId="77777777" w:rsidR="008E67EA" w:rsidRPr="00420AE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7AD6891" w14:textId="77777777" w:rsidR="008E67EA" w:rsidRPr="00420AE5" w:rsidRDefault="008E67EA" w:rsidP="00B44A74">
            <w:pPr>
              <w:spacing w:line="280" w:lineRule="exact"/>
              <w:rPr>
                <w:rFonts w:cs="Arial"/>
                <w:sz w:val="20"/>
                <w:szCs w:val="20"/>
              </w:rPr>
            </w:pPr>
          </w:p>
        </w:tc>
      </w:tr>
      <w:tr w:rsidR="008E67EA" w:rsidRPr="00420AE5" w14:paraId="74A1462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91EF919" w14:textId="77777777" w:rsidR="008E67EA" w:rsidRPr="00420AE5" w:rsidRDefault="008E67EA" w:rsidP="00B44A74">
            <w:pPr>
              <w:spacing w:line="280" w:lineRule="exact"/>
              <w:rPr>
                <w:rFonts w:cs="Arial"/>
                <w:sz w:val="20"/>
                <w:szCs w:val="20"/>
              </w:rPr>
            </w:pPr>
            <w:r w:rsidRPr="00420AE5">
              <w:rPr>
                <w:rFonts w:cs="Arial"/>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74470407" w14:textId="1DB1378B" w:rsidR="008E67EA" w:rsidRDefault="008E67EA" w:rsidP="00B44A74">
            <w:pPr>
              <w:spacing w:line="280" w:lineRule="exact"/>
              <w:rPr>
                <w:rFonts w:cs="Arial"/>
                <w:sz w:val="20"/>
                <w:szCs w:val="20"/>
              </w:rPr>
            </w:pPr>
            <w:r w:rsidRPr="00420AE5">
              <w:rPr>
                <w:rFonts w:cs="Arial"/>
                <w:sz w:val="20"/>
                <w:szCs w:val="20"/>
              </w:rPr>
              <w:t>ACTIVE CONSTITUENT</w:t>
            </w:r>
            <w:r>
              <w:rPr>
                <w:rFonts w:cs="Arial"/>
                <w:sz w:val="20"/>
                <w:szCs w:val="20"/>
              </w:rPr>
              <w:t>S</w:t>
            </w:r>
            <w:r w:rsidRPr="00420AE5">
              <w:rPr>
                <w:rFonts w:cs="Arial"/>
                <w:sz w:val="20"/>
                <w:szCs w:val="20"/>
              </w:rPr>
              <w:t>:</w:t>
            </w:r>
          </w:p>
          <w:p w14:paraId="6372797A" w14:textId="77777777" w:rsidR="008E67EA" w:rsidRPr="00420AE5" w:rsidRDefault="008E67EA" w:rsidP="00B44A74">
            <w:pPr>
              <w:spacing w:line="280" w:lineRule="exact"/>
              <w:rPr>
                <w:rFonts w:cs="Arial"/>
                <w:sz w:val="20"/>
                <w:szCs w:val="20"/>
              </w:rPr>
            </w:pPr>
            <w:r w:rsidRPr="00420AE5">
              <w:rPr>
                <w:rFonts w:cs="Arial"/>
                <w:sz w:val="20"/>
                <w:szCs w:val="20"/>
              </w:rPr>
              <w:t>0.025 g/kg BROMADIOLONE</w:t>
            </w:r>
          </w:p>
          <w:p w14:paraId="39AB1DC1" w14:textId="77777777" w:rsidR="008E67EA" w:rsidRPr="00420AE5" w:rsidRDefault="008E67EA" w:rsidP="00B44A74">
            <w:pPr>
              <w:spacing w:line="280" w:lineRule="exact"/>
              <w:rPr>
                <w:rFonts w:cs="Arial"/>
                <w:sz w:val="20"/>
                <w:szCs w:val="20"/>
              </w:rPr>
            </w:pPr>
            <w:r w:rsidRPr="00420AE5">
              <w:rPr>
                <w:rFonts w:cs="Arial"/>
                <w:sz w:val="20"/>
                <w:szCs w:val="20"/>
              </w:rPr>
              <w:t>0.025 g/kg DIFENACOUM</w:t>
            </w:r>
          </w:p>
        </w:tc>
      </w:tr>
      <w:tr w:rsidR="008E67EA" w:rsidRPr="00420AE5" w14:paraId="24409E84" w14:textId="77777777" w:rsidTr="00B44A74">
        <w:trPr>
          <w:jc w:val="center"/>
        </w:trPr>
        <w:tc>
          <w:tcPr>
            <w:tcW w:w="2415" w:type="dxa"/>
            <w:tcBorders>
              <w:top w:val="single" w:sz="4" w:space="0" w:color="auto"/>
              <w:left w:val="nil"/>
              <w:bottom w:val="single" w:sz="4" w:space="0" w:color="auto"/>
              <w:right w:val="nil"/>
            </w:tcBorders>
          </w:tcPr>
          <w:p w14:paraId="6A0E6771" w14:textId="77777777" w:rsidR="008E67EA" w:rsidRPr="00420AE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5A34952" w14:textId="77777777" w:rsidR="008E67EA" w:rsidRPr="00420AE5" w:rsidRDefault="008E67EA" w:rsidP="00B44A74">
            <w:pPr>
              <w:spacing w:line="280" w:lineRule="exact"/>
              <w:rPr>
                <w:rFonts w:cs="Arial"/>
                <w:sz w:val="20"/>
                <w:szCs w:val="20"/>
              </w:rPr>
            </w:pPr>
          </w:p>
        </w:tc>
      </w:tr>
      <w:tr w:rsidR="008E67EA" w:rsidRPr="00420AE5" w14:paraId="5AA3035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E0DEB9E" w14:textId="77777777" w:rsidR="008E67EA" w:rsidRPr="00420AE5" w:rsidRDefault="008E67EA" w:rsidP="00B44A74">
            <w:pPr>
              <w:spacing w:line="280" w:lineRule="exact"/>
              <w:rPr>
                <w:rFonts w:cs="Arial"/>
                <w:sz w:val="20"/>
                <w:szCs w:val="20"/>
              </w:rPr>
            </w:pPr>
            <w:r w:rsidRPr="00420AE5">
              <w:rPr>
                <w:rFonts w:cs="Arial"/>
                <w:sz w:val="20"/>
                <w:szCs w:val="20"/>
              </w:rPr>
              <w:t>Mode of Action:</w:t>
            </w:r>
          </w:p>
        </w:tc>
        <w:tc>
          <w:tcPr>
            <w:tcW w:w="7755" w:type="dxa"/>
            <w:tcBorders>
              <w:top w:val="single" w:sz="4" w:space="0" w:color="auto"/>
              <w:left w:val="single" w:sz="4" w:space="0" w:color="auto"/>
              <w:bottom w:val="single" w:sz="4" w:space="0" w:color="auto"/>
              <w:right w:val="single" w:sz="4" w:space="0" w:color="auto"/>
            </w:tcBorders>
          </w:tcPr>
          <w:p w14:paraId="5714F90B" w14:textId="77777777" w:rsidR="008E67EA" w:rsidRPr="00420AE5" w:rsidRDefault="008E67EA" w:rsidP="00B44A74">
            <w:pPr>
              <w:spacing w:line="280" w:lineRule="exact"/>
              <w:jc w:val="both"/>
              <w:rPr>
                <w:rFonts w:cs="Arial"/>
                <w:sz w:val="20"/>
                <w:szCs w:val="20"/>
              </w:rPr>
            </w:pPr>
          </w:p>
        </w:tc>
      </w:tr>
      <w:tr w:rsidR="008E67EA" w:rsidRPr="00420AE5" w14:paraId="3ED9FB1E" w14:textId="77777777" w:rsidTr="00B44A74">
        <w:trPr>
          <w:jc w:val="center"/>
        </w:trPr>
        <w:tc>
          <w:tcPr>
            <w:tcW w:w="2415" w:type="dxa"/>
            <w:tcBorders>
              <w:top w:val="single" w:sz="4" w:space="0" w:color="auto"/>
              <w:left w:val="nil"/>
              <w:bottom w:val="single" w:sz="4" w:space="0" w:color="auto"/>
              <w:right w:val="nil"/>
            </w:tcBorders>
          </w:tcPr>
          <w:p w14:paraId="3AC52E53" w14:textId="77777777" w:rsidR="008E67EA" w:rsidRPr="00420AE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98F05B0" w14:textId="77777777" w:rsidR="008E67EA" w:rsidRPr="00420AE5" w:rsidRDefault="008E67EA" w:rsidP="00B44A74">
            <w:pPr>
              <w:spacing w:line="280" w:lineRule="exact"/>
              <w:rPr>
                <w:rFonts w:cs="Arial"/>
                <w:sz w:val="20"/>
                <w:szCs w:val="20"/>
              </w:rPr>
            </w:pPr>
          </w:p>
        </w:tc>
      </w:tr>
      <w:tr w:rsidR="008E67EA" w:rsidRPr="00420AE5" w14:paraId="6D926F1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B8380FE" w14:textId="77777777" w:rsidR="008E67EA" w:rsidRPr="00420AE5" w:rsidRDefault="008E67EA" w:rsidP="00B44A74">
            <w:pPr>
              <w:spacing w:line="280" w:lineRule="exact"/>
              <w:rPr>
                <w:rFonts w:cs="Arial"/>
                <w:sz w:val="20"/>
                <w:szCs w:val="20"/>
              </w:rPr>
            </w:pPr>
            <w:r w:rsidRPr="00420AE5">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0EF87AFA" w14:textId="77777777" w:rsidR="008E67EA" w:rsidRPr="00420AE5" w:rsidRDefault="008E67EA" w:rsidP="00B44A74">
            <w:pPr>
              <w:spacing w:line="280" w:lineRule="exact"/>
              <w:rPr>
                <w:rFonts w:cs="Arial"/>
                <w:sz w:val="20"/>
                <w:szCs w:val="20"/>
              </w:rPr>
            </w:pPr>
            <w:r>
              <w:rPr>
                <w:rFonts w:cs="Arial"/>
                <w:sz w:val="20"/>
                <w:szCs w:val="20"/>
              </w:rPr>
              <w:t>For c</w:t>
            </w:r>
            <w:r w:rsidRPr="00423B4E">
              <w:rPr>
                <w:rFonts w:cs="Arial"/>
                <w:sz w:val="20"/>
                <w:szCs w:val="20"/>
              </w:rPr>
              <w:t>ontrol</w:t>
            </w:r>
            <w:r>
              <w:rPr>
                <w:rFonts w:cs="Arial"/>
                <w:sz w:val="20"/>
                <w:szCs w:val="20"/>
              </w:rPr>
              <w:t xml:space="preserve"> of</w:t>
            </w:r>
            <w:r w:rsidRPr="00423B4E">
              <w:rPr>
                <w:rFonts w:cs="Arial"/>
                <w:sz w:val="20"/>
                <w:szCs w:val="20"/>
              </w:rPr>
              <w:t xml:space="preserve"> mice in industrial, commercial, </w:t>
            </w:r>
            <w:r>
              <w:rPr>
                <w:rFonts w:cs="Arial"/>
                <w:sz w:val="20"/>
                <w:szCs w:val="20"/>
              </w:rPr>
              <w:t xml:space="preserve">public services, </w:t>
            </w:r>
            <w:r w:rsidRPr="00423B4E">
              <w:rPr>
                <w:rFonts w:cs="Arial"/>
                <w:sz w:val="20"/>
                <w:szCs w:val="20"/>
              </w:rPr>
              <w:t>agricultural</w:t>
            </w:r>
            <w:r>
              <w:rPr>
                <w:rFonts w:cs="Arial"/>
                <w:sz w:val="20"/>
                <w:szCs w:val="20"/>
              </w:rPr>
              <w:t>,</w:t>
            </w:r>
            <w:r w:rsidRPr="00423B4E">
              <w:rPr>
                <w:rFonts w:cs="Arial"/>
                <w:sz w:val="20"/>
                <w:szCs w:val="20"/>
              </w:rPr>
              <w:t xml:space="preserve"> and domestic buildings and rats in and around industrial, commercial, </w:t>
            </w:r>
            <w:r>
              <w:rPr>
                <w:rFonts w:cs="Arial"/>
                <w:sz w:val="20"/>
                <w:szCs w:val="20"/>
              </w:rPr>
              <w:t xml:space="preserve">public services, </w:t>
            </w:r>
            <w:r w:rsidRPr="00423B4E">
              <w:rPr>
                <w:rFonts w:cs="Arial"/>
                <w:sz w:val="20"/>
                <w:szCs w:val="20"/>
              </w:rPr>
              <w:t>agricultural and domestic buildings.</w:t>
            </w:r>
          </w:p>
        </w:tc>
      </w:tr>
      <w:tr w:rsidR="008E67EA" w:rsidRPr="00420AE5" w14:paraId="2957A524" w14:textId="77777777" w:rsidTr="00B44A74">
        <w:trPr>
          <w:jc w:val="center"/>
        </w:trPr>
        <w:tc>
          <w:tcPr>
            <w:tcW w:w="2415" w:type="dxa"/>
            <w:tcBorders>
              <w:top w:val="single" w:sz="4" w:space="0" w:color="auto"/>
              <w:left w:val="nil"/>
              <w:bottom w:val="single" w:sz="4" w:space="0" w:color="auto"/>
              <w:right w:val="nil"/>
            </w:tcBorders>
          </w:tcPr>
          <w:p w14:paraId="25BD580B" w14:textId="77777777" w:rsidR="008E67EA" w:rsidRPr="00420AE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BE773F0" w14:textId="77777777" w:rsidR="008E67EA" w:rsidRPr="00420AE5" w:rsidRDefault="008E67EA" w:rsidP="00B44A74">
            <w:pPr>
              <w:spacing w:line="280" w:lineRule="exact"/>
              <w:rPr>
                <w:rFonts w:cs="Arial"/>
                <w:sz w:val="20"/>
                <w:szCs w:val="20"/>
              </w:rPr>
            </w:pPr>
          </w:p>
        </w:tc>
      </w:tr>
      <w:tr w:rsidR="008E67EA" w:rsidRPr="00420AE5" w14:paraId="5325530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2671FBC" w14:textId="77777777" w:rsidR="008E67EA" w:rsidRPr="00420AE5" w:rsidRDefault="008E67EA" w:rsidP="00B44A74">
            <w:pPr>
              <w:spacing w:line="280" w:lineRule="exact"/>
              <w:rPr>
                <w:rFonts w:cs="Arial"/>
                <w:sz w:val="20"/>
                <w:szCs w:val="20"/>
              </w:rPr>
            </w:pPr>
            <w:r w:rsidRPr="00420AE5">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693937FA" w14:textId="77777777" w:rsidR="008E67EA" w:rsidRPr="00420AE5" w:rsidRDefault="008E67EA" w:rsidP="00B44A74">
            <w:pPr>
              <w:spacing w:line="280" w:lineRule="exact"/>
              <w:rPr>
                <w:rFonts w:cs="Arial"/>
                <w:sz w:val="20"/>
                <w:szCs w:val="20"/>
              </w:rPr>
            </w:pPr>
            <w:r w:rsidRPr="00617F01">
              <w:rPr>
                <w:rFonts w:cs="Arial"/>
                <w:sz w:val="20"/>
                <w:szCs w:val="20"/>
              </w:rPr>
              <w:t xml:space="preserve">[INSERT </w:t>
            </w:r>
            <w:r>
              <w:rPr>
                <w:rFonts w:cs="Arial"/>
                <w:sz w:val="20"/>
                <w:szCs w:val="20"/>
              </w:rPr>
              <w:t>NET CONTENTS</w:t>
            </w:r>
            <w:r w:rsidRPr="00617F01">
              <w:rPr>
                <w:rFonts w:cs="Arial"/>
                <w:sz w:val="20"/>
                <w:szCs w:val="20"/>
              </w:rPr>
              <w:t>]</w:t>
            </w:r>
          </w:p>
        </w:tc>
      </w:tr>
      <w:tr w:rsidR="008E67EA" w:rsidRPr="00420AE5" w14:paraId="248571C6" w14:textId="77777777" w:rsidTr="00B44A74">
        <w:trPr>
          <w:jc w:val="center"/>
        </w:trPr>
        <w:tc>
          <w:tcPr>
            <w:tcW w:w="2415" w:type="dxa"/>
            <w:tcBorders>
              <w:top w:val="single" w:sz="4" w:space="0" w:color="auto"/>
              <w:left w:val="nil"/>
              <w:bottom w:val="single" w:sz="4" w:space="0" w:color="auto"/>
              <w:right w:val="nil"/>
            </w:tcBorders>
          </w:tcPr>
          <w:p w14:paraId="59EE1764" w14:textId="77777777" w:rsidR="008E67EA" w:rsidRPr="00420AE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E0442DA" w14:textId="77777777" w:rsidR="008E67EA" w:rsidRPr="00420AE5" w:rsidRDefault="008E67EA" w:rsidP="00B44A74">
            <w:pPr>
              <w:spacing w:line="280" w:lineRule="exact"/>
              <w:rPr>
                <w:rFonts w:cs="Arial"/>
                <w:sz w:val="20"/>
                <w:szCs w:val="20"/>
              </w:rPr>
            </w:pPr>
          </w:p>
        </w:tc>
      </w:tr>
      <w:tr w:rsidR="008E67EA" w:rsidRPr="009C31AE" w14:paraId="74DF2DB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E6A84D5" w14:textId="77777777" w:rsidR="008E67EA" w:rsidRPr="00420AE5" w:rsidRDefault="008E67EA" w:rsidP="00B44A74">
            <w:pPr>
              <w:spacing w:line="280" w:lineRule="exact"/>
              <w:rPr>
                <w:rFonts w:cs="Arial"/>
                <w:sz w:val="20"/>
                <w:szCs w:val="20"/>
              </w:rPr>
            </w:pPr>
            <w:r w:rsidRPr="00420AE5">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4776B94B" w14:textId="77777777" w:rsidR="008E67EA" w:rsidRPr="009C31AE" w:rsidRDefault="008E67EA" w:rsidP="00B44A74">
            <w:pPr>
              <w:spacing w:line="280" w:lineRule="exact"/>
              <w:rPr>
                <w:rFonts w:cs="Arial"/>
                <w:sz w:val="20"/>
                <w:szCs w:val="20"/>
              </w:rPr>
            </w:pPr>
            <w:r w:rsidRPr="009C31AE">
              <w:rPr>
                <w:rFonts w:cs="Arial"/>
                <w:sz w:val="20"/>
                <w:szCs w:val="20"/>
              </w:rPr>
              <w:t>RESTRAINTS</w:t>
            </w:r>
          </w:p>
          <w:p w14:paraId="30AF4AE3" w14:textId="77777777" w:rsidR="008E67EA" w:rsidRPr="009C31AE" w:rsidRDefault="008E67EA" w:rsidP="00B44A74">
            <w:pPr>
              <w:spacing w:line="280" w:lineRule="exact"/>
              <w:rPr>
                <w:rFonts w:cs="Arial"/>
                <w:sz w:val="20"/>
                <w:szCs w:val="20"/>
              </w:rPr>
            </w:pPr>
            <w:r w:rsidRPr="009C31AE">
              <w:rPr>
                <w:rFonts w:cs="Arial"/>
                <w:sz w:val="20"/>
                <w:szCs w:val="20"/>
              </w:rPr>
              <w:t>DO NOT use this product unless you have a current qualification in the nationally recognised training course for rodent pest management CPPUPM3006 - Manage pests by applying pesticides, or an equivalent unit of competency.</w:t>
            </w:r>
          </w:p>
          <w:p w14:paraId="4FD8BBBC" w14:textId="32AC9E3F" w:rsidR="008E67EA" w:rsidRPr="009C31AE" w:rsidRDefault="008E67EA" w:rsidP="00B44A74">
            <w:pPr>
              <w:spacing w:line="280" w:lineRule="exact"/>
              <w:rPr>
                <w:rFonts w:cs="Arial"/>
                <w:sz w:val="20"/>
                <w:szCs w:val="20"/>
              </w:rPr>
            </w:pPr>
            <w:r w:rsidRPr="009C31AE">
              <w:rPr>
                <w:rFonts w:cs="Arial"/>
                <w:sz w:val="20"/>
                <w:szCs w:val="20"/>
              </w:rPr>
              <w:t>DO NOT place baits in areas that are accessible to children. In child-accessible areas baits must be placed in tamper-</w:t>
            </w:r>
            <w:r>
              <w:rPr>
                <w:rFonts w:cs="Arial"/>
                <w:sz w:val="20"/>
                <w:szCs w:val="20"/>
              </w:rPr>
              <w:t>resistant</w:t>
            </w:r>
            <w:r w:rsidRPr="009C31AE">
              <w:rPr>
                <w:rFonts w:cs="Arial"/>
                <w:sz w:val="20"/>
                <w:szCs w:val="20"/>
              </w:rPr>
              <w:t xml:space="preserve"> bait stations. If bait can be dislodged from bait station, bait station must be secured in place.</w:t>
            </w:r>
          </w:p>
          <w:p w14:paraId="48A6E9E5" w14:textId="77777777" w:rsidR="008E67EA" w:rsidRPr="009C31AE" w:rsidRDefault="008E67EA" w:rsidP="00B44A74">
            <w:pPr>
              <w:spacing w:line="280" w:lineRule="exact"/>
              <w:rPr>
                <w:rFonts w:cs="Arial"/>
                <w:sz w:val="20"/>
                <w:szCs w:val="20"/>
              </w:rPr>
            </w:pPr>
            <w:r w:rsidRPr="009C31AE">
              <w:rPr>
                <w:rFonts w:cs="Arial"/>
                <w:sz w:val="20"/>
                <w:szCs w:val="20"/>
              </w:rPr>
              <w:t>DO NOT place bait outdoors unless it is in a tamper</w:t>
            </w:r>
            <w:r>
              <w:rPr>
                <w:rFonts w:cs="Arial"/>
                <w:sz w:val="20"/>
                <w:szCs w:val="20"/>
              </w:rPr>
              <w:t>-resistant</w:t>
            </w:r>
            <w:r w:rsidRPr="009C31AE">
              <w:rPr>
                <w:rFonts w:cs="Arial"/>
                <w:sz w:val="20"/>
                <w:szCs w:val="20"/>
              </w:rPr>
              <w:t xml:space="preserve"> bait station which is secured in place.</w:t>
            </w:r>
          </w:p>
          <w:p w14:paraId="4667E4C9" w14:textId="77777777" w:rsidR="008E67EA" w:rsidRPr="009C31AE" w:rsidRDefault="008E67EA" w:rsidP="00B44A74">
            <w:pPr>
              <w:spacing w:line="280" w:lineRule="exact"/>
              <w:rPr>
                <w:rFonts w:cs="Arial"/>
                <w:sz w:val="20"/>
                <w:szCs w:val="20"/>
              </w:rPr>
            </w:pPr>
            <w:r w:rsidRPr="009C31AE">
              <w:rPr>
                <w:rFonts w:cs="Arial"/>
                <w:sz w:val="20"/>
                <w:szCs w:val="20"/>
              </w:rPr>
              <w:t>DO NOT place bait stations more than 2 meters from buildings.</w:t>
            </w:r>
          </w:p>
          <w:p w14:paraId="1AC0D0C2" w14:textId="77777777" w:rsidR="008E67EA" w:rsidRPr="009C31AE" w:rsidRDefault="008E67EA" w:rsidP="00B44A74">
            <w:pPr>
              <w:spacing w:line="280" w:lineRule="exact"/>
              <w:rPr>
                <w:rFonts w:cs="Arial"/>
                <w:sz w:val="20"/>
                <w:szCs w:val="20"/>
              </w:rPr>
            </w:pPr>
            <w:r w:rsidRPr="009C31AE">
              <w:rPr>
                <w:rFonts w:cs="Arial"/>
                <w:sz w:val="20"/>
                <w:szCs w:val="20"/>
              </w:rPr>
              <w:t>DO NOT place bait stations outdoors around buildings for control of mice.</w:t>
            </w:r>
          </w:p>
          <w:p w14:paraId="72155EDE" w14:textId="77777777" w:rsidR="008E67EA" w:rsidRPr="009C31AE" w:rsidRDefault="008E67EA" w:rsidP="00B44A74">
            <w:pPr>
              <w:spacing w:line="280" w:lineRule="exact"/>
              <w:rPr>
                <w:rFonts w:cs="Arial"/>
                <w:sz w:val="20"/>
                <w:szCs w:val="20"/>
              </w:rPr>
            </w:pPr>
            <w:r w:rsidRPr="009C31AE">
              <w:rPr>
                <w:rFonts w:cs="Arial"/>
                <w:sz w:val="20"/>
                <w:szCs w:val="20"/>
              </w:rPr>
              <w:t>DO NOT bait in areas where wildlife may be collected for human consumption.</w:t>
            </w:r>
          </w:p>
          <w:p w14:paraId="38E553EC" w14:textId="77777777" w:rsidR="008E67EA" w:rsidRPr="009C31AE" w:rsidRDefault="008E67EA" w:rsidP="00B44A74">
            <w:pPr>
              <w:spacing w:line="280" w:lineRule="exact"/>
              <w:rPr>
                <w:rFonts w:cs="Arial"/>
                <w:sz w:val="20"/>
                <w:szCs w:val="20"/>
              </w:rPr>
            </w:pPr>
            <w:r w:rsidRPr="009C31AE">
              <w:rPr>
                <w:rFonts w:cs="Arial"/>
                <w:sz w:val="20"/>
                <w:szCs w:val="20"/>
              </w:rPr>
              <w:t>DO NOT place in animal or livestock housing unless used in tamper</w:t>
            </w:r>
            <w:r>
              <w:rPr>
                <w:rFonts w:cs="Arial"/>
                <w:sz w:val="20"/>
                <w:szCs w:val="20"/>
              </w:rPr>
              <w:t>-resistant</w:t>
            </w:r>
            <w:r w:rsidRPr="009C31AE">
              <w:rPr>
                <w:rFonts w:cs="Arial"/>
                <w:sz w:val="20"/>
                <w:szCs w:val="20"/>
              </w:rPr>
              <w:t xml:space="preserve"> and weather</w:t>
            </w:r>
            <w:r>
              <w:rPr>
                <w:rFonts w:cs="Arial"/>
                <w:sz w:val="20"/>
                <w:szCs w:val="20"/>
              </w:rPr>
              <w:t>-</w:t>
            </w:r>
            <w:r w:rsidRPr="009C31AE">
              <w:rPr>
                <w:rFonts w:cs="Arial"/>
                <w:sz w:val="20"/>
                <w:szCs w:val="20"/>
              </w:rPr>
              <w:t>resistant bait stations fixed to the ground or other structures.</w:t>
            </w:r>
          </w:p>
          <w:p w14:paraId="50D16684" w14:textId="77777777" w:rsidR="008E67EA" w:rsidRPr="009C31AE" w:rsidRDefault="008E67EA" w:rsidP="00B44A74">
            <w:pPr>
              <w:spacing w:line="280" w:lineRule="exact"/>
              <w:rPr>
                <w:rFonts w:cs="Arial"/>
                <w:sz w:val="20"/>
                <w:szCs w:val="20"/>
              </w:rPr>
            </w:pPr>
            <w:r w:rsidRPr="009C31AE">
              <w:rPr>
                <w:rFonts w:cs="Arial"/>
                <w:sz w:val="20"/>
                <w:szCs w:val="20"/>
              </w:rPr>
              <w:t>DO NOT place bait or bait stations above areas which would allow them to contaminate pig and poultry food or drinking water.</w:t>
            </w:r>
          </w:p>
          <w:p w14:paraId="0C56B15E" w14:textId="77777777" w:rsidR="008E67EA" w:rsidRPr="009C31AE" w:rsidRDefault="008E67EA" w:rsidP="00B44A74">
            <w:pPr>
              <w:spacing w:line="280" w:lineRule="exact"/>
              <w:rPr>
                <w:rFonts w:cs="Arial"/>
                <w:sz w:val="20"/>
                <w:szCs w:val="20"/>
                <w:highlight w:val="yellow"/>
              </w:rPr>
            </w:pPr>
            <w:r w:rsidRPr="009C31AE">
              <w:rPr>
                <w:rFonts w:cs="Arial"/>
                <w:sz w:val="20"/>
                <w:szCs w:val="20"/>
              </w:rPr>
              <w:t>DO NOT apply this product directly into burrows.</w:t>
            </w:r>
          </w:p>
        </w:tc>
      </w:tr>
      <w:tr w:rsidR="008E67EA" w:rsidRPr="00420AE5" w14:paraId="05EBEAEC" w14:textId="77777777" w:rsidTr="00B44A74">
        <w:trPr>
          <w:jc w:val="center"/>
        </w:trPr>
        <w:tc>
          <w:tcPr>
            <w:tcW w:w="2415" w:type="dxa"/>
            <w:tcBorders>
              <w:top w:val="single" w:sz="4" w:space="0" w:color="auto"/>
              <w:left w:val="nil"/>
              <w:bottom w:val="single" w:sz="4" w:space="0" w:color="auto"/>
              <w:right w:val="nil"/>
            </w:tcBorders>
          </w:tcPr>
          <w:p w14:paraId="30E921F7" w14:textId="77777777" w:rsidR="008E67EA" w:rsidRPr="00420AE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AC8D6F8" w14:textId="77777777" w:rsidR="008E67EA" w:rsidRPr="00420AE5" w:rsidRDefault="008E67EA" w:rsidP="00B44A74">
            <w:pPr>
              <w:spacing w:line="280" w:lineRule="exact"/>
              <w:rPr>
                <w:rFonts w:cs="Arial"/>
                <w:sz w:val="20"/>
                <w:szCs w:val="20"/>
              </w:rPr>
            </w:pPr>
          </w:p>
        </w:tc>
      </w:tr>
      <w:tr w:rsidR="008E67EA" w:rsidRPr="00420AE5" w14:paraId="17E3EFF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6A018E8" w14:textId="77777777" w:rsidR="008E67EA" w:rsidRPr="00420AE5" w:rsidRDefault="008E67EA" w:rsidP="00B44A74">
            <w:pPr>
              <w:spacing w:line="280" w:lineRule="exact"/>
              <w:rPr>
                <w:rFonts w:cs="Arial"/>
                <w:sz w:val="20"/>
                <w:szCs w:val="20"/>
              </w:rPr>
            </w:pPr>
            <w:r w:rsidRPr="00420AE5">
              <w:rPr>
                <w:rFonts w:cs="Arial"/>
                <w:sz w:val="20"/>
                <w:szCs w:val="20"/>
              </w:rPr>
              <w:t>Directions for Use:</w:t>
            </w:r>
          </w:p>
        </w:tc>
        <w:tc>
          <w:tcPr>
            <w:tcW w:w="7755" w:type="dxa"/>
            <w:tcBorders>
              <w:top w:val="single" w:sz="4" w:space="0" w:color="auto"/>
              <w:left w:val="single" w:sz="4" w:space="0" w:color="auto"/>
              <w:bottom w:val="single" w:sz="4" w:space="0" w:color="auto"/>
              <w:right w:val="single" w:sz="4" w:space="0" w:color="auto"/>
            </w:tcBorders>
          </w:tcPr>
          <w:p w14:paraId="06E84677" w14:textId="77777777" w:rsidR="008E67EA" w:rsidRPr="00420AE5" w:rsidRDefault="008E67EA" w:rsidP="00B44A74">
            <w:pPr>
              <w:spacing w:line="280" w:lineRule="exact"/>
              <w:rPr>
                <w:rFonts w:cs="Arial"/>
                <w:sz w:val="20"/>
                <w:szCs w:val="20"/>
              </w:rPr>
            </w:pPr>
            <w:r w:rsidRPr="00713087">
              <w:rPr>
                <w:rFonts w:cs="Arial"/>
                <w:sz w:val="20"/>
                <w:szCs w:val="20"/>
              </w:rPr>
              <w:t>[This section contains an attachment below]</w:t>
            </w:r>
          </w:p>
        </w:tc>
      </w:tr>
      <w:tr w:rsidR="008E67EA" w:rsidRPr="00420AE5" w14:paraId="10B942E4" w14:textId="77777777" w:rsidTr="00B44A74">
        <w:trPr>
          <w:jc w:val="center"/>
        </w:trPr>
        <w:tc>
          <w:tcPr>
            <w:tcW w:w="2415" w:type="dxa"/>
            <w:tcBorders>
              <w:top w:val="single" w:sz="4" w:space="0" w:color="auto"/>
              <w:left w:val="nil"/>
              <w:bottom w:val="single" w:sz="4" w:space="0" w:color="auto"/>
              <w:right w:val="nil"/>
            </w:tcBorders>
          </w:tcPr>
          <w:p w14:paraId="1E799B11" w14:textId="77777777" w:rsidR="008E67EA" w:rsidRPr="00420AE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A3EA7D4" w14:textId="77777777" w:rsidR="008E67EA" w:rsidRPr="00420AE5" w:rsidRDefault="008E67EA" w:rsidP="00B44A74">
            <w:pPr>
              <w:spacing w:line="280" w:lineRule="exact"/>
              <w:rPr>
                <w:rFonts w:cs="Arial"/>
                <w:sz w:val="20"/>
                <w:szCs w:val="20"/>
              </w:rPr>
            </w:pPr>
          </w:p>
        </w:tc>
      </w:tr>
      <w:tr w:rsidR="008E67EA" w:rsidRPr="00420AE5" w14:paraId="5C46A20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E47D442" w14:textId="77777777" w:rsidR="008E67EA" w:rsidRPr="00420AE5" w:rsidRDefault="008E67EA" w:rsidP="00B44A74">
            <w:pPr>
              <w:spacing w:line="280" w:lineRule="exact"/>
              <w:rPr>
                <w:rFonts w:cs="Arial"/>
                <w:sz w:val="20"/>
                <w:szCs w:val="20"/>
              </w:rPr>
            </w:pPr>
            <w:r w:rsidRPr="00420AE5">
              <w:rPr>
                <w:rFonts w:cs="Arial"/>
                <w:sz w:val="20"/>
                <w:szCs w:val="20"/>
              </w:rPr>
              <w:t>Other Limitations:</w:t>
            </w:r>
          </w:p>
        </w:tc>
        <w:tc>
          <w:tcPr>
            <w:tcW w:w="7755" w:type="dxa"/>
            <w:tcBorders>
              <w:top w:val="single" w:sz="4" w:space="0" w:color="auto"/>
              <w:left w:val="single" w:sz="4" w:space="0" w:color="auto"/>
              <w:bottom w:val="single" w:sz="4" w:space="0" w:color="auto"/>
              <w:right w:val="single" w:sz="4" w:space="0" w:color="auto"/>
            </w:tcBorders>
          </w:tcPr>
          <w:p w14:paraId="14A6C0FF" w14:textId="77777777" w:rsidR="008E67EA" w:rsidRPr="00420AE5" w:rsidRDefault="008E67EA" w:rsidP="00B44A74">
            <w:pPr>
              <w:spacing w:line="280" w:lineRule="exact"/>
              <w:rPr>
                <w:rFonts w:cs="Arial"/>
                <w:sz w:val="20"/>
                <w:szCs w:val="20"/>
              </w:rPr>
            </w:pPr>
          </w:p>
        </w:tc>
      </w:tr>
      <w:tr w:rsidR="008E67EA" w:rsidRPr="00420AE5" w14:paraId="062A6046" w14:textId="77777777" w:rsidTr="00B44A74">
        <w:trPr>
          <w:jc w:val="center"/>
        </w:trPr>
        <w:tc>
          <w:tcPr>
            <w:tcW w:w="2415" w:type="dxa"/>
            <w:tcBorders>
              <w:top w:val="single" w:sz="4" w:space="0" w:color="auto"/>
              <w:left w:val="nil"/>
              <w:bottom w:val="single" w:sz="4" w:space="0" w:color="auto"/>
              <w:right w:val="nil"/>
            </w:tcBorders>
          </w:tcPr>
          <w:p w14:paraId="1CC27A2D" w14:textId="77777777" w:rsidR="008E67EA" w:rsidRPr="00420AE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BD5DA73" w14:textId="77777777" w:rsidR="008E67EA" w:rsidRPr="00420AE5" w:rsidRDefault="008E67EA" w:rsidP="00B44A74">
            <w:pPr>
              <w:spacing w:line="280" w:lineRule="exact"/>
              <w:rPr>
                <w:rFonts w:cs="Arial"/>
                <w:sz w:val="20"/>
                <w:szCs w:val="20"/>
              </w:rPr>
            </w:pPr>
          </w:p>
        </w:tc>
      </w:tr>
      <w:tr w:rsidR="008E67EA" w:rsidRPr="00420AE5" w14:paraId="2941246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2BBFF86" w14:textId="77777777" w:rsidR="008E67EA" w:rsidRPr="00420AE5" w:rsidRDefault="008E67EA" w:rsidP="00B44A74">
            <w:pPr>
              <w:spacing w:line="280" w:lineRule="exact"/>
              <w:rPr>
                <w:rFonts w:cs="Arial"/>
                <w:sz w:val="20"/>
                <w:szCs w:val="20"/>
              </w:rPr>
            </w:pPr>
            <w:r w:rsidRPr="00420AE5">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214683F5" w14:textId="77777777" w:rsidR="008E67EA" w:rsidRPr="00420AE5" w:rsidRDefault="008E67EA" w:rsidP="00B44A74">
            <w:pPr>
              <w:spacing w:line="280" w:lineRule="exact"/>
              <w:rPr>
                <w:rFonts w:cs="Arial"/>
                <w:sz w:val="20"/>
                <w:szCs w:val="20"/>
              </w:rPr>
            </w:pPr>
          </w:p>
        </w:tc>
      </w:tr>
      <w:tr w:rsidR="008E67EA" w:rsidRPr="00420AE5" w14:paraId="6AE5597D" w14:textId="77777777" w:rsidTr="00B44A74">
        <w:trPr>
          <w:jc w:val="center"/>
        </w:trPr>
        <w:tc>
          <w:tcPr>
            <w:tcW w:w="2415" w:type="dxa"/>
            <w:tcBorders>
              <w:top w:val="single" w:sz="4" w:space="0" w:color="auto"/>
              <w:left w:val="nil"/>
              <w:bottom w:val="single" w:sz="4" w:space="0" w:color="auto"/>
              <w:right w:val="nil"/>
            </w:tcBorders>
          </w:tcPr>
          <w:p w14:paraId="431E2117" w14:textId="77777777" w:rsidR="008E67EA" w:rsidRPr="00420AE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5E8467E" w14:textId="77777777" w:rsidR="008E67EA" w:rsidRPr="00420AE5" w:rsidRDefault="008E67EA" w:rsidP="00B44A74">
            <w:pPr>
              <w:spacing w:line="280" w:lineRule="exact"/>
              <w:rPr>
                <w:rFonts w:cs="Arial"/>
                <w:sz w:val="20"/>
                <w:szCs w:val="20"/>
              </w:rPr>
            </w:pPr>
          </w:p>
        </w:tc>
      </w:tr>
      <w:tr w:rsidR="008E67EA" w:rsidRPr="00420AE5" w14:paraId="359C98F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BA70B37" w14:textId="77777777" w:rsidR="008E67EA" w:rsidRPr="00420AE5" w:rsidRDefault="008E67EA" w:rsidP="00B44A74">
            <w:pPr>
              <w:spacing w:line="280" w:lineRule="exact"/>
              <w:rPr>
                <w:rFonts w:cs="Arial"/>
                <w:sz w:val="20"/>
                <w:szCs w:val="20"/>
              </w:rPr>
            </w:pPr>
            <w:r w:rsidRPr="00420AE5">
              <w:rPr>
                <w:rFonts w:cs="Arial"/>
                <w:sz w:val="20"/>
                <w:szCs w:val="20"/>
              </w:rPr>
              <w:t>Trade Advice:</w:t>
            </w:r>
          </w:p>
        </w:tc>
        <w:tc>
          <w:tcPr>
            <w:tcW w:w="7755" w:type="dxa"/>
            <w:tcBorders>
              <w:top w:val="single" w:sz="4" w:space="0" w:color="auto"/>
              <w:left w:val="single" w:sz="4" w:space="0" w:color="auto"/>
              <w:bottom w:val="single" w:sz="4" w:space="0" w:color="auto"/>
              <w:right w:val="single" w:sz="4" w:space="0" w:color="auto"/>
            </w:tcBorders>
          </w:tcPr>
          <w:p w14:paraId="52663218" w14:textId="77777777" w:rsidR="008E67EA" w:rsidRPr="00420AE5" w:rsidRDefault="008E67EA" w:rsidP="00B44A74">
            <w:pPr>
              <w:spacing w:line="280" w:lineRule="exact"/>
              <w:rPr>
                <w:rFonts w:cs="Arial"/>
                <w:sz w:val="20"/>
                <w:szCs w:val="20"/>
              </w:rPr>
            </w:pPr>
          </w:p>
        </w:tc>
      </w:tr>
      <w:tr w:rsidR="008E67EA" w:rsidRPr="00420AE5" w14:paraId="5C19F8A9" w14:textId="77777777" w:rsidTr="00B44A74">
        <w:trPr>
          <w:jc w:val="center"/>
        </w:trPr>
        <w:tc>
          <w:tcPr>
            <w:tcW w:w="2415" w:type="dxa"/>
            <w:tcBorders>
              <w:top w:val="single" w:sz="4" w:space="0" w:color="auto"/>
              <w:left w:val="nil"/>
              <w:bottom w:val="single" w:sz="4" w:space="0" w:color="auto"/>
              <w:right w:val="nil"/>
            </w:tcBorders>
          </w:tcPr>
          <w:p w14:paraId="53A4F1D4" w14:textId="77777777" w:rsidR="008E67EA" w:rsidRPr="00420AE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9DE3165" w14:textId="77777777" w:rsidR="008E67EA" w:rsidRPr="00420AE5" w:rsidRDefault="008E67EA" w:rsidP="00B44A74">
            <w:pPr>
              <w:spacing w:line="280" w:lineRule="exact"/>
              <w:rPr>
                <w:rFonts w:cs="Arial"/>
                <w:sz w:val="20"/>
                <w:szCs w:val="20"/>
              </w:rPr>
            </w:pPr>
          </w:p>
        </w:tc>
      </w:tr>
      <w:tr w:rsidR="008E67EA" w:rsidRPr="00A04493" w14:paraId="537A9FD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B6546BB" w14:textId="77777777" w:rsidR="008E67EA" w:rsidRPr="00420AE5" w:rsidRDefault="008E67EA" w:rsidP="00B44A74">
            <w:pPr>
              <w:spacing w:line="280" w:lineRule="exact"/>
              <w:rPr>
                <w:rFonts w:cs="Arial"/>
                <w:sz w:val="20"/>
                <w:szCs w:val="20"/>
              </w:rPr>
            </w:pPr>
            <w:r w:rsidRPr="00420AE5">
              <w:rPr>
                <w:rFonts w:cs="Arial"/>
                <w:sz w:val="20"/>
                <w:szCs w:val="20"/>
              </w:rPr>
              <w:t>General Directions:</w:t>
            </w:r>
          </w:p>
        </w:tc>
        <w:tc>
          <w:tcPr>
            <w:tcW w:w="7755" w:type="dxa"/>
            <w:tcBorders>
              <w:top w:val="single" w:sz="4" w:space="0" w:color="auto"/>
              <w:left w:val="single" w:sz="4" w:space="0" w:color="auto"/>
              <w:bottom w:val="single" w:sz="4" w:space="0" w:color="auto"/>
              <w:right w:val="single" w:sz="4" w:space="0" w:color="auto"/>
            </w:tcBorders>
          </w:tcPr>
          <w:p w14:paraId="27575DE2" w14:textId="5CDEC794" w:rsidR="008E67EA" w:rsidRPr="00A04493" w:rsidRDefault="008E67EA" w:rsidP="00B44A74">
            <w:pPr>
              <w:spacing w:line="280" w:lineRule="exact"/>
              <w:rPr>
                <w:rFonts w:cs="Arial"/>
                <w:color w:val="000000" w:themeColor="text1"/>
                <w:sz w:val="20"/>
                <w:szCs w:val="20"/>
              </w:rPr>
            </w:pPr>
            <w:r w:rsidRPr="00A04493">
              <w:rPr>
                <w:rFonts w:cs="Arial"/>
                <w:color w:val="000000" w:themeColor="text1"/>
                <w:sz w:val="20"/>
                <w:szCs w:val="20"/>
              </w:rPr>
              <w:t>GENERAL INSTRUCTIONS</w:t>
            </w:r>
          </w:p>
          <w:p w14:paraId="5DB97AF2" w14:textId="233FAD0E" w:rsidR="008E67EA" w:rsidRDefault="008E67EA" w:rsidP="00B44A74">
            <w:pPr>
              <w:spacing w:line="280" w:lineRule="exact"/>
              <w:rPr>
                <w:rFonts w:cs="Arial"/>
                <w:color w:val="000000" w:themeColor="text1"/>
                <w:sz w:val="20"/>
                <w:szCs w:val="20"/>
              </w:rPr>
            </w:pPr>
            <w:r w:rsidRPr="00A04493">
              <w:rPr>
                <w:rFonts w:cs="Arial"/>
                <w:color w:val="000000" w:themeColor="text1"/>
                <w:sz w:val="20"/>
                <w:szCs w:val="20"/>
              </w:rPr>
              <w:t>This bait contains FLUO-NP, a special additive that makes bait and rodent droppings glow bright red under UV light. By shining a handheld UV lamp (black light) on the rodent droppings it is easy to identify and track rodent movement. When used as a perimeter bait, one can more accurately determine if rodents are gaining access to a building's interior and, if so, where the access points are located.</w:t>
            </w:r>
          </w:p>
          <w:p w14:paraId="2FAE7992" w14:textId="77777777" w:rsidR="008E67EA" w:rsidRPr="00A04493" w:rsidRDefault="008E67EA" w:rsidP="00B44A74">
            <w:pPr>
              <w:spacing w:line="280" w:lineRule="exact"/>
              <w:rPr>
                <w:rFonts w:cs="Arial"/>
                <w:color w:val="000000" w:themeColor="text1"/>
                <w:sz w:val="20"/>
                <w:szCs w:val="20"/>
              </w:rPr>
            </w:pPr>
            <w:r w:rsidRPr="00A04493">
              <w:rPr>
                <w:rFonts w:cs="Arial"/>
                <w:color w:val="000000" w:themeColor="text1"/>
                <w:sz w:val="20"/>
                <w:szCs w:val="20"/>
              </w:rPr>
              <w:t>Identifying rodent's movement gives valuable insight for establishing additional bait placements or determining where exclusionary or sanitation measures are needed. FLUONP also helps in tracking rodent activity in drop ceilings, sub-floors, wall voids and other dark, hard-to-access areas where the droppings might not normally be visible. The addition of FLUO-NP also helps confirm security of bait placements.</w:t>
            </w:r>
          </w:p>
        </w:tc>
      </w:tr>
      <w:tr w:rsidR="008E67EA" w:rsidRPr="00420AE5" w14:paraId="11A2679B" w14:textId="77777777" w:rsidTr="00B44A74">
        <w:trPr>
          <w:jc w:val="center"/>
        </w:trPr>
        <w:tc>
          <w:tcPr>
            <w:tcW w:w="2415" w:type="dxa"/>
            <w:tcBorders>
              <w:top w:val="single" w:sz="4" w:space="0" w:color="auto"/>
              <w:left w:val="nil"/>
              <w:bottom w:val="single" w:sz="4" w:space="0" w:color="auto"/>
              <w:right w:val="nil"/>
            </w:tcBorders>
          </w:tcPr>
          <w:p w14:paraId="2252F817" w14:textId="77777777" w:rsidR="008E67EA" w:rsidRPr="00420AE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4043CEE" w14:textId="77777777" w:rsidR="008E67EA" w:rsidRPr="00420AE5" w:rsidRDefault="008E67EA" w:rsidP="00B44A74">
            <w:pPr>
              <w:spacing w:line="280" w:lineRule="exact"/>
              <w:rPr>
                <w:rFonts w:cs="Arial"/>
                <w:sz w:val="20"/>
                <w:szCs w:val="20"/>
              </w:rPr>
            </w:pPr>
          </w:p>
        </w:tc>
      </w:tr>
      <w:tr w:rsidR="008E67EA" w:rsidRPr="00420AE5" w14:paraId="4A41642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E6D636D" w14:textId="77777777" w:rsidR="008E67EA" w:rsidRPr="00420AE5" w:rsidRDefault="008E67EA" w:rsidP="00B44A74">
            <w:pPr>
              <w:spacing w:line="280" w:lineRule="exact"/>
              <w:rPr>
                <w:rFonts w:cs="Arial"/>
                <w:sz w:val="20"/>
                <w:szCs w:val="20"/>
              </w:rPr>
            </w:pPr>
            <w:r w:rsidRPr="00420AE5">
              <w:rPr>
                <w:rFonts w:cs="Arial"/>
                <w:sz w:val="20"/>
                <w:szCs w:val="20"/>
              </w:rPr>
              <w:t>Resistance Warning:</w:t>
            </w:r>
          </w:p>
        </w:tc>
        <w:tc>
          <w:tcPr>
            <w:tcW w:w="7755" w:type="dxa"/>
            <w:tcBorders>
              <w:top w:val="single" w:sz="4" w:space="0" w:color="auto"/>
              <w:left w:val="single" w:sz="4" w:space="0" w:color="auto"/>
              <w:bottom w:val="single" w:sz="4" w:space="0" w:color="auto"/>
              <w:right w:val="single" w:sz="4" w:space="0" w:color="auto"/>
            </w:tcBorders>
          </w:tcPr>
          <w:p w14:paraId="658C1653" w14:textId="77777777" w:rsidR="008E67EA" w:rsidRPr="00420AE5" w:rsidRDefault="008E67EA" w:rsidP="00B44A74">
            <w:pPr>
              <w:spacing w:line="280" w:lineRule="exact"/>
              <w:rPr>
                <w:rFonts w:cs="Arial"/>
                <w:sz w:val="20"/>
                <w:szCs w:val="20"/>
              </w:rPr>
            </w:pPr>
          </w:p>
        </w:tc>
      </w:tr>
      <w:tr w:rsidR="008E67EA" w:rsidRPr="00420AE5" w14:paraId="6021DFCD" w14:textId="77777777" w:rsidTr="00B44A74">
        <w:trPr>
          <w:jc w:val="center"/>
        </w:trPr>
        <w:tc>
          <w:tcPr>
            <w:tcW w:w="2415" w:type="dxa"/>
            <w:tcBorders>
              <w:top w:val="single" w:sz="4" w:space="0" w:color="auto"/>
              <w:left w:val="nil"/>
              <w:bottom w:val="single" w:sz="4" w:space="0" w:color="auto"/>
              <w:right w:val="nil"/>
            </w:tcBorders>
          </w:tcPr>
          <w:p w14:paraId="49AC7C52" w14:textId="77777777" w:rsidR="008E67EA" w:rsidRPr="00420AE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92A2031" w14:textId="77777777" w:rsidR="008E67EA" w:rsidRPr="00420AE5" w:rsidRDefault="008E67EA" w:rsidP="00B44A74">
            <w:pPr>
              <w:spacing w:line="280" w:lineRule="exact"/>
              <w:rPr>
                <w:rFonts w:cs="Arial"/>
                <w:sz w:val="20"/>
                <w:szCs w:val="20"/>
              </w:rPr>
            </w:pPr>
          </w:p>
        </w:tc>
      </w:tr>
      <w:tr w:rsidR="008E67EA" w:rsidRPr="00420AE5" w14:paraId="0288725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E9399D0" w14:textId="77777777" w:rsidR="008E67EA" w:rsidRPr="00420AE5" w:rsidRDefault="008E67EA" w:rsidP="00B44A74">
            <w:pPr>
              <w:spacing w:line="280" w:lineRule="exact"/>
              <w:rPr>
                <w:rFonts w:cs="Arial"/>
                <w:sz w:val="20"/>
                <w:szCs w:val="20"/>
              </w:rPr>
            </w:pPr>
            <w:r w:rsidRPr="00420AE5">
              <w:rPr>
                <w:rFonts w:cs="Arial"/>
                <w:sz w:val="20"/>
                <w:szCs w:val="20"/>
              </w:rPr>
              <w:t>Precautions:</w:t>
            </w:r>
          </w:p>
        </w:tc>
        <w:tc>
          <w:tcPr>
            <w:tcW w:w="7755" w:type="dxa"/>
            <w:tcBorders>
              <w:top w:val="single" w:sz="4" w:space="0" w:color="auto"/>
              <w:left w:val="single" w:sz="4" w:space="0" w:color="auto"/>
              <w:bottom w:val="single" w:sz="4" w:space="0" w:color="auto"/>
              <w:right w:val="single" w:sz="4" w:space="0" w:color="auto"/>
            </w:tcBorders>
          </w:tcPr>
          <w:p w14:paraId="4F8067F9" w14:textId="77777777" w:rsidR="008E67EA" w:rsidRDefault="008E67EA" w:rsidP="00B44A74">
            <w:pPr>
              <w:spacing w:line="280" w:lineRule="exact"/>
              <w:rPr>
                <w:rFonts w:cs="Arial"/>
                <w:sz w:val="20"/>
                <w:szCs w:val="20"/>
              </w:rPr>
            </w:pPr>
            <w:r>
              <w:rPr>
                <w:rFonts w:cs="Arial"/>
                <w:sz w:val="20"/>
                <w:szCs w:val="20"/>
              </w:rPr>
              <w:t>PRECAUTIONS</w:t>
            </w:r>
          </w:p>
          <w:p w14:paraId="0C21AA21" w14:textId="41F45AC9" w:rsidR="008E67EA" w:rsidRPr="00420AE5" w:rsidRDefault="008E67EA" w:rsidP="00B44A74">
            <w:pPr>
              <w:spacing w:line="280" w:lineRule="exact"/>
              <w:rPr>
                <w:rFonts w:cs="Arial"/>
                <w:sz w:val="20"/>
                <w:szCs w:val="20"/>
                <w:highlight w:val="yellow"/>
              </w:rPr>
            </w:pPr>
            <w:r w:rsidRPr="002B23F7">
              <w:rPr>
                <w:rFonts w:cs="Arial"/>
                <w:sz w:val="20"/>
                <w:szCs w:val="20"/>
              </w:rPr>
              <w:t>Caution should be used when baiting near areas where hunting of wildlife may occur. Careful consideration of bait placement is necessary to avoid secondary exposure from contaminated wildlife that may be consumed.</w:t>
            </w:r>
            <w:r w:rsidR="00FF707A">
              <w:rPr>
                <w:rFonts w:cs="Arial"/>
                <w:sz w:val="20"/>
                <w:szCs w:val="20"/>
              </w:rPr>
              <w:br/>
            </w:r>
            <w:r w:rsidRPr="002B23F7">
              <w:rPr>
                <w:rFonts w:cs="Arial"/>
                <w:sz w:val="20"/>
                <w:szCs w:val="20"/>
              </w:rPr>
              <w:t>DO NOT place bait in areas where there is a possibility of contaminating food, livestock feed or surfaces that come in direct contact with food or livestock feed.</w:t>
            </w:r>
          </w:p>
        </w:tc>
      </w:tr>
      <w:tr w:rsidR="008E67EA" w:rsidRPr="00420AE5" w14:paraId="2CFABD54" w14:textId="77777777" w:rsidTr="00B44A74">
        <w:trPr>
          <w:jc w:val="center"/>
        </w:trPr>
        <w:tc>
          <w:tcPr>
            <w:tcW w:w="2415" w:type="dxa"/>
            <w:tcBorders>
              <w:top w:val="single" w:sz="4" w:space="0" w:color="auto"/>
              <w:left w:val="nil"/>
              <w:bottom w:val="single" w:sz="4" w:space="0" w:color="auto"/>
              <w:right w:val="nil"/>
            </w:tcBorders>
          </w:tcPr>
          <w:p w14:paraId="4796DF26" w14:textId="77777777" w:rsidR="008E67EA" w:rsidRPr="00420AE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1FB9E76" w14:textId="77777777" w:rsidR="008E67EA" w:rsidRPr="00420AE5" w:rsidRDefault="008E67EA" w:rsidP="00B44A74">
            <w:pPr>
              <w:spacing w:line="280" w:lineRule="exact"/>
              <w:rPr>
                <w:rFonts w:cs="Arial"/>
                <w:sz w:val="20"/>
                <w:szCs w:val="20"/>
              </w:rPr>
            </w:pPr>
          </w:p>
        </w:tc>
      </w:tr>
      <w:tr w:rsidR="008E67EA" w:rsidRPr="00420AE5" w14:paraId="5FBE7D0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A3E1CA8" w14:textId="77777777" w:rsidR="008E67EA" w:rsidRPr="00420AE5" w:rsidRDefault="008E67EA" w:rsidP="00B44A74">
            <w:pPr>
              <w:spacing w:line="280" w:lineRule="exact"/>
              <w:rPr>
                <w:rFonts w:cs="Arial"/>
                <w:sz w:val="20"/>
                <w:szCs w:val="20"/>
              </w:rPr>
            </w:pPr>
            <w:r w:rsidRPr="00420AE5">
              <w:rPr>
                <w:rFonts w:cs="Arial"/>
                <w:sz w:val="20"/>
                <w:szCs w:val="20"/>
              </w:rPr>
              <w:t>Protection Statements:</w:t>
            </w:r>
          </w:p>
        </w:tc>
        <w:tc>
          <w:tcPr>
            <w:tcW w:w="7755" w:type="dxa"/>
            <w:tcBorders>
              <w:top w:val="single" w:sz="4" w:space="0" w:color="auto"/>
              <w:left w:val="single" w:sz="4" w:space="0" w:color="auto"/>
              <w:bottom w:val="single" w:sz="4" w:space="0" w:color="auto"/>
              <w:right w:val="single" w:sz="4" w:space="0" w:color="auto"/>
            </w:tcBorders>
          </w:tcPr>
          <w:p w14:paraId="2BDE1B0B" w14:textId="77777777" w:rsidR="008E67EA" w:rsidRPr="009C31AE" w:rsidRDefault="008E67EA" w:rsidP="00B44A74">
            <w:pPr>
              <w:spacing w:line="280" w:lineRule="exact"/>
              <w:rPr>
                <w:rFonts w:cs="Arial"/>
                <w:sz w:val="20"/>
                <w:szCs w:val="20"/>
              </w:rPr>
            </w:pPr>
            <w:r w:rsidRPr="009C31AE">
              <w:rPr>
                <w:rFonts w:cs="Arial"/>
                <w:sz w:val="20"/>
                <w:szCs w:val="20"/>
              </w:rPr>
              <w:t>PROTECTION OF LIVESTOCK AND WILDLIFE</w:t>
            </w:r>
          </w:p>
          <w:p w14:paraId="02C04FD0" w14:textId="77777777" w:rsidR="008E67EA" w:rsidRPr="009C31AE" w:rsidRDefault="008E67EA" w:rsidP="00B44A74">
            <w:pPr>
              <w:spacing w:line="280" w:lineRule="exact"/>
              <w:rPr>
                <w:rFonts w:cs="Arial"/>
                <w:sz w:val="20"/>
                <w:szCs w:val="20"/>
              </w:rPr>
            </w:pPr>
            <w:r w:rsidRPr="009C31AE">
              <w:rPr>
                <w:rFonts w:cs="Arial"/>
                <w:sz w:val="20"/>
                <w:szCs w:val="20"/>
              </w:rPr>
              <w:t>Hazardous to livestock, poultry and wildlife. DO NOT place baits in locations that are accessible to domestic animals, livestock, non-target native animals or birds.</w:t>
            </w:r>
          </w:p>
          <w:p w14:paraId="26C297BC" w14:textId="564BA2D7" w:rsidR="008E67EA" w:rsidRPr="009C31AE" w:rsidRDefault="008E67EA" w:rsidP="00B44A74">
            <w:pPr>
              <w:spacing w:line="280" w:lineRule="exact"/>
              <w:rPr>
                <w:rFonts w:cs="Arial"/>
                <w:sz w:val="20"/>
                <w:szCs w:val="20"/>
              </w:rPr>
            </w:pPr>
            <w:r w:rsidRPr="009C31AE">
              <w:rPr>
                <w:rFonts w:cs="Arial"/>
                <w:sz w:val="20"/>
                <w:szCs w:val="20"/>
              </w:rPr>
              <w:t>Search for and dispose of dead rodents and slugs/snails in the infested area at each visit to prevent secondary poisoning. In case slugs/snails are present, move bait station to another location within the rodent infested site, away from slugs/snails. Dispose of slugs/snails in a way non-target animals are not exposed. Dispose of dead rodents and uneaten bait in compliance with local, state or territory government regulations.</w:t>
            </w:r>
          </w:p>
          <w:p w14:paraId="1243D17B" w14:textId="77777777" w:rsidR="008E67EA" w:rsidRPr="009C31AE" w:rsidRDefault="008E67EA" w:rsidP="00B44A74">
            <w:pPr>
              <w:spacing w:line="280" w:lineRule="exact"/>
              <w:rPr>
                <w:rFonts w:cs="Arial"/>
                <w:sz w:val="20"/>
                <w:szCs w:val="20"/>
              </w:rPr>
            </w:pPr>
            <w:r w:rsidRPr="009C31AE">
              <w:rPr>
                <w:rFonts w:cs="Arial"/>
                <w:sz w:val="20"/>
                <w:szCs w:val="20"/>
              </w:rPr>
              <w:t>DO NOT allow livestock or poultry to consume dead or moribund mice and rats. All dead or moribund animals and rodent faeces from baited rodents MUST be removed from areas accessible to livestock or poultry.</w:t>
            </w:r>
          </w:p>
          <w:p w14:paraId="4EC81F6B" w14:textId="77777777" w:rsidR="008E67EA" w:rsidRDefault="008E67EA" w:rsidP="00B44A74">
            <w:pPr>
              <w:spacing w:line="280" w:lineRule="exact"/>
              <w:rPr>
                <w:rFonts w:cs="Arial"/>
                <w:sz w:val="20"/>
                <w:szCs w:val="20"/>
              </w:rPr>
            </w:pPr>
            <w:r w:rsidRPr="009C31AE">
              <w:rPr>
                <w:rFonts w:cs="Arial"/>
                <w:sz w:val="20"/>
                <w:szCs w:val="20"/>
              </w:rPr>
              <w:t>The use of this product for the control of protected native rodents requires permission from wildlife authorities.</w:t>
            </w:r>
          </w:p>
          <w:p w14:paraId="6E6A2D80" w14:textId="77777777" w:rsidR="008E67EA" w:rsidRPr="009C31AE" w:rsidRDefault="008E67EA" w:rsidP="00B44A74">
            <w:pPr>
              <w:spacing w:line="280" w:lineRule="exact"/>
              <w:rPr>
                <w:rFonts w:cs="Arial"/>
                <w:sz w:val="20"/>
                <w:szCs w:val="20"/>
              </w:rPr>
            </w:pPr>
          </w:p>
          <w:p w14:paraId="7A607B56" w14:textId="77777777" w:rsidR="008E67EA" w:rsidRPr="009C31AE" w:rsidRDefault="008E67EA" w:rsidP="00B44A74">
            <w:pPr>
              <w:spacing w:line="280" w:lineRule="exact"/>
              <w:rPr>
                <w:rFonts w:cs="Arial"/>
                <w:sz w:val="20"/>
                <w:szCs w:val="20"/>
              </w:rPr>
            </w:pPr>
            <w:r w:rsidRPr="009C31AE">
              <w:rPr>
                <w:rFonts w:cs="Arial"/>
                <w:sz w:val="20"/>
                <w:szCs w:val="20"/>
              </w:rPr>
              <w:t>PROTECTION OF FISH, CRUSTACEANS AND ENVIRONMENT</w:t>
            </w:r>
          </w:p>
          <w:p w14:paraId="62688B8D" w14:textId="05BA7AD2" w:rsidR="008E67EA" w:rsidRPr="00420AE5" w:rsidRDefault="008E67EA" w:rsidP="00B44A74">
            <w:pPr>
              <w:spacing w:line="280" w:lineRule="exact"/>
              <w:rPr>
                <w:rFonts w:cs="Arial"/>
                <w:sz w:val="20"/>
                <w:szCs w:val="20"/>
              </w:rPr>
            </w:pPr>
            <w:r w:rsidRPr="009C31AE">
              <w:rPr>
                <w:rFonts w:cs="Arial"/>
                <w:sz w:val="20"/>
                <w:szCs w:val="20"/>
              </w:rPr>
              <w:t>Very toxic to aquatic life. DO NOT contaminate wetlands or watercourses with this product or used containers. Place the bait stations in areas not liable to flooding. When placing bait stations close to water drainage systems, ensure that bait contact with water is avoided</w:t>
            </w:r>
          </w:p>
        </w:tc>
      </w:tr>
      <w:tr w:rsidR="008E67EA" w:rsidRPr="00420AE5" w14:paraId="635EA605" w14:textId="77777777" w:rsidTr="00B44A74">
        <w:trPr>
          <w:jc w:val="center"/>
        </w:trPr>
        <w:tc>
          <w:tcPr>
            <w:tcW w:w="2415" w:type="dxa"/>
            <w:tcBorders>
              <w:top w:val="single" w:sz="4" w:space="0" w:color="auto"/>
              <w:left w:val="nil"/>
              <w:bottom w:val="single" w:sz="4" w:space="0" w:color="auto"/>
              <w:right w:val="nil"/>
            </w:tcBorders>
          </w:tcPr>
          <w:p w14:paraId="29D08450" w14:textId="77777777" w:rsidR="008E67EA" w:rsidRPr="00420AE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F70BF10" w14:textId="77777777" w:rsidR="008E67EA" w:rsidRPr="00420AE5" w:rsidRDefault="008E67EA" w:rsidP="00B44A74">
            <w:pPr>
              <w:spacing w:line="280" w:lineRule="exact"/>
              <w:rPr>
                <w:rFonts w:cs="Arial"/>
                <w:sz w:val="20"/>
                <w:szCs w:val="20"/>
              </w:rPr>
            </w:pPr>
          </w:p>
        </w:tc>
      </w:tr>
      <w:tr w:rsidR="008E67EA" w:rsidRPr="00420AE5" w14:paraId="4EAE25A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1140C85" w14:textId="77777777" w:rsidR="008E67EA" w:rsidRPr="00420AE5" w:rsidRDefault="008E67EA" w:rsidP="00B44A74">
            <w:pPr>
              <w:spacing w:line="280" w:lineRule="exact"/>
              <w:rPr>
                <w:rFonts w:cs="Arial"/>
                <w:sz w:val="20"/>
                <w:szCs w:val="20"/>
              </w:rPr>
            </w:pPr>
            <w:r w:rsidRPr="00420AE5">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39312A13" w14:textId="77777777" w:rsidR="008E67EA" w:rsidRPr="00420AE5" w:rsidRDefault="008E67EA" w:rsidP="00B44A74">
            <w:pPr>
              <w:spacing w:line="280" w:lineRule="exact"/>
              <w:rPr>
                <w:rFonts w:cs="Arial"/>
                <w:sz w:val="20"/>
                <w:szCs w:val="20"/>
              </w:rPr>
            </w:pPr>
            <w:r w:rsidRPr="00420AE5">
              <w:rPr>
                <w:rFonts w:cs="Arial"/>
                <w:sz w:val="20"/>
                <w:szCs w:val="20"/>
              </w:rPr>
              <w:t>STORAGE AND DISPOSAL</w:t>
            </w:r>
          </w:p>
          <w:p w14:paraId="2E27F9FD" w14:textId="77777777" w:rsidR="008E67EA" w:rsidRPr="00420AE5" w:rsidRDefault="008E67EA" w:rsidP="00B44A74">
            <w:pPr>
              <w:spacing w:line="280" w:lineRule="exact"/>
              <w:rPr>
                <w:rFonts w:cs="Arial"/>
                <w:sz w:val="20"/>
                <w:szCs w:val="20"/>
              </w:rPr>
            </w:pPr>
            <w:r w:rsidRPr="00420AE5">
              <w:rPr>
                <w:rFonts w:cs="Arial"/>
                <w:sz w:val="20"/>
                <w:szCs w:val="20"/>
              </w:rPr>
              <w:t xml:space="preserve">Store in the closed, original container in a cool dry place out of reach of children. DO NOT store in direct sunlight. Triple rinse containers before disposal. Break, crush or puncture and deliver empty packaging to an approved waste management facility. If an approved waste management facility is not available, dispose of empty packaging in compliance with relevant local, state or territory government regulations. </w:t>
            </w:r>
            <w:r w:rsidRPr="005E538D">
              <w:rPr>
                <w:rFonts w:cs="Arial"/>
                <w:sz w:val="20"/>
                <w:szCs w:val="20"/>
                <w:bdr w:val="none" w:sz="0" w:space="0" w:color="auto" w:frame="1"/>
                <w:lang w:val="en-GB" w:eastAsia="en-AU"/>
              </w:rPr>
              <w:t xml:space="preserve">Dispose </w:t>
            </w:r>
            <w:r w:rsidRPr="005E538D">
              <w:rPr>
                <w:rFonts w:cs="Arial"/>
                <w:sz w:val="20"/>
                <w:szCs w:val="20"/>
                <w:bdr w:val="none" w:sz="0" w:space="0" w:color="auto" w:frame="1"/>
                <w:lang w:val="en-GB" w:eastAsia="en-AU"/>
              </w:rPr>
              <w:lastRenderedPageBreak/>
              <w:t>of unused product in compliance with relevant local, state or territory government regulations</w:t>
            </w:r>
            <w:r>
              <w:rPr>
                <w:rFonts w:cs="Arial"/>
                <w:sz w:val="20"/>
                <w:szCs w:val="20"/>
                <w:bdr w:val="none" w:sz="0" w:space="0" w:color="auto" w:frame="1"/>
                <w:lang w:val="en-GB" w:eastAsia="en-AU"/>
              </w:rPr>
              <w:t>.</w:t>
            </w:r>
            <w:r w:rsidRPr="00174925">
              <w:rPr>
                <w:rFonts w:cs="Arial"/>
                <w:sz w:val="20"/>
                <w:szCs w:val="20"/>
              </w:rPr>
              <w:t xml:space="preserve"> </w:t>
            </w:r>
            <w:r w:rsidRPr="00420AE5">
              <w:rPr>
                <w:rFonts w:cs="Arial"/>
                <w:sz w:val="20"/>
                <w:szCs w:val="20"/>
              </w:rPr>
              <w:t>DO NOT burn empty containers or product.</w:t>
            </w:r>
          </w:p>
        </w:tc>
      </w:tr>
      <w:tr w:rsidR="008E67EA" w:rsidRPr="00420AE5" w14:paraId="792673A4" w14:textId="77777777" w:rsidTr="00B44A74">
        <w:trPr>
          <w:jc w:val="center"/>
        </w:trPr>
        <w:tc>
          <w:tcPr>
            <w:tcW w:w="2415" w:type="dxa"/>
            <w:tcBorders>
              <w:top w:val="single" w:sz="4" w:space="0" w:color="auto"/>
              <w:left w:val="nil"/>
              <w:bottom w:val="single" w:sz="4" w:space="0" w:color="auto"/>
              <w:right w:val="nil"/>
            </w:tcBorders>
          </w:tcPr>
          <w:p w14:paraId="09E6F067" w14:textId="77777777" w:rsidR="008E67EA" w:rsidRPr="00420AE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BA16180" w14:textId="77777777" w:rsidR="008E67EA" w:rsidRPr="00420AE5" w:rsidRDefault="008E67EA" w:rsidP="00B44A74">
            <w:pPr>
              <w:spacing w:line="280" w:lineRule="exact"/>
              <w:rPr>
                <w:rFonts w:cs="Arial"/>
                <w:sz w:val="20"/>
                <w:szCs w:val="20"/>
              </w:rPr>
            </w:pPr>
          </w:p>
        </w:tc>
      </w:tr>
      <w:tr w:rsidR="008E67EA" w:rsidRPr="00420AE5" w14:paraId="5EB38FD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32F5C6E" w14:textId="77777777" w:rsidR="008E67EA" w:rsidRPr="00420AE5" w:rsidRDefault="008E67EA" w:rsidP="00B44A74">
            <w:pPr>
              <w:spacing w:line="280" w:lineRule="exact"/>
              <w:rPr>
                <w:rFonts w:cs="Arial"/>
                <w:sz w:val="20"/>
                <w:szCs w:val="20"/>
              </w:rPr>
            </w:pPr>
            <w:r w:rsidRPr="00420AE5">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5AF9B98E" w14:textId="77777777" w:rsidR="008E67EA" w:rsidRPr="00A04493" w:rsidRDefault="008E67EA" w:rsidP="00B44A74">
            <w:pPr>
              <w:spacing w:line="280" w:lineRule="exact"/>
              <w:rPr>
                <w:rFonts w:cs="Arial"/>
                <w:color w:val="000000" w:themeColor="text1"/>
                <w:sz w:val="20"/>
                <w:szCs w:val="20"/>
              </w:rPr>
            </w:pPr>
            <w:r w:rsidRPr="00A04493">
              <w:rPr>
                <w:rFonts w:cs="Arial"/>
                <w:color w:val="000000" w:themeColor="text1"/>
                <w:sz w:val="20"/>
                <w:szCs w:val="20"/>
              </w:rPr>
              <w:t>SAFETY DIRECTIONS</w:t>
            </w:r>
          </w:p>
          <w:p w14:paraId="3950755F" w14:textId="6F032965" w:rsidR="008E67EA" w:rsidRPr="00420AE5" w:rsidRDefault="008E67EA" w:rsidP="00B44A74">
            <w:pPr>
              <w:spacing w:line="280" w:lineRule="exact"/>
              <w:rPr>
                <w:rFonts w:cs="Arial"/>
                <w:sz w:val="20"/>
                <w:szCs w:val="20"/>
              </w:rPr>
            </w:pPr>
            <w:r w:rsidRPr="004467B8">
              <w:rPr>
                <w:rFonts w:cs="Arial"/>
                <w:sz w:val="20"/>
                <w:szCs w:val="20"/>
              </w:rPr>
              <w:t>Repeated minor exposure may have a cumulative poisoning effect. Will irritate the skin. May irritate eyes. Avoid contact with eyes and skin. When using the product wear disposable gloves. During cleanup, disposal operations of bait and bait stations and when handling rodent carcasses wear single layer clothing and disposable gloves. If on skin and after each baiting, wash thoroughly with soap and water. After each day’s use wash contaminated clothing.</w:t>
            </w:r>
            <w:r>
              <w:rPr>
                <w:rFonts w:cs="Arial"/>
                <w:sz w:val="20"/>
                <w:szCs w:val="20"/>
              </w:rPr>
              <w:t xml:space="preserve"> </w:t>
            </w:r>
            <w:r w:rsidRPr="002B23F7">
              <w:rPr>
                <w:rFonts w:cs="Arial"/>
                <w:sz w:val="20"/>
                <w:szCs w:val="20"/>
              </w:rPr>
              <w:t>Wash clothes after performing re-handling activities.</w:t>
            </w:r>
          </w:p>
        </w:tc>
      </w:tr>
      <w:tr w:rsidR="008E67EA" w:rsidRPr="00420AE5" w14:paraId="2B4C2C15" w14:textId="77777777" w:rsidTr="00B44A74">
        <w:trPr>
          <w:jc w:val="center"/>
        </w:trPr>
        <w:tc>
          <w:tcPr>
            <w:tcW w:w="2415" w:type="dxa"/>
            <w:tcBorders>
              <w:top w:val="single" w:sz="4" w:space="0" w:color="auto"/>
              <w:left w:val="nil"/>
              <w:bottom w:val="single" w:sz="4" w:space="0" w:color="auto"/>
              <w:right w:val="nil"/>
            </w:tcBorders>
          </w:tcPr>
          <w:p w14:paraId="29A2B64D" w14:textId="77777777" w:rsidR="008E67EA" w:rsidRPr="00420AE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2387778" w14:textId="77777777" w:rsidR="008E67EA" w:rsidRPr="00420AE5" w:rsidRDefault="008E67EA" w:rsidP="00B44A74">
            <w:pPr>
              <w:spacing w:line="280" w:lineRule="exact"/>
              <w:rPr>
                <w:rFonts w:cs="Arial"/>
                <w:sz w:val="20"/>
                <w:szCs w:val="20"/>
              </w:rPr>
            </w:pPr>
          </w:p>
        </w:tc>
      </w:tr>
      <w:tr w:rsidR="008E67EA" w:rsidRPr="00420AE5" w14:paraId="4F40D17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443F447" w14:textId="77777777" w:rsidR="008E67EA" w:rsidRPr="00420AE5" w:rsidRDefault="008E67EA" w:rsidP="00B44A74">
            <w:pPr>
              <w:spacing w:line="280" w:lineRule="exact"/>
              <w:rPr>
                <w:rFonts w:cs="Arial"/>
                <w:sz w:val="20"/>
                <w:szCs w:val="20"/>
              </w:rPr>
            </w:pPr>
            <w:r w:rsidRPr="00420AE5">
              <w:rPr>
                <w:rFonts w:cs="Arial"/>
                <w:sz w:val="20"/>
                <w:szCs w:val="20"/>
              </w:rPr>
              <w:t>First Aid Instructions:</w:t>
            </w:r>
          </w:p>
        </w:tc>
        <w:tc>
          <w:tcPr>
            <w:tcW w:w="7755" w:type="dxa"/>
            <w:tcBorders>
              <w:top w:val="single" w:sz="4" w:space="0" w:color="auto"/>
              <w:left w:val="single" w:sz="4" w:space="0" w:color="auto"/>
              <w:bottom w:val="single" w:sz="4" w:space="0" w:color="auto"/>
              <w:right w:val="single" w:sz="4" w:space="0" w:color="auto"/>
            </w:tcBorders>
          </w:tcPr>
          <w:p w14:paraId="5DFF08AE" w14:textId="77777777" w:rsidR="008E67EA" w:rsidRPr="00420AE5" w:rsidRDefault="008E67EA" w:rsidP="00B44A74">
            <w:pPr>
              <w:spacing w:line="280" w:lineRule="exact"/>
              <w:rPr>
                <w:rFonts w:cs="Arial"/>
                <w:sz w:val="20"/>
                <w:szCs w:val="20"/>
              </w:rPr>
            </w:pPr>
            <w:r w:rsidRPr="00420AE5">
              <w:rPr>
                <w:rFonts w:cs="Arial"/>
                <w:sz w:val="20"/>
                <w:szCs w:val="20"/>
              </w:rPr>
              <w:t>FIRST AID</w:t>
            </w:r>
          </w:p>
          <w:p w14:paraId="1BFCE097" w14:textId="77777777" w:rsidR="008E67EA" w:rsidRPr="00420AE5" w:rsidRDefault="008E67EA" w:rsidP="00B44A74">
            <w:pPr>
              <w:spacing w:line="280" w:lineRule="exact"/>
              <w:rPr>
                <w:rFonts w:cs="Arial"/>
                <w:sz w:val="20"/>
                <w:szCs w:val="20"/>
              </w:rPr>
            </w:pPr>
            <w:r w:rsidRPr="00420AE5">
              <w:rPr>
                <w:rFonts w:cs="Arial"/>
                <w:sz w:val="20"/>
                <w:szCs w:val="20"/>
              </w:rPr>
              <w:t>If poisoning occurs, contact a doctor or Poisons Information Centre. Phone Australia 13 11 26, New Zealand 0800 764 766. Vitamin K1 (Phytomenadione) is antidotal.</w:t>
            </w:r>
          </w:p>
        </w:tc>
      </w:tr>
      <w:tr w:rsidR="008E67EA" w:rsidRPr="00420AE5" w14:paraId="10580824" w14:textId="77777777" w:rsidTr="00B44A74">
        <w:trPr>
          <w:jc w:val="center"/>
        </w:trPr>
        <w:tc>
          <w:tcPr>
            <w:tcW w:w="2415" w:type="dxa"/>
            <w:tcBorders>
              <w:top w:val="single" w:sz="4" w:space="0" w:color="auto"/>
              <w:left w:val="nil"/>
              <w:bottom w:val="single" w:sz="4" w:space="0" w:color="auto"/>
              <w:right w:val="nil"/>
            </w:tcBorders>
          </w:tcPr>
          <w:p w14:paraId="04B1203F" w14:textId="77777777" w:rsidR="008E67EA" w:rsidRPr="00420AE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A2ECC15" w14:textId="77777777" w:rsidR="008E67EA" w:rsidRPr="00420AE5" w:rsidRDefault="008E67EA" w:rsidP="00B44A74">
            <w:pPr>
              <w:spacing w:line="280" w:lineRule="exact"/>
              <w:rPr>
                <w:rFonts w:cs="Arial"/>
                <w:sz w:val="20"/>
                <w:szCs w:val="20"/>
              </w:rPr>
            </w:pPr>
          </w:p>
        </w:tc>
      </w:tr>
      <w:tr w:rsidR="008E67EA" w:rsidRPr="00420AE5" w14:paraId="6E5AB0A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C3CFDA2" w14:textId="77777777" w:rsidR="008E67EA" w:rsidRPr="00420AE5" w:rsidRDefault="008E67EA" w:rsidP="00B44A74">
            <w:pPr>
              <w:spacing w:line="280" w:lineRule="exact"/>
              <w:rPr>
                <w:rFonts w:cs="Arial"/>
                <w:sz w:val="20"/>
                <w:szCs w:val="20"/>
              </w:rPr>
            </w:pPr>
            <w:r w:rsidRPr="00420AE5">
              <w:rPr>
                <w:rFonts w:cs="Arial"/>
                <w:sz w:val="20"/>
                <w:szCs w:val="20"/>
              </w:rPr>
              <w:t>First Aid Warnings:</w:t>
            </w:r>
          </w:p>
        </w:tc>
        <w:tc>
          <w:tcPr>
            <w:tcW w:w="7755" w:type="dxa"/>
            <w:tcBorders>
              <w:top w:val="single" w:sz="4" w:space="0" w:color="auto"/>
              <w:left w:val="single" w:sz="4" w:space="0" w:color="auto"/>
              <w:bottom w:val="single" w:sz="4" w:space="0" w:color="auto"/>
              <w:right w:val="single" w:sz="4" w:space="0" w:color="auto"/>
            </w:tcBorders>
          </w:tcPr>
          <w:p w14:paraId="6ADAFE4D" w14:textId="77777777" w:rsidR="008E67EA" w:rsidRPr="00420AE5" w:rsidRDefault="008E67EA" w:rsidP="00B44A74">
            <w:pPr>
              <w:spacing w:line="280" w:lineRule="exact"/>
              <w:rPr>
                <w:rFonts w:cs="Arial"/>
                <w:sz w:val="20"/>
                <w:szCs w:val="20"/>
              </w:rPr>
            </w:pPr>
          </w:p>
        </w:tc>
      </w:tr>
    </w:tbl>
    <w:p w14:paraId="2836F69E" w14:textId="77777777" w:rsidR="008E67EA" w:rsidRDefault="008E67EA" w:rsidP="008E67EA">
      <w:pPr>
        <w:spacing w:line="280" w:lineRule="exact"/>
        <w:rPr>
          <w:rFonts w:cs="Arial"/>
          <w:b/>
          <w:bCs/>
          <w:sz w:val="20"/>
          <w:szCs w:val="20"/>
        </w:rPr>
      </w:pPr>
    </w:p>
    <w:p w14:paraId="5F9FD50D" w14:textId="77777777" w:rsidR="008E67EA" w:rsidRDefault="008E67EA" w:rsidP="008E67EA">
      <w:pPr>
        <w:spacing w:line="280" w:lineRule="exact"/>
        <w:rPr>
          <w:rFonts w:cs="Arial"/>
          <w:b/>
          <w:bCs/>
          <w:sz w:val="20"/>
          <w:szCs w:val="20"/>
        </w:rPr>
      </w:pPr>
      <w:r w:rsidRPr="00420AE5">
        <w:rPr>
          <w:rFonts w:cs="Arial"/>
          <w:b/>
          <w:bCs/>
          <w:sz w:val="20"/>
          <w:szCs w:val="20"/>
        </w:rPr>
        <w:t>DIRECTIONS FOR USE</w:t>
      </w:r>
    </w:p>
    <w:tbl>
      <w:tblPr>
        <w:tblStyle w:val="TableGrid"/>
        <w:tblW w:w="48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1500"/>
        <w:gridCol w:w="1313"/>
        <w:gridCol w:w="3561"/>
      </w:tblGrid>
      <w:tr w:rsidR="008E67EA" w:rsidRPr="00C118CC" w14:paraId="06E986B1" w14:textId="77777777" w:rsidTr="00FF707A">
        <w:trPr>
          <w:trHeight w:val="340"/>
        </w:trPr>
        <w:tc>
          <w:tcPr>
            <w:tcW w:w="1601" w:type="pct"/>
          </w:tcPr>
          <w:p w14:paraId="11BD42C5" w14:textId="77777777" w:rsidR="008E67EA" w:rsidRPr="002F6425" w:rsidRDefault="008E67EA" w:rsidP="00B44A74">
            <w:pPr>
              <w:spacing w:line="280" w:lineRule="exact"/>
              <w:rPr>
                <w:rFonts w:cs="Arial"/>
                <w:b/>
                <w:bCs/>
                <w:spacing w:val="-2"/>
                <w:w w:val="105"/>
                <w:szCs w:val="18"/>
              </w:rPr>
            </w:pPr>
            <w:r w:rsidRPr="002F6425">
              <w:rPr>
                <w:rFonts w:cs="Arial"/>
                <w:b/>
                <w:bCs/>
                <w:szCs w:val="18"/>
              </w:rPr>
              <w:t>SITUATION</w:t>
            </w:r>
          </w:p>
        </w:tc>
        <w:tc>
          <w:tcPr>
            <w:tcW w:w="800" w:type="pct"/>
          </w:tcPr>
          <w:p w14:paraId="24B73A63" w14:textId="77777777" w:rsidR="008E67EA" w:rsidRPr="002F6425" w:rsidRDefault="008E67EA" w:rsidP="00B44A74">
            <w:pPr>
              <w:pStyle w:val="TableParagraph"/>
              <w:spacing w:before="61"/>
              <w:rPr>
                <w:b/>
                <w:bCs/>
                <w:spacing w:val="-4"/>
                <w:sz w:val="18"/>
                <w:szCs w:val="18"/>
              </w:rPr>
            </w:pPr>
            <w:r w:rsidRPr="002F6425">
              <w:rPr>
                <w:b/>
                <w:bCs/>
                <w:sz w:val="18"/>
                <w:szCs w:val="18"/>
              </w:rPr>
              <w:t>PEST</w:t>
            </w:r>
          </w:p>
        </w:tc>
        <w:tc>
          <w:tcPr>
            <w:tcW w:w="700" w:type="pct"/>
          </w:tcPr>
          <w:p w14:paraId="2447B1FF" w14:textId="77777777" w:rsidR="008E67EA" w:rsidRPr="002F6425" w:rsidRDefault="008E67EA" w:rsidP="00B44A74">
            <w:pPr>
              <w:pStyle w:val="TableParagraph"/>
              <w:spacing w:before="61"/>
              <w:rPr>
                <w:b/>
                <w:bCs/>
                <w:sz w:val="18"/>
                <w:szCs w:val="18"/>
              </w:rPr>
            </w:pPr>
            <w:r w:rsidRPr="002F6425">
              <w:rPr>
                <w:b/>
                <w:bCs/>
                <w:sz w:val="18"/>
                <w:szCs w:val="18"/>
              </w:rPr>
              <w:t>RATE</w:t>
            </w:r>
          </w:p>
        </w:tc>
        <w:tc>
          <w:tcPr>
            <w:tcW w:w="1899" w:type="pct"/>
          </w:tcPr>
          <w:p w14:paraId="6D8448CB" w14:textId="77777777" w:rsidR="008E67EA" w:rsidRPr="002F6425" w:rsidRDefault="008E67EA" w:rsidP="00B44A74">
            <w:pPr>
              <w:pStyle w:val="TableParagraph"/>
              <w:spacing w:before="61"/>
              <w:rPr>
                <w:b/>
                <w:bCs/>
                <w:color w:val="7030A0"/>
                <w:sz w:val="18"/>
                <w:szCs w:val="18"/>
              </w:rPr>
            </w:pPr>
            <w:r w:rsidRPr="002F6425">
              <w:rPr>
                <w:b/>
                <w:bCs/>
                <w:sz w:val="18"/>
                <w:szCs w:val="18"/>
              </w:rPr>
              <w:t>CRITICAL COMMENTS</w:t>
            </w:r>
          </w:p>
        </w:tc>
      </w:tr>
      <w:tr w:rsidR="008E67EA" w:rsidRPr="00C118CC" w14:paraId="1EB7D1B9" w14:textId="77777777" w:rsidTr="00FF707A">
        <w:trPr>
          <w:trHeight w:val="1050"/>
        </w:trPr>
        <w:tc>
          <w:tcPr>
            <w:tcW w:w="1601" w:type="pct"/>
          </w:tcPr>
          <w:p w14:paraId="47E0D9FD" w14:textId="77777777" w:rsidR="008E67EA" w:rsidRPr="002F6425" w:rsidRDefault="008E67EA" w:rsidP="00B44A74">
            <w:pPr>
              <w:spacing w:line="240" w:lineRule="exact"/>
              <w:rPr>
                <w:rFonts w:cs="Arial"/>
                <w:b/>
                <w:spacing w:val="-2"/>
                <w:w w:val="105"/>
                <w:szCs w:val="18"/>
              </w:rPr>
            </w:pPr>
            <w:r w:rsidRPr="002F6425">
              <w:rPr>
                <w:rFonts w:cs="Arial"/>
                <w:b/>
                <w:spacing w:val="-2"/>
                <w:w w:val="105"/>
                <w:szCs w:val="18"/>
              </w:rPr>
              <w:t>Clean Out Treatment</w:t>
            </w:r>
            <w:r>
              <w:rPr>
                <w:rFonts w:cs="Arial"/>
                <w:b/>
                <w:spacing w:val="-2"/>
                <w:w w:val="105"/>
                <w:szCs w:val="18"/>
              </w:rPr>
              <w:t>s</w:t>
            </w:r>
            <w:r w:rsidRPr="002F6425">
              <w:rPr>
                <w:rFonts w:cs="Arial"/>
                <w:b/>
                <w:spacing w:val="-2"/>
                <w:w w:val="105"/>
                <w:szCs w:val="18"/>
              </w:rPr>
              <w:t xml:space="preserve"> </w:t>
            </w:r>
          </w:p>
          <w:p w14:paraId="1817A6C3" w14:textId="77777777" w:rsidR="008E67EA" w:rsidRPr="00867EDB" w:rsidRDefault="008E67EA" w:rsidP="00B44A74">
            <w:pPr>
              <w:spacing w:line="240" w:lineRule="exact"/>
              <w:rPr>
                <w:rFonts w:cs="Arial"/>
                <w:bCs/>
                <w:spacing w:val="-2"/>
                <w:w w:val="105"/>
                <w:szCs w:val="18"/>
              </w:rPr>
            </w:pPr>
            <w:r w:rsidRPr="00867EDB">
              <w:rPr>
                <w:rFonts w:cs="Arial"/>
                <w:bCs/>
                <w:spacing w:val="-2"/>
                <w:w w:val="105"/>
                <w:szCs w:val="18"/>
              </w:rPr>
              <w:t xml:space="preserve">In and around </w:t>
            </w:r>
            <w:r>
              <w:rPr>
                <w:rFonts w:cs="Arial"/>
                <w:bCs/>
                <w:spacing w:val="-2"/>
                <w:w w:val="105"/>
                <w:szCs w:val="18"/>
              </w:rPr>
              <w:t>(within 2 m) industrial commercial, public service, agricultural and do</w:t>
            </w:r>
            <w:r w:rsidRPr="00867EDB">
              <w:rPr>
                <w:rFonts w:cs="Arial"/>
                <w:bCs/>
                <w:spacing w:val="-2"/>
                <w:w w:val="105"/>
                <w:szCs w:val="18"/>
              </w:rPr>
              <w:t>mestic</w:t>
            </w:r>
            <w:r>
              <w:rPr>
                <w:rFonts w:cs="Arial"/>
                <w:bCs/>
                <w:spacing w:val="-2"/>
                <w:w w:val="105"/>
                <w:szCs w:val="18"/>
              </w:rPr>
              <w:t xml:space="preserve"> buil</w:t>
            </w:r>
            <w:r w:rsidRPr="00867EDB">
              <w:rPr>
                <w:rFonts w:cs="Arial"/>
                <w:bCs/>
                <w:spacing w:val="-2"/>
                <w:w w:val="105"/>
                <w:szCs w:val="18"/>
              </w:rPr>
              <w:t>dings</w:t>
            </w:r>
          </w:p>
        </w:tc>
        <w:tc>
          <w:tcPr>
            <w:tcW w:w="800" w:type="pct"/>
          </w:tcPr>
          <w:p w14:paraId="5E65573D" w14:textId="77777777" w:rsidR="008E67EA" w:rsidRPr="00867EDB" w:rsidRDefault="008E67EA" w:rsidP="00B44A74">
            <w:pPr>
              <w:spacing w:line="240" w:lineRule="exact"/>
              <w:rPr>
                <w:rFonts w:cs="Arial"/>
                <w:bCs/>
                <w:spacing w:val="-2"/>
                <w:w w:val="105"/>
                <w:szCs w:val="18"/>
              </w:rPr>
            </w:pPr>
            <w:r w:rsidRPr="00867EDB">
              <w:rPr>
                <w:rFonts w:cs="Arial"/>
                <w:bCs/>
                <w:spacing w:val="-2"/>
                <w:w w:val="105"/>
                <w:szCs w:val="18"/>
              </w:rPr>
              <w:t>Rats</w:t>
            </w:r>
          </w:p>
          <w:p w14:paraId="70D0952D" w14:textId="77777777" w:rsidR="008E67EA" w:rsidRPr="00641519" w:rsidRDefault="008E67EA" w:rsidP="00B44A74">
            <w:pPr>
              <w:spacing w:line="240" w:lineRule="exact"/>
              <w:rPr>
                <w:rFonts w:cs="Arial"/>
                <w:bCs/>
                <w:i/>
                <w:iCs/>
                <w:spacing w:val="-2"/>
                <w:w w:val="105"/>
                <w:szCs w:val="18"/>
              </w:rPr>
            </w:pPr>
            <w:r w:rsidRPr="00867EDB">
              <w:rPr>
                <w:rFonts w:cs="Arial"/>
                <w:bCs/>
                <w:spacing w:val="-2"/>
                <w:w w:val="105"/>
                <w:szCs w:val="18"/>
              </w:rPr>
              <w:t>(</w:t>
            </w:r>
            <w:r w:rsidRPr="002F6425">
              <w:rPr>
                <w:rFonts w:cs="Arial"/>
                <w:bCs/>
                <w:i/>
                <w:iCs/>
                <w:spacing w:val="-2"/>
                <w:w w:val="105"/>
                <w:szCs w:val="18"/>
              </w:rPr>
              <w:t>Rattus rattus, R. norvegicus)</w:t>
            </w:r>
          </w:p>
        </w:tc>
        <w:tc>
          <w:tcPr>
            <w:tcW w:w="700" w:type="pct"/>
          </w:tcPr>
          <w:p w14:paraId="0CF7CD45" w14:textId="77777777" w:rsidR="008E67EA" w:rsidRPr="002F6425" w:rsidRDefault="008E67EA" w:rsidP="00B44A74">
            <w:pPr>
              <w:spacing w:line="240" w:lineRule="exact"/>
              <w:rPr>
                <w:rFonts w:cs="Arial"/>
                <w:bCs/>
                <w:spacing w:val="-2"/>
                <w:w w:val="105"/>
                <w:szCs w:val="18"/>
              </w:rPr>
            </w:pPr>
            <w:r w:rsidRPr="002F6425">
              <w:rPr>
                <w:rFonts w:cs="Arial"/>
                <w:bCs/>
                <w:spacing w:val="-2"/>
                <w:w w:val="105"/>
                <w:szCs w:val="18"/>
              </w:rPr>
              <w:t xml:space="preserve">1 to 3 </w:t>
            </w:r>
            <w:r>
              <w:rPr>
                <w:rFonts w:cs="Arial"/>
                <w:bCs/>
                <w:spacing w:val="-2"/>
                <w:w w:val="105"/>
                <w:szCs w:val="18"/>
              </w:rPr>
              <w:t>bait</w:t>
            </w:r>
            <w:r w:rsidRPr="002F6425">
              <w:rPr>
                <w:rFonts w:cs="Arial"/>
                <w:bCs/>
                <w:spacing w:val="-2"/>
                <w:w w:val="105"/>
                <w:szCs w:val="18"/>
              </w:rPr>
              <w:t>s/bait</w:t>
            </w:r>
          </w:p>
          <w:p w14:paraId="74971E20" w14:textId="3F6FC8C1" w:rsidR="008E67EA" w:rsidRPr="00867EDB" w:rsidRDefault="008E67EA" w:rsidP="009C4F64">
            <w:pPr>
              <w:spacing w:line="240" w:lineRule="exact"/>
              <w:rPr>
                <w:rFonts w:cs="Arial"/>
                <w:bCs/>
                <w:spacing w:val="-2"/>
                <w:w w:val="105"/>
                <w:szCs w:val="18"/>
              </w:rPr>
            </w:pPr>
            <w:r w:rsidRPr="002F6425">
              <w:rPr>
                <w:rFonts w:cs="Arial"/>
                <w:bCs/>
                <w:spacing w:val="-2"/>
                <w:w w:val="105"/>
                <w:szCs w:val="18"/>
              </w:rPr>
              <w:t>station</w:t>
            </w:r>
          </w:p>
        </w:tc>
        <w:tc>
          <w:tcPr>
            <w:tcW w:w="1899" w:type="pct"/>
            <w:vMerge w:val="restart"/>
          </w:tcPr>
          <w:p w14:paraId="646BB9C5" w14:textId="77777777" w:rsidR="008E67EA" w:rsidRPr="00F50857" w:rsidRDefault="008E67EA" w:rsidP="00B44A74">
            <w:pPr>
              <w:spacing w:after="120" w:line="240" w:lineRule="exact"/>
              <w:rPr>
                <w:rFonts w:cs="Arial"/>
                <w:bCs/>
                <w:spacing w:val="-2"/>
                <w:w w:val="105"/>
                <w:szCs w:val="18"/>
              </w:rPr>
            </w:pPr>
            <w:r w:rsidRPr="00F50857">
              <w:rPr>
                <w:rFonts w:cs="Arial"/>
                <w:bCs/>
                <w:spacing w:val="-2"/>
                <w:w w:val="105"/>
                <w:szCs w:val="18"/>
              </w:rPr>
              <w:t xml:space="preserve">Place baits in infested area. </w:t>
            </w:r>
          </w:p>
          <w:p w14:paraId="13C2960F" w14:textId="77777777" w:rsidR="008E67EA" w:rsidRDefault="008E67EA" w:rsidP="00B44A74">
            <w:pPr>
              <w:spacing w:after="120" w:line="240" w:lineRule="exact"/>
              <w:rPr>
                <w:rFonts w:cs="Arial"/>
                <w:bCs/>
                <w:spacing w:val="-2"/>
                <w:w w:val="105"/>
                <w:szCs w:val="18"/>
              </w:rPr>
            </w:pPr>
            <w:r w:rsidRPr="00753F6C">
              <w:rPr>
                <w:rFonts w:cs="Arial"/>
                <w:bCs/>
                <w:i/>
                <w:iCs/>
                <w:spacing w:val="-2"/>
                <w:w w:val="105"/>
                <w:szCs w:val="18"/>
              </w:rPr>
              <w:t>For rats:</w:t>
            </w:r>
            <w:r>
              <w:rPr>
                <w:rFonts w:cs="Arial"/>
                <w:bCs/>
                <w:spacing w:val="-2"/>
                <w:w w:val="105"/>
                <w:szCs w:val="18"/>
              </w:rPr>
              <w:t xml:space="preserve"> </w:t>
            </w:r>
            <w:r w:rsidRPr="00867EDB">
              <w:rPr>
                <w:rFonts w:cs="Arial"/>
                <w:bCs/>
                <w:spacing w:val="-2"/>
                <w:w w:val="105"/>
                <w:szCs w:val="18"/>
              </w:rPr>
              <w:t xml:space="preserve">Place </w:t>
            </w:r>
            <w:r>
              <w:rPr>
                <w:rFonts w:cs="Arial"/>
                <w:bCs/>
                <w:spacing w:val="-2"/>
                <w:w w:val="105"/>
                <w:szCs w:val="18"/>
              </w:rPr>
              <w:t>bait stations</w:t>
            </w:r>
            <w:r w:rsidRPr="00867EDB">
              <w:rPr>
                <w:rFonts w:cs="Arial"/>
                <w:bCs/>
                <w:spacing w:val="-2"/>
                <w:w w:val="105"/>
                <w:szCs w:val="18"/>
              </w:rPr>
              <w:t xml:space="preserve"> at intervals of 5 to 9 m in infested areas</w:t>
            </w:r>
            <w:r>
              <w:rPr>
                <w:rFonts w:cs="Arial"/>
                <w:bCs/>
                <w:spacing w:val="-2"/>
                <w:w w:val="105"/>
                <w:szCs w:val="18"/>
              </w:rPr>
              <w:t>.</w:t>
            </w:r>
          </w:p>
          <w:p w14:paraId="2B03689C" w14:textId="77777777" w:rsidR="008E67EA" w:rsidRDefault="008E67EA" w:rsidP="00B44A74">
            <w:pPr>
              <w:spacing w:after="120" w:line="240" w:lineRule="exact"/>
              <w:rPr>
                <w:rFonts w:cs="Arial"/>
                <w:bCs/>
                <w:spacing w:val="-2"/>
                <w:w w:val="105"/>
                <w:szCs w:val="18"/>
              </w:rPr>
            </w:pPr>
            <w:r w:rsidRPr="00753F6C">
              <w:rPr>
                <w:rFonts w:cs="Arial"/>
                <w:bCs/>
                <w:i/>
                <w:iCs/>
                <w:spacing w:val="-2"/>
                <w:w w:val="105"/>
                <w:szCs w:val="18"/>
              </w:rPr>
              <w:t>For mice:</w:t>
            </w:r>
            <w:r>
              <w:rPr>
                <w:rFonts w:cs="Arial"/>
                <w:bCs/>
                <w:spacing w:val="-2"/>
                <w:w w:val="105"/>
                <w:szCs w:val="18"/>
              </w:rPr>
              <w:t xml:space="preserve"> </w:t>
            </w:r>
            <w:r w:rsidRPr="00867EDB">
              <w:rPr>
                <w:rFonts w:cs="Arial"/>
                <w:bCs/>
                <w:spacing w:val="-2"/>
                <w:w w:val="105"/>
                <w:szCs w:val="18"/>
              </w:rPr>
              <w:t xml:space="preserve">Place </w:t>
            </w:r>
            <w:r>
              <w:rPr>
                <w:rFonts w:cs="Arial"/>
                <w:bCs/>
                <w:spacing w:val="-2"/>
                <w:w w:val="105"/>
                <w:szCs w:val="18"/>
              </w:rPr>
              <w:t>bait stations</w:t>
            </w:r>
            <w:r w:rsidRPr="00867EDB">
              <w:rPr>
                <w:rFonts w:cs="Arial"/>
                <w:bCs/>
                <w:spacing w:val="-2"/>
                <w:w w:val="105"/>
                <w:szCs w:val="18"/>
              </w:rPr>
              <w:t xml:space="preserve"> at intervals of </w:t>
            </w:r>
            <w:r>
              <w:rPr>
                <w:rFonts w:cs="Arial"/>
                <w:bCs/>
                <w:spacing w:val="-2"/>
                <w:w w:val="105"/>
                <w:szCs w:val="18"/>
              </w:rPr>
              <w:t>2</w:t>
            </w:r>
            <w:r w:rsidRPr="00867EDB">
              <w:rPr>
                <w:rFonts w:cs="Arial"/>
                <w:bCs/>
                <w:spacing w:val="-2"/>
                <w:w w:val="105"/>
                <w:szCs w:val="18"/>
              </w:rPr>
              <w:t xml:space="preserve"> to </w:t>
            </w:r>
            <w:r>
              <w:rPr>
                <w:rFonts w:cs="Arial"/>
                <w:bCs/>
                <w:spacing w:val="-2"/>
                <w:w w:val="105"/>
                <w:szCs w:val="18"/>
              </w:rPr>
              <w:t>3</w:t>
            </w:r>
            <w:r w:rsidRPr="00867EDB">
              <w:rPr>
                <w:rFonts w:cs="Arial"/>
                <w:bCs/>
                <w:spacing w:val="-2"/>
                <w:w w:val="105"/>
                <w:szCs w:val="18"/>
              </w:rPr>
              <w:t xml:space="preserve"> m in infested areas</w:t>
            </w:r>
            <w:r>
              <w:rPr>
                <w:rFonts w:cs="Arial"/>
                <w:bCs/>
                <w:spacing w:val="-2"/>
                <w:w w:val="105"/>
                <w:szCs w:val="18"/>
              </w:rPr>
              <w:t>.</w:t>
            </w:r>
          </w:p>
          <w:p w14:paraId="3CD0F420" w14:textId="3E7579A4" w:rsidR="008E67EA" w:rsidRPr="00867EDB" w:rsidRDefault="008E67EA" w:rsidP="00B44A74">
            <w:pPr>
              <w:spacing w:after="120" w:line="240" w:lineRule="exact"/>
              <w:rPr>
                <w:rFonts w:cs="Arial"/>
                <w:bCs/>
                <w:spacing w:val="-2"/>
                <w:w w:val="105"/>
                <w:szCs w:val="18"/>
              </w:rPr>
            </w:pPr>
            <w:r w:rsidRPr="00F50857">
              <w:rPr>
                <w:rFonts w:cs="Arial"/>
                <w:bCs/>
                <w:spacing w:val="-2"/>
                <w:w w:val="105"/>
                <w:szCs w:val="18"/>
              </w:rPr>
              <w:t xml:space="preserve">Use the greater number of </w:t>
            </w:r>
            <w:r>
              <w:rPr>
                <w:rFonts w:cs="Arial"/>
                <w:bCs/>
                <w:spacing w:val="-2"/>
                <w:w w:val="105"/>
                <w:szCs w:val="18"/>
              </w:rPr>
              <w:t>baits</w:t>
            </w:r>
            <w:r w:rsidRPr="00F50857">
              <w:rPr>
                <w:rFonts w:cs="Arial"/>
                <w:bCs/>
                <w:spacing w:val="-2"/>
                <w:w w:val="105"/>
                <w:szCs w:val="18"/>
              </w:rPr>
              <w:t xml:space="preserve"> and shorter distance between bait placements</w:t>
            </w:r>
            <w:r>
              <w:rPr>
                <w:rFonts w:cs="Arial"/>
                <w:bCs/>
                <w:spacing w:val="-2"/>
                <w:w w:val="105"/>
                <w:szCs w:val="18"/>
              </w:rPr>
              <w:t xml:space="preserve"> </w:t>
            </w:r>
            <w:r w:rsidRPr="00F50857">
              <w:rPr>
                <w:rFonts w:cs="Arial"/>
                <w:bCs/>
                <w:spacing w:val="-2"/>
                <w:w w:val="105"/>
                <w:szCs w:val="18"/>
              </w:rPr>
              <w:t>when infestations are heavy</w:t>
            </w:r>
            <w:r w:rsidR="009C4F64">
              <w:rPr>
                <w:rFonts w:cs="Arial"/>
                <w:bCs/>
                <w:spacing w:val="-2"/>
                <w:w w:val="105"/>
                <w:szCs w:val="18"/>
              </w:rPr>
              <w:t>.</w:t>
            </w:r>
          </w:p>
          <w:p w14:paraId="37324618" w14:textId="77777777" w:rsidR="008E67EA" w:rsidRPr="00867EDB" w:rsidRDefault="008E67EA" w:rsidP="00B44A74">
            <w:pPr>
              <w:spacing w:after="120" w:line="240" w:lineRule="exact"/>
              <w:rPr>
                <w:rFonts w:cs="Arial"/>
                <w:bCs/>
                <w:spacing w:val="-2"/>
                <w:w w:val="105"/>
                <w:szCs w:val="18"/>
              </w:rPr>
            </w:pPr>
            <w:r>
              <w:rPr>
                <w:rFonts w:cs="Arial"/>
                <w:bCs/>
                <w:spacing w:val="-2"/>
                <w:w w:val="105"/>
                <w:szCs w:val="18"/>
              </w:rPr>
              <w:t xml:space="preserve">See also baiting strategy for clean out treatments. </w:t>
            </w:r>
          </w:p>
        </w:tc>
      </w:tr>
      <w:tr w:rsidR="008E67EA" w:rsidRPr="00C118CC" w14:paraId="07A67C1D" w14:textId="77777777" w:rsidTr="00FF707A">
        <w:trPr>
          <w:trHeight w:val="402"/>
        </w:trPr>
        <w:tc>
          <w:tcPr>
            <w:tcW w:w="1601" w:type="pct"/>
          </w:tcPr>
          <w:p w14:paraId="0CF5793B" w14:textId="77777777" w:rsidR="008E67EA" w:rsidRDefault="008E67EA" w:rsidP="00B44A74">
            <w:pPr>
              <w:spacing w:line="240" w:lineRule="exact"/>
              <w:rPr>
                <w:rFonts w:cs="Arial"/>
                <w:bCs/>
                <w:spacing w:val="-2"/>
                <w:w w:val="105"/>
                <w:szCs w:val="18"/>
              </w:rPr>
            </w:pPr>
            <w:r w:rsidRPr="002F6425">
              <w:rPr>
                <w:rFonts w:cs="Arial"/>
                <w:b/>
                <w:spacing w:val="-2"/>
                <w:w w:val="105"/>
                <w:szCs w:val="18"/>
              </w:rPr>
              <w:t>Clean Out Treatment</w:t>
            </w:r>
            <w:r>
              <w:rPr>
                <w:rFonts w:cs="Arial"/>
                <w:b/>
                <w:spacing w:val="-2"/>
                <w:w w:val="105"/>
                <w:szCs w:val="18"/>
              </w:rPr>
              <w:t>s</w:t>
            </w:r>
          </w:p>
          <w:p w14:paraId="403889CD" w14:textId="77777777" w:rsidR="008E67EA" w:rsidRPr="00867EDB" w:rsidRDefault="008E67EA" w:rsidP="00B44A74">
            <w:pPr>
              <w:spacing w:line="240" w:lineRule="exact"/>
              <w:rPr>
                <w:rFonts w:cs="Arial"/>
                <w:bCs/>
                <w:spacing w:val="-2"/>
                <w:w w:val="105"/>
                <w:szCs w:val="18"/>
              </w:rPr>
            </w:pPr>
            <w:r w:rsidRPr="00867EDB">
              <w:rPr>
                <w:rFonts w:cs="Arial"/>
                <w:bCs/>
                <w:spacing w:val="-2"/>
                <w:w w:val="105"/>
                <w:szCs w:val="18"/>
              </w:rPr>
              <w:t xml:space="preserve">In </w:t>
            </w:r>
            <w:r>
              <w:rPr>
                <w:rFonts w:cs="Arial"/>
                <w:bCs/>
                <w:spacing w:val="-2"/>
                <w:w w:val="105"/>
                <w:szCs w:val="18"/>
              </w:rPr>
              <w:t>industrial commercial, public service, agricultural and do</w:t>
            </w:r>
            <w:r w:rsidRPr="00867EDB">
              <w:rPr>
                <w:rFonts w:cs="Arial"/>
                <w:bCs/>
                <w:spacing w:val="-2"/>
                <w:w w:val="105"/>
                <w:szCs w:val="18"/>
              </w:rPr>
              <w:t>mestic</w:t>
            </w:r>
            <w:r>
              <w:rPr>
                <w:rFonts w:cs="Arial"/>
                <w:bCs/>
                <w:spacing w:val="-2"/>
                <w:w w:val="105"/>
                <w:szCs w:val="18"/>
              </w:rPr>
              <w:t xml:space="preserve"> buil</w:t>
            </w:r>
            <w:r w:rsidRPr="00867EDB">
              <w:rPr>
                <w:rFonts w:cs="Arial"/>
                <w:bCs/>
                <w:spacing w:val="-2"/>
                <w:w w:val="105"/>
                <w:szCs w:val="18"/>
              </w:rPr>
              <w:t>dings</w:t>
            </w:r>
          </w:p>
        </w:tc>
        <w:tc>
          <w:tcPr>
            <w:tcW w:w="800" w:type="pct"/>
          </w:tcPr>
          <w:p w14:paraId="540B4E3F" w14:textId="77777777" w:rsidR="008E67EA" w:rsidRPr="00867EDB" w:rsidRDefault="008E67EA" w:rsidP="00B44A74">
            <w:pPr>
              <w:spacing w:line="240" w:lineRule="exact"/>
              <w:rPr>
                <w:rFonts w:cs="Arial"/>
                <w:bCs/>
                <w:spacing w:val="-2"/>
                <w:w w:val="105"/>
                <w:szCs w:val="18"/>
              </w:rPr>
            </w:pPr>
            <w:r w:rsidRPr="00867EDB">
              <w:rPr>
                <w:rFonts w:cs="Arial"/>
                <w:bCs/>
                <w:spacing w:val="-2"/>
                <w:w w:val="105"/>
                <w:szCs w:val="18"/>
              </w:rPr>
              <w:t>Mice</w:t>
            </w:r>
          </w:p>
          <w:p w14:paraId="479A1DEA" w14:textId="225D93FD" w:rsidR="008E67EA" w:rsidRPr="00867EDB" w:rsidRDefault="008E67EA" w:rsidP="009C4F64">
            <w:pPr>
              <w:spacing w:line="240" w:lineRule="exact"/>
              <w:rPr>
                <w:rFonts w:cs="Arial"/>
                <w:bCs/>
                <w:spacing w:val="-2"/>
                <w:w w:val="105"/>
                <w:szCs w:val="18"/>
              </w:rPr>
            </w:pPr>
            <w:r w:rsidRPr="002F6425">
              <w:rPr>
                <w:rFonts w:cs="Arial"/>
                <w:bCs/>
                <w:i/>
                <w:iCs/>
                <w:spacing w:val="-2"/>
                <w:w w:val="105"/>
                <w:szCs w:val="18"/>
              </w:rPr>
              <w:t>(Mus domesticus)</w:t>
            </w:r>
          </w:p>
        </w:tc>
        <w:tc>
          <w:tcPr>
            <w:tcW w:w="700" w:type="pct"/>
          </w:tcPr>
          <w:p w14:paraId="3DB1FB5D" w14:textId="7B030F52" w:rsidR="008E67EA" w:rsidRPr="00867EDB" w:rsidRDefault="008E67EA" w:rsidP="009C4F64">
            <w:pPr>
              <w:spacing w:line="240" w:lineRule="exact"/>
              <w:rPr>
                <w:rFonts w:cs="Arial"/>
                <w:bCs/>
                <w:spacing w:val="-2"/>
                <w:w w:val="105"/>
                <w:szCs w:val="18"/>
              </w:rPr>
            </w:pPr>
            <w:r>
              <w:rPr>
                <w:rFonts w:cs="Arial"/>
                <w:bCs/>
                <w:spacing w:val="-2"/>
                <w:w w:val="105"/>
                <w:szCs w:val="18"/>
              </w:rPr>
              <w:t>1 baits/bait station</w:t>
            </w:r>
          </w:p>
        </w:tc>
        <w:tc>
          <w:tcPr>
            <w:tcW w:w="1899" w:type="pct"/>
            <w:vMerge/>
          </w:tcPr>
          <w:p w14:paraId="7004EA89" w14:textId="77777777" w:rsidR="008E67EA" w:rsidRPr="00867EDB" w:rsidRDefault="008E67EA" w:rsidP="00B44A74">
            <w:pPr>
              <w:spacing w:line="240" w:lineRule="exact"/>
              <w:rPr>
                <w:rFonts w:cs="Arial"/>
                <w:bCs/>
                <w:spacing w:val="-2"/>
                <w:w w:val="105"/>
                <w:szCs w:val="18"/>
              </w:rPr>
            </w:pPr>
          </w:p>
        </w:tc>
      </w:tr>
      <w:tr w:rsidR="008E67EA" w:rsidRPr="00C118CC" w14:paraId="494146A1" w14:textId="77777777" w:rsidTr="00FF707A">
        <w:trPr>
          <w:trHeight w:val="1247"/>
        </w:trPr>
        <w:tc>
          <w:tcPr>
            <w:tcW w:w="1601" w:type="pct"/>
          </w:tcPr>
          <w:p w14:paraId="18F41F35" w14:textId="77777777" w:rsidR="008E67EA" w:rsidRPr="002F6425" w:rsidRDefault="008E67EA" w:rsidP="00B44A74">
            <w:pPr>
              <w:spacing w:line="240" w:lineRule="exact"/>
              <w:rPr>
                <w:rFonts w:cs="Arial"/>
                <w:b/>
                <w:spacing w:val="-2"/>
                <w:w w:val="105"/>
                <w:szCs w:val="18"/>
              </w:rPr>
            </w:pPr>
            <w:r w:rsidRPr="002F6425">
              <w:rPr>
                <w:rFonts w:cs="Arial"/>
                <w:b/>
                <w:spacing w:val="-2"/>
                <w:w w:val="105"/>
                <w:szCs w:val="18"/>
              </w:rPr>
              <w:t xml:space="preserve">Monitoring and/or Maintenance Treatments </w:t>
            </w:r>
          </w:p>
          <w:p w14:paraId="685DF058" w14:textId="77777777" w:rsidR="008E67EA" w:rsidRDefault="008E67EA" w:rsidP="00B44A74">
            <w:pPr>
              <w:spacing w:line="240" w:lineRule="exact"/>
              <w:rPr>
                <w:rFonts w:cs="Arial"/>
                <w:bCs/>
                <w:spacing w:val="-2"/>
                <w:w w:val="105"/>
                <w:szCs w:val="18"/>
              </w:rPr>
            </w:pPr>
            <w:r w:rsidRPr="00867EDB">
              <w:rPr>
                <w:rFonts w:cs="Arial"/>
                <w:bCs/>
                <w:spacing w:val="-2"/>
                <w:w w:val="105"/>
                <w:szCs w:val="18"/>
              </w:rPr>
              <w:t xml:space="preserve">In and around </w:t>
            </w:r>
            <w:r>
              <w:rPr>
                <w:rFonts w:cs="Arial"/>
                <w:bCs/>
                <w:spacing w:val="-2"/>
                <w:w w:val="105"/>
                <w:szCs w:val="18"/>
              </w:rPr>
              <w:t>(within 2 m) industrial commercial, public service, agricultural and do</w:t>
            </w:r>
            <w:r w:rsidRPr="00867EDB">
              <w:rPr>
                <w:rFonts w:cs="Arial"/>
                <w:bCs/>
                <w:spacing w:val="-2"/>
                <w:w w:val="105"/>
                <w:szCs w:val="18"/>
              </w:rPr>
              <w:t>mestic</w:t>
            </w:r>
            <w:r>
              <w:rPr>
                <w:rFonts w:cs="Arial"/>
                <w:bCs/>
                <w:spacing w:val="-2"/>
                <w:w w:val="105"/>
                <w:szCs w:val="18"/>
              </w:rPr>
              <w:t xml:space="preserve"> buil</w:t>
            </w:r>
            <w:r w:rsidRPr="00867EDB">
              <w:rPr>
                <w:rFonts w:cs="Arial"/>
                <w:bCs/>
                <w:spacing w:val="-2"/>
                <w:w w:val="105"/>
                <w:szCs w:val="18"/>
              </w:rPr>
              <w:t>dings</w:t>
            </w:r>
          </w:p>
        </w:tc>
        <w:tc>
          <w:tcPr>
            <w:tcW w:w="800" w:type="pct"/>
          </w:tcPr>
          <w:p w14:paraId="76DA53BB" w14:textId="77777777" w:rsidR="008E67EA" w:rsidRPr="00867EDB" w:rsidRDefault="008E67EA" w:rsidP="00B44A74">
            <w:pPr>
              <w:spacing w:line="240" w:lineRule="exact"/>
              <w:rPr>
                <w:rFonts w:cs="Arial"/>
                <w:bCs/>
                <w:spacing w:val="-2"/>
                <w:w w:val="105"/>
                <w:szCs w:val="18"/>
              </w:rPr>
            </w:pPr>
            <w:r w:rsidRPr="00867EDB">
              <w:rPr>
                <w:rFonts w:cs="Arial"/>
                <w:bCs/>
                <w:spacing w:val="-2"/>
                <w:w w:val="105"/>
                <w:szCs w:val="18"/>
              </w:rPr>
              <w:t>Rats</w:t>
            </w:r>
          </w:p>
          <w:p w14:paraId="7B75E191" w14:textId="51401474" w:rsidR="008E67EA" w:rsidRPr="00867EDB" w:rsidRDefault="008E67EA" w:rsidP="009C4F64">
            <w:pPr>
              <w:spacing w:line="240" w:lineRule="exact"/>
              <w:rPr>
                <w:rFonts w:cs="Arial"/>
                <w:bCs/>
                <w:spacing w:val="-2"/>
                <w:w w:val="105"/>
                <w:szCs w:val="18"/>
              </w:rPr>
            </w:pPr>
            <w:r w:rsidRPr="002F6425">
              <w:rPr>
                <w:rFonts w:cs="Arial"/>
                <w:bCs/>
                <w:i/>
                <w:iCs/>
                <w:spacing w:val="-2"/>
                <w:w w:val="105"/>
                <w:szCs w:val="18"/>
              </w:rPr>
              <w:t>(Rattus rattus, R. norvegicus)</w:t>
            </w:r>
          </w:p>
        </w:tc>
        <w:tc>
          <w:tcPr>
            <w:tcW w:w="700" w:type="pct"/>
            <w:vMerge w:val="restart"/>
          </w:tcPr>
          <w:p w14:paraId="745B7ACC" w14:textId="77777777" w:rsidR="008E67EA" w:rsidRPr="00867EDB" w:rsidRDefault="008E67EA" w:rsidP="00B44A74">
            <w:pPr>
              <w:spacing w:line="240" w:lineRule="exact"/>
              <w:rPr>
                <w:rFonts w:cs="Arial"/>
                <w:bCs/>
                <w:spacing w:val="-2"/>
                <w:w w:val="105"/>
                <w:szCs w:val="18"/>
              </w:rPr>
            </w:pPr>
            <w:r>
              <w:rPr>
                <w:rFonts w:cs="Arial"/>
                <w:bCs/>
                <w:spacing w:val="-2"/>
                <w:w w:val="105"/>
                <w:szCs w:val="18"/>
              </w:rPr>
              <w:t>1 baits/bait station</w:t>
            </w:r>
          </w:p>
        </w:tc>
        <w:tc>
          <w:tcPr>
            <w:tcW w:w="1899" w:type="pct"/>
            <w:vMerge w:val="restart"/>
          </w:tcPr>
          <w:p w14:paraId="7482DF83" w14:textId="77777777" w:rsidR="008E67EA" w:rsidRDefault="008E67EA" w:rsidP="00B44A74">
            <w:pPr>
              <w:spacing w:after="120" w:line="240" w:lineRule="exact"/>
              <w:rPr>
                <w:rFonts w:cs="Arial"/>
                <w:bCs/>
                <w:spacing w:val="-2"/>
                <w:w w:val="105"/>
                <w:szCs w:val="18"/>
              </w:rPr>
            </w:pPr>
            <w:r w:rsidRPr="00867EDB">
              <w:rPr>
                <w:rFonts w:cs="Arial"/>
                <w:bCs/>
                <w:spacing w:val="-2"/>
                <w:w w:val="105"/>
                <w:szCs w:val="18"/>
              </w:rPr>
              <w:t>Place bait stations</w:t>
            </w:r>
            <w:r w:rsidRPr="002F6425">
              <w:rPr>
                <w:rFonts w:cs="Arial"/>
                <w:bCs/>
                <w:spacing w:val="-2"/>
                <w:w w:val="105"/>
                <w:szCs w:val="18"/>
              </w:rPr>
              <w:t xml:space="preserve"> in areas prone to rodent</w:t>
            </w:r>
            <w:r>
              <w:rPr>
                <w:rFonts w:cs="Arial"/>
                <w:bCs/>
                <w:spacing w:val="-2"/>
                <w:w w:val="105"/>
                <w:szCs w:val="18"/>
              </w:rPr>
              <w:t xml:space="preserve"> </w:t>
            </w:r>
            <w:r w:rsidRPr="002F6425">
              <w:rPr>
                <w:rFonts w:cs="Arial"/>
                <w:bCs/>
                <w:spacing w:val="-2"/>
                <w:w w:val="105"/>
                <w:szCs w:val="18"/>
              </w:rPr>
              <w:t>infestation</w:t>
            </w:r>
            <w:r>
              <w:rPr>
                <w:rFonts w:cs="Arial"/>
                <w:bCs/>
                <w:spacing w:val="-2"/>
                <w:w w:val="105"/>
                <w:szCs w:val="18"/>
              </w:rPr>
              <w:t xml:space="preserve"> at</w:t>
            </w:r>
            <w:r w:rsidRPr="002F6425">
              <w:rPr>
                <w:rFonts w:cs="Arial"/>
                <w:bCs/>
                <w:spacing w:val="-2"/>
                <w:w w:val="105"/>
                <w:szCs w:val="18"/>
              </w:rPr>
              <w:t xml:space="preserve"> intervals of between 15 and 30</w:t>
            </w:r>
            <w:r>
              <w:rPr>
                <w:rFonts w:cs="Arial"/>
                <w:bCs/>
                <w:spacing w:val="-2"/>
                <w:w w:val="105"/>
                <w:szCs w:val="18"/>
              </w:rPr>
              <w:t xml:space="preserve"> </w:t>
            </w:r>
            <w:r w:rsidRPr="002F6425">
              <w:rPr>
                <w:rFonts w:cs="Arial"/>
                <w:bCs/>
                <w:spacing w:val="-2"/>
                <w:w w:val="105"/>
                <w:szCs w:val="18"/>
              </w:rPr>
              <w:t>m.</w:t>
            </w:r>
          </w:p>
          <w:p w14:paraId="5BC5AB16" w14:textId="77777777" w:rsidR="008E67EA" w:rsidRPr="00867EDB" w:rsidRDefault="008E67EA" w:rsidP="00B44A74">
            <w:pPr>
              <w:spacing w:after="120" w:line="240" w:lineRule="exact"/>
              <w:rPr>
                <w:rFonts w:cs="Arial"/>
                <w:bCs/>
                <w:spacing w:val="-2"/>
                <w:w w:val="105"/>
                <w:szCs w:val="18"/>
              </w:rPr>
            </w:pPr>
            <w:r>
              <w:rPr>
                <w:rFonts w:cs="Arial"/>
                <w:bCs/>
                <w:spacing w:val="-2"/>
                <w:w w:val="105"/>
                <w:szCs w:val="18"/>
              </w:rPr>
              <w:t>See also baiting strategy for monitoring and/or maintenance treatments.</w:t>
            </w:r>
          </w:p>
        </w:tc>
      </w:tr>
      <w:tr w:rsidR="008E67EA" w:rsidRPr="00C118CC" w14:paraId="13ED5188" w14:textId="77777777" w:rsidTr="00FF707A">
        <w:trPr>
          <w:trHeight w:val="1020"/>
        </w:trPr>
        <w:tc>
          <w:tcPr>
            <w:tcW w:w="1601" w:type="pct"/>
          </w:tcPr>
          <w:p w14:paraId="683F6DF2" w14:textId="77777777" w:rsidR="008E67EA" w:rsidRPr="002F6425" w:rsidRDefault="008E67EA" w:rsidP="00B44A74">
            <w:pPr>
              <w:spacing w:line="240" w:lineRule="exact"/>
              <w:rPr>
                <w:rFonts w:cs="Arial"/>
                <w:b/>
                <w:spacing w:val="-2"/>
                <w:w w:val="105"/>
                <w:szCs w:val="18"/>
              </w:rPr>
            </w:pPr>
            <w:r w:rsidRPr="002F6425">
              <w:rPr>
                <w:rFonts w:cs="Arial"/>
                <w:b/>
                <w:spacing w:val="-2"/>
                <w:w w:val="105"/>
                <w:szCs w:val="18"/>
              </w:rPr>
              <w:t xml:space="preserve">Monitoring and/or Maintenance Treatments </w:t>
            </w:r>
          </w:p>
          <w:p w14:paraId="6469C67C" w14:textId="77777777" w:rsidR="008E67EA" w:rsidRDefault="008E67EA" w:rsidP="00B44A74">
            <w:pPr>
              <w:spacing w:line="240" w:lineRule="exact"/>
              <w:rPr>
                <w:rFonts w:cs="Arial"/>
                <w:bCs/>
                <w:spacing w:val="-2"/>
                <w:w w:val="105"/>
                <w:szCs w:val="18"/>
              </w:rPr>
            </w:pPr>
            <w:r w:rsidRPr="00867EDB">
              <w:rPr>
                <w:rFonts w:cs="Arial"/>
                <w:bCs/>
                <w:spacing w:val="-2"/>
                <w:w w:val="105"/>
                <w:szCs w:val="18"/>
              </w:rPr>
              <w:t xml:space="preserve">In </w:t>
            </w:r>
            <w:r>
              <w:rPr>
                <w:rFonts w:cs="Arial"/>
                <w:bCs/>
                <w:spacing w:val="-2"/>
                <w:w w:val="105"/>
                <w:szCs w:val="18"/>
              </w:rPr>
              <w:t>industrial commercial, public service, agricultural and do</w:t>
            </w:r>
            <w:r w:rsidRPr="00867EDB">
              <w:rPr>
                <w:rFonts w:cs="Arial"/>
                <w:bCs/>
                <w:spacing w:val="-2"/>
                <w:w w:val="105"/>
                <w:szCs w:val="18"/>
              </w:rPr>
              <w:t>mestic</w:t>
            </w:r>
            <w:r>
              <w:rPr>
                <w:rFonts w:cs="Arial"/>
                <w:bCs/>
                <w:spacing w:val="-2"/>
                <w:w w:val="105"/>
                <w:szCs w:val="18"/>
              </w:rPr>
              <w:t xml:space="preserve"> buil</w:t>
            </w:r>
            <w:r w:rsidRPr="00867EDB">
              <w:rPr>
                <w:rFonts w:cs="Arial"/>
                <w:bCs/>
                <w:spacing w:val="-2"/>
                <w:w w:val="105"/>
                <w:szCs w:val="18"/>
              </w:rPr>
              <w:t>dings</w:t>
            </w:r>
          </w:p>
        </w:tc>
        <w:tc>
          <w:tcPr>
            <w:tcW w:w="800" w:type="pct"/>
          </w:tcPr>
          <w:p w14:paraId="48F080A0" w14:textId="77777777" w:rsidR="008E67EA" w:rsidRPr="00867EDB" w:rsidRDefault="008E67EA" w:rsidP="00B44A74">
            <w:pPr>
              <w:spacing w:line="240" w:lineRule="exact"/>
              <w:rPr>
                <w:rFonts w:cs="Arial"/>
                <w:bCs/>
                <w:spacing w:val="-2"/>
                <w:w w:val="105"/>
                <w:szCs w:val="18"/>
              </w:rPr>
            </w:pPr>
            <w:r w:rsidRPr="00867EDB">
              <w:rPr>
                <w:rFonts w:cs="Arial"/>
                <w:bCs/>
                <w:spacing w:val="-2"/>
                <w:w w:val="105"/>
                <w:szCs w:val="18"/>
              </w:rPr>
              <w:t>Mice</w:t>
            </w:r>
          </w:p>
          <w:p w14:paraId="44B15FF3" w14:textId="3BC86723" w:rsidR="008E67EA" w:rsidRPr="00867EDB" w:rsidRDefault="008E67EA" w:rsidP="009C4F64">
            <w:pPr>
              <w:spacing w:line="240" w:lineRule="exact"/>
              <w:rPr>
                <w:rFonts w:cs="Arial"/>
                <w:bCs/>
                <w:spacing w:val="-2"/>
                <w:w w:val="105"/>
                <w:szCs w:val="18"/>
              </w:rPr>
            </w:pPr>
            <w:r w:rsidRPr="002F6425">
              <w:rPr>
                <w:rFonts w:cs="Arial"/>
                <w:bCs/>
                <w:i/>
                <w:iCs/>
                <w:spacing w:val="-2"/>
                <w:w w:val="105"/>
                <w:szCs w:val="18"/>
              </w:rPr>
              <w:t>(Mus domesticus)</w:t>
            </w:r>
          </w:p>
        </w:tc>
        <w:tc>
          <w:tcPr>
            <w:tcW w:w="700" w:type="pct"/>
            <w:vMerge/>
          </w:tcPr>
          <w:p w14:paraId="63BAD4C0" w14:textId="77777777" w:rsidR="008E67EA" w:rsidRPr="00867EDB" w:rsidRDefault="008E67EA" w:rsidP="00B44A74">
            <w:pPr>
              <w:spacing w:line="240" w:lineRule="exact"/>
              <w:rPr>
                <w:rFonts w:cs="Arial"/>
                <w:bCs/>
                <w:spacing w:val="-2"/>
                <w:w w:val="105"/>
                <w:szCs w:val="18"/>
              </w:rPr>
            </w:pPr>
          </w:p>
        </w:tc>
        <w:tc>
          <w:tcPr>
            <w:tcW w:w="1899" w:type="pct"/>
            <w:vMerge/>
          </w:tcPr>
          <w:p w14:paraId="1180C409" w14:textId="77777777" w:rsidR="008E67EA" w:rsidRPr="00867EDB" w:rsidRDefault="008E67EA" w:rsidP="00B44A74">
            <w:pPr>
              <w:spacing w:line="240" w:lineRule="exact"/>
              <w:rPr>
                <w:rFonts w:cs="Arial"/>
                <w:bCs/>
                <w:spacing w:val="-2"/>
                <w:w w:val="105"/>
                <w:szCs w:val="18"/>
              </w:rPr>
            </w:pPr>
          </w:p>
        </w:tc>
      </w:tr>
    </w:tbl>
    <w:p w14:paraId="125D9418" w14:textId="77777777" w:rsidR="008E67EA" w:rsidRDefault="008E67EA" w:rsidP="008E67EA">
      <w:pPr>
        <w:spacing w:line="280" w:lineRule="exact"/>
        <w:rPr>
          <w:rFonts w:cs="Arial"/>
          <w:b/>
          <w:bCs/>
          <w:sz w:val="20"/>
          <w:szCs w:val="20"/>
        </w:rPr>
      </w:pPr>
    </w:p>
    <w:p w14:paraId="2B070D59" w14:textId="77777777" w:rsidR="008E67EA" w:rsidRPr="00867EDB" w:rsidRDefault="008E67EA" w:rsidP="008E67EA">
      <w:pPr>
        <w:spacing w:line="280" w:lineRule="exact"/>
        <w:rPr>
          <w:rFonts w:cs="Arial"/>
          <w:b/>
          <w:bCs/>
          <w:color w:val="000000" w:themeColor="text1"/>
          <w:sz w:val="20"/>
          <w:szCs w:val="20"/>
        </w:rPr>
      </w:pPr>
      <w:r w:rsidRPr="00867EDB">
        <w:rPr>
          <w:rFonts w:cs="Arial"/>
          <w:b/>
          <w:bCs/>
          <w:color w:val="000000" w:themeColor="text1"/>
          <w:sz w:val="20"/>
          <w:szCs w:val="20"/>
        </w:rPr>
        <w:t>Baiting Strategy</w:t>
      </w:r>
    </w:p>
    <w:p w14:paraId="4897E4C0" w14:textId="77777777" w:rsidR="008E67EA" w:rsidRPr="00B832BB"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Eliminate all alternative food sources as far as practical.</w:t>
      </w:r>
    </w:p>
    <w:p w14:paraId="062F764A" w14:textId="77777777" w:rsidR="008E67EA" w:rsidRPr="00B832BB"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B832BB">
        <w:rPr>
          <w:rFonts w:eastAsia="Calibri" w:cs="Arial"/>
          <w:sz w:val="20"/>
          <w:szCs w:val="20"/>
          <w:bdr w:val="none" w:sz="0" w:space="0" w:color="auto" w:frame="1"/>
          <w:lang w:val="en-GB" w:eastAsia="en-AU"/>
        </w:rPr>
        <w:t>When used in food producing animal housing situations careful consideration is necessary regarding the placement of bait stations to ensure any rodenticide contamination of water, feed or livestock is prevented.</w:t>
      </w:r>
    </w:p>
    <w:p w14:paraId="65D9B4DF" w14:textId="77777777" w:rsidR="008E67EA" w:rsidRPr="00867EDB" w:rsidRDefault="008E67EA" w:rsidP="008E67EA">
      <w:pPr>
        <w:spacing w:line="280" w:lineRule="exact"/>
        <w:rPr>
          <w:rFonts w:cs="Arial"/>
          <w:b/>
          <w:bCs/>
          <w:i/>
          <w:iCs/>
          <w:color w:val="000000" w:themeColor="text1"/>
          <w:sz w:val="20"/>
          <w:szCs w:val="20"/>
        </w:rPr>
      </w:pPr>
      <w:r w:rsidRPr="00867EDB">
        <w:rPr>
          <w:rFonts w:cs="Arial"/>
          <w:b/>
          <w:bCs/>
          <w:i/>
          <w:iCs/>
          <w:color w:val="000000" w:themeColor="text1"/>
          <w:sz w:val="20"/>
          <w:szCs w:val="20"/>
        </w:rPr>
        <w:t xml:space="preserve">Clean Out Treatments (Pulse Baiting) </w:t>
      </w:r>
    </w:p>
    <w:p w14:paraId="6BFCAD7E" w14:textId="77777777" w:rsidR="008E67EA" w:rsidRPr="00641519"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Clean out treatments are used to remove existing infestations of rats and mice</w:t>
      </w:r>
    </w:p>
    <w:p w14:paraId="5798BCD9" w14:textId="77777777" w:rsidR="008E67EA" w:rsidRPr="00B832BB"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lastRenderedPageBreak/>
        <w:t>Survey site prior to treatment, including assessment of the extent of infestation and identification of any indications of the presence of non-target animals.</w:t>
      </w:r>
    </w:p>
    <w:p w14:paraId="1991B743" w14:textId="12298C66" w:rsidR="008E67EA" w:rsidRPr="00641519"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Pr>
          <w:rFonts w:eastAsia="Calibri" w:cs="Arial"/>
          <w:sz w:val="20"/>
          <w:szCs w:val="20"/>
          <w:bdr w:val="none" w:sz="0" w:space="0" w:color="auto" w:frame="1"/>
          <w:lang w:val="en-GB" w:eastAsia="en-AU"/>
        </w:rPr>
        <w:t xml:space="preserve">Always use </w:t>
      </w:r>
      <w:r w:rsidRPr="00A86A4B">
        <w:rPr>
          <w:rFonts w:cs="Arial"/>
          <w:sz w:val="20"/>
          <w:szCs w:val="20"/>
          <w:bdr w:val="none" w:sz="0" w:space="0" w:color="auto" w:frame="1"/>
          <w:lang w:val="en-GB" w:eastAsia="en-AU"/>
        </w:rPr>
        <w:t>tamper</w:t>
      </w:r>
      <w:r>
        <w:rPr>
          <w:rFonts w:cs="Arial"/>
          <w:sz w:val="20"/>
          <w:szCs w:val="20"/>
          <w:bdr w:val="none" w:sz="0" w:space="0" w:color="auto" w:frame="1"/>
          <w:lang w:val="en-GB" w:eastAsia="en-AU"/>
        </w:rPr>
        <w:t>-resistant bait stations that are secured in place in child accessible areas, outdoors and in animal or livestock housing.</w:t>
      </w:r>
    </w:p>
    <w:p w14:paraId="0630446F" w14:textId="77777777" w:rsidR="008E67EA" w:rsidRPr="00641519"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 xml:space="preserve">Place </w:t>
      </w:r>
      <w:r>
        <w:rPr>
          <w:rFonts w:eastAsia="Calibri" w:cs="Arial"/>
          <w:sz w:val="20"/>
          <w:szCs w:val="20"/>
          <w:bdr w:val="none" w:sz="0" w:space="0" w:color="auto" w:frame="1"/>
          <w:lang w:val="en-GB" w:eastAsia="en-AU"/>
        </w:rPr>
        <w:t>baits</w:t>
      </w:r>
      <w:r w:rsidRPr="00641519">
        <w:rPr>
          <w:rFonts w:eastAsia="Calibri" w:cs="Arial"/>
          <w:sz w:val="20"/>
          <w:szCs w:val="20"/>
          <w:bdr w:val="none" w:sz="0" w:space="0" w:color="auto" w:frame="1"/>
          <w:lang w:val="en-GB" w:eastAsia="en-AU"/>
        </w:rPr>
        <w:t xml:space="preserve"> so as to prevent access to non-target animals.</w:t>
      </w:r>
      <w:r w:rsidRPr="00F50857">
        <w:t xml:space="preserve"> </w:t>
      </w:r>
      <w:r w:rsidRPr="00F50857">
        <w:rPr>
          <w:rFonts w:eastAsia="Calibri" w:cs="Arial"/>
          <w:sz w:val="20"/>
          <w:szCs w:val="20"/>
          <w:bdr w:val="none" w:sz="0" w:space="0" w:color="auto" w:frame="1"/>
          <w:lang w:eastAsia="en-AU"/>
        </w:rPr>
        <w:t>Securely fasten bait and bait stations to minimise risk of consumption by other animals or of being dragged away.</w:t>
      </w:r>
    </w:p>
    <w:p w14:paraId="04BE078E" w14:textId="77777777" w:rsidR="008E67EA" w:rsidRPr="00E94B51"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E94B51">
        <w:rPr>
          <w:rFonts w:eastAsia="Calibri" w:cs="Arial"/>
          <w:sz w:val="20"/>
          <w:szCs w:val="20"/>
          <w:bdr w:val="none" w:sz="0" w:space="0" w:color="auto" w:frame="1"/>
          <w:lang w:val="en-GB" w:eastAsia="en-AU"/>
        </w:rPr>
        <w:t>Record the number and locations of bait stations for</w:t>
      </w:r>
      <w:r>
        <w:rPr>
          <w:rFonts w:eastAsia="Calibri" w:cs="Arial"/>
          <w:sz w:val="20"/>
          <w:szCs w:val="20"/>
          <w:bdr w:val="none" w:sz="0" w:space="0" w:color="auto" w:frame="1"/>
          <w:lang w:val="en-GB" w:eastAsia="en-AU"/>
        </w:rPr>
        <w:t xml:space="preserve"> the</w:t>
      </w:r>
      <w:r w:rsidRPr="00E94B51">
        <w:rPr>
          <w:rFonts w:eastAsia="Calibri" w:cs="Arial"/>
          <w:sz w:val="20"/>
          <w:szCs w:val="20"/>
          <w:bdr w:val="none" w:sz="0" w:space="0" w:color="auto" w:frame="1"/>
          <w:lang w:val="en-GB" w:eastAsia="en-AU"/>
        </w:rPr>
        <w:t xml:space="preserve"> purpose of inspection, replacement and later removal.</w:t>
      </w:r>
    </w:p>
    <w:p w14:paraId="09349307" w14:textId="44142FE2" w:rsidR="008E67EA"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FF2820">
        <w:rPr>
          <w:rFonts w:eastAsia="Calibri" w:cs="Arial"/>
          <w:sz w:val="20"/>
          <w:szCs w:val="20"/>
          <w:bdr w:val="none" w:sz="0" w:space="0" w:color="auto" w:frame="1"/>
          <w:lang w:eastAsia="en-AU"/>
        </w:rPr>
        <w:t>Conduct initial inspection of bait points after 3 or 4 days.</w:t>
      </w:r>
      <w:r w:rsidRPr="00753F40">
        <w:rPr>
          <w:rFonts w:eastAsia="Calibri" w:cs="Arial"/>
          <w:sz w:val="20"/>
          <w:szCs w:val="20"/>
          <w:bdr w:val="none" w:sz="0" w:space="0" w:color="auto" w:frame="1"/>
          <w:lang w:eastAsia="en-AU"/>
        </w:rPr>
        <w:t xml:space="preserve"> UV (black light) can be used to increase visibility of the fluorescent baits. Replace any bait that has been consumed. Repeat approximately 4</w:t>
      </w:r>
      <w:r w:rsidR="009C4F64">
        <w:rPr>
          <w:rFonts w:eastAsia="Calibri" w:cs="Arial"/>
          <w:sz w:val="20"/>
          <w:szCs w:val="20"/>
          <w:bdr w:val="none" w:sz="0" w:space="0" w:color="auto" w:frame="1"/>
          <w:lang w:eastAsia="en-AU"/>
        </w:rPr>
        <w:t> </w:t>
      </w:r>
      <w:r w:rsidRPr="00753F40">
        <w:rPr>
          <w:rFonts w:eastAsia="Calibri" w:cs="Arial"/>
          <w:sz w:val="20"/>
          <w:szCs w:val="20"/>
          <w:bdr w:val="none" w:sz="0" w:space="0" w:color="auto" w:frame="1"/>
          <w:lang w:eastAsia="en-AU"/>
        </w:rPr>
        <w:t>days later and then weekly. Replace contaminated or spoiled baits</w:t>
      </w:r>
      <w:r>
        <w:rPr>
          <w:rFonts w:eastAsia="Calibri" w:cs="Arial"/>
          <w:sz w:val="20"/>
          <w:szCs w:val="20"/>
          <w:bdr w:val="none" w:sz="0" w:space="0" w:color="auto" w:frame="1"/>
          <w:lang w:eastAsia="en-AU"/>
        </w:rPr>
        <w:t>.</w:t>
      </w:r>
    </w:p>
    <w:p w14:paraId="40F92F1C" w14:textId="77777777" w:rsidR="008E67EA" w:rsidRPr="00641519"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 xml:space="preserve">Baiting for at least 2 weeks (3 to 4 pulses) will be necessary to reduce rat/mouse numbers to a low level. Although heavy infestations may require longer treatments to achieve complete eradication. </w:t>
      </w:r>
      <w:r w:rsidRPr="00753F40">
        <w:rPr>
          <w:rFonts w:eastAsia="Calibri" w:cs="Arial"/>
          <w:sz w:val="20"/>
          <w:szCs w:val="20"/>
          <w:bdr w:val="none" w:sz="0" w:space="0" w:color="auto" w:frame="1"/>
          <w:lang w:eastAsia="en-AU"/>
        </w:rPr>
        <w:t>Most deaths occur 4 to 7 days after consumption of bait.</w:t>
      </w:r>
    </w:p>
    <w:p w14:paraId="32912E86" w14:textId="77777777" w:rsidR="008E67EA" w:rsidRPr="00641519"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 xml:space="preserve">Discontinue the treatment when effective control has been achieved and remove all </w:t>
      </w:r>
      <w:r>
        <w:rPr>
          <w:rFonts w:eastAsia="Calibri" w:cs="Arial"/>
          <w:sz w:val="20"/>
          <w:szCs w:val="20"/>
          <w:bdr w:val="none" w:sz="0" w:space="0" w:color="auto" w:frame="1"/>
          <w:lang w:val="en-GB" w:eastAsia="en-AU"/>
        </w:rPr>
        <w:t>bait</w:t>
      </w:r>
      <w:r w:rsidRPr="00641519">
        <w:rPr>
          <w:rFonts w:eastAsia="Calibri" w:cs="Arial"/>
          <w:sz w:val="20"/>
          <w:szCs w:val="20"/>
          <w:bdr w:val="none" w:sz="0" w:space="0" w:color="auto" w:frame="1"/>
          <w:lang w:val="en-GB" w:eastAsia="en-AU"/>
        </w:rPr>
        <w:t xml:space="preserve"> and bait stations unless a maintenance treatment is to be undertaken.</w:t>
      </w:r>
    </w:p>
    <w:p w14:paraId="06B28CFF" w14:textId="77777777" w:rsidR="008E67EA" w:rsidRPr="00641519"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DO NOT use the product beyond 35 days without an evaluation of the state of the infestation and of the efficacy of the treatment.</w:t>
      </w:r>
    </w:p>
    <w:p w14:paraId="0AD7BC9A" w14:textId="77777777" w:rsidR="008E67EA" w:rsidRPr="00641519"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Remove all uneaten bait at the end of treatment.</w:t>
      </w:r>
    </w:p>
    <w:p w14:paraId="116B08A2" w14:textId="77777777" w:rsidR="008E67EA" w:rsidRPr="00867EDB" w:rsidRDefault="008E67EA" w:rsidP="008E67EA">
      <w:pPr>
        <w:spacing w:line="280" w:lineRule="exact"/>
        <w:rPr>
          <w:rFonts w:cs="Arial"/>
          <w:b/>
          <w:bCs/>
          <w:i/>
          <w:iCs/>
          <w:color w:val="000000" w:themeColor="text1"/>
          <w:sz w:val="20"/>
          <w:szCs w:val="20"/>
        </w:rPr>
      </w:pPr>
      <w:r w:rsidRPr="00867EDB">
        <w:rPr>
          <w:rFonts w:cs="Arial"/>
          <w:b/>
          <w:bCs/>
          <w:i/>
          <w:iCs/>
          <w:color w:val="000000" w:themeColor="text1"/>
          <w:sz w:val="20"/>
          <w:szCs w:val="20"/>
        </w:rPr>
        <w:t xml:space="preserve">Monitoring and/or Maintenance Treatments </w:t>
      </w:r>
    </w:p>
    <w:p w14:paraId="5236FA87" w14:textId="77777777" w:rsidR="008E67EA" w:rsidRPr="00B832BB"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Monitoring and maintenance treatments are required at sensitive sites where there is no current rodent infestation but where the prevention of such infestation is essential to prevent significant risks to human health. Such treatments may be a condition for audit approval within food safety guidelines. However, use of this product must comply with the conditions of this label.</w:t>
      </w:r>
    </w:p>
    <w:p w14:paraId="2235F86B" w14:textId="77777777" w:rsidR="008E67EA" w:rsidRPr="00B832BB"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Pr>
          <w:rFonts w:eastAsia="Calibri" w:cs="Arial"/>
          <w:sz w:val="20"/>
          <w:szCs w:val="20"/>
          <w:bdr w:val="none" w:sz="0" w:space="0" w:color="auto" w:frame="1"/>
          <w:lang w:val="en-GB" w:eastAsia="en-AU"/>
        </w:rPr>
        <w:t xml:space="preserve">Always use </w:t>
      </w:r>
      <w:r w:rsidRPr="00A86A4B">
        <w:rPr>
          <w:rFonts w:cs="Arial"/>
          <w:sz w:val="20"/>
          <w:szCs w:val="20"/>
          <w:bdr w:val="none" w:sz="0" w:space="0" w:color="auto" w:frame="1"/>
          <w:lang w:val="en-GB" w:eastAsia="en-AU"/>
        </w:rPr>
        <w:t>tamper</w:t>
      </w:r>
      <w:r>
        <w:rPr>
          <w:rFonts w:cs="Arial"/>
          <w:sz w:val="20"/>
          <w:szCs w:val="20"/>
          <w:bdr w:val="none" w:sz="0" w:space="0" w:color="auto" w:frame="1"/>
          <w:lang w:val="en-GB" w:eastAsia="en-AU"/>
        </w:rPr>
        <w:t xml:space="preserve">-resistant bait stations for monitoring and maintenance treatments and fix the stations securely to the substrate. </w:t>
      </w:r>
    </w:p>
    <w:p w14:paraId="0B87DF84" w14:textId="77777777" w:rsidR="008E67EA" w:rsidRPr="00641519"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Place bait stations so as to prevent access to non-target animals.</w:t>
      </w:r>
    </w:p>
    <w:p w14:paraId="769678BB" w14:textId="77777777" w:rsidR="008E67EA" w:rsidRPr="00641519"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Use placebo or unpoisoned bait</w:t>
      </w:r>
      <w:r>
        <w:rPr>
          <w:rFonts w:eastAsia="Calibri" w:cs="Arial"/>
          <w:sz w:val="20"/>
          <w:szCs w:val="20"/>
          <w:bdr w:val="none" w:sz="0" w:space="0" w:color="auto" w:frame="1"/>
          <w:lang w:val="en-GB" w:eastAsia="en-AU"/>
        </w:rPr>
        <w:t xml:space="preserve">s </w:t>
      </w:r>
      <w:r w:rsidRPr="00641519">
        <w:rPr>
          <w:rFonts w:eastAsia="Calibri" w:cs="Arial"/>
          <w:sz w:val="20"/>
          <w:szCs w:val="20"/>
          <w:bdr w:val="none" w:sz="0" w:space="0" w:color="auto" w:frame="1"/>
          <w:lang w:val="en-GB" w:eastAsia="en-AU"/>
        </w:rPr>
        <w:t>if the placement of the bait presents a hazard to non-target animals.</w:t>
      </w:r>
    </w:p>
    <w:p w14:paraId="05A29D77" w14:textId="77777777" w:rsidR="008E67EA" w:rsidRPr="00641519"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 xml:space="preserve">Always </w:t>
      </w:r>
      <w:r>
        <w:rPr>
          <w:rFonts w:eastAsia="Calibri" w:cs="Arial"/>
          <w:sz w:val="20"/>
          <w:szCs w:val="20"/>
          <w:bdr w:val="none" w:sz="0" w:space="0" w:color="auto" w:frame="1"/>
          <w:lang w:val="en-GB" w:eastAsia="en-AU"/>
        </w:rPr>
        <w:t xml:space="preserve">map location and number of baits to assist in retrieval and ongoing </w:t>
      </w:r>
      <w:r w:rsidRPr="00753F40">
        <w:rPr>
          <w:rFonts w:eastAsia="Calibri" w:cs="Arial"/>
          <w:sz w:val="20"/>
          <w:szCs w:val="20"/>
          <w:bdr w:val="none" w:sz="0" w:space="0" w:color="auto" w:frame="1"/>
          <w:lang w:eastAsia="en-AU"/>
        </w:rPr>
        <w:t>surveillance</w:t>
      </w:r>
      <w:r>
        <w:rPr>
          <w:rFonts w:eastAsia="Calibri" w:cs="Arial"/>
          <w:sz w:val="20"/>
          <w:szCs w:val="20"/>
          <w:bdr w:val="none" w:sz="0" w:space="0" w:color="auto" w:frame="1"/>
          <w:lang w:val="en-GB" w:eastAsia="en-AU"/>
        </w:rPr>
        <w:t>.</w:t>
      </w:r>
    </w:p>
    <w:p w14:paraId="4A7F97B3" w14:textId="77777777" w:rsidR="008E67EA" w:rsidRPr="00641519"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val="en-GB" w:eastAsia="en-AU"/>
        </w:rPr>
        <w:t xml:space="preserve">Bait stations should be </w:t>
      </w:r>
      <w:r>
        <w:rPr>
          <w:rFonts w:eastAsia="Calibri" w:cs="Arial"/>
          <w:sz w:val="20"/>
          <w:szCs w:val="20"/>
          <w:bdr w:val="none" w:sz="0" w:space="0" w:color="auto" w:frame="1"/>
          <w:lang w:val="en-GB" w:eastAsia="en-AU"/>
        </w:rPr>
        <w:t>inspected</w:t>
      </w:r>
      <w:r w:rsidRPr="00641519">
        <w:rPr>
          <w:rFonts w:eastAsia="Calibri" w:cs="Arial"/>
          <w:sz w:val="20"/>
          <w:szCs w:val="20"/>
          <w:bdr w:val="none" w:sz="0" w:space="0" w:color="auto" w:frame="1"/>
          <w:lang w:val="en-GB" w:eastAsia="en-AU"/>
        </w:rPr>
        <w:t xml:space="preserve"> at regular intervals</w:t>
      </w:r>
      <w:r>
        <w:rPr>
          <w:rFonts w:eastAsia="Calibri" w:cs="Arial"/>
          <w:sz w:val="20"/>
          <w:szCs w:val="20"/>
          <w:bdr w:val="none" w:sz="0" w:space="0" w:color="auto" w:frame="1"/>
          <w:lang w:val="en-GB" w:eastAsia="en-AU"/>
        </w:rPr>
        <w:t xml:space="preserve"> no more than 7 days apart</w:t>
      </w:r>
      <w:r w:rsidRPr="00641519">
        <w:rPr>
          <w:rFonts w:eastAsia="Calibri" w:cs="Arial"/>
          <w:sz w:val="20"/>
          <w:szCs w:val="20"/>
          <w:bdr w:val="none" w:sz="0" w:space="0" w:color="auto" w:frame="1"/>
          <w:lang w:val="en-GB" w:eastAsia="en-AU"/>
        </w:rPr>
        <w:t xml:space="preserve"> according to an agreed and documented schedule.</w:t>
      </w:r>
    </w:p>
    <w:p w14:paraId="1BEB9415" w14:textId="77777777" w:rsidR="008E67EA" w:rsidRPr="00641519" w:rsidRDefault="008E67EA">
      <w:pPr>
        <w:pStyle w:val="ListParagraph"/>
        <w:numPr>
          <w:ilvl w:val="0"/>
          <w:numId w:val="36"/>
        </w:numPr>
        <w:spacing w:after="120" w:line="280" w:lineRule="exact"/>
        <w:ind w:left="426"/>
        <w:rPr>
          <w:rFonts w:eastAsia="Calibri" w:cs="Arial"/>
          <w:sz w:val="20"/>
          <w:szCs w:val="20"/>
          <w:bdr w:val="none" w:sz="0" w:space="0" w:color="auto" w:frame="1"/>
          <w:lang w:val="en-GB" w:eastAsia="en-AU"/>
        </w:rPr>
      </w:pPr>
      <w:r w:rsidRPr="00641519">
        <w:rPr>
          <w:rFonts w:eastAsia="Calibri" w:cs="Arial"/>
          <w:sz w:val="20"/>
          <w:szCs w:val="20"/>
          <w:bdr w:val="none" w:sz="0" w:space="0" w:color="auto" w:frame="1"/>
          <w:lang w:eastAsia="en-AU"/>
        </w:rPr>
        <w:t>When a rodent infestation is detected</w:t>
      </w:r>
      <w:r>
        <w:rPr>
          <w:rFonts w:eastAsia="Calibri" w:cs="Arial"/>
          <w:sz w:val="20"/>
          <w:szCs w:val="20"/>
          <w:bdr w:val="none" w:sz="0" w:space="0" w:color="auto" w:frame="1"/>
          <w:lang w:eastAsia="en-AU"/>
        </w:rPr>
        <w:t>,</w:t>
      </w:r>
      <w:r w:rsidRPr="00641519">
        <w:rPr>
          <w:rFonts w:eastAsia="Calibri" w:cs="Arial"/>
          <w:sz w:val="20"/>
          <w:szCs w:val="20"/>
          <w:bdr w:val="none" w:sz="0" w:space="0" w:color="auto" w:frame="1"/>
          <w:lang w:eastAsia="en-AU"/>
        </w:rPr>
        <w:t xml:space="preserve"> </w:t>
      </w:r>
      <w:r>
        <w:rPr>
          <w:rFonts w:eastAsia="Calibri" w:cs="Arial"/>
          <w:sz w:val="20"/>
          <w:szCs w:val="20"/>
          <w:bdr w:val="none" w:sz="0" w:space="0" w:color="auto" w:frame="1"/>
          <w:lang w:eastAsia="en-AU"/>
        </w:rPr>
        <w:t xml:space="preserve">the operator should </w:t>
      </w:r>
      <w:r w:rsidRPr="00641519">
        <w:rPr>
          <w:rFonts w:eastAsia="Calibri" w:cs="Arial"/>
          <w:sz w:val="20"/>
          <w:szCs w:val="20"/>
          <w:bdr w:val="none" w:sz="0" w:space="0" w:color="auto" w:frame="1"/>
          <w:lang w:eastAsia="en-AU"/>
        </w:rPr>
        <w:t>revert to the directions for Clean</w:t>
      </w:r>
      <w:r>
        <w:rPr>
          <w:rFonts w:eastAsia="Calibri" w:cs="Arial"/>
          <w:sz w:val="20"/>
          <w:szCs w:val="20"/>
          <w:bdr w:val="none" w:sz="0" w:space="0" w:color="auto" w:frame="1"/>
          <w:lang w:eastAsia="en-AU"/>
        </w:rPr>
        <w:t>-</w:t>
      </w:r>
      <w:r w:rsidRPr="00641519">
        <w:rPr>
          <w:rFonts w:eastAsia="Calibri" w:cs="Arial"/>
          <w:sz w:val="20"/>
          <w:szCs w:val="20"/>
          <w:bdr w:val="none" w:sz="0" w:space="0" w:color="auto" w:frame="1"/>
          <w:lang w:eastAsia="en-AU"/>
        </w:rPr>
        <w:t>Out Treatments</w:t>
      </w:r>
      <w:r>
        <w:rPr>
          <w:rFonts w:eastAsia="Calibri" w:cs="Arial"/>
          <w:sz w:val="20"/>
          <w:szCs w:val="20"/>
          <w:bdr w:val="none" w:sz="0" w:space="0" w:color="auto" w:frame="1"/>
          <w:lang w:eastAsia="en-AU"/>
        </w:rPr>
        <w:t>.</w:t>
      </w:r>
    </w:p>
    <w:p w14:paraId="617D63FC" w14:textId="3F0A1D52" w:rsidR="008E67EA" w:rsidRDefault="008E67EA" w:rsidP="009C4F64">
      <w:pPr>
        <w:spacing w:line="280" w:lineRule="exact"/>
        <w:rPr>
          <w:rFonts w:ascii="Franklin Gothic Medium" w:eastAsia="Arial Unicode MS" w:hAnsi="Franklin Gothic Medium"/>
          <w:bCs/>
          <w:iCs/>
          <w:bdr w:val="none" w:sz="0" w:space="0" w:color="auto" w:frame="1"/>
          <w:lang w:val="en-GB" w:eastAsia="en-AU"/>
        </w:rPr>
      </w:pPr>
      <w:r w:rsidRPr="002F6425">
        <w:rPr>
          <w:rFonts w:cs="Arial"/>
          <w:b/>
          <w:bCs/>
          <w:color w:val="000000" w:themeColor="text1"/>
          <w:sz w:val="20"/>
          <w:szCs w:val="20"/>
        </w:rPr>
        <w:t>NOT TO BE USED FOR ANY PURPOSE, OR IN ANY MANNER, CONTRARY TO THIS LABEL UNLESS</w:t>
      </w:r>
      <w:r>
        <w:rPr>
          <w:rFonts w:cs="Arial"/>
          <w:b/>
          <w:bCs/>
          <w:color w:val="000000" w:themeColor="text1"/>
          <w:sz w:val="20"/>
          <w:szCs w:val="20"/>
        </w:rPr>
        <w:t xml:space="preserve"> </w:t>
      </w:r>
      <w:r w:rsidRPr="002F6425">
        <w:rPr>
          <w:rFonts w:cs="Arial"/>
          <w:b/>
          <w:bCs/>
          <w:color w:val="000000" w:themeColor="text1"/>
          <w:sz w:val="20"/>
          <w:szCs w:val="20"/>
        </w:rPr>
        <w:t>AUTHORISED UNDER APPROPRIATE LEGISLATION</w:t>
      </w:r>
      <w:r>
        <w:rPr>
          <w:rFonts w:ascii="Franklin Gothic Medium" w:eastAsia="Arial Unicode MS" w:hAnsi="Franklin Gothic Medium"/>
          <w:bCs/>
          <w:iCs/>
          <w:bdr w:val="none" w:sz="0" w:space="0" w:color="auto" w:frame="1"/>
          <w:lang w:val="en-GB" w:eastAsia="en-AU"/>
        </w:rPr>
        <w:br w:type="page"/>
      </w:r>
    </w:p>
    <w:p w14:paraId="2271AE17" w14:textId="77777777" w:rsidR="008E67EA" w:rsidRDefault="008E67EA" w:rsidP="008E67EA">
      <w:pPr>
        <w:keepNext/>
        <w:keepLines/>
        <w:spacing w:before="400" w:after="240" w:line="280" w:lineRule="exact"/>
        <w:outlineLvl w:val="1"/>
        <w:rPr>
          <w:rFonts w:ascii="Franklin Gothic Medium" w:eastAsia="Arial Unicode MS" w:hAnsi="Franklin Gothic Medium"/>
          <w:bCs/>
          <w:iCs/>
          <w:bdr w:val="none" w:sz="0" w:space="0" w:color="auto" w:frame="1"/>
          <w:lang w:val="en-GB" w:eastAsia="en-AU"/>
        </w:rPr>
      </w:pPr>
      <w:r>
        <w:rPr>
          <w:rFonts w:ascii="Franklin Gothic Medium" w:eastAsia="Arial Unicode MS" w:hAnsi="Franklin Gothic Medium"/>
          <w:bCs/>
          <w:iCs/>
          <w:bdr w:val="none" w:sz="0" w:space="0" w:color="auto" w:frame="1"/>
          <w:lang w:val="en-GB" w:eastAsia="en-AU"/>
        </w:rPr>
        <w:lastRenderedPageBreak/>
        <w:t>Domestic pest-control product:</w:t>
      </w:r>
      <w:r w:rsidRPr="00FF36BF">
        <w:rPr>
          <w:rFonts w:ascii="Franklin Gothic Medium" w:eastAsia="Arial Unicode MS" w:hAnsi="Franklin Gothic Medium"/>
          <w:bCs/>
          <w:iCs/>
          <w:bdr w:val="none" w:sz="0" w:space="0" w:color="auto" w:frame="1"/>
          <w:lang w:val="en-GB" w:eastAsia="en-AU"/>
        </w:rPr>
        <w:t xml:space="preserve"> </w:t>
      </w:r>
      <w:r w:rsidRPr="00DA343B">
        <w:rPr>
          <w:rFonts w:ascii="Franklin Gothic Medium" w:eastAsia="Arial Unicode MS" w:hAnsi="Franklin Gothic Medium"/>
          <w:bCs/>
          <w:iCs/>
          <w:bdr w:val="none" w:sz="0" w:space="0" w:color="auto" w:frame="1"/>
          <w:lang w:val="en-GB" w:eastAsia="en-AU"/>
        </w:rPr>
        <w:t>RB 0.05 g/kg or less in block formulation</w:t>
      </w:r>
    </w:p>
    <w:p w14:paraId="7E305F46" w14:textId="77777777" w:rsidR="008E67EA"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t xml:space="preserve">Template Label </w:t>
      </w:r>
      <w:r>
        <w:rPr>
          <w:rFonts w:cs="Arial"/>
          <w:b/>
          <w:bCs/>
          <w:sz w:val="20"/>
          <w:szCs w:val="20"/>
          <w:bdr w:val="none" w:sz="0" w:space="0" w:color="auto" w:frame="1"/>
          <w:lang w:val="en-GB" w:eastAsia="en-AU"/>
        </w:rPr>
        <w:t>14</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307745" w14:paraId="5922D81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0C4061B" w14:textId="77777777" w:rsidR="008E67EA" w:rsidRPr="00307745" w:rsidRDefault="008E67EA" w:rsidP="00B44A74">
            <w:pPr>
              <w:spacing w:line="280" w:lineRule="exact"/>
              <w:rPr>
                <w:rFonts w:cs="Arial"/>
                <w:sz w:val="20"/>
                <w:szCs w:val="20"/>
              </w:rPr>
            </w:pPr>
            <w:r w:rsidRPr="00307745">
              <w:rPr>
                <w:rFonts w:cs="Arial"/>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1B2AEF16" w14:textId="77777777" w:rsidR="008E67EA" w:rsidRPr="00307745" w:rsidRDefault="008E67EA" w:rsidP="00B44A74">
            <w:pPr>
              <w:spacing w:line="280" w:lineRule="exact"/>
              <w:rPr>
                <w:rFonts w:cs="Arial"/>
                <w:sz w:val="20"/>
                <w:szCs w:val="20"/>
              </w:rPr>
            </w:pPr>
            <w:r w:rsidRPr="00307745">
              <w:rPr>
                <w:rFonts w:cs="Arial"/>
                <w:sz w:val="20"/>
                <w:szCs w:val="20"/>
              </w:rPr>
              <w:t>[INSERT LABEL NAME]</w:t>
            </w:r>
          </w:p>
        </w:tc>
      </w:tr>
      <w:tr w:rsidR="008E67EA" w:rsidRPr="00307745" w14:paraId="588C9726" w14:textId="77777777" w:rsidTr="00B44A74">
        <w:trPr>
          <w:jc w:val="center"/>
        </w:trPr>
        <w:tc>
          <w:tcPr>
            <w:tcW w:w="2415" w:type="dxa"/>
            <w:tcBorders>
              <w:top w:val="single" w:sz="4" w:space="0" w:color="auto"/>
              <w:left w:val="nil"/>
              <w:bottom w:val="single" w:sz="4" w:space="0" w:color="auto"/>
              <w:right w:val="nil"/>
            </w:tcBorders>
          </w:tcPr>
          <w:p w14:paraId="28C8AD91" w14:textId="77777777" w:rsidR="008E67EA" w:rsidRPr="0030774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5B76AE5" w14:textId="77777777" w:rsidR="008E67EA" w:rsidRPr="00307745" w:rsidRDefault="008E67EA" w:rsidP="00B44A74">
            <w:pPr>
              <w:spacing w:line="280" w:lineRule="exact"/>
              <w:rPr>
                <w:rFonts w:cs="Arial"/>
                <w:sz w:val="20"/>
                <w:szCs w:val="20"/>
              </w:rPr>
            </w:pPr>
          </w:p>
        </w:tc>
      </w:tr>
      <w:tr w:rsidR="008E67EA" w:rsidRPr="00307745" w14:paraId="3575B4B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48F8358" w14:textId="77777777" w:rsidR="008E67EA" w:rsidRPr="00307745" w:rsidRDefault="008E67EA" w:rsidP="00B44A74">
            <w:pPr>
              <w:spacing w:line="280" w:lineRule="exact"/>
              <w:rPr>
                <w:rFonts w:cs="Arial"/>
                <w:sz w:val="20"/>
                <w:szCs w:val="20"/>
              </w:rPr>
            </w:pPr>
            <w:r w:rsidRPr="00307745">
              <w:rPr>
                <w:rFonts w:cs="Arial"/>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30AE8815" w14:textId="77777777" w:rsidR="008E67EA" w:rsidRPr="00D96955" w:rsidRDefault="008E67EA" w:rsidP="00B44A74">
            <w:pPr>
              <w:spacing w:line="280" w:lineRule="exact"/>
              <w:rPr>
                <w:rFonts w:cs="Arial"/>
                <w:sz w:val="20"/>
                <w:szCs w:val="20"/>
              </w:rPr>
            </w:pPr>
            <w:r w:rsidRPr="00D96955">
              <w:rPr>
                <w:rFonts w:cs="Arial"/>
                <w:sz w:val="20"/>
                <w:szCs w:val="20"/>
              </w:rPr>
              <w:t>POISON</w:t>
            </w:r>
          </w:p>
          <w:p w14:paraId="32A7618D" w14:textId="77777777" w:rsidR="008E67EA" w:rsidRPr="00307745" w:rsidRDefault="008E67EA" w:rsidP="00B44A74">
            <w:pPr>
              <w:spacing w:line="280" w:lineRule="exact"/>
              <w:rPr>
                <w:rFonts w:cs="Arial"/>
                <w:sz w:val="20"/>
                <w:szCs w:val="20"/>
              </w:rPr>
            </w:pPr>
            <w:r w:rsidRPr="00307745">
              <w:rPr>
                <w:rFonts w:cs="Arial"/>
                <w:sz w:val="20"/>
                <w:szCs w:val="20"/>
              </w:rPr>
              <w:t>KEEP OUT OF REACH OF CHILDREN</w:t>
            </w:r>
          </w:p>
          <w:p w14:paraId="5A56227B" w14:textId="77777777" w:rsidR="008E67EA" w:rsidRPr="00307745" w:rsidRDefault="008E67EA" w:rsidP="00B44A74">
            <w:pPr>
              <w:spacing w:line="280" w:lineRule="exact"/>
              <w:rPr>
                <w:rFonts w:cs="Arial"/>
                <w:sz w:val="20"/>
                <w:szCs w:val="20"/>
              </w:rPr>
            </w:pPr>
            <w:r w:rsidRPr="00307745">
              <w:rPr>
                <w:rFonts w:cs="Arial"/>
                <w:sz w:val="20"/>
                <w:szCs w:val="20"/>
              </w:rPr>
              <w:t>READ SAFETY DIRECIONS</w:t>
            </w:r>
          </w:p>
        </w:tc>
      </w:tr>
      <w:tr w:rsidR="008E67EA" w:rsidRPr="00307745" w14:paraId="2654397E" w14:textId="77777777" w:rsidTr="00B44A74">
        <w:trPr>
          <w:jc w:val="center"/>
        </w:trPr>
        <w:tc>
          <w:tcPr>
            <w:tcW w:w="2415" w:type="dxa"/>
            <w:tcBorders>
              <w:top w:val="single" w:sz="4" w:space="0" w:color="auto"/>
              <w:left w:val="nil"/>
              <w:bottom w:val="single" w:sz="4" w:space="0" w:color="auto"/>
              <w:right w:val="nil"/>
            </w:tcBorders>
          </w:tcPr>
          <w:p w14:paraId="7FA340EC" w14:textId="77777777" w:rsidR="008E67EA" w:rsidRPr="0030774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4FE9984" w14:textId="77777777" w:rsidR="008E67EA" w:rsidRPr="00307745" w:rsidRDefault="008E67EA" w:rsidP="00B44A74">
            <w:pPr>
              <w:spacing w:line="280" w:lineRule="exact"/>
              <w:rPr>
                <w:rFonts w:cs="Arial"/>
                <w:sz w:val="20"/>
                <w:szCs w:val="20"/>
              </w:rPr>
            </w:pPr>
          </w:p>
        </w:tc>
      </w:tr>
      <w:tr w:rsidR="008E67EA" w:rsidRPr="00307745" w14:paraId="28EB2B9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82E56C4" w14:textId="77777777" w:rsidR="008E67EA" w:rsidRPr="00307745" w:rsidRDefault="008E67EA" w:rsidP="00B44A74">
            <w:pPr>
              <w:spacing w:line="280" w:lineRule="exact"/>
              <w:rPr>
                <w:rFonts w:cs="Arial"/>
                <w:sz w:val="20"/>
                <w:szCs w:val="20"/>
              </w:rPr>
            </w:pPr>
            <w:r w:rsidRPr="00307745">
              <w:rPr>
                <w:rFonts w:cs="Arial"/>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74C35552" w14:textId="02139E2C" w:rsidR="008E67EA" w:rsidRDefault="008E67EA" w:rsidP="00B44A74">
            <w:pPr>
              <w:spacing w:line="280" w:lineRule="exact"/>
              <w:rPr>
                <w:rFonts w:cs="Arial"/>
                <w:sz w:val="20"/>
                <w:szCs w:val="20"/>
              </w:rPr>
            </w:pPr>
            <w:r w:rsidRPr="00307745">
              <w:rPr>
                <w:rFonts w:cs="Arial"/>
                <w:sz w:val="20"/>
                <w:szCs w:val="20"/>
              </w:rPr>
              <w:t>ACTIVE CONSTITUENT</w:t>
            </w:r>
            <w:r>
              <w:rPr>
                <w:rFonts w:cs="Arial"/>
                <w:sz w:val="20"/>
                <w:szCs w:val="20"/>
              </w:rPr>
              <w:t>S</w:t>
            </w:r>
            <w:r w:rsidRPr="00307745">
              <w:rPr>
                <w:rFonts w:cs="Arial"/>
                <w:sz w:val="20"/>
                <w:szCs w:val="20"/>
              </w:rPr>
              <w:t>:</w:t>
            </w:r>
          </w:p>
          <w:p w14:paraId="04AD2CDE" w14:textId="77777777" w:rsidR="008E67EA" w:rsidRPr="00307745" w:rsidRDefault="008E67EA" w:rsidP="00B44A74">
            <w:pPr>
              <w:spacing w:line="280" w:lineRule="exact"/>
              <w:rPr>
                <w:rFonts w:cs="Arial"/>
                <w:sz w:val="20"/>
                <w:szCs w:val="20"/>
              </w:rPr>
            </w:pPr>
            <w:r w:rsidRPr="00307745">
              <w:rPr>
                <w:rFonts w:cs="Arial"/>
                <w:sz w:val="20"/>
                <w:szCs w:val="20"/>
              </w:rPr>
              <w:t>0.025 g/kg BROMADIOLONE</w:t>
            </w:r>
          </w:p>
          <w:p w14:paraId="029F00B7" w14:textId="77777777" w:rsidR="008E67EA" w:rsidRPr="00307745" w:rsidRDefault="008E67EA" w:rsidP="00B44A74">
            <w:pPr>
              <w:spacing w:line="280" w:lineRule="exact"/>
              <w:rPr>
                <w:rFonts w:cs="Arial"/>
                <w:sz w:val="20"/>
                <w:szCs w:val="20"/>
              </w:rPr>
            </w:pPr>
            <w:r w:rsidRPr="00307745">
              <w:rPr>
                <w:rFonts w:cs="Arial"/>
                <w:sz w:val="20"/>
                <w:szCs w:val="20"/>
              </w:rPr>
              <w:t>0.025 g/kg DIFENACOUM</w:t>
            </w:r>
          </w:p>
        </w:tc>
      </w:tr>
      <w:tr w:rsidR="008E67EA" w:rsidRPr="00307745" w14:paraId="29524B1D" w14:textId="77777777" w:rsidTr="00B44A74">
        <w:trPr>
          <w:jc w:val="center"/>
        </w:trPr>
        <w:tc>
          <w:tcPr>
            <w:tcW w:w="2415" w:type="dxa"/>
            <w:tcBorders>
              <w:top w:val="single" w:sz="4" w:space="0" w:color="auto"/>
              <w:left w:val="nil"/>
              <w:bottom w:val="single" w:sz="4" w:space="0" w:color="auto"/>
              <w:right w:val="nil"/>
            </w:tcBorders>
          </w:tcPr>
          <w:p w14:paraId="60F357A2" w14:textId="77777777" w:rsidR="008E67EA" w:rsidRPr="0030774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275B94A" w14:textId="77777777" w:rsidR="008E67EA" w:rsidRPr="00307745" w:rsidRDefault="008E67EA" w:rsidP="00B44A74">
            <w:pPr>
              <w:spacing w:line="280" w:lineRule="exact"/>
              <w:rPr>
                <w:rFonts w:cs="Arial"/>
                <w:sz w:val="20"/>
                <w:szCs w:val="20"/>
              </w:rPr>
            </w:pPr>
          </w:p>
        </w:tc>
      </w:tr>
      <w:tr w:rsidR="008E67EA" w:rsidRPr="00307745" w14:paraId="6008A92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5185B7F" w14:textId="77777777" w:rsidR="008E67EA" w:rsidRPr="00307745" w:rsidRDefault="008E67EA" w:rsidP="00B44A74">
            <w:pPr>
              <w:spacing w:line="280" w:lineRule="exact"/>
              <w:rPr>
                <w:rFonts w:cs="Arial"/>
                <w:sz w:val="20"/>
                <w:szCs w:val="20"/>
              </w:rPr>
            </w:pPr>
            <w:r w:rsidRPr="00307745">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227AE750" w14:textId="77777777" w:rsidR="008E67EA" w:rsidRPr="00307745" w:rsidRDefault="008E67EA" w:rsidP="00B44A74">
            <w:pPr>
              <w:spacing w:line="280" w:lineRule="exact"/>
              <w:rPr>
                <w:rFonts w:cs="Arial"/>
                <w:sz w:val="20"/>
                <w:szCs w:val="20"/>
              </w:rPr>
            </w:pPr>
            <w:r w:rsidRPr="00307745">
              <w:rPr>
                <w:rFonts w:cs="Arial"/>
                <w:sz w:val="20"/>
                <w:szCs w:val="20"/>
              </w:rPr>
              <w:t xml:space="preserve">For control of mice in </w:t>
            </w:r>
            <w:r>
              <w:rPr>
                <w:rFonts w:cs="Arial"/>
                <w:sz w:val="20"/>
                <w:szCs w:val="20"/>
              </w:rPr>
              <w:t xml:space="preserve">domestic and commercial </w:t>
            </w:r>
            <w:r w:rsidRPr="00307745">
              <w:rPr>
                <w:rFonts w:cs="Arial"/>
                <w:sz w:val="20"/>
                <w:szCs w:val="20"/>
              </w:rPr>
              <w:t xml:space="preserve">buildings and rats in and around </w:t>
            </w:r>
            <w:r>
              <w:rPr>
                <w:rFonts w:cs="Arial"/>
                <w:sz w:val="20"/>
                <w:szCs w:val="20"/>
              </w:rPr>
              <w:t xml:space="preserve">domestic and commercial </w:t>
            </w:r>
            <w:r w:rsidRPr="00307745">
              <w:rPr>
                <w:rFonts w:cs="Arial"/>
                <w:sz w:val="20"/>
                <w:szCs w:val="20"/>
              </w:rPr>
              <w:t>buildings</w:t>
            </w:r>
            <w:r>
              <w:rPr>
                <w:rFonts w:cs="Arial"/>
                <w:sz w:val="20"/>
                <w:szCs w:val="20"/>
              </w:rPr>
              <w:t>.</w:t>
            </w:r>
          </w:p>
        </w:tc>
      </w:tr>
      <w:tr w:rsidR="008E67EA" w:rsidRPr="00307745" w14:paraId="72DB1A32" w14:textId="77777777" w:rsidTr="00B44A74">
        <w:trPr>
          <w:jc w:val="center"/>
        </w:trPr>
        <w:tc>
          <w:tcPr>
            <w:tcW w:w="2415" w:type="dxa"/>
            <w:tcBorders>
              <w:top w:val="single" w:sz="4" w:space="0" w:color="auto"/>
              <w:left w:val="nil"/>
              <w:bottom w:val="single" w:sz="4" w:space="0" w:color="auto"/>
              <w:right w:val="nil"/>
            </w:tcBorders>
          </w:tcPr>
          <w:p w14:paraId="474EF744" w14:textId="77777777" w:rsidR="008E67EA" w:rsidRPr="0030774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B70D654" w14:textId="77777777" w:rsidR="008E67EA" w:rsidRPr="00307745" w:rsidRDefault="008E67EA" w:rsidP="00B44A74">
            <w:pPr>
              <w:spacing w:line="280" w:lineRule="exact"/>
              <w:rPr>
                <w:rFonts w:cs="Arial"/>
                <w:sz w:val="20"/>
                <w:szCs w:val="20"/>
              </w:rPr>
            </w:pPr>
          </w:p>
        </w:tc>
      </w:tr>
      <w:tr w:rsidR="008E67EA" w:rsidRPr="00307745" w14:paraId="527FD4B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A88ED85" w14:textId="77777777" w:rsidR="008E67EA" w:rsidRPr="00307745" w:rsidRDefault="008E67EA" w:rsidP="00B44A74">
            <w:pPr>
              <w:spacing w:line="280" w:lineRule="exact"/>
              <w:rPr>
                <w:rFonts w:cs="Arial"/>
                <w:sz w:val="20"/>
                <w:szCs w:val="20"/>
              </w:rPr>
            </w:pPr>
            <w:r w:rsidRPr="00307745">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520CDCCF" w14:textId="77777777" w:rsidR="008E67EA" w:rsidRPr="00307745" w:rsidRDefault="008E67EA" w:rsidP="00B44A74">
            <w:pPr>
              <w:spacing w:line="280" w:lineRule="exact"/>
              <w:rPr>
                <w:rFonts w:cs="Arial"/>
                <w:sz w:val="20"/>
                <w:szCs w:val="20"/>
              </w:rPr>
            </w:pPr>
            <w:r w:rsidRPr="00307745">
              <w:rPr>
                <w:rFonts w:cs="Arial"/>
                <w:sz w:val="20"/>
                <w:szCs w:val="20"/>
              </w:rPr>
              <w:t xml:space="preserve">[INSERT </w:t>
            </w:r>
            <w:r>
              <w:rPr>
                <w:rFonts w:cs="Arial"/>
                <w:sz w:val="20"/>
                <w:szCs w:val="20"/>
              </w:rPr>
              <w:t>NET CONTENTS – MAXIMUM 300 g]</w:t>
            </w:r>
          </w:p>
        </w:tc>
      </w:tr>
      <w:tr w:rsidR="008E67EA" w:rsidRPr="00307745" w14:paraId="43FE6CF4" w14:textId="77777777" w:rsidTr="00B44A74">
        <w:trPr>
          <w:jc w:val="center"/>
        </w:trPr>
        <w:tc>
          <w:tcPr>
            <w:tcW w:w="2415" w:type="dxa"/>
            <w:tcBorders>
              <w:top w:val="single" w:sz="4" w:space="0" w:color="auto"/>
              <w:left w:val="nil"/>
              <w:bottom w:val="single" w:sz="4" w:space="0" w:color="auto"/>
              <w:right w:val="nil"/>
            </w:tcBorders>
          </w:tcPr>
          <w:p w14:paraId="0D0FDFA0" w14:textId="77777777" w:rsidR="008E67EA" w:rsidRPr="0030774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502B59F" w14:textId="77777777" w:rsidR="008E67EA" w:rsidRPr="00307745" w:rsidRDefault="008E67EA" w:rsidP="00B44A74">
            <w:pPr>
              <w:spacing w:line="280" w:lineRule="exact"/>
              <w:rPr>
                <w:rFonts w:cs="Arial"/>
                <w:sz w:val="20"/>
                <w:szCs w:val="20"/>
              </w:rPr>
            </w:pPr>
          </w:p>
        </w:tc>
      </w:tr>
      <w:tr w:rsidR="008E67EA" w:rsidRPr="00D851D6" w14:paraId="5C40337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2A69E77" w14:textId="77777777" w:rsidR="008E67EA" w:rsidRPr="00307745" w:rsidRDefault="008E67EA" w:rsidP="00B44A74">
            <w:pPr>
              <w:spacing w:line="280" w:lineRule="exact"/>
              <w:rPr>
                <w:rFonts w:cs="Arial"/>
                <w:sz w:val="20"/>
                <w:szCs w:val="20"/>
              </w:rPr>
            </w:pPr>
            <w:r w:rsidRPr="00307745">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1D19FC32" w14:textId="45A7A71F" w:rsidR="008E67EA" w:rsidRPr="00D851D6" w:rsidRDefault="008E67EA" w:rsidP="00B44A74">
            <w:pPr>
              <w:spacing w:line="280" w:lineRule="exact"/>
              <w:rPr>
                <w:rFonts w:cs="Arial"/>
                <w:sz w:val="20"/>
                <w:szCs w:val="20"/>
                <w:bdr w:val="none" w:sz="0" w:space="0" w:color="auto" w:frame="1"/>
                <w:lang w:val="en-GB" w:eastAsia="en-AU"/>
              </w:rPr>
            </w:pPr>
            <w:r w:rsidRPr="00D851D6">
              <w:rPr>
                <w:rFonts w:cs="Arial"/>
                <w:sz w:val="20"/>
                <w:szCs w:val="20"/>
                <w:bdr w:val="none" w:sz="0" w:space="0" w:color="auto" w:frame="1"/>
                <w:lang w:val="en-GB" w:eastAsia="en-AU"/>
              </w:rPr>
              <w:t>DO NOT place baits unless in tamper-resistant bait stations.</w:t>
            </w:r>
          </w:p>
          <w:p w14:paraId="08ECD027" w14:textId="77777777" w:rsidR="008E67EA" w:rsidRPr="00D851D6" w:rsidRDefault="008E67EA" w:rsidP="00B44A74">
            <w:pPr>
              <w:spacing w:line="280" w:lineRule="exact"/>
              <w:rPr>
                <w:rFonts w:cs="Arial"/>
                <w:sz w:val="20"/>
                <w:szCs w:val="20"/>
                <w:bdr w:val="none" w:sz="0" w:space="0" w:color="auto" w:frame="1"/>
                <w:lang w:val="en-GB" w:eastAsia="en-AU"/>
              </w:rPr>
            </w:pPr>
            <w:r w:rsidRPr="00D851D6">
              <w:rPr>
                <w:rFonts w:cs="Arial"/>
                <w:sz w:val="20"/>
                <w:szCs w:val="20"/>
                <w:bdr w:val="none" w:sz="0" w:space="0" w:color="auto" w:frame="1"/>
                <w:lang w:val="en-GB" w:eastAsia="en-AU"/>
              </w:rPr>
              <w:t>DO NOT place bait stations outdoors around buildings for control of mice.</w:t>
            </w:r>
          </w:p>
          <w:p w14:paraId="7FFA0E4E" w14:textId="77777777" w:rsidR="008E67EA" w:rsidRPr="00D851D6" w:rsidRDefault="008E67EA" w:rsidP="00B44A74">
            <w:pPr>
              <w:spacing w:line="280" w:lineRule="exact"/>
              <w:rPr>
                <w:rFonts w:cs="Arial"/>
                <w:sz w:val="20"/>
                <w:szCs w:val="20"/>
                <w:bdr w:val="none" w:sz="0" w:space="0" w:color="auto" w:frame="1"/>
                <w:lang w:val="en-GB" w:eastAsia="en-AU"/>
              </w:rPr>
            </w:pPr>
            <w:r w:rsidRPr="00D851D6">
              <w:rPr>
                <w:rFonts w:cs="Arial"/>
                <w:sz w:val="20"/>
                <w:szCs w:val="20"/>
                <w:bdr w:val="none" w:sz="0" w:space="0" w:color="auto" w:frame="1"/>
                <w:lang w:val="en-GB" w:eastAsia="en-AU"/>
              </w:rPr>
              <w:t>DO NOT place bait stations more than 2 meters from buildings.</w:t>
            </w:r>
          </w:p>
          <w:p w14:paraId="3703B1A2" w14:textId="77777777" w:rsidR="008E67EA" w:rsidRPr="00D851D6" w:rsidRDefault="008E67EA" w:rsidP="00B44A74">
            <w:pPr>
              <w:spacing w:line="280" w:lineRule="exact"/>
              <w:rPr>
                <w:rFonts w:cs="Arial"/>
                <w:sz w:val="20"/>
                <w:szCs w:val="20"/>
                <w:bdr w:val="none" w:sz="0" w:space="0" w:color="auto" w:frame="1"/>
                <w:lang w:val="en-GB" w:eastAsia="en-AU"/>
              </w:rPr>
            </w:pPr>
            <w:r w:rsidRPr="00D851D6">
              <w:rPr>
                <w:rFonts w:cs="Arial"/>
                <w:sz w:val="20"/>
                <w:szCs w:val="20"/>
                <w:bdr w:val="none" w:sz="0" w:space="0" w:color="auto" w:frame="1"/>
                <w:lang w:val="en-GB" w:eastAsia="en-AU"/>
              </w:rPr>
              <w:t>DO NOT bait in areas where wildlife may be collected for human consumption.</w:t>
            </w:r>
          </w:p>
          <w:p w14:paraId="23C271E3" w14:textId="77777777" w:rsidR="008E67EA" w:rsidRPr="00D851D6" w:rsidRDefault="008E67EA" w:rsidP="00B44A74">
            <w:pPr>
              <w:spacing w:line="280" w:lineRule="exact"/>
              <w:rPr>
                <w:rFonts w:cs="Arial"/>
                <w:sz w:val="20"/>
                <w:szCs w:val="20"/>
                <w:bdr w:val="none" w:sz="0" w:space="0" w:color="auto" w:frame="1"/>
                <w:lang w:val="en-GB" w:eastAsia="en-AU"/>
              </w:rPr>
            </w:pPr>
            <w:r w:rsidRPr="00D851D6">
              <w:rPr>
                <w:rFonts w:cs="Arial"/>
                <w:sz w:val="20"/>
                <w:szCs w:val="20"/>
                <w:bdr w:val="none" w:sz="0" w:space="0" w:color="auto" w:frame="1"/>
                <w:lang w:val="en-GB" w:eastAsia="en-AU"/>
              </w:rPr>
              <w:t>DO NOT place baits in and around animal, livestock and poultry houses, associated equipment, and food and feed processing areas.</w:t>
            </w:r>
          </w:p>
          <w:p w14:paraId="7597E9BA" w14:textId="77777777" w:rsidR="008E67EA" w:rsidRPr="00D851D6" w:rsidRDefault="008E67EA" w:rsidP="00B44A74">
            <w:pPr>
              <w:spacing w:line="280" w:lineRule="exact"/>
              <w:rPr>
                <w:rFonts w:cs="Arial"/>
                <w:sz w:val="20"/>
                <w:szCs w:val="20"/>
                <w:bdr w:val="none" w:sz="0" w:space="0" w:color="auto" w:frame="1"/>
                <w:lang w:val="en-GB" w:eastAsia="en-AU"/>
              </w:rPr>
            </w:pPr>
            <w:r w:rsidRPr="00D851D6">
              <w:rPr>
                <w:rFonts w:cs="Arial"/>
                <w:sz w:val="20"/>
                <w:szCs w:val="20"/>
                <w:bdr w:val="none" w:sz="0" w:space="0" w:color="auto" w:frame="1"/>
                <w:lang w:val="en-GB" w:eastAsia="en-AU"/>
              </w:rPr>
              <w:t>DO NOT apply this product directly into burrows.</w:t>
            </w:r>
          </w:p>
          <w:p w14:paraId="5FEE83B9" w14:textId="77777777" w:rsidR="008E67EA" w:rsidRPr="00D851D6" w:rsidRDefault="008E67EA" w:rsidP="00B44A74">
            <w:pPr>
              <w:spacing w:line="280" w:lineRule="exact"/>
              <w:rPr>
                <w:rFonts w:cs="Arial"/>
                <w:sz w:val="20"/>
                <w:szCs w:val="20"/>
                <w:bdr w:val="none" w:sz="0" w:space="0" w:color="auto" w:frame="1"/>
                <w:lang w:val="en-GB" w:eastAsia="en-AU"/>
              </w:rPr>
            </w:pPr>
            <w:r w:rsidRPr="00D851D6">
              <w:rPr>
                <w:rFonts w:cs="Arial"/>
                <w:sz w:val="20"/>
                <w:szCs w:val="20"/>
                <w:bdr w:val="none" w:sz="0" w:space="0" w:color="auto" w:frame="1"/>
                <w:lang w:val="en-GB" w:eastAsia="en-AU"/>
              </w:rPr>
              <w:t>DO NOT use the product in pulsed baiting treatments.</w:t>
            </w:r>
          </w:p>
        </w:tc>
      </w:tr>
      <w:tr w:rsidR="008E67EA" w:rsidRPr="00307745" w14:paraId="1BBAE763" w14:textId="77777777" w:rsidTr="00B44A74">
        <w:trPr>
          <w:jc w:val="center"/>
        </w:trPr>
        <w:tc>
          <w:tcPr>
            <w:tcW w:w="2415" w:type="dxa"/>
            <w:tcBorders>
              <w:top w:val="single" w:sz="4" w:space="0" w:color="auto"/>
              <w:left w:val="nil"/>
              <w:bottom w:val="single" w:sz="4" w:space="0" w:color="auto"/>
              <w:right w:val="nil"/>
            </w:tcBorders>
          </w:tcPr>
          <w:p w14:paraId="26040FBD" w14:textId="77777777" w:rsidR="008E67EA" w:rsidRPr="0030774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4DC8A86" w14:textId="77777777" w:rsidR="008E67EA" w:rsidRPr="00307745" w:rsidRDefault="008E67EA" w:rsidP="00B44A74">
            <w:pPr>
              <w:spacing w:line="280" w:lineRule="exact"/>
              <w:rPr>
                <w:rFonts w:cs="Arial"/>
                <w:sz w:val="20"/>
                <w:szCs w:val="20"/>
              </w:rPr>
            </w:pPr>
          </w:p>
        </w:tc>
      </w:tr>
      <w:tr w:rsidR="008E67EA" w:rsidRPr="00D96955" w14:paraId="4CB376E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C4B76FC" w14:textId="77777777" w:rsidR="008E67EA" w:rsidRPr="00307745" w:rsidRDefault="008E67EA" w:rsidP="00B44A74">
            <w:pPr>
              <w:spacing w:line="280" w:lineRule="exact"/>
              <w:rPr>
                <w:rFonts w:cs="Arial"/>
                <w:sz w:val="20"/>
                <w:szCs w:val="20"/>
              </w:rPr>
            </w:pPr>
            <w:r w:rsidRPr="00307745">
              <w:rPr>
                <w:rFonts w:cs="Arial"/>
                <w:sz w:val="20"/>
                <w:szCs w:val="20"/>
              </w:rPr>
              <w:t>How to Use</w:t>
            </w:r>
          </w:p>
        </w:tc>
        <w:tc>
          <w:tcPr>
            <w:tcW w:w="7755" w:type="dxa"/>
            <w:tcBorders>
              <w:top w:val="single" w:sz="4" w:space="0" w:color="auto"/>
              <w:left w:val="single" w:sz="4" w:space="0" w:color="auto"/>
              <w:bottom w:val="single" w:sz="4" w:space="0" w:color="auto"/>
              <w:right w:val="single" w:sz="4" w:space="0" w:color="auto"/>
            </w:tcBorders>
          </w:tcPr>
          <w:p w14:paraId="2620A054" w14:textId="77777777" w:rsidR="008E67EA" w:rsidRPr="00D96955" w:rsidRDefault="008E67EA" w:rsidP="00B44A74">
            <w:pPr>
              <w:spacing w:line="280" w:lineRule="exact"/>
              <w:rPr>
                <w:rFonts w:cs="Arial"/>
                <w:b/>
                <w:bCs/>
                <w:i/>
                <w:iCs/>
                <w:sz w:val="20"/>
                <w:szCs w:val="20"/>
              </w:rPr>
            </w:pPr>
            <w:r w:rsidRPr="00B832BB">
              <w:rPr>
                <w:rFonts w:cs="Arial"/>
                <w:sz w:val="20"/>
                <w:szCs w:val="20"/>
              </w:rPr>
              <w:t>[This section contains an attachment below]</w:t>
            </w:r>
          </w:p>
        </w:tc>
      </w:tr>
      <w:tr w:rsidR="008E67EA" w:rsidRPr="00307745" w14:paraId="7C1CA06F" w14:textId="77777777" w:rsidTr="00B44A74">
        <w:trPr>
          <w:jc w:val="center"/>
        </w:trPr>
        <w:tc>
          <w:tcPr>
            <w:tcW w:w="2415" w:type="dxa"/>
            <w:tcBorders>
              <w:top w:val="single" w:sz="4" w:space="0" w:color="auto"/>
              <w:left w:val="nil"/>
              <w:bottom w:val="single" w:sz="4" w:space="0" w:color="auto"/>
              <w:right w:val="nil"/>
            </w:tcBorders>
          </w:tcPr>
          <w:p w14:paraId="1BE470B4" w14:textId="77777777" w:rsidR="008E67EA" w:rsidRPr="0030774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5C47080" w14:textId="77777777" w:rsidR="008E67EA" w:rsidRPr="00307745" w:rsidRDefault="008E67EA" w:rsidP="00B44A74">
            <w:pPr>
              <w:spacing w:line="280" w:lineRule="exact"/>
              <w:rPr>
                <w:rFonts w:cs="Arial"/>
                <w:sz w:val="20"/>
                <w:szCs w:val="20"/>
              </w:rPr>
            </w:pPr>
          </w:p>
        </w:tc>
      </w:tr>
      <w:tr w:rsidR="008E67EA" w:rsidRPr="00307745" w14:paraId="1A60BC9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143BC88" w14:textId="77777777" w:rsidR="008E67EA" w:rsidRPr="00307745" w:rsidRDefault="008E67EA" w:rsidP="00B44A74">
            <w:pPr>
              <w:spacing w:line="280" w:lineRule="exact"/>
              <w:rPr>
                <w:rFonts w:cs="Arial"/>
                <w:sz w:val="20"/>
                <w:szCs w:val="20"/>
              </w:rPr>
            </w:pPr>
            <w:r w:rsidRPr="00307745">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4EA49123" w14:textId="77777777" w:rsidR="008E67EA" w:rsidRPr="00307745" w:rsidRDefault="008E67EA" w:rsidP="00B44A74">
            <w:pPr>
              <w:spacing w:line="280" w:lineRule="exact"/>
              <w:rPr>
                <w:rFonts w:cs="Arial"/>
                <w:sz w:val="20"/>
                <w:szCs w:val="20"/>
              </w:rPr>
            </w:pPr>
          </w:p>
        </w:tc>
      </w:tr>
      <w:tr w:rsidR="008E67EA" w:rsidRPr="00307745" w14:paraId="64AC6F0A" w14:textId="77777777" w:rsidTr="00B44A74">
        <w:trPr>
          <w:jc w:val="center"/>
        </w:trPr>
        <w:tc>
          <w:tcPr>
            <w:tcW w:w="2415" w:type="dxa"/>
            <w:tcBorders>
              <w:top w:val="single" w:sz="4" w:space="0" w:color="auto"/>
              <w:left w:val="nil"/>
              <w:bottom w:val="single" w:sz="4" w:space="0" w:color="auto"/>
              <w:right w:val="nil"/>
            </w:tcBorders>
          </w:tcPr>
          <w:p w14:paraId="0C2EB9C8" w14:textId="77777777" w:rsidR="008E67EA" w:rsidRPr="0030774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799DC7C" w14:textId="77777777" w:rsidR="008E67EA" w:rsidRPr="00307745" w:rsidRDefault="008E67EA" w:rsidP="00B44A74">
            <w:pPr>
              <w:spacing w:line="280" w:lineRule="exact"/>
              <w:rPr>
                <w:rFonts w:cs="Arial"/>
                <w:sz w:val="20"/>
                <w:szCs w:val="20"/>
              </w:rPr>
            </w:pPr>
          </w:p>
        </w:tc>
      </w:tr>
      <w:tr w:rsidR="008E67EA" w:rsidRPr="00307745" w14:paraId="367E254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62CC559" w14:textId="77777777" w:rsidR="008E67EA" w:rsidRPr="00307745" w:rsidRDefault="008E67EA" w:rsidP="00B44A74">
            <w:pPr>
              <w:spacing w:line="280" w:lineRule="exact"/>
              <w:rPr>
                <w:rFonts w:cs="Arial"/>
                <w:sz w:val="20"/>
                <w:szCs w:val="20"/>
              </w:rPr>
            </w:pPr>
            <w:r w:rsidRPr="00307745">
              <w:rPr>
                <w:rFonts w:cs="Arial"/>
                <w:sz w:val="20"/>
                <w:szCs w:val="20"/>
              </w:rPr>
              <w:t>How to Prepare</w:t>
            </w:r>
          </w:p>
        </w:tc>
        <w:tc>
          <w:tcPr>
            <w:tcW w:w="7755" w:type="dxa"/>
            <w:tcBorders>
              <w:top w:val="single" w:sz="4" w:space="0" w:color="auto"/>
              <w:left w:val="single" w:sz="4" w:space="0" w:color="auto"/>
              <w:bottom w:val="single" w:sz="4" w:space="0" w:color="auto"/>
              <w:right w:val="single" w:sz="4" w:space="0" w:color="auto"/>
            </w:tcBorders>
          </w:tcPr>
          <w:p w14:paraId="3E9BC4B1" w14:textId="4BC31F63" w:rsidR="008E67EA" w:rsidRDefault="008E67EA" w:rsidP="00B44A74">
            <w:pPr>
              <w:spacing w:line="280" w:lineRule="exact"/>
              <w:rPr>
                <w:rFonts w:cs="Arial"/>
                <w:sz w:val="20"/>
                <w:szCs w:val="20"/>
              </w:rPr>
            </w:pPr>
            <w:r w:rsidRPr="00307745">
              <w:rPr>
                <w:rFonts w:cs="Arial"/>
                <w:sz w:val="20"/>
                <w:szCs w:val="20"/>
              </w:rPr>
              <w:t>GENERAL INSTRUCTIONS</w:t>
            </w:r>
          </w:p>
          <w:p w14:paraId="78D5A093" w14:textId="77777777" w:rsidR="008E67EA" w:rsidRPr="00307745" w:rsidRDefault="008E67EA" w:rsidP="00B44A74">
            <w:pPr>
              <w:spacing w:line="280" w:lineRule="exact"/>
              <w:rPr>
                <w:rFonts w:cs="Arial"/>
                <w:sz w:val="20"/>
                <w:szCs w:val="20"/>
              </w:rPr>
            </w:pPr>
            <w:r w:rsidRPr="00307745">
              <w:rPr>
                <w:rFonts w:cs="Arial"/>
                <w:sz w:val="20"/>
                <w:szCs w:val="20"/>
              </w:rPr>
              <w:t xml:space="preserve">The baits are ready to use. </w:t>
            </w:r>
            <w:r>
              <w:rPr>
                <w:rFonts w:cs="Arial"/>
                <w:sz w:val="20"/>
                <w:szCs w:val="20"/>
              </w:rPr>
              <w:t xml:space="preserve">This product </w:t>
            </w:r>
            <w:r w:rsidRPr="00307745">
              <w:rPr>
                <w:rFonts w:cs="Arial"/>
                <w:sz w:val="20"/>
                <w:szCs w:val="20"/>
              </w:rPr>
              <w:t>contains FLUO-NP, a special additive that makes bait and rodent droppings glow bright red under UV light. By shining a handheld UV lamp (black light) on the rodent droppings it is easy to identify and track rodent movement. When used as a perimeter bait, one can more accurately determine if rodents are gaining access to a building's interior and, if so, where the access points are located.</w:t>
            </w:r>
          </w:p>
        </w:tc>
      </w:tr>
      <w:tr w:rsidR="008E67EA" w:rsidRPr="00307745" w14:paraId="78186357" w14:textId="77777777" w:rsidTr="00B44A74">
        <w:trPr>
          <w:jc w:val="center"/>
        </w:trPr>
        <w:tc>
          <w:tcPr>
            <w:tcW w:w="2415" w:type="dxa"/>
            <w:tcBorders>
              <w:top w:val="single" w:sz="4" w:space="0" w:color="auto"/>
              <w:left w:val="nil"/>
              <w:bottom w:val="single" w:sz="4" w:space="0" w:color="auto"/>
              <w:right w:val="nil"/>
            </w:tcBorders>
          </w:tcPr>
          <w:p w14:paraId="20691AFE" w14:textId="77777777" w:rsidR="008E67EA" w:rsidRPr="0030774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B3D41F6" w14:textId="77777777" w:rsidR="008E67EA" w:rsidRPr="00307745" w:rsidRDefault="008E67EA" w:rsidP="00B44A74">
            <w:pPr>
              <w:spacing w:line="280" w:lineRule="exact"/>
              <w:rPr>
                <w:rFonts w:cs="Arial"/>
                <w:sz w:val="20"/>
                <w:szCs w:val="20"/>
              </w:rPr>
            </w:pPr>
          </w:p>
        </w:tc>
      </w:tr>
      <w:tr w:rsidR="008E67EA" w:rsidRPr="00307745" w14:paraId="1C9FDB5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AA7ECE0" w14:textId="77777777" w:rsidR="008E67EA" w:rsidRPr="00307745" w:rsidRDefault="008E67EA" w:rsidP="00B44A74">
            <w:pPr>
              <w:spacing w:line="280" w:lineRule="exact"/>
              <w:rPr>
                <w:rFonts w:cs="Arial"/>
                <w:sz w:val="20"/>
                <w:szCs w:val="20"/>
              </w:rPr>
            </w:pPr>
            <w:r w:rsidRPr="00307745">
              <w:rPr>
                <w:rFonts w:cs="Arial"/>
                <w:sz w:val="20"/>
                <w:szCs w:val="20"/>
              </w:rPr>
              <w:t>Resistance Warning:</w:t>
            </w:r>
          </w:p>
        </w:tc>
        <w:tc>
          <w:tcPr>
            <w:tcW w:w="7755" w:type="dxa"/>
            <w:tcBorders>
              <w:top w:val="single" w:sz="4" w:space="0" w:color="auto"/>
              <w:left w:val="single" w:sz="4" w:space="0" w:color="auto"/>
              <w:bottom w:val="single" w:sz="4" w:space="0" w:color="auto"/>
              <w:right w:val="single" w:sz="4" w:space="0" w:color="auto"/>
            </w:tcBorders>
          </w:tcPr>
          <w:p w14:paraId="77373958" w14:textId="77777777" w:rsidR="008E67EA" w:rsidRPr="00307745" w:rsidRDefault="008E67EA" w:rsidP="00B44A74">
            <w:pPr>
              <w:spacing w:line="280" w:lineRule="exact"/>
              <w:rPr>
                <w:rFonts w:cs="Arial"/>
                <w:sz w:val="20"/>
                <w:szCs w:val="20"/>
              </w:rPr>
            </w:pPr>
          </w:p>
        </w:tc>
      </w:tr>
      <w:tr w:rsidR="008E67EA" w:rsidRPr="00307745" w14:paraId="138E0AE6" w14:textId="77777777" w:rsidTr="00B44A74">
        <w:trPr>
          <w:jc w:val="center"/>
        </w:trPr>
        <w:tc>
          <w:tcPr>
            <w:tcW w:w="2415" w:type="dxa"/>
            <w:tcBorders>
              <w:top w:val="single" w:sz="4" w:space="0" w:color="auto"/>
              <w:left w:val="nil"/>
              <w:bottom w:val="single" w:sz="4" w:space="0" w:color="auto"/>
              <w:right w:val="nil"/>
            </w:tcBorders>
          </w:tcPr>
          <w:p w14:paraId="3BAF0B99" w14:textId="77777777" w:rsidR="008E67EA" w:rsidRPr="0030774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55CC8BE" w14:textId="77777777" w:rsidR="008E67EA" w:rsidRPr="00307745" w:rsidRDefault="008E67EA" w:rsidP="00B44A74">
            <w:pPr>
              <w:spacing w:line="280" w:lineRule="exact"/>
              <w:rPr>
                <w:rFonts w:cs="Arial"/>
                <w:sz w:val="20"/>
                <w:szCs w:val="20"/>
              </w:rPr>
            </w:pPr>
          </w:p>
        </w:tc>
      </w:tr>
      <w:tr w:rsidR="008E67EA" w:rsidRPr="00307745" w14:paraId="0F35646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B44E648" w14:textId="77777777" w:rsidR="008E67EA" w:rsidRPr="00307745" w:rsidRDefault="008E67EA" w:rsidP="00B44A74">
            <w:pPr>
              <w:spacing w:line="280" w:lineRule="exact"/>
              <w:rPr>
                <w:rFonts w:cs="Arial"/>
                <w:sz w:val="20"/>
                <w:szCs w:val="20"/>
              </w:rPr>
            </w:pPr>
            <w:r w:rsidRPr="00307745">
              <w:rPr>
                <w:rFonts w:cs="Arial"/>
                <w:sz w:val="20"/>
                <w:szCs w:val="20"/>
              </w:rPr>
              <w:t>Precautions:</w:t>
            </w:r>
          </w:p>
        </w:tc>
        <w:tc>
          <w:tcPr>
            <w:tcW w:w="7755" w:type="dxa"/>
            <w:tcBorders>
              <w:top w:val="single" w:sz="4" w:space="0" w:color="auto"/>
              <w:left w:val="single" w:sz="4" w:space="0" w:color="auto"/>
              <w:bottom w:val="single" w:sz="4" w:space="0" w:color="auto"/>
              <w:right w:val="single" w:sz="4" w:space="0" w:color="auto"/>
            </w:tcBorders>
          </w:tcPr>
          <w:p w14:paraId="2D4331FF" w14:textId="77777777" w:rsidR="008E67EA" w:rsidRPr="002578CF" w:rsidRDefault="008E67EA" w:rsidP="00B44A74">
            <w:pPr>
              <w:spacing w:line="280" w:lineRule="exact"/>
              <w:rPr>
                <w:rFonts w:cs="Arial"/>
                <w:sz w:val="20"/>
                <w:szCs w:val="20"/>
                <w:bdr w:val="none" w:sz="0" w:space="0" w:color="auto" w:frame="1"/>
                <w:lang w:val="en-GB" w:eastAsia="en-AU"/>
              </w:rPr>
            </w:pPr>
            <w:r w:rsidRPr="002578CF">
              <w:rPr>
                <w:rFonts w:cs="Arial"/>
                <w:sz w:val="20"/>
                <w:szCs w:val="20"/>
                <w:bdr w:val="none" w:sz="0" w:space="0" w:color="auto" w:frame="1"/>
                <w:lang w:val="en-GB" w:eastAsia="en-AU"/>
              </w:rPr>
              <w:t>CAUTION</w:t>
            </w:r>
          </w:p>
          <w:p w14:paraId="05E1D550" w14:textId="77777777" w:rsidR="008E67EA" w:rsidRPr="00A86A4B" w:rsidRDefault="008E67EA" w:rsidP="00B44A74">
            <w:pPr>
              <w:pBdr>
                <w:top w:val="nil"/>
                <w:left w:val="nil"/>
                <w:bottom w:val="nil"/>
                <w:right w:val="nil"/>
                <w:between w:val="nil"/>
                <w:bar w:val="nil"/>
              </w:pBdr>
              <w:spacing w:line="280" w:lineRule="exact"/>
              <w:rPr>
                <w:rFonts w:cs="Arial"/>
                <w:sz w:val="20"/>
                <w:szCs w:val="20"/>
                <w:bdr w:val="none" w:sz="0" w:space="0" w:color="auto" w:frame="1"/>
                <w:lang w:val="en-GB" w:eastAsia="en-AU"/>
              </w:rPr>
            </w:pPr>
            <w:r w:rsidRPr="00A86A4B">
              <w:rPr>
                <w:rFonts w:cs="Arial"/>
                <w:sz w:val="20"/>
                <w:szCs w:val="20"/>
                <w:bdr w:val="none" w:sz="0" w:space="0" w:color="auto" w:frame="1"/>
                <w:lang w:val="en-GB" w:eastAsia="en-AU"/>
              </w:rPr>
              <w:t>Caution should be used when baiting near areas where hunting of wildlife may occur. Careful consideration of bait placement is necessary to avoid secondary exposure from contaminated wildlife that may be consumed.</w:t>
            </w:r>
          </w:p>
          <w:p w14:paraId="43C11117" w14:textId="77777777" w:rsidR="008E67EA" w:rsidRDefault="008E67EA" w:rsidP="00B44A74">
            <w:pPr>
              <w:spacing w:line="280" w:lineRule="exact"/>
              <w:rPr>
                <w:rFonts w:cs="Arial"/>
                <w:sz w:val="20"/>
                <w:szCs w:val="20"/>
                <w:bdr w:val="none" w:sz="0" w:space="0" w:color="auto" w:frame="1"/>
                <w:lang w:val="en-GB" w:eastAsia="en-AU"/>
              </w:rPr>
            </w:pPr>
            <w:r w:rsidRPr="00A86A4B">
              <w:rPr>
                <w:rFonts w:cs="Arial"/>
                <w:sz w:val="20"/>
                <w:szCs w:val="20"/>
                <w:bdr w:val="none" w:sz="0" w:space="0" w:color="auto" w:frame="1"/>
                <w:lang w:val="en-GB" w:eastAsia="en-AU"/>
              </w:rPr>
              <w:t>DO NOT place bait in areas where there is a possibility of contaminating food, livestock feed or surfaces that come in direct contact with food or livestock feed.</w:t>
            </w:r>
          </w:p>
          <w:p w14:paraId="60B96D94" w14:textId="77777777" w:rsidR="008E67EA" w:rsidRPr="00F84D7C" w:rsidRDefault="008E67EA" w:rsidP="00B44A74">
            <w:pPr>
              <w:pBdr>
                <w:top w:val="nil"/>
                <w:left w:val="nil"/>
                <w:bottom w:val="nil"/>
                <w:right w:val="nil"/>
                <w:between w:val="nil"/>
                <w:bar w:val="nil"/>
              </w:pBdr>
              <w:spacing w:line="280" w:lineRule="exact"/>
              <w:rPr>
                <w:rFonts w:cs="Arial"/>
                <w:sz w:val="20"/>
                <w:szCs w:val="20"/>
                <w:bdr w:val="none" w:sz="0" w:space="0" w:color="auto" w:frame="1"/>
                <w:lang w:val="en-GB" w:eastAsia="en-AU"/>
              </w:rPr>
            </w:pPr>
            <w:r w:rsidRPr="00F84D7C">
              <w:rPr>
                <w:rFonts w:cs="Arial"/>
                <w:sz w:val="20"/>
                <w:szCs w:val="20"/>
                <w:bdr w:val="none" w:sz="0" w:space="0" w:color="auto" w:frame="1"/>
                <w:lang w:val="en-GB" w:eastAsia="en-AU"/>
              </w:rPr>
              <w:lastRenderedPageBreak/>
              <w:t>PROTECTION OF LIVESTOCK AND WILDLIFE</w:t>
            </w:r>
          </w:p>
          <w:p w14:paraId="44ADB8E2" w14:textId="77777777" w:rsidR="008E67EA" w:rsidRPr="00F84D7C" w:rsidRDefault="008E67EA" w:rsidP="00B44A74">
            <w:pPr>
              <w:spacing w:line="280" w:lineRule="exact"/>
              <w:rPr>
                <w:rFonts w:cs="Arial"/>
                <w:sz w:val="20"/>
                <w:szCs w:val="20"/>
                <w:bdr w:val="none" w:sz="0" w:space="0" w:color="auto" w:frame="1"/>
                <w:lang w:val="en-GB" w:eastAsia="en-AU"/>
              </w:rPr>
            </w:pPr>
            <w:r w:rsidRPr="00F84D7C">
              <w:rPr>
                <w:rFonts w:cs="Arial"/>
                <w:sz w:val="20"/>
                <w:szCs w:val="20"/>
                <w:bdr w:val="none" w:sz="0" w:space="0" w:color="auto" w:frame="1"/>
                <w:lang w:val="en-GB" w:eastAsia="en-AU"/>
              </w:rPr>
              <w:t>Hazardous to livestock, poultry and wildlife. DO NOT place baits in locations that are accessible to domestic animals, livestock, non-target native animals or birds.</w:t>
            </w:r>
          </w:p>
          <w:p w14:paraId="579A8214" w14:textId="1798029E" w:rsidR="008E67EA" w:rsidRPr="00F84D7C" w:rsidRDefault="008E67EA" w:rsidP="00B44A74">
            <w:pPr>
              <w:pBdr>
                <w:top w:val="nil"/>
                <w:left w:val="nil"/>
                <w:bottom w:val="nil"/>
                <w:right w:val="nil"/>
                <w:between w:val="nil"/>
                <w:bar w:val="nil"/>
              </w:pBdr>
              <w:spacing w:line="280" w:lineRule="exact"/>
              <w:rPr>
                <w:rFonts w:cs="Arial"/>
                <w:sz w:val="20"/>
                <w:szCs w:val="20"/>
                <w:bdr w:val="none" w:sz="0" w:space="0" w:color="auto" w:frame="1"/>
                <w:lang w:val="en-GB" w:eastAsia="en-AU"/>
              </w:rPr>
            </w:pPr>
            <w:r w:rsidRPr="00562145">
              <w:rPr>
                <w:rFonts w:cs="Arial"/>
                <w:sz w:val="20"/>
                <w:szCs w:val="20"/>
                <w:bdr w:val="none" w:sz="0" w:space="0" w:color="auto" w:frame="1"/>
                <w:lang w:val="en-GB" w:eastAsia="en-AU"/>
              </w:rPr>
              <w:t>Search for and dispose of dead rodents and slugs/snails in the infested area at each visit to prevent secondary poisoning. In case slugs/snails are present, move bait station to another location within the rodent infested site, away from slugs/snails. Dispose of slugs/snails, dead rodents and uneaten bait by wrapping in paper, placing in plastic bag and putting in garbage.</w:t>
            </w:r>
          </w:p>
          <w:p w14:paraId="5D7D1A25" w14:textId="77777777" w:rsidR="008E67EA" w:rsidRDefault="008E67EA" w:rsidP="00B44A74">
            <w:pPr>
              <w:spacing w:line="280" w:lineRule="exact"/>
              <w:rPr>
                <w:rFonts w:cs="Arial"/>
                <w:sz w:val="20"/>
                <w:szCs w:val="20"/>
                <w:bdr w:val="none" w:sz="0" w:space="0" w:color="auto" w:frame="1"/>
                <w:lang w:val="en-GB" w:eastAsia="en-AU"/>
              </w:rPr>
            </w:pPr>
            <w:r w:rsidRPr="00F84D7C">
              <w:rPr>
                <w:rFonts w:cs="Arial"/>
                <w:sz w:val="20"/>
                <w:szCs w:val="20"/>
                <w:bdr w:val="none" w:sz="0" w:space="0" w:color="auto" w:frame="1"/>
                <w:lang w:val="en-GB" w:eastAsia="en-AU"/>
              </w:rPr>
              <w:t>DO NOT allow livestock or poultry to consume dead or moribund mice</w:t>
            </w:r>
            <w:r>
              <w:rPr>
                <w:rFonts w:cs="Arial"/>
                <w:sz w:val="20"/>
                <w:szCs w:val="20"/>
                <w:bdr w:val="none" w:sz="0" w:space="0" w:color="auto" w:frame="1"/>
                <w:lang w:val="en-GB" w:eastAsia="en-AU"/>
              </w:rPr>
              <w:t xml:space="preserve"> and rats</w:t>
            </w:r>
            <w:r w:rsidRPr="00F84D7C">
              <w:rPr>
                <w:rFonts w:cs="Arial"/>
                <w:sz w:val="20"/>
                <w:szCs w:val="20"/>
                <w:bdr w:val="none" w:sz="0" w:space="0" w:color="auto" w:frame="1"/>
                <w:lang w:val="en-GB" w:eastAsia="en-AU"/>
              </w:rPr>
              <w:t>. All dead or moribund animals and rodent faeces from baited rodents MUST be removed from areas accessible to livestock or poultry.</w:t>
            </w:r>
          </w:p>
          <w:p w14:paraId="2360F853" w14:textId="77777777" w:rsidR="008E67EA" w:rsidRDefault="008E67EA" w:rsidP="00B44A74">
            <w:pPr>
              <w:spacing w:line="280" w:lineRule="exact"/>
              <w:rPr>
                <w:rFonts w:cs="Arial"/>
                <w:sz w:val="20"/>
                <w:szCs w:val="20"/>
                <w:bdr w:val="none" w:sz="0" w:space="0" w:color="auto" w:frame="1"/>
                <w:lang w:val="en-GB" w:eastAsia="en-AU"/>
              </w:rPr>
            </w:pPr>
            <w:r w:rsidRPr="00D269D9">
              <w:rPr>
                <w:rFonts w:cs="Arial"/>
                <w:sz w:val="20"/>
                <w:szCs w:val="20"/>
                <w:bdr w:val="none" w:sz="0" w:space="0" w:color="auto" w:frame="1"/>
                <w:lang w:val="en-GB" w:eastAsia="en-AU"/>
              </w:rPr>
              <w:t>DO NOT let cats, dogs or</w:t>
            </w:r>
            <w:r>
              <w:rPr>
                <w:rFonts w:cs="Arial"/>
                <w:sz w:val="20"/>
                <w:szCs w:val="20"/>
                <w:bdr w:val="none" w:sz="0" w:space="0" w:color="auto" w:frame="1"/>
                <w:lang w:val="en-GB" w:eastAsia="en-AU"/>
              </w:rPr>
              <w:t xml:space="preserve"> </w:t>
            </w:r>
            <w:r w:rsidRPr="00D269D9">
              <w:rPr>
                <w:rFonts w:cs="Arial"/>
                <w:sz w:val="20"/>
                <w:szCs w:val="20"/>
                <w:bdr w:val="none" w:sz="0" w:space="0" w:color="auto" w:frame="1"/>
                <w:lang w:val="en-GB" w:eastAsia="en-AU"/>
              </w:rPr>
              <w:t>non-target animals eat poisoned mice</w:t>
            </w:r>
            <w:r>
              <w:rPr>
                <w:rFonts w:cs="Arial"/>
                <w:sz w:val="20"/>
                <w:szCs w:val="20"/>
                <w:bdr w:val="none" w:sz="0" w:space="0" w:color="auto" w:frame="1"/>
                <w:lang w:val="en-GB" w:eastAsia="en-AU"/>
              </w:rPr>
              <w:t xml:space="preserve"> and rats</w:t>
            </w:r>
            <w:r w:rsidRPr="00D269D9">
              <w:rPr>
                <w:rFonts w:cs="Arial"/>
                <w:sz w:val="20"/>
                <w:szCs w:val="20"/>
                <w:bdr w:val="none" w:sz="0" w:space="0" w:color="auto" w:frame="1"/>
                <w:lang w:val="en-GB" w:eastAsia="en-AU"/>
              </w:rPr>
              <w:t>.</w:t>
            </w:r>
          </w:p>
          <w:p w14:paraId="5A235DCB" w14:textId="77777777" w:rsidR="008E67EA" w:rsidRDefault="008E67EA" w:rsidP="00B44A74">
            <w:pPr>
              <w:spacing w:line="280" w:lineRule="exact"/>
              <w:rPr>
                <w:rFonts w:cs="Arial"/>
                <w:sz w:val="20"/>
                <w:szCs w:val="20"/>
                <w:bdr w:val="none" w:sz="0" w:space="0" w:color="auto" w:frame="1"/>
                <w:lang w:eastAsia="en-AU"/>
              </w:rPr>
            </w:pPr>
            <w:r w:rsidRPr="00D269D9">
              <w:rPr>
                <w:rFonts w:cs="Arial"/>
                <w:sz w:val="20"/>
                <w:szCs w:val="20"/>
                <w:bdr w:val="none" w:sz="0" w:space="0" w:color="auto" w:frame="1"/>
                <w:lang w:eastAsia="en-AU"/>
              </w:rPr>
              <w:t>DO NOT use this product to control native animals.</w:t>
            </w:r>
          </w:p>
          <w:p w14:paraId="19D22631" w14:textId="77777777" w:rsidR="008E67EA" w:rsidRDefault="008E67EA" w:rsidP="00B44A74">
            <w:pPr>
              <w:spacing w:line="280" w:lineRule="exact"/>
              <w:rPr>
                <w:rFonts w:cs="Arial"/>
                <w:sz w:val="20"/>
                <w:szCs w:val="20"/>
                <w:bdr w:val="none" w:sz="0" w:space="0" w:color="auto" w:frame="1"/>
                <w:lang w:val="en-GB" w:eastAsia="en-AU"/>
              </w:rPr>
            </w:pPr>
          </w:p>
          <w:p w14:paraId="2E0FD96E" w14:textId="77777777" w:rsidR="008E67EA" w:rsidRDefault="008E67EA" w:rsidP="00B44A74">
            <w:pPr>
              <w:spacing w:line="280" w:lineRule="exact"/>
              <w:rPr>
                <w:rFonts w:cs="Arial"/>
                <w:sz w:val="20"/>
                <w:szCs w:val="20"/>
                <w:bdr w:val="none" w:sz="0" w:space="0" w:color="auto" w:frame="1"/>
                <w:lang w:val="en-GB" w:eastAsia="en-AU"/>
              </w:rPr>
            </w:pPr>
            <w:r w:rsidRPr="00A86A4B">
              <w:rPr>
                <w:rFonts w:cs="Arial"/>
                <w:sz w:val="20"/>
                <w:szCs w:val="20"/>
                <w:bdr w:val="none" w:sz="0" w:space="0" w:color="auto" w:frame="1"/>
                <w:lang w:val="en-GB" w:eastAsia="en-AU"/>
              </w:rPr>
              <w:t>PROTECTION OF FISH, CRUSTACEANS AND ENVIRONMENT</w:t>
            </w:r>
          </w:p>
          <w:p w14:paraId="31150A35" w14:textId="77777777" w:rsidR="008E67EA" w:rsidRPr="00307745" w:rsidRDefault="008E67EA" w:rsidP="00B44A74">
            <w:pPr>
              <w:spacing w:line="280" w:lineRule="exact"/>
              <w:rPr>
                <w:rFonts w:cs="Arial"/>
                <w:sz w:val="20"/>
                <w:szCs w:val="20"/>
                <w:highlight w:val="yellow"/>
              </w:rPr>
            </w:pPr>
            <w:r w:rsidRPr="00A86A4B">
              <w:rPr>
                <w:rFonts w:cs="Arial"/>
                <w:sz w:val="20"/>
                <w:szCs w:val="20"/>
                <w:bdr w:val="none" w:sz="0" w:space="0" w:color="auto" w:frame="1"/>
                <w:lang w:val="en-GB" w:eastAsia="en-AU"/>
              </w:rPr>
              <w:t>Very toxic to aquatic life.</w:t>
            </w:r>
            <w:r>
              <w:rPr>
                <w:rFonts w:cs="Arial"/>
                <w:sz w:val="20"/>
                <w:szCs w:val="20"/>
                <w:bdr w:val="none" w:sz="0" w:space="0" w:color="auto" w:frame="1"/>
                <w:lang w:val="en-GB" w:eastAsia="en-AU"/>
              </w:rPr>
              <w:t xml:space="preserve"> </w:t>
            </w:r>
            <w:r w:rsidRPr="00A86A4B">
              <w:rPr>
                <w:rFonts w:cs="Arial"/>
                <w:sz w:val="20"/>
                <w:szCs w:val="20"/>
                <w:bdr w:val="none" w:sz="0" w:space="0" w:color="auto" w:frame="1"/>
                <w:lang w:val="en-GB" w:eastAsia="en-AU"/>
              </w:rPr>
              <w:t>DO NOT contaminate wetlands or watercourses with this product or used containers. Place the bait stations in areas not liable to flooding. When placing bait stations close to water drainage systems, ensure that bait contact with water is avoided.</w:t>
            </w:r>
          </w:p>
        </w:tc>
      </w:tr>
      <w:tr w:rsidR="008E67EA" w:rsidRPr="00307745" w14:paraId="6BA6C58C" w14:textId="77777777" w:rsidTr="00B44A74">
        <w:trPr>
          <w:jc w:val="center"/>
        </w:trPr>
        <w:tc>
          <w:tcPr>
            <w:tcW w:w="2415" w:type="dxa"/>
            <w:tcBorders>
              <w:top w:val="single" w:sz="4" w:space="0" w:color="auto"/>
              <w:left w:val="nil"/>
              <w:bottom w:val="single" w:sz="4" w:space="0" w:color="auto"/>
              <w:right w:val="nil"/>
            </w:tcBorders>
          </w:tcPr>
          <w:p w14:paraId="0E599265" w14:textId="77777777" w:rsidR="008E67EA" w:rsidRPr="0030774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D51F167" w14:textId="77777777" w:rsidR="008E67EA" w:rsidRPr="00307745" w:rsidRDefault="008E67EA" w:rsidP="00B44A74">
            <w:pPr>
              <w:spacing w:line="280" w:lineRule="exact"/>
              <w:rPr>
                <w:rFonts w:cs="Arial"/>
                <w:sz w:val="20"/>
                <w:szCs w:val="20"/>
              </w:rPr>
            </w:pPr>
          </w:p>
        </w:tc>
      </w:tr>
      <w:tr w:rsidR="008E67EA" w:rsidRPr="00307745" w14:paraId="18C1FD9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7F5707C" w14:textId="77777777" w:rsidR="008E67EA" w:rsidRPr="00307745" w:rsidRDefault="008E67EA" w:rsidP="00B44A74">
            <w:pPr>
              <w:spacing w:line="280" w:lineRule="exact"/>
              <w:rPr>
                <w:rFonts w:cs="Arial"/>
                <w:sz w:val="20"/>
                <w:szCs w:val="20"/>
              </w:rPr>
            </w:pPr>
            <w:r w:rsidRPr="00307745">
              <w:rPr>
                <w:rFonts w:cs="Arial"/>
                <w:sz w:val="20"/>
                <w:szCs w:val="20"/>
              </w:rPr>
              <w:t>Protections:</w:t>
            </w:r>
          </w:p>
        </w:tc>
        <w:tc>
          <w:tcPr>
            <w:tcW w:w="7755" w:type="dxa"/>
            <w:tcBorders>
              <w:top w:val="single" w:sz="4" w:space="0" w:color="auto"/>
              <w:left w:val="single" w:sz="4" w:space="0" w:color="auto"/>
              <w:bottom w:val="single" w:sz="4" w:space="0" w:color="auto"/>
              <w:right w:val="single" w:sz="4" w:space="0" w:color="auto"/>
            </w:tcBorders>
          </w:tcPr>
          <w:p w14:paraId="1DE94327" w14:textId="77777777" w:rsidR="008E67EA" w:rsidRPr="00307745" w:rsidRDefault="008E67EA" w:rsidP="00B44A74">
            <w:pPr>
              <w:spacing w:line="280" w:lineRule="exact"/>
              <w:rPr>
                <w:rFonts w:cs="Arial"/>
                <w:sz w:val="20"/>
                <w:szCs w:val="20"/>
              </w:rPr>
            </w:pPr>
          </w:p>
        </w:tc>
      </w:tr>
      <w:tr w:rsidR="008E67EA" w:rsidRPr="00307745" w14:paraId="785759D1" w14:textId="77777777" w:rsidTr="00B44A74">
        <w:trPr>
          <w:jc w:val="center"/>
        </w:trPr>
        <w:tc>
          <w:tcPr>
            <w:tcW w:w="2415" w:type="dxa"/>
            <w:tcBorders>
              <w:top w:val="single" w:sz="4" w:space="0" w:color="auto"/>
              <w:left w:val="nil"/>
              <w:bottom w:val="single" w:sz="4" w:space="0" w:color="auto"/>
              <w:right w:val="nil"/>
            </w:tcBorders>
          </w:tcPr>
          <w:p w14:paraId="652B770E" w14:textId="77777777" w:rsidR="008E67EA" w:rsidRPr="0030774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F833A10" w14:textId="77777777" w:rsidR="008E67EA" w:rsidRPr="00307745" w:rsidRDefault="008E67EA" w:rsidP="00B44A74">
            <w:pPr>
              <w:spacing w:line="280" w:lineRule="exact"/>
              <w:rPr>
                <w:rFonts w:cs="Arial"/>
                <w:sz w:val="20"/>
                <w:szCs w:val="20"/>
              </w:rPr>
            </w:pPr>
          </w:p>
        </w:tc>
      </w:tr>
      <w:tr w:rsidR="008E67EA" w:rsidRPr="00307745" w14:paraId="729A464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A1D973E" w14:textId="77777777" w:rsidR="008E67EA" w:rsidRPr="00307745" w:rsidRDefault="008E67EA" w:rsidP="00B44A74">
            <w:pPr>
              <w:spacing w:line="280" w:lineRule="exact"/>
              <w:rPr>
                <w:rFonts w:cs="Arial"/>
                <w:sz w:val="20"/>
                <w:szCs w:val="20"/>
              </w:rPr>
            </w:pPr>
            <w:r w:rsidRPr="00307745">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6C400A26" w14:textId="77777777" w:rsidR="008E67EA" w:rsidRPr="00D96955" w:rsidRDefault="008E67EA" w:rsidP="00B44A74">
            <w:pPr>
              <w:spacing w:line="280" w:lineRule="exact"/>
              <w:rPr>
                <w:rFonts w:cs="Arial"/>
                <w:sz w:val="20"/>
                <w:szCs w:val="20"/>
                <w:bdr w:val="none" w:sz="0" w:space="0" w:color="auto" w:frame="1"/>
                <w:lang w:val="en-GB" w:eastAsia="en-AU"/>
              </w:rPr>
            </w:pPr>
            <w:r w:rsidRPr="00D96955">
              <w:rPr>
                <w:rFonts w:cs="Arial"/>
                <w:sz w:val="20"/>
                <w:szCs w:val="20"/>
                <w:bdr w:val="none" w:sz="0" w:space="0" w:color="auto" w:frame="1"/>
                <w:lang w:val="en-GB" w:eastAsia="en-AU"/>
              </w:rPr>
              <w:t>STORAGE AND DISPOSAL</w:t>
            </w:r>
          </w:p>
          <w:p w14:paraId="6FD251D5" w14:textId="77777777" w:rsidR="008E67EA" w:rsidRPr="00307745" w:rsidRDefault="008E67EA" w:rsidP="00B44A74">
            <w:pPr>
              <w:spacing w:line="280" w:lineRule="exact"/>
              <w:rPr>
                <w:rFonts w:cs="Arial"/>
                <w:sz w:val="20"/>
                <w:szCs w:val="20"/>
              </w:rPr>
            </w:pPr>
            <w:r w:rsidRPr="00D96955">
              <w:rPr>
                <w:rFonts w:cs="Arial"/>
                <w:sz w:val="20"/>
                <w:szCs w:val="20"/>
                <w:bdr w:val="none" w:sz="0" w:space="0" w:color="auto" w:frame="1"/>
                <w:lang w:val="en-GB" w:eastAsia="en-AU"/>
              </w:rPr>
              <w:t>Store in the closed, original container in a cool dry place out of reach of children. DO NOT store in direct sunlight. Dispose of empty containers</w:t>
            </w:r>
            <w:r>
              <w:rPr>
                <w:rFonts w:cs="Arial"/>
                <w:sz w:val="20"/>
                <w:szCs w:val="20"/>
                <w:bdr w:val="none" w:sz="0" w:space="0" w:color="auto" w:frame="1"/>
                <w:lang w:val="en-GB" w:eastAsia="en-AU"/>
              </w:rPr>
              <w:t xml:space="preserve"> and unused product</w:t>
            </w:r>
            <w:r w:rsidRPr="00D96955">
              <w:rPr>
                <w:rFonts w:cs="Arial"/>
                <w:sz w:val="20"/>
                <w:szCs w:val="20"/>
                <w:bdr w:val="none" w:sz="0" w:space="0" w:color="auto" w:frame="1"/>
                <w:lang w:val="en-GB" w:eastAsia="en-AU"/>
              </w:rPr>
              <w:t xml:space="preserve"> by wrapping in paper placing in plastic bag and putting in garbage.</w:t>
            </w:r>
          </w:p>
        </w:tc>
      </w:tr>
      <w:tr w:rsidR="008E67EA" w:rsidRPr="00307745" w14:paraId="70C136CB" w14:textId="77777777" w:rsidTr="00B44A74">
        <w:trPr>
          <w:jc w:val="center"/>
        </w:trPr>
        <w:tc>
          <w:tcPr>
            <w:tcW w:w="2415" w:type="dxa"/>
            <w:tcBorders>
              <w:top w:val="single" w:sz="4" w:space="0" w:color="auto"/>
              <w:left w:val="nil"/>
              <w:bottom w:val="single" w:sz="4" w:space="0" w:color="auto"/>
              <w:right w:val="nil"/>
            </w:tcBorders>
          </w:tcPr>
          <w:p w14:paraId="2387BD6F" w14:textId="77777777" w:rsidR="008E67EA" w:rsidRPr="0030774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97B0D7D" w14:textId="77777777" w:rsidR="008E67EA" w:rsidRPr="00307745" w:rsidRDefault="008E67EA" w:rsidP="00B44A74">
            <w:pPr>
              <w:spacing w:line="280" w:lineRule="exact"/>
              <w:rPr>
                <w:rFonts w:cs="Arial"/>
                <w:sz w:val="20"/>
                <w:szCs w:val="20"/>
              </w:rPr>
            </w:pPr>
          </w:p>
        </w:tc>
      </w:tr>
      <w:tr w:rsidR="008E67EA" w:rsidRPr="00D96955" w14:paraId="238CE8B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F600767" w14:textId="77777777" w:rsidR="008E67EA" w:rsidRPr="00307745" w:rsidRDefault="008E67EA" w:rsidP="00B44A74">
            <w:pPr>
              <w:spacing w:line="280" w:lineRule="exact"/>
              <w:rPr>
                <w:rFonts w:cs="Arial"/>
                <w:sz w:val="20"/>
                <w:szCs w:val="20"/>
              </w:rPr>
            </w:pPr>
            <w:r w:rsidRPr="00307745">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6208C56B" w14:textId="77777777" w:rsidR="008E67EA" w:rsidRPr="00D96955" w:rsidRDefault="008E67EA" w:rsidP="00B44A74">
            <w:pPr>
              <w:spacing w:line="280" w:lineRule="exact"/>
              <w:rPr>
                <w:rFonts w:cs="Arial"/>
                <w:sz w:val="20"/>
                <w:szCs w:val="20"/>
                <w:bdr w:val="none" w:sz="0" w:space="0" w:color="auto" w:frame="1"/>
                <w:lang w:val="en-GB" w:eastAsia="en-AU"/>
              </w:rPr>
            </w:pPr>
            <w:r w:rsidRPr="00D96955">
              <w:rPr>
                <w:rFonts w:cs="Arial"/>
                <w:sz w:val="20"/>
                <w:szCs w:val="20"/>
                <w:bdr w:val="none" w:sz="0" w:space="0" w:color="auto" w:frame="1"/>
                <w:lang w:val="en-GB" w:eastAsia="en-AU"/>
              </w:rPr>
              <w:t>SAFETY DIRECTIONS</w:t>
            </w:r>
          </w:p>
          <w:p w14:paraId="058A9342" w14:textId="77777777" w:rsidR="008E67EA" w:rsidRPr="00D96955" w:rsidRDefault="008E67EA" w:rsidP="00B44A74">
            <w:pPr>
              <w:spacing w:line="280" w:lineRule="exact"/>
              <w:rPr>
                <w:rFonts w:cs="Arial"/>
                <w:sz w:val="20"/>
                <w:szCs w:val="20"/>
                <w:bdr w:val="none" w:sz="0" w:space="0" w:color="auto" w:frame="1"/>
                <w:lang w:val="en-GB" w:eastAsia="en-AU"/>
              </w:rPr>
            </w:pPr>
            <w:r w:rsidRPr="00D96955">
              <w:rPr>
                <w:rFonts w:cs="Arial"/>
                <w:sz w:val="20"/>
                <w:szCs w:val="20"/>
                <w:bdr w:val="none" w:sz="0" w:space="0" w:color="auto" w:frame="1"/>
                <w:lang w:val="en-GB" w:eastAsia="en-AU"/>
              </w:rPr>
              <w:t>Repeated minor exposure may have a cumulative poisoning effect. Will irritate the skin. May irritate eyes. Avoid contact with eyes and skin. D</w:t>
            </w:r>
            <w:r>
              <w:rPr>
                <w:rFonts w:cs="Arial"/>
                <w:sz w:val="20"/>
                <w:szCs w:val="20"/>
                <w:bdr w:val="none" w:sz="0" w:space="0" w:color="auto" w:frame="1"/>
                <w:lang w:val="en-GB" w:eastAsia="en-AU"/>
              </w:rPr>
              <w:t>O NOT</w:t>
            </w:r>
            <w:r w:rsidRPr="00D96955">
              <w:rPr>
                <w:rFonts w:cs="Arial"/>
                <w:sz w:val="20"/>
                <w:szCs w:val="20"/>
                <w:bdr w:val="none" w:sz="0" w:space="0" w:color="auto" w:frame="1"/>
                <w:lang w:val="en-GB" w:eastAsia="en-AU"/>
              </w:rPr>
              <w:t xml:space="preserve"> touch bait, use scoop or measure. When using the product wear disposable gloves. If on skin and after each baiting, wash thoroughly with soap and water.</w:t>
            </w:r>
          </w:p>
          <w:p w14:paraId="30400858" w14:textId="0943C869" w:rsidR="008E67EA" w:rsidRPr="00D96955" w:rsidRDefault="008E67EA" w:rsidP="00B44A74">
            <w:pPr>
              <w:spacing w:line="280" w:lineRule="exact"/>
              <w:rPr>
                <w:rFonts w:cs="Arial"/>
                <w:sz w:val="20"/>
                <w:szCs w:val="20"/>
                <w:bdr w:val="none" w:sz="0" w:space="0" w:color="auto" w:frame="1"/>
                <w:lang w:val="en-GB" w:eastAsia="en-AU"/>
              </w:rPr>
            </w:pPr>
            <w:r w:rsidRPr="00D96955">
              <w:rPr>
                <w:rFonts w:cs="Arial"/>
                <w:sz w:val="20"/>
                <w:szCs w:val="20"/>
                <w:bdr w:val="none" w:sz="0" w:space="0" w:color="auto" w:frame="1"/>
                <w:lang w:val="en-GB" w:eastAsia="en-AU"/>
              </w:rPr>
              <w:t>During cleanup and disposal operations of bait and bait stations, wear a single layer of clothing and disposable gloves. Wear disposable gloves when handling rodent carcasses. Wash clothes after performing re-handling activities.</w:t>
            </w:r>
          </w:p>
        </w:tc>
      </w:tr>
      <w:tr w:rsidR="008E67EA" w:rsidRPr="00307745" w14:paraId="1762C41C" w14:textId="77777777" w:rsidTr="00B44A74">
        <w:trPr>
          <w:jc w:val="center"/>
        </w:trPr>
        <w:tc>
          <w:tcPr>
            <w:tcW w:w="2415" w:type="dxa"/>
            <w:tcBorders>
              <w:top w:val="single" w:sz="4" w:space="0" w:color="auto"/>
              <w:left w:val="nil"/>
              <w:bottom w:val="single" w:sz="4" w:space="0" w:color="auto"/>
              <w:right w:val="nil"/>
            </w:tcBorders>
          </w:tcPr>
          <w:p w14:paraId="6FC99384" w14:textId="77777777" w:rsidR="008E67EA" w:rsidRPr="0030774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32D2EA2" w14:textId="77777777" w:rsidR="008E67EA" w:rsidRPr="00307745" w:rsidRDefault="008E67EA" w:rsidP="00B44A74">
            <w:pPr>
              <w:spacing w:line="280" w:lineRule="exact"/>
              <w:rPr>
                <w:rFonts w:cs="Arial"/>
                <w:sz w:val="20"/>
                <w:szCs w:val="20"/>
              </w:rPr>
            </w:pPr>
          </w:p>
        </w:tc>
      </w:tr>
      <w:tr w:rsidR="008E67EA" w:rsidRPr="00307745" w14:paraId="573628B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30A360C" w14:textId="77777777" w:rsidR="008E67EA" w:rsidRPr="00307745" w:rsidRDefault="008E67EA" w:rsidP="00B44A74">
            <w:pPr>
              <w:spacing w:line="280" w:lineRule="exact"/>
              <w:rPr>
                <w:rFonts w:cs="Arial"/>
                <w:sz w:val="20"/>
                <w:szCs w:val="20"/>
              </w:rPr>
            </w:pPr>
            <w:r w:rsidRPr="00307745">
              <w:rPr>
                <w:rFonts w:cs="Arial"/>
                <w:sz w:val="20"/>
                <w:szCs w:val="20"/>
              </w:rPr>
              <w:t>First Aid Instructions:</w:t>
            </w:r>
          </w:p>
        </w:tc>
        <w:tc>
          <w:tcPr>
            <w:tcW w:w="7755" w:type="dxa"/>
            <w:tcBorders>
              <w:top w:val="single" w:sz="4" w:space="0" w:color="auto"/>
              <w:left w:val="single" w:sz="4" w:space="0" w:color="auto"/>
              <w:bottom w:val="single" w:sz="4" w:space="0" w:color="auto"/>
              <w:right w:val="single" w:sz="4" w:space="0" w:color="auto"/>
            </w:tcBorders>
          </w:tcPr>
          <w:p w14:paraId="79C835F5" w14:textId="77777777" w:rsidR="008E67EA" w:rsidRPr="00D96955" w:rsidRDefault="008E67EA" w:rsidP="00B44A74">
            <w:pPr>
              <w:spacing w:line="280" w:lineRule="exact"/>
              <w:rPr>
                <w:rFonts w:cs="Arial"/>
                <w:sz w:val="20"/>
                <w:szCs w:val="20"/>
                <w:bdr w:val="none" w:sz="0" w:space="0" w:color="auto" w:frame="1"/>
                <w:lang w:val="en-GB" w:eastAsia="en-AU"/>
              </w:rPr>
            </w:pPr>
            <w:r w:rsidRPr="00D96955">
              <w:rPr>
                <w:rFonts w:cs="Arial"/>
                <w:sz w:val="20"/>
                <w:szCs w:val="20"/>
                <w:bdr w:val="none" w:sz="0" w:space="0" w:color="auto" w:frame="1"/>
                <w:lang w:val="en-GB" w:eastAsia="en-AU"/>
              </w:rPr>
              <w:t>FIRST AID</w:t>
            </w:r>
          </w:p>
          <w:p w14:paraId="10CB02C6" w14:textId="77777777" w:rsidR="008E67EA" w:rsidRPr="00307745" w:rsidRDefault="008E67EA" w:rsidP="00B44A74">
            <w:pPr>
              <w:spacing w:line="280" w:lineRule="exact"/>
              <w:rPr>
                <w:rFonts w:cs="Arial"/>
                <w:sz w:val="20"/>
                <w:szCs w:val="20"/>
              </w:rPr>
            </w:pPr>
            <w:r w:rsidRPr="00D96955">
              <w:rPr>
                <w:rFonts w:cs="Arial"/>
                <w:sz w:val="20"/>
                <w:szCs w:val="20"/>
                <w:bdr w:val="none" w:sz="0" w:space="0" w:color="auto" w:frame="1"/>
                <w:lang w:val="en-GB" w:eastAsia="en-AU"/>
              </w:rPr>
              <w:t>If poisoning occurs, contact a doctor or Poisons Information Centre. Phone Australia 13 11 26, New Zealand 0800 764 766. Vitamin K1 (Phytomenadione) is antidotal.</w:t>
            </w:r>
          </w:p>
        </w:tc>
      </w:tr>
      <w:tr w:rsidR="008E67EA" w:rsidRPr="00307745" w14:paraId="3F9CE3FF" w14:textId="77777777" w:rsidTr="00B44A74">
        <w:trPr>
          <w:jc w:val="center"/>
        </w:trPr>
        <w:tc>
          <w:tcPr>
            <w:tcW w:w="2415" w:type="dxa"/>
            <w:tcBorders>
              <w:top w:val="single" w:sz="4" w:space="0" w:color="auto"/>
              <w:left w:val="nil"/>
              <w:bottom w:val="single" w:sz="4" w:space="0" w:color="auto"/>
              <w:right w:val="nil"/>
            </w:tcBorders>
          </w:tcPr>
          <w:p w14:paraId="53C3E212" w14:textId="77777777" w:rsidR="008E67EA" w:rsidRPr="0030774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CC4A93A" w14:textId="77777777" w:rsidR="008E67EA" w:rsidRPr="00307745" w:rsidRDefault="008E67EA" w:rsidP="00B44A74">
            <w:pPr>
              <w:spacing w:line="280" w:lineRule="exact"/>
              <w:rPr>
                <w:rFonts w:cs="Arial"/>
                <w:sz w:val="20"/>
                <w:szCs w:val="20"/>
              </w:rPr>
            </w:pPr>
          </w:p>
        </w:tc>
      </w:tr>
      <w:tr w:rsidR="008E67EA" w:rsidRPr="00307745" w14:paraId="4C5122E9"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0E383E2" w14:textId="77777777" w:rsidR="008E67EA" w:rsidRPr="00307745" w:rsidRDefault="008E67EA" w:rsidP="00B44A74">
            <w:pPr>
              <w:spacing w:line="280" w:lineRule="exact"/>
              <w:rPr>
                <w:rFonts w:cs="Arial"/>
                <w:sz w:val="20"/>
                <w:szCs w:val="20"/>
              </w:rPr>
            </w:pPr>
            <w:r w:rsidRPr="00307745">
              <w:rPr>
                <w:rFonts w:cs="Arial"/>
                <w:sz w:val="20"/>
                <w:szCs w:val="20"/>
              </w:rPr>
              <w:t>First Aid Warnings:</w:t>
            </w:r>
          </w:p>
        </w:tc>
        <w:tc>
          <w:tcPr>
            <w:tcW w:w="7755" w:type="dxa"/>
            <w:tcBorders>
              <w:top w:val="single" w:sz="4" w:space="0" w:color="auto"/>
              <w:left w:val="single" w:sz="4" w:space="0" w:color="auto"/>
              <w:bottom w:val="single" w:sz="4" w:space="0" w:color="auto"/>
              <w:right w:val="single" w:sz="4" w:space="0" w:color="auto"/>
            </w:tcBorders>
          </w:tcPr>
          <w:p w14:paraId="33472B33" w14:textId="77777777" w:rsidR="008E67EA" w:rsidRPr="00307745" w:rsidRDefault="008E67EA" w:rsidP="00B44A74">
            <w:pPr>
              <w:spacing w:line="280" w:lineRule="exact"/>
              <w:rPr>
                <w:rFonts w:cs="Arial"/>
                <w:sz w:val="20"/>
                <w:szCs w:val="20"/>
              </w:rPr>
            </w:pPr>
          </w:p>
        </w:tc>
      </w:tr>
    </w:tbl>
    <w:p w14:paraId="4568D9B3" w14:textId="77777777" w:rsidR="008E67EA" w:rsidRDefault="008E67EA" w:rsidP="008E67EA">
      <w:pPr>
        <w:rPr>
          <w:rFonts w:cs="Arial"/>
          <w:b/>
          <w:bCs/>
          <w:sz w:val="20"/>
          <w:szCs w:val="20"/>
        </w:rPr>
      </w:pPr>
      <w:r>
        <w:rPr>
          <w:rFonts w:cs="Arial"/>
          <w:b/>
          <w:bCs/>
          <w:sz w:val="20"/>
          <w:szCs w:val="20"/>
        </w:rPr>
        <w:br w:type="page"/>
      </w:r>
    </w:p>
    <w:p w14:paraId="62747BB8" w14:textId="77777777" w:rsidR="008E67EA" w:rsidRPr="00307745" w:rsidRDefault="008E67EA" w:rsidP="008E67EA">
      <w:pPr>
        <w:rPr>
          <w:rFonts w:cs="Arial"/>
          <w:b/>
          <w:bCs/>
          <w:sz w:val="20"/>
          <w:szCs w:val="20"/>
        </w:rPr>
      </w:pPr>
      <w:r w:rsidRPr="00307745">
        <w:rPr>
          <w:rFonts w:cs="Arial"/>
          <w:b/>
          <w:bCs/>
          <w:sz w:val="20"/>
          <w:szCs w:val="20"/>
        </w:rPr>
        <w:lastRenderedPageBreak/>
        <w:t>HOW TO USE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24"/>
        <w:gridCol w:w="1320"/>
        <w:gridCol w:w="3743"/>
      </w:tblGrid>
      <w:tr w:rsidR="008E67EA" w:rsidRPr="00307745" w14:paraId="04B9C934" w14:textId="77777777" w:rsidTr="009C4F64">
        <w:trPr>
          <w:trHeight w:val="340"/>
        </w:trPr>
        <w:tc>
          <w:tcPr>
            <w:tcW w:w="1129" w:type="dxa"/>
          </w:tcPr>
          <w:p w14:paraId="29BB3DED" w14:textId="77777777" w:rsidR="008E67EA" w:rsidRPr="00237D13" w:rsidRDefault="008E67EA" w:rsidP="00B44A74">
            <w:pPr>
              <w:spacing w:line="280" w:lineRule="exact"/>
              <w:rPr>
                <w:rFonts w:cs="Arial"/>
                <w:b/>
                <w:bCs/>
                <w:sz w:val="20"/>
                <w:szCs w:val="20"/>
              </w:rPr>
            </w:pPr>
            <w:bookmarkStart w:id="350" w:name="_Hlk213919605"/>
            <w:r w:rsidRPr="00237D13">
              <w:rPr>
                <w:rFonts w:cs="Arial"/>
                <w:b/>
                <w:bCs/>
                <w:sz w:val="20"/>
                <w:szCs w:val="20"/>
              </w:rPr>
              <w:t>PEST</w:t>
            </w:r>
          </w:p>
        </w:tc>
        <w:tc>
          <w:tcPr>
            <w:tcW w:w="2824" w:type="dxa"/>
          </w:tcPr>
          <w:p w14:paraId="0F437F26" w14:textId="77777777" w:rsidR="008E67EA" w:rsidRPr="00237D13" w:rsidRDefault="008E67EA" w:rsidP="00B44A74">
            <w:pPr>
              <w:spacing w:line="280" w:lineRule="exact"/>
              <w:rPr>
                <w:rFonts w:cs="Arial"/>
                <w:b/>
                <w:bCs/>
                <w:sz w:val="20"/>
                <w:szCs w:val="20"/>
              </w:rPr>
            </w:pPr>
            <w:r w:rsidRPr="00237D13">
              <w:rPr>
                <w:rFonts w:cs="Arial"/>
                <w:b/>
                <w:bCs/>
                <w:sz w:val="20"/>
                <w:szCs w:val="20"/>
              </w:rPr>
              <w:t>SITUATION</w:t>
            </w:r>
          </w:p>
        </w:tc>
        <w:tc>
          <w:tcPr>
            <w:tcW w:w="1320" w:type="dxa"/>
          </w:tcPr>
          <w:p w14:paraId="2B718450" w14:textId="77777777" w:rsidR="008E67EA" w:rsidRPr="00237D13" w:rsidRDefault="008E67EA" w:rsidP="00B44A74">
            <w:pPr>
              <w:spacing w:line="280" w:lineRule="exact"/>
              <w:rPr>
                <w:rFonts w:cs="Arial"/>
                <w:b/>
                <w:bCs/>
                <w:sz w:val="20"/>
                <w:szCs w:val="20"/>
              </w:rPr>
            </w:pPr>
            <w:r w:rsidRPr="00237D13">
              <w:rPr>
                <w:rFonts w:cs="Arial"/>
                <w:b/>
                <w:bCs/>
                <w:sz w:val="20"/>
                <w:szCs w:val="20"/>
              </w:rPr>
              <w:t>RATE</w:t>
            </w:r>
          </w:p>
        </w:tc>
        <w:tc>
          <w:tcPr>
            <w:tcW w:w="3743" w:type="dxa"/>
          </w:tcPr>
          <w:p w14:paraId="3CEDAAAF" w14:textId="77777777" w:rsidR="008E67EA" w:rsidRPr="00237D13" w:rsidRDefault="008E67EA" w:rsidP="00B44A74">
            <w:pPr>
              <w:spacing w:line="280" w:lineRule="exact"/>
              <w:rPr>
                <w:rFonts w:cs="Arial"/>
                <w:b/>
                <w:bCs/>
                <w:sz w:val="20"/>
                <w:szCs w:val="20"/>
              </w:rPr>
            </w:pPr>
            <w:r w:rsidRPr="00237D13">
              <w:rPr>
                <w:rFonts w:cs="Arial"/>
                <w:b/>
                <w:bCs/>
                <w:sz w:val="20"/>
                <w:szCs w:val="20"/>
              </w:rPr>
              <w:t>HOW TO APPLY</w:t>
            </w:r>
          </w:p>
        </w:tc>
      </w:tr>
      <w:tr w:rsidR="008E67EA" w:rsidRPr="00307745" w14:paraId="150FC664" w14:textId="77777777" w:rsidTr="009C4F64">
        <w:trPr>
          <w:trHeight w:val="257"/>
        </w:trPr>
        <w:tc>
          <w:tcPr>
            <w:tcW w:w="1129" w:type="dxa"/>
          </w:tcPr>
          <w:p w14:paraId="66688A42" w14:textId="77777777" w:rsidR="008E67EA" w:rsidRPr="00307745" w:rsidRDefault="008E67EA" w:rsidP="00B44A74">
            <w:pPr>
              <w:spacing w:line="280" w:lineRule="exact"/>
              <w:rPr>
                <w:rFonts w:cs="Arial"/>
                <w:sz w:val="20"/>
                <w:szCs w:val="20"/>
              </w:rPr>
            </w:pPr>
            <w:r w:rsidRPr="00307745">
              <w:rPr>
                <w:rFonts w:cs="Arial"/>
                <w:sz w:val="20"/>
                <w:szCs w:val="20"/>
              </w:rPr>
              <w:t>Mice</w:t>
            </w:r>
          </w:p>
        </w:tc>
        <w:tc>
          <w:tcPr>
            <w:tcW w:w="2824" w:type="dxa"/>
          </w:tcPr>
          <w:p w14:paraId="538CF2EC" w14:textId="77777777" w:rsidR="008E67EA" w:rsidRPr="00307745" w:rsidRDefault="008E67EA" w:rsidP="00B44A74">
            <w:pPr>
              <w:spacing w:line="280" w:lineRule="exact"/>
              <w:rPr>
                <w:rFonts w:cs="Arial"/>
                <w:sz w:val="20"/>
                <w:szCs w:val="20"/>
              </w:rPr>
            </w:pPr>
            <w:r w:rsidRPr="00307745">
              <w:rPr>
                <w:rFonts w:cs="Arial"/>
                <w:sz w:val="20"/>
                <w:szCs w:val="20"/>
              </w:rPr>
              <w:t>In domestic buildings and commercial premises</w:t>
            </w:r>
          </w:p>
        </w:tc>
        <w:tc>
          <w:tcPr>
            <w:tcW w:w="1320" w:type="dxa"/>
          </w:tcPr>
          <w:p w14:paraId="6150259E" w14:textId="77777777" w:rsidR="008E67EA" w:rsidRPr="00307745" w:rsidRDefault="008E67EA" w:rsidP="00B44A74">
            <w:pPr>
              <w:spacing w:line="280" w:lineRule="exact"/>
              <w:rPr>
                <w:rFonts w:cs="Arial"/>
                <w:sz w:val="20"/>
                <w:szCs w:val="20"/>
              </w:rPr>
            </w:pPr>
            <w:r w:rsidRPr="00307745">
              <w:rPr>
                <w:rFonts w:cs="Arial"/>
                <w:sz w:val="20"/>
                <w:szCs w:val="20"/>
              </w:rPr>
              <w:t>1 bait per bait station</w:t>
            </w:r>
          </w:p>
        </w:tc>
        <w:tc>
          <w:tcPr>
            <w:tcW w:w="3743" w:type="dxa"/>
          </w:tcPr>
          <w:p w14:paraId="5AC00F17" w14:textId="77777777" w:rsidR="008E67EA" w:rsidRPr="00307745" w:rsidRDefault="008E67EA" w:rsidP="00B44A74">
            <w:pPr>
              <w:spacing w:line="280" w:lineRule="exact"/>
              <w:rPr>
                <w:rFonts w:cs="Arial"/>
                <w:sz w:val="20"/>
                <w:szCs w:val="20"/>
              </w:rPr>
            </w:pPr>
            <w:r w:rsidRPr="00307745">
              <w:rPr>
                <w:rFonts w:cs="Arial"/>
                <w:sz w:val="20"/>
                <w:szCs w:val="20"/>
              </w:rPr>
              <w:t xml:space="preserve">Place </w:t>
            </w:r>
            <w:r>
              <w:rPr>
                <w:rFonts w:cs="Arial"/>
                <w:sz w:val="20"/>
                <w:szCs w:val="20"/>
              </w:rPr>
              <w:t xml:space="preserve">bait stations </w:t>
            </w:r>
            <w:r w:rsidRPr="00307745">
              <w:rPr>
                <w:rFonts w:cs="Arial"/>
                <w:sz w:val="20"/>
                <w:szCs w:val="20"/>
              </w:rPr>
              <w:t>at 2 to 3 m intervals throughout the infested area in places frequented by mice in buildings.</w:t>
            </w:r>
          </w:p>
        </w:tc>
      </w:tr>
      <w:tr w:rsidR="008E67EA" w:rsidRPr="00307745" w14:paraId="39ADC550" w14:textId="77777777" w:rsidTr="009C4F64">
        <w:trPr>
          <w:trHeight w:val="257"/>
        </w:trPr>
        <w:tc>
          <w:tcPr>
            <w:tcW w:w="1129" w:type="dxa"/>
          </w:tcPr>
          <w:p w14:paraId="193AA66C" w14:textId="77777777" w:rsidR="008E67EA" w:rsidRPr="00307745" w:rsidRDefault="008E67EA" w:rsidP="00B44A74">
            <w:pPr>
              <w:spacing w:line="280" w:lineRule="exact"/>
              <w:rPr>
                <w:rFonts w:cs="Arial"/>
                <w:sz w:val="20"/>
                <w:szCs w:val="20"/>
              </w:rPr>
            </w:pPr>
            <w:r w:rsidRPr="00307745">
              <w:rPr>
                <w:rFonts w:cs="Arial"/>
                <w:sz w:val="20"/>
                <w:szCs w:val="20"/>
              </w:rPr>
              <w:t>Rats</w:t>
            </w:r>
          </w:p>
        </w:tc>
        <w:tc>
          <w:tcPr>
            <w:tcW w:w="2824" w:type="dxa"/>
          </w:tcPr>
          <w:p w14:paraId="7A0F4AA2" w14:textId="77777777" w:rsidR="008E67EA" w:rsidRPr="00307745" w:rsidRDefault="008E67EA" w:rsidP="00B44A74">
            <w:pPr>
              <w:spacing w:line="280" w:lineRule="exact"/>
              <w:rPr>
                <w:rFonts w:cs="Arial"/>
                <w:sz w:val="20"/>
                <w:szCs w:val="20"/>
              </w:rPr>
            </w:pPr>
            <w:r w:rsidRPr="00307745">
              <w:rPr>
                <w:rFonts w:cs="Arial"/>
                <w:sz w:val="20"/>
                <w:szCs w:val="20"/>
              </w:rPr>
              <w:t>In and around (within 2 metres) domestic buildings and commercial premises</w:t>
            </w:r>
          </w:p>
        </w:tc>
        <w:tc>
          <w:tcPr>
            <w:tcW w:w="1320" w:type="dxa"/>
          </w:tcPr>
          <w:p w14:paraId="37AF1B0B" w14:textId="77777777" w:rsidR="008E67EA" w:rsidRPr="00307745" w:rsidRDefault="008E67EA" w:rsidP="00B44A74">
            <w:pPr>
              <w:spacing w:line="280" w:lineRule="exact"/>
              <w:rPr>
                <w:rFonts w:cs="Arial"/>
                <w:sz w:val="20"/>
                <w:szCs w:val="20"/>
              </w:rPr>
            </w:pPr>
            <w:r w:rsidRPr="00307745">
              <w:rPr>
                <w:rFonts w:cs="Arial"/>
                <w:sz w:val="20"/>
                <w:szCs w:val="20"/>
              </w:rPr>
              <w:t>1 to 3 baits per bait station</w:t>
            </w:r>
          </w:p>
        </w:tc>
        <w:tc>
          <w:tcPr>
            <w:tcW w:w="3743" w:type="dxa"/>
          </w:tcPr>
          <w:p w14:paraId="53AD47F1" w14:textId="77777777" w:rsidR="008E67EA" w:rsidRPr="00307745" w:rsidRDefault="008E67EA" w:rsidP="00B44A74">
            <w:pPr>
              <w:spacing w:line="280" w:lineRule="exact"/>
              <w:rPr>
                <w:rFonts w:cs="Arial"/>
                <w:sz w:val="20"/>
                <w:szCs w:val="20"/>
              </w:rPr>
            </w:pPr>
            <w:r w:rsidRPr="00307745">
              <w:rPr>
                <w:rFonts w:cs="Arial"/>
                <w:sz w:val="20"/>
                <w:szCs w:val="20"/>
              </w:rPr>
              <w:t xml:space="preserve">Place 1 to 3 bait </w:t>
            </w:r>
            <w:r>
              <w:rPr>
                <w:rFonts w:cs="Arial"/>
                <w:sz w:val="20"/>
                <w:szCs w:val="20"/>
              </w:rPr>
              <w:t>stations</w:t>
            </w:r>
            <w:r w:rsidRPr="00307745">
              <w:rPr>
                <w:rFonts w:cs="Arial"/>
                <w:sz w:val="20"/>
                <w:szCs w:val="20"/>
              </w:rPr>
              <w:t xml:space="preserve"> at intervals of 5 to 9 m in infested areas wherever droppings, damage or other signs of rodent activity are seen.</w:t>
            </w:r>
          </w:p>
        </w:tc>
      </w:tr>
      <w:tr w:rsidR="008E67EA" w:rsidRPr="00307745" w14:paraId="69D98A09" w14:textId="77777777" w:rsidTr="009C4F64">
        <w:trPr>
          <w:trHeight w:val="257"/>
        </w:trPr>
        <w:tc>
          <w:tcPr>
            <w:tcW w:w="9016" w:type="dxa"/>
            <w:gridSpan w:val="4"/>
          </w:tcPr>
          <w:p w14:paraId="5A7762F4" w14:textId="77777777" w:rsidR="008E67EA" w:rsidRPr="00D96955" w:rsidRDefault="008E67EA" w:rsidP="00B44A74">
            <w:pPr>
              <w:spacing w:after="120" w:line="280" w:lineRule="exact"/>
              <w:rPr>
                <w:rFonts w:eastAsia="Calibri" w:cs="Arial"/>
                <w:b/>
                <w:bCs/>
                <w:sz w:val="20"/>
                <w:szCs w:val="20"/>
                <w:bdr w:val="none" w:sz="0" w:space="0" w:color="auto" w:frame="1"/>
                <w:lang w:val="en-GB"/>
              </w:rPr>
            </w:pPr>
            <w:r w:rsidRPr="00D96955">
              <w:rPr>
                <w:rFonts w:eastAsia="Calibri" w:cs="Arial"/>
                <w:b/>
                <w:bCs/>
                <w:sz w:val="20"/>
                <w:szCs w:val="20"/>
                <w:bdr w:val="none" w:sz="0" w:space="0" w:color="auto" w:frame="1"/>
                <w:lang w:val="en-GB"/>
              </w:rPr>
              <w:t xml:space="preserve">BAITING STRATEGY FOR EFFECTIVE CONTROL </w:t>
            </w:r>
          </w:p>
          <w:p w14:paraId="311C2320" w14:textId="77777777" w:rsidR="008E67EA" w:rsidRPr="00D96955" w:rsidRDefault="008E67EA" w:rsidP="00B44A74">
            <w:pPr>
              <w:spacing w:after="120" w:line="280" w:lineRule="exact"/>
              <w:rPr>
                <w:rFonts w:eastAsia="Calibri" w:cs="Arial"/>
                <w:sz w:val="20"/>
                <w:szCs w:val="20"/>
                <w:bdr w:val="none" w:sz="0" w:space="0" w:color="auto" w:frame="1"/>
                <w:lang w:val="en-GB"/>
              </w:rPr>
            </w:pPr>
            <w:r w:rsidRPr="00D96955">
              <w:rPr>
                <w:rFonts w:eastAsia="Calibri" w:cs="Arial"/>
                <w:sz w:val="20"/>
                <w:szCs w:val="20"/>
                <w:bdr w:val="none" w:sz="0" w:space="0" w:color="auto" w:frame="1"/>
                <w:lang w:val="en-GB"/>
              </w:rPr>
              <w:t>Eliminate as far as practical, all alternative food sources.</w:t>
            </w:r>
          </w:p>
          <w:p w14:paraId="1F7C5F77" w14:textId="71F96D30" w:rsidR="008E67EA" w:rsidRPr="001E6DA9" w:rsidRDefault="008E67EA" w:rsidP="00B44A74">
            <w:pPr>
              <w:spacing w:after="120" w:line="280" w:lineRule="exact"/>
              <w:rPr>
                <w:rFonts w:eastAsia="Calibri" w:cs="Arial"/>
                <w:sz w:val="20"/>
                <w:szCs w:val="20"/>
                <w:bdr w:val="none" w:sz="0" w:space="0" w:color="auto" w:frame="1"/>
                <w:lang w:val="en-GB"/>
              </w:rPr>
            </w:pPr>
            <w:r w:rsidRPr="001E6DA9">
              <w:rPr>
                <w:rFonts w:eastAsia="Calibri" w:cs="Arial"/>
                <w:sz w:val="20"/>
                <w:szCs w:val="20"/>
                <w:bdr w:val="none" w:sz="0" w:space="0" w:color="auto" w:frame="1"/>
                <w:lang w:val="en-GB"/>
              </w:rPr>
              <w:t xml:space="preserve">Always place bait where it is inaccessible to children, animals and birds. Use in tamper resistant bait stations only. If bait can be dislodged from bait station, fix tamper-resistant bait stations to the ground or other structures. </w:t>
            </w:r>
            <w:r w:rsidRPr="00D96955">
              <w:rPr>
                <w:rFonts w:eastAsia="Calibri" w:cs="Arial"/>
                <w:sz w:val="20"/>
                <w:szCs w:val="20"/>
                <w:bdr w:val="none" w:sz="0" w:space="0" w:color="auto" w:frame="1"/>
              </w:rPr>
              <w:t>When using outdoors, it is best practice to use weather resistant bait stations.</w:t>
            </w:r>
            <w:r>
              <w:rPr>
                <w:rFonts w:eastAsia="Calibri" w:cs="Arial"/>
                <w:sz w:val="20"/>
                <w:szCs w:val="20"/>
                <w:bdr w:val="none" w:sz="0" w:space="0" w:color="auto" w:frame="1"/>
                <w:lang w:val="en-GB"/>
              </w:rPr>
              <w:t xml:space="preserve"> DO NOT touch bait.</w:t>
            </w:r>
          </w:p>
          <w:p w14:paraId="01670DBC" w14:textId="08DEBD9B" w:rsidR="008E67EA" w:rsidRPr="00D96955" w:rsidRDefault="008E67EA" w:rsidP="00B44A74">
            <w:pPr>
              <w:spacing w:after="120" w:line="280" w:lineRule="exact"/>
              <w:rPr>
                <w:rFonts w:eastAsia="Calibri" w:cs="Arial"/>
                <w:sz w:val="20"/>
                <w:szCs w:val="20"/>
                <w:bdr w:val="none" w:sz="0" w:space="0" w:color="auto" w:frame="1"/>
                <w:lang w:val="en-GB"/>
              </w:rPr>
            </w:pPr>
            <w:r w:rsidRPr="00D96955">
              <w:rPr>
                <w:rFonts w:eastAsia="Calibri" w:cs="Arial"/>
                <w:sz w:val="20"/>
                <w:szCs w:val="20"/>
                <w:bdr w:val="none" w:sz="0" w:space="0" w:color="auto" w:frame="1"/>
                <w:lang w:val="en-GB"/>
              </w:rPr>
              <w:t>Inspect baits frequently, particularly in the first ten days. Replace eaten bait. If bait is completely consumed, the quantity should be increased. Continue replenishing bait until left untouched. Baiting for at least 2 weeks will be necessary to reduce rat/mouse numbers. Most deaths occur 4 to 7 days after consumption of bait, but deaths may occur for up to 2 weeks.</w:t>
            </w:r>
          </w:p>
          <w:p w14:paraId="69868CEF" w14:textId="77777777" w:rsidR="008E67EA" w:rsidRPr="00D96955" w:rsidRDefault="008E67EA" w:rsidP="00B44A74">
            <w:pPr>
              <w:spacing w:after="120" w:line="280" w:lineRule="exact"/>
              <w:rPr>
                <w:rFonts w:eastAsia="Calibri" w:cs="Arial"/>
                <w:sz w:val="20"/>
                <w:szCs w:val="20"/>
                <w:bdr w:val="none" w:sz="0" w:space="0" w:color="auto" w:frame="1"/>
                <w:lang w:val="en-GB"/>
              </w:rPr>
            </w:pPr>
            <w:r w:rsidRPr="00D96955">
              <w:rPr>
                <w:rFonts w:eastAsia="Calibri" w:cs="Arial"/>
                <w:sz w:val="20"/>
                <w:szCs w:val="20"/>
                <w:bdr w:val="none" w:sz="0" w:space="0" w:color="auto" w:frame="1"/>
                <w:lang w:val="en-GB"/>
              </w:rPr>
              <w:t>Following treatment remove all remains of bait and bait containers. DO NOT use the product beyond 35 days. If rodent activity is still observed after 35 days, seek advice from the product supplier or call a pest control service.</w:t>
            </w:r>
          </w:p>
        </w:tc>
      </w:tr>
    </w:tbl>
    <w:bookmarkEnd w:id="350"/>
    <w:p w14:paraId="4B3F0F51" w14:textId="38DFA289" w:rsidR="008E67EA" w:rsidRDefault="008E67EA" w:rsidP="008E67EA">
      <w:pPr>
        <w:rPr>
          <w:rFonts w:ascii="Franklin Gothic Medium" w:eastAsia="Arial Unicode MS" w:hAnsi="Franklin Gothic Medium"/>
          <w:bCs/>
          <w:iCs/>
          <w:bdr w:val="none" w:sz="0" w:space="0" w:color="auto" w:frame="1"/>
          <w:lang w:val="en-GB" w:eastAsia="en-AU"/>
        </w:rPr>
      </w:pPr>
      <w:r w:rsidRPr="00FF36BF">
        <w:rPr>
          <w:rFonts w:cs="Arial"/>
          <w:b/>
          <w:bCs/>
          <w:sz w:val="20"/>
          <w:szCs w:val="20"/>
        </w:rPr>
        <w:t>NOT TO BE USED FOR ANY PURPOSE, OR IN ANY MANNER, CONTRARY TO THIS LABEL UNLESS AUTHORISED.</w:t>
      </w:r>
      <w:r>
        <w:rPr>
          <w:rFonts w:ascii="Franklin Gothic Medium" w:eastAsia="Arial Unicode MS" w:hAnsi="Franklin Gothic Medium"/>
          <w:bCs/>
          <w:iCs/>
          <w:bdr w:val="none" w:sz="0" w:space="0" w:color="auto" w:frame="1"/>
          <w:lang w:val="en-GB" w:eastAsia="en-AU"/>
        </w:rPr>
        <w:br w:type="page"/>
      </w:r>
    </w:p>
    <w:p w14:paraId="4D3B701D" w14:textId="77777777" w:rsidR="008E67EA" w:rsidRDefault="008E67EA" w:rsidP="008E67EA">
      <w:pPr>
        <w:keepNext/>
        <w:keepLines/>
        <w:spacing w:before="400" w:after="240" w:line="280" w:lineRule="exact"/>
        <w:outlineLvl w:val="1"/>
        <w:rPr>
          <w:rFonts w:ascii="Franklin Gothic Medium" w:eastAsia="Arial Unicode MS" w:hAnsi="Franklin Gothic Medium"/>
          <w:bCs/>
          <w:iCs/>
          <w:bdr w:val="none" w:sz="0" w:space="0" w:color="auto" w:frame="1"/>
          <w:lang w:val="en-GB" w:eastAsia="en-AU"/>
        </w:rPr>
      </w:pPr>
      <w:r>
        <w:rPr>
          <w:rFonts w:ascii="Franklin Gothic Medium" w:eastAsia="Arial Unicode MS" w:hAnsi="Franklin Gothic Medium"/>
          <w:bCs/>
          <w:iCs/>
          <w:bdr w:val="none" w:sz="0" w:space="0" w:color="auto" w:frame="1"/>
          <w:lang w:val="en-GB" w:eastAsia="en-AU"/>
        </w:rPr>
        <w:lastRenderedPageBreak/>
        <w:t>Domestic pest-control product:</w:t>
      </w:r>
      <w:r w:rsidRPr="00FF36BF">
        <w:rPr>
          <w:rFonts w:ascii="Franklin Gothic Medium" w:eastAsia="Arial Unicode MS" w:hAnsi="Franklin Gothic Medium"/>
          <w:bCs/>
          <w:iCs/>
          <w:bdr w:val="none" w:sz="0" w:space="0" w:color="auto" w:frame="1"/>
          <w:lang w:val="en-GB" w:eastAsia="en-AU"/>
        </w:rPr>
        <w:t xml:space="preserve"> </w:t>
      </w:r>
      <w:r w:rsidRPr="00DA343B">
        <w:rPr>
          <w:rFonts w:ascii="Franklin Gothic Medium" w:eastAsia="Arial Unicode MS" w:hAnsi="Franklin Gothic Medium"/>
          <w:bCs/>
          <w:iCs/>
          <w:bdr w:val="none" w:sz="0" w:space="0" w:color="auto" w:frame="1"/>
          <w:lang w:val="en-GB" w:eastAsia="en-AU"/>
        </w:rPr>
        <w:t>RB 0.05 g/kg or less in sachet or place pack</w:t>
      </w:r>
    </w:p>
    <w:p w14:paraId="7C48F2A1" w14:textId="77777777" w:rsidR="008E67EA"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t xml:space="preserve">Template Label </w:t>
      </w:r>
      <w:r>
        <w:rPr>
          <w:rFonts w:cs="Arial"/>
          <w:b/>
          <w:bCs/>
          <w:sz w:val="20"/>
          <w:szCs w:val="20"/>
          <w:bdr w:val="none" w:sz="0" w:space="0" w:color="auto" w:frame="1"/>
          <w:lang w:val="en-GB" w:eastAsia="en-AU"/>
        </w:rPr>
        <w:t>15</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3358F0" w14:paraId="15478359"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591127C" w14:textId="77777777" w:rsidR="008E67EA" w:rsidRPr="003358F0" w:rsidRDefault="008E67EA" w:rsidP="00B44A74">
            <w:pPr>
              <w:spacing w:line="280" w:lineRule="exact"/>
              <w:rPr>
                <w:rFonts w:cs="Arial"/>
                <w:sz w:val="20"/>
                <w:szCs w:val="20"/>
              </w:rPr>
            </w:pPr>
            <w:r w:rsidRPr="003358F0">
              <w:rPr>
                <w:rFonts w:cs="Arial"/>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797EEC98" w14:textId="77777777" w:rsidR="008E67EA" w:rsidRPr="003358F0" w:rsidRDefault="008E67EA" w:rsidP="00B44A74">
            <w:pPr>
              <w:spacing w:line="280" w:lineRule="exact"/>
              <w:rPr>
                <w:rFonts w:cs="Arial"/>
                <w:sz w:val="20"/>
                <w:szCs w:val="20"/>
              </w:rPr>
            </w:pPr>
            <w:r w:rsidRPr="003358F0">
              <w:rPr>
                <w:rFonts w:cs="Arial"/>
                <w:sz w:val="20"/>
                <w:szCs w:val="20"/>
              </w:rPr>
              <w:t>[INSERT LABEL NAME]</w:t>
            </w:r>
          </w:p>
        </w:tc>
      </w:tr>
      <w:tr w:rsidR="008E67EA" w:rsidRPr="003358F0" w14:paraId="5A83B070" w14:textId="77777777" w:rsidTr="00B44A74">
        <w:trPr>
          <w:jc w:val="center"/>
        </w:trPr>
        <w:tc>
          <w:tcPr>
            <w:tcW w:w="2415" w:type="dxa"/>
            <w:tcBorders>
              <w:top w:val="single" w:sz="4" w:space="0" w:color="auto"/>
              <w:left w:val="nil"/>
              <w:bottom w:val="single" w:sz="4" w:space="0" w:color="auto"/>
              <w:right w:val="nil"/>
            </w:tcBorders>
          </w:tcPr>
          <w:p w14:paraId="7386B82F" w14:textId="77777777" w:rsidR="008E67EA" w:rsidRPr="003358F0"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254CE86" w14:textId="77777777" w:rsidR="008E67EA" w:rsidRPr="003358F0" w:rsidRDefault="008E67EA" w:rsidP="00B44A74">
            <w:pPr>
              <w:spacing w:line="280" w:lineRule="exact"/>
              <w:rPr>
                <w:rFonts w:cs="Arial"/>
                <w:sz w:val="20"/>
                <w:szCs w:val="20"/>
              </w:rPr>
            </w:pPr>
          </w:p>
        </w:tc>
      </w:tr>
      <w:tr w:rsidR="008E67EA" w:rsidRPr="003358F0" w14:paraId="7A02853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91496A7" w14:textId="77777777" w:rsidR="008E67EA" w:rsidRPr="003358F0" w:rsidRDefault="008E67EA" w:rsidP="00B44A74">
            <w:pPr>
              <w:spacing w:line="280" w:lineRule="exact"/>
              <w:rPr>
                <w:rFonts w:cs="Arial"/>
                <w:sz w:val="20"/>
                <w:szCs w:val="20"/>
              </w:rPr>
            </w:pPr>
            <w:r w:rsidRPr="003358F0">
              <w:rPr>
                <w:rFonts w:cs="Arial"/>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75E42F99" w14:textId="77777777" w:rsidR="008E67EA" w:rsidRPr="00F41997" w:rsidRDefault="008E67EA" w:rsidP="00B44A74">
            <w:pPr>
              <w:spacing w:line="280" w:lineRule="exact"/>
              <w:rPr>
                <w:rFonts w:cs="Arial"/>
                <w:sz w:val="20"/>
                <w:szCs w:val="20"/>
              </w:rPr>
            </w:pPr>
            <w:r w:rsidRPr="00F41997">
              <w:rPr>
                <w:rFonts w:cs="Arial"/>
                <w:sz w:val="20"/>
                <w:szCs w:val="20"/>
              </w:rPr>
              <w:t>POISON</w:t>
            </w:r>
          </w:p>
          <w:p w14:paraId="4E0303DB" w14:textId="77777777" w:rsidR="008E67EA" w:rsidRPr="003358F0" w:rsidRDefault="008E67EA" w:rsidP="00B44A74">
            <w:pPr>
              <w:spacing w:line="280" w:lineRule="exact"/>
              <w:rPr>
                <w:rFonts w:cs="Arial"/>
                <w:sz w:val="20"/>
                <w:szCs w:val="20"/>
              </w:rPr>
            </w:pPr>
            <w:r w:rsidRPr="003358F0">
              <w:rPr>
                <w:rFonts w:cs="Arial"/>
                <w:sz w:val="20"/>
                <w:szCs w:val="20"/>
              </w:rPr>
              <w:t>KEEP OUT OF REACH OF CHILDREN</w:t>
            </w:r>
          </w:p>
          <w:p w14:paraId="64B7CB63" w14:textId="77777777" w:rsidR="008E67EA" w:rsidRPr="003358F0" w:rsidRDefault="008E67EA" w:rsidP="00B44A74">
            <w:pPr>
              <w:spacing w:line="280" w:lineRule="exact"/>
              <w:rPr>
                <w:rFonts w:cs="Arial"/>
                <w:sz w:val="20"/>
                <w:szCs w:val="20"/>
              </w:rPr>
            </w:pPr>
            <w:r w:rsidRPr="003358F0">
              <w:rPr>
                <w:rFonts w:cs="Arial"/>
                <w:sz w:val="20"/>
                <w:szCs w:val="20"/>
              </w:rPr>
              <w:t>READ SAFETY DIRECTIONS</w:t>
            </w:r>
          </w:p>
        </w:tc>
      </w:tr>
      <w:tr w:rsidR="008E67EA" w:rsidRPr="003358F0" w14:paraId="74B8E21E" w14:textId="77777777" w:rsidTr="00B44A74">
        <w:trPr>
          <w:jc w:val="center"/>
        </w:trPr>
        <w:tc>
          <w:tcPr>
            <w:tcW w:w="2415" w:type="dxa"/>
            <w:tcBorders>
              <w:top w:val="single" w:sz="4" w:space="0" w:color="auto"/>
              <w:left w:val="nil"/>
              <w:bottom w:val="single" w:sz="4" w:space="0" w:color="auto"/>
              <w:right w:val="nil"/>
            </w:tcBorders>
          </w:tcPr>
          <w:p w14:paraId="4DBD1FD7" w14:textId="77777777" w:rsidR="008E67EA" w:rsidRPr="003358F0"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B7B4FFF" w14:textId="77777777" w:rsidR="008E67EA" w:rsidRPr="003358F0" w:rsidRDefault="008E67EA" w:rsidP="00B44A74">
            <w:pPr>
              <w:spacing w:line="280" w:lineRule="exact"/>
              <w:rPr>
                <w:rFonts w:cs="Arial"/>
                <w:sz w:val="20"/>
                <w:szCs w:val="20"/>
              </w:rPr>
            </w:pPr>
          </w:p>
        </w:tc>
      </w:tr>
      <w:tr w:rsidR="008E67EA" w:rsidRPr="003358F0" w14:paraId="0FD623C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3C79C18" w14:textId="77777777" w:rsidR="008E67EA" w:rsidRPr="003358F0" w:rsidRDefault="008E67EA" w:rsidP="00B44A74">
            <w:pPr>
              <w:spacing w:line="280" w:lineRule="exact"/>
              <w:rPr>
                <w:rFonts w:cs="Arial"/>
                <w:sz w:val="20"/>
                <w:szCs w:val="20"/>
              </w:rPr>
            </w:pPr>
            <w:r w:rsidRPr="003358F0">
              <w:rPr>
                <w:rFonts w:cs="Arial"/>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4BBC4705" w14:textId="766B3769" w:rsidR="008E67EA" w:rsidRDefault="008E67EA" w:rsidP="00B44A74">
            <w:pPr>
              <w:spacing w:line="280" w:lineRule="exact"/>
              <w:rPr>
                <w:rFonts w:cs="Arial"/>
                <w:sz w:val="20"/>
                <w:szCs w:val="20"/>
              </w:rPr>
            </w:pPr>
            <w:r w:rsidRPr="003358F0">
              <w:rPr>
                <w:rFonts w:cs="Arial"/>
                <w:sz w:val="20"/>
                <w:szCs w:val="20"/>
              </w:rPr>
              <w:t>ACTIVE CONSTITUENT</w:t>
            </w:r>
            <w:r>
              <w:rPr>
                <w:rFonts w:cs="Arial"/>
                <w:sz w:val="20"/>
                <w:szCs w:val="20"/>
              </w:rPr>
              <w:t>S</w:t>
            </w:r>
            <w:r w:rsidRPr="003358F0">
              <w:rPr>
                <w:rFonts w:cs="Arial"/>
                <w:sz w:val="20"/>
                <w:szCs w:val="20"/>
              </w:rPr>
              <w:t>:</w:t>
            </w:r>
          </w:p>
          <w:p w14:paraId="10FD5FDD" w14:textId="0A39A897" w:rsidR="008E67EA" w:rsidRDefault="008E67EA" w:rsidP="00B44A74">
            <w:pPr>
              <w:spacing w:line="280" w:lineRule="exact"/>
              <w:rPr>
                <w:rFonts w:cs="Arial"/>
                <w:sz w:val="20"/>
                <w:szCs w:val="20"/>
              </w:rPr>
            </w:pPr>
            <w:r w:rsidRPr="003358F0">
              <w:rPr>
                <w:rFonts w:cs="Arial"/>
                <w:sz w:val="20"/>
                <w:szCs w:val="20"/>
              </w:rPr>
              <w:t>0.025 g/kg BROMADIOLONE</w:t>
            </w:r>
          </w:p>
          <w:p w14:paraId="63535AFA" w14:textId="77777777" w:rsidR="008E67EA" w:rsidRPr="003358F0" w:rsidRDefault="008E67EA" w:rsidP="00B44A74">
            <w:pPr>
              <w:spacing w:line="280" w:lineRule="exact"/>
              <w:rPr>
                <w:rFonts w:cs="Arial"/>
                <w:sz w:val="20"/>
                <w:szCs w:val="20"/>
              </w:rPr>
            </w:pPr>
            <w:r w:rsidRPr="003358F0">
              <w:rPr>
                <w:rFonts w:cs="Arial"/>
                <w:sz w:val="20"/>
                <w:szCs w:val="20"/>
              </w:rPr>
              <w:t>0.025 g/kg DIFENACOUM</w:t>
            </w:r>
          </w:p>
        </w:tc>
      </w:tr>
      <w:tr w:rsidR="008E67EA" w:rsidRPr="003358F0" w14:paraId="267CCA87" w14:textId="77777777" w:rsidTr="00B44A74">
        <w:trPr>
          <w:jc w:val="center"/>
        </w:trPr>
        <w:tc>
          <w:tcPr>
            <w:tcW w:w="2415" w:type="dxa"/>
            <w:tcBorders>
              <w:top w:val="single" w:sz="4" w:space="0" w:color="auto"/>
              <w:left w:val="nil"/>
              <w:bottom w:val="single" w:sz="4" w:space="0" w:color="auto"/>
              <w:right w:val="nil"/>
            </w:tcBorders>
          </w:tcPr>
          <w:p w14:paraId="252765E8" w14:textId="77777777" w:rsidR="008E67EA" w:rsidRPr="003358F0"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37D3C3C" w14:textId="77777777" w:rsidR="008E67EA" w:rsidRPr="003358F0" w:rsidRDefault="008E67EA" w:rsidP="00B44A74">
            <w:pPr>
              <w:spacing w:line="280" w:lineRule="exact"/>
              <w:rPr>
                <w:rFonts w:cs="Arial"/>
                <w:sz w:val="20"/>
                <w:szCs w:val="20"/>
              </w:rPr>
            </w:pPr>
          </w:p>
        </w:tc>
      </w:tr>
      <w:tr w:rsidR="008E67EA" w:rsidRPr="003358F0" w14:paraId="061032C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C7252EB" w14:textId="77777777" w:rsidR="008E67EA" w:rsidRPr="003358F0" w:rsidRDefault="008E67EA" w:rsidP="00B44A74">
            <w:pPr>
              <w:spacing w:line="280" w:lineRule="exact"/>
              <w:rPr>
                <w:rFonts w:cs="Arial"/>
                <w:sz w:val="20"/>
                <w:szCs w:val="20"/>
              </w:rPr>
            </w:pPr>
            <w:r w:rsidRPr="003358F0">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68E3CBD9" w14:textId="77777777" w:rsidR="008E67EA" w:rsidRPr="003358F0" w:rsidRDefault="008E67EA" w:rsidP="00B44A74">
            <w:pPr>
              <w:spacing w:line="280" w:lineRule="exact"/>
              <w:rPr>
                <w:rFonts w:cs="Arial"/>
                <w:sz w:val="20"/>
                <w:szCs w:val="20"/>
              </w:rPr>
            </w:pPr>
            <w:r>
              <w:rPr>
                <w:rFonts w:cs="Arial"/>
                <w:sz w:val="20"/>
                <w:szCs w:val="20"/>
              </w:rPr>
              <w:t>For c</w:t>
            </w:r>
            <w:r w:rsidRPr="00E03763">
              <w:rPr>
                <w:rFonts w:cs="Arial"/>
                <w:sz w:val="20"/>
                <w:szCs w:val="20"/>
              </w:rPr>
              <w:t>ontrol</w:t>
            </w:r>
            <w:r>
              <w:rPr>
                <w:rFonts w:cs="Arial"/>
                <w:sz w:val="20"/>
                <w:szCs w:val="20"/>
              </w:rPr>
              <w:t xml:space="preserve"> of</w:t>
            </w:r>
            <w:r w:rsidRPr="00E03763">
              <w:rPr>
                <w:rFonts w:cs="Arial"/>
                <w:sz w:val="20"/>
                <w:szCs w:val="20"/>
              </w:rPr>
              <w:t xml:space="preserve"> mice </w:t>
            </w:r>
            <w:r>
              <w:rPr>
                <w:rFonts w:cs="Arial"/>
                <w:sz w:val="20"/>
                <w:szCs w:val="20"/>
              </w:rPr>
              <w:t xml:space="preserve">in </w:t>
            </w:r>
            <w:r w:rsidRPr="00F41997">
              <w:rPr>
                <w:rFonts w:cs="Arial"/>
                <w:sz w:val="20"/>
                <w:szCs w:val="20"/>
              </w:rPr>
              <w:t>domestic buildings and commercial premises</w:t>
            </w:r>
            <w:r w:rsidRPr="00E03763">
              <w:rPr>
                <w:rFonts w:cs="Arial"/>
                <w:sz w:val="20"/>
                <w:szCs w:val="20"/>
              </w:rPr>
              <w:t xml:space="preserve"> and rats in and around </w:t>
            </w:r>
            <w:r w:rsidRPr="00F41997">
              <w:rPr>
                <w:rFonts w:cs="Arial"/>
                <w:sz w:val="20"/>
                <w:szCs w:val="20"/>
              </w:rPr>
              <w:t>domestic buildings and commercial premises</w:t>
            </w:r>
            <w:r>
              <w:rPr>
                <w:rFonts w:cs="Arial"/>
                <w:sz w:val="20"/>
                <w:szCs w:val="20"/>
              </w:rPr>
              <w:t>.</w:t>
            </w:r>
          </w:p>
        </w:tc>
      </w:tr>
      <w:tr w:rsidR="008E67EA" w:rsidRPr="003358F0" w14:paraId="32808924" w14:textId="77777777" w:rsidTr="00B44A74">
        <w:trPr>
          <w:jc w:val="center"/>
        </w:trPr>
        <w:tc>
          <w:tcPr>
            <w:tcW w:w="2415" w:type="dxa"/>
            <w:tcBorders>
              <w:top w:val="single" w:sz="4" w:space="0" w:color="auto"/>
              <w:left w:val="nil"/>
              <w:bottom w:val="single" w:sz="4" w:space="0" w:color="auto"/>
              <w:right w:val="nil"/>
            </w:tcBorders>
          </w:tcPr>
          <w:p w14:paraId="3679BCB0" w14:textId="77777777" w:rsidR="008E67EA" w:rsidRPr="003358F0"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7487A16" w14:textId="77777777" w:rsidR="008E67EA" w:rsidRPr="003358F0" w:rsidRDefault="008E67EA" w:rsidP="00B44A74">
            <w:pPr>
              <w:spacing w:line="280" w:lineRule="exact"/>
              <w:rPr>
                <w:rFonts w:cs="Arial"/>
                <w:sz w:val="20"/>
                <w:szCs w:val="20"/>
              </w:rPr>
            </w:pPr>
          </w:p>
        </w:tc>
      </w:tr>
      <w:tr w:rsidR="008E67EA" w:rsidRPr="003358F0" w14:paraId="47462D6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819FA54" w14:textId="77777777" w:rsidR="008E67EA" w:rsidRPr="003358F0" w:rsidRDefault="008E67EA" w:rsidP="00B44A74">
            <w:pPr>
              <w:spacing w:line="280" w:lineRule="exact"/>
              <w:rPr>
                <w:rFonts w:cs="Arial"/>
                <w:sz w:val="20"/>
                <w:szCs w:val="20"/>
              </w:rPr>
            </w:pPr>
            <w:r w:rsidRPr="003358F0">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67A53098" w14:textId="77777777" w:rsidR="008E67EA" w:rsidRPr="003358F0" w:rsidRDefault="008E67EA" w:rsidP="00B44A74">
            <w:pPr>
              <w:spacing w:line="280" w:lineRule="exact"/>
              <w:rPr>
                <w:rFonts w:cs="Arial"/>
                <w:sz w:val="20"/>
                <w:szCs w:val="20"/>
              </w:rPr>
            </w:pPr>
            <w:r w:rsidRPr="00307745">
              <w:rPr>
                <w:rFonts w:cs="Arial"/>
                <w:sz w:val="20"/>
                <w:szCs w:val="20"/>
              </w:rPr>
              <w:t xml:space="preserve">[INSERT </w:t>
            </w:r>
            <w:r>
              <w:rPr>
                <w:rFonts w:cs="Arial"/>
                <w:sz w:val="20"/>
                <w:szCs w:val="20"/>
              </w:rPr>
              <w:t>NET CONTENTS – MAXIMUM 150 g]</w:t>
            </w:r>
          </w:p>
        </w:tc>
      </w:tr>
      <w:tr w:rsidR="008E67EA" w:rsidRPr="003358F0" w14:paraId="19EAB58B" w14:textId="77777777" w:rsidTr="00B44A74">
        <w:trPr>
          <w:jc w:val="center"/>
        </w:trPr>
        <w:tc>
          <w:tcPr>
            <w:tcW w:w="2415" w:type="dxa"/>
            <w:tcBorders>
              <w:top w:val="single" w:sz="4" w:space="0" w:color="auto"/>
              <w:left w:val="nil"/>
              <w:bottom w:val="single" w:sz="4" w:space="0" w:color="auto"/>
              <w:right w:val="nil"/>
            </w:tcBorders>
          </w:tcPr>
          <w:p w14:paraId="6A47CD3C" w14:textId="77777777" w:rsidR="008E67EA" w:rsidRPr="003358F0"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F995F52" w14:textId="77777777" w:rsidR="008E67EA" w:rsidRPr="003358F0" w:rsidRDefault="008E67EA" w:rsidP="00B44A74">
            <w:pPr>
              <w:spacing w:line="280" w:lineRule="exact"/>
              <w:rPr>
                <w:rFonts w:cs="Arial"/>
                <w:sz w:val="20"/>
                <w:szCs w:val="20"/>
              </w:rPr>
            </w:pPr>
          </w:p>
        </w:tc>
      </w:tr>
      <w:tr w:rsidR="008E67EA" w:rsidRPr="00F41997" w14:paraId="03283BE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C43466C" w14:textId="77777777" w:rsidR="008E67EA" w:rsidRPr="003358F0" w:rsidRDefault="008E67EA" w:rsidP="00B44A74">
            <w:pPr>
              <w:spacing w:line="280" w:lineRule="exact"/>
              <w:rPr>
                <w:rFonts w:cs="Arial"/>
                <w:sz w:val="20"/>
                <w:szCs w:val="20"/>
              </w:rPr>
            </w:pPr>
            <w:r w:rsidRPr="003358F0">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1BF18E87" w14:textId="61055CA1" w:rsidR="008E67EA" w:rsidRPr="00F41997" w:rsidRDefault="008E67EA" w:rsidP="00B44A74">
            <w:pPr>
              <w:spacing w:line="280" w:lineRule="exact"/>
              <w:rPr>
                <w:rFonts w:cs="Arial"/>
                <w:sz w:val="20"/>
                <w:szCs w:val="20"/>
              </w:rPr>
            </w:pPr>
            <w:r w:rsidRPr="00F41997">
              <w:rPr>
                <w:rFonts w:cs="Arial"/>
                <w:sz w:val="20"/>
                <w:szCs w:val="20"/>
              </w:rPr>
              <w:t>DO NOT place baits unless in tamper-resistant bait stations.</w:t>
            </w:r>
          </w:p>
          <w:p w14:paraId="1CF59D19" w14:textId="77777777" w:rsidR="008E67EA" w:rsidRPr="00F41997" w:rsidRDefault="008E67EA" w:rsidP="00B44A74">
            <w:pPr>
              <w:spacing w:line="280" w:lineRule="exact"/>
              <w:rPr>
                <w:rFonts w:cs="Arial"/>
                <w:sz w:val="20"/>
                <w:szCs w:val="20"/>
              </w:rPr>
            </w:pPr>
            <w:r w:rsidRPr="00F41997">
              <w:rPr>
                <w:rFonts w:cs="Arial"/>
                <w:sz w:val="20"/>
                <w:szCs w:val="20"/>
              </w:rPr>
              <w:t>DO NOT place bait stations outdoors around buildings for control of mice.</w:t>
            </w:r>
          </w:p>
          <w:p w14:paraId="15988993" w14:textId="77777777" w:rsidR="008E67EA" w:rsidRPr="00F41997" w:rsidRDefault="008E67EA" w:rsidP="00B44A74">
            <w:pPr>
              <w:spacing w:line="280" w:lineRule="exact"/>
              <w:rPr>
                <w:rFonts w:cs="Arial"/>
                <w:sz w:val="20"/>
                <w:szCs w:val="20"/>
              </w:rPr>
            </w:pPr>
            <w:r w:rsidRPr="00F41997">
              <w:rPr>
                <w:rFonts w:cs="Arial"/>
                <w:sz w:val="20"/>
                <w:szCs w:val="20"/>
              </w:rPr>
              <w:t>DO NOT place bait stations more than 2 meters from buildings.</w:t>
            </w:r>
          </w:p>
          <w:p w14:paraId="17E27671" w14:textId="77777777" w:rsidR="008E67EA" w:rsidRPr="00F41997" w:rsidRDefault="008E67EA" w:rsidP="00B44A74">
            <w:pPr>
              <w:spacing w:line="280" w:lineRule="exact"/>
              <w:rPr>
                <w:rFonts w:cs="Arial"/>
                <w:sz w:val="20"/>
                <w:szCs w:val="20"/>
              </w:rPr>
            </w:pPr>
            <w:r w:rsidRPr="00F41997">
              <w:rPr>
                <w:rFonts w:cs="Arial"/>
                <w:sz w:val="20"/>
                <w:szCs w:val="20"/>
              </w:rPr>
              <w:t>DO NOT bait in areas where wildlife may be collected for human consumption.</w:t>
            </w:r>
          </w:p>
          <w:p w14:paraId="65E67CB4" w14:textId="77777777" w:rsidR="008E67EA" w:rsidRPr="00F41997" w:rsidRDefault="008E67EA" w:rsidP="00B44A74">
            <w:pPr>
              <w:spacing w:line="280" w:lineRule="exact"/>
              <w:rPr>
                <w:rFonts w:cs="Arial"/>
                <w:sz w:val="20"/>
                <w:szCs w:val="20"/>
              </w:rPr>
            </w:pPr>
            <w:r w:rsidRPr="00F41997">
              <w:rPr>
                <w:rFonts w:cs="Arial"/>
                <w:sz w:val="20"/>
                <w:szCs w:val="20"/>
              </w:rPr>
              <w:t>DO NOT place baits in and around animal, livestock and poultry houses, associated equipment, and food and feed processing areas.</w:t>
            </w:r>
          </w:p>
          <w:p w14:paraId="564AF34F" w14:textId="77777777" w:rsidR="008E67EA" w:rsidRPr="00F41997" w:rsidRDefault="008E67EA" w:rsidP="00B44A74">
            <w:pPr>
              <w:spacing w:line="280" w:lineRule="exact"/>
              <w:rPr>
                <w:rFonts w:cs="Arial"/>
                <w:sz w:val="20"/>
                <w:szCs w:val="20"/>
              </w:rPr>
            </w:pPr>
            <w:r w:rsidRPr="00F41997">
              <w:rPr>
                <w:rFonts w:cs="Arial"/>
                <w:sz w:val="20"/>
                <w:szCs w:val="20"/>
              </w:rPr>
              <w:t>DO NOT apply this product directly into burrows.</w:t>
            </w:r>
          </w:p>
          <w:p w14:paraId="14650973" w14:textId="77777777" w:rsidR="008E67EA" w:rsidRPr="00F41997" w:rsidRDefault="008E67EA" w:rsidP="00B44A74">
            <w:pPr>
              <w:spacing w:line="280" w:lineRule="exact"/>
              <w:rPr>
                <w:rFonts w:cs="Arial"/>
                <w:sz w:val="20"/>
                <w:szCs w:val="20"/>
              </w:rPr>
            </w:pPr>
            <w:r w:rsidRPr="00F41997">
              <w:rPr>
                <w:rFonts w:cs="Arial"/>
                <w:sz w:val="20"/>
                <w:szCs w:val="20"/>
              </w:rPr>
              <w:t>DO NOT use the product in pulsed baiting treatments.</w:t>
            </w:r>
          </w:p>
        </w:tc>
      </w:tr>
      <w:tr w:rsidR="008E67EA" w:rsidRPr="003358F0" w14:paraId="3CC4148E" w14:textId="77777777" w:rsidTr="00B44A74">
        <w:trPr>
          <w:jc w:val="center"/>
        </w:trPr>
        <w:tc>
          <w:tcPr>
            <w:tcW w:w="2415" w:type="dxa"/>
            <w:tcBorders>
              <w:top w:val="single" w:sz="4" w:space="0" w:color="auto"/>
              <w:left w:val="nil"/>
              <w:bottom w:val="single" w:sz="4" w:space="0" w:color="auto"/>
              <w:right w:val="nil"/>
            </w:tcBorders>
          </w:tcPr>
          <w:p w14:paraId="398EA618" w14:textId="77777777" w:rsidR="008E67EA" w:rsidRPr="003358F0"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086C1C3" w14:textId="77777777" w:rsidR="008E67EA" w:rsidRPr="003358F0" w:rsidRDefault="008E67EA" w:rsidP="00B44A74">
            <w:pPr>
              <w:spacing w:line="280" w:lineRule="exact"/>
              <w:rPr>
                <w:rFonts w:cs="Arial"/>
                <w:sz w:val="20"/>
                <w:szCs w:val="20"/>
              </w:rPr>
            </w:pPr>
          </w:p>
        </w:tc>
      </w:tr>
      <w:tr w:rsidR="008E67EA" w:rsidRPr="003358F0" w14:paraId="15C2B09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95566B3" w14:textId="77777777" w:rsidR="008E67EA" w:rsidRPr="003358F0" w:rsidRDefault="008E67EA" w:rsidP="00B44A74">
            <w:pPr>
              <w:spacing w:line="280" w:lineRule="exact"/>
              <w:rPr>
                <w:rFonts w:cs="Arial"/>
                <w:sz w:val="20"/>
                <w:szCs w:val="20"/>
              </w:rPr>
            </w:pPr>
            <w:r w:rsidRPr="003358F0">
              <w:rPr>
                <w:rFonts w:cs="Arial"/>
                <w:sz w:val="20"/>
                <w:szCs w:val="20"/>
              </w:rPr>
              <w:t>How to Use</w:t>
            </w:r>
          </w:p>
        </w:tc>
        <w:tc>
          <w:tcPr>
            <w:tcW w:w="7755" w:type="dxa"/>
            <w:tcBorders>
              <w:top w:val="single" w:sz="4" w:space="0" w:color="auto"/>
              <w:left w:val="single" w:sz="4" w:space="0" w:color="auto"/>
              <w:bottom w:val="single" w:sz="4" w:space="0" w:color="auto"/>
              <w:right w:val="single" w:sz="4" w:space="0" w:color="auto"/>
            </w:tcBorders>
          </w:tcPr>
          <w:p w14:paraId="6C51B612" w14:textId="77777777" w:rsidR="008E67EA" w:rsidRPr="003358F0" w:rsidRDefault="008E67EA" w:rsidP="00B44A74">
            <w:pPr>
              <w:spacing w:line="280" w:lineRule="exact"/>
              <w:rPr>
                <w:rFonts w:cs="Arial"/>
                <w:sz w:val="20"/>
                <w:szCs w:val="20"/>
              </w:rPr>
            </w:pPr>
            <w:r w:rsidRPr="00713087">
              <w:rPr>
                <w:rFonts w:cs="Arial"/>
                <w:sz w:val="20"/>
                <w:szCs w:val="20"/>
              </w:rPr>
              <w:t>[This section contains an attachment below]</w:t>
            </w:r>
          </w:p>
        </w:tc>
      </w:tr>
      <w:tr w:rsidR="008E67EA" w:rsidRPr="003358F0" w14:paraId="40542C1B" w14:textId="77777777" w:rsidTr="00B44A74">
        <w:trPr>
          <w:jc w:val="center"/>
        </w:trPr>
        <w:tc>
          <w:tcPr>
            <w:tcW w:w="2415" w:type="dxa"/>
            <w:tcBorders>
              <w:top w:val="single" w:sz="4" w:space="0" w:color="auto"/>
              <w:left w:val="nil"/>
              <w:bottom w:val="single" w:sz="4" w:space="0" w:color="auto"/>
              <w:right w:val="nil"/>
            </w:tcBorders>
          </w:tcPr>
          <w:p w14:paraId="68FDB253" w14:textId="77777777" w:rsidR="008E67EA" w:rsidRPr="003358F0"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7AF04B3" w14:textId="77777777" w:rsidR="008E67EA" w:rsidRPr="003358F0" w:rsidRDefault="008E67EA" w:rsidP="00B44A74">
            <w:pPr>
              <w:spacing w:line="280" w:lineRule="exact"/>
              <w:rPr>
                <w:rFonts w:cs="Arial"/>
                <w:sz w:val="20"/>
                <w:szCs w:val="20"/>
              </w:rPr>
            </w:pPr>
          </w:p>
        </w:tc>
      </w:tr>
      <w:tr w:rsidR="008E67EA" w:rsidRPr="003358F0" w14:paraId="3F304E6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82CE2EB" w14:textId="77777777" w:rsidR="008E67EA" w:rsidRPr="003358F0" w:rsidRDefault="008E67EA" w:rsidP="00B44A74">
            <w:pPr>
              <w:spacing w:line="280" w:lineRule="exact"/>
              <w:rPr>
                <w:rFonts w:cs="Arial"/>
                <w:sz w:val="20"/>
                <w:szCs w:val="20"/>
              </w:rPr>
            </w:pPr>
            <w:r w:rsidRPr="003358F0">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6D0A4CC7" w14:textId="77777777" w:rsidR="008E67EA" w:rsidRPr="003358F0" w:rsidRDefault="008E67EA" w:rsidP="00B44A74">
            <w:pPr>
              <w:spacing w:line="280" w:lineRule="exact"/>
              <w:rPr>
                <w:rFonts w:cs="Arial"/>
                <w:sz w:val="20"/>
                <w:szCs w:val="20"/>
              </w:rPr>
            </w:pPr>
          </w:p>
        </w:tc>
      </w:tr>
      <w:tr w:rsidR="008E67EA" w:rsidRPr="003358F0" w14:paraId="59CFEF30" w14:textId="77777777" w:rsidTr="00B44A74">
        <w:trPr>
          <w:jc w:val="center"/>
        </w:trPr>
        <w:tc>
          <w:tcPr>
            <w:tcW w:w="2415" w:type="dxa"/>
            <w:tcBorders>
              <w:top w:val="single" w:sz="4" w:space="0" w:color="auto"/>
              <w:left w:val="nil"/>
              <w:bottom w:val="single" w:sz="4" w:space="0" w:color="auto"/>
              <w:right w:val="nil"/>
            </w:tcBorders>
          </w:tcPr>
          <w:p w14:paraId="3B3D873C" w14:textId="77777777" w:rsidR="008E67EA" w:rsidRPr="003358F0"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279E841" w14:textId="77777777" w:rsidR="008E67EA" w:rsidRPr="003358F0" w:rsidRDefault="008E67EA" w:rsidP="00B44A74">
            <w:pPr>
              <w:spacing w:line="280" w:lineRule="exact"/>
              <w:rPr>
                <w:rFonts w:cs="Arial"/>
                <w:sz w:val="20"/>
                <w:szCs w:val="20"/>
              </w:rPr>
            </w:pPr>
          </w:p>
        </w:tc>
      </w:tr>
      <w:tr w:rsidR="008E67EA" w:rsidRPr="00F41997" w14:paraId="63A1E5B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917DBA8" w14:textId="77777777" w:rsidR="008E67EA" w:rsidRPr="003358F0" w:rsidRDefault="008E67EA" w:rsidP="00B44A74">
            <w:pPr>
              <w:spacing w:line="280" w:lineRule="exact"/>
              <w:rPr>
                <w:rFonts w:cs="Arial"/>
                <w:sz w:val="20"/>
                <w:szCs w:val="20"/>
              </w:rPr>
            </w:pPr>
            <w:r w:rsidRPr="003358F0">
              <w:rPr>
                <w:rFonts w:cs="Arial"/>
                <w:sz w:val="20"/>
                <w:szCs w:val="20"/>
              </w:rPr>
              <w:t>How to Prepare</w:t>
            </w:r>
          </w:p>
        </w:tc>
        <w:tc>
          <w:tcPr>
            <w:tcW w:w="7755" w:type="dxa"/>
            <w:tcBorders>
              <w:top w:val="single" w:sz="4" w:space="0" w:color="auto"/>
              <w:left w:val="single" w:sz="4" w:space="0" w:color="auto"/>
              <w:bottom w:val="single" w:sz="4" w:space="0" w:color="auto"/>
              <w:right w:val="single" w:sz="4" w:space="0" w:color="auto"/>
            </w:tcBorders>
          </w:tcPr>
          <w:p w14:paraId="43527FFE" w14:textId="25BF7A09" w:rsidR="008E67EA" w:rsidRPr="000A7538" w:rsidRDefault="008E67EA" w:rsidP="00B44A74">
            <w:pPr>
              <w:spacing w:line="280" w:lineRule="exact"/>
              <w:rPr>
                <w:rFonts w:cs="Arial"/>
                <w:color w:val="000000" w:themeColor="text1"/>
                <w:sz w:val="20"/>
                <w:szCs w:val="20"/>
              </w:rPr>
            </w:pPr>
            <w:r w:rsidRPr="000A7538">
              <w:rPr>
                <w:rFonts w:cs="Arial"/>
                <w:color w:val="000000" w:themeColor="text1"/>
                <w:sz w:val="20"/>
                <w:szCs w:val="20"/>
              </w:rPr>
              <w:t>GENERAL INSTRUCTIONS</w:t>
            </w:r>
          </w:p>
          <w:p w14:paraId="4F050372" w14:textId="77777777" w:rsidR="008E67EA" w:rsidRPr="000A7538" w:rsidRDefault="008E67EA" w:rsidP="00B44A74">
            <w:pPr>
              <w:spacing w:line="280" w:lineRule="exact"/>
              <w:rPr>
                <w:rFonts w:cs="Arial"/>
                <w:color w:val="000000" w:themeColor="text1"/>
                <w:sz w:val="20"/>
                <w:szCs w:val="20"/>
              </w:rPr>
            </w:pPr>
            <w:r w:rsidRPr="000A7538">
              <w:rPr>
                <w:rFonts w:cs="Arial"/>
                <w:color w:val="000000" w:themeColor="text1"/>
                <w:sz w:val="20"/>
                <w:szCs w:val="20"/>
              </w:rPr>
              <w:t>The baits are ready to use - do not unwrap individual baits. Rats and mice will chew through the wrapper</w:t>
            </w:r>
          </w:p>
          <w:p w14:paraId="0E6213E5" w14:textId="77777777" w:rsidR="008E67EA" w:rsidRPr="00F41997" w:rsidRDefault="008E67EA" w:rsidP="00B44A74">
            <w:pPr>
              <w:spacing w:line="280" w:lineRule="exact"/>
              <w:rPr>
                <w:rFonts w:cs="Arial"/>
                <w:sz w:val="20"/>
                <w:szCs w:val="20"/>
              </w:rPr>
            </w:pPr>
            <w:r w:rsidRPr="000A7538">
              <w:rPr>
                <w:rFonts w:cs="Arial"/>
                <w:color w:val="000000" w:themeColor="text1"/>
                <w:sz w:val="20"/>
                <w:szCs w:val="20"/>
              </w:rPr>
              <w:t>This product contains FLUO-NP, a special additive that makes bait and rodent droppings glow bright red under UV light. By shining a handheld UV lamp (black light) on the rodent droppings it is easy to identify and track rodent movement. When used as a perimeter bait, one can more accurately determine if rodents are gaining access to a building's interior and, if so, where the access points are located.</w:t>
            </w:r>
          </w:p>
        </w:tc>
      </w:tr>
      <w:tr w:rsidR="008E67EA" w:rsidRPr="003358F0" w14:paraId="05D8ADED" w14:textId="77777777" w:rsidTr="00B44A74">
        <w:trPr>
          <w:jc w:val="center"/>
        </w:trPr>
        <w:tc>
          <w:tcPr>
            <w:tcW w:w="2415" w:type="dxa"/>
            <w:tcBorders>
              <w:top w:val="single" w:sz="4" w:space="0" w:color="auto"/>
              <w:left w:val="nil"/>
              <w:bottom w:val="single" w:sz="4" w:space="0" w:color="auto"/>
              <w:right w:val="nil"/>
            </w:tcBorders>
          </w:tcPr>
          <w:p w14:paraId="54F7BB02" w14:textId="77777777" w:rsidR="008E67EA" w:rsidRPr="003358F0"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ECE27C6" w14:textId="77777777" w:rsidR="008E67EA" w:rsidRPr="003358F0" w:rsidRDefault="008E67EA" w:rsidP="00B44A74">
            <w:pPr>
              <w:spacing w:line="280" w:lineRule="exact"/>
              <w:rPr>
                <w:rFonts w:cs="Arial"/>
                <w:sz w:val="20"/>
                <w:szCs w:val="20"/>
              </w:rPr>
            </w:pPr>
          </w:p>
        </w:tc>
      </w:tr>
      <w:tr w:rsidR="008E67EA" w:rsidRPr="003358F0" w14:paraId="2E8DAFB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4950C27" w14:textId="77777777" w:rsidR="008E67EA" w:rsidRPr="003358F0" w:rsidRDefault="008E67EA" w:rsidP="00B44A74">
            <w:pPr>
              <w:spacing w:line="280" w:lineRule="exact"/>
              <w:rPr>
                <w:rFonts w:cs="Arial"/>
                <w:sz w:val="20"/>
                <w:szCs w:val="20"/>
              </w:rPr>
            </w:pPr>
            <w:r w:rsidRPr="003358F0">
              <w:rPr>
                <w:rFonts w:cs="Arial"/>
                <w:sz w:val="20"/>
                <w:szCs w:val="20"/>
              </w:rPr>
              <w:t>Resistance Warning:</w:t>
            </w:r>
          </w:p>
        </w:tc>
        <w:tc>
          <w:tcPr>
            <w:tcW w:w="7755" w:type="dxa"/>
            <w:tcBorders>
              <w:top w:val="single" w:sz="4" w:space="0" w:color="auto"/>
              <w:left w:val="single" w:sz="4" w:space="0" w:color="auto"/>
              <w:bottom w:val="single" w:sz="4" w:space="0" w:color="auto"/>
              <w:right w:val="single" w:sz="4" w:space="0" w:color="auto"/>
            </w:tcBorders>
          </w:tcPr>
          <w:p w14:paraId="450010B4" w14:textId="77777777" w:rsidR="008E67EA" w:rsidRPr="003358F0" w:rsidRDefault="008E67EA" w:rsidP="00B44A74">
            <w:pPr>
              <w:spacing w:line="280" w:lineRule="exact"/>
              <w:rPr>
                <w:rFonts w:cs="Arial"/>
                <w:sz w:val="20"/>
                <w:szCs w:val="20"/>
              </w:rPr>
            </w:pPr>
          </w:p>
        </w:tc>
      </w:tr>
      <w:tr w:rsidR="008E67EA" w:rsidRPr="003358F0" w14:paraId="5AE0D59D" w14:textId="77777777" w:rsidTr="00B44A74">
        <w:trPr>
          <w:jc w:val="center"/>
        </w:trPr>
        <w:tc>
          <w:tcPr>
            <w:tcW w:w="2415" w:type="dxa"/>
            <w:tcBorders>
              <w:top w:val="single" w:sz="4" w:space="0" w:color="auto"/>
              <w:left w:val="nil"/>
              <w:bottom w:val="single" w:sz="4" w:space="0" w:color="auto"/>
              <w:right w:val="nil"/>
            </w:tcBorders>
          </w:tcPr>
          <w:p w14:paraId="0C9BEA83" w14:textId="77777777" w:rsidR="008E67EA" w:rsidRPr="003358F0"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48058F0" w14:textId="77777777" w:rsidR="008E67EA" w:rsidRPr="003358F0" w:rsidRDefault="008E67EA" w:rsidP="00B44A74">
            <w:pPr>
              <w:spacing w:line="280" w:lineRule="exact"/>
              <w:rPr>
                <w:rFonts w:cs="Arial"/>
                <w:sz w:val="20"/>
                <w:szCs w:val="20"/>
              </w:rPr>
            </w:pPr>
          </w:p>
        </w:tc>
      </w:tr>
      <w:tr w:rsidR="008E67EA" w:rsidRPr="00F41997" w14:paraId="3D90147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E6FCD7C" w14:textId="77777777" w:rsidR="008E67EA" w:rsidRPr="003358F0" w:rsidRDefault="008E67EA" w:rsidP="00B44A74">
            <w:pPr>
              <w:spacing w:line="280" w:lineRule="exact"/>
              <w:rPr>
                <w:rFonts w:cs="Arial"/>
                <w:sz w:val="20"/>
                <w:szCs w:val="20"/>
              </w:rPr>
            </w:pPr>
            <w:r w:rsidRPr="003358F0">
              <w:rPr>
                <w:rFonts w:cs="Arial"/>
                <w:sz w:val="20"/>
                <w:szCs w:val="20"/>
              </w:rPr>
              <w:t>Precautions:</w:t>
            </w:r>
          </w:p>
        </w:tc>
        <w:tc>
          <w:tcPr>
            <w:tcW w:w="7755" w:type="dxa"/>
            <w:tcBorders>
              <w:top w:val="single" w:sz="4" w:space="0" w:color="auto"/>
              <w:left w:val="single" w:sz="4" w:space="0" w:color="auto"/>
              <w:bottom w:val="single" w:sz="4" w:space="0" w:color="auto"/>
              <w:right w:val="single" w:sz="4" w:space="0" w:color="auto"/>
            </w:tcBorders>
          </w:tcPr>
          <w:p w14:paraId="222B0C01" w14:textId="77777777" w:rsidR="008E67EA" w:rsidRPr="00C812BF" w:rsidRDefault="008E67EA" w:rsidP="00B44A74">
            <w:pPr>
              <w:spacing w:line="280" w:lineRule="exact"/>
              <w:rPr>
                <w:rFonts w:cs="Arial"/>
                <w:sz w:val="20"/>
                <w:szCs w:val="20"/>
              </w:rPr>
            </w:pPr>
            <w:r w:rsidRPr="00C812BF">
              <w:rPr>
                <w:rFonts w:cs="Arial"/>
                <w:sz w:val="20"/>
                <w:szCs w:val="20"/>
              </w:rPr>
              <w:t>CAUTION</w:t>
            </w:r>
          </w:p>
          <w:p w14:paraId="687842E0" w14:textId="77777777" w:rsidR="008E67EA" w:rsidRPr="00C812BF" w:rsidRDefault="008E67EA" w:rsidP="00B44A74">
            <w:pPr>
              <w:spacing w:line="280" w:lineRule="exact"/>
              <w:rPr>
                <w:rFonts w:cs="Arial"/>
                <w:sz w:val="20"/>
                <w:szCs w:val="20"/>
              </w:rPr>
            </w:pPr>
            <w:r w:rsidRPr="00C812BF">
              <w:rPr>
                <w:rFonts w:cs="Arial"/>
                <w:sz w:val="20"/>
                <w:szCs w:val="20"/>
              </w:rPr>
              <w:t>Caution should be used when baiting near areas where hunting of wildlife may occur. Careful consideration of bait placement is necessary to avoid secondary exposure from contaminated wildlife that may be consumed.</w:t>
            </w:r>
          </w:p>
          <w:p w14:paraId="68AA7446" w14:textId="77777777" w:rsidR="008E67EA" w:rsidRDefault="008E67EA" w:rsidP="00B44A74">
            <w:pPr>
              <w:spacing w:line="280" w:lineRule="exact"/>
              <w:rPr>
                <w:rFonts w:cs="Arial"/>
                <w:sz w:val="20"/>
                <w:szCs w:val="20"/>
              </w:rPr>
            </w:pPr>
            <w:r w:rsidRPr="00C812BF">
              <w:rPr>
                <w:rFonts w:cs="Arial"/>
                <w:sz w:val="20"/>
                <w:szCs w:val="20"/>
              </w:rPr>
              <w:lastRenderedPageBreak/>
              <w:t>DO NOT place bait in areas where there is a possibility of contaminating food, livestock feed or surfaces that come in direct contact with food or livestock feed.</w:t>
            </w:r>
          </w:p>
          <w:p w14:paraId="6E3B86A8" w14:textId="77777777" w:rsidR="008E67EA" w:rsidRPr="00C812BF" w:rsidRDefault="008E67EA" w:rsidP="00B44A74">
            <w:pPr>
              <w:spacing w:line="280" w:lineRule="exact"/>
              <w:rPr>
                <w:rFonts w:cs="Arial"/>
                <w:sz w:val="20"/>
                <w:szCs w:val="20"/>
              </w:rPr>
            </w:pPr>
          </w:p>
          <w:p w14:paraId="7CA9C414" w14:textId="77777777" w:rsidR="008E67EA" w:rsidRPr="00C812BF" w:rsidRDefault="008E67EA" w:rsidP="00B44A74">
            <w:pPr>
              <w:spacing w:line="280" w:lineRule="exact"/>
              <w:rPr>
                <w:rFonts w:cs="Arial"/>
                <w:sz w:val="20"/>
                <w:szCs w:val="20"/>
              </w:rPr>
            </w:pPr>
            <w:r w:rsidRPr="00C812BF">
              <w:rPr>
                <w:rFonts w:cs="Arial"/>
                <w:sz w:val="20"/>
                <w:szCs w:val="20"/>
              </w:rPr>
              <w:t>PROTECTION OF LIVESTOCK AND WILDLIFE</w:t>
            </w:r>
          </w:p>
          <w:p w14:paraId="17D42695" w14:textId="77777777" w:rsidR="008E67EA" w:rsidRPr="00C812BF" w:rsidRDefault="008E67EA" w:rsidP="00B44A74">
            <w:pPr>
              <w:spacing w:line="280" w:lineRule="exact"/>
              <w:rPr>
                <w:rFonts w:cs="Arial"/>
                <w:sz w:val="20"/>
                <w:szCs w:val="20"/>
              </w:rPr>
            </w:pPr>
            <w:r w:rsidRPr="00C812BF">
              <w:rPr>
                <w:rFonts w:cs="Arial"/>
                <w:sz w:val="20"/>
                <w:szCs w:val="20"/>
              </w:rPr>
              <w:t>Hazardous to livestock, poultry and wildlife. DO NOT place baits in locations that are accessible to domestic animals, livestock, non-target native animals or birds.</w:t>
            </w:r>
          </w:p>
          <w:p w14:paraId="40D8EA96" w14:textId="3DB9742D" w:rsidR="008E67EA" w:rsidRPr="00C812BF" w:rsidRDefault="008E67EA" w:rsidP="00B44A74">
            <w:pPr>
              <w:spacing w:line="280" w:lineRule="exact"/>
              <w:rPr>
                <w:rFonts w:cs="Arial"/>
                <w:sz w:val="20"/>
                <w:szCs w:val="20"/>
              </w:rPr>
            </w:pPr>
            <w:r w:rsidRPr="00C812BF">
              <w:rPr>
                <w:rFonts w:cs="Arial"/>
                <w:sz w:val="20"/>
                <w:szCs w:val="20"/>
              </w:rPr>
              <w:t>Search for and dispose of dead rodents and slugs/snails in the infested area at each visit to prevent secondary poisoning. In case slugs/snails are present, move bait station to another location within the rodent infested site, away from slugs/snails. Dispose of slugs/snails, dead rodents and uneaten bait by wrapping in paper, placing in plastic bag and putting in garbage.</w:t>
            </w:r>
          </w:p>
          <w:p w14:paraId="5CAC48C5" w14:textId="77777777" w:rsidR="008E67EA" w:rsidRDefault="008E67EA" w:rsidP="00B44A74">
            <w:pPr>
              <w:spacing w:line="280" w:lineRule="exact"/>
              <w:rPr>
                <w:rFonts w:cs="Arial"/>
                <w:sz w:val="20"/>
                <w:szCs w:val="20"/>
              </w:rPr>
            </w:pPr>
            <w:r w:rsidRPr="00C812BF">
              <w:rPr>
                <w:rFonts w:cs="Arial"/>
                <w:sz w:val="20"/>
                <w:szCs w:val="20"/>
              </w:rPr>
              <w:t>DO NOT allow livestock or poultry to consume dead or moribund mice</w:t>
            </w:r>
            <w:r>
              <w:rPr>
                <w:rFonts w:cs="Arial"/>
                <w:sz w:val="20"/>
                <w:szCs w:val="20"/>
              </w:rPr>
              <w:t xml:space="preserve"> and rats</w:t>
            </w:r>
            <w:r w:rsidRPr="00C812BF">
              <w:rPr>
                <w:rFonts w:cs="Arial"/>
                <w:sz w:val="20"/>
                <w:szCs w:val="20"/>
              </w:rPr>
              <w:t>. All dead or moribund animals and rodent faeces from baited rodents MUST be removed from areas accessible to livestock or poultry.</w:t>
            </w:r>
          </w:p>
          <w:p w14:paraId="587083F5" w14:textId="77777777" w:rsidR="008E67EA" w:rsidRDefault="008E67EA" w:rsidP="00B44A74">
            <w:pPr>
              <w:spacing w:line="280" w:lineRule="exact"/>
              <w:rPr>
                <w:rFonts w:cs="Arial"/>
                <w:sz w:val="20"/>
                <w:szCs w:val="20"/>
              </w:rPr>
            </w:pPr>
            <w:r w:rsidRPr="00F41997">
              <w:rPr>
                <w:rFonts w:cs="Arial"/>
                <w:sz w:val="20"/>
                <w:szCs w:val="20"/>
              </w:rPr>
              <w:t>DO NOT let cats, dogs or non-target animals eat poisoned mice and rats.</w:t>
            </w:r>
          </w:p>
          <w:p w14:paraId="6F833866" w14:textId="77777777" w:rsidR="008E67EA" w:rsidRPr="00C812BF" w:rsidRDefault="008E67EA" w:rsidP="00B44A74">
            <w:pPr>
              <w:spacing w:line="280" w:lineRule="exact"/>
              <w:rPr>
                <w:rFonts w:cs="Arial"/>
                <w:sz w:val="20"/>
                <w:szCs w:val="20"/>
              </w:rPr>
            </w:pPr>
            <w:r w:rsidRPr="00F41997">
              <w:rPr>
                <w:rFonts w:cs="Arial"/>
                <w:sz w:val="20"/>
                <w:szCs w:val="20"/>
              </w:rPr>
              <w:t>DO NOT use this product to control native animals</w:t>
            </w:r>
            <w:r>
              <w:rPr>
                <w:rFonts w:cs="Arial"/>
                <w:sz w:val="20"/>
                <w:szCs w:val="20"/>
              </w:rPr>
              <w:t>.</w:t>
            </w:r>
          </w:p>
          <w:p w14:paraId="18179E90" w14:textId="77777777" w:rsidR="008E67EA" w:rsidRPr="00C812BF" w:rsidRDefault="008E67EA" w:rsidP="00B44A74">
            <w:pPr>
              <w:spacing w:line="280" w:lineRule="exact"/>
              <w:rPr>
                <w:rFonts w:cs="Arial"/>
                <w:sz w:val="20"/>
                <w:szCs w:val="20"/>
              </w:rPr>
            </w:pPr>
          </w:p>
          <w:p w14:paraId="5D2AB761" w14:textId="77777777" w:rsidR="008E67EA" w:rsidRPr="00C812BF" w:rsidRDefault="008E67EA" w:rsidP="00B44A74">
            <w:pPr>
              <w:spacing w:line="280" w:lineRule="exact"/>
              <w:rPr>
                <w:rFonts w:cs="Arial"/>
                <w:sz w:val="20"/>
                <w:szCs w:val="20"/>
              </w:rPr>
            </w:pPr>
            <w:r w:rsidRPr="00C812BF">
              <w:rPr>
                <w:rFonts w:cs="Arial"/>
                <w:sz w:val="20"/>
                <w:szCs w:val="20"/>
              </w:rPr>
              <w:t>PROTECTION OF FISH, CRUSTACEANS AND ENVIRONMENT</w:t>
            </w:r>
          </w:p>
          <w:p w14:paraId="4AC9DF80" w14:textId="77777777" w:rsidR="008E67EA" w:rsidRPr="00F41997" w:rsidRDefault="008E67EA" w:rsidP="00B44A74">
            <w:pPr>
              <w:spacing w:line="280" w:lineRule="exact"/>
              <w:rPr>
                <w:rFonts w:cs="Arial"/>
                <w:b/>
                <w:bCs/>
                <w:i/>
                <w:iCs/>
                <w:sz w:val="20"/>
                <w:szCs w:val="20"/>
                <w:highlight w:val="yellow"/>
              </w:rPr>
            </w:pPr>
            <w:r w:rsidRPr="00C812BF">
              <w:rPr>
                <w:rFonts w:cs="Arial"/>
                <w:sz w:val="20"/>
                <w:szCs w:val="20"/>
              </w:rPr>
              <w:t>Very toxic to aquatic life. DO NOT contaminate wetlands or watercourses with this product or used containers. Place the bait stations in areas not liable to flooding. When placing bait stations close to water drainage systems, ensure that bait contact with water is avoided</w:t>
            </w:r>
          </w:p>
        </w:tc>
      </w:tr>
      <w:tr w:rsidR="008E67EA" w:rsidRPr="003358F0" w14:paraId="11ECA50A" w14:textId="77777777" w:rsidTr="00B44A74">
        <w:trPr>
          <w:jc w:val="center"/>
        </w:trPr>
        <w:tc>
          <w:tcPr>
            <w:tcW w:w="2415" w:type="dxa"/>
            <w:tcBorders>
              <w:top w:val="single" w:sz="4" w:space="0" w:color="auto"/>
              <w:left w:val="nil"/>
              <w:bottom w:val="single" w:sz="4" w:space="0" w:color="auto"/>
              <w:right w:val="nil"/>
            </w:tcBorders>
          </w:tcPr>
          <w:p w14:paraId="5B6E8A80" w14:textId="77777777" w:rsidR="008E67EA" w:rsidRPr="003358F0"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AC425D8" w14:textId="77777777" w:rsidR="008E67EA" w:rsidRPr="003358F0" w:rsidRDefault="008E67EA" w:rsidP="00B44A74">
            <w:pPr>
              <w:spacing w:line="280" w:lineRule="exact"/>
              <w:rPr>
                <w:rFonts w:cs="Arial"/>
                <w:sz w:val="20"/>
                <w:szCs w:val="20"/>
              </w:rPr>
            </w:pPr>
          </w:p>
        </w:tc>
      </w:tr>
      <w:tr w:rsidR="008E67EA" w:rsidRPr="00F41997" w14:paraId="1831669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E8434BE" w14:textId="77777777" w:rsidR="008E67EA" w:rsidRPr="003358F0" w:rsidRDefault="008E67EA" w:rsidP="00B44A74">
            <w:pPr>
              <w:spacing w:line="280" w:lineRule="exact"/>
              <w:rPr>
                <w:rFonts w:cs="Arial"/>
                <w:sz w:val="20"/>
                <w:szCs w:val="20"/>
              </w:rPr>
            </w:pPr>
            <w:r w:rsidRPr="003358F0">
              <w:rPr>
                <w:rFonts w:cs="Arial"/>
                <w:sz w:val="20"/>
                <w:szCs w:val="20"/>
              </w:rPr>
              <w:t>Protections:</w:t>
            </w:r>
          </w:p>
        </w:tc>
        <w:tc>
          <w:tcPr>
            <w:tcW w:w="7755" w:type="dxa"/>
            <w:tcBorders>
              <w:top w:val="single" w:sz="4" w:space="0" w:color="auto"/>
              <w:left w:val="single" w:sz="4" w:space="0" w:color="auto"/>
              <w:bottom w:val="single" w:sz="4" w:space="0" w:color="auto"/>
              <w:right w:val="single" w:sz="4" w:space="0" w:color="auto"/>
            </w:tcBorders>
          </w:tcPr>
          <w:p w14:paraId="70E83B21" w14:textId="77777777" w:rsidR="008E67EA" w:rsidRPr="00F41997" w:rsidRDefault="008E67EA" w:rsidP="00B44A74">
            <w:pPr>
              <w:spacing w:line="280" w:lineRule="exact"/>
              <w:rPr>
                <w:rFonts w:cs="Arial"/>
                <w:sz w:val="20"/>
                <w:szCs w:val="20"/>
              </w:rPr>
            </w:pPr>
          </w:p>
        </w:tc>
      </w:tr>
      <w:tr w:rsidR="008E67EA" w:rsidRPr="003358F0" w14:paraId="2632620D" w14:textId="77777777" w:rsidTr="00B44A74">
        <w:trPr>
          <w:jc w:val="center"/>
        </w:trPr>
        <w:tc>
          <w:tcPr>
            <w:tcW w:w="2415" w:type="dxa"/>
            <w:tcBorders>
              <w:top w:val="single" w:sz="4" w:space="0" w:color="auto"/>
              <w:left w:val="nil"/>
              <w:bottom w:val="single" w:sz="4" w:space="0" w:color="auto"/>
              <w:right w:val="nil"/>
            </w:tcBorders>
          </w:tcPr>
          <w:p w14:paraId="3A395D3D" w14:textId="77777777" w:rsidR="008E67EA" w:rsidRPr="003358F0"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5BAB158" w14:textId="77777777" w:rsidR="008E67EA" w:rsidRPr="003358F0" w:rsidRDefault="008E67EA" w:rsidP="00B44A74">
            <w:pPr>
              <w:spacing w:line="280" w:lineRule="exact"/>
              <w:rPr>
                <w:rFonts w:cs="Arial"/>
                <w:sz w:val="20"/>
                <w:szCs w:val="20"/>
              </w:rPr>
            </w:pPr>
          </w:p>
        </w:tc>
      </w:tr>
      <w:tr w:rsidR="008E67EA" w:rsidRPr="003358F0" w14:paraId="1BFB87E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5E84178" w14:textId="77777777" w:rsidR="008E67EA" w:rsidRPr="003358F0" w:rsidRDefault="008E67EA" w:rsidP="00B44A74">
            <w:pPr>
              <w:spacing w:line="280" w:lineRule="exact"/>
              <w:rPr>
                <w:rFonts w:cs="Arial"/>
                <w:sz w:val="20"/>
                <w:szCs w:val="20"/>
              </w:rPr>
            </w:pPr>
            <w:r w:rsidRPr="003358F0">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6A249400" w14:textId="77777777" w:rsidR="008E67EA" w:rsidRPr="003358F0" w:rsidRDefault="008E67EA" w:rsidP="00B44A74">
            <w:pPr>
              <w:spacing w:line="280" w:lineRule="exact"/>
              <w:rPr>
                <w:rFonts w:cs="Arial"/>
                <w:sz w:val="20"/>
                <w:szCs w:val="20"/>
              </w:rPr>
            </w:pPr>
            <w:r w:rsidRPr="003358F0">
              <w:rPr>
                <w:rFonts w:cs="Arial"/>
                <w:sz w:val="20"/>
                <w:szCs w:val="20"/>
              </w:rPr>
              <w:t>STORAGE AND DISPOSAL</w:t>
            </w:r>
          </w:p>
          <w:p w14:paraId="184EA423" w14:textId="77777777" w:rsidR="008E67EA" w:rsidRPr="003358F0" w:rsidRDefault="008E67EA" w:rsidP="00B44A74">
            <w:pPr>
              <w:spacing w:line="280" w:lineRule="exact"/>
              <w:rPr>
                <w:rFonts w:cs="Arial"/>
                <w:sz w:val="20"/>
                <w:szCs w:val="20"/>
              </w:rPr>
            </w:pPr>
            <w:r w:rsidRPr="00C812BF">
              <w:rPr>
                <w:rFonts w:cs="Arial"/>
                <w:sz w:val="20"/>
                <w:szCs w:val="20"/>
              </w:rPr>
              <w:t>Store in the closed, original container in a cool dry place out of reach of children. DO NOT store in direct sunlight. Dispose of empty containers</w:t>
            </w:r>
            <w:r>
              <w:rPr>
                <w:rFonts w:cs="Arial"/>
                <w:sz w:val="20"/>
                <w:szCs w:val="20"/>
              </w:rPr>
              <w:t xml:space="preserve"> and unused product</w:t>
            </w:r>
            <w:r w:rsidRPr="00C812BF">
              <w:rPr>
                <w:rFonts w:cs="Arial"/>
                <w:sz w:val="20"/>
                <w:szCs w:val="20"/>
              </w:rPr>
              <w:t xml:space="preserve"> by wrapping in paper placing in plastic bag and putting in garbage.</w:t>
            </w:r>
          </w:p>
        </w:tc>
      </w:tr>
      <w:tr w:rsidR="008E67EA" w:rsidRPr="003358F0" w14:paraId="152B5739" w14:textId="77777777" w:rsidTr="00B44A74">
        <w:trPr>
          <w:jc w:val="center"/>
        </w:trPr>
        <w:tc>
          <w:tcPr>
            <w:tcW w:w="2415" w:type="dxa"/>
            <w:tcBorders>
              <w:top w:val="single" w:sz="4" w:space="0" w:color="auto"/>
              <w:left w:val="nil"/>
              <w:bottom w:val="single" w:sz="4" w:space="0" w:color="auto"/>
              <w:right w:val="nil"/>
            </w:tcBorders>
          </w:tcPr>
          <w:p w14:paraId="1B99F480" w14:textId="77777777" w:rsidR="008E67EA" w:rsidRPr="003358F0"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C4599D4" w14:textId="77777777" w:rsidR="008E67EA" w:rsidRPr="003358F0" w:rsidRDefault="008E67EA" w:rsidP="00B44A74">
            <w:pPr>
              <w:spacing w:line="280" w:lineRule="exact"/>
              <w:rPr>
                <w:rFonts w:cs="Arial"/>
                <w:sz w:val="20"/>
                <w:szCs w:val="20"/>
              </w:rPr>
            </w:pPr>
          </w:p>
        </w:tc>
      </w:tr>
      <w:tr w:rsidR="008E67EA" w:rsidRPr="003358F0" w14:paraId="773027D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ABDED44" w14:textId="77777777" w:rsidR="008E67EA" w:rsidRPr="003358F0" w:rsidRDefault="008E67EA" w:rsidP="00B44A74">
            <w:pPr>
              <w:spacing w:line="280" w:lineRule="exact"/>
              <w:rPr>
                <w:rFonts w:cs="Arial"/>
                <w:sz w:val="20"/>
                <w:szCs w:val="20"/>
              </w:rPr>
            </w:pPr>
            <w:r w:rsidRPr="003358F0">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23440F17" w14:textId="77777777" w:rsidR="008E67EA" w:rsidRPr="003358F0" w:rsidRDefault="008E67EA" w:rsidP="00B44A74">
            <w:pPr>
              <w:spacing w:line="280" w:lineRule="exact"/>
              <w:rPr>
                <w:rFonts w:cs="Arial"/>
                <w:sz w:val="20"/>
                <w:szCs w:val="20"/>
              </w:rPr>
            </w:pPr>
            <w:r w:rsidRPr="003358F0">
              <w:rPr>
                <w:rFonts w:cs="Arial"/>
                <w:sz w:val="20"/>
                <w:szCs w:val="20"/>
              </w:rPr>
              <w:t>SAFETY DIRECTIONS</w:t>
            </w:r>
          </w:p>
          <w:p w14:paraId="0503A07A" w14:textId="77777777" w:rsidR="008E67EA" w:rsidRPr="003358F0" w:rsidRDefault="008E67EA" w:rsidP="00B44A74">
            <w:pPr>
              <w:spacing w:line="280" w:lineRule="exact"/>
              <w:rPr>
                <w:rFonts w:cs="Arial"/>
                <w:sz w:val="20"/>
                <w:szCs w:val="20"/>
              </w:rPr>
            </w:pPr>
            <w:r w:rsidRPr="000E0C69">
              <w:rPr>
                <w:rFonts w:cs="Arial"/>
                <w:sz w:val="20"/>
                <w:szCs w:val="20"/>
              </w:rPr>
              <w:t>Repeated minor exposure may have a cumulative poisoning effect. Will irritate the skin. May irritate eyes. Avoid contact with eyes and skin. When using the product wear disposable gloves. During cleanup, disposal operations of bait and bait stations and when handling rodent carcasses wear single layer clothing and disposable gloves. If on skin and after each baiting, wash thoroughly with soap and water. After each day’s use wash contaminated clothing.</w:t>
            </w:r>
            <w:r>
              <w:rPr>
                <w:rFonts w:cs="Arial"/>
                <w:sz w:val="20"/>
                <w:szCs w:val="20"/>
              </w:rPr>
              <w:t xml:space="preserve"> </w:t>
            </w:r>
            <w:r w:rsidRPr="00C812BF">
              <w:rPr>
                <w:rFonts w:cs="Arial"/>
                <w:sz w:val="20"/>
                <w:szCs w:val="20"/>
              </w:rPr>
              <w:t>Wash clothes after performing re-handling activities.</w:t>
            </w:r>
          </w:p>
        </w:tc>
      </w:tr>
      <w:tr w:rsidR="008E67EA" w:rsidRPr="003358F0" w14:paraId="4BFA771A" w14:textId="77777777" w:rsidTr="00B44A74">
        <w:trPr>
          <w:jc w:val="center"/>
        </w:trPr>
        <w:tc>
          <w:tcPr>
            <w:tcW w:w="2415" w:type="dxa"/>
            <w:tcBorders>
              <w:top w:val="single" w:sz="4" w:space="0" w:color="auto"/>
              <w:left w:val="nil"/>
              <w:bottom w:val="single" w:sz="4" w:space="0" w:color="auto"/>
              <w:right w:val="nil"/>
            </w:tcBorders>
          </w:tcPr>
          <w:p w14:paraId="0D75FDF7" w14:textId="77777777" w:rsidR="008E67EA" w:rsidRPr="003358F0"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29C9485" w14:textId="77777777" w:rsidR="008E67EA" w:rsidRPr="003358F0" w:rsidRDefault="008E67EA" w:rsidP="00B44A74">
            <w:pPr>
              <w:spacing w:line="280" w:lineRule="exact"/>
              <w:rPr>
                <w:rFonts w:cs="Arial"/>
                <w:sz w:val="20"/>
                <w:szCs w:val="20"/>
              </w:rPr>
            </w:pPr>
          </w:p>
        </w:tc>
      </w:tr>
      <w:tr w:rsidR="008E67EA" w:rsidRPr="003358F0" w14:paraId="4729691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2B7F08B" w14:textId="77777777" w:rsidR="008E67EA" w:rsidRPr="003358F0" w:rsidRDefault="008E67EA" w:rsidP="00B44A74">
            <w:pPr>
              <w:spacing w:line="280" w:lineRule="exact"/>
              <w:rPr>
                <w:rFonts w:cs="Arial"/>
                <w:sz w:val="20"/>
                <w:szCs w:val="20"/>
              </w:rPr>
            </w:pPr>
            <w:r w:rsidRPr="003358F0">
              <w:rPr>
                <w:rFonts w:cs="Arial"/>
                <w:sz w:val="20"/>
                <w:szCs w:val="20"/>
              </w:rPr>
              <w:t>First Aid Instructions:</w:t>
            </w:r>
          </w:p>
        </w:tc>
        <w:tc>
          <w:tcPr>
            <w:tcW w:w="7755" w:type="dxa"/>
            <w:tcBorders>
              <w:top w:val="single" w:sz="4" w:space="0" w:color="auto"/>
              <w:left w:val="single" w:sz="4" w:space="0" w:color="auto"/>
              <w:bottom w:val="single" w:sz="4" w:space="0" w:color="auto"/>
              <w:right w:val="single" w:sz="4" w:space="0" w:color="auto"/>
            </w:tcBorders>
          </w:tcPr>
          <w:p w14:paraId="4593FC02" w14:textId="77777777" w:rsidR="008E67EA" w:rsidRPr="003358F0" w:rsidRDefault="008E67EA" w:rsidP="00B44A74">
            <w:pPr>
              <w:spacing w:line="280" w:lineRule="exact"/>
              <w:rPr>
                <w:rFonts w:cs="Arial"/>
                <w:sz w:val="20"/>
                <w:szCs w:val="20"/>
              </w:rPr>
            </w:pPr>
            <w:r w:rsidRPr="003358F0">
              <w:rPr>
                <w:rFonts w:cs="Arial"/>
                <w:sz w:val="20"/>
                <w:szCs w:val="20"/>
              </w:rPr>
              <w:t>FIRST AID</w:t>
            </w:r>
          </w:p>
          <w:p w14:paraId="5937A7B3" w14:textId="77777777" w:rsidR="008E67EA" w:rsidRPr="003358F0" w:rsidRDefault="008E67EA" w:rsidP="00B44A74">
            <w:pPr>
              <w:spacing w:line="280" w:lineRule="exact"/>
              <w:rPr>
                <w:rFonts w:cs="Arial"/>
                <w:sz w:val="20"/>
                <w:szCs w:val="20"/>
              </w:rPr>
            </w:pPr>
            <w:r w:rsidRPr="00C812BF">
              <w:rPr>
                <w:rFonts w:cs="Arial"/>
                <w:sz w:val="20"/>
                <w:szCs w:val="20"/>
              </w:rPr>
              <w:t>If poisoning occurs, contact a doctor or Poisons Information Centre. Phone Australia 13 11 26, New Zealand 0800 764 766. Vitamin K1 (Phytomenadione) is antidotal.</w:t>
            </w:r>
          </w:p>
        </w:tc>
      </w:tr>
      <w:tr w:rsidR="008E67EA" w:rsidRPr="003358F0" w14:paraId="512B7192" w14:textId="77777777" w:rsidTr="00B44A74">
        <w:trPr>
          <w:jc w:val="center"/>
        </w:trPr>
        <w:tc>
          <w:tcPr>
            <w:tcW w:w="2415" w:type="dxa"/>
            <w:tcBorders>
              <w:top w:val="single" w:sz="4" w:space="0" w:color="auto"/>
              <w:left w:val="nil"/>
              <w:bottom w:val="single" w:sz="4" w:space="0" w:color="auto"/>
              <w:right w:val="nil"/>
            </w:tcBorders>
          </w:tcPr>
          <w:p w14:paraId="1AB1D394" w14:textId="77777777" w:rsidR="008E67EA" w:rsidRPr="003358F0"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30E9308" w14:textId="77777777" w:rsidR="008E67EA" w:rsidRPr="003358F0" w:rsidRDefault="008E67EA" w:rsidP="00B44A74">
            <w:pPr>
              <w:spacing w:line="280" w:lineRule="exact"/>
              <w:rPr>
                <w:rFonts w:cs="Arial"/>
                <w:sz w:val="20"/>
                <w:szCs w:val="20"/>
              </w:rPr>
            </w:pPr>
          </w:p>
        </w:tc>
      </w:tr>
      <w:tr w:rsidR="008E67EA" w:rsidRPr="003358F0" w14:paraId="593BA07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AB0DBD0" w14:textId="77777777" w:rsidR="008E67EA" w:rsidRPr="003358F0" w:rsidRDefault="008E67EA" w:rsidP="00B44A74">
            <w:pPr>
              <w:spacing w:line="280" w:lineRule="exact"/>
              <w:rPr>
                <w:rFonts w:cs="Arial"/>
                <w:sz w:val="20"/>
                <w:szCs w:val="20"/>
              </w:rPr>
            </w:pPr>
            <w:r w:rsidRPr="003358F0">
              <w:rPr>
                <w:rFonts w:cs="Arial"/>
                <w:sz w:val="20"/>
                <w:szCs w:val="20"/>
              </w:rPr>
              <w:t>First Aid Warnings:</w:t>
            </w:r>
          </w:p>
        </w:tc>
        <w:tc>
          <w:tcPr>
            <w:tcW w:w="7755" w:type="dxa"/>
            <w:tcBorders>
              <w:top w:val="single" w:sz="4" w:space="0" w:color="auto"/>
              <w:left w:val="single" w:sz="4" w:space="0" w:color="auto"/>
              <w:bottom w:val="single" w:sz="4" w:space="0" w:color="auto"/>
              <w:right w:val="single" w:sz="4" w:space="0" w:color="auto"/>
            </w:tcBorders>
          </w:tcPr>
          <w:p w14:paraId="3DED7203" w14:textId="77777777" w:rsidR="008E67EA" w:rsidRPr="003358F0" w:rsidRDefault="008E67EA" w:rsidP="00B44A74">
            <w:pPr>
              <w:spacing w:line="280" w:lineRule="exact"/>
              <w:rPr>
                <w:rFonts w:cs="Arial"/>
                <w:sz w:val="20"/>
                <w:szCs w:val="20"/>
              </w:rPr>
            </w:pPr>
          </w:p>
        </w:tc>
      </w:tr>
    </w:tbl>
    <w:p w14:paraId="62D2CC8A" w14:textId="77777777" w:rsidR="008E67EA" w:rsidRDefault="008E67EA" w:rsidP="008E67EA">
      <w:pPr>
        <w:rPr>
          <w:rFonts w:cs="Arial"/>
          <w:b/>
          <w:bCs/>
          <w:sz w:val="20"/>
          <w:szCs w:val="20"/>
          <w:bdr w:val="none" w:sz="0" w:space="0" w:color="auto" w:frame="1"/>
          <w:lang w:val="en-GB" w:eastAsia="en-AU"/>
        </w:rPr>
      </w:pPr>
      <w:r>
        <w:rPr>
          <w:rFonts w:cs="Arial"/>
          <w:b/>
          <w:bCs/>
          <w:sz w:val="20"/>
          <w:szCs w:val="20"/>
          <w:bdr w:val="none" w:sz="0" w:space="0" w:color="auto" w:frame="1"/>
          <w:lang w:val="en-GB" w:eastAsia="en-AU"/>
        </w:rPr>
        <w:br w:type="page"/>
      </w:r>
    </w:p>
    <w:p w14:paraId="4BFDC16B" w14:textId="77777777" w:rsidR="008E67EA" w:rsidRDefault="008E67EA" w:rsidP="008E67EA">
      <w:pPr>
        <w:rPr>
          <w:rFonts w:cs="Arial"/>
          <w:b/>
          <w:bCs/>
          <w:sz w:val="20"/>
          <w:szCs w:val="20"/>
        </w:rPr>
      </w:pPr>
      <w:r w:rsidRPr="003358F0">
        <w:rPr>
          <w:rFonts w:cs="Arial"/>
          <w:b/>
          <w:bCs/>
          <w:sz w:val="20"/>
          <w:szCs w:val="20"/>
        </w:rPr>
        <w:lastRenderedPageBreak/>
        <w:t>HOW TO USE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24"/>
        <w:gridCol w:w="1320"/>
        <w:gridCol w:w="3743"/>
      </w:tblGrid>
      <w:tr w:rsidR="008E67EA" w:rsidRPr="00307745" w14:paraId="4CD254C1" w14:textId="77777777" w:rsidTr="009C4F64">
        <w:trPr>
          <w:trHeight w:val="340"/>
        </w:trPr>
        <w:tc>
          <w:tcPr>
            <w:tcW w:w="1129" w:type="dxa"/>
          </w:tcPr>
          <w:p w14:paraId="60F2064D" w14:textId="77777777" w:rsidR="008E67EA" w:rsidRPr="00237D13" w:rsidRDefault="008E67EA" w:rsidP="00B44A74">
            <w:pPr>
              <w:spacing w:line="280" w:lineRule="exact"/>
              <w:rPr>
                <w:rFonts w:cs="Arial"/>
                <w:b/>
                <w:bCs/>
                <w:sz w:val="20"/>
                <w:szCs w:val="20"/>
              </w:rPr>
            </w:pPr>
            <w:r w:rsidRPr="00237D13">
              <w:rPr>
                <w:rFonts w:cs="Arial"/>
                <w:b/>
                <w:bCs/>
                <w:sz w:val="20"/>
                <w:szCs w:val="20"/>
              </w:rPr>
              <w:t>PEST</w:t>
            </w:r>
          </w:p>
        </w:tc>
        <w:tc>
          <w:tcPr>
            <w:tcW w:w="2824" w:type="dxa"/>
          </w:tcPr>
          <w:p w14:paraId="3FE8AF69" w14:textId="77777777" w:rsidR="008E67EA" w:rsidRPr="00237D13" w:rsidRDefault="008E67EA" w:rsidP="00B44A74">
            <w:pPr>
              <w:spacing w:line="280" w:lineRule="exact"/>
              <w:rPr>
                <w:rFonts w:cs="Arial"/>
                <w:b/>
                <w:bCs/>
                <w:sz w:val="20"/>
                <w:szCs w:val="20"/>
              </w:rPr>
            </w:pPr>
            <w:r w:rsidRPr="00237D13">
              <w:rPr>
                <w:rFonts w:cs="Arial"/>
                <w:b/>
                <w:bCs/>
                <w:sz w:val="20"/>
                <w:szCs w:val="20"/>
              </w:rPr>
              <w:t>SITUATION</w:t>
            </w:r>
          </w:p>
        </w:tc>
        <w:tc>
          <w:tcPr>
            <w:tcW w:w="1320" w:type="dxa"/>
          </w:tcPr>
          <w:p w14:paraId="5C9E1726" w14:textId="77777777" w:rsidR="008E67EA" w:rsidRPr="00237D13" w:rsidRDefault="008E67EA" w:rsidP="00B44A74">
            <w:pPr>
              <w:spacing w:line="280" w:lineRule="exact"/>
              <w:rPr>
                <w:rFonts w:cs="Arial"/>
                <w:b/>
                <w:bCs/>
                <w:sz w:val="20"/>
                <w:szCs w:val="20"/>
              </w:rPr>
            </w:pPr>
            <w:r w:rsidRPr="00237D13">
              <w:rPr>
                <w:rFonts w:cs="Arial"/>
                <w:b/>
                <w:bCs/>
                <w:sz w:val="20"/>
                <w:szCs w:val="20"/>
              </w:rPr>
              <w:t>RATE</w:t>
            </w:r>
          </w:p>
        </w:tc>
        <w:tc>
          <w:tcPr>
            <w:tcW w:w="3743" w:type="dxa"/>
          </w:tcPr>
          <w:p w14:paraId="37EAFC00" w14:textId="77777777" w:rsidR="008E67EA" w:rsidRPr="00237D13" w:rsidRDefault="008E67EA" w:rsidP="00B44A74">
            <w:pPr>
              <w:spacing w:line="280" w:lineRule="exact"/>
              <w:rPr>
                <w:rFonts w:cs="Arial"/>
                <w:b/>
                <w:bCs/>
                <w:sz w:val="20"/>
                <w:szCs w:val="20"/>
              </w:rPr>
            </w:pPr>
            <w:r w:rsidRPr="00237D13">
              <w:rPr>
                <w:rFonts w:cs="Arial"/>
                <w:b/>
                <w:bCs/>
                <w:sz w:val="20"/>
                <w:szCs w:val="20"/>
              </w:rPr>
              <w:t>HOW TO APPLY</w:t>
            </w:r>
          </w:p>
        </w:tc>
      </w:tr>
      <w:tr w:rsidR="008E67EA" w:rsidRPr="00307745" w14:paraId="52FC8A61" w14:textId="77777777" w:rsidTr="009C4F64">
        <w:trPr>
          <w:trHeight w:val="257"/>
        </w:trPr>
        <w:tc>
          <w:tcPr>
            <w:tcW w:w="1129" w:type="dxa"/>
          </w:tcPr>
          <w:p w14:paraId="3C0A5844" w14:textId="77777777" w:rsidR="008E67EA" w:rsidRPr="00307745" w:rsidRDefault="008E67EA" w:rsidP="00B44A74">
            <w:pPr>
              <w:spacing w:line="280" w:lineRule="exact"/>
              <w:rPr>
                <w:rFonts w:cs="Arial"/>
                <w:sz w:val="20"/>
                <w:szCs w:val="20"/>
              </w:rPr>
            </w:pPr>
            <w:r w:rsidRPr="00307745">
              <w:rPr>
                <w:rFonts w:cs="Arial"/>
                <w:sz w:val="20"/>
                <w:szCs w:val="20"/>
              </w:rPr>
              <w:t>Mice</w:t>
            </w:r>
          </w:p>
        </w:tc>
        <w:tc>
          <w:tcPr>
            <w:tcW w:w="2824" w:type="dxa"/>
          </w:tcPr>
          <w:p w14:paraId="73E8EE9C" w14:textId="77777777" w:rsidR="008E67EA" w:rsidRPr="00307745" w:rsidRDefault="008E67EA" w:rsidP="00B44A74">
            <w:pPr>
              <w:spacing w:line="280" w:lineRule="exact"/>
              <w:rPr>
                <w:rFonts w:cs="Arial"/>
                <w:sz w:val="20"/>
                <w:szCs w:val="20"/>
              </w:rPr>
            </w:pPr>
            <w:r w:rsidRPr="00307745">
              <w:rPr>
                <w:rFonts w:cs="Arial"/>
                <w:sz w:val="20"/>
                <w:szCs w:val="20"/>
              </w:rPr>
              <w:t>In domestic buildings and commercial premises</w:t>
            </w:r>
          </w:p>
        </w:tc>
        <w:tc>
          <w:tcPr>
            <w:tcW w:w="1320" w:type="dxa"/>
          </w:tcPr>
          <w:p w14:paraId="4A16C291" w14:textId="77777777" w:rsidR="008E67EA" w:rsidRPr="00307745" w:rsidRDefault="008E67EA" w:rsidP="00B44A74">
            <w:pPr>
              <w:spacing w:line="280" w:lineRule="exact"/>
              <w:rPr>
                <w:rFonts w:cs="Arial"/>
                <w:sz w:val="20"/>
                <w:szCs w:val="20"/>
              </w:rPr>
            </w:pPr>
            <w:r w:rsidRPr="00307745">
              <w:rPr>
                <w:rFonts w:cs="Arial"/>
                <w:sz w:val="20"/>
                <w:szCs w:val="20"/>
              </w:rPr>
              <w:t>1 bait per bait station</w:t>
            </w:r>
          </w:p>
        </w:tc>
        <w:tc>
          <w:tcPr>
            <w:tcW w:w="3743" w:type="dxa"/>
          </w:tcPr>
          <w:p w14:paraId="66332418" w14:textId="77777777" w:rsidR="008E67EA" w:rsidRPr="00307745" w:rsidRDefault="008E67EA" w:rsidP="00B44A74">
            <w:pPr>
              <w:spacing w:line="280" w:lineRule="exact"/>
              <w:rPr>
                <w:rFonts w:cs="Arial"/>
                <w:sz w:val="20"/>
                <w:szCs w:val="20"/>
              </w:rPr>
            </w:pPr>
            <w:r w:rsidRPr="00307745">
              <w:rPr>
                <w:rFonts w:cs="Arial"/>
                <w:sz w:val="20"/>
                <w:szCs w:val="20"/>
              </w:rPr>
              <w:t xml:space="preserve">Place </w:t>
            </w:r>
            <w:r>
              <w:rPr>
                <w:rFonts w:cs="Arial"/>
                <w:sz w:val="20"/>
                <w:szCs w:val="20"/>
              </w:rPr>
              <w:t xml:space="preserve">bait stations </w:t>
            </w:r>
            <w:r w:rsidRPr="00307745">
              <w:rPr>
                <w:rFonts w:cs="Arial"/>
                <w:sz w:val="20"/>
                <w:szCs w:val="20"/>
              </w:rPr>
              <w:t>at 2 to 3 m intervals throughout the infested area in places frequented by mice in buildings.</w:t>
            </w:r>
          </w:p>
        </w:tc>
      </w:tr>
      <w:tr w:rsidR="008E67EA" w:rsidRPr="00307745" w14:paraId="5486DF9F" w14:textId="77777777" w:rsidTr="009C4F64">
        <w:trPr>
          <w:trHeight w:val="257"/>
        </w:trPr>
        <w:tc>
          <w:tcPr>
            <w:tcW w:w="1129" w:type="dxa"/>
          </w:tcPr>
          <w:p w14:paraId="3D558707" w14:textId="77777777" w:rsidR="008E67EA" w:rsidRPr="00307745" w:rsidRDefault="008E67EA" w:rsidP="00B44A74">
            <w:pPr>
              <w:spacing w:line="280" w:lineRule="exact"/>
              <w:rPr>
                <w:rFonts w:cs="Arial"/>
                <w:sz w:val="20"/>
                <w:szCs w:val="20"/>
              </w:rPr>
            </w:pPr>
            <w:r w:rsidRPr="00307745">
              <w:rPr>
                <w:rFonts w:cs="Arial"/>
                <w:sz w:val="20"/>
                <w:szCs w:val="20"/>
              </w:rPr>
              <w:t>Rats</w:t>
            </w:r>
          </w:p>
        </w:tc>
        <w:tc>
          <w:tcPr>
            <w:tcW w:w="2824" w:type="dxa"/>
          </w:tcPr>
          <w:p w14:paraId="1529DE94" w14:textId="77777777" w:rsidR="008E67EA" w:rsidRPr="00307745" w:rsidRDefault="008E67EA" w:rsidP="00B44A74">
            <w:pPr>
              <w:spacing w:line="280" w:lineRule="exact"/>
              <w:rPr>
                <w:rFonts w:cs="Arial"/>
                <w:sz w:val="20"/>
                <w:szCs w:val="20"/>
              </w:rPr>
            </w:pPr>
            <w:r w:rsidRPr="00307745">
              <w:rPr>
                <w:rFonts w:cs="Arial"/>
                <w:sz w:val="20"/>
                <w:szCs w:val="20"/>
              </w:rPr>
              <w:t>In and around (within 2 metres) domestic buildings and commercial premises</w:t>
            </w:r>
          </w:p>
        </w:tc>
        <w:tc>
          <w:tcPr>
            <w:tcW w:w="1320" w:type="dxa"/>
          </w:tcPr>
          <w:p w14:paraId="024C8EBD" w14:textId="77777777" w:rsidR="008E67EA" w:rsidRPr="00307745" w:rsidRDefault="008E67EA" w:rsidP="00B44A74">
            <w:pPr>
              <w:spacing w:line="280" w:lineRule="exact"/>
              <w:rPr>
                <w:rFonts w:cs="Arial"/>
                <w:sz w:val="20"/>
                <w:szCs w:val="20"/>
              </w:rPr>
            </w:pPr>
            <w:r w:rsidRPr="00307745">
              <w:rPr>
                <w:rFonts w:cs="Arial"/>
                <w:sz w:val="20"/>
                <w:szCs w:val="20"/>
              </w:rPr>
              <w:t>1 to 3 baits per bait station</w:t>
            </w:r>
          </w:p>
        </w:tc>
        <w:tc>
          <w:tcPr>
            <w:tcW w:w="3743" w:type="dxa"/>
          </w:tcPr>
          <w:p w14:paraId="4E0C9A43" w14:textId="77777777" w:rsidR="008E67EA" w:rsidRPr="00307745" w:rsidRDefault="008E67EA" w:rsidP="00B44A74">
            <w:pPr>
              <w:spacing w:line="280" w:lineRule="exact"/>
              <w:rPr>
                <w:rFonts w:cs="Arial"/>
                <w:sz w:val="20"/>
                <w:szCs w:val="20"/>
              </w:rPr>
            </w:pPr>
            <w:r w:rsidRPr="00307745">
              <w:rPr>
                <w:rFonts w:cs="Arial"/>
                <w:sz w:val="20"/>
                <w:szCs w:val="20"/>
              </w:rPr>
              <w:t xml:space="preserve">Place 1 to 3 bait </w:t>
            </w:r>
            <w:r>
              <w:rPr>
                <w:rFonts w:cs="Arial"/>
                <w:sz w:val="20"/>
                <w:szCs w:val="20"/>
              </w:rPr>
              <w:t>stations</w:t>
            </w:r>
            <w:r w:rsidRPr="00307745">
              <w:rPr>
                <w:rFonts w:cs="Arial"/>
                <w:sz w:val="20"/>
                <w:szCs w:val="20"/>
              </w:rPr>
              <w:t xml:space="preserve"> at intervals of 5 to 9 m in infested areas wherever droppings, damage or other signs of rodent activity are seen.</w:t>
            </w:r>
          </w:p>
        </w:tc>
      </w:tr>
      <w:tr w:rsidR="008E67EA" w:rsidRPr="00307745" w14:paraId="4FC2227A" w14:textId="77777777" w:rsidTr="009C4F64">
        <w:trPr>
          <w:trHeight w:val="257"/>
        </w:trPr>
        <w:tc>
          <w:tcPr>
            <w:tcW w:w="9016" w:type="dxa"/>
            <w:gridSpan w:val="4"/>
          </w:tcPr>
          <w:p w14:paraId="553DBB17" w14:textId="3139CBBF" w:rsidR="008E67EA" w:rsidRPr="00D96955" w:rsidRDefault="008E67EA" w:rsidP="00B44A74">
            <w:pPr>
              <w:spacing w:after="120" w:line="280" w:lineRule="exact"/>
              <w:rPr>
                <w:rFonts w:eastAsia="Calibri" w:cs="Arial"/>
                <w:b/>
                <w:bCs/>
                <w:sz w:val="20"/>
                <w:szCs w:val="20"/>
                <w:bdr w:val="none" w:sz="0" w:space="0" w:color="auto" w:frame="1"/>
                <w:lang w:val="en-GB"/>
              </w:rPr>
            </w:pPr>
            <w:r w:rsidRPr="00D96955">
              <w:rPr>
                <w:rFonts w:eastAsia="Calibri" w:cs="Arial"/>
                <w:b/>
                <w:bCs/>
                <w:sz w:val="20"/>
                <w:szCs w:val="20"/>
                <w:bdr w:val="none" w:sz="0" w:space="0" w:color="auto" w:frame="1"/>
                <w:lang w:val="en-GB"/>
              </w:rPr>
              <w:t>BAITING STRATEGY FOR EFFECTIVE CONTROL</w:t>
            </w:r>
          </w:p>
          <w:p w14:paraId="3C3F4383" w14:textId="77777777" w:rsidR="008E67EA" w:rsidRPr="00D96955" w:rsidRDefault="008E67EA" w:rsidP="00B44A74">
            <w:pPr>
              <w:spacing w:after="120" w:line="280" w:lineRule="exact"/>
              <w:rPr>
                <w:rFonts w:eastAsia="Calibri" w:cs="Arial"/>
                <w:sz w:val="20"/>
                <w:szCs w:val="20"/>
                <w:bdr w:val="none" w:sz="0" w:space="0" w:color="auto" w:frame="1"/>
                <w:lang w:val="en-GB"/>
              </w:rPr>
            </w:pPr>
            <w:r w:rsidRPr="00D96955">
              <w:rPr>
                <w:rFonts w:eastAsia="Calibri" w:cs="Arial"/>
                <w:sz w:val="20"/>
                <w:szCs w:val="20"/>
                <w:bdr w:val="none" w:sz="0" w:space="0" w:color="auto" w:frame="1"/>
                <w:lang w:val="en-GB"/>
              </w:rPr>
              <w:t>Eliminate as far as practical, all alternative food sources.</w:t>
            </w:r>
          </w:p>
          <w:p w14:paraId="620DD07B" w14:textId="114A2246" w:rsidR="008E67EA" w:rsidRPr="001E6DA9" w:rsidRDefault="008E67EA" w:rsidP="00B44A74">
            <w:pPr>
              <w:spacing w:after="120" w:line="280" w:lineRule="exact"/>
              <w:rPr>
                <w:rFonts w:eastAsia="Calibri" w:cs="Arial"/>
                <w:sz w:val="20"/>
                <w:szCs w:val="20"/>
                <w:bdr w:val="none" w:sz="0" w:space="0" w:color="auto" w:frame="1"/>
                <w:lang w:val="en-GB"/>
              </w:rPr>
            </w:pPr>
            <w:r w:rsidRPr="001E6DA9">
              <w:rPr>
                <w:rFonts w:eastAsia="Calibri" w:cs="Arial"/>
                <w:sz w:val="20"/>
                <w:szCs w:val="20"/>
                <w:bdr w:val="none" w:sz="0" w:space="0" w:color="auto" w:frame="1"/>
                <w:lang w:val="en-GB"/>
              </w:rPr>
              <w:t xml:space="preserve">Always place bait where it is inaccessible to children, animals and birds. Use in tamper resistant bait stations only. If bait can be dislodged from bait station, fix tamper-resistant bait stations to the ground or other structures. </w:t>
            </w:r>
            <w:r w:rsidRPr="00D96955">
              <w:rPr>
                <w:rFonts w:eastAsia="Calibri" w:cs="Arial"/>
                <w:sz w:val="20"/>
                <w:szCs w:val="20"/>
                <w:bdr w:val="none" w:sz="0" w:space="0" w:color="auto" w:frame="1"/>
              </w:rPr>
              <w:t>When using outdoors, it is best practice to use weather resistant bait stations.</w:t>
            </w:r>
            <w:r>
              <w:rPr>
                <w:rFonts w:eastAsia="Calibri" w:cs="Arial"/>
                <w:sz w:val="20"/>
                <w:szCs w:val="20"/>
                <w:bdr w:val="none" w:sz="0" w:space="0" w:color="auto" w:frame="1"/>
                <w:lang w:val="en-GB"/>
              </w:rPr>
              <w:t xml:space="preserve"> DO NOT touch bait.</w:t>
            </w:r>
          </w:p>
          <w:p w14:paraId="4703DAFF" w14:textId="6411A0A2" w:rsidR="008E67EA" w:rsidRPr="00D96955" w:rsidRDefault="008E67EA" w:rsidP="00B44A74">
            <w:pPr>
              <w:spacing w:after="120" w:line="280" w:lineRule="exact"/>
              <w:rPr>
                <w:rFonts w:eastAsia="Calibri" w:cs="Arial"/>
                <w:sz w:val="20"/>
                <w:szCs w:val="20"/>
                <w:bdr w:val="none" w:sz="0" w:space="0" w:color="auto" w:frame="1"/>
                <w:lang w:val="en-GB"/>
              </w:rPr>
            </w:pPr>
            <w:r w:rsidRPr="00D96955">
              <w:rPr>
                <w:rFonts w:eastAsia="Calibri" w:cs="Arial"/>
                <w:sz w:val="20"/>
                <w:szCs w:val="20"/>
                <w:bdr w:val="none" w:sz="0" w:space="0" w:color="auto" w:frame="1"/>
                <w:lang w:val="en-GB"/>
              </w:rPr>
              <w:t>Inspect baits frequently, particularly in the first ten days. Replace eaten bait. If bait is completely consumed, the quantity should be increased. Continue replenishing bait until left untouched. Baiting for at least 2 weeks will be necessary to reduce rat/mouse numbers. Most deaths occur 4 to 7 days after consumption of bait, but deaths may occur for up to 2 weeks.</w:t>
            </w:r>
          </w:p>
          <w:p w14:paraId="79F53A15" w14:textId="77777777" w:rsidR="008E67EA" w:rsidRPr="00D96955" w:rsidRDefault="008E67EA" w:rsidP="00B44A74">
            <w:pPr>
              <w:spacing w:after="120" w:line="280" w:lineRule="exact"/>
              <w:rPr>
                <w:rFonts w:eastAsia="Calibri" w:cs="Arial"/>
                <w:sz w:val="20"/>
                <w:szCs w:val="20"/>
                <w:bdr w:val="none" w:sz="0" w:space="0" w:color="auto" w:frame="1"/>
                <w:lang w:val="en-GB"/>
              </w:rPr>
            </w:pPr>
            <w:r w:rsidRPr="00D96955">
              <w:rPr>
                <w:rFonts w:eastAsia="Calibri" w:cs="Arial"/>
                <w:sz w:val="20"/>
                <w:szCs w:val="20"/>
                <w:bdr w:val="none" w:sz="0" w:space="0" w:color="auto" w:frame="1"/>
                <w:lang w:val="en-GB"/>
              </w:rPr>
              <w:t>Following treatment remove all remains of bait and bait containers. DO NOT use the product beyond 35 days. If rodent activity is still observed after 35 days, seek advice from the product supplier or call a pest control service.</w:t>
            </w:r>
          </w:p>
        </w:tc>
      </w:tr>
    </w:tbl>
    <w:p w14:paraId="65178103" w14:textId="6BE98145" w:rsidR="008E67EA" w:rsidRDefault="008E67EA" w:rsidP="008E67EA">
      <w:pPr>
        <w:rPr>
          <w:rFonts w:cs="Arial"/>
          <w:b/>
          <w:bCs/>
          <w:sz w:val="20"/>
          <w:szCs w:val="20"/>
          <w:bdr w:val="none" w:sz="0" w:space="0" w:color="auto" w:frame="1"/>
          <w:lang w:val="en-GB" w:eastAsia="en-AU"/>
        </w:rPr>
      </w:pPr>
      <w:r w:rsidRPr="003358F0">
        <w:rPr>
          <w:rFonts w:cs="Arial"/>
          <w:b/>
          <w:bCs/>
          <w:sz w:val="20"/>
          <w:szCs w:val="20"/>
        </w:rPr>
        <w:t>NOT TO BE USED FOR ANY PURPOSE, OR IN ANY MANNER, CONTRARY TO THIS LABEL UNLESS AUTHORISED.</w:t>
      </w:r>
      <w:r>
        <w:rPr>
          <w:rFonts w:cs="Arial"/>
          <w:b/>
          <w:bCs/>
          <w:sz w:val="20"/>
          <w:szCs w:val="20"/>
          <w:bdr w:val="none" w:sz="0" w:space="0" w:color="auto" w:frame="1"/>
          <w:lang w:val="en-GB" w:eastAsia="en-AU"/>
        </w:rPr>
        <w:br w:type="page"/>
      </w:r>
    </w:p>
    <w:p w14:paraId="51BD44C1" w14:textId="77777777" w:rsidR="008E67EA" w:rsidRPr="00DA343B" w:rsidRDefault="008E67EA" w:rsidP="008E67EA">
      <w:pPr>
        <w:pStyle w:val="Heading1"/>
        <w:rPr>
          <w:rFonts w:ascii="Franklin Gothic Medium" w:eastAsia="Arial Unicode MS" w:hAnsi="Franklin Gothic Medium"/>
          <w:color w:val="000000" w:themeColor="text1"/>
          <w:sz w:val="28"/>
          <w:szCs w:val="28"/>
          <w:bdr w:val="none" w:sz="0" w:space="0" w:color="auto" w:frame="1"/>
          <w:lang w:val="en-GB" w:eastAsia="en-AU"/>
        </w:rPr>
      </w:pPr>
      <w:r>
        <w:rPr>
          <w:rFonts w:ascii="Franklin Gothic Medium" w:eastAsia="Arial Unicode MS" w:hAnsi="Franklin Gothic Medium"/>
          <w:color w:val="000000" w:themeColor="text1"/>
          <w:sz w:val="28"/>
          <w:szCs w:val="28"/>
          <w:bdr w:val="none" w:sz="0" w:space="0" w:color="auto" w:frame="1"/>
          <w:lang w:val="en-GB" w:eastAsia="en-AU"/>
        </w:rPr>
        <w:lastRenderedPageBreak/>
        <w:t>Coumatetralyl</w:t>
      </w:r>
    </w:p>
    <w:p w14:paraId="650372D5" w14:textId="77777777" w:rsidR="008E67EA" w:rsidRDefault="008E67EA" w:rsidP="008E67EA">
      <w:pPr>
        <w:keepNext/>
        <w:keepLines/>
        <w:spacing w:before="400" w:after="240" w:line="280" w:lineRule="exact"/>
        <w:outlineLvl w:val="1"/>
        <w:rPr>
          <w:rFonts w:ascii="Franklin Gothic Medium" w:eastAsia="Arial Unicode MS" w:hAnsi="Franklin Gothic Medium"/>
          <w:bCs/>
          <w:iCs/>
          <w:bdr w:val="none" w:sz="0" w:space="0" w:color="auto" w:frame="1"/>
          <w:lang w:val="en-GB" w:eastAsia="en-AU"/>
        </w:rPr>
      </w:pPr>
      <w:r w:rsidRPr="00FF36BF">
        <w:rPr>
          <w:rFonts w:ascii="Franklin Gothic Medium" w:eastAsia="Arial Unicode MS" w:hAnsi="Franklin Gothic Medium"/>
          <w:bCs/>
          <w:iCs/>
          <w:bdr w:val="none" w:sz="0" w:space="0" w:color="auto" w:frame="1"/>
          <w:lang w:val="en-GB" w:eastAsia="en-AU"/>
        </w:rPr>
        <w:t>Commercial</w:t>
      </w:r>
      <w:r>
        <w:rPr>
          <w:rFonts w:ascii="Franklin Gothic Medium" w:eastAsia="Arial Unicode MS" w:hAnsi="Franklin Gothic Medium"/>
          <w:bCs/>
          <w:iCs/>
          <w:bdr w:val="none" w:sz="0" w:space="0" w:color="auto" w:frame="1"/>
          <w:lang w:val="en-GB" w:eastAsia="en-AU"/>
        </w:rPr>
        <w:t xml:space="preserve"> pest-control product:</w:t>
      </w:r>
      <w:r w:rsidRPr="00FF36BF">
        <w:rPr>
          <w:rFonts w:ascii="Franklin Gothic Medium" w:eastAsia="Arial Unicode MS" w:hAnsi="Franklin Gothic Medium"/>
          <w:bCs/>
          <w:iCs/>
          <w:bdr w:val="none" w:sz="0" w:space="0" w:color="auto" w:frame="1"/>
          <w:lang w:val="en-GB" w:eastAsia="en-AU"/>
        </w:rPr>
        <w:t xml:space="preserve"> </w:t>
      </w:r>
      <w:r w:rsidRPr="00DA343B">
        <w:rPr>
          <w:rFonts w:ascii="Franklin Gothic Medium" w:eastAsia="Arial Unicode MS" w:hAnsi="Franklin Gothic Medium"/>
          <w:bCs/>
          <w:iCs/>
          <w:bdr w:val="none" w:sz="0" w:space="0" w:color="auto" w:frame="1"/>
          <w:lang w:val="en-GB" w:eastAsia="en-AU"/>
        </w:rPr>
        <w:t>RB 0.4 g/kg or less in block formulation</w:t>
      </w:r>
    </w:p>
    <w:p w14:paraId="50594399" w14:textId="77777777" w:rsidR="008E67EA"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t xml:space="preserve">Template Label </w:t>
      </w:r>
      <w:r>
        <w:rPr>
          <w:rFonts w:cs="Arial"/>
          <w:b/>
          <w:bCs/>
          <w:sz w:val="20"/>
          <w:szCs w:val="20"/>
          <w:bdr w:val="none" w:sz="0" w:space="0" w:color="auto" w:frame="1"/>
          <w:lang w:val="en-GB" w:eastAsia="en-AU"/>
        </w:rPr>
        <w:t>16</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2B5B5B" w14:paraId="210C1ED9"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B8325D8" w14:textId="77777777" w:rsidR="008E67EA" w:rsidRPr="00F5215F" w:rsidRDefault="008E67EA" w:rsidP="00B44A74">
            <w:pPr>
              <w:spacing w:line="280" w:lineRule="exact"/>
              <w:rPr>
                <w:rFonts w:cs="Arial"/>
                <w:sz w:val="20"/>
                <w:szCs w:val="20"/>
              </w:rPr>
            </w:pPr>
            <w:r w:rsidRPr="00F5215F">
              <w:rPr>
                <w:rFonts w:cs="Arial"/>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414F7A1A" w14:textId="77777777" w:rsidR="008E67EA" w:rsidRPr="0015462A" w:rsidRDefault="008E67EA" w:rsidP="00B44A74">
            <w:pPr>
              <w:spacing w:line="280" w:lineRule="exact"/>
              <w:rPr>
                <w:rFonts w:cs="Arial"/>
                <w:sz w:val="20"/>
                <w:szCs w:val="20"/>
              </w:rPr>
            </w:pPr>
            <w:r w:rsidRPr="0015462A">
              <w:rPr>
                <w:rFonts w:cs="Arial"/>
                <w:sz w:val="20"/>
                <w:szCs w:val="20"/>
              </w:rPr>
              <w:t>[INSERT LABEL NAME]</w:t>
            </w:r>
          </w:p>
        </w:tc>
      </w:tr>
      <w:tr w:rsidR="008E67EA" w:rsidRPr="002B5B5B" w14:paraId="690A4EB9" w14:textId="77777777" w:rsidTr="00B44A74">
        <w:trPr>
          <w:jc w:val="center"/>
        </w:trPr>
        <w:tc>
          <w:tcPr>
            <w:tcW w:w="2415" w:type="dxa"/>
            <w:tcBorders>
              <w:top w:val="single" w:sz="4" w:space="0" w:color="auto"/>
              <w:left w:val="nil"/>
              <w:bottom w:val="single" w:sz="4" w:space="0" w:color="auto"/>
              <w:right w:val="nil"/>
            </w:tcBorders>
          </w:tcPr>
          <w:p w14:paraId="690837C8"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B50E266" w14:textId="77777777" w:rsidR="008E67EA" w:rsidRPr="0015462A" w:rsidRDefault="008E67EA" w:rsidP="00B44A74">
            <w:pPr>
              <w:spacing w:line="280" w:lineRule="exact"/>
              <w:rPr>
                <w:rFonts w:cs="Arial"/>
                <w:sz w:val="20"/>
                <w:szCs w:val="20"/>
              </w:rPr>
            </w:pPr>
          </w:p>
        </w:tc>
      </w:tr>
      <w:tr w:rsidR="008E67EA" w:rsidRPr="002B5B5B" w14:paraId="7EE78C1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B7B1029" w14:textId="77777777" w:rsidR="008E67EA" w:rsidRPr="00F5215F" w:rsidRDefault="008E67EA" w:rsidP="00B44A74">
            <w:pPr>
              <w:spacing w:line="280" w:lineRule="exact"/>
              <w:rPr>
                <w:rFonts w:cs="Arial"/>
                <w:sz w:val="20"/>
                <w:szCs w:val="20"/>
              </w:rPr>
            </w:pPr>
            <w:r w:rsidRPr="00F5215F">
              <w:rPr>
                <w:rFonts w:cs="Arial"/>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4B27BF86" w14:textId="77777777" w:rsidR="008E67EA" w:rsidRPr="00264119" w:rsidRDefault="008E67EA" w:rsidP="00B44A74">
            <w:pPr>
              <w:spacing w:line="280" w:lineRule="exact"/>
              <w:rPr>
                <w:rFonts w:cs="Arial"/>
                <w:color w:val="000000" w:themeColor="text1"/>
                <w:sz w:val="20"/>
                <w:szCs w:val="20"/>
              </w:rPr>
            </w:pPr>
            <w:r w:rsidRPr="00264119">
              <w:rPr>
                <w:rFonts w:cs="Arial"/>
                <w:color w:val="000000" w:themeColor="text1"/>
                <w:sz w:val="20"/>
                <w:szCs w:val="20"/>
              </w:rPr>
              <w:t>CAUTION</w:t>
            </w:r>
          </w:p>
          <w:p w14:paraId="4EEB4E39" w14:textId="77777777" w:rsidR="008E67EA" w:rsidRPr="00264119" w:rsidRDefault="008E67EA" w:rsidP="00B44A74">
            <w:pPr>
              <w:spacing w:line="280" w:lineRule="exact"/>
              <w:rPr>
                <w:rFonts w:cs="Arial"/>
                <w:color w:val="000000" w:themeColor="text1"/>
                <w:sz w:val="20"/>
                <w:szCs w:val="20"/>
              </w:rPr>
            </w:pPr>
            <w:r w:rsidRPr="00264119">
              <w:rPr>
                <w:rFonts w:cs="Arial"/>
                <w:color w:val="000000" w:themeColor="text1"/>
                <w:sz w:val="20"/>
                <w:szCs w:val="20"/>
              </w:rPr>
              <w:t>KEEP OUT OF REACH OF CHILDREN</w:t>
            </w:r>
          </w:p>
          <w:p w14:paraId="3424B2AE" w14:textId="77777777" w:rsidR="008E67EA" w:rsidRPr="00264119" w:rsidRDefault="008E67EA" w:rsidP="00B44A74">
            <w:pPr>
              <w:spacing w:line="280" w:lineRule="exact"/>
              <w:rPr>
                <w:rFonts w:cs="Arial"/>
                <w:color w:val="000000" w:themeColor="text1"/>
                <w:sz w:val="20"/>
                <w:szCs w:val="20"/>
              </w:rPr>
            </w:pPr>
            <w:r w:rsidRPr="00264119">
              <w:rPr>
                <w:rFonts w:cs="Arial"/>
                <w:color w:val="000000" w:themeColor="text1"/>
                <w:sz w:val="20"/>
                <w:szCs w:val="20"/>
              </w:rPr>
              <w:t>READ SAFETY DIRECIONS BEFORE OPENING OR USING</w:t>
            </w:r>
          </w:p>
        </w:tc>
      </w:tr>
      <w:tr w:rsidR="008E67EA" w:rsidRPr="002B5B5B" w14:paraId="78E6993F" w14:textId="77777777" w:rsidTr="00B44A74">
        <w:trPr>
          <w:jc w:val="center"/>
        </w:trPr>
        <w:tc>
          <w:tcPr>
            <w:tcW w:w="2415" w:type="dxa"/>
            <w:tcBorders>
              <w:top w:val="single" w:sz="4" w:space="0" w:color="auto"/>
              <w:left w:val="nil"/>
              <w:bottom w:val="single" w:sz="4" w:space="0" w:color="auto"/>
              <w:right w:val="nil"/>
            </w:tcBorders>
          </w:tcPr>
          <w:p w14:paraId="13F6F247"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3B95B0C" w14:textId="77777777" w:rsidR="008E67EA" w:rsidRPr="00264119" w:rsidRDefault="008E67EA" w:rsidP="00B44A74">
            <w:pPr>
              <w:spacing w:line="280" w:lineRule="exact"/>
              <w:rPr>
                <w:rFonts w:cs="Arial"/>
                <w:color w:val="000000" w:themeColor="text1"/>
                <w:sz w:val="20"/>
                <w:szCs w:val="20"/>
              </w:rPr>
            </w:pPr>
          </w:p>
        </w:tc>
      </w:tr>
      <w:tr w:rsidR="008E67EA" w:rsidRPr="002B5B5B" w14:paraId="5F19A1D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1920770" w14:textId="77777777" w:rsidR="008E67EA" w:rsidRPr="00F5215F" w:rsidRDefault="008E67EA" w:rsidP="00B44A74">
            <w:pPr>
              <w:spacing w:line="280" w:lineRule="exact"/>
              <w:rPr>
                <w:rFonts w:cs="Arial"/>
                <w:sz w:val="20"/>
                <w:szCs w:val="20"/>
              </w:rPr>
            </w:pPr>
            <w:r w:rsidRPr="00F5215F">
              <w:rPr>
                <w:rFonts w:cs="Arial"/>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1A342FC7" w14:textId="77777777" w:rsidR="008E67EA" w:rsidRPr="00264119" w:rsidRDefault="008E67EA" w:rsidP="00B44A74">
            <w:pPr>
              <w:spacing w:line="280" w:lineRule="exact"/>
              <w:rPr>
                <w:rFonts w:cs="Arial"/>
                <w:color w:val="000000" w:themeColor="text1"/>
                <w:sz w:val="20"/>
                <w:szCs w:val="20"/>
              </w:rPr>
            </w:pPr>
            <w:r w:rsidRPr="00264119">
              <w:rPr>
                <w:rFonts w:cs="Arial"/>
                <w:color w:val="000000" w:themeColor="text1"/>
                <w:sz w:val="20"/>
                <w:szCs w:val="20"/>
              </w:rPr>
              <w:t>ACTIVE CONSTITUENT: 0.37 g/kg COUMATETRALYL</w:t>
            </w:r>
          </w:p>
        </w:tc>
      </w:tr>
      <w:tr w:rsidR="008E67EA" w:rsidRPr="002B5B5B" w14:paraId="66780821" w14:textId="77777777" w:rsidTr="00B44A74">
        <w:trPr>
          <w:jc w:val="center"/>
        </w:trPr>
        <w:tc>
          <w:tcPr>
            <w:tcW w:w="2415" w:type="dxa"/>
            <w:tcBorders>
              <w:top w:val="single" w:sz="4" w:space="0" w:color="auto"/>
              <w:left w:val="nil"/>
              <w:bottom w:val="single" w:sz="4" w:space="0" w:color="auto"/>
              <w:right w:val="nil"/>
            </w:tcBorders>
          </w:tcPr>
          <w:p w14:paraId="75625F96"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9F9FD52" w14:textId="77777777" w:rsidR="008E67EA" w:rsidRPr="0015462A" w:rsidRDefault="008E67EA" w:rsidP="00B44A74">
            <w:pPr>
              <w:spacing w:line="280" w:lineRule="exact"/>
              <w:rPr>
                <w:rFonts w:cs="Arial"/>
                <w:sz w:val="20"/>
                <w:szCs w:val="20"/>
              </w:rPr>
            </w:pPr>
          </w:p>
        </w:tc>
      </w:tr>
      <w:tr w:rsidR="008E67EA" w:rsidRPr="00994236" w14:paraId="4F33769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5DCD5EC" w14:textId="77777777" w:rsidR="008E67EA" w:rsidRPr="00F5215F" w:rsidRDefault="008E67EA" w:rsidP="00B44A74">
            <w:pPr>
              <w:spacing w:line="280" w:lineRule="exact"/>
              <w:rPr>
                <w:rFonts w:cs="Arial"/>
                <w:sz w:val="20"/>
                <w:szCs w:val="20"/>
              </w:rPr>
            </w:pPr>
            <w:r w:rsidRPr="00F5215F">
              <w:rPr>
                <w:rFonts w:cs="Arial"/>
                <w:sz w:val="20"/>
                <w:szCs w:val="20"/>
              </w:rPr>
              <w:t>Mode of Action:</w:t>
            </w:r>
          </w:p>
        </w:tc>
        <w:tc>
          <w:tcPr>
            <w:tcW w:w="7755" w:type="dxa"/>
            <w:tcBorders>
              <w:top w:val="single" w:sz="4" w:space="0" w:color="auto"/>
              <w:left w:val="single" w:sz="4" w:space="0" w:color="auto"/>
              <w:bottom w:val="single" w:sz="4" w:space="0" w:color="auto"/>
              <w:right w:val="single" w:sz="4" w:space="0" w:color="auto"/>
            </w:tcBorders>
          </w:tcPr>
          <w:p w14:paraId="240782D9" w14:textId="77777777" w:rsidR="008E67EA" w:rsidRPr="0015462A" w:rsidRDefault="008E67EA" w:rsidP="00B44A74">
            <w:pPr>
              <w:spacing w:line="280" w:lineRule="exact"/>
              <w:jc w:val="both"/>
              <w:rPr>
                <w:rFonts w:cs="Arial"/>
                <w:sz w:val="20"/>
                <w:szCs w:val="20"/>
              </w:rPr>
            </w:pPr>
          </w:p>
        </w:tc>
      </w:tr>
      <w:tr w:rsidR="008E67EA" w:rsidRPr="002B5B5B" w14:paraId="3A970AB4" w14:textId="77777777" w:rsidTr="00B44A74">
        <w:trPr>
          <w:jc w:val="center"/>
        </w:trPr>
        <w:tc>
          <w:tcPr>
            <w:tcW w:w="2415" w:type="dxa"/>
            <w:tcBorders>
              <w:top w:val="single" w:sz="4" w:space="0" w:color="auto"/>
              <w:left w:val="nil"/>
              <w:bottom w:val="single" w:sz="4" w:space="0" w:color="auto"/>
              <w:right w:val="nil"/>
            </w:tcBorders>
          </w:tcPr>
          <w:p w14:paraId="0458EB01"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23C33AB" w14:textId="77777777" w:rsidR="008E67EA" w:rsidRPr="0015462A" w:rsidRDefault="008E67EA" w:rsidP="00B44A74">
            <w:pPr>
              <w:spacing w:line="280" w:lineRule="exact"/>
              <w:rPr>
                <w:rFonts w:cs="Arial"/>
                <w:sz w:val="20"/>
                <w:szCs w:val="20"/>
              </w:rPr>
            </w:pPr>
          </w:p>
        </w:tc>
      </w:tr>
      <w:tr w:rsidR="008E67EA" w:rsidRPr="002B5B5B" w14:paraId="73632AC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F825E3A" w14:textId="77777777" w:rsidR="008E67EA" w:rsidRPr="00F5215F" w:rsidRDefault="008E67EA" w:rsidP="00B44A74">
            <w:pPr>
              <w:spacing w:line="280" w:lineRule="exact"/>
              <w:rPr>
                <w:rFonts w:cs="Arial"/>
                <w:sz w:val="20"/>
                <w:szCs w:val="20"/>
              </w:rPr>
            </w:pPr>
            <w:r w:rsidRPr="00F5215F">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5765B1CF" w14:textId="77777777" w:rsidR="008E67EA" w:rsidRPr="00082A8A" w:rsidRDefault="008E67EA" w:rsidP="00B44A74">
            <w:pPr>
              <w:spacing w:line="280" w:lineRule="exact"/>
              <w:rPr>
                <w:rFonts w:cs="Arial"/>
                <w:sz w:val="20"/>
                <w:szCs w:val="20"/>
                <w:bdr w:val="none" w:sz="0" w:space="0" w:color="auto" w:frame="1"/>
                <w:lang w:val="en-GB" w:eastAsia="en-AU"/>
              </w:rPr>
            </w:pPr>
            <w:r>
              <w:rPr>
                <w:rFonts w:cs="Arial"/>
                <w:sz w:val="20"/>
                <w:szCs w:val="20"/>
                <w:bdr w:val="none" w:sz="0" w:space="0" w:color="auto" w:frame="1"/>
                <w:lang w:val="en-GB" w:eastAsia="en-AU"/>
              </w:rPr>
              <w:t xml:space="preserve">For control of mice in domestic and industrial </w:t>
            </w:r>
            <w:r w:rsidRPr="00A86A4B">
              <w:rPr>
                <w:rFonts w:cs="Arial"/>
                <w:sz w:val="20"/>
                <w:szCs w:val="20"/>
                <w:bdr w:val="none" w:sz="0" w:space="0" w:color="auto" w:frame="1"/>
                <w:lang w:val="en-GB" w:eastAsia="en-AU"/>
              </w:rPr>
              <w:t>buildings</w:t>
            </w:r>
            <w:r>
              <w:rPr>
                <w:rFonts w:cs="Arial"/>
                <w:sz w:val="20"/>
                <w:szCs w:val="20"/>
                <w:bdr w:val="none" w:sz="0" w:space="0" w:color="auto" w:frame="1"/>
                <w:lang w:val="en-GB" w:eastAsia="en-AU"/>
              </w:rPr>
              <w:t xml:space="preserve"> and for control of rats in and around various buildings and around field crops as per the ‘Directions for use’ table.</w:t>
            </w:r>
          </w:p>
        </w:tc>
      </w:tr>
      <w:tr w:rsidR="008E67EA" w:rsidRPr="002B5B5B" w14:paraId="1DB47439" w14:textId="77777777" w:rsidTr="00B44A74">
        <w:trPr>
          <w:jc w:val="center"/>
        </w:trPr>
        <w:tc>
          <w:tcPr>
            <w:tcW w:w="2415" w:type="dxa"/>
            <w:tcBorders>
              <w:top w:val="single" w:sz="4" w:space="0" w:color="auto"/>
              <w:left w:val="nil"/>
              <w:bottom w:val="single" w:sz="4" w:space="0" w:color="auto"/>
              <w:right w:val="nil"/>
            </w:tcBorders>
          </w:tcPr>
          <w:p w14:paraId="3E6C6F81"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0FE7AA8" w14:textId="77777777" w:rsidR="008E67EA" w:rsidRPr="0015462A" w:rsidRDefault="008E67EA" w:rsidP="00B44A74">
            <w:pPr>
              <w:spacing w:line="280" w:lineRule="exact"/>
              <w:rPr>
                <w:rFonts w:cs="Arial"/>
                <w:sz w:val="20"/>
                <w:szCs w:val="20"/>
              </w:rPr>
            </w:pPr>
          </w:p>
        </w:tc>
      </w:tr>
      <w:tr w:rsidR="008E67EA" w:rsidRPr="002B5B5B" w14:paraId="37BC89F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EDB657B" w14:textId="77777777" w:rsidR="008E67EA" w:rsidRPr="00F5215F" w:rsidRDefault="008E67EA" w:rsidP="00B44A74">
            <w:pPr>
              <w:spacing w:line="280" w:lineRule="exact"/>
              <w:rPr>
                <w:rFonts w:cs="Arial"/>
                <w:sz w:val="20"/>
                <w:szCs w:val="20"/>
              </w:rPr>
            </w:pPr>
            <w:r w:rsidRPr="00F5215F">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31D0F10F" w14:textId="77777777" w:rsidR="008E67EA" w:rsidRPr="006952DA" w:rsidRDefault="008E67EA" w:rsidP="00B44A74">
            <w:pPr>
              <w:spacing w:line="280" w:lineRule="exact"/>
              <w:rPr>
                <w:rFonts w:cs="Arial"/>
                <w:color w:val="7030A0"/>
                <w:sz w:val="20"/>
                <w:szCs w:val="20"/>
              </w:rPr>
            </w:pPr>
            <w:r w:rsidRPr="0015462A">
              <w:rPr>
                <w:rFonts w:cs="Arial"/>
                <w:sz w:val="20"/>
                <w:szCs w:val="20"/>
              </w:rPr>
              <w:t xml:space="preserve">[INSERT </w:t>
            </w:r>
            <w:r>
              <w:rPr>
                <w:rFonts w:cs="Arial"/>
                <w:sz w:val="20"/>
                <w:szCs w:val="20"/>
              </w:rPr>
              <w:t>NET CONTENTS</w:t>
            </w:r>
            <w:r w:rsidRPr="0015462A">
              <w:rPr>
                <w:rFonts w:cs="Arial"/>
                <w:sz w:val="20"/>
                <w:szCs w:val="20"/>
              </w:rPr>
              <w:t>]</w:t>
            </w:r>
          </w:p>
        </w:tc>
      </w:tr>
      <w:tr w:rsidR="008E67EA" w:rsidRPr="002B5B5B" w14:paraId="7715DE66" w14:textId="77777777" w:rsidTr="00B44A74">
        <w:trPr>
          <w:jc w:val="center"/>
        </w:trPr>
        <w:tc>
          <w:tcPr>
            <w:tcW w:w="2415" w:type="dxa"/>
            <w:tcBorders>
              <w:top w:val="single" w:sz="4" w:space="0" w:color="auto"/>
              <w:left w:val="nil"/>
              <w:bottom w:val="single" w:sz="4" w:space="0" w:color="auto"/>
              <w:right w:val="nil"/>
            </w:tcBorders>
          </w:tcPr>
          <w:p w14:paraId="5705A770"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EF5644F" w14:textId="77777777" w:rsidR="008E67EA" w:rsidRPr="002B5B5B" w:rsidRDefault="008E67EA" w:rsidP="00B44A74">
            <w:pPr>
              <w:spacing w:line="280" w:lineRule="exact"/>
              <w:rPr>
                <w:rFonts w:cs="Arial"/>
                <w:sz w:val="20"/>
                <w:szCs w:val="20"/>
              </w:rPr>
            </w:pPr>
          </w:p>
        </w:tc>
      </w:tr>
      <w:tr w:rsidR="008E67EA" w:rsidRPr="002B5B5B" w14:paraId="2CD7E52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D01D5A2" w14:textId="77777777" w:rsidR="008E67EA" w:rsidRPr="00F5215F" w:rsidRDefault="008E67EA" w:rsidP="00B44A74">
            <w:pPr>
              <w:spacing w:line="280" w:lineRule="exact"/>
              <w:rPr>
                <w:rFonts w:cs="Arial"/>
                <w:sz w:val="20"/>
                <w:szCs w:val="20"/>
              </w:rPr>
            </w:pPr>
            <w:r w:rsidRPr="00F5215F">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6A6D74F3" w14:textId="77777777" w:rsidR="008E67EA" w:rsidRPr="00637B85" w:rsidRDefault="008E67EA" w:rsidP="00B44A74">
            <w:pPr>
              <w:spacing w:line="280" w:lineRule="exact"/>
              <w:rPr>
                <w:rFonts w:cs="Arial"/>
                <w:sz w:val="20"/>
                <w:szCs w:val="20"/>
              </w:rPr>
            </w:pPr>
            <w:r w:rsidRPr="00637B85">
              <w:rPr>
                <w:rFonts w:cs="Arial"/>
                <w:sz w:val="20"/>
                <w:szCs w:val="20"/>
              </w:rPr>
              <w:t>RESTRAINTS</w:t>
            </w:r>
          </w:p>
          <w:p w14:paraId="042C8AF6" w14:textId="77777777" w:rsidR="008E67EA" w:rsidRPr="00637B85" w:rsidRDefault="008E67EA" w:rsidP="00B44A74">
            <w:pPr>
              <w:spacing w:line="280" w:lineRule="exact"/>
              <w:rPr>
                <w:rFonts w:cs="Arial"/>
                <w:sz w:val="20"/>
                <w:szCs w:val="20"/>
              </w:rPr>
            </w:pPr>
            <w:r w:rsidRPr="00637B85">
              <w:rPr>
                <w:rFonts w:cs="Arial"/>
                <w:sz w:val="20"/>
                <w:szCs w:val="20"/>
              </w:rPr>
              <w:t>DO NOT use this product unless you have a current qualification in the nationally recognised training course for rodent pest management CPPUPM3006 - Manage pests by applying pesticides, or an equivalent unit of competency.</w:t>
            </w:r>
          </w:p>
          <w:p w14:paraId="3BDBBC6F" w14:textId="78111DA4" w:rsidR="008E67EA" w:rsidRPr="00637B85" w:rsidRDefault="008E67EA" w:rsidP="00B44A74">
            <w:pPr>
              <w:spacing w:line="280" w:lineRule="exact"/>
              <w:rPr>
                <w:rFonts w:cs="Arial"/>
                <w:sz w:val="20"/>
                <w:szCs w:val="20"/>
              </w:rPr>
            </w:pPr>
            <w:r w:rsidRPr="00637B85">
              <w:rPr>
                <w:rFonts w:cs="Arial"/>
                <w:sz w:val="20"/>
                <w:szCs w:val="20"/>
              </w:rPr>
              <w:t>DO NOT place baits in areas that are accessible to children. In child-accessible areas baits must be placed in tamper-resistant bait stations. If bait can be dislodged from bait station, bait station must be secured in place.</w:t>
            </w:r>
          </w:p>
          <w:p w14:paraId="77D8C995" w14:textId="77777777" w:rsidR="008E67EA" w:rsidRPr="00637B85" w:rsidRDefault="008E67EA" w:rsidP="00B44A74">
            <w:pPr>
              <w:spacing w:line="280" w:lineRule="exact"/>
              <w:rPr>
                <w:rFonts w:cs="Arial"/>
                <w:sz w:val="20"/>
                <w:szCs w:val="20"/>
              </w:rPr>
            </w:pPr>
            <w:r w:rsidRPr="00637B85">
              <w:rPr>
                <w:rFonts w:cs="Arial"/>
                <w:sz w:val="20"/>
                <w:szCs w:val="20"/>
              </w:rPr>
              <w:t>DO NOT place bait outdoors unless it is in a tamper-resistant bait station which is secured in place.</w:t>
            </w:r>
          </w:p>
          <w:p w14:paraId="52BA6279" w14:textId="77777777" w:rsidR="008E67EA" w:rsidRPr="00637B85" w:rsidRDefault="008E67EA" w:rsidP="00B44A74">
            <w:pPr>
              <w:spacing w:line="280" w:lineRule="exact"/>
              <w:rPr>
                <w:rFonts w:cs="Arial"/>
                <w:sz w:val="20"/>
                <w:szCs w:val="20"/>
              </w:rPr>
            </w:pPr>
            <w:r w:rsidRPr="00637B85">
              <w:rPr>
                <w:rFonts w:cs="Arial"/>
                <w:sz w:val="20"/>
                <w:szCs w:val="20"/>
              </w:rPr>
              <w:t>DO NOT place bait in food crop situations unless in tamper-resistant and weather resistant bait stations. DO NOT graze or feed livestock near treated areas whilst bait is present.</w:t>
            </w:r>
          </w:p>
          <w:p w14:paraId="536093D9" w14:textId="77777777" w:rsidR="008E67EA" w:rsidRPr="00637B85" w:rsidRDefault="008E67EA" w:rsidP="00B44A74">
            <w:pPr>
              <w:spacing w:line="280" w:lineRule="exact"/>
              <w:rPr>
                <w:rFonts w:cs="Arial"/>
                <w:sz w:val="20"/>
                <w:szCs w:val="20"/>
              </w:rPr>
            </w:pPr>
            <w:r w:rsidRPr="00637B85">
              <w:rPr>
                <w:rFonts w:cs="Arial"/>
                <w:sz w:val="20"/>
                <w:szCs w:val="20"/>
              </w:rPr>
              <w:t>DO NOT place bait stations outdoors around buildings for control of mice.</w:t>
            </w:r>
          </w:p>
          <w:p w14:paraId="3B14C825" w14:textId="77777777" w:rsidR="008E67EA" w:rsidRPr="00637B85" w:rsidRDefault="008E67EA" w:rsidP="00B44A74">
            <w:pPr>
              <w:spacing w:line="280" w:lineRule="exact"/>
              <w:rPr>
                <w:rFonts w:cs="Arial"/>
                <w:sz w:val="20"/>
                <w:szCs w:val="20"/>
              </w:rPr>
            </w:pPr>
            <w:r w:rsidRPr="00637B85">
              <w:rPr>
                <w:rFonts w:cs="Arial"/>
                <w:sz w:val="20"/>
                <w:szCs w:val="20"/>
              </w:rPr>
              <w:t>DO NOT bait in areas where wildlife may be collected for human consumption.</w:t>
            </w:r>
          </w:p>
          <w:p w14:paraId="274F04E4" w14:textId="77777777" w:rsidR="008E67EA" w:rsidRPr="00637B85" w:rsidRDefault="008E67EA" w:rsidP="00B44A74">
            <w:pPr>
              <w:spacing w:line="280" w:lineRule="exact"/>
              <w:rPr>
                <w:rFonts w:cs="Arial"/>
                <w:sz w:val="20"/>
                <w:szCs w:val="20"/>
              </w:rPr>
            </w:pPr>
            <w:r w:rsidRPr="00637B85">
              <w:rPr>
                <w:rFonts w:cs="Arial"/>
                <w:sz w:val="20"/>
                <w:szCs w:val="20"/>
              </w:rPr>
              <w:t>DO NOT place in animal or livestock housing unless used in tamper-resistant and weather resistant bait stations fixed to the ground or other structures.</w:t>
            </w:r>
          </w:p>
          <w:p w14:paraId="1D7B6351" w14:textId="77777777" w:rsidR="008E67EA" w:rsidRPr="00637B85" w:rsidRDefault="008E67EA" w:rsidP="00B44A74">
            <w:pPr>
              <w:spacing w:line="280" w:lineRule="exact"/>
              <w:rPr>
                <w:rFonts w:cs="Arial"/>
                <w:sz w:val="20"/>
                <w:szCs w:val="20"/>
              </w:rPr>
            </w:pPr>
            <w:r w:rsidRPr="00637B85">
              <w:rPr>
                <w:rFonts w:cs="Arial"/>
                <w:sz w:val="20"/>
                <w:szCs w:val="20"/>
              </w:rPr>
              <w:t>DO NOT place bait or bait stations above areas which would allow them to contaminate pig and poultry food or drinking water.</w:t>
            </w:r>
          </w:p>
          <w:p w14:paraId="219DCEA7" w14:textId="77777777" w:rsidR="008E67EA" w:rsidRPr="00637B85" w:rsidRDefault="008E67EA" w:rsidP="00B44A74">
            <w:pPr>
              <w:spacing w:line="280" w:lineRule="exact"/>
              <w:rPr>
                <w:rFonts w:cs="Arial"/>
                <w:sz w:val="20"/>
                <w:szCs w:val="20"/>
              </w:rPr>
            </w:pPr>
            <w:r w:rsidRPr="00637B85">
              <w:rPr>
                <w:rFonts w:cs="Arial"/>
                <w:sz w:val="20"/>
                <w:szCs w:val="20"/>
              </w:rPr>
              <w:t>DO NOT apply this product directly into burrows.</w:t>
            </w:r>
          </w:p>
          <w:p w14:paraId="3E0DA74C" w14:textId="77777777" w:rsidR="008E67EA" w:rsidRPr="00264119" w:rsidRDefault="008E67EA" w:rsidP="00B44A74">
            <w:pPr>
              <w:spacing w:line="280" w:lineRule="exact"/>
              <w:rPr>
                <w:rFonts w:cs="Arial"/>
                <w:sz w:val="20"/>
                <w:szCs w:val="20"/>
                <w:bdr w:val="none" w:sz="0" w:space="0" w:color="auto" w:frame="1"/>
                <w:lang w:val="en-GB" w:eastAsia="en-AU"/>
              </w:rPr>
            </w:pPr>
            <w:r w:rsidRPr="00637B85">
              <w:rPr>
                <w:rFonts w:cs="Arial"/>
                <w:sz w:val="20"/>
                <w:szCs w:val="20"/>
              </w:rPr>
              <w:t>DO NOT use product in pulse baiting treatments</w:t>
            </w:r>
          </w:p>
        </w:tc>
      </w:tr>
      <w:tr w:rsidR="008E67EA" w:rsidRPr="002B5B5B" w14:paraId="4DA9D500" w14:textId="77777777" w:rsidTr="00B44A74">
        <w:trPr>
          <w:jc w:val="center"/>
        </w:trPr>
        <w:tc>
          <w:tcPr>
            <w:tcW w:w="2415" w:type="dxa"/>
            <w:tcBorders>
              <w:top w:val="single" w:sz="4" w:space="0" w:color="auto"/>
              <w:left w:val="nil"/>
              <w:bottom w:val="single" w:sz="4" w:space="0" w:color="auto"/>
              <w:right w:val="nil"/>
            </w:tcBorders>
          </w:tcPr>
          <w:p w14:paraId="717EDB23"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AA9C2FB" w14:textId="77777777" w:rsidR="008E67EA" w:rsidRPr="002B5B5B" w:rsidRDefault="008E67EA" w:rsidP="00B44A74">
            <w:pPr>
              <w:spacing w:line="280" w:lineRule="exact"/>
              <w:rPr>
                <w:rFonts w:cs="Arial"/>
                <w:sz w:val="20"/>
                <w:szCs w:val="20"/>
              </w:rPr>
            </w:pPr>
          </w:p>
        </w:tc>
      </w:tr>
      <w:tr w:rsidR="008E67EA" w:rsidRPr="002B5B5B" w14:paraId="3D4074E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75D3539" w14:textId="77777777" w:rsidR="008E67EA" w:rsidRPr="00F5215F" w:rsidRDefault="008E67EA" w:rsidP="00B44A74">
            <w:pPr>
              <w:spacing w:line="280" w:lineRule="exact"/>
              <w:rPr>
                <w:rFonts w:cs="Arial"/>
                <w:sz w:val="20"/>
                <w:szCs w:val="20"/>
              </w:rPr>
            </w:pPr>
            <w:r w:rsidRPr="00F5215F">
              <w:rPr>
                <w:rFonts w:cs="Arial"/>
                <w:sz w:val="20"/>
                <w:szCs w:val="20"/>
              </w:rPr>
              <w:t>Directions for Use:</w:t>
            </w:r>
          </w:p>
        </w:tc>
        <w:tc>
          <w:tcPr>
            <w:tcW w:w="7755" w:type="dxa"/>
            <w:tcBorders>
              <w:top w:val="single" w:sz="4" w:space="0" w:color="auto"/>
              <w:left w:val="single" w:sz="4" w:space="0" w:color="auto"/>
              <w:bottom w:val="single" w:sz="4" w:space="0" w:color="auto"/>
              <w:right w:val="single" w:sz="4" w:space="0" w:color="auto"/>
            </w:tcBorders>
          </w:tcPr>
          <w:p w14:paraId="1DCF857B" w14:textId="77777777" w:rsidR="008E67EA" w:rsidRPr="00EB4816" w:rsidRDefault="008E67EA" w:rsidP="00B44A74">
            <w:pPr>
              <w:spacing w:line="280" w:lineRule="exact"/>
              <w:rPr>
                <w:rFonts w:cs="Arial"/>
                <w:sz w:val="20"/>
                <w:szCs w:val="20"/>
              </w:rPr>
            </w:pPr>
            <w:r w:rsidRPr="00B832BB">
              <w:rPr>
                <w:rFonts w:cs="Arial"/>
                <w:sz w:val="20"/>
                <w:szCs w:val="20"/>
              </w:rPr>
              <w:t>[This section contains an attachment below]</w:t>
            </w:r>
          </w:p>
        </w:tc>
      </w:tr>
      <w:tr w:rsidR="008E67EA" w:rsidRPr="002B5B5B" w14:paraId="050DB812" w14:textId="77777777" w:rsidTr="00B44A74">
        <w:trPr>
          <w:jc w:val="center"/>
        </w:trPr>
        <w:tc>
          <w:tcPr>
            <w:tcW w:w="2415" w:type="dxa"/>
            <w:tcBorders>
              <w:top w:val="single" w:sz="4" w:space="0" w:color="auto"/>
              <w:left w:val="nil"/>
              <w:bottom w:val="single" w:sz="4" w:space="0" w:color="auto"/>
              <w:right w:val="nil"/>
            </w:tcBorders>
          </w:tcPr>
          <w:p w14:paraId="6CD0DA97"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35EC08D" w14:textId="77777777" w:rsidR="008E67EA" w:rsidRPr="002B5B5B" w:rsidRDefault="008E67EA" w:rsidP="00B44A74">
            <w:pPr>
              <w:spacing w:line="280" w:lineRule="exact"/>
              <w:rPr>
                <w:rFonts w:cs="Arial"/>
                <w:sz w:val="20"/>
                <w:szCs w:val="20"/>
              </w:rPr>
            </w:pPr>
          </w:p>
        </w:tc>
      </w:tr>
      <w:tr w:rsidR="008E67EA" w:rsidRPr="002B5B5B" w14:paraId="13D9DAE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A5B2BA7" w14:textId="77777777" w:rsidR="008E67EA" w:rsidRPr="00F5215F" w:rsidRDefault="008E67EA" w:rsidP="00B44A74">
            <w:pPr>
              <w:spacing w:line="280" w:lineRule="exact"/>
              <w:rPr>
                <w:rFonts w:cs="Arial"/>
                <w:sz w:val="20"/>
                <w:szCs w:val="20"/>
              </w:rPr>
            </w:pPr>
            <w:r w:rsidRPr="00F5215F">
              <w:rPr>
                <w:rFonts w:cs="Arial"/>
                <w:sz w:val="20"/>
                <w:szCs w:val="20"/>
              </w:rPr>
              <w:t>Other Limitations:</w:t>
            </w:r>
          </w:p>
        </w:tc>
        <w:tc>
          <w:tcPr>
            <w:tcW w:w="7755" w:type="dxa"/>
            <w:tcBorders>
              <w:top w:val="single" w:sz="4" w:space="0" w:color="auto"/>
              <w:left w:val="single" w:sz="4" w:space="0" w:color="auto"/>
              <w:bottom w:val="single" w:sz="4" w:space="0" w:color="auto"/>
              <w:right w:val="single" w:sz="4" w:space="0" w:color="auto"/>
            </w:tcBorders>
          </w:tcPr>
          <w:p w14:paraId="16A6B0D0" w14:textId="77777777" w:rsidR="008E67EA" w:rsidRPr="006952DA" w:rsidRDefault="008E67EA" w:rsidP="00B44A74">
            <w:pPr>
              <w:spacing w:line="280" w:lineRule="exact"/>
              <w:rPr>
                <w:rFonts w:cs="Arial"/>
                <w:color w:val="7030A0"/>
                <w:sz w:val="20"/>
                <w:szCs w:val="20"/>
              </w:rPr>
            </w:pPr>
          </w:p>
        </w:tc>
      </w:tr>
      <w:tr w:rsidR="008E67EA" w:rsidRPr="002B5B5B" w14:paraId="098596D6" w14:textId="77777777" w:rsidTr="00B44A74">
        <w:trPr>
          <w:jc w:val="center"/>
        </w:trPr>
        <w:tc>
          <w:tcPr>
            <w:tcW w:w="2415" w:type="dxa"/>
            <w:tcBorders>
              <w:top w:val="single" w:sz="4" w:space="0" w:color="auto"/>
              <w:left w:val="nil"/>
              <w:bottom w:val="single" w:sz="4" w:space="0" w:color="auto"/>
              <w:right w:val="nil"/>
            </w:tcBorders>
          </w:tcPr>
          <w:p w14:paraId="27AEAFDF"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39DD873" w14:textId="77777777" w:rsidR="008E67EA" w:rsidRPr="002B5B5B" w:rsidRDefault="008E67EA" w:rsidP="00B44A74">
            <w:pPr>
              <w:spacing w:line="280" w:lineRule="exact"/>
              <w:rPr>
                <w:rFonts w:cs="Arial"/>
                <w:sz w:val="20"/>
                <w:szCs w:val="20"/>
              </w:rPr>
            </w:pPr>
          </w:p>
        </w:tc>
      </w:tr>
      <w:tr w:rsidR="008E67EA" w:rsidRPr="002B5B5B" w14:paraId="6FDDCC6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4F84850" w14:textId="77777777" w:rsidR="008E67EA" w:rsidRPr="00F5215F" w:rsidRDefault="008E67EA" w:rsidP="00B44A74">
            <w:pPr>
              <w:spacing w:line="280" w:lineRule="exact"/>
              <w:rPr>
                <w:rFonts w:cs="Arial"/>
                <w:sz w:val="20"/>
                <w:szCs w:val="20"/>
              </w:rPr>
            </w:pPr>
            <w:r w:rsidRPr="00F5215F">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23FB0439" w14:textId="77777777" w:rsidR="008E67EA" w:rsidRPr="00DA77F2" w:rsidRDefault="008E67EA" w:rsidP="00B44A74">
            <w:pPr>
              <w:tabs>
                <w:tab w:val="left" w:pos="1001"/>
              </w:tabs>
              <w:spacing w:line="280" w:lineRule="exact"/>
              <w:rPr>
                <w:rFonts w:cs="Arial"/>
                <w:color w:val="7030A0"/>
                <w:sz w:val="20"/>
                <w:szCs w:val="20"/>
              </w:rPr>
            </w:pPr>
          </w:p>
        </w:tc>
      </w:tr>
      <w:tr w:rsidR="008E67EA" w:rsidRPr="002B5B5B" w14:paraId="4BC9157C" w14:textId="77777777" w:rsidTr="00B44A74">
        <w:trPr>
          <w:jc w:val="center"/>
        </w:trPr>
        <w:tc>
          <w:tcPr>
            <w:tcW w:w="2415" w:type="dxa"/>
            <w:tcBorders>
              <w:top w:val="single" w:sz="4" w:space="0" w:color="auto"/>
              <w:left w:val="nil"/>
              <w:bottom w:val="single" w:sz="4" w:space="0" w:color="auto"/>
              <w:right w:val="nil"/>
            </w:tcBorders>
          </w:tcPr>
          <w:p w14:paraId="2AF7997C"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7C7EC81" w14:textId="77777777" w:rsidR="008E67EA" w:rsidRPr="002B5B5B" w:rsidRDefault="008E67EA" w:rsidP="00B44A74">
            <w:pPr>
              <w:spacing w:line="280" w:lineRule="exact"/>
              <w:rPr>
                <w:rFonts w:cs="Arial"/>
                <w:sz w:val="20"/>
                <w:szCs w:val="20"/>
              </w:rPr>
            </w:pPr>
          </w:p>
        </w:tc>
      </w:tr>
      <w:tr w:rsidR="008E67EA" w:rsidRPr="002B5B5B" w14:paraId="629628D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C4A235D" w14:textId="77777777" w:rsidR="008E67EA" w:rsidRPr="00F5215F" w:rsidRDefault="008E67EA" w:rsidP="00B44A74">
            <w:pPr>
              <w:spacing w:line="280" w:lineRule="exact"/>
              <w:rPr>
                <w:rFonts w:cs="Arial"/>
                <w:sz w:val="20"/>
                <w:szCs w:val="20"/>
              </w:rPr>
            </w:pPr>
            <w:r w:rsidRPr="00F5215F">
              <w:rPr>
                <w:rFonts w:cs="Arial"/>
                <w:sz w:val="20"/>
                <w:szCs w:val="20"/>
              </w:rPr>
              <w:t>Trade Advice:</w:t>
            </w:r>
          </w:p>
        </w:tc>
        <w:tc>
          <w:tcPr>
            <w:tcW w:w="7755" w:type="dxa"/>
            <w:tcBorders>
              <w:top w:val="single" w:sz="4" w:space="0" w:color="auto"/>
              <w:left w:val="single" w:sz="4" w:space="0" w:color="auto"/>
              <w:bottom w:val="single" w:sz="4" w:space="0" w:color="auto"/>
              <w:right w:val="single" w:sz="4" w:space="0" w:color="auto"/>
            </w:tcBorders>
          </w:tcPr>
          <w:p w14:paraId="433BA783" w14:textId="77777777" w:rsidR="008E67EA" w:rsidRPr="002B5B5B" w:rsidRDefault="008E67EA" w:rsidP="00B44A74">
            <w:pPr>
              <w:spacing w:line="280" w:lineRule="exact"/>
              <w:rPr>
                <w:rFonts w:cs="Arial"/>
                <w:sz w:val="20"/>
                <w:szCs w:val="20"/>
              </w:rPr>
            </w:pPr>
          </w:p>
        </w:tc>
      </w:tr>
      <w:tr w:rsidR="008E67EA" w:rsidRPr="002B5B5B" w14:paraId="4F55F23D" w14:textId="77777777" w:rsidTr="00B44A74">
        <w:trPr>
          <w:jc w:val="center"/>
        </w:trPr>
        <w:tc>
          <w:tcPr>
            <w:tcW w:w="2415" w:type="dxa"/>
            <w:tcBorders>
              <w:top w:val="single" w:sz="4" w:space="0" w:color="auto"/>
              <w:left w:val="nil"/>
              <w:bottom w:val="single" w:sz="4" w:space="0" w:color="auto"/>
              <w:right w:val="nil"/>
            </w:tcBorders>
          </w:tcPr>
          <w:p w14:paraId="35A9177F"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2F72BBE" w14:textId="77777777" w:rsidR="008E67EA" w:rsidRPr="002B5B5B" w:rsidRDefault="008E67EA" w:rsidP="00B44A74">
            <w:pPr>
              <w:spacing w:line="280" w:lineRule="exact"/>
              <w:rPr>
                <w:rFonts w:cs="Arial"/>
                <w:sz w:val="20"/>
                <w:szCs w:val="20"/>
              </w:rPr>
            </w:pPr>
          </w:p>
        </w:tc>
      </w:tr>
      <w:tr w:rsidR="008E67EA" w:rsidRPr="002B5B5B" w14:paraId="4D742DE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F3ADC50" w14:textId="77777777" w:rsidR="008E67EA" w:rsidRPr="00F5215F" w:rsidRDefault="008E67EA" w:rsidP="00B44A74">
            <w:pPr>
              <w:spacing w:line="280" w:lineRule="exact"/>
              <w:rPr>
                <w:rFonts w:cs="Arial"/>
                <w:sz w:val="20"/>
                <w:szCs w:val="20"/>
              </w:rPr>
            </w:pPr>
            <w:r w:rsidRPr="00F5215F">
              <w:rPr>
                <w:rFonts w:cs="Arial"/>
                <w:sz w:val="20"/>
                <w:szCs w:val="20"/>
              </w:rPr>
              <w:t>General Directions:</w:t>
            </w:r>
          </w:p>
        </w:tc>
        <w:tc>
          <w:tcPr>
            <w:tcW w:w="7755" w:type="dxa"/>
            <w:tcBorders>
              <w:top w:val="single" w:sz="4" w:space="0" w:color="auto"/>
              <w:left w:val="single" w:sz="4" w:space="0" w:color="auto"/>
              <w:bottom w:val="single" w:sz="4" w:space="0" w:color="auto"/>
              <w:right w:val="single" w:sz="4" w:space="0" w:color="auto"/>
            </w:tcBorders>
          </w:tcPr>
          <w:p w14:paraId="0022ADDA" w14:textId="77777777" w:rsidR="008E67EA" w:rsidRPr="006952DA" w:rsidRDefault="008E67EA" w:rsidP="00B44A74">
            <w:pPr>
              <w:spacing w:line="280" w:lineRule="exact"/>
              <w:rPr>
                <w:rFonts w:cs="Arial"/>
                <w:color w:val="7030A0"/>
                <w:sz w:val="20"/>
                <w:szCs w:val="20"/>
              </w:rPr>
            </w:pPr>
          </w:p>
        </w:tc>
      </w:tr>
      <w:tr w:rsidR="008E67EA" w:rsidRPr="002B5B5B" w14:paraId="6D1BDED8" w14:textId="77777777" w:rsidTr="00B44A74">
        <w:trPr>
          <w:jc w:val="center"/>
        </w:trPr>
        <w:tc>
          <w:tcPr>
            <w:tcW w:w="2415" w:type="dxa"/>
            <w:tcBorders>
              <w:top w:val="single" w:sz="4" w:space="0" w:color="auto"/>
              <w:left w:val="nil"/>
              <w:bottom w:val="single" w:sz="4" w:space="0" w:color="auto"/>
              <w:right w:val="nil"/>
            </w:tcBorders>
          </w:tcPr>
          <w:p w14:paraId="7D12E3F7"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8C08785" w14:textId="77777777" w:rsidR="008E67EA" w:rsidRPr="002B5B5B" w:rsidRDefault="008E67EA" w:rsidP="00B44A74">
            <w:pPr>
              <w:spacing w:line="280" w:lineRule="exact"/>
              <w:rPr>
                <w:rFonts w:cs="Arial"/>
                <w:sz w:val="20"/>
                <w:szCs w:val="20"/>
              </w:rPr>
            </w:pPr>
          </w:p>
        </w:tc>
      </w:tr>
      <w:tr w:rsidR="008E67EA" w:rsidRPr="002B5B5B" w14:paraId="212E3AC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140E307" w14:textId="77777777" w:rsidR="008E67EA" w:rsidRPr="00F5215F" w:rsidRDefault="008E67EA" w:rsidP="00B44A74">
            <w:pPr>
              <w:spacing w:line="280" w:lineRule="exact"/>
              <w:rPr>
                <w:rFonts w:cs="Arial"/>
                <w:sz w:val="20"/>
                <w:szCs w:val="20"/>
              </w:rPr>
            </w:pPr>
            <w:r w:rsidRPr="00F5215F">
              <w:rPr>
                <w:rFonts w:cs="Arial"/>
                <w:sz w:val="20"/>
                <w:szCs w:val="20"/>
              </w:rPr>
              <w:t>Resistance Warning:</w:t>
            </w:r>
          </w:p>
        </w:tc>
        <w:tc>
          <w:tcPr>
            <w:tcW w:w="7755" w:type="dxa"/>
            <w:tcBorders>
              <w:top w:val="single" w:sz="4" w:space="0" w:color="auto"/>
              <w:left w:val="single" w:sz="4" w:space="0" w:color="auto"/>
              <w:bottom w:val="single" w:sz="4" w:space="0" w:color="auto"/>
              <w:right w:val="single" w:sz="4" w:space="0" w:color="auto"/>
            </w:tcBorders>
          </w:tcPr>
          <w:p w14:paraId="11526660" w14:textId="77777777" w:rsidR="008E67EA" w:rsidRPr="002B5B5B" w:rsidRDefault="008E67EA" w:rsidP="00B44A74">
            <w:pPr>
              <w:spacing w:line="280" w:lineRule="exact"/>
              <w:rPr>
                <w:rFonts w:cs="Arial"/>
                <w:sz w:val="20"/>
                <w:szCs w:val="20"/>
              </w:rPr>
            </w:pPr>
          </w:p>
        </w:tc>
      </w:tr>
      <w:tr w:rsidR="008E67EA" w:rsidRPr="002B5B5B" w14:paraId="10C9EDFD" w14:textId="77777777" w:rsidTr="00B44A74">
        <w:trPr>
          <w:jc w:val="center"/>
        </w:trPr>
        <w:tc>
          <w:tcPr>
            <w:tcW w:w="2415" w:type="dxa"/>
            <w:tcBorders>
              <w:top w:val="single" w:sz="4" w:space="0" w:color="auto"/>
              <w:left w:val="nil"/>
              <w:bottom w:val="single" w:sz="4" w:space="0" w:color="auto"/>
              <w:right w:val="nil"/>
            </w:tcBorders>
          </w:tcPr>
          <w:p w14:paraId="0590DBB4"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14936D9" w14:textId="77777777" w:rsidR="008E67EA" w:rsidRPr="002B5B5B" w:rsidRDefault="008E67EA" w:rsidP="00B44A74">
            <w:pPr>
              <w:spacing w:line="280" w:lineRule="exact"/>
              <w:rPr>
                <w:rFonts w:cs="Arial"/>
                <w:sz w:val="20"/>
                <w:szCs w:val="20"/>
              </w:rPr>
            </w:pPr>
          </w:p>
        </w:tc>
      </w:tr>
      <w:tr w:rsidR="008E67EA" w:rsidRPr="002B5B5B" w14:paraId="3885F694" w14:textId="77777777" w:rsidTr="00B44A74">
        <w:trPr>
          <w:trHeight w:val="1684"/>
          <w:jc w:val="center"/>
        </w:trPr>
        <w:tc>
          <w:tcPr>
            <w:tcW w:w="2415" w:type="dxa"/>
            <w:tcBorders>
              <w:top w:val="single" w:sz="4" w:space="0" w:color="auto"/>
              <w:left w:val="single" w:sz="4" w:space="0" w:color="auto"/>
              <w:bottom w:val="single" w:sz="4" w:space="0" w:color="auto"/>
              <w:right w:val="single" w:sz="4" w:space="0" w:color="auto"/>
            </w:tcBorders>
            <w:hideMark/>
          </w:tcPr>
          <w:p w14:paraId="2DBBBD81" w14:textId="77777777" w:rsidR="008E67EA" w:rsidRPr="00F5215F" w:rsidRDefault="008E67EA" w:rsidP="00B44A74">
            <w:pPr>
              <w:spacing w:line="280" w:lineRule="exact"/>
              <w:rPr>
                <w:rFonts w:cs="Arial"/>
                <w:sz w:val="20"/>
                <w:szCs w:val="20"/>
              </w:rPr>
            </w:pPr>
            <w:r w:rsidRPr="00F5215F">
              <w:rPr>
                <w:rFonts w:cs="Arial"/>
                <w:sz w:val="20"/>
                <w:szCs w:val="20"/>
              </w:rPr>
              <w:t>Precautions:</w:t>
            </w:r>
          </w:p>
        </w:tc>
        <w:tc>
          <w:tcPr>
            <w:tcW w:w="7755" w:type="dxa"/>
            <w:tcBorders>
              <w:top w:val="single" w:sz="4" w:space="0" w:color="auto"/>
              <w:left w:val="single" w:sz="4" w:space="0" w:color="auto"/>
              <w:bottom w:val="single" w:sz="4" w:space="0" w:color="auto"/>
              <w:right w:val="single" w:sz="4" w:space="0" w:color="auto"/>
            </w:tcBorders>
          </w:tcPr>
          <w:p w14:paraId="1661D95B" w14:textId="77777777" w:rsidR="008E67EA" w:rsidRPr="0077772E" w:rsidRDefault="008E67EA" w:rsidP="00B44A74">
            <w:pPr>
              <w:spacing w:line="280" w:lineRule="exact"/>
              <w:rPr>
                <w:rFonts w:cs="Arial"/>
                <w:sz w:val="20"/>
                <w:szCs w:val="20"/>
              </w:rPr>
            </w:pPr>
            <w:r w:rsidRPr="0077772E">
              <w:rPr>
                <w:rFonts w:cs="Arial"/>
                <w:sz w:val="20"/>
                <w:szCs w:val="20"/>
              </w:rPr>
              <w:t>PRECAUTION</w:t>
            </w:r>
          </w:p>
          <w:p w14:paraId="42DC2338" w14:textId="77777777" w:rsidR="008E67EA" w:rsidRPr="0077772E" w:rsidRDefault="008E67EA" w:rsidP="00B44A74">
            <w:pPr>
              <w:pBdr>
                <w:top w:val="nil"/>
                <w:left w:val="nil"/>
                <w:bottom w:val="nil"/>
                <w:right w:val="nil"/>
                <w:between w:val="nil"/>
                <w:bar w:val="nil"/>
              </w:pBdr>
              <w:spacing w:line="280" w:lineRule="exact"/>
              <w:rPr>
                <w:rFonts w:cs="Arial"/>
                <w:sz w:val="20"/>
                <w:szCs w:val="20"/>
              </w:rPr>
            </w:pPr>
            <w:r w:rsidRPr="0077772E">
              <w:rPr>
                <w:rFonts w:cs="Arial"/>
                <w:sz w:val="20"/>
                <w:szCs w:val="20"/>
              </w:rPr>
              <w:t>Caution should be used when baiting near areas where hunting of wildlife may occur. Careful consideration of bait placement is necessary to avoid secondary exposure from contaminated wildlife that may be consumed.</w:t>
            </w:r>
          </w:p>
          <w:p w14:paraId="123FE6CD" w14:textId="77777777" w:rsidR="008E67EA" w:rsidRPr="0077772E" w:rsidRDefault="008E67EA" w:rsidP="00B44A74">
            <w:pPr>
              <w:spacing w:line="280" w:lineRule="exact"/>
              <w:rPr>
                <w:rFonts w:cs="Arial"/>
                <w:sz w:val="20"/>
                <w:szCs w:val="20"/>
              </w:rPr>
            </w:pPr>
            <w:r w:rsidRPr="0077772E">
              <w:rPr>
                <w:rFonts w:cs="Arial"/>
                <w:sz w:val="20"/>
                <w:szCs w:val="20"/>
              </w:rPr>
              <w:t>DO NOT place bait in areas where there is a possibility of contaminating food, livestock feed or surfaces that come in direct contact with food or livestock feed.</w:t>
            </w:r>
          </w:p>
        </w:tc>
      </w:tr>
      <w:tr w:rsidR="008E67EA" w:rsidRPr="002B5B5B" w14:paraId="6EEFDC38" w14:textId="77777777" w:rsidTr="00B44A74">
        <w:trPr>
          <w:jc w:val="center"/>
        </w:trPr>
        <w:tc>
          <w:tcPr>
            <w:tcW w:w="2415" w:type="dxa"/>
            <w:tcBorders>
              <w:top w:val="single" w:sz="4" w:space="0" w:color="auto"/>
              <w:left w:val="nil"/>
              <w:bottom w:val="single" w:sz="4" w:space="0" w:color="auto"/>
              <w:right w:val="nil"/>
            </w:tcBorders>
          </w:tcPr>
          <w:p w14:paraId="065156C6"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97A9695" w14:textId="77777777" w:rsidR="008E67EA" w:rsidRPr="002B5B5B" w:rsidRDefault="008E67EA" w:rsidP="00B44A74">
            <w:pPr>
              <w:spacing w:line="280" w:lineRule="exact"/>
              <w:rPr>
                <w:rFonts w:cs="Arial"/>
                <w:sz w:val="20"/>
                <w:szCs w:val="20"/>
              </w:rPr>
            </w:pPr>
          </w:p>
        </w:tc>
      </w:tr>
      <w:tr w:rsidR="008E67EA" w:rsidRPr="002B5B5B" w14:paraId="2EC9055C" w14:textId="77777777" w:rsidTr="00B44A74">
        <w:trPr>
          <w:trHeight w:val="5228"/>
          <w:jc w:val="center"/>
        </w:trPr>
        <w:tc>
          <w:tcPr>
            <w:tcW w:w="2415" w:type="dxa"/>
            <w:tcBorders>
              <w:top w:val="single" w:sz="4" w:space="0" w:color="auto"/>
              <w:left w:val="single" w:sz="4" w:space="0" w:color="auto"/>
              <w:bottom w:val="single" w:sz="4" w:space="0" w:color="auto"/>
              <w:right w:val="single" w:sz="4" w:space="0" w:color="auto"/>
            </w:tcBorders>
            <w:hideMark/>
          </w:tcPr>
          <w:p w14:paraId="02E0478F" w14:textId="77777777" w:rsidR="008E67EA" w:rsidRPr="00F5215F" w:rsidRDefault="008E67EA" w:rsidP="00B44A74">
            <w:pPr>
              <w:spacing w:line="280" w:lineRule="exact"/>
              <w:rPr>
                <w:rFonts w:cs="Arial"/>
                <w:sz w:val="20"/>
                <w:szCs w:val="20"/>
              </w:rPr>
            </w:pPr>
            <w:r w:rsidRPr="00F5215F">
              <w:rPr>
                <w:rFonts w:cs="Arial"/>
                <w:sz w:val="20"/>
                <w:szCs w:val="20"/>
              </w:rPr>
              <w:t>Protection Statements:</w:t>
            </w:r>
          </w:p>
        </w:tc>
        <w:tc>
          <w:tcPr>
            <w:tcW w:w="7755" w:type="dxa"/>
            <w:tcBorders>
              <w:top w:val="single" w:sz="4" w:space="0" w:color="auto"/>
              <w:left w:val="single" w:sz="4" w:space="0" w:color="auto"/>
              <w:bottom w:val="single" w:sz="4" w:space="0" w:color="auto"/>
              <w:right w:val="single" w:sz="4" w:space="0" w:color="auto"/>
            </w:tcBorders>
          </w:tcPr>
          <w:p w14:paraId="7125EC1F" w14:textId="77777777" w:rsidR="008E67EA" w:rsidRPr="0077772E" w:rsidRDefault="008E67EA" w:rsidP="00B44A74">
            <w:pPr>
              <w:pBdr>
                <w:top w:val="nil"/>
                <w:left w:val="nil"/>
                <w:bottom w:val="nil"/>
                <w:right w:val="nil"/>
                <w:between w:val="nil"/>
                <w:bar w:val="nil"/>
              </w:pBdr>
              <w:spacing w:line="280" w:lineRule="exact"/>
              <w:rPr>
                <w:rFonts w:cs="Arial"/>
                <w:sz w:val="20"/>
                <w:szCs w:val="20"/>
              </w:rPr>
            </w:pPr>
            <w:r w:rsidRPr="0077772E">
              <w:rPr>
                <w:rFonts w:cs="Arial"/>
                <w:sz w:val="20"/>
                <w:szCs w:val="20"/>
              </w:rPr>
              <w:t>PROTECTION OF LIVESTOCK AND WILDLIFE</w:t>
            </w:r>
          </w:p>
          <w:p w14:paraId="56E063CA" w14:textId="77777777" w:rsidR="008E67EA" w:rsidRPr="0077772E" w:rsidRDefault="008E67EA" w:rsidP="00B44A74">
            <w:pPr>
              <w:spacing w:line="280" w:lineRule="exact"/>
              <w:rPr>
                <w:rFonts w:cs="Arial"/>
                <w:sz w:val="20"/>
                <w:szCs w:val="20"/>
              </w:rPr>
            </w:pPr>
            <w:r w:rsidRPr="0077772E">
              <w:rPr>
                <w:rFonts w:cs="Arial"/>
                <w:sz w:val="20"/>
                <w:szCs w:val="20"/>
              </w:rPr>
              <w:t>Hazardous to livestock, poultry and wildlife. DO NOT place baits in locations that are accessible to domestic animals, livestock, non-target native animals or birds.</w:t>
            </w:r>
          </w:p>
          <w:p w14:paraId="796116F8" w14:textId="3D3DE46C" w:rsidR="008E67EA" w:rsidRPr="0077772E" w:rsidRDefault="008E67EA" w:rsidP="00B44A74">
            <w:pPr>
              <w:pBdr>
                <w:top w:val="nil"/>
                <w:left w:val="nil"/>
                <w:bottom w:val="nil"/>
                <w:right w:val="nil"/>
                <w:between w:val="nil"/>
                <w:bar w:val="nil"/>
              </w:pBdr>
              <w:spacing w:line="280" w:lineRule="exact"/>
              <w:rPr>
                <w:rFonts w:cs="Arial"/>
                <w:sz w:val="20"/>
                <w:szCs w:val="20"/>
              </w:rPr>
            </w:pPr>
            <w:r w:rsidRPr="0077772E">
              <w:rPr>
                <w:rFonts w:cs="Arial"/>
                <w:sz w:val="20"/>
                <w:szCs w:val="20"/>
              </w:rPr>
              <w:t>Search for and dispose of dead rodents and slugs/snails in the infested area at each visit to prevent secondary poisoning. In case slugs/snails are present, move bait station to another location within the rodent infested site, away from slugs/snails. Dispose of slugs/snails in a way non-target animals are not exposed. Dispose of dead rodents and uneaten bait in compliance with local, state or territory government regulations.</w:t>
            </w:r>
          </w:p>
          <w:p w14:paraId="1CBB1917" w14:textId="77777777" w:rsidR="008E67EA" w:rsidRPr="0077772E" w:rsidRDefault="008E67EA" w:rsidP="00B44A74">
            <w:pPr>
              <w:spacing w:line="280" w:lineRule="exact"/>
              <w:rPr>
                <w:rFonts w:cs="Arial"/>
                <w:sz w:val="20"/>
                <w:szCs w:val="20"/>
              </w:rPr>
            </w:pPr>
            <w:r w:rsidRPr="0077772E">
              <w:rPr>
                <w:rFonts w:cs="Arial"/>
                <w:sz w:val="20"/>
                <w:szCs w:val="20"/>
              </w:rPr>
              <w:t>DO NOT allow livestock or poultry to consume dead or moribund mice and rats. All dead or moribund animals and rodent faeces from baited rodents MUST be removed from areas accessible to livestock or poultry.</w:t>
            </w:r>
          </w:p>
          <w:p w14:paraId="50BE3789" w14:textId="77777777" w:rsidR="008E67EA" w:rsidRDefault="008E67EA" w:rsidP="00B44A74">
            <w:pPr>
              <w:spacing w:line="280" w:lineRule="exact"/>
              <w:rPr>
                <w:rFonts w:cs="Arial"/>
                <w:sz w:val="20"/>
                <w:szCs w:val="20"/>
              </w:rPr>
            </w:pPr>
            <w:r w:rsidRPr="0077772E">
              <w:rPr>
                <w:rFonts w:cs="Arial"/>
                <w:sz w:val="20"/>
                <w:szCs w:val="20"/>
              </w:rPr>
              <w:t>The use of this product for the control of protected native rodents and rodent like animals requires permission from wildlife authorities.</w:t>
            </w:r>
          </w:p>
          <w:p w14:paraId="2C6554BE" w14:textId="77777777" w:rsidR="008E67EA" w:rsidRPr="0077772E" w:rsidRDefault="008E67EA" w:rsidP="00B44A74">
            <w:pPr>
              <w:spacing w:line="280" w:lineRule="exact"/>
              <w:rPr>
                <w:rFonts w:cs="Arial"/>
                <w:sz w:val="20"/>
                <w:szCs w:val="20"/>
              </w:rPr>
            </w:pPr>
          </w:p>
          <w:p w14:paraId="4670CBEC" w14:textId="77777777" w:rsidR="008E67EA" w:rsidRPr="0077772E" w:rsidRDefault="008E67EA" w:rsidP="00B44A74">
            <w:pPr>
              <w:spacing w:line="280" w:lineRule="exact"/>
              <w:rPr>
                <w:rFonts w:cs="Arial"/>
                <w:sz w:val="20"/>
                <w:szCs w:val="20"/>
              </w:rPr>
            </w:pPr>
            <w:r w:rsidRPr="0077772E">
              <w:rPr>
                <w:rFonts w:cs="Arial"/>
                <w:sz w:val="20"/>
                <w:szCs w:val="20"/>
              </w:rPr>
              <w:t>PROTECTION OF FISH, CRUSTACEANS AND ENVIRONMENT</w:t>
            </w:r>
          </w:p>
          <w:p w14:paraId="704C00D6" w14:textId="77777777" w:rsidR="008E67EA" w:rsidRPr="006952DA" w:rsidRDefault="008E67EA" w:rsidP="00B44A74">
            <w:pPr>
              <w:spacing w:line="280" w:lineRule="exact"/>
              <w:rPr>
                <w:rFonts w:cs="Arial"/>
                <w:color w:val="7030A0"/>
                <w:sz w:val="20"/>
                <w:szCs w:val="20"/>
              </w:rPr>
            </w:pPr>
            <w:r w:rsidRPr="0077772E">
              <w:rPr>
                <w:rFonts w:cs="Arial"/>
                <w:sz w:val="20"/>
                <w:szCs w:val="20"/>
              </w:rPr>
              <w:t>DO NOT contaminate wetlands or watercourses with this product or used containers. Place the bait stations in areas not liable to flooding. When placing bait stations close to water drainage systems, ensure that bait contact with water is avoided.</w:t>
            </w:r>
          </w:p>
        </w:tc>
      </w:tr>
      <w:tr w:rsidR="008E67EA" w:rsidRPr="002B5B5B" w14:paraId="3CC76D4E" w14:textId="77777777" w:rsidTr="00B44A74">
        <w:trPr>
          <w:jc w:val="center"/>
        </w:trPr>
        <w:tc>
          <w:tcPr>
            <w:tcW w:w="2415" w:type="dxa"/>
            <w:tcBorders>
              <w:top w:val="single" w:sz="4" w:space="0" w:color="auto"/>
              <w:left w:val="nil"/>
              <w:bottom w:val="single" w:sz="4" w:space="0" w:color="auto"/>
              <w:right w:val="nil"/>
            </w:tcBorders>
          </w:tcPr>
          <w:p w14:paraId="70DF5863"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34EB01F" w14:textId="77777777" w:rsidR="008E67EA" w:rsidRPr="002B5B5B" w:rsidRDefault="008E67EA" w:rsidP="00B44A74">
            <w:pPr>
              <w:spacing w:line="280" w:lineRule="exact"/>
              <w:rPr>
                <w:rFonts w:cs="Arial"/>
                <w:sz w:val="20"/>
                <w:szCs w:val="20"/>
              </w:rPr>
            </w:pPr>
          </w:p>
        </w:tc>
      </w:tr>
      <w:tr w:rsidR="008E67EA" w:rsidRPr="002B5B5B" w14:paraId="3E05481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9B90D39" w14:textId="77777777" w:rsidR="008E67EA" w:rsidRPr="00F5215F" w:rsidRDefault="008E67EA" w:rsidP="00B44A74">
            <w:pPr>
              <w:spacing w:line="280" w:lineRule="exact"/>
              <w:rPr>
                <w:rFonts w:cs="Arial"/>
                <w:sz w:val="20"/>
                <w:szCs w:val="20"/>
              </w:rPr>
            </w:pPr>
            <w:r w:rsidRPr="00F5215F">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5B3D0CE9" w14:textId="77777777" w:rsidR="008E67EA" w:rsidRPr="0077772E" w:rsidRDefault="008E67EA" w:rsidP="00B44A74">
            <w:pPr>
              <w:spacing w:line="280" w:lineRule="exact"/>
              <w:rPr>
                <w:rFonts w:cs="Arial"/>
                <w:sz w:val="20"/>
                <w:szCs w:val="20"/>
              </w:rPr>
            </w:pPr>
            <w:r w:rsidRPr="0077772E">
              <w:rPr>
                <w:rFonts w:cs="Arial"/>
                <w:sz w:val="20"/>
                <w:szCs w:val="20"/>
              </w:rPr>
              <w:t>STORAGE AND DISPOSAL</w:t>
            </w:r>
          </w:p>
          <w:p w14:paraId="5025323E" w14:textId="77777777" w:rsidR="008E67EA" w:rsidRPr="00082A8A" w:rsidRDefault="008E67EA" w:rsidP="00B44A74">
            <w:pPr>
              <w:spacing w:line="280" w:lineRule="exact"/>
              <w:rPr>
                <w:rFonts w:cs="Arial"/>
                <w:sz w:val="20"/>
                <w:szCs w:val="20"/>
                <w:bdr w:val="none" w:sz="0" w:space="0" w:color="auto" w:frame="1"/>
                <w:lang w:val="en-GB" w:eastAsia="en-AU"/>
              </w:rPr>
            </w:pPr>
            <w:r w:rsidRPr="0077772E">
              <w:rPr>
                <w:rFonts w:cs="Arial"/>
                <w:sz w:val="20"/>
                <w:szCs w:val="20"/>
              </w:rPr>
              <w:t>Store in original container, tightly closed, in a safe place. DO NOT store for prolonged periods in direct sunlight.</w:t>
            </w:r>
            <w:r>
              <w:rPr>
                <w:rFonts w:cs="Arial"/>
                <w:sz w:val="20"/>
                <w:szCs w:val="20"/>
              </w:rPr>
              <w:t xml:space="preserve"> </w:t>
            </w:r>
            <w:r w:rsidRPr="0077772E">
              <w:rPr>
                <w:rFonts w:cs="Arial"/>
                <w:sz w:val="20"/>
                <w:szCs w:val="20"/>
              </w:rPr>
              <w:t>Triple rinse containers before disposal. Break, crush or puncture and deliver empty packaging to an approved waste management facility. If an approved waste management facility is not available, dispose of empty packaging in compliance with relevant local, state or territory government regulations. Dispose of unused product in compliance with relevant local, state or territory government regulations. DO NOT burn empty containers or product.</w:t>
            </w:r>
            <w:r>
              <w:rPr>
                <w:rFonts w:cs="Arial"/>
                <w:color w:val="7030A0"/>
                <w:sz w:val="20"/>
                <w:szCs w:val="20"/>
              </w:rPr>
              <w:t xml:space="preserve"> </w:t>
            </w:r>
          </w:p>
        </w:tc>
      </w:tr>
      <w:tr w:rsidR="008E67EA" w:rsidRPr="002B5B5B" w14:paraId="0F1D1A76" w14:textId="77777777" w:rsidTr="00B44A74">
        <w:trPr>
          <w:jc w:val="center"/>
        </w:trPr>
        <w:tc>
          <w:tcPr>
            <w:tcW w:w="2415" w:type="dxa"/>
            <w:tcBorders>
              <w:top w:val="single" w:sz="4" w:space="0" w:color="auto"/>
              <w:left w:val="nil"/>
              <w:bottom w:val="single" w:sz="4" w:space="0" w:color="auto"/>
              <w:right w:val="nil"/>
            </w:tcBorders>
          </w:tcPr>
          <w:p w14:paraId="6BAAA251"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C21FE15" w14:textId="77777777" w:rsidR="008E67EA" w:rsidRPr="002B5B5B" w:rsidRDefault="008E67EA" w:rsidP="00B44A74">
            <w:pPr>
              <w:spacing w:line="280" w:lineRule="exact"/>
              <w:rPr>
                <w:rFonts w:cs="Arial"/>
                <w:sz w:val="20"/>
                <w:szCs w:val="20"/>
              </w:rPr>
            </w:pPr>
          </w:p>
        </w:tc>
      </w:tr>
      <w:tr w:rsidR="008E67EA" w:rsidRPr="002B5B5B" w14:paraId="34BF60E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A8CE87F" w14:textId="77777777" w:rsidR="008E67EA" w:rsidRPr="00F5215F" w:rsidRDefault="008E67EA" w:rsidP="00B44A74">
            <w:pPr>
              <w:spacing w:line="280" w:lineRule="exact"/>
              <w:rPr>
                <w:rFonts w:cs="Arial"/>
                <w:sz w:val="20"/>
                <w:szCs w:val="20"/>
              </w:rPr>
            </w:pPr>
            <w:r w:rsidRPr="00F5215F">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3AC042DA" w14:textId="77777777" w:rsidR="008E67EA" w:rsidRPr="0077772E" w:rsidRDefault="008E67EA" w:rsidP="00B44A74">
            <w:pPr>
              <w:spacing w:line="280" w:lineRule="exact"/>
              <w:rPr>
                <w:rFonts w:cs="Arial"/>
                <w:sz w:val="20"/>
                <w:szCs w:val="20"/>
              </w:rPr>
            </w:pPr>
            <w:r w:rsidRPr="0077772E">
              <w:rPr>
                <w:rFonts w:cs="Arial"/>
                <w:sz w:val="20"/>
                <w:szCs w:val="20"/>
              </w:rPr>
              <w:t>SAFETY DIRECTIONS</w:t>
            </w:r>
          </w:p>
          <w:p w14:paraId="7CD1828D" w14:textId="77777777" w:rsidR="008E67EA" w:rsidRPr="0077772E" w:rsidRDefault="008E67EA" w:rsidP="00B44A74">
            <w:pPr>
              <w:spacing w:line="280" w:lineRule="exact"/>
              <w:rPr>
                <w:rFonts w:cs="Arial"/>
                <w:sz w:val="20"/>
                <w:szCs w:val="20"/>
              </w:rPr>
            </w:pPr>
            <w:r w:rsidRPr="0077772E">
              <w:rPr>
                <w:rFonts w:cs="Arial"/>
                <w:sz w:val="20"/>
                <w:szCs w:val="20"/>
              </w:rPr>
              <w:t>Repeated minor exposure may have a cumulative poisoning effect. DO NOT touch bait, use scoop or measure. When using the product wear disposable gloves. If on skin and after each baiting, wash thoroughly with soap and water.</w:t>
            </w:r>
          </w:p>
          <w:p w14:paraId="0C8A67DE" w14:textId="53261210" w:rsidR="008E67EA" w:rsidRPr="003330E9" w:rsidRDefault="008E67EA" w:rsidP="00B44A74">
            <w:pPr>
              <w:pBdr>
                <w:top w:val="nil"/>
                <w:left w:val="nil"/>
                <w:bottom w:val="nil"/>
                <w:right w:val="nil"/>
                <w:between w:val="nil"/>
                <w:bar w:val="nil"/>
              </w:pBdr>
              <w:spacing w:line="280" w:lineRule="exact"/>
              <w:rPr>
                <w:rFonts w:cs="Arial"/>
                <w:sz w:val="20"/>
                <w:szCs w:val="20"/>
                <w:bdr w:val="none" w:sz="0" w:space="0" w:color="auto" w:frame="1"/>
                <w:lang w:val="en-GB" w:eastAsia="en-AU"/>
              </w:rPr>
            </w:pPr>
            <w:r w:rsidRPr="0077772E">
              <w:rPr>
                <w:rFonts w:cs="Arial"/>
                <w:sz w:val="20"/>
                <w:szCs w:val="20"/>
              </w:rPr>
              <w:lastRenderedPageBreak/>
              <w:t>During cleanup and disposal operations of bait and bait stations, wear a single layer of clothing and disposable gloves. Wear disposable gloves when handling rodent carcasses. Wash clothes after performing re-handling activities.</w:t>
            </w:r>
          </w:p>
        </w:tc>
      </w:tr>
      <w:tr w:rsidR="008E67EA" w:rsidRPr="002B5B5B" w14:paraId="33C9C525" w14:textId="77777777" w:rsidTr="00B44A74">
        <w:trPr>
          <w:jc w:val="center"/>
        </w:trPr>
        <w:tc>
          <w:tcPr>
            <w:tcW w:w="2415" w:type="dxa"/>
            <w:tcBorders>
              <w:top w:val="single" w:sz="4" w:space="0" w:color="auto"/>
              <w:left w:val="nil"/>
              <w:bottom w:val="single" w:sz="4" w:space="0" w:color="auto"/>
              <w:right w:val="nil"/>
            </w:tcBorders>
          </w:tcPr>
          <w:p w14:paraId="2CF4582E"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4E79848" w14:textId="77777777" w:rsidR="008E67EA" w:rsidRPr="002B5B5B" w:rsidRDefault="008E67EA" w:rsidP="00B44A74">
            <w:pPr>
              <w:spacing w:line="280" w:lineRule="exact"/>
              <w:rPr>
                <w:rFonts w:cs="Arial"/>
                <w:sz w:val="20"/>
                <w:szCs w:val="20"/>
              </w:rPr>
            </w:pPr>
          </w:p>
        </w:tc>
      </w:tr>
      <w:tr w:rsidR="008E67EA" w:rsidRPr="002B5B5B" w14:paraId="2163EB5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E9CDEC0" w14:textId="77777777" w:rsidR="008E67EA" w:rsidRPr="00F5215F" w:rsidRDefault="008E67EA" w:rsidP="00B44A74">
            <w:pPr>
              <w:spacing w:line="280" w:lineRule="exact"/>
              <w:rPr>
                <w:rFonts w:cs="Arial"/>
                <w:sz w:val="20"/>
                <w:szCs w:val="20"/>
              </w:rPr>
            </w:pPr>
            <w:r w:rsidRPr="00F5215F">
              <w:rPr>
                <w:rFonts w:cs="Arial"/>
                <w:sz w:val="20"/>
                <w:szCs w:val="20"/>
              </w:rPr>
              <w:t>First Aid Instructions:</w:t>
            </w:r>
          </w:p>
        </w:tc>
        <w:tc>
          <w:tcPr>
            <w:tcW w:w="7755" w:type="dxa"/>
            <w:tcBorders>
              <w:top w:val="single" w:sz="4" w:space="0" w:color="auto"/>
              <w:left w:val="single" w:sz="4" w:space="0" w:color="auto"/>
              <w:bottom w:val="single" w:sz="4" w:space="0" w:color="auto"/>
              <w:right w:val="single" w:sz="4" w:space="0" w:color="auto"/>
            </w:tcBorders>
          </w:tcPr>
          <w:p w14:paraId="431A6270" w14:textId="77777777" w:rsidR="008E67EA" w:rsidRPr="0077772E" w:rsidRDefault="008E67EA" w:rsidP="00B44A74">
            <w:pPr>
              <w:spacing w:line="280" w:lineRule="exact"/>
              <w:rPr>
                <w:rFonts w:cs="Arial"/>
                <w:sz w:val="20"/>
                <w:szCs w:val="20"/>
              </w:rPr>
            </w:pPr>
            <w:r w:rsidRPr="0077772E">
              <w:rPr>
                <w:rFonts w:cs="Arial"/>
                <w:sz w:val="20"/>
                <w:szCs w:val="20"/>
              </w:rPr>
              <w:t>FIRST AID</w:t>
            </w:r>
          </w:p>
          <w:p w14:paraId="663F31BC" w14:textId="77777777" w:rsidR="008E67EA" w:rsidRPr="0077772E" w:rsidRDefault="008E67EA" w:rsidP="00B44A74">
            <w:pPr>
              <w:spacing w:line="280" w:lineRule="exact"/>
              <w:rPr>
                <w:rFonts w:cs="Arial"/>
                <w:sz w:val="20"/>
                <w:szCs w:val="20"/>
              </w:rPr>
            </w:pPr>
            <w:r w:rsidRPr="0077772E">
              <w:rPr>
                <w:rFonts w:cs="Arial"/>
                <w:sz w:val="20"/>
                <w:szCs w:val="20"/>
              </w:rPr>
              <w:t>If poisoning occurs, contact a doctor or Poisons Information Centre. Phone Australia 13 11 26, New Zealand 0800 764 766. Vitamin K1 (Phytomenadione) is antidotal.</w:t>
            </w:r>
          </w:p>
        </w:tc>
      </w:tr>
      <w:tr w:rsidR="008E67EA" w:rsidRPr="002B5B5B" w14:paraId="4D35E4C7" w14:textId="77777777" w:rsidTr="00B44A74">
        <w:trPr>
          <w:jc w:val="center"/>
        </w:trPr>
        <w:tc>
          <w:tcPr>
            <w:tcW w:w="2415" w:type="dxa"/>
            <w:tcBorders>
              <w:top w:val="single" w:sz="4" w:space="0" w:color="auto"/>
              <w:left w:val="nil"/>
              <w:bottom w:val="single" w:sz="4" w:space="0" w:color="auto"/>
              <w:right w:val="nil"/>
            </w:tcBorders>
          </w:tcPr>
          <w:p w14:paraId="11482D9E"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90AC50B" w14:textId="77777777" w:rsidR="008E67EA" w:rsidRPr="002B5B5B" w:rsidRDefault="008E67EA" w:rsidP="00B44A74">
            <w:pPr>
              <w:spacing w:line="280" w:lineRule="exact"/>
              <w:rPr>
                <w:rFonts w:cs="Arial"/>
                <w:sz w:val="20"/>
                <w:szCs w:val="20"/>
              </w:rPr>
            </w:pPr>
          </w:p>
        </w:tc>
      </w:tr>
      <w:tr w:rsidR="008E67EA" w:rsidRPr="002B5B5B" w14:paraId="6A7C888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7967F76" w14:textId="77777777" w:rsidR="008E67EA" w:rsidRPr="00F5215F" w:rsidRDefault="008E67EA" w:rsidP="00B44A74">
            <w:pPr>
              <w:spacing w:line="280" w:lineRule="exact"/>
              <w:rPr>
                <w:rFonts w:cs="Arial"/>
                <w:sz w:val="20"/>
                <w:szCs w:val="20"/>
              </w:rPr>
            </w:pPr>
            <w:r w:rsidRPr="00F5215F">
              <w:rPr>
                <w:rFonts w:cs="Arial"/>
                <w:sz w:val="20"/>
                <w:szCs w:val="20"/>
              </w:rPr>
              <w:t>First Aid Warnings:</w:t>
            </w:r>
          </w:p>
        </w:tc>
        <w:tc>
          <w:tcPr>
            <w:tcW w:w="7755" w:type="dxa"/>
            <w:tcBorders>
              <w:top w:val="single" w:sz="4" w:space="0" w:color="auto"/>
              <w:left w:val="single" w:sz="4" w:space="0" w:color="auto"/>
              <w:bottom w:val="single" w:sz="4" w:space="0" w:color="auto"/>
              <w:right w:val="single" w:sz="4" w:space="0" w:color="auto"/>
            </w:tcBorders>
          </w:tcPr>
          <w:p w14:paraId="53A48B30" w14:textId="77777777" w:rsidR="008E67EA" w:rsidRPr="002B5B5B" w:rsidRDefault="008E67EA" w:rsidP="00B44A74">
            <w:pPr>
              <w:spacing w:line="280" w:lineRule="exact"/>
              <w:rPr>
                <w:rFonts w:cs="Arial"/>
                <w:sz w:val="20"/>
                <w:szCs w:val="20"/>
              </w:rPr>
            </w:pPr>
          </w:p>
        </w:tc>
      </w:tr>
    </w:tbl>
    <w:p w14:paraId="468F7A70" w14:textId="77777777" w:rsidR="008E67EA" w:rsidRDefault="008E67EA" w:rsidP="008E67EA"/>
    <w:p w14:paraId="09590623" w14:textId="77777777" w:rsidR="008E67EA" w:rsidRDefault="008E67EA" w:rsidP="008E67EA">
      <w:pPr>
        <w:spacing w:line="280" w:lineRule="exact"/>
        <w:rPr>
          <w:rFonts w:cs="Arial"/>
          <w:b/>
          <w:bCs/>
          <w:sz w:val="20"/>
          <w:szCs w:val="20"/>
        </w:rPr>
      </w:pPr>
      <w:r w:rsidRPr="00FF36BF">
        <w:rPr>
          <w:rFonts w:cs="Arial"/>
          <w:b/>
          <w:bCs/>
          <w:sz w:val="20"/>
          <w:szCs w:val="20"/>
        </w:rPr>
        <w:t>DIRECTIONS FOR USE</w:t>
      </w:r>
    </w:p>
    <w:tbl>
      <w:tblPr>
        <w:tblStyle w:val="TableGrid"/>
        <w:tblW w:w="48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2675"/>
        <w:gridCol w:w="1312"/>
        <w:gridCol w:w="4499"/>
      </w:tblGrid>
      <w:tr w:rsidR="008E67EA" w:rsidRPr="00C118CC" w14:paraId="48EAE500" w14:textId="77777777" w:rsidTr="009C4F64">
        <w:trPr>
          <w:trHeight w:val="340"/>
        </w:trPr>
        <w:tc>
          <w:tcPr>
            <w:tcW w:w="473" w:type="pct"/>
          </w:tcPr>
          <w:p w14:paraId="374D3253" w14:textId="77777777" w:rsidR="008E67EA" w:rsidRPr="002F6425" w:rsidRDefault="008E67EA" w:rsidP="00B44A74">
            <w:pPr>
              <w:spacing w:line="280" w:lineRule="exact"/>
              <w:rPr>
                <w:rFonts w:cs="Arial"/>
                <w:b/>
                <w:bCs/>
                <w:szCs w:val="18"/>
              </w:rPr>
            </w:pPr>
            <w:r>
              <w:rPr>
                <w:rFonts w:cs="Arial"/>
                <w:b/>
                <w:bCs/>
                <w:szCs w:val="18"/>
              </w:rPr>
              <w:t>PEST</w:t>
            </w:r>
          </w:p>
        </w:tc>
        <w:tc>
          <w:tcPr>
            <w:tcW w:w="1427" w:type="pct"/>
          </w:tcPr>
          <w:p w14:paraId="27906A2D" w14:textId="77777777" w:rsidR="008E67EA" w:rsidRPr="002F6425" w:rsidRDefault="008E67EA" w:rsidP="00B44A74">
            <w:pPr>
              <w:spacing w:line="280" w:lineRule="exact"/>
              <w:rPr>
                <w:rFonts w:cs="Arial"/>
                <w:b/>
                <w:bCs/>
                <w:spacing w:val="-2"/>
                <w:w w:val="105"/>
                <w:szCs w:val="18"/>
              </w:rPr>
            </w:pPr>
            <w:r w:rsidRPr="002F6425">
              <w:rPr>
                <w:rFonts w:cs="Arial"/>
                <w:b/>
                <w:bCs/>
                <w:szCs w:val="18"/>
              </w:rPr>
              <w:t>SITUATION</w:t>
            </w:r>
          </w:p>
        </w:tc>
        <w:tc>
          <w:tcPr>
            <w:tcW w:w="700" w:type="pct"/>
          </w:tcPr>
          <w:p w14:paraId="6A4619E2" w14:textId="77777777" w:rsidR="008E67EA" w:rsidRPr="002F6425" w:rsidRDefault="008E67EA" w:rsidP="00B44A74">
            <w:pPr>
              <w:pStyle w:val="TableParagraph"/>
              <w:spacing w:before="61"/>
              <w:rPr>
                <w:b/>
                <w:bCs/>
                <w:sz w:val="18"/>
                <w:szCs w:val="18"/>
              </w:rPr>
            </w:pPr>
            <w:r w:rsidRPr="002F6425">
              <w:rPr>
                <w:b/>
                <w:bCs/>
                <w:sz w:val="18"/>
                <w:szCs w:val="18"/>
              </w:rPr>
              <w:t>RATE</w:t>
            </w:r>
          </w:p>
        </w:tc>
        <w:tc>
          <w:tcPr>
            <w:tcW w:w="2400" w:type="pct"/>
          </w:tcPr>
          <w:p w14:paraId="1E5BF5A1" w14:textId="77777777" w:rsidR="008E67EA" w:rsidRPr="002F6425" w:rsidRDefault="008E67EA" w:rsidP="00B44A74">
            <w:pPr>
              <w:pStyle w:val="TableParagraph"/>
              <w:spacing w:before="61"/>
              <w:rPr>
                <w:b/>
                <w:bCs/>
                <w:color w:val="7030A0"/>
                <w:sz w:val="18"/>
                <w:szCs w:val="18"/>
              </w:rPr>
            </w:pPr>
            <w:r w:rsidRPr="002F6425">
              <w:rPr>
                <w:b/>
                <w:bCs/>
                <w:sz w:val="18"/>
                <w:szCs w:val="18"/>
              </w:rPr>
              <w:t>CRITICAL COMMENTS</w:t>
            </w:r>
          </w:p>
        </w:tc>
      </w:tr>
      <w:tr w:rsidR="008E67EA" w:rsidRPr="00C118CC" w14:paraId="749EE14B" w14:textId="77777777" w:rsidTr="009C4F64">
        <w:trPr>
          <w:trHeight w:val="1050"/>
        </w:trPr>
        <w:tc>
          <w:tcPr>
            <w:tcW w:w="473" w:type="pct"/>
          </w:tcPr>
          <w:p w14:paraId="765FFDB9" w14:textId="77777777" w:rsidR="008E67EA" w:rsidRPr="00867EDB" w:rsidRDefault="008E67EA" w:rsidP="00B44A74">
            <w:pPr>
              <w:spacing w:line="240" w:lineRule="exact"/>
              <w:rPr>
                <w:rFonts w:cs="Arial"/>
                <w:bCs/>
                <w:spacing w:val="-2"/>
                <w:w w:val="105"/>
                <w:szCs w:val="18"/>
              </w:rPr>
            </w:pPr>
            <w:r>
              <w:rPr>
                <w:rFonts w:cs="Arial"/>
                <w:bCs/>
                <w:spacing w:val="-2"/>
                <w:w w:val="105"/>
                <w:szCs w:val="18"/>
              </w:rPr>
              <w:t>Mice</w:t>
            </w:r>
          </w:p>
        </w:tc>
        <w:tc>
          <w:tcPr>
            <w:tcW w:w="1427" w:type="pct"/>
          </w:tcPr>
          <w:p w14:paraId="5B95A268" w14:textId="77777777" w:rsidR="008E67EA" w:rsidRPr="00867EDB" w:rsidRDefault="008E67EA" w:rsidP="00B44A74">
            <w:pPr>
              <w:spacing w:line="240" w:lineRule="exact"/>
              <w:rPr>
                <w:rFonts w:cs="Arial"/>
                <w:bCs/>
                <w:spacing w:val="-2"/>
                <w:w w:val="105"/>
                <w:szCs w:val="18"/>
              </w:rPr>
            </w:pPr>
            <w:r w:rsidRPr="00867EDB">
              <w:rPr>
                <w:rFonts w:cs="Arial"/>
                <w:bCs/>
                <w:spacing w:val="-2"/>
                <w:w w:val="105"/>
                <w:szCs w:val="18"/>
              </w:rPr>
              <w:t>In</w:t>
            </w:r>
            <w:r>
              <w:rPr>
                <w:rFonts w:cs="Arial"/>
                <w:bCs/>
                <w:spacing w:val="-2"/>
                <w:w w:val="105"/>
                <w:szCs w:val="18"/>
              </w:rPr>
              <w:t xml:space="preserve"> d</w:t>
            </w:r>
            <w:r w:rsidRPr="00CB34FD">
              <w:rPr>
                <w:rFonts w:cs="Arial"/>
                <w:bCs/>
                <w:spacing w:val="-2"/>
                <w:w w:val="105"/>
                <w:szCs w:val="18"/>
              </w:rPr>
              <w:t>omestic and industrial</w:t>
            </w:r>
            <w:r>
              <w:rPr>
                <w:rFonts w:cs="Arial"/>
                <w:bCs/>
                <w:spacing w:val="-2"/>
                <w:w w:val="105"/>
                <w:szCs w:val="18"/>
              </w:rPr>
              <w:t xml:space="preserve"> b</w:t>
            </w:r>
            <w:r w:rsidRPr="00CB34FD">
              <w:rPr>
                <w:rFonts w:cs="Arial"/>
                <w:bCs/>
                <w:spacing w:val="-2"/>
                <w:w w:val="105"/>
                <w:szCs w:val="18"/>
              </w:rPr>
              <w:t>uildings</w:t>
            </w:r>
            <w:r>
              <w:rPr>
                <w:rFonts w:cs="Arial"/>
                <w:bCs/>
                <w:spacing w:val="-2"/>
                <w:w w:val="105"/>
                <w:szCs w:val="18"/>
              </w:rPr>
              <w:t>.</w:t>
            </w:r>
          </w:p>
        </w:tc>
        <w:tc>
          <w:tcPr>
            <w:tcW w:w="700" w:type="pct"/>
            <w:vMerge w:val="restart"/>
          </w:tcPr>
          <w:p w14:paraId="7092762F" w14:textId="7C9C4BDE" w:rsidR="008E67EA" w:rsidRPr="00867EDB" w:rsidRDefault="008E67EA" w:rsidP="009C4F64">
            <w:pPr>
              <w:spacing w:line="240" w:lineRule="exact"/>
              <w:rPr>
                <w:rFonts w:cs="Arial"/>
                <w:bCs/>
                <w:spacing w:val="-2"/>
                <w:w w:val="105"/>
                <w:szCs w:val="18"/>
              </w:rPr>
            </w:pPr>
            <w:r w:rsidRPr="00CB34FD">
              <w:rPr>
                <w:rFonts w:cs="Arial"/>
                <w:bCs/>
                <w:spacing w:val="-2"/>
                <w:w w:val="105"/>
                <w:szCs w:val="18"/>
              </w:rPr>
              <w:t xml:space="preserve">30-60 g (1 to 2 blocks) per bait </w:t>
            </w:r>
            <w:r>
              <w:rPr>
                <w:rFonts w:cs="Arial"/>
                <w:bCs/>
                <w:spacing w:val="-2"/>
                <w:w w:val="105"/>
                <w:szCs w:val="18"/>
              </w:rPr>
              <w:t>station</w:t>
            </w:r>
          </w:p>
        </w:tc>
        <w:tc>
          <w:tcPr>
            <w:tcW w:w="2400" w:type="pct"/>
            <w:vMerge w:val="restart"/>
          </w:tcPr>
          <w:p w14:paraId="3DCCD98B" w14:textId="1A468E71" w:rsidR="008E67EA" w:rsidRDefault="008E67EA" w:rsidP="00B44A74">
            <w:pPr>
              <w:spacing w:after="120" w:line="240" w:lineRule="exact"/>
              <w:rPr>
                <w:rFonts w:cs="Arial"/>
                <w:bCs/>
                <w:spacing w:val="-2"/>
                <w:w w:val="105"/>
                <w:szCs w:val="18"/>
              </w:rPr>
            </w:pPr>
            <w:r>
              <w:rPr>
                <w:rFonts w:cs="Arial"/>
                <w:bCs/>
                <w:spacing w:val="-2"/>
                <w:w w:val="105"/>
                <w:szCs w:val="18"/>
              </w:rPr>
              <w:t>Place bait stations in infested area.</w:t>
            </w:r>
          </w:p>
          <w:p w14:paraId="76C275B2" w14:textId="77777777" w:rsidR="008E67EA" w:rsidRDefault="008E67EA" w:rsidP="00B44A74">
            <w:pPr>
              <w:spacing w:after="120" w:line="240" w:lineRule="exact"/>
              <w:rPr>
                <w:rFonts w:cs="Arial"/>
                <w:bCs/>
                <w:spacing w:val="-2"/>
                <w:w w:val="105"/>
                <w:szCs w:val="18"/>
              </w:rPr>
            </w:pPr>
            <w:r w:rsidRPr="00D86787">
              <w:rPr>
                <w:rFonts w:cs="Arial"/>
                <w:bCs/>
                <w:spacing w:val="-2"/>
                <w:w w:val="105"/>
                <w:szCs w:val="18"/>
              </w:rPr>
              <w:t>DO</w:t>
            </w:r>
            <w:r>
              <w:rPr>
                <w:rFonts w:cs="Arial"/>
                <w:bCs/>
                <w:spacing w:val="-2"/>
                <w:w w:val="105"/>
                <w:szCs w:val="18"/>
              </w:rPr>
              <w:t xml:space="preserve"> </w:t>
            </w:r>
            <w:r w:rsidRPr="00D86787">
              <w:rPr>
                <w:rFonts w:cs="Arial"/>
                <w:bCs/>
                <w:spacing w:val="-2"/>
                <w:w w:val="105"/>
                <w:szCs w:val="18"/>
              </w:rPr>
              <w:t>NOT exceed 3 metres between baits for mice, or 9</w:t>
            </w:r>
            <w:r>
              <w:rPr>
                <w:rFonts w:cs="Arial"/>
                <w:bCs/>
                <w:spacing w:val="-2"/>
                <w:w w:val="105"/>
                <w:szCs w:val="18"/>
              </w:rPr>
              <w:t xml:space="preserve"> </w:t>
            </w:r>
            <w:r w:rsidRPr="00D86787">
              <w:rPr>
                <w:rFonts w:cs="Arial"/>
                <w:bCs/>
                <w:spacing w:val="-2"/>
                <w:w w:val="105"/>
                <w:szCs w:val="18"/>
              </w:rPr>
              <w:t>metres for rats.</w:t>
            </w:r>
          </w:p>
          <w:p w14:paraId="1D2A2374" w14:textId="77777777" w:rsidR="008E67EA" w:rsidRPr="00867EDB" w:rsidRDefault="008E67EA" w:rsidP="00B44A74">
            <w:pPr>
              <w:spacing w:after="120" w:line="240" w:lineRule="exact"/>
              <w:rPr>
                <w:rFonts w:cs="Arial"/>
                <w:bCs/>
                <w:spacing w:val="-2"/>
                <w:w w:val="105"/>
                <w:szCs w:val="18"/>
              </w:rPr>
            </w:pPr>
            <w:r w:rsidRPr="0031158E">
              <w:rPr>
                <w:rFonts w:cs="Arial"/>
                <w:bCs/>
                <w:spacing w:val="-2"/>
                <w:w w:val="105"/>
                <w:szCs w:val="18"/>
              </w:rPr>
              <w:t>Follow</w:t>
            </w:r>
            <w:r>
              <w:rPr>
                <w:rFonts w:cs="Arial"/>
                <w:bCs/>
                <w:spacing w:val="-2"/>
                <w:w w:val="105"/>
                <w:szCs w:val="18"/>
              </w:rPr>
              <w:t xml:space="preserve"> </w:t>
            </w:r>
            <w:r w:rsidRPr="0031158E">
              <w:rPr>
                <w:rFonts w:cs="Arial"/>
                <w:bCs/>
                <w:spacing w:val="-2"/>
                <w:w w:val="105"/>
                <w:szCs w:val="18"/>
              </w:rPr>
              <w:t>the Baiting Strategies for non-crop situations detailed</w:t>
            </w:r>
            <w:r>
              <w:rPr>
                <w:rFonts w:cs="Arial"/>
                <w:bCs/>
                <w:spacing w:val="-2"/>
                <w:w w:val="105"/>
                <w:szCs w:val="18"/>
              </w:rPr>
              <w:t xml:space="preserve"> </w:t>
            </w:r>
            <w:r w:rsidRPr="0031158E">
              <w:rPr>
                <w:rFonts w:cs="Arial"/>
                <w:bCs/>
                <w:spacing w:val="-2"/>
                <w:w w:val="105"/>
                <w:szCs w:val="18"/>
              </w:rPr>
              <w:t>below.</w:t>
            </w:r>
          </w:p>
        </w:tc>
      </w:tr>
      <w:tr w:rsidR="008E67EA" w:rsidRPr="00C118CC" w14:paraId="0B4C3D0C" w14:textId="77777777" w:rsidTr="009C4F64">
        <w:trPr>
          <w:trHeight w:val="402"/>
        </w:trPr>
        <w:tc>
          <w:tcPr>
            <w:tcW w:w="473" w:type="pct"/>
            <w:vMerge w:val="restart"/>
          </w:tcPr>
          <w:p w14:paraId="0E35F761" w14:textId="77777777" w:rsidR="008E67EA" w:rsidRPr="00867EDB" w:rsidRDefault="008E67EA" w:rsidP="00B44A74">
            <w:pPr>
              <w:spacing w:line="240" w:lineRule="exact"/>
              <w:rPr>
                <w:rFonts w:cs="Arial"/>
                <w:bCs/>
                <w:spacing w:val="-2"/>
                <w:w w:val="105"/>
                <w:szCs w:val="18"/>
              </w:rPr>
            </w:pPr>
            <w:r>
              <w:rPr>
                <w:rFonts w:cs="Arial"/>
                <w:bCs/>
                <w:spacing w:val="-2"/>
                <w:w w:val="105"/>
                <w:szCs w:val="18"/>
              </w:rPr>
              <w:t>Rats</w:t>
            </w:r>
          </w:p>
        </w:tc>
        <w:tc>
          <w:tcPr>
            <w:tcW w:w="1427" w:type="pct"/>
          </w:tcPr>
          <w:p w14:paraId="49A8E264" w14:textId="26A75609" w:rsidR="008E67EA" w:rsidRPr="00867EDB" w:rsidRDefault="008E67EA" w:rsidP="009C4F64">
            <w:pPr>
              <w:spacing w:line="240" w:lineRule="exact"/>
              <w:rPr>
                <w:rFonts w:cs="Arial"/>
                <w:bCs/>
                <w:spacing w:val="-2"/>
                <w:w w:val="105"/>
                <w:szCs w:val="18"/>
              </w:rPr>
            </w:pPr>
            <w:r w:rsidRPr="00867EDB">
              <w:rPr>
                <w:rFonts w:cs="Arial"/>
                <w:bCs/>
                <w:spacing w:val="-2"/>
                <w:w w:val="105"/>
                <w:szCs w:val="18"/>
              </w:rPr>
              <w:t xml:space="preserve">In and around </w:t>
            </w:r>
            <w:r>
              <w:rPr>
                <w:rFonts w:cs="Arial"/>
                <w:bCs/>
                <w:spacing w:val="-2"/>
                <w:w w:val="105"/>
                <w:szCs w:val="18"/>
              </w:rPr>
              <w:t>(within 2 m) d</w:t>
            </w:r>
            <w:r w:rsidRPr="00CB34FD">
              <w:rPr>
                <w:rFonts w:cs="Arial"/>
                <w:bCs/>
                <w:spacing w:val="-2"/>
                <w:w w:val="105"/>
                <w:szCs w:val="18"/>
              </w:rPr>
              <w:t>omestic and industrial</w:t>
            </w:r>
            <w:r>
              <w:rPr>
                <w:rFonts w:cs="Arial"/>
                <w:bCs/>
                <w:spacing w:val="-2"/>
                <w:w w:val="105"/>
                <w:szCs w:val="18"/>
              </w:rPr>
              <w:t xml:space="preserve"> b</w:t>
            </w:r>
            <w:r w:rsidRPr="00CB34FD">
              <w:rPr>
                <w:rFonts w:cs="Arial"/>
                <w:bCs/>
                <w:spacing w:val="-2"/>
                <w:w w:val="105"/>
                <w:szCs w:val="18"/>
              </w:rPr>
              <w:t>uildings</w:t>
            </w:r>
            <w:r>
              <w:rPr>
                <w:rFonts w:cs="Arial"/>
                <w:bCs/>
                <w:spacing w:val="-2"/>
                <w:w w:val="105"/>
                <w:szCs w:val="18"/>
              </w:rPr>
              <w:t>. External areas may include wharf areas and around farm buildings, dairies, meatworks (non-product areas).</w:t>
            </w:r>
          </w:p>
        </w:tc>
        <w:tc>
          <w:tcPr>
            <w:tcW w:w="700" w:type="pct"/>
            <w:vMerge/>
          </w:tcPr>
          <w:p w14:paraId="6F01F350" w14:textId="77777777" w:rsidR="008E67EA" w:rsidRPr="00867EDB" w:rsidRDefault="008E67EA" w:rsidP="00B44A74">
            <w:pPr>
              <w:spacing w:line="240" w:lineRule="exact"/>
              <w:rPr>
                <w:rFonts w:cs="Arial"/>
                <w:bCs/>
                <w:spacing w:val="-2"/>
                <w:w w:val="105"/>
                <w:szCs w:val="18"/>
              </w:rPr>
            </w:pPr>
          </w:p>
        </w:tc>
        <w:tc>
          <w:tcPr>
            <w:tcW w:w="2400" w:type="pct"/>
            <w:vMerge/>
          </w:tcPr>
          <w:p w14:paraId="38E02DDD" w14:textId="77777777" w:rsidR="008E67EA" w:rsidRPr="00867EDB" w:rsidRDefault="008E67EA" w:rsidP="00B44A74">
            <w:pPr>
              <w:spacing w:line="240" w:lineRule="exact"/>
              <w:rPr>
                <w:rFonts w:cs="Arial"/>
                <w:bCs/>
                <w:spacing w:val="-2"/>
                <w:w w:val="105"/>
                <w:szCs w:val="18"/>
              </w:rPr>
            </w:pPr>
          </w:p>
        </w:tc>
      </w:tr>
      <w:tr w:rsidR="008E67EA" w:rsidRPr="00C118CC" w14:paraId="574884B4" w14:textId="77777777" w:rsidTr="009C4F64">
        <w:trPr>
          <w:trHeight w:val="1247"/>
        </w:trPr>
        <w:tc>
          <w:tcPr>
            <w:tcW w:w="473" w:type="pct"/>
            <w:vMerge/>
          </w:tcPr>
          <w:p w14:paraId="06CEACF6" w14:textId="77777777" w:rsidR="008E67EA" w:rsidRDefault="008E67EA" w:rsidP="00B44A74">
            <w:pPr>
              <w:spacing w:line="240" w:lineRule="exact"/>
              <w:rPr>
                <w:rFonts w:cs="Arial"/>
                <w:bCs/>
                <w:spacing w:val="-2"/>
                <w:w w:val="105"/>
                <w:szCs w:val="18"/>
              </w:rPr>
            </w:pPr>
          </w:p>
        </w:tc>
        <w:tc>
          <w:tcPr>
            <w:tcW w:w="1427" w:type="pct"/>
          </w:tcPr>
          <w:p w14:paraId="41CE044D" w14:textId="77777777" w:rsidR="008E67EA" w:rsidRDefault="008E67EA" w:rsidP="00B44A74">
            <w:pPr>
              <w:spacing w:line="240" w:lineRule="exact"/>
              <w:rPr>
                <w:rFonts w:cs="Arial"/>
                <w:bCs/>
                <w:spacing w:val="-2"/>
                <w:w w:val="105"/>
                <w:szCs w:val="18"/>
              </w:rPr>
            </w:pPr>
            <w:r>
              <w:rPr>
                <w:rFonts w:cs="Arial"/>
                <w:bCs/>
                <w:spacing w:val="-2"/>
                <w:w w:val="105"/>
                <w:szCs w:val="18"/>
              </w:rPr>
              <w:t>Field crops as below:</w:t>
            </w:r>
          </w:p>
        </w:tc>
        <w:tc>
          <w:tcPr>
            <w:tcW w:w="700" w:type="pct"/>
            <w:vMerge w:val="restart"/>
          </w:tcPr>
          <w:p w14:paraId="1787DAE3" w14:textId="77777777" w:rsidR="008E67EA" w:rsidRPr="00867EDB" w:rsidRDefault="008E67EA" w:rsidP="00B44A74">
            <w:pPr>
              <w:spacing w:line="240" w:lineRule="exact"/>
              <w:rPr>
                <w:rFonts w:cs="Arial"/>
                <w:bCs/>
                <w:spacing w:val="-2"/>
                <w:w w:val="105"/>
                <w:szCs w:val="18"/>
              </w:rPr>
            </w:pPr>
            <w:r w:rsidRPr="00CB34FD">
              <w:rPr>
                <w:rFonts w:cs="Arial"/>
                <w:bCs/>
                <w:spacing w:val="-2"/>
                <w:w w:val="105"/>
                <w:szCs w:val="18"/>
              </w:rPr>
              <w:t xml:space="preserve">60 g (2 blocks) per bait </w:t>
            </w:r>
            <w:r>
              <w:rPr>
                <w:rFonts w:cs="Arial"/>
                <w:bCs/>
                <w:spacing w:val="-2"/>
                <w:w w:val="105"/>
                <w:szCs w:val="18"/>
              </w:rPr>
              <w:t>station</w:t>
            </w:r>
          </w:p>
        </w:tc>
        <w:tc>
          <w:tcPr>
            <w:tcW w:w="2400" w:type="pct"/>
          </w:tcPr>
          <w:p w14:paraId="51E4F2EE" w14:textId="77777777" w:rsidR="008E67EA" w:rsidRPr="00867EDB" w:rsidRDefault="008E67EA" w:rsidP="00B44A74">
            <w:pPr>
              <w:spacing w:after="120" w:line="240" w:lineRule="exact"/>
              <w:rPr>
                <w:rFonts w:cs="Arial"/>
                <w:bCs/>
                <w:spacing w:val="-2"/>
                <w:w w:val="105"/>
                <w:szCs w:val="18"/>
              </w:rPr>
            </w:pPr>
            <w:r w:rsidRPr="00CB34FD">
              <w:rPr>
                <w:rFonts w:cs="Arial"/>
                <w:bCs/>
                <w:spacing w:val="-2"/>
                <w:w w:val="105"/>
                <w:szCs w:val="18"/>
              </w:rPr>
              <w:t>Follow the Baiting Strategies for in crop situations detailed below. Clear gullies, weeds and scrub. Keep headlands well slashed or bare to discourage rats and to expose them to predators.</w:t>
            </w:r>
          </w:p>
        </w:tc>
      </w:tr>
      <w:tr w:rsidR="008E67EA" w:rsidRPr="00C118CC" w14:paraId="7133A32F" w14:textId="77777777" w:rsidTr="009C4F64">
        <w:trPr>
          <w:trHeight w:val="1247"/>
        </w:trPr>
        <w:tc>
          <w:tcPr>
            <w:tcW w:w="473" w:type="pct"/>
            <w:vMerge/>
          </w:tcPr>
          <w:p w14:paraId="1417CAFB" w14:textId="77777777" w:rsidR="008E67EA" w:rsidRDefault="008E67EA" w:rsidP="00B44A74">
            <w:pPr>
              <w:spacing w:line="240" w:lineRule="exact"/>
              <w:rPr>
                <w:rFonts w:cs="Arial"/>
                <w:bCs/>
                <w:spacing w:val="-2"/>
                <w:w w:val="105"/>
                <w:szCs w:val="18"/>
              </w:rPr>
            </w:pPr>
          </w:p>
        </w:tc>
        <w:tc>
          <w:tcPr>
            <w:tcW w:w="1427" w:type="pct"/>
          </w:tcPr>
          <w:p w14:paraId="6FD2ADA3" w14:textId="77777777" w:rsidR="008E67EA" w:rsidRDefault="008E67EA" w:rsidP="00B44A74">
            <w:pPr>
              <w:spacing w:line="240" w:lineRule="exact"/>
              <w:rPr>
                <w:rFonts w:cs="Arial"/>
                <w:bCs/>
                <w:spacing w:val="-2"/>
                <w:w w:val="105"/>
                <w:szCs w:val="18"/>
              </w:rPr>
            </w:pPr>
            <w:r>
              <w:rPr>
                <w:rFonts w:cs="Arial"/>
                <w:bCs/>
                <w:spacing w:val="-2"/>
                <w:w w:val="105"/>
                <w:szCs w:val="18"/>
              </w:rPr>
              <w:t>Sugar cane</w:t>
            </w:r>
          </w:p>
        </w:tc>
        <w:tc>
          <w:tcPr>
            <w:tcW w:w="700" w:type="pct"/>
            <w:vMerge/>
          </w:tcPr>
          <w:p w14:paraId="005C37BC" w14:textId="77777777" w:rsidR="008E67EA" w:rsidRPr="00867EDB" w:rsidRDefault="008E67EA" w:rsidP="00B44A74">
            <w:pPr>
              <w:spacing w:line="240" w:lineRule="exact"/>
              <w:rPr>
                <w:rFonts w:cs="Arial"/>
                <w:bCs/>
                <w:spacing w:val="-2"/>
                <w:w w:val="105"/>
                <w:szCs w:val="18"/>
              </w:rPr>
            </w:pPr>
          </w:p>
        </w:tc>
        <w:tc>
          <w:tcPr>
            <w:tcW w:w="2400" w:type="pct"/>
          </w:tcPr>
          <w:p w14:paraId="6CD2E1F7" w14:textId="77777777" w:rsidR="008E67EA" w:rsidRPr="00CB34FD" w:rsidRDefault="008E67EA" w:rsidP="00B44A74">
            <w:pPr>
              <w:spacing w:after="120" w:line="240" w:lineRule="exact"/>
              <w:rPr>
                <w:rFonts w:cs="Arial"/>
                <w:bCs/>
                <w:spacing w:val="-2"/>
                <w:w w:val="105"/>
                <w:szCs w:val="18"/>
              </w:rPr>
            </w:pPr>
            <w:r w:rsidRPr="0031158E">
              <w:rPr>
                <w:rFonts w:cs="Arial"/>
                <w:bCs/>
                <w:spacing w:val="-2"/>
                <w:w w:val="105"/>
                <w:szCs w:val="18"/>
              </w:rPr>
              <w:t>Practi</w:t>
            </w:r>
            <w:r>
              <w:rPr>
                <w:rFonts w:cs="Arial"/>
                <w:bCs/>
                <w:spacing w:val="-2"/>
                <w:w w:val="105"/>
                <w:szCs w:val="18"/>
              </w:rPr>
              <w:t>c</w:t>
            </w:r>
            <w:r w:rsidRPr="0031158E">
              <w:rPr>
                <w:rFonts w:cs="Arial"/>
                <w:bCs/>
                <w:spacing w:val="-2"/>
                <w:w w:val="105"/>
                <w:szCs w:val="18"/>
              </w:rPr>
              <w:t>e in-crop grass and weed control. Obtain rat</w:t>
            </w:r>
            <w:r>
              <w:rPr>
                <w:rFonts w:cs="Arial"/>
                <w:bCs/>
                <w:spacing w:val="-2"/>
                <w:w w:val="105"/>
                <w:szCs w:val="18"/>
              </w:rPr>
              <w:t xml:space="preserve"> </w:t>
            </w:r>
            <w:r w:rsidRPr="0031158E">
              <w:rPr>
                <w:rFonts w:cs="Arial"/>
                <w:bCs/>
                <w:spacing w:val="-2"/>
                <w:w w:val="105"/>
                <w:szCs w:val="18"/>
              </w:rPr>
              <w:t>population monitoring data from district organisations and</w:t>
            </w:r>
            <w:r>
              <w:rPr>
                <w:rFonts w:cs="Arial"/>
                <w:bCs/>
                <w:spacing w:val="-2"/>
                <w:w w:val="105"/>
                <w:szCs w:val="18"/>
              </w:rPr>
              <w:t xml:space="preserve"> </w:t>
            </w:r>
            <w:r w:rsidRPr="0031158E">
              <w:rPr>
                <w:rFonts w:cs="Arial"/>
                <w:bCs/>
                <w:spacing w:val="-2"/>
                <w:w w:val="105"/>
                <w:szCs w:val="18"/>
              </w:rPr>
              <w:t>bait according to local recommendations. Strategic baiting</w:t>
            </w:r>
            <w:r>
              <w:rPr>
                <w:rFonts w:cs="Arial"/>
                <w:bCs/>
                <w:spacing w:val="-2"/>
                <w:w w:val="105"/>
                <w:szCs w:val="18"/>
              </w:rPr>
              <w:t xml:space="preserve"> </w:t>
            </w:r>
            <w:r w:rsidRPr="0031158E">
              <w:rPr>
                <w:rFonts w:cs="Arial"/>
                <w:bCs/>
                <w:spacing w:val="-2"/>
                <w:w w:val="105"/>
                <w:szCs w:val="18"/>
              </w:rPr>
              <w:t>is best carried out in December and January.</w:t>
            </w:r>
          </w:p>
        </w:tc>
      </w:tr>
      <w:tr w:rsidR="008E67EA" w:rsidRPr="00C118CC" w14:paraId="32BF2B76" w14:textId="77777777" w:rsidTr="009C4F64">
        <w:trPr>
          <w:trHeight w:val="1247"/>
        </w:trPr>
        <w:tc>
          <w:tcPr>
            <w:tcW w:w="473" w:type="pct"/>
            <w:vMerge/>
          </w:tcPr>
          <w:p w14:paraId="65084439" w14:textId="77777777" w:rsidR="008E67EA" w:rsidRDefault="008E67EA" w:rsidP="00B44A74">
            <w:pPr>
              <w:spacing w:line="240" w:lineRule="exact"/>
              <w:rPr>
                <w:rFonts w:cs="Arial"/>
                <w:bCs/>
                <w:spacing w:val="-2"/>
                <w:w w:val="105"/>
                <w:szCs w:val="18"/>
              </w:rPr>
            </w:pPr>
          </w:p>
        </w:tc>
        <w:tc>
          <w:tcPr>
            <w:tcW w:w="1427" w:type="pct"/>
          </w:tcPr>
          <w:p w14:paraId="092E2C2E" w14:textId="77777777" w:rsidR="008E67EA" w:rsidRDefault="008E67EA" w:rsidP="00B44A74">
            <w:pPr>
              <w:spacing w:line="240" w:lineRule="exact"/>
              <w:rPr>
                <w:rFonts w:cs="Arial"/>
                <w:bCs/>
                <w:spacing w:val="-2"/>
                <w:w w:val="105"/>
                <w:szCs w:val="18"/>
              </w:rPr>
            </w:pPr>
            <w:r>
              <w:rPr>
                <w:rFonts w:cs="Arial"/>
                <w:bCs/>
                <w:spacing w:val="-2"/>
                <w:w w:val="105"/>
                <w:szCs w:val="18"/>
              </w:rPr>
              <w:t>Macadamias</w:t>
            </w:r>
          </w:p>
        </w:tc>
        <w:tc>
          <w:tcPr>
            <w:tcW w:w="700" w:type="pct"/>
            <w:vMerge/>
          </w:tcPr>
          <w:p w14:paraId="4B61A2A6" w14:textId="77777777" w:rsidR="008E67EA" w:rsidRPr="00867EDB" w:rsidRDefault="008E67EA" w:rsidP="00B44A74">
            <w:pPr>
              <w:spacing w:line="240" w:lineRule="exact"/>
              <w:rPr>
                <w:rFonts w:cs="Arial"/>
                <w:bCs/>
                <w:spacing w:val="-2"/>
                <w:w w:val="105"/>
                <w:szCs w:val="18"/>
              </w:rPr>
            </w:pPr>
          </w:p>
        </w:tc>
        <w:tc>
          <w:tcPr>
            <w:tcW w:w="2400" w:type="pct"/>
          </w:tcPr>
          <w:p w14:paraId="7BA98E25" w14:textId="77777777" w:rsidR="008E67EA" w:rsidRPr="00CB34FD" w:rsidRDefault="008E67EA" w:rsidP="00B44A74">
            <w:pPr>
              <w:spacing w:after="120" w:line="240" w:lineRule="exact"/>
              <w:rPr>
                <w:rFonts w:cs="Arial"/>
                <w:bCs/>
                <w:spacing w:val="-2"/>
                <w:w w:val="105"/>
                <w:szCs w:val="18"/>
              </w:rPr>
            </w:pPr>
            <w:r w:rsidRPr="0031158E">
              <w:rPr>
                <w:rFonts w:cs="Arial"/>
                <w:bCs/>
                <w:spacing w:val="-2"/>
                <w:w w:val="105"/>
                <w:szCs w:val="18"/>
              </w:rPr>
              <w:t>If not possible to clear orchard boundaries, rehabilitate to</w:t>
            </w:r>
            <w:r>
              <w:rPr>
                <w:rFonts w:cs="Arial"/>
                <w:bCs/>
                <w:spacing w:val="-2"/>
                <w:w w:val="105"/>
                <w:szCs w:val="18"/>
              </w:rPr>
              <w:t xml:space="preserve"> </w:t>
            </w:r>
            <w:r w:rsidRPr="0031158E">
              <w:rPr>
                <w:rFonts w:cs="Arial"/>
                <w:bCs/>
                <w:spacing w:val="-2"/>
                <w:w w:val="105"/>
                <w:szCs w:val="18"/>
              </w:rPr>
              <w:t>rain forest. Monitor rodent damage levels prior to baiting.</w:t>
            </w:r>
            <w:r>
              <w:rPr>
                <w:rFonts w:cs="Arial"/>
                <w:bCs/>
                <w:spacing w:val="-2"/>
                <w:w w:val="105"/>
                <w:szCs w:val="18"/>
              </w:rPr>
              <w:t xml:space="preserve"> </w:t>
            </w:r>
            <w:r w:rsidRPr="00D86787">
              <w:rPr>
                <w:rFonts w:cs="Arial"/>
                <w:bCs/>
                <w:spacing w:val="-2"/>
                <w:w w:val="105"/>
                <w:szCs w:val="18"/>
              </w:rPr>
              <w:t>Locate bait stations around crop perimeters or in the outer 3 rows for macadamia cropping (particularly between the crop and grassy or bush habitats), near obvious rat runs, and/or close to known rat hiding spots such as stumps, rocks, logs or burrows</w:t>
            </w:r>
            <w:r>
              <w:rPr>
                <w:rFonts w:cs="Arial"/>
                <w:bCs/>
                <w:spacing w:val="-2"/>
                <w:w w:val="105"/>
                <w:szCs w:val="18"/>
              </w:rPr>
              <w:t>.</w:t>
            </w:r>
          </w:p>
        </w:tc>
      </w:tr>
      <w:tr w:rsidR="008E67EA" w:rsidRPr="00C118CC" w14:paraId="6E4C0605" w14:textId="77777777" w:rsidTr="009C4F64">
        <w:trPr>
          <w:trHeight w:val="1247"/>
        </w:trPr>
        <w:tc>
          <w:tcPr>
            <w:tcW w:w="473" w:type="pct"/>
            <w:vMerge/>
          </w:tcPr>
          <w:p w14:paraId="6AF317D2" w14:textId="77777777" w:rsidR="008E67EA" w:rsidRDefault="008E67EA" w:rsidP="00B44A74">
            <w:pPr>
              <w:spacing w:line="240" w:lineRule="exact"/>
              <w:rPr>
                <w:rFonts w:cs="Arial"/>
                <w:bCs/>
                <w:spacing w:val="-2"/>
                <w:w w:val="105"/>
                <w:szCs w:val="18"/>
              </w:rPr>
            </w:pPr>
          </w:p>
        </w:tc>
        <w:tc>
          <w:tcPr>
            <w:tcW w:w="1427" w:type="pct"/>
          </w:tcPr>
          <w:p w14:paraId="0AE5B7D9" w14:textId="77777777" w:rsidR="008E67EA" w:rsidRDefault="008E67EA" w:rsidP="00B44A74">
            <w:pPr>
              <w:spacing w:line="240" w:lineRule="exact"/>
              <w:rPr>
                <w:rFonts w:cs="Arial"/>
                <w:bCs/>
                <w:spacing w:val="-2"/>
                <w:w w:val="105"/>
                <w:szCs w:val="18"/>
              </w:rPr>
            </w:pPr>
            <w:r>
              <w:rPr>
                <w:rFonts w:cs="Arial"/>
                <w:bCs/>
                <w:spacing w:val="-2"/>
                <w:w w:val="105"/>
                <w:szCs w:val="18"/>
              </w:rPr>
              <w:t>Pineapples</w:t>
            </w:r>
          </w:p>
        </w:tc>
        <w:tc>
          <w:tcPr>
            <w:tcW w:w="700" w:type="pct"/>
            <w:vMerge/>
          </w:tcPr>
          <w:p w14:paraId="29CAAA51" w14:textId="77777777" w:rsidR="008E67EA" w:rsidRPr="00867EDB" w:rsidRDefault="008E67EA" w:rsidP="00B44A74">
            <w:pPr>
              <w:spacing w:line="240" w:lineRule="exact"/>
              <w:rPr>
                <w:rFonts w:cs="Arial"/>
                <w:bCs/>
                <w:spacing w:val="-2"/>
                <w:w w:val="105"/>
                <w:szCs w:val="18"/>
              </w:rPr>
            </w:pPr>
          </w:p>
        </w:tc>
        <w:tc>
          <w:tcPr>
            <w:tcW w:w="2400" w:type="pct"/>
          </w:tcPr>
          <w:p w14:paraId="5EF4BEE3" w14:textId="77777777" w:rsidR="008E67EA" w:rsidRPr="00CB34FD" w:rsidRDefault="008E67EA" w:rsidP="00B44A74">
            <w:pPr>
              <w:spacing w:after="120" w:line="240" w:lineRule="exact"/>
              <w:rPr>
                <w:rFonts w:cs="Arial"/>
                <w:bCs/>
                <w:spacing w:val="-2"/>
                <w:w w:val="105"/>
                <w:szCs w:val="18"/>
              </w:rPr>
            </w:pPr>
            <w:r w:rsidRPr="0031158E">
              <w:rPr>
                <w:rFonts w:cs="Arial"/>
                <w:bCs/>
                <w:spacing w:val="-2"/>
                <w:w w:val="105"/>
                <w:szCs w:val="18"/>
              </w:rPr>
              <w:t>Place bait stations at 9 metre intervals, 1 metre inside the</w:t>
            </w:r>
            <w:r>
              <w:rPr>
                <w:rFonts w:cs="Arial"/>
                <w:bCs/>
                <w:spacing w:val="-2"/>
                <w:w w:val="105"/>
                <w:szCs w:val="18"/>
              </w:rPr>
              <w:t xml:space="preserve"> </w:t>
            </w:r>
            <w:r w:rsidRPr="0031158E">
              <w:rPr>
                <w:rFonts w:cs="Arial"/>
                <w:bCs/>
                <w:spacing w:val="-2"/>
                <w:w w:val="105"/>
                <w:szCs w:val="18"/>
              </w:rPr>
              <w:t>block on all sides where rats are entering the block. Bait</w:t>
            </w:r>
            <w:r>
              <w:rPr>
                <w:rFonts w:cs="Arial"/>
                <w:bCs/>
                <w:spacing w:val="-2"/>
                <w:w w:val="105"/>
                <w:szCs w:val="18"/>
              </w:rPr>
              <w:t xml:space="preserve"> </w:t>
            </w:r>
            <w:r w:rsidRPr="0031158E">
              <w:rPr>
                <w:rFonts w:cs="Arial"/>
                <w:bCs/>
                <w:spacing w:val="-2"/>
                <w:w w:val="105"/>
                <w:szCs w:val="18"/>
              </w:rPr>
              <w:t>should be added to bait stations when fruit begins to form</w:t>
            </w:r>
            <w:r>
              <w:rPr>
                <w:rFonts w:cs="Arial"/>
                <w:bCs/>
                <w:spacing w:val="-2"/>
                <w:w w:val="105"/>
                <w:szCs w:val="18"/>
              </w:rPr>
              <w:t xml:space="preserve"> </w:t>
            </w:r>
            <w:r w:rsidRPr="0031158E">
              <w:rPr>
                <w:rFonts w:cs="Arial"/>
                <w:bCs/>
                <w:spacing w:val="-2"/>
                <w:w w:val="105"/>
                <w:szCs w:val="18"/>
              </w:rPr>
              <w:t>and bait replenished until after harvest.</w:t>
            </w:r>
          </w:p>
        </w:tc>
      </w:tr>
    </w:tbl>
    <w:p w14:paraId="2AF086EB" w14:textId="77777777" w:rsidR="008E67EA" w:rsidRDefault="008E67EA" w:rsidP="008E67EA">
      <w:pPr>
        <w:rPr>
          <w:rFonts w:cs="Arial"/>
          <w:b/>
          <w:bCs/>
          <w:color w:val="000000" w:themeColor="text1"/>
          <w:sz w:val="20"/>
          <w:szCs w:val="20"/>
        </w:rPr>
      </w:pPr>
      <w:r>
        <w:rPr>
          <w:rFonts w:cs="Arial"/>
          <w:b/>
          <w:bCs/>
          <w:color w:val="000000" w:themeColor="text1"/>
          <w:sz w:val="20"/>
          <w:szCs w:val="20"/>
        </w:rPr>
        <w:br w:type="page"/>
      </w:r>
    </w:p>
    <w:p w14:paraId="68749C71" w14:textId="77777777" w:rsidR="008E67EA" w:rsidRPr="00867EDB" w:rsidRDefault="008E67EA" w:rsidP="008E67EA">
      <w:pPr>
        <w:spacing w:line="280" w:lineRule="exact"/>
        <w:rPr>
          <w:rFonts w:cs="Arial"/>
          <w:b/>
          <w:bCs/>
          <w:color w:val="000000" w:themeColor="text1"/>
          <w:sz w:val="20"/>
          <w:szCs w:val="20"/>
        </w:rPr>
      </w:pPr>
      <w:r w:rsidRPr="00867EDB">
        <w:rPr>
          <w:rFonts w:cs="Arial"/>
          <w:b/>
          <w:bCs/>
          <w:color w:val="000000" w:themeColor="text1"/>
          <w:sz w:val="20"/>
          <w:szCs w:val="20"/>
        </w:rPr>
        <w:lastRenderedPageBreak/>
        <w:t>Baiting Strateg</w:t>
      </w:r>
      <w:r>
        <w:rPr>
          <w:rFonts w:cs="Arial"/>
          <w:b/>
          <w:bCs/>
          <w:color w:val="000000" w:themeColor="text1"/>
          <w:sz w:val="20"/>
          <w:szCs w:val="20"/>
        </w:rPr>
        <w:t>ies</w:t>
      </w:r>
    </w:p>
    <w:p w14:paraId="5CA2884B" w14:textId="1317711F" w:rsidR="008E67EA" w:rsidRDefault="008E67EA" w:rsidP="008E67EA">
      <w:pPr>
        <w:pStyle w:val="StatementofReasonsLevel1"/>
        <w:numPr>
          <w:ilvl w:val="0"/>
          <w:numId w:val="0"/>
        </w:numPr>
        <w:rPr>
          <w:szCs w:val="20"/>
        </w:rPr>
      </w:pPr>
      <w:r w:rsidRPr="0031158E">
        <w:rPr>
          <w:szCs w:val="20"/>
        </w:rPr>
        <w:t>Eliminate, as far as practicable, all alternative food sources.</w:t>
      </w:r>
    </w:p>
    <w:p w14:paraId="62539F01" w14:textId="77777777" w:rsidR="008E67EA" w:rsidRDefault="008E67EA" w:rsidP="008E67EA">
      <w:pPr>
        <w:spacing w:line="280" w:lineRule="exact"/>
        <w:rPr>
          <w:rFonts w:cs="Arial"/>
          <w:b/>
          <w:bCs/>
          <w:sz w:val="20"/>
          <w:szCs w:val="20"/>
        </w:rPr>
      </w:pPr>
      <w:r w:rsidRPr="0031158E">
        <w:rPr>
          <w:rFonts w:cs="Arial"/>
          <w:b/>
          <w:bCs/>
          <w:sz w:val="20"/>
          <w:szCs w:val="20"/>
        </w:rPr>
        <w:t>Non-crop situations</w:t>
      </w:r>
      <w:r>
        <w:rPr>
          <w:rFonts w:cs="Arial"/>
          <w:b/>
          <w:bCs/>
          <w:sz w:val="20"/>
          <w:szCs w:val="20"/>
        </w:rPr>
        <w:t>:</w:t>
      </w:r>
    </w:p>
    <w:p w14:paraId="3D07C992" w14:textId="055B7447" w:rsidR="008E67EA" w:rsidRDefault="008E67EA" w:rsidP="008E67EA">
      <w:pPr>
        <w:pStyle w:val="StatementofReasonsLevel1"/>
        <w:numPr>
          <w:ilvl w:val="0"/>
          <w:numId w:val="0"/>
        </w:numPr>
        <w:rPr>
          <w:rFonts w:eastAsiaTheme="minorHAnsi"/>
          <w:kern w:val="2"/>
          <w:szCs w:val="20"/>
          <w:lang w:eastAsia="en-US"/>
        </w:rPr>
      </w:pPr>
      <w:r w:rsidRPr="0008427F">
        <w:rPr>
          <w:rFonts w:eastAsiaTheme="minorHAnsi"/>
          <w:kern w:val="2"/>
          <w:szCs w:val="20"/>
          <w:lang w:eastAsia="en-US"/>
        </w:rPr>
        <w:t>Survey site prior to treatment, including assessment of the extent of infestation and identification of any indications of the presence of non-target animals.</w:t>
      </w:r>
    </w:p>
    <w:p w14:paraId="6ECCC891" w14:textId="77777777" w:rsidR="008E67EA" w:rsidRDefault="008E67EA" w:rsidP="008E67EA">
      <w:pPr>
        <w:pStyle w:val="StatementofReasonsLevel1"/>
        <w:numPr>
          <w:ilvl w:val="0"/>
          <w:numId w:val="0"/>
        </w:numPr>
        <w:rPr>
          <w:rFonts w:eastAsiaTheme="minorHAnsi"/>
          <w:kern w:val="2"/>
          <w:szCs w:val="20"/>
          <w:lang w:eastAsia="en-US"/>
        </w:rPr>
      </w:pPr>
      <w:r>
        <w:rPr>
          <w:rFonts w:eastAsiaTheme="minorHAnsi"/>
          <w:kern w:val="2"/>
          <w:szCs w:val="20"/>
          <w:lang w:eastAsia="en-US"/>
        </w:rPr>
        <w:t xml:space="preserve">Place baits so only accessible by rats and mice. </w:t>
      </w:r>
      <w:r w:rsidRPr="0077772E">
        <w:rPr>
          <w:rFonts w:eastAsiaTheme="minorHAnsi"/>
          <w:kern w:val="2"/>
          <w:szCs w:val="20"/>
          <w:lang w:eastAsia="en-US"/>
        </w:rPr>
        <w:t>Record the number and locations of bait stations for the purpose of inspection, replacement and later removal.</w:t>
      </w:r>
      <w:r>
        <w:rPr>
          <w:rFonts w:eastAsiaTheme="minorHAnsi"/>
          <w:kern w:val="2"/>
          <w:szCs w:val="20"/>
          <w:lang w:eastAsia="en-US"/>
        </w:rPr>
        <w:t xml:space="preserve"> </w:t>
      </w:r>
      <w:r w:rsidRPr="00B135D0">
        <w:rPr>
          <w:rFonts w:eastAsiaTheme="minorHAnsi"/>
          <w:kern w:val="2"/>
          <w:szCs w:val="20"/>
          <w:lang w:eastAsia="en-US"/>
        </w:rPr>
        <w:t xml:space="preserve">Always use tamper-resistant bait stations that are secured in place in child accessible areas, outdoors and in animal or livestock housing. </w:t>
      </w:r>
      <w:r>
        <w:rPr>
          <w:rFonts w:eastAsiaTheme="minorHAnsi"/>
          <w:kern w:val="2"/>
          <w:szCs w:val="20"/>
          <w:lang w:eastAsia="en-US"/>
        </w:rPr>
        <w:t>W</w:t>
      </w:r>
      <w:r w:rsidRPr="00B135D0">
        <w:rPr>
          <w:rFonts w:eastAsiaTheme="minorHAnsi"/>
          <w:kern w:val="2"/>
          <w:szCs w:val="20"/>
          <w:lang w:eastAsia="en-US"/>
        </w:rPr>
        <w:t>hen used in food producing animal housing situations careful consideration is necessary regarding the placement of bait stations to ensure any rodenticide contamination of water, feed or livestock is prevented.</w:t>
      </w:r>
    </w:p>
    <w:p w14:paraId="41375D69" w14:textId="20887C3F" w:rsidR="008E67EA" w:rsidRDefault="008E67EA" w:rsidP="008E67EA">
      <w:pPr>
        <w:pStyle w:val="StatementofReasonsLevel1"/>
        <w:numPr>
          <w:ilvl w:val="0"/>
          <w:numId w:val="0"/>
        </w:numPr>
        <w:rPr>
          <w:szCs w:val="20"/>
        </w:rPr>
      </w:pPr>
      <w:r w:rsidRPr="00B135D0">
        <w:rPr>
          <w:rFonts w:eastAsiaTheme="minorHAnsi"/>
          <w:kern w:val="2"/>
          <w:szCs w:val="20"/>
          <w:lang w:eastAsia="en-US"/>
        </w:rPr>
        <w:t xml:space="preserve">Inspect </w:t>
      </w:r>
      <w:r>
        <w:rPr>
          <w:rFonts w:eastAsiaTheme="minorHAnsi"/>
          <w:kern w:val="2"/>
          <w:szCs w:val="20"/>
          <w:lang w:eastAsia="en-US"/>
        </w:rPr>
        <w:t>bait sites</w:t>
      </w:r>
      <w:r w:rsidRPr="00B135D0">
        <w:rPr>
          <w:rFonts w:eastAsiaTheme="minorHAnsi"/>
          <w:kern w:val="2"/>
          <w:szCs w:val="20"/>
          <w:lang w:eastAsia="en-US"/>
        </w:rPr>
        <w:t xml:space="preserve"> at least every few days and replace eaten baits.</w:t>
      </w:r>
      <w:r>
        <w:rPr>
          <w:rFonts w:eastAsiaTheme="minorHAnsi"/>
          <w:kern w:val="2"/>
          <w:szCs w:val="20"/>
          <w:lang w:eastAsia="en-US"/>
        </w:rPr>
        <w:t xml:space="preserve"> I</w:t>
      </w:r>
      <w:r w:rsidRPr="00B135D0">
        <w:rPr>
          <w:rFonts w:eastAsiaTheme="minorHAnsi"/>
          <w:kern w:val="2"/>
          <w:szCs w:val="20"/>
          <w:lang w:eastAsia="en-US"/>
        </w:rPr>
        <w:t>f baits are eaten quickly, increase the number of baits.</w:t>
      </w:r>
      <w:r>
        <w:rPr>
          <w:rFonts w:eastAsiaTheme="minorHAnsi"/>
          <w:kern w:val="2"/>
          <w:szCs w:val="20"/>
          <w:lang w:eastAsia="en-US"/>
        </w:rPr>
        <w:t xml:space="preserve"> </w:t>
      </w:r>
      <w:r w:rsidRPr="0031158E">
        <w:rPr>
          <w:szCs w:val="20"/>
        </w:rPr>
        <w:t>Baiting for at least 2 weeks is necessary to reduce mouse or rat numbers but continue observation and bait replenishment until no more baits are taken.</w:t>
      </w:r>
    </w:p>
    <w:p w14:paraId="04074D01" w14:textId="77777777" w:rsidR="008E67EA" w:rsidRDefault="008E67EA" w:rsidP="008E67EA">
      <w:pPr>
        <w:pStyle w:val="StatementofReasonsLevel1"/>
        <w:numPr>
          <w:ilvl w:val="0"/>
          <w:numId w:val="0"/>
        </w:numPr>
        <w:rPr>
          <w:b/>
          <w:bCs/>
          <w:szCs w:val="20"/>
        </w:rPr>
      </w:pPr>
      <w:r w:rsidRPr="0008427F">
        <w:rPr>
          <w:rFonts w:eastAsiaTheme="minorHAnsi"/>
          <w:kern w:val="2"/>
          <w:szCs w:val="20"/>
          <w:lang w:eastAsia="en-US"/>
        </w:rPr>
        <w:t>DO NOT use the product beyond 35 days without an evaluation of the state of the infestation and of the efficacy of the treatment.</w:t>
      </w:r>
      <w:r w:rsidRPr="00D86787">
        <w:rPr>
          <w:rFonts w:eastAsiaTheme="minorHAnsi"/>
          <w:kern w:val="2"/>
          <w:szCs w:val="20"/>
          <w:lang w:eastAsia="en-US"/>
        </w:rPr>
        <w:t xml:space="preserve"> </w:t>
      </w:r>
      <w:r w:rsidRPr="0031158E">
        <w:rPr>
          <w:rFonts w:eastAsiaTheme="minorHAnsi"/>
          <w:kern w:val="2"/>
          <w:szCs w:val="20"/>
          <w:lang w:eastAsia="en-US"/>
        </w:rPr>
        <w:t>Remove all uneaten bait at the end of treatment.</w:t>
      </w:r>
    </w:p>
    <w:p w14:paraId="2721DA42" w14:textId="77777777" w:rsidR="008E67EA" w:rsidRDefault="008E67EA" w:rsidP="008E67EA">
      <w:pPr>
        <w:spacing w:line="280" w:lineRule="exact"/>
        <w:rPr>
          <w:rFonts w:cs="Arial"/>
          <w:b/>
          <w:bCs/>
          <w:sz w:val="20"/>
          <w:szCs w:val="20"/>
        </w:rPr>
      </w:pPr>
      <w:r>
        <w:rPr>
          <w:rFonts w:cs="Arial"/>
          <w:b/>
          <w:bCs/>
          <w:sz w:val="20"/>
          <w:szCs w:val="20"/>
        </w:rPr>
        <w:t>In</w:t>
      </w:r>
      <w:r w:rsidRPr="0031158E">
        <w:rPr>
          <w:rFonts w:cs="Arial"/>
          <w:b/>
          <w:bCs/>
          <w:sz w:val="20"/>
          <w:szCs w:val="20"/>
        </w:rPr>
        <w:t>-crop situations</w:t>
      </w:r>
      <w:r>
        <w:rPr>
          <w:rFonts w:cs="Arial"/>
          <w:b/>
          <w:bCs/>
          <w:sz w:val="20"/>
          <w:szCs w:val="20"/>
        </w:rPr>
        <w:t>:</w:t>
      </w:r>
    </w:p>
    <w:p w14:paraId="58BEE6F9" w14:textId="77777777" w:rsidR="008E67EA" w:rsidRPr="00011C46" w:rsidRDefault="008E67EA" w:rsidP="008E67EA">
      <w:pPr>
        <w:spacing w:line="280" w:lineRule="exact"/>
        <w:rPr>
          <w:rFonts w:cs="Arial"/>
          <w:szCs w:val="18"/>
        </w:rPr>
      </w:pPr>
      <w:r w:rsidRPr="00011C46">
        <w:rPr>
          <w:rFonts w:cs="Arial"/>
          <w:szCs w:val="18"/>
        </w:rPr>
        <w:t>Baiting must be used as part of a comprehensive rodent control program.</w:t>
      </w:r>
      <w:r w:rsidRPr="00011C46">
        <w:rPr>
          <w:sz w:val="16"/>
          <w:szCs w:val="22"/>
        </w:rPr>
        <w:t xml:space="preserve"> </w:t>
      </w:r>
      <w:r w:rsidRPr="00011C46">
        <w:rPr>
          <w:rFonts w:cs="Arial"/>
          <w:szCs w:val="18"/>
        </w:rPr>
        <w:t>This includes encouragement of natural predators, annual field clean-up, weed control, clearance of adjacent scrubland and strategically timed baiting. Obtain and practice crop management and rodent control strategies recommended by the appropriate local advisory bodies.</w:t>
      </w:r>
    </w:p>
    <w:p w14:paraId="2EAFC5DC" w14:textId="77777777" w:rsidR="008E67EA" w:rsidRDefault="008E67EA" w:rsidP="008E67EA">
      <w:pPr>
        <w:pStyle w:val="StatementofReasonsLevel1"/>
        <w:numPr>
          <w:ilvl w:val="0"/>
          <w:numId w:val="0"/>
        </w:numPr>
        <w:rPr>
          <w:rFonts w:eastAsiaTheme="minorHAnsi"/>
          <w:kern w:val="2"/>
          <w:szCs w:val="20"/>
          <w:lang w:eastAsia="en-US"/>
        </w:rPr>
      </w:pPr>
      <w:r w:rsidRPr="0008427F">
        <w:rPr>
          <w:rFonts w:eastAsiaTheme="minorHAnsi"/>
          <w:kern w:val="2"/>
          <w:szCs w:val="20"/>
          <w:lang w:eastAsia="en-US"/>
        </w:rPr>
        <w:t>Survey site prior to treatment, including assessment of the extent of infestation and identification of any indications of the presence of non-target animals.</w:t>
      </w:r>
      <w:r>
        <w:rPr>
          <w:rFonts w:eastAsiaTheme="minorHAnsi"/>
          <w:kern w:val="2"/>
          <w:szCs w:val="20"/>
          <w:lang w:eastAsia="en-US"/>
        </w:rPr>
        <w:t xml:space="preserve"> </w:t>
      </w:r>
    </w:p>
    <w:p w14:paraId="284655E0" w14:textId="77777777" w:rsidR="008E67EA" w:rsidRPr="00011C46" w:rsidRDefault="008E67EA" w:rsidP="00011C46">
      <w:pPr>
        <w:pStyle w:val="StatementofReasonsLevel1"/>
        <w:numPr>
          <w:ilvl w:val="0"/>
          <w:numId w:val="0"/>
        </w:numPr>
        <w:rPr>
          <w:rFonts w:eastAsiaTheme="minorHAnsi"/>
          <w:kern w:val="2"/>
          <w:szCs w:val="20"/>
        </w:rPr>
      </w:pPr>
      <w:r w:rsidRPr="00011C46">
        <w:rPr>
          <w:rFonts w:eastAsiaTheme="minorHAnsi"/>
          <w:kern w:val="2"/>
          <w:szCs w:val="20"/>
          <w:lang w:eastAsia="en-US"/>
        </w:rPr>
        <w:t>Locate bait stations around crop perimeters (particularly between the crop and grassy or bush habitats), near obvious rat runs, and/or close to known rat hiding spots such as stumps, rocks, logs or burrows. Record the number and locations of bait stations for the purpose of inspection, replacement and later removal. Bait stations must be put down several days before the start of the control program to give rats time to become acquainted with the station. During the first week offer free feed to attract the rats.</w:t>
      </w:r>
    </w:p>
    <w:p w14:paraId="2D593AC2" w14:textId="77777777" w:rsidR="008E67EA" w:rsidRPr="00011C46" w:rsidRDefault="008E67EA" w:rsidP="00011C46">
      <w:pPr>
        <w:pStyle w:val="StatementofReasonsLevel1"/>
        <w:numPr>
          <w:ilvl w:val="0"/>
          <w:numId w:val="0"/>
        </w:numPr>
        <w:rPr>
          <w:rFonts w:eastAsiaTheme="minorHAnsi"/>
          <w:kern w:val="2"/>
          <w:szCs w:val="20"/>
        </w:rPr>
      </w:pPr>
      <w:r w:rsidRPr="00011C46">
        <w:rPr>
          <w:rFonts w:eastAsiaTheme="minorHAnsi"/>
          <w:kern w:val="2"/>
          <w:szCs w:val="20"/>
          <w:lang w:eastAsia="en-US"/>
        </w:rPr>
        <w:t>Use in tamper-resistant and weather resistant bait stations only. Bait stations must be fixed to the ground or other structures to prevent movement. The bait material must be placed in bait station where it is not accessible to birds and other wildlife. Bait must not come into direct contact with the crops, food products or soil where crops are grown.</w:t>
      </w:r>
    </w:p>
    <w:p w14:paraId="532FE9C9" w14:textId="77777777" w:rsidR="008E67EA" w:rsidRPr="00011C46" w:rsidRDefault="008E67EA" w:rsidP="00011C46">
      <w:pPr>
        <w:pStyle w:val="StatementofReasonsLevel1"/>
        <w:numPr>
          <w:ilvl w:val="0"/>
          <w:numId w:val="0"/>
        </w:numPr>
        <w:rPr>
          <w:rFonts w:eastAsiaTheme="minorHAnsi"/>
          <w:kern w:val="2"/>
          <w:szCs w:val="20"/>
        </w:rPr>
      </w:pPr>
      <w:r w:rsidRPr="00011C46">
        <w:rPr>
          <w:rFonts w:eastAsiaTheme="minorHAnsi"/>
          <w:kern w:val="2"/>
          <w:szCs w:val="20"/>
          <w:lang w:eastAsia="en-US"/>
        </w:rPr>
        <w:t>Bait sites should be inspected every 3 days and baits replenished until no more baits are taken. If baits are eaten quickly, increase the number of baits. Baiting for at least 2 weeks is necessary to reduce mouse or rat numbers but continue observation and bait replenishment until no more baits are taken.</w:t>
      </w:r>
    </w:p>
    <w:p w14:paraId="70289E88" w14:textId="77777777" w:rsidR="008E67EA" w:rsidRPr="00011C46" w:rsidRDefault="008E67EA" w:rsidP="00011C46">
      <w:pPr>
        <w:pStyle w:val="StatementofReasonsLevel1"/>
        <w:numPr>
          <w:ilvl w:val="0"/>
          <w:numId w:val="0"/>
        </w:numPr>
        <w:rPr>
          <w:rFonts w:eastAsiaTheme="minorHAnsi"/>
          <w:kern w:val="2"/>
          <w:szCs w:val="20"/>
        </w:rPr>
      </w:pPr>
      <w:r w:rsidRPr="00011C46">
        <w:rPr>
          <w:rFonts w:eastAsiaTheme="minorHAnsi"/>
          <w:kern w:val="2"/>
          <w:szCs w:val="20"/>
          <w:lang w:eastAsia="en-US"/>
        </w:rPr>
        <w:t>DO NOT use the product beyond 35 days without an evaluation of the state of the infestation and of the efficacy of the treatment. Remove all uneaten bait at the end of treatment.</w:t>
      </w:r>
    </w:p>
    <w:p w14:paraId="6156B16E" w14:textId="77777777" w:rsidR="008E67EA" w:rsidRDefault="008E67EA" w:rsidP="008E67EA">
      <w:pPr>
        <w:rPr>
          <w:rFonts w:ascii="Franklin Gothic Medium" w:eastAsia="Arial Unicode MS" w:hAnsi="Franklin Gothic Medium"/>
          <w:bCs/>
          <w:iCs/>
          <w:bdr w:val="none" w:sz="0" w:space="0" w:color="auto" w:frame="1"/>
          <w:lang w:val="en-GB" w:eastAsia="en-AU"/>
        </w:rPr>
      </w:pPr>
      <w:r w:rsidRPr="0031158E">
        <w:rPr>
          <w:rFonts w:cs="Arial"/>
          <w:b/>
          <w:bCs/>
          <w:color w:val="000000" w:themeColor="text1"/>
          <w:sz w:val="20"/>
          <w:szCs w:val="20"/>
        </w:rPr>
        <w:t>NOT TO BE USED FOR ANY PURPOSE, OR IN ANY MANNER, CONTRARY TO THIS LABEL UNLESS AUTHORISED UNDER APPROPRIATE LEGISLATION.</w:t>
      </w:r>
      <w:r>
        <w:rPr>
          <w:rFonts w:ascii="Franklin Gothic Medium" w:eastAsia="Arial Unicode MS" w:hAnsi="Franklin Gothic Medium"/>
          <w:bCs/>
          <w:iCs/>
          <w:bdr w:val="none" w:sz="0" w:space="0" w:color="auto" w:frame="1"/>
          <w:lang w:val="en-GB" w:eastAsia="en-AU"/>
        </w:rPr>
        <w:br w:type="page"/>
      </w:r>
    </w:p>
    <w:p w14:paraId="55E1A3B3" w14:textId="77777777" w:rsidR="008E67EA" w:rsidRDefault="008E67EA" w:rsidP="008E67EA">
      <w:pPr>
        <w:spacing w:line="280" w:lineRule="exact"/>
        <w:rPr>
          <w:rFonts w:ascii="Franklin Gothic Medium" w:eastAsia="Arial Unicode MS" w:hAnsi="Franklin Gothic Medium"/>
          <w:bCs/>
          <w:iCs/>
          <w:bdr w:val="none" w:sz="0" w:space="0" w:color="auto" w:frame="1"/>
          <w:lang w:val="en-GB" w:eastAsia="en-AU"/>
        </w:rPr>
      </w:pPr>
      <w:r w:rsidRPr="00FF36BF">
        <w:rPr>
          <w:rFonts w:ascii="Franklin Gothic Medium" w:eastAsia="Arial Unicode MS" w:hAnsi="Franklin Gothic Medium"/>
          <w:bCs/>
          <w:iCs/>
          <w:bdr w:val="none" w:sz="0" w:space="0" w:color="auto" w:frame="1"/>
          <w:lang w:val="en-GB" w:eastAsia="en-AU"/>
        </w:rPr>
        <w:lastRenderedPageBreak/>
        <w:t>Commercial</w:t>
      </w:r>
      <w:r>
        <w:rPr>
          <w:rFonts w:ascii="Franklin Gothic Medium" w:eastAsia="Arial Unicode MS" w:hAnsi="Franklin Gothic Medium"/>
          <w:bCs/>
          <w:iCs/>
          <w:bdr w:val="none" w:sz="0" w:space="0" w:color="auto" w:frame="1"/>
          <w:lang w:val="en-GB" w:eastAsia="en-AU"/>
        </w:rPr>
        <w:t xml:space="preserve"> pest-control product:</w:t>
      </w:r>
      <w:r w:rsidRPr="00FF36BF">
        <w:rPr>
          <w:rFonts w:ascii="Franklin Gothic Medium" w:eastAsia="Arial Unicode MS" w:hAnsi="Franklin Gothic Medium"/>
          <w:bCs/>
          <w:iCs/>
          <w:bdr w:val="none" w:sz="0" w:space="0" w:color="auto" w:frame="1"/>
          <w:lang w:val="en-GB" w:eastAsia="en-AU"/>
        </w:rPr>
        <w:t xml:space="preserve"> </w:t>
      </w:r>
      <w:r w:rsidRPr="00DA343B">
        <w:rPr>
          <w:rFonts w:ascii="Franklin Gothic Medium" w:eastAsia="Arial Unicode MS" w:hAnsi="Franklin Gothic Medium"/>
          <w:bCs/>
          <w:iCs/>
          <w:bdr w:val="none" w:sz="0" w:space="0" w:color="auto" w:frame="1"/>
          <w:lang w:val="en-GB" w:eastAsia="en-AU"/>
        </w:rPr>
        <w:t>RB 0.4 g/kg or less in sachet or place pack</w:t>
      </w:r>
    </w:p>
    <w:p w14:paraId="4C51E298" w14:textId="77777777" w:rsidR="008E67EA"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t xml:space="preserve">Template Label </w:t>
      </w:r>
      <w:r>
        <w:rPr>
          <w:rFonts w:cs="Arial"/>
          <w:b/>
          <w:bCs/>
          <w:sz w:val="20"/>
          <w:szCs w:val="20"/>
          <w:bdr w:val="none" w:sz="0" w:space="0" w:color="auto" w:frame="1"/>
          <w:lang w:val="en-GB" w:eastAsia="en-AU"/>
        </w:rPr>
        <w:t>17</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2B5B5B" w14:paraId="4DB4CB7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C6EAF84" w14:textId="77777777" w:rsidR="008E67EA" w:rsidRPr="00F5215F" w:rsidRDefault="008E67EA" w:rsidP="00B44A74">
            <w:pPr>
              <w:spacing w:line="280" w:lineRule="exact"/>
              <w:rPr>
                <w:rFonts w:cs="Arial"/>
                <w:sz w:val="20"/>
                <w:szCs w:val="20"/>
              </w:rPr>
            </w:pPr>
            <w:r w:rsidRPr="00F5215F">
              <w:rPr>
                <w:rFonts w:cs="Arial"/>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3D50540A" w14:textId="77777777" w:rsidR="008E67EA" w:rsidRPr="00154054" w:rsidRDefault="008E67EA" w:rsidP="00B44A74">
            <w:pPr>
              <w:spacing w:line="280" w:lineRule="exact"/>
              <w:rPr>
                <w:rFonts w:cs="Arial"/>
                <w:sz w:val="20"/>
                <w:szCs w:val="20"/>
              </w:rPr>
            </w:pPr>
            <w:r w:rsidRPr="00154054">
              <w:rPr>
                <w:rFonts w:cs="Arial"/>
                <w:sz w:val="20"/>
                <w:szCs w:val="20"/>
              </w:rPr>
              <w:t>[INSERT LABEL NAME]</w:t>
            </w:r>
          </w:p>
        </w:tc>
      </w:tr>
      <w:tr w:rsidR="008E67EA" w:rsidRPr="002B5B5B" w14:paraId="46EBE64D" w14:textId="77777777" w:rsidTr="00B44A74">
        <w:trPr>
          <w:jc w:val="center"/>
        </w:trPr>
        <w:tc>
          <w:tcPr>
            <w:tcW w:w="2415" w:type="dxa"/>
            <w:tcBorders>
              <w:top w:val="single" w:sz="4" w:space="0" w:color="auto"/>
              <w:left w:val="nil"/>
              <w:bottom w:val="single" w:sz="4" w:space="0" w:color="auto"/>
              <w:right w:val="nil"/>
            </w:tcBorders>
          </w:tcPr>
          <w:p w14:paraId="2BEF5BAB"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89C801F" w14:textId="77777777" w:rsidR="008E67EA" w:rsidRPr="00154054" w:rsidRDefault="008E67EA" w:rsidP="00B44A74">
            <w:pPr>
              <w:spacing w:line="280" w:lineRule="exact"/>
              <w:rPr>
                <w:rFonts w:cs="Arial"/>
                <w:sz w:val="20"/>
                <w:szCs w:val="20"/>
              </w:rPr>
            </w:pPr>
          </w:p>
        </w:tc>
      </w:tr>
      <w:tr w:rsidR="008E67EA" w:rsidRPr="002B5B5B" w14:paraId="36A1CD0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2EEE4EC" w14:textId="77777777" w:rsidR="008E67EA" w:rsidRPr="00F5215F" w:rsidRDefault="008E67EA" w:rsidP="00B44A74">
            <w:pPr>
              <w:spacing w:line="280" w:lineRule="exact"/>
              <w:rPr>
                <w:rFonts w:cs="Arial"/>
                <w:sz w:val="20"/>
                <w:szCs w:val="20"/>
              </w:rPr>
            </w:pPr>
            <w:r w:rsidRPr="00F5215F">
              <w:rPr>
                <w:rFonts w:cs="Arial"/>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01D1207C" w14:textId="77777777" w:rsidR="008E67EA" w:rsidRPr="00154054" w:rsidRDefault="008E67EA" w:rsidP="00B44A74">
            <w:pPr>
              <w:spacing w:line="280" w:lineRule="exact"/>
              <w:rPr>
                <w:rFonts w:cs="Arial"/>
                <w:sz w:val="20"/>
                <w:szCs w:val="20"/>
              </w:rPr>
            </w:pPr>
            <w:r w:rsidRPr="00154054">
              <w:rPr>
                <w:rFonts w:cs="Arial"/>
                <w:sz w:val="20"/>
                <w:szCs w:val="20"/>
              </w:rPr>
              <w:t>CAUTION</w:t>
            </w:r>
          </w:p>
          <w:p w14:paraId="4ED7D3FE" w14:textId="77777777" w:rsidR="008E67EA" w:rsidRPr="00154054" w:rsidRDefault="008E67EA" w:rsidP="00B44A74">
            <w:pPr>
              <w:spacing w:line="280" w:lineRule="exact"/>
              <w:rPr>
                <w:rFonts w:cs="Arial"/>
                <w:sz w:val="20"/>
                <w:szCs w:val="20"/>
              </w:rPr>
            </w:pPr>
            <w:r w:rsidRPr="00154054">
              <w:rPr>
                <w:rFonts w:cs="Arial"/>
                <w:sz w:val="20"/>
                <w:szCs w:val="20"/>
              </w:rPr>
              <w:t>KEEP OUT OF REACH OF CHILDREN</w:t>
            </w:r>
          </w:p>
          <w:p w14:paraId="48EC91CA" w14:textId="77777777" w:rsidR="008E67EA" w:rsidRPr="00154054" w:rsidRDefault="008E67EA" w:rsidP="00B44A74">
            <w:pPr>
              <w:spacing w:line="280" w:lineRule="exact"/>
              <w:rPr>
                <w:rFonts w:cs="Arial"/>
                <w:sz w:val="20"/>
                <w:szCs w:val="20"/>
              </w:rPr>
            </w:pPr>
            <w:r w:rsidRPr="00154054">
              <w:rPr>
                <w:rFonts w:cs="Arial"/>
                <w:sz w:val="20"/>
                <w:szCs w:val="20"/>
              </w:rPr>
              <w:t>READ SAFETY DIRECTIONS BEFORE OPENING OR USING</w:t>
            </w:r>
          </w:p>
        </w:tc>
      </w:tr>
      <w:tr w:rsidR="008E67EA" w:rsidRPr="002B5B5B" w14:paraId="722532F1" w14:textId="77777777" w:rsidTr="00B44A74">
        <w:trPr>
          <w:jc w:val="center"/>
        </w:trPr>
        <w:tc>
          <w:tcPr>
            <w:tcW w:w="2415" w:type="dxa"/>
            <w:tcBorders>
              <w:top w:val="single" w:sz="4" w:space="0" w:color="auto"/>
              <w:left w:val="nil"/>
              <w:bottom w:val="single" w:sz="4" w:space="0" w:color="auto"/>
              <w:right w:val="nil"/>
            </w:tcBorders>
          </w:tcPr>
          <w:p w14:paraId="784416F4"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731876C" w14:textId="77777777" w:rsidR="008E67EA" w:rsidRPr="00154054" w:rsidRDefault="008E67EA" w:rsidP="00B44A74">
            <w:pPr>
              <w:spacing w:line="280" w:lineRule="exact"/>
              <w:rPr>
                <w:rFonts w:cs="Arial"/>
                <w:sz w:val="20"/>
                <w:szCs w:val="20"/>
              </w:rPr>
            </w:pPr>
          </w:p>
        </w:tc>
      </w:tr>
      <w:tr w:rsidR="008E67EA" w:rsidRPr="002B5B5B" w14:paraId="47154B4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820394B" w14:textId="77777777" w:rsidR="008E67EA" w:rsidRPr="00F5215F" w:rsidRDefault="008E67EA" w:rsidP="00B44A74">
            <w:pPr>
              <w:spacing w:line="280" w:lineRule="exact"/>
              <w:rPr>
                <w:rFonts w:cs="Arial"/>
                <w:sz w:val="20"/>
                <w:szCs w:val="20"/>
              </w:rPr>
            </w:pPr>
            <w:r w:rsidRPr="00F5215F">
              <w:rPr>
                <w:rFonts w:cs="Arial"/>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2742C1E6" w14:textId="77777777" w:rsidR="008E67EA" w:rsidRPr="00154054" w:rsidRDefault="008E67EA" w:rsidP="00B44A74">
            <w:pPr>
              <w:spacing w:line="280" w:lineRule="exact"/>
              <w:rPr>
                <w:rFonts w:cs="Arial"/>
                <w:sz w:val="20"/>
                <w:szCs w:val="20"/>
              </w:rPr>
            </w:pPr>
            <w:r w:rsidRPr="00154054">
              <w:rPr>
                <w:rFonts w:cs="Arial"/>
                <w:sz w:val="20"/>
                <w:szCs w:val="20"/>
              </w:rPr>
              <w:t>ACTIVE CONSTITUENT: 0.37 g/kg COUMATETRALYL</w:t>
            </w:r>
          </w:p>
        </w:tc>
      </w:tr>
      <w:tr w:rsidR="008E67EA" w:rsidRPr="002B5B5B" w14:paraId="26475C7A" w14:textId="77777777" w:rsidTr="00B44A74">
        <w:trPr>
          <w:jc w:val="center"/>
        </w:trPr>
        <w:tc>
          <w:tcPr>
            <w:tcW w:w="2415" w:type="dxa"/>
            <w:tcBorders>
              <w:top w:val="single" w:sz="4" w:space="0" w:color="auto"/>
              <w:left w:val="nil"/>
              <w:bottom w:val="single" w:sz="4" w:space="0" w:color="auto"/>
              <w:right w:val="nil"/>
            </w:tcBorders>
          </w:tcPr>
          <w:p w14:paraId="16F4C705"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783CC74" w14:textId="77777777" w:rsidR="008E67EA" w:rsidRPr="00154054" w:rsidRDefault="008E67EA" w:rsidP="00B44A74">
            <w:pPr>
              <w:spacing w:line="280" w:lineRule="exact"/>
              <w:rPr>
                <w:rFonts w:cs="Arial"/>
                <w:sz w:val="20"/>
                <w:szCs w:val="20"/>
              </w:rPr>
            </w:pPr>
          </w:p>
        </w:tc>
      </w:tr>
      <w:tr w:rsidR="008E67EA" w:rsidRPr="00994236" w14:paraId="6011D7A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AB38219" w14:textId="77777777" w:rsidR="008E67EA" w:rsidRPr="00F5215F" w:rsidRDefault="008E67EA" w:rsidP="00B44A74">
            <w:pPr>
              <w:spacing w:line="280" w:lineRule="exact"/>
              <w:rPr>
                <w:rFonts w:cs="Arial"/>
                <w:sz w:val="20"/>
                <w:szCs w:val="20"/>
              </w:rPr>
            </w:pPr>
            <w:r w:rsidRPr="00F5215F">
              <w:rPr>
                <w:rFonts w:cs="Arial"/>
                <w:sz w:val="20"/>
                <w:szCs w:val="20"/>
              </w:rPr>
              <w:t>Mode of Action:</w:t>
            </w:r>
          </w:p>
        </w:tc>
        <w:tc>
          <w:tcPr>
            <w:tcW w:w="7755" w:type="dxa"/>
            <w:tcBorders>
              <w:top w:val="single" w:sz="4" w:space="0" w:color="auto"/>
              <w:left w:val="single" w:sz="4" w:space="0" w:color="auto"/>
              <w:bottom w:val="single" w:sz="4" w:space="0" w:color="auto"/>
              <w:right w:val="single" w:sz="4" w:space="0" w:color="auto"/>
            </w:tcBorders>
          </w:tcPr>
          <w:p w14:paraId="7392C163" w14:textId="77777777" w:rsidR="008E67EA" w:rsidRPr="00154054" w:rsidRDefault="008E67EA" w:rsidP="00B44A74">
            <w:pPr>
              <w:spacing w:line="280" w:lineRule="exact"/>
              <w:jc w:val="both"/>
              <w:rPr>
                <w:rFonts w:cs="Arial"/>
                <w:sz w:val="20"/>
                <w:szCs w:val="20"/>
              </w:rPr>
            </w:pPr>
          </w:p>
        </w:tc>
      </w:tr>
      <w:tr w:rsidR="008E67EA" w:rsidRPr="002B5B5B" w14:paraId="728A9906" w14:textId="77777777" w:rsidTr="00B44A74">
        <w:trPr>
          <w:jc w:val="center"/>
        </w:trPr>
        <w:tc>
          <w:tcPr>
            <w:tcW w:w="2415" w:type="dxa"/>
            <w:tcBorders>
              <w:top w:val="single" w:sz="4" w:space="0" w:color="auto"/>
              <w:left w:val="nil"/>
              <w:bottom w:val="single" w:sz="4" w:space="0" w:color="auto"/>
              <w:right w:val="nil"/>
            </w:tcBorders>
          </w:tcPr>
          <w:p w14:paraId="278B99C2"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1966AC3" w14:textId="77777777" w:rsidR="008E67EA" w:rsidRPr="00154054" w:rsidRDefault="008E67EA" w:rsidP="00B44A74">
            <w:pPr>
              <w:spacing w:line="280" w:lineRule="exact"/>
              <w:rPr>
                <w:rFonts w:cs="Arial"/>
                <w:sz w:val="20"/>
                <w:szCs w:val="20"/>
              </w:rPr>
            </w:pPr>
          </w:p>
        </w:tc>
      </w:tr>
      <w:tr w:rsidR="008E67EA" w:rsidRPr="002B5B5B" w14:paraId="49BE3EC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A1D6162" w14:textId="77777777" w:rsidR="008E67EA" w:rsidRPr="00F5215F" w:rsidRDefault="008E67EA" w:rsidP="00B44A74">
            <w:pPr>
              <w:spacing w:line="280" w:lineRule="exact"/>
              <w:rPr>
                <w:rFonts w:cs="Arial"/>
                <w:sz w:val="20"/>
                <w:szCs w:val="20"/>
              </w:rPr>
            </w:pPr>
            <w:r w:rsidRPr="00F5215F">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642DBD26" w14:textId="77777777" w:rsidR="008E67EA" w:rsidRPr="00154054" w:rsidRDefault="008E67EA" w:rsidP="00B44A74">
            <w:pPr>
              <w:spacing w:line="280" w:lineRule="exact"/>
              <w:rPr>
                <w:rFonts w:cs="Arial"/>
                <w:sz w:val="20"/>
                <w:szCs w:val="20"/>
              </w:rPr>
            </w:pPr>
            <w:r w:rsidRPr="00F22CB7">
              <w:rPr>
                <w:rFonts w:cs="Arial"/>
                <w:sz w:val="20"/>
                <w:szCs w:val="20"/>
              </w:rPr>
              <w:t>For control of mice in industrial, commercial, agricultural, public services and domestic buildings and rats in and around industrial, commercial, agricultural, public services and domestic buildings.</w:t>
            </w:r>
          </w:p>
        </w:tc>
      </w:tr>
      <w:tr w:rsidR="008E67EA" w:rsidRPr="002B5B5B" w14:paraId="3D427632" w14:textId="77777777" w:rsidTr="00B44A74">
        <w:trPr>
          <w:jc w:val="center"/>
        </w:trPr>
        <w:tc>
          <w:tcPr>
            <w:tcW w:w="2415" w:type="dxa"/>
            <w:tcBorders>
              <w:top w:val="single" w:sz="4" w:space="0" w:color="auto"/>
              <w:left w:val="nil"/>
              <w:bottom w:val="single" w:sz="4" w:space="0" w:color="auto"/>
              <w:right w:val="nil"/>
            </w:tcBorders>
          </w:tcPr>
          <w:p w14:paraId="227A7E28"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0468AAA" w14:textId="77777777" w:rsidR="008E67EA" w:rsidRPr="00154054" w:rsidRDefault="008E67EA" w:rsidP="00B44A74">
            <w:pPr>
              <w:spacing w:line="280" w:lineRule="exact"/>
              <w:rPr>
                <w:rFonts w:cs="Arial"/>
                <w:sz w:val="20"/>
                <w:szCs w:val="20"/>
              </w:rPr>
            </w:pPr>
          </w:p>
        </w:tc>
      </w:tr>
      <w:tr w:rsidR="008E67EA" w:rsidRPr="002B5B5B" w14:paraId="27D6913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9BD3F38" w14:textId="77777777" w:rsidR="008E67EA" w:rsidRPr="00F5215F" w:rsidRDefault="008E67EA" w:rsidP="00B44A74">
            <w:pPr>
              <w:spacing w:line="280" w:lineRule="exact"/>
              <w:rPr>
                <w:rFonts w:cs="Arial"/>
                <w:sz w:val="20"/>
                <w:szCs w:val="20"/>
              </w:rPr>
            </w:pPr>
            <w:r w:rsidRPr="00F5215F">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2C2F2621" w14:textId="77777777" w:rsidR="008E67EA" w:rsidRPr="00154054" w:rsidRDefault="008E67EA" w:rsidP="00B44A74">
            <w:pPr>
              <w:spacing w:line="280" w:lineRule="exact"/>
              <w:rPr>
                <w:rFonts w:cs="Arial"/>
                <w:sz w:val="20"/>
                <w:szCs w:val="20"/>
              </w:rPr>
            </w:pPr>
            <w:r w:rsidRPr="00154054">
              <w:rPr>
                <w:rFonts w:cs="Arial"/>
                <w:sz w:val="20"/>
                <w:szCs w:val="20"/>
              </w:rPr>
              <w:t>[INSERT NET CONTENTS]</w:t>
            </w:r>
          </w:p>
        </w:tc>
      </w:tr>
      <w:tr w:rsidR="008E67EA" w:rsidRPr="002B5B5B" w14:paraId="03FFD594" w14:textId="77777777" w:rsidTr="00B44A74">
        <w:trPr>
          <w:jc w:val="center"/>
        </w:trPr>
        <w:tc>
          <w:tcPr>
            <w:tcW w:w="2415" w:type="dxa"/>
            <w:tcBorders>
              <w:top w:val="single" w:sz="4" w:space="0" w:color="auto"/>
              <w:left w:val="nil"/>
              <w:bottom w:val="single" w:sz="4" w:space="0" w:color="auto"/>
              <w:right w:val="nil"/>
            </w:tcBorders>
          </w:tcPr>
          <w:p w14:paraId="6D8D9A8F"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C6F46E6" w14:textId="77777777" w:rsidR="008E67EA" w:rsidRPr="00154054" w:rsidRDefault="008E67EA" w:rsidP="00B44A74">
            <w:pPr>
              <w:spacing w:line="280" w:lineRule="exact"/>
              <w:rPr>
                <w:rFonts w:cs="Arial"/>
                <w:sz w:val="20"/>
                <w:szCs w:val="20"/>
              </w:rPr>
            </w:pPr>
          </w:p>
        </w:tc>
      </w:tr>
      <w:tr w:rsidR="008E67EA" w:rsidRPr="002B5B5B" w14:paraId="339F92F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8B13129" w14:textId="77777777" w:rsidR="008E67EA" w:rsidRPr="00F5215F" w:rsidRDefault="008E67EA" w:rsidP="00B44A74">
            <w:pPr>
              <w:spacing w:line="280" w:lineRule="exact"/>
              <w:rPr>
                <w:rFonts w:cs="Arial"/>
                <w:sz w:val="20"/>
                <w:szCs w:val="20"/>
              </w:rPr>
            </w:pPr>
            <w:r w:rsidRPr="00F5215F">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10B7B3AF" w14:textId="77777777" w:rsidR="008E67EA" w:rsidRPr="00154054" w:rsidRDefault="008E67EA" w:rsidP="00B44A74">
            <w:pPr>
              <w:spacing w:line="280" w:lineRule="exact"/>
              <w:rPr>
                <w:rFonts w:cs="Arial"/>
                <w:sz w:val="20"/>
                <w:szCs w:val="20"/>
              </w:rPr>
            </w:pPr>
            <w:r w:rsidRPr="00154054">
              <w:rPr>
                <w:rFonts w:cs="Arial"/>
                <w:sz w:val="20"/>
                <w:szCs w:val="20"/>
              </w:rPr>
              <w:t>RESTRAINTS</w:t>
            </w:r>
          </w:p>
          <w:p w14:paraId="7275067B" w14:textId="77777777" w:rsidR="008E67EA" w:rsidRPr="00154054" w:rsidRDefault="008E67EA" w:rsidP="00B44A74">
            <w:pPr>
              <w:spacing w:line="280" w:lineRule="exact"/>
              <w:rPr>
                <w:rFonts w:cs="Arial"/>
                <w:sz w:val="20"/>
                <w:szCs w:val="20"/>
              </w:rPr>
            </w:pPr>
            <w:r w:rsidRPr="00154054">
              <w:rPr>
                <w:rFonts w:cs="Arial"/>
                <w:sz w:val="20"/>
                <w:szCs w:val="20"/>
              </w:rPr>
              <w:t>DO NOT use this product unless you have a current qualification in the nationally recognised training course for rodent pest management CPPUPM3006 - Manage pests by applying pesticides, or an equivalent unit of competency.</w:t>
            </w:r>
          </w:p>
          <w:p w14:paraId="0E868895" w14:textId="2F13360F" w:rsidR="008E67EA" w:rsidRPr="00154054" w:rsidRDefault="008E67EA" w:rsidP="00B44A74">
            <w:pPr>
              <w:spacing w:line="280" w:lineRule="exact"/>
              <w:rPr>
                <w:rFonts w:cs="Arial"/>
                <w:sz w:val="20"/>
                <w:szCs w:val="20"/>
              </w:rPr>
            </w:pPr>
            <w:r w:rsidRPr="00154054">
              <w:rPr>
                <w:rFonts w:cs="Arial"/>
                <w:sz w:val="20"/>
                <w:szCs w:val="20"/>
              </w:rPr>
              <w:t>DO NOT place baits in areas that are accessible to children. In child-accessible areas baits must be placed in tamper-</w:t>
            </w:r>
            <w:r>
              <w:rPr>
                <w:rFonts w:cs="Arial"/>
                <w:sz w:val="20"/>
                <w:szCs w:val="20"/>
              </w:rPr>
              <w:t>resistant</w:t>
            </w:r>
            <w:r w:rsidRPr="00154054">
              <w:rPr>
                <w:rFonts w:cs="Arial"/>
                <w:sz w:val="20"/>
                <w:szCs w:val="20"/>
              </w:rPr>
              <w:t xml:space="preserve"> bait stations. If bait can be dislodged from bait station, bait station must be secured in place.</w:t>
            </w:r>
          </w:p>
          <w:p w14:paraId="5A32852F" w14:textId="77777777" w:rsidR="008E67EA" w:rsidRPr="00154054" w:rsidRDefault="008E67EA" w:rsidP="00B44A74">
            <w:pPr>
              <w:spacing w:line="280" w:lineRule="exact"/>
              <w:rPr>
                <w:rFonts w:cs="Arial"/>
                <w:sz w:val="20"/>
                <w:szCs w:val="20"/>
              </w:rPr>
            </w:pPr>
            <w:r w:rsidRPr="00154054">
              <w:rPr>
                <w:rFonts w:cs="Arial"/>
                <w:sz w:val="20"/>
                <w:szCs w:val="20"/>
              </w:rPr>
              <w:t>DO NOT place bait outdoors unless it is in a tamper</w:t>
            </w:r>
            <w:r>
              <w:rPr>
                <w:rFonts w:cs="Arial"/>
                <w:sz w:val="20"/>
                <w:szCs w:val="20"/>
              </w:rPr>
              <w:t xml:space="preserve">-resistant </w:t>
            </w:r>
            <w:r w:rsidRPr="00154054">
              <w:rPr>
                <w:rFonts w:cs="Arial"/>
                <w:sz w:val="20"/>
                <w:szCs w:val="20"/>
              </w:rPr>
              <w:t>bait station which is secured in place.</w:t>
            </w:r>
          </w:p>
          <w:p w14:paraId="5F2C39BC" w14:textId="77777777" w:rsidR="008E67EA" w:rsidRPr="00154054" w:rsidRDefault="008E67EA" w:rsidP="00B44A74">
            <w:pPr>
              <w:spacing w:line="280" w:lineRule="exact"/>
              <w:rPr>
                <w:rFonts w:cs="Arial"/>
                <w:sz w:val="20"/>
                <w:szCs w:val="20"/>
              </w:rPr>
            </w:pPr>
            <w:r w:rsidRPr="00154054">
              <w:rPr>
                <w:rFonts w:cs="Arial"/>
                <w:sz w:val="20"/>
                <w:szCs w:val="20"/>
              </w:rPr>
              <w:t>DO NOT place bait stations more than 2 meters from buildings.</w:t>
            </w:r>
          </w:p>
          <w:p w14:paraId="3EAFBD16" w14:textId="77777777" w:rsidR="008E67EA" w:rsidRPr="00154054" w:rsidRDefault="008E67EA" w:rsidP="00B44A74">
            <w:pPr>
              <w:spacing w:line="280" w:lineRule="exact"/>
              <w:rPr>
                <w:rFonts w:cs="Arial"/>
                <w:sz w:val="20"/>
                <w:szCs w:val="20"/>
              </w:rPr>
            </w:pPr>
            <w:r w:rsidRPr="00154054">
              <w:rPr>
                <w:rFonts w:cs="Arial"/>
                <w:sz w:val="20"/>
                <w:szCs w:val="20"/>
              </w:rPr>
              <w:t>DO NOT place bait stations outdoors around buildings for control of mice.</w:t>
            </w:r>
          </w:p>
          <w:p w14:paraId="76F5BC05" w14:textId="77777777" w:rsidR="008E67EA" w:rsidRPr="00154054" w:rsidRDefault="008E67EA" w:rsidP="00B44A74">
            <w:pPr>
              <w:spacing w:line="280" w:lineRule="exact"/>
              <w:rPr>
                <w:rFonts w:cs="Arial"/>
                <w:sz w:val="20"/>
                <w:szCs w:val="20"/>
              </w:rPr>
            </w:pPr>
            <w:r w:rsidRPr="00154054">
              <w:rPr>
                <w:rFonts w:cs="Arial"/>
                <w:sz w:val="20"/>
                <w:szCs w:val="20"/>
              </w:rPr>
              <w:t>DO NOT bait in areas where wildlife may be collected for human consumption.</w:t>
            </w:r>
          </w:p>
          <w:p w14:paraId="4C3B1383" w14:textId="77777777" w:rsidR="008E67EA" w:rsidRPr="00154054" w:rsidRDefault="008E67EA" w:rsidP="00B44A74">
            <w:pPr>
              <w:spacing w:line="280" w:lineRule="exact"/>
              <w:rPr>
                <w:rFonts w:cs="Arial"/>
                <w:sz w:val="20"/>
                <w:szCs w:val="20"/>
              </w:rPr>
            </w:pPr>
            <w:r w:rsidRPr="00154054">
              <w:rPr>
                <w:rFonts w:cs="Arial"/>
                <w:sz w:val="20"/>
                <w:szCs w:val="20"/>
              </w:rPr>
              <w:t>DO NOT place in animal or livestock housing unless used in tamper</w:t>
            </w:r>
            <w:r>
              <w:rPr>
                <w:rFonts w:cs="Arial"/>
                <w:sz w:val="20"/>
                <w:szCs w:val="20"/>
              </w:rPr>
              <w:t xml:space="preserve">-resistant </w:t>
            </w:r>
            <w:r w:rsidRPr="00154054">
              <w:rPr>
                <w:rFonts w:cs="Arial"/>
                <w:sz w:val="20"/>
                <w:szCs w:val="20"/>
              </w:rPr>
              <w:t>and weather</w:t>
            </w:r>
            <w:r>
              <w:rPr>
                <w:rFonts w:cs="Arial"/>
                <w:sz w:val="20"/>
                <w:szCs w:val="20"/>
              </w:rPr>
              <w:t>-</w:t>
            </w:r>
            <w:r w:rsidRPr="00154054">
              <w:rPr>
                <w:rFonts w:cs="Arial"/>
                <w:sz w:val="20"/>
                <w:szCs w:val="20"/>
              </w:rPr>
              <w:t>resistant bait stations fixed to the ground or other structures.</w:t>
            </w:r>
          </w:p>
          <w:p w14:paraId="116860A2" w14:textId="77777777" w:rsidR="008E67EA" w:rsidRPr="00154054" w:rsidRDefault="008E67EA" w:rsidP="00B44A74">
            <w:pPr>
              <w:spacing w:line="280" w:lineRule="exact"/>
              <w:rPr>
                <w:rFonts w:cs="Arial"/>
                <w:sz w:val="20"/>
                <w:szCs w:val="20"/>
              </w:rPr>
            </w:pPr>
            <w:r w:rsidRPr="00154054">
              <w:rPr>
                <w:rFonts w:cs="Arial"/>
                <w:sz w:val="20"/>
                <w:szCs w:val="20"/>
              </w:rPr>
              <w:t>DO NOT place bait or bait stations above areas which would allow them to contaminate pig and poultry food or drinking water.</w:t>
            </w:r>
          </w:p>
          <w:p w14:paraId="6C4FEABC" w14:textId="77777777" w:rsidR="008E67EA" w:rsidRPr="00154054" w:rsidRDefault="008E67EA" w:rsidP="00B44A74">
            <w:pPr>
              <w:spacing w:line="280" w:lineRule="exact"/>
              <w:rPr>
                <w:rFonts w:cs="Arial"/>
                <w:sz w:val="20"/>
                <w:szCs w:val="20"/>
              </w:rPr>
            </w:pPr>
            <w:r w:rsidRPr="00154054">
              <w:rPr>
                <w:rFonts w:cs="Arial"/>
                <w:sz w:val="20"/>
                <w:szCs w:val="20"/>
              </w:rPr>
              <w:t>DO NOT apply this product directly into burrows.</w:t>
            </w:r>
          </w:p>
          <w:p w14:paraId="50ED1DDD" w14:textId="77777777" w:rsidR="008E67EA" w:rsidRPr="00154054" w:rsidRDefault="008E67EA" w:rsidP="00B44A74">
            <w:pPr>
              <w:spacing w:line="280" w:lineRule="exact"/>
              <w:rPr>
                <w:rFonts w:cs="Arial"/>
                <w:sz w:val="20"/>
                <w:szCs w:val="20"/>
              </w:rPr>
            </w:pPr>
            <w:r w:rsidRPr="00154054">
              <w:rPr>
                <w:rFonts w:cs="Arial"/>
                <w:sz w:val="20"/>
                <w:szCs w:val="20"/>
              </w:rPr>
              <w:t>DO NOT use product in pulse baiting treatments</w:t>
            </w:r>
          </w:p>
        </w:tc>
      </w:tr>
      <w:tr w:rsidR="008E67EA" w:rsidRPr="002B5B5B" w14:paraId="737E517B" w14:textId="77777777" w:rsidTr="00B44A74">
        <w:trPr>
          <w:jc w:val="center"/>
        </w:trPr>
        <w:tc>
          <w:tcPr>
            <w:tcW w:w="2415" w:type="dxa"/>
            <w:tcBorders>
              <w:top w:val="single" w:sz="4" w:space="0" w:color="auto"/>
              <w:left w:val="nil"/>
              <w:bottom w:val="single" w:sz="4" w:space="0" w:color="auto"/>
              <w:right w:val="nil"/>
            </w:tcBorders>
          </w:tcPr>
          <w:p w14:paraId="0BD59B85"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CBC00FB" w14:textId="77777777" w:rsidR="008E67EA" w:rsidRPr="00154054" w:rsidRDefault="008E67EA" w:rsidP="00B44A74">
            <w:pPr>
              <w:spacing w:line="280" w:lineRule="exact"/>
              <w:rPr>
                <w:rFonts w:cs="Arial"/>
                <w:sz w:val="20"/>
                <w:szCs w:val="20"/>
              </w:rPr>
            </w:pPr>
          </w:p>
        </w:tc>
      </w:tr>
      <w:tr w:rsidR="008E67EA" w:rsidRPr="002B5B5B" w14:paraId="523E290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008D3A5" w14:textId="77777777" w:rsidR="008E67EA" w:rsidRPr="00F5215F" w:rsidRDefault="008E67EA" w:rsidP="00B44A74">
            <w:pPr>
              <w:spacing w:line="280" w:lineRule="exact"/>
              <w:rPr>
                <w:rFonts w:cs="Arial"/>
                <w:sz w:val="20"/>
                <w:szCs w:val="20"/>
              </w:rPr>
            </w:pPr>
            <w:r w:rsidRPr="00F5215F">
              <w:rPr>
                <w:rFonts w:cs="Arial"/>
                <w:sz w:val="20"/>
                <w:szCs w:val="20"/>
              </w:rPr>
              <w:t>Directions for Use:</w:t>
            </w:r>
          </w:p>
        </w:tc>
        <w:tc>
          <w:tcPr>
            <w:tcW w:w="7755" w:type="dxa"/>
            <w:tcBorders>
              <w:top w:val="single" w:sz="4" w:space="0" w:color="auto"/>
              <w:left w:val="single" w:sz="4" w:space="0" w:color="auto"/>
              <w:bottom w:val="single" w:sz="4" w:space="0" w:color="auto"/>
              <w:right w:val="single" w:sz="4" w:space="0" w:color="auto"/>
            </w:tcBorders>
          </w:tcPr>
          <w:p w14:paraId="7DAC336F" w14:textId="77777777" w:rsidR="008E67EA" w:rsidRPr="00154054" w:rsidRDefault="008E67EA" w:rsidP="00B44A74">
            <w:pPr>
              <w:spacing w:line="280" w:lineRule="exact"/>
              <w:rPr>
                <w:rFonts w:cs="Arial"/>
                <w:sz w:val="20"/>
                <w:szCs w:val="20"/>
              </w:rPr>
            </w:pPr>
            <w:r w:rsidRPr="00713087">
              <w:rPr>
                <w:rFonts w:cs="Arial"/>
                <w:sz w:val="20"/>
                <w:szCs w:val="20"/>
              </w:rPr>
              <w:t>[This section contains an attachment below]</w:t>
            </w:r>
          </w:p>
        </w:tc>
      </w:tr>
      <w:tr w:rsidR="008E67EA" w:rsidRPr="002B5B5B" w14:paraId="790451D0" w14:textId="77777777" w:rsidTr="00B44A74">
        <w:trPr>
          <w:jc w:val="center"/>
        </w:trPr>
        <w:tc>
          <w:tcPr>
            <w:tcW w:w="2415" w:type="dxa"/>
            <w:tcBorders>
              <w:top w:val="single" w:sz="4" w:space="0" w:color="auto"/>
              <w:left w:val="nil"/>
              <w:bottom w:val="single" w:sz="4" w:space="0" w:color="auto"/>
              <w:right w:val="nil"/>
            </w:tcBorders>
          </w:tcPr>
          <w:p w14:paraId="35B7D29F"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817EDA2" w14:textId="77777777" w:rsidR="008E67EA" w:rsidRPr="00154054" w:rsidRDefault="008E67EA" w:rsidP="00B44A74">
            <w:pPr>
              <w:spacing w:line="280" w:lineRule="exact"/>
              <w:rPr>
                <w:rFonts w:cs="Arial"/>
                <w:sz w:val="20"/>
                <w:szCs w:val="20"/>
              </w:rPr>
            </w:pPr>
          </w:p>
        </w:tc>
      </w:tr>
      <w:tr w:rsidR="008E67EA" w:rsidRPr="002B5B5B" w14:paraId="7F34855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5C3A355" w14:textId="77777777" w:rsidR="008E67EA" w:rsidRPr="00F5215F" w:rsidRDefault="008E67EA" w:rsidP="00B44A74">
            <w:pPr>
              <w:spacing w:line="280" w:lineRule="exact"/>
              <w:rPr>
                <w:rFonts w:cs="Arial"/>
                <w:sz w:val="20"/>
                <w:szCs w:val="20"/>
              </w:rPr>
            </w:pPr>
            <w:r w:rsidRPr="00F5215F">
              <w:rPr>
                <w:rFonts w:cs="Arial"/>
                <w:sz w:val="20"/>
                <w:szCs w:val="20"/>
              </w:rPr>
              <w:t>Other Limitations:</w:t>
            </w:r>
          </w:p>
        </w:tc>
        <w:tc>
          <w:tcPr>
            <w:tcW w:w="7755" w:type="dxa"/>
            <w:tcBorders>
              <w:top w:val="single" w:sz="4" w:space="0" w:color="auto"/>
              <w:left w:val="single" w:sz="4" w:space="0" w:color="auto"/>
              <w:bottom w:val="single" w:sz="4" w:space="0" w:color="auto"/>
              <w:right w:val="single" w:sz="4" w:space="0" w:color="auto"/>
            </w:tcBorders>
          </w:tcPr>
          <w:p w14:paraId="2D5DB6A4" w14:textId="77777777" w:rsidR="008E67EA" w:rsidRPr="00154054" w:rsidRDefault="008E67EA" w:rsidP="00B44A74">
            <w:pPr>
              <w:spacing w:line="280" w:lineRule="exact"/>
              <w:rPr>
                <w:rFonts w:cs="Arial"/>
                <w:sz w:val="20"/>
                <w:szCs w:val="20"/>
              </w:rPr>
            </w:pPr>
          </w:p>
        </w:tc>
      </w:tr>
      <w:tr w:rsidR="008E67EA" w:rsidRPr="002B5B5B" w14:paraId="412E0C23" w14:textId="77777777" w:rsidTr="00B44A74">
        <w:trPr>
          <w:jc w:val="center"/>
        </w:trPr>
        <w:tc>
          <w:tcPr>
            <w:tcW w:w="2415" w:type="dxa"/>
            <w:tcBorders>
              <w:top w:val="single" w:sz="4" w:space="0" w:color="auto"/>
              <w:left w:val="nil"/>
              <w:bottom w:val="single" w:sz="4" w:space="0" w:color="auto"/>
              <w:right w:val="nil"/>
            </w:tcBorders>
          </w:tcPr>
          <w:p w14:paraId="1CEC8405"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89181D1" w14:textId="77777777" w:rsidR="008E67EA" w:rsidRPr="00154054" w:rsidRDefault="008E67EA" w:rsidP="00B44A74">
            <w:pPr>
              <w:spacing w:line="280" w:lineRule="exact"/>
              <w:rPr>
                <w:rFonts w:cs="Arial"/>
                <w:sz w:val="20"/>
                <w:szCs w:val="20"/>
              </w:rPr>
            </w:pPr>
          </w:p>
        </w:tc>
      </w:tr>
      <w:tr w:rsidR="008E67EA" w:rsidRPr="002B5B5B" w14:paraId="10E2A08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E94730F" w14:textId="77777777" w:rsidR="008E67EA" w:rsidRPr="00F5215F" w:rsidRDefault="008E67EA" w:rsidP="00B44A74">
            <w:pPr>
              <w:spacing w:line="280" w:lineRule="exact"/>
              <w:rPr>
                <w:rFonts w:cs="Arial"/>
                <w:sz w:val="20"/>
                <w:szCs w:val="20"/>
              </w:rPr>
            </w:pPr>
            <w:r w:rsidRPr="00F5215F">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400EBFD8" w14:textId="77777777" w:rsidR="008E67EA" w:rsidRPr="00154054" w:rsidRDefault="008E67EA" w:rsidP="00B44A74">
            <w:pPr>
              <w:spacing w:line="280" w:lineRule="exact"/>
              <w:rPr>
                <w:rFonts w:cs="Arial"/>
                <w:sz w:val="20"/>
                <w:szCs w:val="20"/>
              </w:rPr>
            </w:pPr>
          </w:p>
        </w:tc>
      </w:tr>
      <w:tr w:rsidR="008E67EA" w:rsidRPr="002B5B5B" w14:paraId="50EAEA56" w14:textId="77777777" w:rsidTr="00B44A74">
        <w:trPr>
          <w:jc w:val="center"/>
        </w:trPr>
        <w:tc>
          <w:tcPr>
            <w:tcW w:w="2415" w:type="dxa"/>
            <w:tcBorders>
              <w:top w:val="single" w:sz="4" w:space="0" w:color="auto"/>
              <w:left w:val="nil"/>
              <w:bottom w:val="single" w:sz="4" w:space="0" w:color="auto"/>
              <w:right w:val="nil"/>
            </w:tcBorders>
          </w:tcPr>
          <w:p w14:paraId="61362E51"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69BC53F" w14:textId="77777777" w:rsidR="008E67EA" w:rsidRPr="00154054" w:rsidRDefault="008E67EA" w:rsidP="00B44A74">
            <w:pPr>
              <w:spacing w:line="280" w:lineRule="exact"/>
              <w:rPr>
                <w:rFonts w:cs="Arial"/>
                <w:sz w:val="20"/>
                <w:szCs w:val="20"/>
              </w:rPr>
            </w:pPr>
          </w:p>
        </w:tc>
      </w:tr>
      <w:tr w:rsidR="008E67EA" w:rsidRPr="002B5B5B" w14:paraId="1868C18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F2CC72C" w14:textId="77777777" w:rsidR="008E67EA" w:rsidRPr="00F5215F" w:rsidRDefault="008E67EA" w:rsidP="00B44A74">
            <w:pPr>
              <w:spacing w:line="280" w:lineRule="exact"/>
              <w:rPr>
                <w:rFonts w:cs="Arial"/>
                <w:sz w:val="20"/>
                <w:szCs w:val="20"/>
              </w:rPr>
            </w:pPr>
            <w:r w:rsidRPr="00F5215F">
              <w:rPr>
                <w:rFonts w:cs="Arial"/>
                <w:sz w:val="20"/>
                <w:szCs w:val="20"/>
              </w:rPr>
              <w:t>Trade Advice:</w:t>
            </w:r>
          </w:p>
        </w:tc>
        <w:tc>
          <w:tcPr>
            <w:tcW w:w="7755" w:type="dxa"/>
            <w:tcBorders>
              <w:top w:val="single" w:sz="4" w:space="0" w:color="auto"/>
              <w:left w:val="single" w:sz="4" w:space="0" w:color="auto"/>
              <w:bottom w:val="single" w:sz="4" w:space="0" w:color="auto"/>
              <w:right w:val="single" w:sz="4" w:space="0" w:color="auto"/>
            </w:tcBorders>
          </w:tcPr>
          <w:p w14:paraId="53E1CC55" w14:textId="77777777" w:rsidR="008E67EA" w:rsidRPr="00154054" w:rsidRDefault="008E67EA" w:rsidP="00B44A74">
            <w:pPr>
              <w:spacing w:line="280" w:lineRule="exact"/>
              <w:rPr>
                <w:rFonts w:cs="Arial"/>
                <w:sz w:val="20"/>
                <w:szCs w:val="20"/>
              </w:rPr>
            </w:pPr>
          </w:p>
        </w:tc>
      </w:tr>
      <w:tr w:rsidR="008E67EA" w:rsidRPr="002B5B5B" w14:paraId="16868158" w14:textId="77777777" w:rsidTr="00B44A74">
        <w:trPr>
          <w:jc w:val="center"/>
        </w:trPr>
        <w:tc>
          <w:tcPr>
            <w:tcW w:w="2415" w:type="dxa"/>
            <w:tcBorders>
              <w:top w:val="single" w:sz="4" w:space="0" w:color="auto"/>
              <w:left w:val="nil"/>
              <w:bottom w:val="single" w:sz="4" w:space="0" w:color="auto"/>
              <w:right w:val="nil"/>
            </w:tcBorders>
          </w:tcPr>
          <w:p w14:paraId="05D634EA"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5B89DB3" w14:textId="77777777" w:rsidR="008E67EA" w:rsidRPr="00154054" w:rsidRDefault="008E67EA" w:rsidP="00B44A74">
            <w:pPr>
              <w:spacing w:line="280" w:lineRule="exact"/>
              <w:rPr>
                <w:rFonts w:cs="Arial"/>
                <w:sz w:val="20"/>
                <w:szCs w:val="20"/>
              </w:rPr>
            </w:pPr>
          </w:p>
        </w:tc>
      </w:tr>
      <w:tr w:rsidR="008E67EA" w:rsidRPr="002B5B5B" w14:paraId="4AE69AC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11CD1FA" w14:textId="77777777" w:rsidR="008E67EA" w:rsidRPr="00F5215F" w:rsidRDefault="008E67EA" w:rsidP="00B44A74">
            <w:pPr>
              <w:spacing w:line="280" w:lineRule="exact"/>
              <w:rPr>
                <w:rFonts w:cs="Arial"/>
                <w:sz w:val="20"/>
                <w:szCs w:val="20"/>
              </w:rPr>
            </w:pPr>
            <w:r w:rsidRPr="00F5215F">
              <w:rPr>
                <w:rFonts w:cs="Arial"/>
                <w:sz w:val="20"/>
                <w:szCs w:val="20"/>
              </w:rPr>
              <w:lastRenderedPageBreak/>
              <w:t>General Directions:</w:t>
            </w:r>
          </w:p>
        </w:tc>
        <w:tc>
          <w:tcPr>
            <w:tcW w:w="7755" w:type="dxa"/>
            <w:tcBorders>
              <w:top w:val="single" w:sz="4" w:space="0" w:color="auto"/>
              <w:left w:val="single" w:sz="4" w:space="0" w:color="auto"/>
              <w:bottom w:val="single" w:sz="4" w:space="0" w:color="auto"/>
              <w:right w:val="single" w:sz="4" w:space="0" w:color="auto"/>
            </w:tcBorders>
          </w:tcPr>
          <w:p w14:paraId="09B048D4" w14:textId="77777777" w:rsidR="008E67EA" w:rsidRPr="00154054" w:rsidRDefault="008E67EA" w:rsidP="00B44A74">
            <w:pPr>
              <w:spacing w:line="280" w:lineRule="exact"/>
              <w:rPr>
                <w:rFonts w:cs="Arial"/>
                <w:sz w:val="20"/>
                <w:szCs w:val="20"/>
              </w:rPr>
            </w:pPr>
          </w:p>
        </w:tc>
      </w:tr>
      <w:tr w:rsidR="008E67EA" w:rsidRPr="002B5B5B" w14:paraId="2F42FEA7" w14:textId="77777777" w:rsidTr="00B44A74">
        <w:trPr>
          <w:jc w:val="center"/>
        </w:trPr>
        <w:tc>
          <w:tcPr>
            <w:tcW w:w="2415" w:type="dxa"/>
            <w:tcBorders>
              <w:top w:val="single" w:sz="4" w:space="0" w:color="auto"/>
              <w:left w:val="nil"/>
              <w:bottom w:val="single" w:sz="4" w:space="0" w:color="auto"/>
              <w:right w:val="nil"/>
            </w:tcBorders>
          </w:tcPr>
          <w:p w14:paraId="0BCD5D47"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080261D" w14:textId="77777777" w:rsidR="008E67EA" w:rsidRPr="00154054" w:rsidRDefault="008E67EA" w:rsidP="00B44A74">
            <w:pPr>
              <w:spacing w:line="280" w:lineRule="exact"/>
              <w:rPr>
                <w:rFonts w:cs="Arial"/>
                <w:sz w:val="20"/>
                <w:szCs w:val="20"/>
              </w:rPr>
            </w:pPr>
          </w:p>
        </w:tc>
      </w:tr>
      <w:tr w:rsidR="008E67EA" w:rsidRPr="002B5B5B" w14:paraId="1E0C08D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8301786" w14:textId="77777777" w:rsidR="008E67EA" w:rsidRPr="00F5215F" w:rsidRDefault="008E67EA" w:rsidP="00B44A74">
            <w:pPr>
              <w:spacing w:line="280" w:lineRule="exact"/>
              <w:rPr>
                <w:rFonts w:cs="Arial"/>
                <w:sz w:val="20"/>
                <w:szCs w:val="20"/>
              </w:rPr>
            </w:pPr>
            <w:r w:rsidRPr="00F5215F">
              <w:rPr>
                <w:rFonts w:cs="Arial"/>
                <w:sz w:val="20"/>
                <w:szCs w:val="20"/>
              </w:rPr>
              <w:t>Resistance Warning:</w:t>
            </w:r>
          </w:p>
        </w:tc>
        <w:tc>
          <w:tcPr>
            <w:tcW w:w="7755" w:type="dxa"/>
            <w:tcBorders>
              <w:top w:val="single" w:sz="4" w:space="0" w:color="auto"/>
              <w:left w:val="single" w:sz="4" w:space="0" w:color="auto"/>
              <w:bottom w:val="single" w:sz="4" w:space="0" w:color="auto"/>
              <w:right w:val="single" w:sz="4" w:space="0" w:color="auto"/>
            </w:tcBorders>
          </w:tcPr>
          <w:p w14:paraId="280334C4" w14:textId="77777777" w:rsidR="008E67EA" w:rsidRPr="00154054" w:rsidRDefault="008E67EA" w:rsidP="00B44A74">
            <w:pPr>
              <w:spacing w:line="280" w:lineRule="exact"/>
              <w:rPr>
                <w:rFonts w:cs="Arial"/>
                <w:sz w:val="20"/>
                <w:szCs w:val="20"/>
              </w:rPr>
            </w:pPr>
          </w:p>
        </w:tc>
      </w:tr>
      <w:tr w:rsidR="008E67EA" w:rsidRPr="002B5B5B" w14:paraId="5CAECE11" w14:textId="77777777" w:rsidTr="00B44A74">
        <w:trPr>
          <w:jc w:val="center"/>
        </w:trPr>
        <w:tc>
          <w:tcPr>
            <w:tcW w:w="2415" w:type="dxa"/>
            <w:tcBorders>
              <w:top w:val="single" w:sz="4" w:space="0" w:color="auto"/>
              <w:left w:val="nil"/>
              <w:bottom w:val="single" w:sz="4" w:space="0" w:color="auto"/>
              <w:right w:val="nil"/>
            </w:tcBorders>
          </w:tcPr>
          <w:p w14:paraId="4EBAE396"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2B9CB07" w14:textId="77777777" w:rsidR="008E67EA" w:rsidRPr="00154054" w:rsidRDefault="008E67EA" w:rsidP="00B44A74">
            <w:pPr>
              <w:spacing w:line="280" w:lineRule="exact"/>
              <w:rPr>
                <w:rFonts w:cs="Arial"/>
                <w:sz w:val="20"/>
                <w:szCs w:val="20"/>
              </w:rPr>
            </w:pPr>
          </w:p>
        </w:tc>
      </w:tr>
      <w:tr w:rsidR="008E67EA" w:rsidRPr="002B5B5B" w14:paraId="5544A1A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9244C33" w14:textId="77777777" w:rsidR="008E67EA" w:rsidRPr="00F5215F" w:rsidRDefault="008E67EA" w:rsidP="00B44A74">
            <w:pPr>
              <w:spacing w:line="280" w:lineRule="exact"/>
              <w:rPr>
                <w:rFonts w:cs="Arial"/>
                <w:sz w:val="20"/>
                <w:szCs w:val="20"/>
              </w:rPr>
            </w:pPr>
            <w:r w:rsidRPr="00F5215F">
              <w:rPr>
                <w:rFonts w:cs="Arial"/>
                <w:sz w:val="20"/>
                <w:szCs w:val="20"/>
              </w:rPr>
              <w:t>Precautions:</w:t>
            </w:r>
          </w:p>
        </w:tc>
        <w:tc>
          <w:tcPr>
            <w:tcW w:w="7755" w:type="dxa"/>
            <w:tcBorders>
              <w:top w:val="single" w:sz="4" w:space="0" w:color="auto"/>
              <w:left w:val="single" w:sz="4" w:space="0" w:color="auto"/>
              <w:bottom w:val="single" w:sz="4" w:space="0" w:color="auto"/>
              <w:right w:val="single" w:sz="4" w:space="0" w:color="auto"/>
            </w:tcBorders>
          </w:tcPr>
          <w:p w14:paraId="408C1B31" w14:textId="77777777" w:rsidR="008E67EA" w:rsidRPr="00154054" w:rsidRDefault="008E67EA" w:rsidP="00B44A74">
            <w:pPr>
              <w:spacing w:line="280" w:lineRule="exact"/>
              <w:rPr>
                <w:rFonts w:cs="Arial"/>
                <w:sz w:val="20"/>
                <w:szCs w:val="20"/>
              </w:rPr>
            </w:pPr>
            <w:r w:rsidRPr="00154054">
              <w:rPr>
                <w:rFonts w:cs="Arial"/>
                <w:sz w:val="20"/>
                <w:szCs w:val="20"/>
              </w:rPr>
              <w:t>PRECAUTIONS</w:t>
            </w:r>
          </w:p>
          <w:p w14:paraId="59FBF865" w14:textId="77777777" w:rsidR="008E67EA" w:rsidRPr="00154054" w:rsidRDefault="008E67EA" w:rsidP="00B44A74">
            <w:pPr>
              <w:spacing w:line="280" w:lineRule="exact"/>
              <w:rPr>
                <w:rFonts w:cs="Arial"/>
                <w:sz w:val="20"/>
                <w:szCs w:val="20"/>
              </w:rPr>
            </w:pPr>
            <w:r w:rsidRPr="00154054">
              <w:rPr>
                <w:rFonts w:cs="Arial"/>
                <w:sz w:val="20"/>
                <w:szCs w:val="20"/>
              </w:rPr>
              <w:t>Caution should be used when baiting near areas where hunting of wildlife may occur. Careful consideration of bait placement is necessary to avoid secondary exposure from contaminated wildlife that may be consumed.</w:t>
            </w:r>
          </w:p>
          <w:p w14:paraId="3275337A" w14:textId="77777777" w:rsidR="008E67EA" w:rsidRPr="00154054" w:rsidRDefault="008E67EA" w:rsidP="00B44A74">
            <w:pPr>
              <w:spacing w:line="280" w:lineRule="exact"/>
              <w:rPr>
                <w:rFonts w:cs="Arial"/>
                <w:sz w:val="20"/>
                <w:szCs w:val="20"/>
              </w:rPr>
            </w:pPr>
            <w:r w:rsidRPr="00154054">
              <w:rPr>
                <w:rFonts w:cs="Arial"/>
                <w:sz w:val="20"/>
                <w:szCs w:val="20"/>
              </w:rPr>
              <w:t>DO NOT place bait in areas where there is a possibility of contaminating food, livestock feed or surfaces that come in direct contact with food or livestock feed.</w:t>
            </w:r>
          </w:p>
        </w:tc>
      </w:tr>
      <w:tr w:rsidR="008E67EA" w:rsidRPr="002B5B5B" w14:paraId="33A83D20" w14:textId="77777777" w:rsidTr="00B44A74">
        <w:trPr>
          <w:jc w:val="center"/>
        </w:trPr>
        <w:tc>
          <w:tcPr>
            <w:tcW w:w="2415" w:type="dxa"/>
            <w:tcBorders>
              <w:top w:val="single" w:sz="4" w:space="0" w:color="auto"/>
              <w:left w:val="nil"/>
              <w:bottom w:val="single" w:sz="4" w:space="0" w:color="auto"/>
              <w:right w:val="nil"/>
            </w:tcBorders>
          </w:tcPr>
          <w:p w14:paraId="44FAE880"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8B645FF" w14:textId="77777777" w:rsidR="008E67EA" w:rsidRPr="00154054" w:rsidRDefault="008E67EA" w:rsidP="00B44A74">
            <w:pPr>
              <w:spacing w:line="280" w:lineRule="exact"/>
              <w:rPr>
                <w:rFonts w:cs="Arial"/>
                <w:sz w:val="20"/>
                <w:szCs w:val="20"/>
              </w:rPr>
            </w:pPr>
          </w:p>
        </w:tc>
      </w:tr>
      <w:tr w:rsidR="008E67EA" w:rsidRPr="002B5B5B" w14:paraId="3BD31F2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83DC745" w14:textId="77777777" w:rsidR="008E67EA" w:rsidRPr="00F5215F" w:rsidRDefault="008E67EA" w:rsidP="00B44A74">
            <w:pPr>
              <w:spacing w:line="280" w:lineRule="exact"/>
              <w:rPr>
                <w:rFonts w:cs="Arial"/>
                <w:sz w:val="20"/>
                <w:szCs w:val="20"/>
              </w:rPr>
            </w:pPr>
            <w:r w:rsidRPr="00F5215F">
              <w:rPr>
                <w:rFonts w:cs="Arial"/>
                <w:sz w:val="20"/>
                <w:szCs w:val="20"/>
              </w:rPr>
              <w:t>Protection Statements:</w:t>
            </w:r>
          </w:p>
        </w:tc>
        <w:tc>
          <w:tcPr>
            <w:tcW w:w="7755" w:type="dxa"/>
            <w:tcBorders>
              <w:top w:val="single" w:sz="4" w:space="0" w:color="auto"/>
              <w:left w:val="single" w:sz="4" w:space="0" w:color="auto"/>
              <w:bottom w:val="single" w:sz="4" w:space="0" w:color="auto"/>
              <w:right w:val="single" w:sz="4" w:space="0" w:color="auto"/>
            </w:tcBorders>
          </w:tcPr>
          <w:p w14:paraId="55128951" w14:textId="77777777" w:rsidR="008E67EA" w:rsidRPr="00154054" w:rsidRDefault="008E67EA" w:rsidP="00B44A74">
            <w:pPr>
              <w:spacing w:line="280" w:lineRule="exact"/>
              <w:rPr>
                <w:rFonts w:cs="Arial"/>
                <w:sz w:val="20"/>
                <w:szCs w:val="20"/>
              </w:rPr>
            </w:pPr>
            <w:r w:rsidRPr="00154054">
              <w:rPr>
                <w:rFonts w:cs="Arial"/>
                <w:sz w:val="20"/>
                <w:szCs w:val="20"/>
              </w:rPr>
              <w:t>PROTECTION OF POULTRY, LIVESTOCK AND WILDLIFE</w:t>
            </w:r>
          </w:p>
          <w:p w14:paraId="432ACDCE" w14:textId="77777777" w:rsidR="008E67EA" w:rsidRPr="00154054" w:rsidRDefault="008E67EA" w:rsidP="00B44A74">
            <w:pPr>
              <w:spacing w:line="280" w:lineRule="exact"/>
              <w:rPr>
                <w:rFonts w:cs="Arial"/>
                <w:sz w:val="20"/>
                <w:szCs w:val="20"/>
              </w:rPr>
            </w:pPr>
            <w:r w:rsidRPr="00154054">
              <w:rPr>
                <w:rFonts w:cs="Arial"/>
                <w:sz w:val="20"/>
                <w:szCs w:val="20"/>
              </w:rPr>
              <w:t>Hazardous to livestock, poultry and wildlife. DO NOT place baits in locations that are accessible to domestic animals, livestock, non-target native animals or birds.</w:t>
            </w:r>
          </w:p>
          <w:p w14:paraId="5C262875" w14:textId="0F0DA7A2" w:rsidR="008E67EA" w:rsidRPr="00154054" w:rsidRDefault="008E67EA" w:rsidP="00B44A74">
            <w:pPr>
              <w:spacing w:line="280" w:lineRule="exact"/>
              <w:rPr>
                <w:rFonts w:cs="Arial"/>
                <w:sz w:val="20"/>
                <w:szCs w:val="20"/>
              </w:rPr>
            </w:pPr>
            <w:r w:rsidRPr="00154054">
              <w:rPr>
                <w:rFonts w:cs="Arial"/>
                <w:sz w:val="20"/>
                <w:szCs w:val="20"/>
              </w:rPr>
              <w:t>Search for and dispose of dead rodents and slugs/snails in the infested area at each visit to prevent secondary poisoning. In case slugs/snails are present, move bait station to another location within the rodent infested site, away from slugs/snails. Dispose of slugs/snails in a way non-target animals are not exposed. Dispose of dead rodents and uneaten bait in compliance with local, state or territory government regulations.</w:t>
            </w:r>
          </w:p>
          <w:p w14:paraId="3EEAFB6D" w14:textId="77777777" w:rsidR="008E67EA" w:rsidRPr="00154054" w:rsidRDefault="008E67EA" w:rsidP="00B44A74">
            <w:pPr>
              <w:spacing w:line="280" w:lineRule="exact"/>
              <w:rPr>
                <w:rFonts w:cs="Arial"/>
                <w:sz w:val="20"/>
                <w:szCs w:val="20"/>
              </w:rPr>
            </w:pPr>
            <w:r w:rsidRPr="00154054">
              <w:rPr>
                <w:rFonts w:cs="Arial"/>
                <w:sz w:val="20"/>
                <w:szCs w:val="20"/>
              </w:rPr>
              <w:t>DO NOT allow livestock or poultry to consume dead or moribund mice and rats. All dead or moribund animals and rodent faeces from baited rodents MUST be removed from areas accessible to livestock or poultry.</w:t>
            </w:r>
          </w:p>
          <w:p w14:paraId="57BC6627" w14:textId="77777777" w:rsidR="008E67EA" w:rsidRDefault="008E67EA" w:rsidP="00B44A74">
            <w:pPr>
              <w:spacing w:line="280" w:lineRule="exact"/>
              <w:rPr>
                <w:rFonts w:cs="Arial"/>
                <w:sz w:val="20"/>
                <w:szCs w:val="20"/>
              </w:rPr>
            </w:pPr>
            <w:r w:rsidRPr="00154054">
              <w:rPr>
                <w:rFonts w:cs="Arial"/>
                <w:sz w:val="20"/>
                <w:szCs w:val="20"/>
              </w:rPr>
              <w:t>The use of this product for the control of protected native rodents requires permission from wildlife authorities.</w:t>
            </w:r>
          </w:p>
          <w:p w14:paraId="71A7D309" w14:textId="77777777" w:rsidR="008E67EA" w:rsidRPr="00154054" w:rsidRDefault="008E67EA" w:rsidP="00B44A74">
            <w:pPr>
              <w:spacing w:line="280" w:lineRule="exact"/>
              <w:rPr>
                <w:rFonts w:cs="Arial"/>
                <w:sz w:val="20"/>
                <w:szCs w:val="20"/>
              </w:rPr>
            </w:pPr>
          </w:p>
          <w:p w14:paraId="4E57FD8D" w14:textId="77777777" w:rsidR="008E67EA" w:rsidRPr="00154054" w:rsidRDefault="008E67EA" w:rsidP="00B44A74">
            <w:pPr>
              <w:spacing w:line="280" w:lineRule="exact"/>
              <w:rPr>
                <w:rFonts w:cs="Arial"/>
                <w:sz w:val="20"/>
                <w:szCs w:val="20"/>
              </w:rPr>
            </w:pPr>
            <w:r w:rsidRPr="00154054">
              <w:rPr>
                <w:rFonts w:cs="Arial"/>
                <w:sz w:val="20"/>
                <w:szCs w:val="20"/>
              </w:rPr>
              <w:t>PROTECTION OF FISH, CRUSTACEANS AND ENVIRONMENT</w:t>
            </w:r>
          </w:p>
          <w:p w14:paraId="20A6D8AD" w14:textId="66B28B8C" w:rsidR="008E67EA" w:rsidRPr="00154054" w:rsidRDefault="008E67EA" w:rsidP="00B44A74">
            <w:pPr>
              <w:spacing w:line="280" w:lineRule="exact"/>
              <w:rPr>
                <w:rFonts w:cs="Arial"/>
                <w:sz w:val="20"/>
                <w:szCs w:val="20"/>
              </w:rPr>
            </w:pPr>
            <w:r w:rsidRPr="00154054">
              <w:rPr>
                <w:rFonts w:cs="Arial"/>
                <w:sz w:val="20"/>
                <w:szCs w:val="20"/>
              </w:rPr>
              <w:t>DO NOT contaminate wetlands or watercourses with this product or used containers.</w:t>
            </w:r>
            <w:r w:rsidR="00FC2717">
              <w:rPr>
                <w:rFonts w:cs="Arial"/>
                <w:sz w:val="20"/>
                <w:szCs w:val="20"/>
              </w:rPr>
              <w:t xml:space="preserve"> </w:t>
            </w:r>
            <w:r w:rsidRPr="00154054">
              <w:rPr>
                <w:rFonts w:cs="Arial"/>
                <w:sz w:val="20"/>
                <w:szCs w:val="20"/>
              </w:rPr>
              <w:t>Place the bait stations in areas not liable to flooding. When placing bait stations close to water drainage systems, ensure that bait contact with water is avoided.</w:t>
            </w:r>
          </w:p>
        </w:tc>
      </w:tr>
      <w:tr w:rsidR="008E67EA" w:rsidRPr="002B5B5B" w14:paraId="08D70FAD" w14:textId="77777777" w:rsidTr="00B44A74">
        <w:trPr>
          <w:jc w:val="center"/>
        </w:trPr>
        <w:tc>
          <w:tcPr>
            <w:tcW w:w="2415" w:type="dxa"/>
            <w:tcBorders>
              <w:top w:val="single" w:sz="4" w:space="0" w:color="auto"/>
              <w:left w:val="nil"/>
              <w:bottom w:val="single" w:sz="4" w:space="0" w:color="auto"/>
              <w:right w:val="nil"/>
            </w:tcBorders>
          </w:tcPr>
          <w:p w14:paraId="2D5E8E0F"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F7C9118" w14:textId="77777777" w:rsidR="008E67EA" w:rsidRPr="00154054" w:rsidRDefault="008E67EA" w:rsidP="00B44A74">
            <w:pPr>
              <w:spacing w:line="280" w:lineRule="exact"/>
              <w:rPr>
                <w:rFonts w:cs="Arial"/>
                <w:sz w:val="20"/>
                <w:szCs w:val="20"/>
              </w:rPr>
            </w:pPr>
          </w:p>
        </w:tc>
      </w:tr>
      <w:tr w:rsidR="008E67EA" w:rsidRPr="002B5B5B" w14:paraId="09D5413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D811E0A" w14:textId="77777777" w:rsidR="008E67EA" w:rsidRPr="00F5215F" w:rsidRDefault="008E67EA" w:rsidP="00B44A74">
            <w:pPr>
              <w:spacing w:line="280" w:lineRule="exact"/>
              <w:rPr>
                <w:rFonts w:cs="Arial"/>
                <w:sz w:val="20"/>
                <w:szCs w:val="20"/>
              </w:rPr>
            </w:pPr>
            <w:r w:rsidRPr="00F5215F">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1D6A3655" w14:textId="77777777" w:rsidR="008E67EA" w:rsidRPr="00342571" w:rsidRDefault="008E67EA" w:rsidP="00B44A74">
            <w:pPr>
              <w:spacing w:line="280" w:lineRule="exact"/>
              <w:rPr>
                <w:rFonts w:cs="Arial"/>
                <w:sz w:val="20"/>
                <w:szCs w:val="20"/>
                <w:bdr w:val="none" w:sz="0" w:space="0" w:color="auto" w:frame="1"/>
                <w:lang w:val="en-GB" w:eastAsia="en-AU"/>
              </w:rPr>
            </w:pPr>
            <w:r w:rsidRPr="00D96955">
              <w:rPr>
                <w:rFonts w:cs="Arial"/>
                <w:sz w:val="20"/>
                <w:szCs w:val="20"/>
                <w:bdr w:val="none" w:sz="0" w:space="0" w:color="auto" w:frame="1"/>
                <w:lang w:val="en-GB" w:eastAsia="en-AU"/>
              </w:rPr>
              <w:t>STORAGE AND DISPOSAL</w:t>
            </w:r>
          </w:p>
          <w:p w14:paraId="0EB32669" w14:textId="55921A59" w:rsidR="008E67EA" w:rsidRPr="00154054" w:rsidRDefault="008E67EA" w:rsidP="00B44A74">
            <w:pPr>
              <w:spacing w:line="280" w:lineRule="exact"/>
              <w:rPr>
                <w:rFonts w:cs="Arial"/>
                <w:sz w:val="20"/>
                <w:szCs w:val="20"/>
              </w:rPr>
            </w:pPr>
            <w:r w:rsidRPr="00154054">
              <w:rPr>
                <w:rFonts w:cs="Arial"/>
                <w:sz w:val="20"/>
                <w:szCs w:val="20"/>
              </w:rPr>
              <w:t>Store in the tightly closed, original container in a dry, well-ventilated area, as cool as possible out of direct sunlight. Triple rinse containers before disposal. Break, crush or puncture and deliver empty packaging to an approved waste management facility. If an approved waste management facility is not available, dispose of empty packaging in compliance with relevant local, state or territory government regulations.</w:t>
            </w:r>
            <w:r>
              <w:rPr>
                <w:rFonts w:cs="Arial"/>
                <w:sz w:val="20"/>
                <w:szCs w:val="20"/>
              </w:rPr>
              <w:t xml:space="preserve"> </w:t>
            </w:r>
            <w:r w:rsidRPr="005E538D">
              <w:rPr>
                <w:rFonts w:cs="Arial"/>
                <w:sz w:val="20"/>
                <w:szCs w:val="20"/>
                <w:bdr w:val="none" w:sz="0" w:space="0" w:color="auto" w:frame="1"/>
                <w:lang w:val="en-GB" w:eastAsia="en-AU"/>
              </w:rPr>
              <w:t xml:space="preserve">Dispose of unused product in compliance with relevant local, state or territory government regulations. </w:t>
            </w:r>
            <w:r w:rsidRPr="00154054">
              <w:rPr>
                <w:rFonts w:cs="Arial"/>
                <w:sz w:val="20"/>
                <w:szCs w:val="20"/>
              </w:rPr>
              <w:t>DO NOT burn empty containers or product.</w:t>
            </w:r>
          </w:p>
        </w:tc>
      </w:tr>
      <w:tr w:rsidR="008E67EA" w:rsidRPr="002B5B5B" w14:paraId="7BD7B16F" w14:textId="77777777" w:rsidTr="00B44A74">
        <w:trPr>
          <w:jc w:val="center"/>
        </w:trPr>
        <w:tc>
          <w:tcPr>
            <w:tcW w:w="2415" w:type="dxa"/>
            <w:tcBorders>
              <w:top w:val="single" w:sz="4" w:space="0" w:color="auto"/>
              <w:left w:val="nil"/>
              <w:bottom w:val="single" w:sz="4" w:space="0" w:color="auto"/>
              <w:right w:val="nil"/>
            </w:tcBorders>
          </w:tcPr>
          <w:p w14:paraId="5533C83A"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E952C77" w14:textId="77777777" w:rsidR="008E67EA" w:rsidRPr="00154054" w:rsidRDefault="008E67EA" w:rsidP="00B44A74">
            <w:pPr>
              <w:spacing w:line="280" w:lineRule="exact"/>
              <w:rPr>
                <w:rFonts w:cs="Arial"/>
                <w:sz w:val="20"/>
                <w:szCs w:val="20"/>
              </w:rPr>
            </w:pPr>
          </w:p>
        </w:tc>
      </w:tr>
      <w:tr w:rsidR="008E67EA" w:rsidRPr="002B5B5B" w14:paraId="3E2922A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CBEF838" w14:textId="77777777" w:rsidR="008E67EA" w:rsidRPr="00F5215F" w:rsidRDefault="008E67EA" w:rsidP="00B44A74">
            <w:pPr>
              <w:spacing w:line="280" w:lineRule="exact"/>
              <w:rPr>
                <w:rFonts w:cs="Arial"/>
                <w:sz w:val="20"/>
                <w:szCs w:val="20"/>
              </w:rPr>
            </w:pPr>
            <w:r w:rsidRPr="00F5215F">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654550C9" w14:textId="77777777" w:rsidR="008E67EA" w:rsidRPr="00342571" w:rsidRDefault="008E67EA" w:rsidP="00B44A74">
            <w:pPr>
              <w:spacing w:line="280" w:lineRule="exact"/>
              <w:rPr>
                <w:rFonts w:cs="Arial"/>
                <w:sz w:val="20"/>
                <w:szCs w:val="20"/>
                <w:bdr w:val="none" w:sz="0" w:space="0" w:color="auto" w:frame="1"/>
                <w:lang w:val="en-GB" w:eastAsia="en-AU"/>
              </w:rPr>
            </w:pPr>
            <w:r w:rsidRPr="00D96955">
              <w:rPr>
                <w:rFonts w:cs="Arial"/>
                <w:sz w:val="20"/>
                <w:szCs w:val="20"/>
                <w:bdr w:val="none" w:sz="0" w:space="0" w:color="auto" w:frame="1"/>
                <w:lang w:val="en-GB" w:eastAsia="en-AU"/>
              </w:rPr>
              <w:t>SAFETY DIRECTIONS</w:t>
            </w:r>
          </w:p>
          <w:p w14:paraId="2F39240F" w14:textId="77777777" w:rsidR="008E67EA" w:rsidRPr="00154054" w:rsidRDefault="008E67EA" w:rsidP="00B44A74">
            <w:pPr>
              <w:spacing w:line="280" w:lineRule="exact"/>
              <w:rPr>
                <w:rFonts w:cs="Arial"/>
                <w:sz w:val="20"/>
                <w:szCs w:val="20"/>
              </w:rPr>
            </w:pPr>
            <w:r w:rsidRPr="00A7725E">
              <w:rPr>
                <w:rFonts w:cs="Arial"/>
                <w:sz w:val="20"/>
                <w:szCs w:val="20"/>
              </w:rPr>
              <w:t>Repeated minor exposure may have a cumulative poisoning effect. When using the product wear disposable gloves. During cleanup, disposal operations of bait and bait stations and when handling rodent carcasses wear single layer clothing and disposable gloves. If on skin and after each baiting, wash thoroughly with soap and water. After each day’s use wash contaminated clothing.</w:t>
            </w:r>
            <w:r>
              <w:rPr>
                <w:rFonts w:cs="Arial"/>
                <w:sz w:val="20"/>
                <w:szCs w:val="20"/>
              </w:rPr>
              <w:t xml:space="preserve"> </w:t>
            </w:r>
            <w:r w:rsidRPr="00154054">
              <w:rPr>
                <w:rFonts w:cs="Arial"/>
                <w:sz w:val="20"/>
                <w:szCs w:val="20"/>
              </w:rPr>
              <w:t>Wash clothes after performing re-handling activities.</w:t>
            </w:r>
          </w:p>
        </w:tc>
      </w:tr>
      <w:tr w:rsidR="008E67EA" w:rsidRPr="002B5B5B" w14:paraId="30067141" w14:textId="77777777" w:rsidTr="00B44A74">
        <w:trPr>
          <w:jc w:val="center"/>
        </w:trPr>
        <w:tc>
          <w:tcPr>
            <w:tcW w:w="2415" w:type="dxa"/>
            <w:tcBorders>
              <w:top w:val="single" w:sz="4" w:space="0" w:color="auto"/>
              <w:left w:val="nil"/>
              <w:bottom w:val="single" w:sz="4" w:space="0" w:color="auto"/>
              <w:right w:val="nil"/>
            </w:tcBorders>
          </w:tcPr>
          <w:p w14:paraId="4B2313EB"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BC00181" w14:textId="77777777" w:rsidR="008E67EA" w:rsidRPr="00154054" w:rsidRDefault="008E67EA" w:rsidP="00B44A74">
            <w:pPr>
              <w:spacing w:line="280" w:lineRule="exact"/>
              <w:rPr>
                <w:rFonts w:cs="Arial"/>
                <w:sz w:val="20"/>
                <w:szCs w:val="20"/>
              </w:rPr>
            </w:pPr>
          </w:p>
        </w:tc>
      </w:tr>
      <w:tr w:rsidR="008E67EA" w:rsidRPr="002B5B5B" w14:paraId="0498E66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23397B8" w14:textId="77777777" w:rsidR="008E67EA" w:rsidRPr="00F5215F" w:rsidRDefault="008E67EA" w:rsidP="00B44A74">
            <w:pPr>
              <w:spacing w:line="280" w:lineRule="exact"/>
              <w:rPr>
                <w:rFonts w:cs="Arial"/>
                <w:sz w:val="20"/>
                <w:szCs w:val="20"/>
              </w:rPr>
            </w:pPr>
            <w:r w:rsidRPr="00F5215F">
              <w:rPr>
                <w:rFonts w:cs="Arial"/>
                <w:sz w:val="20"/>
                <w:szCs w:val="20"/>
              </w:rPr>
              <w:lastRenderedPageBreak/>
              <w:t>First Aid Instructions:</w:t>
            </w:r>
          </w:p>
        </w:tc>
        <w:tc>
          <w:tcPr>
            <w:tcW w:w="7755" w:type="dxa"/>
            <w:tcBorders>
              <w:top w:val="single" w:sz="4" w:space="0" w:color="auto"/>
              <w:left w:val="single" w:sz="4" w:space="0" w:color="auto"/>
              <w:bottom w:val="single" w:sz="4" w:space="0" w:color="auto"/>
              <w:right w:val="single" w:sz="4" w:space="0" w:color="auto"/>
            </w:tcBorders>
          </w:tcPr>
          <w:p w14:paraId="10501DCD" w14:textId="77777777" w:rsidR="008E67EA" w:rsidRDefault="008E67EA" w:rsidP="00B44A74">
            <w:pPr>
              <w:spacing w:line="280" w:lineRule="exact"/>
              <w:rPr>
                <w:rFonts w:cs="Arial"/>
                <w:sz w:val="20"/>
                <w:szCs w:val="20"/>
                <w:bdr w:val="none" w:sz="0" w:space="0" w:color="auto" w:frame="1"/>
                <w:lang w:val="en-GB" w:eastAsia="en-AU"/>
              </w:rPr>
            </w:pPr>
            <w:r w:rsidRPr="00D96955">
              <w:rPr>
                <w:rFonts w:cs="Arial"/>
                <w:sz w:val="20"/>
                <w:szCs w:val="20"/>
                <w:bdr w:val="none" w:sz="0" w:space="0" w:color="auto" w:frame="1"/>
                <w:lang w:val="en-GB" w:eastAsia="en-AU"/>
              </w:rPr>
              <w:t>FIRST AID</w:t>
            </w:r>
          </w:p>
          <w:p w14:paraId="6C93FE8A" w14:textId="77777777" w:rsidR="008E67EA" w:rsidRPr="00154054" w:rsidRDefault="008E67EA" w:rsidP="00B44A74">
            <w:pPr>
              <w:spacing w:line="280" w:lineRule="exact"/>
              <w:rPr>
                <w:rFonts w:cs="Arial"/>
                <w:sz w:val="20"/>
                <w:szCs w:val="20"/>
              </w:rPr>
            </w:pPr>
            <w:r w:rsidRPr="00154054">
              <w:rPr>
                <w:rFonts w:cs="Arial"/>
                <w:sz w:val="20"/>
                <w:szCs w:val="20"/>
              </w:rPr>
              <w:t>If poisoning occurs, contact a doctor or Poisons Information Centre. Phone Australia 13 11 26, New Zealand 0800 764 766. Vitamin K1 (Phytomenadione) is antidotal.</w:t>
            </w:r>
          </w:p>
        </w:tc>
      </w:tr>
      <w:tr w:rsidR="008E67EA" w:rsidRPr="002B5B5B" w14:paraId="5FC35574" w14:textId="77777777" w:rsidTr="00B44A74">
        <w:trPr>
          <w:jc w:val="center"/>
        </w:trPr>
        <w:tc>
          <w:tcPr>
            <w:tcW w:w="2415" w:type="dxa"/>
            <w:tcBorders>
              <w:top w:val="single" w:sz="4" w:space="0" w:color="auto"/>
              <w:left w:val="nil"/>
              <w:bottom w:val="single" w:sz="4" w:space="0" w:color="auto"/>
              <w:right w:val="nil"/>
            </w:tcBorders>
          </w:tcPr>
          <w:p w14:paraId="78CBB10A"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953D29B" w14:textId="77777777" w:rsidR="008E67EA" w:rsidRPr="00154054" w:rsidRDefault="008E67EA" w:rsidP="00B44A74">
            <w:pPr>
              <w:spacing w:line="280" w:lineRule="exact"/>
              <w:rPr>
                <w:rFonts w:cs="Arial"/>
                <w:sz w:val="20"/>
                <w:szCs w:val="20"/>
              </w:rPr>
            </w:pPr>
          </w:p>
        </w:tc>
      </w:tr>
      <w:tr w:rsidR="008E67EA" w:rsidRPr="002B5B5B" w14:paraId="39496AD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3B2387A" w14:textId="77777777" w:rsidR="008E67EA" w:rsidRPr="00F5215F" w:rsidRDefault="008E67EA" w:rsidP="00B44A74">
            <w:pPr>
              <w:spacing w:line="280" w:lineRule="exact"/>
              <w:rPr>
                <w:rFonts w:cs="Arial"/>
                <w:sz w:val="20"/>
                <w:szCs w:val="20"/>
              </w:rPr>
            </w:pPr>
            <w:r w:rsidRPr="00F5215F">
              <w:rPr>
                <w:rFonts w:cs="Arial"/>
                <w:sz w:val="20"/>
                <w:szCs w:val="20"/>
              </w:rPr>
              <w:t>First Aid Warnings:</w:t>
            </w:r>
          </w:p>
        </w:tc>
        <w:tc>
          <w:tcPr>
            <w:tcW w:w="7755" w:type="dxa"/>
            <w:tcBorders>
              <w:top w:val="single" w:sz="4" w:space="0" w:color="auto"/>
              <w:left w:val="single" w:sz="4" w:space="0" w:color="auto"/>
              <w:bottom w:val="single" w:sz="4" w:space="0" w:color="auto"/>
              <w:right w:val="single" w:sz="4" w:space="0" w:color="auto"/>
            </w:tcBorders>
          </w:tcPr>
          <w:p w14:paraId="472D8B65" w14:textId="77777777" w:rsidR="008E67EA" w:rsidRPr="00154054" w:rsidRDefault="008E67EA" w:rsidP="00B44A74">
            <w:pPr>
              <w:spacing w:line="280" w:lineRule="exact"/>
              <w:rPr>
                <w:rFonts w:cs="Arial"/>
                <w:sz w:val="20"/>
                <w:szCs w:val="20"/>
              </w:rPr>
            </w:pPr>
          </w:p>
        </w:tc>
      </w:tr>
    </w:tbl>
    <w:p w14:paraId="5093DEEB" w14:textId="77777777" w:rsidR="008E67EA" w:rsidRDefault="008E67EA" w:rsidP="008E67EA"/>
    <w:p w14:paraId="53DBB509" w14:textId="77777777" w:rsidR="008E67EA" w:rsidRDefault="008E67EA" w:rsidP="008E67EA">
      <w:pPr>
        <w:spacing w:line="280" w:lineRule="exact"/>
        <w:rPr>
          <w:rFonts w:cs="Arial"/>
          <w:b/>
          <w:bCs/>
          <w:sz w:val="20"/>
          <w:szCs w:val="20"/>
        </w:rPr>
      </w:pPr>
      <w:r w:rsidRPr="00FF36BF">
        <w:rPr>
          <w:rFonts w:cs="Arial"/>
          <w:b/>
          <w:bCs/>
          <w:sz w:val="20"/>
          <w:szCs w:val="20"/>
        </w:rPr>
        <w:t>DIRECTIONS FOR USE</w:t>
      </w:r>
    </w:p>
    <w:tbl>
      <w:tblPr>
        <w:tblStyle w:val="TableGrid"/>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1182"/>
        <w:gridCol w:w="1623"/>
        <w:gridCol w:w="3759"/>
      </w:tblGrid>
      <w:tr w:rsidR="008E67EA" w:rsidRPr="00C118CC" w14:paraId="636EA5B5" w14:textId="77777777" w:rsidTr="009C4F64">
        <w:trPr>
          <w:trHeight w:val="340"/>
        </w:trPr>
        <w:tc>
          <w:tcPr>
            <w:tcW w:w="1551" w:type="pct"/>
          </w:tcPr>
          <w:p w14:paraId="2EBD080A" w14:textId="77777777" w:rsidR="008E67EA" w:rsidRPr="002F6425" w:rsidRDefault="008E67EA" w:rsidP="00B44A74">
            <w:pPr>
              <w:spacing w:line="280" w:lineRule="exact"/>
              <w:rPr>
                <w:rFonts w:cs="Arial"/>
                <w:b/>
                <w:bCs/>
                <w:spacing w:val="-2"/>
                <w:w w:val="105"/>
                <w:szCs w:val="18"/>
              </w:rPr>
            </w:pPr>
            <w:r w:rsidRPr="002F6425">
              <w:rPr>
                <w:rFonts w:cs="Arial"/>
                <w:b/>
                <w:bCs/>
                <w:szCs w:val="18"/>
              </w:rPr>
              <w:t>SITUATION</w:t>
            </w:r>
          </w:p>
        </w:tc>
        <w:tc>
          <w:tcPr>
            <w:tcW w:w="621" w:type="pct"/>
          </w:tcPr>
          <w:p w14:paraId="24EA4572" w14:textId="77777777" w:rsidR="008E67EA" w:rsidRPr="002F6425" w:rsidRDefault="008E67EA" w:rsidP="00B44A74">
            <w:pPr>
              <w:pStyle w:val="TableParagraph"/>
              <w:spacing w:before="61"/>
              <w:rPr>
                <w:b/>
                <w:bCs/>
                <w:sz w:val="18"/>
                <w:szCs w:val="18"/>
              </w:rPr>
            </w:pPr>
            <w:r>
              <w:rPr>
                <w:b/>
                <w:bCs/>
                <w:sz w:val="18"/>
                <w:szCs w:val="18"/>
              </w:rPr>
              <w:t>PEST</w:t>
            </w:r>
          </w:p>
        </w:tc>
        <w:tc>
          <w:tcPr>
            <w:tcW w:w="853" w:type="pct"/>
          </w:tcPr>
          <w:p w14:paraId="4A76E9C6" w14:textId="77777777" w:rsidR="008E67EA" w:rsidRPr="002F6425" w:rsidRDefault="008E67EA" w:rsidP="00B44A74">
            <w:pPr>
              <w:pStyle w:val="TableParagraph"/>
              <w:spacing w:before="61"/>
              <w:rPr>
                <w:b/>
                <w:bCs/>
                <w:sz w:val="18"/>
                <w:szCs w:val="18"/>
              </w:rPr>
            </w:pPr>
            <w:r w:rsidRPr="002F6425">
              <w:rPr>
                <w:b/>
                <w:bCs/>
                <w:sz w:val="18"/>
                <w:szCs w:val="18"/>
              </w:rPr>
              <w:t>RATE</w:t>
            </w:r>
          </w:p>
        </w:tc>
        <w:tc>
          <w:tcPr>
            <w:tcW w:w="1975" w:type="pct"/>
          </w:tcPr>
          <w:p w14:paraId="4EF33615" w14:textId="77777777" w:rsidR="008E67EA" w:rsidRPr="002F6425" w:rsidRDefault="008E67EA" w:rsidP="00B44A74">
            <w:pPr>
              <w:pStyle w:val="TableParagraph"/>
              <w:spacing w:before="61"/>
              <w:rPr>
                <w:b/>
                <w:bCs/>
                <w:color w:val="7030A0"/>
                <w:sz w:val="18"/>
                <w:szCs w:val="18"/>
              </w:rPr>
            </w:pPr>
            <w:r w:rsidRPr="002F6425">
              <w:rPr>
                <w:b/>
                <w:bCs/>
                <w:sz w:val="18"/>
                <w:szCs w:val="18"/>
              </w:rPr>
              <w:t>CRITICAL COMMENTS</w:t>
            </w:r>
          </w:p>
        </w:tc>
      </w:tr>
      <w:tr w:rsidR="008E67EA" w:rsidRPr="00C118CC" w14:paraId="5EF46E98" w14:textId="77777777" w:rsidTr="009C4F64">
        <w:trPr>
          <w:trHeight w:val="850"/>
        </w:trPr>
        <w:tc>
          <w:tcPr>
            <w:tcW w:w="1551" w:type="pct"/>
          </w:tcPr>
          <w:p w14:paraId="26D8080B" w14:textId="77777777" w:rsidR="008E67EA" w:rsidRPr="00867EDB" w:rsidRDefault="008E67EA" w:rsidP="00B44A74">
            <w:pPr>
              <w:spacing w:line="240" w:lineRule="exact"/>
              <w:rPr>
                <w:rFonts w:cs="Arial"/>
                <w:bCs/>
                <w:spacing w:val="-2"/>
                <w:w w:val="105"/>
                <w:szCs w:val="18"/>
              </w:rPr>
            </w:pPr>
            <w:r w:rsidRPr="00867EDB">
              <w:rPr>
                <w:rFonts w:cs="Arial"/>
                <w:bCs/>
                <w:spacing w:val="-2"/>
                <w:w w:val="105"/>
                <w:szCs w:val="18"/>
              </w:rPr>
              <w:t>In</w:t>
            </w:r>
            <w:r>
              <w:rPr>
                <w:rFonts w:cs="Arial"/>
                <w:bCs/>
                <w:spacing w:val="-2"/>
                <w:w w:val="105"/>
                <w:szCs w:val="18"/>
              </w:rPr>
              <w:t xml:space="preserve"> d</w:t>
            </w:r>
            <w:r w:rsidRPr="00CB34FD">
              <w:rPr>
                <w:rFonts w:cs="Arial"/>
                <w:bCs/>
                <w:spacing w:val="-2"/>
                <w:w w:val="105"/>
                <w:szCs w:val="18"/>
              </w:rPr>
              <w:t>omestic industrial</w:t>
            </w:r>
            <w:r>
              <w:rPr>
                <w:rFonts w:cs="Arial"/>
                <w:bCs/>
                <w:spacing w:val="-2"/>
                <w:w w:val="105"/>
                <w:szCs w:val="18"/>
              </w:rPr>
              <w:t xml:space="preserve"> b</w:t>
            </w:r>
            <w:r w:rsidRPr="00CB34FD">
              <w:rPr>
                <w:rFonts w:cs="Arial"/>
                <w:bCs/>
                <w:spacing w:val="-2"/>
                <w:w w:val="105"/>
                <w:szCs w:val="18"/>
              </w:rPr>
              <w:t>uildings</w:t>
            </w:r>
            <w:r>
              <w:rPr>
                <w:rFonts w:cs="Arial"/>
                <w:bCs/>
                <w:spacing w:val="-2"/>
                <w:w w:val="105"/>
                <w:szCs w:val="18"/>
              </w:rPr>
              <w:t>, dairies, and meatworks (non-product areas)</w:t>
            </w:r>
          </w:p>
        </w:tc>
        <w:tc>
          <w:tcPr>
            <w:tcW w:w="621" w:type="pct"/>
          </w:tcPr>
          <w:p w14:paraId="48B94811" w14:textId="77777777" w:rsidR="008E67EA" w:rsidRPr="00CB34FD" w:rsidRDefault="008E67EA" w:rsidP="00B44A74">
            <w:pPr>
              <w:spacing w:line="240" w:lineRule="exact"/>
              <w:rPr>
                <w:rFonts w:cs="Arial"/>
                <w:bCs/>
                <w:spacing w:val="-2"/>
                <w:w w:val="105"/>
                <w:szCs w:val="18"/>
              </w:rPr>
            </w:pPr>
            <w:r>
              <w:rPr>
                <w:rFonts w:cs="Arial"/>
                <w:bCs/>
                <w:spacing w:val="-2"/>
                <w:w w:val="105"/>
                <w:szCs w:val="18"/>
              </w:rPr>
              <w:t>Mice</w:t>
            </w:r>
          </w:p>
        </w:tc>
        <w:tc>
          <w:tcPr>
            <w:tcW w:w="853" w:type="pct"/>
            <w:vMerge w:val="restart"/>
          </w:tcPr>
          <w:p w14:paraId="070E8541" w14:textId="0435E412" w:rsidR="008E67EA" w:rsidRDefault="008E67EA" w:rsidP="00B44A74">
            <w:pPr>
              <w:spacing w:line="240" w:lineRule="exact"/>
              <w:rPr>
                <w:rFonts w:cs="Arial"/>
                <w:bCs/>
                <w:spacing w:val="-2"/>
                <w:w w:val="105"/>
                <w:szCs w:val="18"/>
              </w:rPr>
            </w:pPr>
            <w:r w:rsidRPr="007A1034">
              <w:rPr>
                <w:rFonts w:cs="Arial"/>
                <w:bCs/>
                <w:spacing w:val="-2"/>
                <w:w w:val="105"/>
                <w:szCs w:val="18"/>
                <w:u w:val="single"/>
              </w:rPr>
              <w:t>10 g sachets:</w:t>
            </w:r>
          </w:p>
          <w:p w14:paraId="531AB041" w14:textId="77777777" w:rsidR="008E67EA" w:rsidRPr="007A1034" w:rsidRDefault="008E67EA" w:rsidP="00B44A74">
            <w:pPr>
              <w:spacing w:line="240" w:lineRule="exact"/>
              <w:rPr>
                <w:rFonts w:cs="Arial"/>
                <w:bCs/>
                <w:spacing w:val="-2"/>
                <w:w w:val="105"/>
                <w:szCs w:val="18"/>
              </w:rPr>
            </w:pPr>
            <w:r w:rsidRPr="007A1034">
              <w:rPr>
                <w:rFonts w:cs="Arial"/>
                <w:bCs/>
                <w:spacing w:val="-2"/>
                <w:w w:val="105"/>
                <w:szCs w:val="18"/>
              </w:rPr>
              <w:t>3</w:t>
            </w:r>
            <w:r>
              <w:rPr>
                <w:rFonts w:cs="Arial"/>
                <w:bCs/>
                <w:spacing w:val="-2"/>
                <w:w w:val="105"/>
                <w:szCs w:val="18"/>
              </w:rPr>
              <w:t xml:space="preserve"> – </w:t>
            </w:r>
            <w:r w:rsidRPr="007A1034">
              <w:rPr>
                <w:rFonts w:cs="Arial"/>
                <w:bCs/>
                <w:spacing w:val="-2"/>
                <w:w w:val="105"/>
                <w:szCs w:val="18"/>
              </w:rPr>
              <w:t>6 sachets</w:t>
            </w:r>
            <w:r>
              <w:rPr>
                <w:rFonts w:cs="Arial"/>
                <w:bCs/>
                <w:spacing w:val="-2"/>
                <w:w w:val="105"/>
                <w:szCs w:val="18"/>
              </w:rPr>
              <w:t xml:space="preserve"> (30 – 60 g)</w:t>
            </w:r>
            <w:r w:rsidRPr="007A1034">
              <w:rPr>
                <w:rFonts w:cs="Arial"/>
                <w:bCs/>
                <w:spacing w:val="-2"/>
                <w:w w:val="105"/>
                <w:szCs w:val="18"/>
              </w:rPr>
              <w:t xml:space="preserve"> per bait </w:t>
            </w:r>
            <w:r>
              <w:rPr>
                <w:rFonts w:cs="Arial"/>
                <w:bCs/>
                <w:spacing w:val="-2"/>
                <w:w w:val="105"/>
                <w:szCs w:val="18"/>
              </w:rPr>
              <w:t>stations</w:t>
            </w:r>
            <w:r w:rsidRPr="007A1034">
              <w:rPr>
                <w:rFonts w:cs="Arial"/>
                <w:bCs/>
                <w:spacing w:val="-2"/>
                <w:w w:val="105"/>
                <w:szCs w:val="18"/>
              </w:rPr>
              <w:t xml:space="preserve"> </w:t>
            </w:r>
          </w:p>
          <w:p w14:paraId="41E89CCF" w14:textId="77777777" w:rsidR="008E67EA" w:rsidRPr="007A1034" w:rsidRDefault="008E67EA" w:rsidP="00B44A74">
            <w:pPr>
              <w:spacing w:line="240" w:lineRule="exact"/>
              <w:rPr>
                <w:rFonts w:cs="Arial"/>
                <w:bCs/>
                <w:spacing w:val="-2"/>
                <w:w w:val="105"/>
                <w:szCs w:val="18"/>
              </w:rPr>
            </w:pPr>
          </w:p>
          <w:p w14:paraId="13D479F5" w14:textId="77777777" w:rsidR="008E67EA" w:rsidRDefault="008E67EA" w:rsidP="00B44A74">
            <w:pPr>
              <w:spacing w:line="240" w:lineRule="exact"/>
              <w:rPr>
                <w:rFonts w:cs="Arial"/>
                <w:bCs/>
                <w:spacing w:val="-2"/>
                <w:w w:val="105"/>
                <w:szCs w:val="18"/>
              </w:rPr>
            </w:pPr>
            <w:r w:rsidRPr="007A1034">
              <w:rPr>
                <w:rFonts w:cs="Arial"/>
                <w:bCs/>
                <w:spacing w:val="-2"/>
                <w:w w:val="105"/>
                <w:szCs w:val="18"/>
                <w:u w:val="single"/>
              </w:rPr>
              <w:t>100 g sachets:</w:t>
            </w:r>
            <w:r w:rsidRPr="007A1034">
              <w:rPr>
                <w:rFonts w:cs="Arial"/>
                <w:bCs/>
                <w:spacing w:val="-2"/>
                <w:w w:val="105"/>
                <w:szCs w:val="18"/>
              </w:rPr>
              <w:t xml:space="preserve"> </w:t>
            </w:r>
          </w:p>
          <w:p w14:paraId="59576DCA" w14:textId="77777777" w:rsidR="008E67EA" w:rsidRPr="00867EDB" w:rsidRDefault="008E67EA" w:rsidP="00B44A74">
            <w:pPr>
              <w:spacing w:line="240" w:lineRule="exact"/>
              <w:rPr>
                <w:rFonts w:cs="Arial"/>
                <w:bCs/>
                <w:spacing w:val="-2"/>
                <w:w w:val="105"/>
                <w:szCs w:val="18"/>
              </w:rPr>
            </w:pPr>
            <w:r w:rsidRPr="007A1034">
              <w:rPr>
                <w:rFonts w:cs="Arial"/>
                <w:bCs/>
                <w:spacing w:val="-2"/>
                <w:w w:val="105"/>
                <w:szCs w:val="18"/>
              </w:rPr>
              <w:t xml:space="preserve">1 sachet per bait </w:t>
            </w:r>
            <w:r>
              <w:rPr>
                <w:rFonts w:cs="Arial"/>
                <w:bCs/>
                <w:spacing w:val="-2"/>
                <w:w w:val="105"/>
                <w:szCs w:val="18"/>
              </w:rPr>
              <w:t>station</w:t>
            </w:r>
          </w:p>
        </w:tc>
        <w:tc>
          <w:tcPr>
            <w:tcW w:w="1975" w:type="pct"/>
            <w:vMerge w:val="restart"/>
          </w:tcPr>
          <w:p w14:paraId="0A1BCAA8" w14:textId="315425AB" w:rsidR="008E67EA" w:rsidRDefault="008E67EA" w:rsidP="00B44A74">
            <w:pPr>
              <w:spacing w:after="120" w:line="240" w:lineRule="exact"/>
              <w:rPr>
                <w:rFonts w:cs="Arial"/>
                <w:bCs/>
                <w:spacing w:val="-2"/>
                <w:w w:val="105"/>
                <w:szCs w:val="18"/>
              </w:rPr>
            </w:pPr>
            <w:r>
              <w:rPr>
                <w:rFonts w:cs="Arial"/>
                <w:bCs/>
                <w:spacing w:val="-2"/>
                <w:w w:val="105"/>
                <w:szCs w:val="18"/>
              </w:rPr>
              <w:t>Place bait stations in areas of known rodent activity.</w:t>
            </w:r>
          </w:p>
          <w:p w14:paraId="673A5490" w14:textId="77777777" w:rsidR="008E67EA" w:rsidRDefault="008E67EA" w:rsidP="00B44A74">
            <w:pPr>
              <w:spacing w:after="120" w:line="240" w:lineRule="exact"/>
              <w:rPr>
                <w:rFonts w:cs="Arial"/>
                <w:bCs/>
                <w:spacing w:val="-2"/>
                <w:w w:val="105"/>
                <w:szCs w:val="18"/>
              </w:rPr>
            </w:pPr>
            <w:r w:rsidRPr="00D86787">
              <w:rPr>
                <w:rFonts w:cs="Arial"/>
                <w:bCs/>
                <w:spacing w:val="-2"/>
                <w:w w:val="105"/>
                <w:szCs w:val="18"/>
              </w:rPr>
              <w:t>DO</w:t>
            </w:r>
            <w:r>
              <w:rPr>
                <w:rFonts w:cs="Arial"/>
                <w:bCs/>
                <w:spacing w:val="-2"/>
                <w:w w:val="105"/>
                <w:szCs w:val="18"/>
              </w:rPr>
              <w:t xml:space="preserve"> </w:t>
            </w:r>
            <w:r w:rsidRPr="00D86787">
              <w:rPr>
                <w:rFonts w:cs="Arial"/>
                <w:bCs/>
                <w:spacing w:val="-2"/>
                <w:w w:val="105"/>
                <w:szCs w:val="18"/>
              </w:rPr>
              <w:t>NOT exceed 3 metres between baits for mice, or 9</w:t>
            </w:r>
            <w:r>
              <w:rPr>
                <w:rFonts w:cs="Arial"/>
                <w:bCs/>
                <w:spacing w:val="-2"/>
                <w:w w:val="105"/>
                <w:szCs w:val="18"/>
              </w:rPr>
              <w:t xml:space="preserve"> </w:t>
            </w:r>
            <w:r w:rsidRPr="00D86787">
              <w:rPr>
                <w:rFonts w:cs="Arial"/>
                <w:bCs/>
                <w:spacing w:val="-2"/>
                <w:w w:val="105"/>
                <w:szCs w:val="18"/>
              </w:rPr>
              <w:t>metres for rats.</w:t>
            </w:r>
          </w:p>
          <w:p w14:paraId="43CB07BB" w14:textId="77777777" w:rsidR="008E67EA" w:rsidRPr="007A1034" w:rsidRDefault="008E67EA" w:rsidP="00B44A74">
            <w:pPr>
              <w:spacing w:after="120" w:line="240" w:lineRule="exact"/>
              <w:rPr>
                <w:rFonts w:cs="Arial"/>
                <w:bCs/>
                <w:spacing w:val="-2"/>
                <w:w w:val="105"/>
                <w:szCs w:val="18"/>
              </w:rPr>
            </w:pPr>
            <w:r w:rsidRPr="0031158E">
              <w:rPr>
                <w:rFonts w:cs="Arial"/>
                <w:bCs/>
                <w:spacing w:val="-2"/>
                <w:w w:val="105"/>
                <w:szCs w:val="18"/>
              </w:rPr>
              <w:t>Follow</w:t>
            </w:r>
            <w:r>
              <w:rPr>
                <w:rFonts w:cs="Arial"/>
                <w:bCs/>
                <w:spacing w:val="-2"/>
                <w:w w:val="105"/>
                <w:szCs w:val="18"/>
              </w:rPr>
              <w:t xml:space="preserve"> </w:t>
            </w:r>
            <w:r w:rsidRPr="0031158E">
              <w:rPr>
                <w:rFonts w:cs="Arial"/>
                <w:bCs/>
                <w:spacing w:val="-2"/>
                <w:w w:val="105"/>
                <w:szCs w:val="18"/>
              </w:rPr>
              <w:t>the Baiting Strategies for non-crop situations detailed</w:t>
            </w:r>
            <w:r>
              <w:rPr>
                <w:rFonts w:cs="Arial"/>
                <w:bCs/>
                <w:spacing w:val="-2"/>
                <w:w w:val="105"/>
                <w:szCs w:val="18"/>
              </w:rPr>
              <w:t xml:space="preserve"> </w:t>
            </w:r>
            <w:r w:rsidRPr="0031158E">
              <w:rPr>
                <w:rFonts w:cs="Arial"/>
                <w:bCs/>
                <w:spacing w:val="-2"/>
                <w:w w:val="105"/>
                <w:szCs w:val="18"/>
              </w:rPr>
              <w:t>below.</w:t>
            </w:r>
            <w:r w:rsidRPr="007A1034">
              <w:rPr>
                <w:rFonts w:cs="Arial"/>
                <w:bCs/>
                <w:i/>
                <w:iCs/>
                <w:spacing w:val="-2"/>
                <w:w w:val="105"/>
                <w:szCs w:val="18"/>
              </w:rPr>
              <w:t xml:space="preserve"> </w:t>
            </w:r>
          </w:p>
        </w:tc>
      </w:tr>
      <w:tr w:rsidR="008E67EA" w:rsidRPr="00C118CC" w14:paraId="08FF8A8B" w14:textId="77777777" w:rsidTr="009C4F64">
        <w:trPr>
          <w:trHeight w:val="1020"/>
        </w:trPr>
        <w:tc>
          <w:tcPr>
            <w:tcW w:w="1551" w:type="pct"/>
          </w:tcPr>
          <w:p w14:paraId="62439901" w14:textId="77777777" w:rsidR="008E67EA" w:rsidRPr="00867EDB" w:rsidRDefault="008E67EA" w:rsidP="00B44A74">
            <w:pPr>
              <w:spacing w:line="240" w:lineRule="exact"/>
              <w:rPr>
                <w:rFonts w:cs="Arial"/>
                <w:bCs/>
                <w:spacing w:val="-2"/>
                <w:w w:val="105"/>
                <w:szCs w:val="18"/>
              </w:rPr>
            </w:pPr>
            <w:r>
              <w:rPr>
                <w:rFonts w:cs="Arial"/>
                <w:bCs/>
                <w:spacing w:val="-2"/>
                <w:w w:val="105"/>
                <w:szCs w:val="18"/>
              </w:rPr>
              <w:t xml:space="preserve">In and around (within 2 meters) domestic, </w:t>
            </w:r>
            <w:r w:rsidRPr="00CB34FD">
              <w:rPr>
                <w:rFonts w:cs="Arial"/>
                <w:bCs/>
                <w:spacing w:val="-2"/>
                <w:w w:val="105"/>
                <w:szCs w:val="18"/>
              </w:rPr>
              <w:t>industrial</w:t>
            </w:r>
            <w:r>
              <w:rPr>
                <w:rFonts w:cs="Arial"/>
                <w:bCs/>
                <w:spacing w:val="-2"/>
                <w:w w:val="105"/>
                <w:szCs w:val="18"/>
              </w:rPr>
              <w:t xml:space="preserve"> b</w:t>
            </w:r>
            <w:r w:rsidRPr="00CB34FD">
              <w:rPr>
                <w:rFonts w:cs="Arial"/>
                <w:bCs/>
                <w:spacing w:val="-2"/>
                <w:w w:val="105"/>
                <w:szCs w:val="18"/>
              </w:rPr>
              <w:t>uildings</w:t>
            </w:r>
            <w:r>
              <w:rPr>
                <w:rFonts w:cs="Arial"/>
                <w:bCs/>
                <w:spacing w:val="-2"/>
                <w:w w:val="105"/>
                <w:szCs w:val="18"/>
              </w:rPr>
              <w:t>, wharf areas, dairies and meatworks (non-product areas)</w:t>
            </w:r>
          </w:p>
        </w:tc>
        <w:tc>
          <w:tcPr>
            <w:tcW w:w="621" w:type="pct"/>
          </w:tcPr>
          <w:p w14:paraId="5651A8C2" w14:textId="77777777" w:rsidR="008E67EA" w:rsidRPr="00CB34FD" w:rsidRDefault="008E67EA" w:rsidP="00B44A74">
            <w:pPr>
              <w:spacing w:line="240" w:lineRule="exact"/>
              <w:rPr>
                <w:rFonts w:cs="Arial"/>
                <w:bCs/>
                <w:spacing w:val="-2"/>
                <w:w w:val="105"/>
                <w:szCs w:val="18"/>
              </w:rPr>
            </w:pPr>
            <w:r>
              <w:rPr>
                <w:rFonts w:cs="Arial"/>
                <w:bCs/>
                <w:spacing w:val="-2"/>
                <w:w w:val="105"/>
                <w:szCs w:val="18"/>
              </w:rPr>
              <w:t>Rats</w:t>
            </w:r>
          </w:p>
        </w:tc>
        <w:tc>
          <w:tcPr>
            <w:tcW w:w="853" w:type="pct"/>
            <w:vMerge/>
          </w:tcPr>
          <w:p w14:paraId="15C3FBD0" w14:textId="77777777" w:rsidR="008E67EA" w:rsidRPr="00CB34FD" w:rsidRDefault="008E67EA" w:rsidP="00B44A74">
            <w:pPr>
              <w:spacing w:line="240" w:lineRule="exact"/>
              <w:rPr>
                <w:rFonts w:cs="Arial"/>
                <w:bCs/>
                <w:spacing w:val="-2"/>
                <w:w w:val="105"/>
                <w:szCs w:val="18"/>
              </w:rPr>
            </w:pPr>
          </w:p>
        </w:tc>
        <w:tc>
          <w:tcPr>
            <w:tcW w:w="1975" w:type="pct"/>
            <w:vMerge/>
          </w:tcPr>
          <w:p w14:paraId="1AA00C2B" w14:textId="77777777" w:rsidR="008E67EA" w:rsidRDefault="008E67EA" w:rsidP="00B44A74">
            <w:pPr>
              <w:spacing w:after="120" w:line="240" w:lineRule="exact"/>
              <w:rPr>
                <w:rFonts w:cs="Arial"/>
                <w:bCs/>
                <w:spacing w:val="-2"/>
                <w:w w:val="105"/>
                <w:szCs w:val="18"/>
              </w:rPr>
            </w:pPr>
          </w:p>
        </w:tc>
      </w:tr>
    </w:tbl>
    <w:p w14:paraId="4E729D75" w14:textId="77777777" w:rsidR="008E67EA" w:rsidRDefault="008E67EA" w:rsidP="008E67EA">
      <w:pPr>
        <w:spacing w:line="280" w:lineRule="exact"/>
        <w:rPr>
          <w:rFonts w:cs="Arial"/>
          <w:b/>
          <w:bCs/>
          <w:sz w:val="20"/>
          <w:szCs w:val="20"/>
        </w:rPr>
      </w:pPr>
    </w:p>
    <w:p w14:paraId="1E0F7CBB" w14:textId="77777777" w:rsidR="008E67EA" w:rsidRPr="00867EDB" w:rsidRDefault="008E67EA" w:rsidP="008E67EA">
      <w:pPr>
        <w:spacing w:line="280" w:lineRule="exact"/>
        <w:rPr>
          <w:rFonts w:cs="Arial"/>
          <w:b/>
          <w:bCs/>
          <w:color w:val="000000" w:themeColor="text1"/>
          <w:sz w:val="20"/>
          <w:szCs w:val="20"/>
        </w:rPr>
      </w:pPr>
      <w:r w:rsidRPr="00867EDB">
        <w:rPr>
          <w:rFonts w:cs="Arial"/>
          <w:b/>
          <w:bCs/>
          <w:color w:val="000000" w:themeColor="text1"/>
          <w:sz w:val="20"/>
          <w:szCs w:val="20"/>
        </w:rPr>
        <w:t>Baiting Strateg</w:t>
      </w:r>
      <w:r>
        <w:rPr>
          <w:rFonts w:cs="Arial"/>
          <w:b/>
          <w:bCs/>
          <w:color w:val="000000" w:themeColor="text1"/>
          <w:sz w:val="20"/>
          <w:szCs w:val="20"/>
        </w:rPr>
        <w:t>ies</w:t>
      </w:r>
    </w:p>
    <w:p w14:paraId="5330C2A3" w14:textId="19E49E96" w:rsidR="008E67EA" w:rsidRDefault="008E67EA" w:rsidP="008E67EA">
      <w:pPr>
        <w:pStyle w:val="StatementofReasonsLevel1"/>
        <w:numPr>
          <w:ilvl w:val="0"/>
          <w:numId w:val="0"/>
        </w:numPr>
        <w:rPr>
          <w:szCs w:val="20"/>
        </w:rPr>
      </w:pPr>
      <w:r w:rsidRPr="0031158E">
        <w:rPr>
          <w:szCs w:val="20"/>
        </w:rPr>
        <w:t>Eliminate, as far as practicable, all alternative food sources.</w:t>
      </w:r>
    </w:p>
    <w:p w14:paraId="10A7C39B" w14:textId="77777777" w:rsidR="008E67EA" w:rsidRDefault="008E67EA" w:rsidP="008E67EA">
      <w:pPr>
        <w:pStyle w:val="StatementofReasonsLevel1"/>
        <w:numPr>
          <w:ilvl w:val="0"/>
          <w:numId w:val="0"/>
        </w:numPr>
        <w:rPr>
          <w:rFonts w:eastAsiaTheme="minorHAnsi"/>
          <w:kern w:val="2"/>
          <w:szCs w:val="20"/>
          <w:lang w:eastAsia="en-US"/>
        </w:rPr>
      </w:pPr>
      <w:r w:rsidRPr="0008427F">
        <w:rPr>
          <w:rFonts w:eastAsiaTheme="minorHAnsi"/>
          <w:kern w:val="2"/>
          <w:szCs w:val="20"/>
          <w:lang w:eastAsia="en-US"/>
        </w:rPr>
        <w:t>Survey site prior to treatment, including assessment of the extent of infestation and identification of any indications of the presence of non-target animals.</w:t>
      </w:r>
      <w:r>
        <w:rPr>
          <w:rFonts w:eastAsiaTheme="minorHAnsi"/>
          <w:kern w:val="2"/>
          <w:szCs w:val="20"/>
          <w:lang w:eastAsia="en-US"/>
        </w:rPr>
        <w:t xml:space="preserve"> </w:t>
      </w:r>
    </w:p>
    <w:p w14:paraId="0F07C35D" w14:textId="77777777" w:rsidR="008E67EA" w:rsidRDefault="008E67EA" w:rsidP="008E67EA">
      <w:pPr>
        <w:pStyle w:val="StatementofReasonsLevel1"/>
        <w:numPr>
          <w:ilvl w:val="0"/>
          <w:numId w:val="0"/>
        </w:numPr>
        <w:rPr>
          <w:rFonts w:eastAsiaTheme="minorHAnsi"/>
          <w:kern w:val="2"/>
          <w:szCs w:val="20"/>
          <w:lang w:eastAsia="en-US"/>
        </w:rPr>
      </w:pPr>
      <w:r w:rsidRPr="00F048DF">
        <w:rPr>
          <w:rFonts w:eastAsiaTheme="minorHAnsi"/>
          <w:kern w:val="2"/>
          <w:szCs w:val="20"/>
          <w:lang w:eastAsia="en-US"/>
        </w:rPr>
        <w:t>Record the number and locations of bait stations for the purpose of inspection, replacement and later removal.</w:t>
      </w:r>
      <w:r>
        <w:rPr>
          <w:rFonts w:eastAsiaTheme="minorHAnsi"/>
          <w:kern w:val="2"/>
          <w:szCs w:val="20"/>
          <w:lang w:eastAsia="en-US"/>
        </w:rPr>
        <w:t xml:space="preserve"> </w:t>
      </w:r>
      <w:r w:rsidRPr="00B135D0">
        <w:rPr>
          <w:rFonts w:eastAsiaTheme="minorHAnsi"/>
          <w:kern w:val="2"/>
          <w:szCs w:val="20"/>
          <w:lang w:eastAsia="en-US"/>
        </w:rPr>
        <w:t xml:space="preserve">Always use tamper-resistant bait stations that are secured in place in child accessible areas, outdoors and in animal or livestock housing. </w:t>
      </w:r>
      <w:r>
        <w:rPr>
          <w:rFonts w:eastAsiaTheme="minorHAnsi"/>
          <w:kern w:val="2"/>
          <w:szCs w:val="20"/>
          <w:lang w:eastAsia="en-US"/>
        </w:rPr>
        <w:t>W</w:t>
      </w:r>
      <w:r w:rsidRPr="00B135D0">
        <w:rPr>
          <w:rFonts w:eastAsiaTheme="minorHAnsi"/>
          <w:kern w:val="2"/>
          <w:szCs w:val="20"/>
          <w:lang w:eastAsia="en-US"/>
        </w:rPr>
        <w:t>hen used in food producing animal housing situations careful consideration is necessary regarding the placement of bait stations to ensure any rodenticide contamination of water, feed or livestock is prevented.</w:t>
      </w:r>
    </w:p>
    <w:p w14:paraId="37DE8726" w14:textId="77777777" w:rsidR="008E67EA" w:rsidRDefault="008E67EA" w:rsidP="008E67EA">
      <w:pPr>
        <w:pStyle w:val="StatementofReasonsLevel1"/>
        <w:numPr>
          <w:ilvl w:val="0"/>
          <w:numId w:val="0"/>
        </w:numPr>
        <w:rPr>
          <w:rFonts w:eastAsiaTheme="minorHAnsi"/>
          <w:kern w:val="2"/>
          <w:szCs w:val="20"/>
          <w:lang w:eastAsia="en-US"/>
        </w:rPr>
      </w:pPr>
      <w:r w:rsidRPr="00456B2C">
        <w:rPr>
          <w:rFonts w:eastAsiaTheme="minorHAnsi"/>
          <w:kern w:val="2"/>
          <w:szCs w:val="20"/>
          <w:lang w:eastAsia="en-US"/>
        </w:rPr>
        <w:t>Inspect baits daily. If eaten quickly increase the number of bait sachets. Continue observation and replenishment until no more bait is taken. Baiting for at least 2 weeks is necessary to reduce mouse or rat numbers.</w:t>
      </w:r>
    </w:p>
    <w:p w14:paraId="6EF397C4" w14:textId="77777777" w:rsidR="008E67EA" w:rsidRDefault="008E67EA" w:rsidP="008E67EA">
      <w:pPr>
        <w:pStyle w:val="StatementofReasonsLevel1"/>
        <w:numPr>
          <w:ilvl w:val="0"/>
          <w:numId w:val="0"/>
        </w:numPr>
        <w:rPr>
          <w:b/>
          <w:bCs/>
          <w:szCs w:val="20"/>
        </w:rPr>
      </w:pPr>
      <w:r w:rsidRPr="0008427F">
        <w:rPr>
          <w:rFonts w:eastAsiaTheme="minorHAnsi"/>
          <w:kern w:val="2"/>
          <w:szCs w:val="20"/>
          <w:lang w:eastAsia="en-US"/>
        </w:rPr>
        <w:t>DO NOT use the product beyond 35 days without an evaluation of the state of the infestation and of the efficacy of the treatment.</w:t>
      </w:r>
      <w:r w:rsidRPr="00D86787">
        <w:rPr>
          <w:rFonts w:eastAsiaTheme="minorHAnsi"/>
          <w:kern w:val="2"/>
          <w:szCs w:val="20"/>
          <w:lang w:eastAsia="en-US"/>
        </w:rPr>
        <w:t xml:space="preserve"> </w:t>
      </w:r>
      <w:r w:rsidRPr="0031158E">
        <w:rPr>
          <w:rFonts w:eastAsiaTheme="minorHAnsi"/>
          <w:kern w:val="2"/>
          <w:szCs w:val="20"/>
          <w:lang w:eastAsia="en-US"/>
        </w:rPr>
        <w:t>Remove all uneaten bait at the end of treatment.</w:t>
      </w:r>
    </w:p>
    <w:p w14:paraId="661AA7BC" w14:textId="6CDD9814" w:rsidR="008E67EA" w:rsidRDefault="008E67EA" w:rsidP="009C4F64">
      <w:pPr>
        <w:spacing w:line="280" w:lineRule="exact"/>
        <w:rPr>
          <w:rFonts w:ascii="Franklin Gothic Medium" w:eastAsia="Arial Unicode MS" w:hAnsi="Franklin Gothic Medium"/>
          <w:bCs/>
          <w:iCs/>
          <w:bdr w:val="none" w:sz="0" w:space="0" w:color="auto" w:frame="1"/>
          <w:lang w:val="en-GB" w:eastAsia="en-AU"/>
        </w:rPr>
      </w:pPr>
      <w:r w:rsidRPr="0031158E">
        <w:rPr>
          <w:rFonts w:cs="Arial"/>
          <w:b/>
          <w:bCs/>
          <w:color w:val="000000" w:themeColor="text1"/>
          <w:sz w:val="20"/>
          <w:szCs w:val="20"/>
        </w:rPr>
        <w:t>NOT TO BE USED FOR ANY PURPOSE, OR IN ANY MANNER, CONTRARY TO THIS LABEL UNLESS AUTHORISED UNDER APPROPRIATE LEGISLATION.</w:t>
      </w:r>
      <w:r>
        <w:rPr>
          <w:rFonts w:ascii="Franklin Gothic Medium" w:eastAsia="Arial Unicode MS" w:hAnsi="Franklin Gothic Medium"/>
          <w:bCs/>
          <w:iCs/>
          <w:bdr w:val="none" w:sz="0" w:space="0" w:color="auto" w:frame="1"/>
          <w:lang w:val="en-GB" w:eastAsia="en-AU"/>
        </w:rPr>
        <w:br w:type="page"/>
      </w:r>
    </w:p>
    <w:p w14:paraId="27A1B6D5" w14:textId="77777777" w:rsidR="008E67EA" w:rsidRDefault="008E67EA" w:rsidP="008E67EA">
      <w:pPr>
        <w:keepNext/>
        <w:keepLines/>
        <w:spacing w:before="400" w:after="240" w:line="280" w:lineRule="exact"/>
        <w:outlineLvl w:val="1"/>
        <w:rPr>
          <w:rFonts w:ascii="Franklin Gothic Medium" w:eastAsia="Arial Unicode MS" w:hAnsi="Franklin Gothic Medium"/>
          <w:bCs/>
          <w:iCs/>
          <w:bdr w:val="none" w:sz="0" w:space="0" w:color="auto" w:frame="1"/>
          <w:lang w:val="en-GB" w:eastAsia="en-AU"/>
        </w:rPr>
      </w:pPr>
      <w:r>
        <w:rPr>
          <w:rFonts w:ascii="Franklin Gothic Medium" w:eastAsia="Arial Unicode MS" w:hAnsi="Franklin Gothic Medium"/>
          <w:bCs/>
          <w:iCs/>
          <w:bdr w:val="none" w:sz="0" w:space="0" w:color="auto" w:frame="1"/>
          <w:lang w:val="en-GB" w:eastAsia="en-AU"/>
        </w:rPr>
        <w:lastRenderedPageBreak/>
        <w:t>Domestic pest-control product:</w:t>
      </w:r>
      <w:r w:rsidRPr="00FF36BF">
        <w:rPr>
          <w:rFonts w:ascii="Franklin Gothic Medium" w:eastAsia="Arial Unicode MS" w:hAnsi="Franklin Gothic Medium"/>
          <w:bCs/>
          <w:iCs/>
          <w:bdr w:val="none" w:sz="0" w:space="0" w:color="auto" w:frame="1"/>
          <w:lang w:val="en-GB" w:eastAsia="en-AU"/>
        </w:rPr>
        <w:t xml:space="preserve"> </w:t>
      </w:r>
      <w:r w:rsidRPr="00DA343B">
        <w:rPr>
          <w:rFonts w:ascii="Franklin Gothic Medium" w:eastAsia="Arial Unicode MS" w:hAnsi="Franklin Gothic Medium"/>
          <w:bCs/>
          <w:iCs/>
          <w:bdr w:val="none" w:sz="0" w:space="0" w:color="auto" w:frame="1"/>
          <w:lang w:val="en-GB" w:eastAsia="en-AU"/>
        </w:rPr>
        <w:t>RB 0.4 g/kg or less in sachet or place pack</w:t>
      </w:r>
    </w:p>
    <w:p w14:paraId="01EFD390" w14:textId="77777777" w:rsidR="008E67EA" w:rsidRPr="00FE2E3F"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t xml:space="preserve">Template Label </w:t>
      </w:r>
      <w:r>
        <w:rPr>
          <w:rFonts w:cs="Arial"/>
          <w:b/>
          <w:bCs/>
          <w:sz w:val="20"/>
          <w:szCs w:val="20"/>
          <w:bdr w:val="none" w:sz="0" w:space="0" w:color="auto" w:frame="1"/>
          <w:lang w:val="en-GB" w:eastAsia="en-AU"/>
        </w:rPr>
        <w:t>18</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A96D40" w14:paraId="7F3B085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893E80B" w14:textId="77777777" w:rsidR="008E67EA" w:rsidRPr="00A96D40" w:rsidRDefault="008E67EA" w:rsidP="00B44A74">
            <w:pPr>
              <w:spacing w:line="280" w:lineRule="exact"/>
              <w:rPr>
                <w:rFonts w:cs="Arial"/>
                <w:sz w:val="20"/>
                <w:szCs w:val="20"/>
              </w:rPr>
            </w:pPr>
            <w:r w:rsidRPr="00A96D40">
              <w:rPr>
                <w:rFonts w:cs="Arial"/>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0D39D8B3" w14:textId="77777777" w:rsidR="008E67EA" w:rsidRPr="00A96D40" w:rsidRDefault="008E67EA" w:rsidP="00B44A74">
            <w:pPr>
              <w:spacing w:line="280" w:lineRule="exact"/>
              <w:rPr>
                <w:rFonts w:cs="Arial"/>
                <w:sz w:val="20"/>
                <w:szCs w:val="20"/>
              </w:rPr>
            </w:pPr>
            <w:r w:rsidRPr="00A96D40">
              <w:rPr>
                <w:rFonts w:cs="Arial"/>
                <w:sz w:val="20"/>
                <w:szCs w:val="20"/>
              </w:rPr>
              <w:t>[INSERT LABEL NAME]</w:t>
            </w:r>
          </w:p>
        </w:tc>
      </w:tr>
      <w:tr w:rsidR="008E67EA" w:rsidRPr="00A96D40" w14:paraId="698BE68D" w14:textId="77777777" w:rsidTr="00B44A74">
        <w:trPr>
          <w:jc w:val="center"/>
        </w:trPr>
        <w:tc>
          <w:tcPr>
            <w:tcW w:w="2415" w:type="dxa"/>
            <w:tcBorders>
              <w:top w:val="single" w:sz="4" w:space="0" w:color="auto"/>
              <w:left w:val="nil"/>
              <w:bottom w:val="single" w:sz="4" w:space="0" w:color="auto"/>
              <w:right w:val="nil"/>
            </w:tcBorders>
          </w:tcPr>
          <w:p w14:paraId="16BAFB99" w14:textId="77777777" w:rsidR="008E67EA" w:rsidRPr="00A96D40"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E52CCEA" w14:textId="77777777" w:rsidR="008E67EA" w:rsidRPr="00A96D40" w:rsidRDefault="008E67EA" w:rsidP="00B44A74">
            <w:pPr>
              <w:spacing w:line="280" w:lineRule="exact"/>
              <w:rPr>
                <w:rFonts w:cs="Arial"/>
                <w:sz w:val="20"/>
                <w:szCs w:val="20"/>
              </w:rPr>
            </w:pPr>
          </w:p>
        </w:tc>
      </w:tr>
      <w:tr w:rsidR="008E67EA" w:rsidRPr="00A96D40" w14:paraId="45590339"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7189C3F" w14:textId="77777777" w:rsidR="008E67EA" w:rsidRPr="00A96D40" w:rsidRDefault="008E67EA" w:rsidP="00B44A74">
            <w:pPr>
              <w:spacing w:line="280" w:lineRule="exact"/>
              <w:rPr>
                <w:rFonts w:cs="Arial"/>
                <w:sz w:val="20"/>
                <w:szCs w:val="20"/>
              </w:rPr>
            </w:pPr>
            <w:r w:rsidRPr="00A96D40">
              <w:rPr>
                <w:rFonts w:cs="Arial"/>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462EDB60" w14:textId="77777777" w:rsidR="008E67EA" w:rsidRPr="00A96D40" w:rsidRDefault="008E67EA" w:rsidP="00B44A74">
            <w:pPr>
              <w:spacing w:line="280" w:lineRule="exact"/>
              <w:rPr>
                <w:rFonts w:cs="Arial"/>
                <w:color w:val="000000" w:themeColor="text1"/>
                <w:sz w:val="20"/>
                <w:szCs w:val="20"/>
              </w:rPr>
            </w:pPr>
            <w:r w:rsidRPr="00A96D40">
              <w:rPr>
                <w:rFonts w:cs="Arial"/>
                <w:color w:val="000000" w:themeColor="text1"/>
                <w:sz w:val="20"/>
                <w:szCs w:val="20"/>
              </w:rPr>
              <w:t>CAUTION</w:t>
            </w:r>
          </w:p>
          <w:p w14:paraId="0EA2DE73" w14:textId="77777777" w:rsidR="008E67EA" w:rsidRPr="00A96D40" w:rsidRDefault="008E67EA" w:rsidP="00B44A74">
            <w:pPr>
              <w:spacing w:line="280" w:lineRule="exact"/>
              <w:rPr>
                <w:rFonts w:cs="Arial"/>
                <w:color w:val="000000" w:themeColor="text1"/>
                <w:sz w:val="20"/>
                <w:szCs w:val="20"/>
              </w:rPr>
            </w:pPr>
            <w:r w:rsidRPr="00A96D40">
              <w:rPr>
                <w:rFonts w:cs="Arial"/>
                <w:color w:val="000000" w:themeColor="text1"/>
                <w:sz w:val="20"/>
                <w:szCs w:val="20"/>
              </w:rPr>
              <w:t>KEEP OUT OF REACH OF CHILDREN</w:t>
            </w:r>
          </w:p>
          <w:p w14:paraId="193C9CD3" w14:textId="77777777" w:rsidR="008E67EA" w:rsidRPr="00A96D40" w:rsidRDefault="008E67EA" w:rsidP="00B44A74">
            <w:pPr>
              <w:spacing w:line="280" w:lineRule="exact"/>
              <w:rPr>
                <w:rFonts w:cs="Arial"/>
                <w:sz w:val="20"/>
                <w:szCs w:val="20"/>
              </w:rPr>
            </w:pPr>
            <w:r w:rsidRPr="00A96D40">
              <w:rPr>
                <w:rFonts w:cs="Arial"/>
                <w:color w:val="000000" w:themeColor="text1"/>
                <w:sz w:val="20"/>
                <w:szCs w:val="20"/>
              </w:rPr>
              <w:t>READ SAFETY DIRECIONS</w:t>
            </w:r>
          </w:p>
        </w:tc>
      </w:tr>
      <w:tr w:rsidR="008E67EA" w:rsidRPr="00A96D40" w14:paraId="18EC480A" w14:textId="77777777" w:rsidTr="00B44A74">
        <w:trPr>
          <w:jc w:val="center"/>
        </w:trPr>
        <w:tc>
          <w:tcPr>
            <w:tcW w:w="2415" w:type="dxa"/>
            <w:tcBorders>
              <w:top w:val="single" w:sz="4" w:space="0" w:color="auto"/>
              <w:left w:val="nil"/>
              <w:bottom w:val="single" w:sz="4" w:space="0" w:color="auto"/>
              <w:right w:val="nil"/>
            </w:tcBorders>
          </w:tcPr>
          <w:p w14:paraId="02DD80DF" w14:textId="77777777" w:rsidR="008E67EA" w:rsidRPr="00A96D40"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6A5925A" w14:textId="77777777" w:rsidR="008E67EA" w:rsidRPr="00A96D40" w:rsidRDefault="008E67EA" w:rsidP="00B44A74">
            <w:pPr>
              <w:spacing w:line="280" w:lineRule="exact"/>
              <w:rPr>
                <w:rFonts w:cs="Arial"/>
                <w:sz w:val="20"/>
                <w:szCs w:val="20"/>
              </w:rPr>
            </w:pPr>
          </w:p>
        </w:tc>
      </w:tr>
      <w:tr w:rsidR="008E67EA" w:rsidRPr="00A96D40" w14:paraId="754F3F1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B945ABA" w14:textId="77777777" w:rsidR="008E67EA" w:rsidRPr="00A96D40" w:rsidRDefault="008E67EA" w:rsidP="00B44A74">
            <w:pPr>
              <w:spacing w:line="280" w:lineRule="exact"/>
              <w:rPr>
                <w:rFonts w:cs="Arial"/>
                <w:sz w:val="20"/>
                <w:szCs w:val="20"/>
              </w:rPr>
            </w:pPr>
            <w:r w:rsidRPr="00A96D40">
              <w:rPr>
                <w:rFonts w:cs="Arial"/>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45695784" w14:textId="77777777" w:rsidR="008E67EA" w:rsidRPr="00A96D40" w:rsidRDefault="008E67EA" w:rsidP="00B44A74">
            <w:pPr>
              <w:spacing w:line="280" w:lineRule="exact"/>
              <w:rPr>
                <w:rFonts w:cs="Arial"/>
                <w:color w:val="7030A0"/>
                <w:sz w:val="20"/>
                <w:szCs w:val="20"/>
              </w:rPr>
            </w:pPr>
            <w:r w:rsidRPr="00A96D40">
              <w:rPr>
                <w:rFonts w:cs="Arial"/>
                <w:color w:val="000000" w:themeColor="text1"/>
                <w:sz w:val="20"/>
                <w:szCs w:val="20"/>
              </w:rPr>
              <w:t>ACTIVE CONSTITUENT: 0.37 g/kg COUMATETRALYL</w:t>
            </w:r>
          </w:p>
        </w:tc>
      </w:tr>
      <w:tr w:rsidR="008E67EA" w:rsidRPr="00A96D40" w14:paraId="0DC999CD" w14:textId="77777777" w:rsidTr="00B44A74">
        <w:trPr>
          <w:jc w:val="center"/>
        </w:trPr>
        <w:tc>
          <w:tcPr>
            <w:tcW w:w="2415" w:type="dxa"/>
            <w:tcBorders>
              <w:top w:val="single" w:sz="4" w:space="0" w:color="auto"/>
              <w:left w:val="nil"/>
              <w:bottom w:val="single" w:sz="4" w:space="0" w:color="auto"/>
              <w:right w:val="nil"/>
            </w:tcBorders>
          </w:tcPr>
          <w:p w14:paraId="7C352568" w14:textId="77777777" w:rsidR="008E67EA" w:rsidRPr="00A96D40"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DE8F9F3" w14:textId="77777777" w:rsidR="008E67EA" w:rsidRPr="00A96D40" w:rsidRDefault="008E67EA" w:rsidP="00B44A74">
            <w:pPr>
              <w:spacing w:line="280" w:lineRule="exact"/>
              <w:rPr>
                <w:rFonts w:cs="Arial"/>
                <w:sz w:val="20"/>
                <w:szCs w:val="20"/>
              </w:rPr>
            </w:pPr>
          </w:p>
        </w:tc>
      </w:tr>
      <w:tr w:rsidR="008E67EA" w:rsidRPr="00A96D40" w14:paraId="4CDC546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A1DFBA2" w14:textId="77777777" w:rsidR="008E67EA" w:rsidRPr="00A96D40" w:rsidRDefault="008E67EA" w:rsidP="00B44A74">
            <w:pPr>
              <w:spacing w:line="280" w:lineRule="exact"/>
              <w:rPr>
                <w:rFonts w:cs="Arial"/>
                <w:sz w:val="20"/>
                <w:szCs w:val="20"/>
              </w:rPr>
            </w:pPr>
            <w:r w:rsidRPr="00A96D40">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3B4B2522" w14:textId="77777777" w:rsidR="008E67EA" w:rsidRPr="00A96D40" w:rsidRDefault="008E67EA" w:rsidP="00B44A74">
            <w:pPr>
              <w:spacing w:line="280" w:lineRule="exact"/>
              <w:rPr>
                <w:rFonts w:cs="Arial"/>
                <w:color w:val="000000" w:themeColor="text1"/>
                <w:sz w:val="20"/>
                <w:szCs w:val="20"/>
              </w:rPr>
            </w:pPr>
            <w:r w:rsidRPr="00A96D40">
              <w:rPr>
                <w:rFonts w:cs="Arial"/>
                <w:color w:val="000000" w:themeColor="text1"/>
                <w:sz w:val="20"/>
                <w:szCs w:val="20"/>
              </w:rPr>
              <w:t xml:space="preserve">For control of mice in domestic buildings and rats in and around domestic buildings. </w:t>
            </w:r>
          </w:p>
        </w:tc>
      </w:tr>
      <w:tr w:rsidR="008E67EA" w:rsidRPr="00A96D40" w14:paraId="07A2BB9E" w14:textId="77777777" w:rsidTr="00B44A74">
        <w:trPr>
          <w:jc w:val="center"/>
        </w:trPr>
        <w:tc>
          <w:tcPr>
            <w:tcW w:w="2415" w:type="dxa"/>
            <w:tcBorders>
              <w:top w:val="single" w:sz="4" w:space="0" w:color="auto"/>
              <w:left w:val="nil"/>
              <w:bottom w:val="single" w:sz="4" w:space="0" w:color="auto"/>
              <w:right w:val="nil"/>
            </w:tcBorders>
          </w:tcPr>
          <w:p w14:paraId="3B9FD9F3" w14:textId="77777777" w:rsidR="008E67EA" w:rsidRPr="00A96D40"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E791EE2" w14:textId="77777777" w:rsidR="008E67EA" w:rsidRPr="00A96D40" w:rsidRDefault="008E67EA" w:rsidP="00B44A74">
            <w:pPr>
              <w:spacing w:line="280" w:lineRule="exact"/>
              <w:rPr>
                <w:rFonts w:cs="Arial"/>
                <w:sz w:val="20"/>
                <w:szCs w:val="20"/>
              </w:rPr>
            </w:pPr>
          </w:p>
        </w:tc>
      </w:tr>
      <w:tr w:rsidR="008E67EA" w:rsidRPr="00A96D40" w14:paraId="09B4137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9044517" w14:textId="77777777" w:rsidR="008E67EA" w:rsidRPr="00A96D40" w:rsidRDefault="008E67EA" w:rsidP="00B44A74">
            <w:pPr>
              <w:spacing w:line="280" w:lineRule="exact"/>
              <w:rPr>
                <w:rFonts w:cs="Arial"/>
                <w:sz w:val="20"/>
                <w:szCs w:val="20"/>
              </w:rPr>
            </w:pPr>
            <w:r w:rsidRPr="00A96D40">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03DB28AC" w14:textId="77777777" w:rsidR="008E67EA" w:rsidRPr="00A96D40" w:rsidRDefault="008E67EA" w:rsidP="00B44A74">
            <w:pPr>
              <w:spacing w:line="280" w:lineRule="exact"/>
              <w:rPr>
                <w:rFonts w:cs="Arial"/>
                <w:color w:val="7030A0"/>
                <w:sz w:val="20"/>
                <w:szCs w:val="20"/>
              </w:rPr>
            </w:pPr>
            <w:r w:rsidRPr="00A96D40">
              <w:rPr>
                <w:rFonts w:cs="Arial"/>
                <w:color w:val="000000" w:themeColor="text1"/>
                <w:sz w:val="20"/>
                <w:szCs w:val="20"/>
              </w:rPr>
              <w:t>[INSERT NET CONTENTS – MAXIMUM 150 g]</w:t>
            </w:r>
          </w:p>
        </w:tc>
      </w:tr>
      <w:tr w:rsidR="008E67EA" w:rsidRPr="00A96D40" w14:paraId="51BCC4DA" w14:textId="77777777" w:rsidTr="00B44A74">
        <w:trPr>
          <w:jc w:val="center"/>
        </w:trPr>
        <w:tc>
          <w:tcPr>
            <w:tcW w:w="2415" w:type="dxa"/>
            <w:tcBorders>
              <w:top w:val="single" w:sz="4" w:space="0" w:color="auto"/>
              <w:left w:val="nil"/>
              <w:bottom w:val="single" w:sz="4" w:space="0" w:color="auto"/>
              <w:right w:val="nil"/>
            </w:tcBorders>
          </w:tcPr>
          <w:p w14:paraId="5C5CADC6" w14:textId="77777777" w:rsidR="008E67EA" w:rsidRPr="00A96D40"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A837F6F" w14:textId="77777777" w:rsidR="008E67EA" w:rsidRPr="00A96D40" w:rsidRDefault="008E67EA" w:rsidP="00B44A74">
            <w:pPr>
              <w:spacing w:line="280" w:lineRule="exact"/>
              <w:rPr>
                <w:rFonts w:cs="Arial"/>
                <w:sz w:val="20"/>
                <w:szCs w:val="20"/>
              </w:rPr>
            </w:pPr>
          </w:p>
        </w:tc>
      </w:tr>
      <w:tr w:rsidR="008E67EA" w:rsidRPr="00A96D40" w14:paraId="1468DCF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1D8BEE1" w14:textId="77777777" w:rsidR="008E67EA" w:rsidRPr="00A96D40" w:rsidRDefault="008E67EA" w:rsidP="00B44A74">
            <w:pPr>
              <w:spacing w:line="280" w:lineRule="exact"/>
              <w:rPr>
                <w:rFonts w:cs="Arial"/>
                <w:sz w:val="20"/>
                <w:szCs w:val="20"/>
              </w:rPr>
            </w:pPr>
            <w:r w:rsidRPr="00A96D40">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031F95DC" w14:textId="0C202FC1" w:rsidR="008E67EA" w:rsidRPr="00A96D40" w:rsidRDefault="008E67EA" w:rsidP="00B44A74">
            <w:pPr>
              <w:spacing w:line="280" w:lineRule="exact"/>
              <w:rPr>
                <w:rFonts w:cs="Arial"/>
                <w:sz w:val="20"/>
                <w:szCs w:val="20"/>
                <w:bdr w:val="none" w:sz="0" w:space="0" w:color="auto" w:frame="1"/>
                <w:lang w:val="en-GB" w:eastAsia="en-AU"/>
              </w:rPr>
            </w:pPr>
            <w:r w:rsidRPr="00A96D40">
              <w:rPr>
                <w:rFonts w:cs="Arial"/>
                <w:sz w:val="20"/>
                <w:szCs w:val="20"/>
                <w:bdr w:val="none" w:sz="0" w:space="0" w:color="auto" w:frame="1"/>
                <w:lang w:val="en-GB" w:eastAsia="en-AU"/>
              </w:rPr>
              <w:t>DO NOT place baits unless in tamper-resistant bait stations.</w:t>
            </w:r>
          </w:p>
          <w:p w14:paraId="6DC4BD69" w14:textId="77777777" w:rsidR="008E67EA" w:rsidRPr="00A96D40" w:rsidRDefault="008E67EA" w:rsidP="00B44A74">
            <w:pPr>
              <w:spacing w:line="280" w:lineRule="exact"/>
              <w:rPr>
                <w:rFonts w:cs="Arial"/>
                <w:sz w:val="20"/>
                <w:szCs w:val="20"/>
                <w:bdr w:val="none" w:sz="0" w:space="0" w:color="auto" w:frame="1"/>
                <w:lang w:val="en-GB" w:eastAsia="en-AU"/>
              </w:rPr>
            </w:pPr>
            <w:r w:rsidRPr="00A96D40">
              <w:rPr>
                <w:rFonts w:cs="Arial"/>
                <w:sz w:val="20"/>
                <w:szCs w:val="20"/>
                <w:bdr w:val="none" w:sz="0" w:space="0" w:color="auto" w:frame="1"/>
                <w:lang w:val="en-GB" w:eastAsia="en-AU"/>
              </w:rPr>
              <w:t>DO NOT place bait stations outdoors around buildings for control of mice.</w:t>
            </w:r>
          </w:p>
          <w:p w14:paraId="2FA35098" w14:textId="77777777" w:rsidR="008E67EA" w:rsidRPr="00A96D40" w:rsidRDefault="008E67EA" w:rsidP="00B44A74">
            <w:pPr>
              <w:spacing w:line="280" w:lineRule="exact"/>
              <w:rPr>
                <w:rFonts w:cs="Arial"/>
                <w:sz w:val="20"/>
                <w:szCs w:val="20"/>
                <w:bdr w:val="none" w:sz="0" w:space="0" w:color="auto" w:frame="1"/>
                <w:lang w:val="en-GB" w:eastAsia="en-AU"/>
              </w:rPr>
            </w:pPr>
            <w:r w:rsidRPr="00A96D40">
              <w:rPr>
                <w:rFonts w:cs="Arial"/>
                <w:sz w:val="20"/>
                <w:szCs w:val="20"/>
                <w:bdr w:val="none" w:sz="0" w:space="0" w:color="auto" w:frame="1"/>
                <w:lang w:val="en-GB" w:eastAsia="en-AU"/>
              </w:rPr>
              <w:t>DO NOT place bait stations more than 2 meters from buildings.</w:t>
            </w:r>
          </w:p>
          <w:p w14:paraId="2757B3E8" w14:textId="77777777" w:rsidR="008E67EA" w:rsidRPr="00A96D40" w:rsidRDefault="008E67EA" w:rsidP="00B44A74">
            <w:pPr>
              <w:spacing w:line="280" w:lineRule="exact"/>
              <w:rPr>
                <w:rFonts w:cs="Arial"/>
                <w:sz w:val="20"/>
                <w:szCs w:val="20"/>
                <w:bdr w:val="none" w:sz="0" w:space="0" w:color="auto" w:frame="1"/>
                <w:lang w:val="en-GB" w:eastAsia="en-AU"/>
              </w:rPr>
            </w:pPr>
            <w:r w:rsidRPr="00A96D40">
              <w:rPr>
                <w:rFonts w:cs="Arial"/>
                <w:sz w:val="20"/>
                <w:szCs w:val="20"/>
                <w:bdr w:val="none" w:sz="0" w:space="0" w:color="auto" w:frame="1"/>
                <w:lang w:val="en-GB" w:eastAsia="en-AU"/>
              </w:rPr>
              <w:t>DO NOT bait in areas where wildlife may be collected for human consumption.</w:t>
            </w:r>
          </w:p>
          <w:p w14:paraId="6A9D9934" w14:textId="77777777" w:rsidR="008E67EA" w:rsidRPr="00A96D40" w:rsidRDefault="008E67EA" w:rsidP="00B44A74">
            <w:pPr>
              <w:spacing w:line="280" w:lineRule="exact"/>
              <w:rPr>
                <w:rFonts w:cs="Arial"/>
                <w:sz w:val="20"/>
                <w:szCs w:val="20"/>
                <w:bdr w:val="none" w:sz="0" w:space="0" w:color="auto" w:frame="1"/>
                <w:lang w:val="en-GB" w:eastAsia="en-AU"/>
              </w:rPr>
            </w:pPr>
            <w:r w:rsidRPr="00A96D40">
              <w:rPr>
                <w:rFonts w:cs="Arial"/>
                <w:sz w:val="20"/>
                <w:szCs w:val="20"/>
                <w:bdr w:val="none" w:sz="0" w:space="0" w:color="auto" w:frame="1"/>
                <w:lang w:val="en-GB" w:eastAsia="en-AU"/>
              </w:rPr>
              <w:t>DO NOT place baits in and around animal, livestock and poultry houses, associated equipment, and food and feed processing areas.</w:t>
            </w:r>
          </w:p>
          <w:p w14:paraId="3B0B5C7F" w14:textId="77777777" w:rsidR="008E67EA" w:rsidRPr="00A96D40" w:rsidRDefault="008E67EA" w:rsidP="00B44A74">
            <w:pPr>
              <w:spacing w:line="280" w:lineRule="exact"/>
              <w:rPr>
                <w:rFonts w:cs="Arial"/>
                <w:sz w:val="20"/>
                <w:szCs w:val="20"/>
                <w:bdr w:val="none" w:sz="0" w:space="0" w:color="auto" w:frame="1"/>
                <w:lang w:val="en-GB" w:eastAsia="en-AU"/>
              </w:rPr>
            </w:pPr>
            <w:r w:rsidRPr="00A96D40">
              <w:rPr>
                <w:rFonts w:cs="Arial"/>
                <w:sz w:val="20"/>
                <w:szCs w:val="20"/>
                <w:bdr w:val="none" w:sz="0" w:space="0" w:color="auto" w:frame="1"/>
                <w:lang w:val="en-GB" w:eastAsia="en-AU"/>
              </w:rPr>
              <w:t>DO NOT apply this product directly into burrows.</w:t>
            </w:r>
          </w:p>
          <w:p w14:paraId="3DE85099" w14:textId="77777777" w:rsidR="008E67EA" w:rsidRPr="00A96D40" w:rsidRDefault="008E67EA" w:rsidP="00B44A74">
            <w:pPr>
              <w:spacing w:line="280" w:lineRule="exact"/>
              <w:rPr>
                <w:rFonts w:cs="Arial"/>
                <w:sz w:val="20"/>
                <w:szCs w:val="20"/>
                <w:bdr w:val="none" w:sz="0" w:space="0" w:color="auto" w:frame="1"/>
                <w:lang w:val="en-GB" w:eastAsia="en-AU"/>
              </w:rPr>
            </w:pPr>
            <w:r w:rsidRPr="00A96D40">
              <w:rPr>
                <w:rFonts w:cs="Arial"/>
                <w:sz w:val="20"/>
                <w:szCs w:val="20"/>
                <w:bdr w:val="none" w:sz="0" w:space="0" w:color="auto" w:frame="1"/>
                <w:lang w:val="en-GB" w:eastAsia="en-AU"/>
              </w:rPr>
              <w:t>DO NOT use the product in pulsed baiting treatments.</w:t>
            </w:r>
          </w:p>
        </w:tc>
      </w:tr>
      <w:tr w:rsidR="008E67EA" w:rsidRPr="00A96D40" w14:paraId="3698FFB7" w14:textId="77777777" w:rsidTr="00B44A74">
        <w:trPr>
          <w:jc w:val="center"/>
        </w:trPr>
        <w:tc>
          <w:tcPr>
            <w:tcW w:w="2415" w:type="dxa"/>
            <w:tcBorders>
              <w:top w:val="single" w:sz="4" w:space="0" w:color="auto"/>
              <w:left w:val="nil"/>
              <w:bottom w:val="single" w:sz="4" w:space="0" w:color="auto"/>
              <w:right w:val="nil"/>
            </w:tcBorders>
          </w:tcPr>
          <w:p w14:paraId="15F1D257" w14:textId="77777777" w:rsidR="008E67EA" w:rsidRPr="00A96D40"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91F0894" w14:textId="77777777" w:rsidR="008E67EA" w:rsidRPr="00A96D40" w:rsidRDefault="008E67EA" w:rsidP="00B44A74">
            <w:pPr>
              <w:spacing w:line="280" w:lineRule="exact"/>
              <w:rPr>
                <w:rFonts w:cs="Arial"/>
                <w:sz w:val="20"/>
                <w:szCs w:val="20"/>
              </w:rPr>
            </w:pPr>
          </w:p>
        </w:tc>
      </w:tr>
      <w:tr w:rsidR="008E67EA" w:rsidRPr="00A96D40" w14:paraId="44C0310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696E354" w14:textId="77777777" w:rsidR="008E67EA" w:rsidRPr="00A96D40" w:rsidRDefault="008E67EA" w:rsidP="00B44A74">
            <w:pPr>
              <w:spacing w:line="280" w:lineRule="exact"/>
              <w:rPr>
                <w:rFonts w:cs="Arial"/>
                <w:sz w:val="20"/>
                <w:szCs w:val="20"/>
              </w:rPr>
            </w:pPr>
            <w:r w:rsidRPr="00A96D40">
              <w:rPr>
                <w:rFonts w:cs="Arial"/>
                <w:sz w:val="20"/>
                <w:szCs w:val="20"/>
              </w:rPr>
              <w:t>How to Use</w:t>
            </w:r>
          </w:p>
        </w:tc>
        <w:tc>
          <w:tcPr>
            <w:tcW w:w="7755" w:type="dxa"/>
            <w:tcBorders>
              <w:top w:val="single" w:sz="4" w:space="0" w:color="auto"/>
              <w:left w:val="single" w:sz="4" w:space="0" w:color="auto"/>
              <w:bottom w:val="single" w:sz="4" w:space="0" w:color="auto"/>
              <w:right w:val="single" w:sz="4" w:space="0" w:color="auto"/>
            </w:tcBorders>
          </w:tcPr>
          <w:p w14:paraId="059BCAD0" w14:textId="77777777" w:rsidR="008E67EA" w:rsidRPr="00A96D40" w:rsidRDefault="008E67EA" w:rsidP="00B44A74">
            <w:pPr>
              <w:spacing w:line="280" w:lineRule="exact"/>
              <w:rPr>
                <w:rFonts w:cs="Arial"/>
                <w:sz w:val="20"/>
                <w:szCs w:val="20"/>
              </w:rPr>
            </w:pPr>
            <w:r w:rsidRPr="00A96D40">
              <w:rPr>
                <w:rFonts w:cs="Arial"/>
                <w:sz w:val="20"/>
                <w:szCs w:val="20"/>
              </w:rPr>
              <w:t>[This section contains an attachment below]</w:t>
            </w:r>
          </w:p>
        </w:tc>
      </w:tr>
      <w:tr w:rsidR="008E67EA" w:rsidRPr="00A96D40" w14:paraId="32314568" w14:textId="77777777" w:rsidTr="00B44A74">
        <w:trPr>
          <w:jc w:val="center"/>
        </w:trPr>
        <w:tc>
          <w:tcPr>
            <w:tcW w:w="2415" w:type="dxa"/>
            <w:tcBorders>
              <w:top w:val="single" w:sz="4" w:space="0" w:color="auto"/>
              <w:left w:val="nil"/>
              <w:bottom w:val="single" w:sz="4" w:space="0" w:color="auto"/>
              <w:right w:val="nil"/>
            </w:tcBorders>
          </w:tcPr>
          <w:p w14:paraId="1C24C9FC" w14:textId="77777777" w:rsidR="008E67EA" w:rsidRPr="00A96D40"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A657B20" w14:textId="77777777" w:rsidR="008E67EA" w:rsidRPr="00A96D40" w:rsidRDefault="008E67EA" w:rsidP="00B44A74">
            <w:pPr>
              <w:spacing w:line="280" w:lineRule="exact"/>
              <w:rPr>
                <w:rFonts w:cs="Arial"/>
                <w:sz w:val="20"/>
                <w:szCs w:val="20"/>
              </w:rPr>
            </w:pPr>
          </w:p>
        </w:tc>
      </w:tr>
      <w:tr w:rsidR="008E67EA" w:rsidRPr="00A96D40" w14:paraId="764AE12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74064E6" w14:textId="77777777" w:rsidR="008E67EA" w:rsidRPr="00A96D40" w:rsidRDefault="008E67EA" w:rsidP="00B44A74">
            <w:pPr>
              <w:spacing w:line="280" w:lineRule="exact"/>
              <w:rPr>
                <w:rFonts w:cs="Arial"/>
                <w:sz w:val="20"/>
                <w:szCs w:val="20"/>
              </w:rPr>
            </w:pPr>
            <w:r w:rsidRPr="00A96D40">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6C6B9548" w14:textId="77777777" w:rsidR="008E67EA" w:rsidRPr="00A96D40" w:rsidRDefault="008E67EA" w:rsidP="00B44A74">
            <w:pPr>
              <w:spacing w:line="280" w:lineRule="exact"/>
              <w:rPr>
                <w:rFonts w:cs="Arial"/>
                <w:sz w:val="20"/>
                <w:szCs w:val="20"/>
              </w:rPr>
            </w:pPr>
          </w:p>
        </w:tc>
      </w:tr>
      <w:tr w:rsidR="008E67EA" w:rsidRPr="00A96D40" w14:paraId="28166295" w14:textId="77777777" w:rsidTr="00B44A74">
        <w:trPr>
          <w:jc w:val="center"/>
        </w:trPr>
        <w:tc>
          <w:tcPr>
            <w:tcW w:w="2415" w:type="dxa"/>
            <w:tcBorders>
              <w:top w:val="single" w:sz="4" w:space="0" w:color="auto"/>
              <w:left w:val="nil"/>
              <w:bottom w:val="single" w:sz="4" w:space="0" w:color="auto"/>
              <w:right w:val="nil"/>
            </w:tcBorders>
          </w:tcPr>
          <w:p w14:paraId="31AD0BC2" w14:textId="77777777" w:rsidR="008E67EA" w:rsidRPr="00A96D40"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6A8E2EC" w14:textId="77777777" w:rsidR="008E67EA" w:rsidRPr="00A96D40" w:rsidRDefault="008E67EA" w:rsidP="00B44A74">
            <w:pPr>
              <w:spacing w:line="280" w:lineRule="exact"/>
              <w:rPr>
                <w:rFonts w:cs="Arial"/>
                <w:sz w:val="20"/>
                <w:szCs w:val="20"/>
              </w:rPr>
            </w:pPr>
          </w:p>
        </w:tc>
      </w:tr>
      <w:tr w:rsidR="008E67EA" w:rsidRPr="00A96D40" w14:paraId="1B2BC98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DD0C8B7" w14:textId="77777777" w:rsidR="008E67EA" w:rsidRPr="00A96D40" w:rsidRDefault="008E67EA" w:rsidP="00B44A74">
            <w:pPr>
              <w:spacing w:line="280" w:lineRule="exact"/>
              <w:rPr>
                <w:rFonts w:cs="Arial"/>
                <w:sz w:val="20"/>
                <w:szCs w:val="20"/>
              </w:rPr>
            </w:pPr>
            <w:r w:rsidRPr="00A96D40">
              <w:rPr>
                <w:rFonts w:cs="Arial"/>
                <w:sz w:val="20"/>
                <w:szCs w:val="20"/>
              </w:rPr>
              <w:t>How to Prepare</w:t>
            </w:r>
          </w:p>
        </w:tc>
        <w:tc>
          <w:tcPr>
            <w:tcW w:w="7755" w:type="dxa"/>
            <w:tcBorders>
              <w:top w:val="single" w:sz="4" w:space="0" w:color="auto"/>
              <w:left w:val="single" w:sz="4" w:space="0" w:color="auto"/>
              <w:bottom w:val="single" w:sz="4" w:space="0" w:color="auto"/>
              <w:right w:val="single" w:sz="4" w:space="0" w:color="auto"/>
            </w:tcBorders>
          </w:tcPr>
          <w:p w14:paraId="4DB10579" w14:textId="77777777" w:rsidR="008E67EA" w:rsidRPr="00A96D40" w:rsidRDefault="008E67EA" w:rsidP="00B44A74">
            <w:pPr>
              <w:spacing w:line="280" w:lineRule="exact"/>
              <w:rPr>
                <w:rFonts w:cs="Arial"/>
                <w:sz w:val="20"/>
                <w:szCs w:val="20"/>
                <w:highlight w:val="yellow"/>
              </w:rPr>
            </w:pPr>
          </w:p>
        </w:tc>
      </w:tr>
      <w:tr w:rsidR="008E67EA" w:rsidRPr="00A96D40" w14:paraId="610DD2BC" w14:textId="77777777" w:rsidTr="00B44A74">
        <w:trPr>
          <w:jc w:val="center"/>
        </w:trPr>
        <w:tc>
          <w:tcPr>
            <w:tcW w:w="2415" w:type="dxa"/>
            <w:tcBorders>
              <w:top w:val="single" w:sz="4" w:space="0" w:color="auto"/>
              <w:left w:val="nil"/>
              <w:bottom w:val="single" w:sz="4" w:space="0" w:color="auto"/>
              <w:right w:val="nil"/>
            </w:tcBorders>
          </w:tcPr>
          <w:p w14:paraId="79DE0578" w14:textId="77777777" w:rsidR="008E67EA" w:rsidRPr="00A96D40"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584C1DB" w14:textId="77777777" w:rsidR="008E67EA" w:rsidRPr="00A96D40" w:rsidRDefault="008E67EA" w:rsidP="00B44A74">
            <w:pPr>
              <w:spacing w:line="280" w:lineRule="exact"/>
              <w:rPr>
                <w:rFonts w:cs="Arial"/>
                <w:sz w:val="20"/>
                <w:szCs w:val="20"/>
              </w:rPr>
            </w:pPr>
          </w:p>
        </w:tc>
      </w:tr>
      <w:tr w:rsidR="008E67EA" w:rsidRPr="00A96D40" w14:paraId="3B37119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A5A70E1" w14:textId="77777777" w:rsidR="008E67EA" w:rsidRPr="00A96D40" w:rsidRDefault="008E67EA" w:rsidP="00B44A74">
            <w:pPr>
              <w:spacing w:line="280" w:lineRule="exact"/>
              <w:rPr>
                <w:rFonts w:cs="Arial"/>
                <w:sz w:val="20"/>
                <w:szCs w:val="20"/>
              </w:rPr>
            </w:pPr>
            <w:r w:rsidRPr="00A96D40">
              <w:rPr>
                <w:rFonts w:cs="Arial"/>
                <w:sz w:val="20"/>
                <w:szCs w:val="20"/>
              </w:rPr>
              <w:t>Resistance Warning:</w:t>
            </w:r>
          </w:p>
        </w:tc>
        <w:tc>
          <w:tcPr>
            <w:tcW w:w="7755" w:type="dxa"/>
            <w:tcBorders>
              <w:top w:val="single" w:sz="4" w:space="0" w:color="auto"/>
              <w:left w:val="single" w:sz="4" w:space="0" w:color="auto"/>
              <w:bottom w:val="single" w:sz="4" w:space="0" w:color="auto"/>
              <w:right w:val="single" w:sz="4" w:space="0" w:color="auto"/>
            </w:tcBorders>
          </w:tcPr>
          <w:p w14:paraId="2AA947DF" w14:textId="77777777" w:rsidR="008E67EA" w:rsidRPr="00A96D40" w:rsidRDefault="008E67EA" w:rsidP="00B44A74">
            <w:pPr>
              <w:spacing w:line="280" w:lineRule="exact"/>
              <w:rPr>
                <w:rFonts w:cs="Arial"/>
                <w:sz w:val="20"/>
                <w:szCs w:val="20"/>
              </w:rPr>
            </w:pPr>
          </w:p>
        </w:tc>
      </w:tr>
      <w:tr w:rsidR="008E67EA" w:rsidRPr="00A96D40" w14:paraId="172C0F86" w14:textId="77777777" w:rsidTr="00B44A74">
        <w:trPr>
          <w:jc w:val="center"/>
        </w:trPr>
        <w:tc>
          <w:tcPr>
            <w:tcW w:w="2415" w:type="dxa"/>
            <w:tcBorders>
              <w:top w:val="single" w:sz="4" w:space="0" w:color="auto"/>
              <w:left w:val="nil"/>
              <w:bottom w:val="single" w:sz="4" w:space="0" w:color="auto"/>
              <w:right w:val="nil"/>
            </w:tcBorders>
          </w:tcPr>
          <w:p w14:paraId="4AAA0CE4" w14:textId="77777777" w:rsidR="008E67EA" w:rsidRPr="00A96D40"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8BD7485" w14:textId="77777777" w:rsidR="008E67EA" w:rsidRPr="00A96D40" w:rsidRDefault="008E67EA" w:rsidP="00B44A74">
            <w:pPr>
              <w:spacing w:line="280" w:lineRule="exact"/>
              <w:rPr>
                <w:rFonts w:cs="Arial"/>
                <w:sz w:val="20"/>
                <w:szCs w:val="20"/>
              </w:rPr>
            </w:pPr>
          </w:p>
        </w:tc>
      </w:tr>
      <w:tr w:rsidR="008E67EA" w:rsidRPr="00A96D40" w14:paraId="70355A9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05C4F3D" w14:textId="77777777" w:rsidR="008E67EA" w:rsidRPr="00A96D40" w:rsidRDefault="008E67EA" w:rsidP="00B44A74">
            <w:pPr>
              <w:spacing w:line="280" w:lineRule="exact"/>
              <w:rPr>
                <w:rFonts w:cs="Arial"/>
                <w:sz w:val="20"/>
                <w:szCs w:val="20"/>
              </w:rPr>
            </w:pPr>
            <w:r w:rsidRPr="00A96D40">
              <w:rPr>
                <w:rFonts w:cs="Arial"/>
                <w:sz w:val="20"/>
                <w:szCs w:val="20"/>
              </w:rPr>
              <w:t>Precautions:</w:t>
            </w:r>
          </w:p>
        </w:tc>
        <w:tc>
          <w:tcPr>
            <w:tcW w:w="7755" w:type="dxa"/>
            <w:tcBorders>
              <w:top w:val="single" w:sz="4" w:space="0" w:color="auto"/>
              <w:left w:val="single" w:sz="4" w:space="0" w:color="auto"/>
              <w:bottom w:val="single" w:sz="4" w:space="0" w:color="auto"/>
              <w:right w:val="single" w:sz="4" w:space="0" w:color="auto"/>
            </w:tcBorders>
          </w:tcPr>
          <w:p w14:paraId="40589C8B" w14:textId="77777777" w:rsidR="008E67EA" w:rsidRPr="00A96D40" w:rsidRDefault="008E67EA" w:rsidP="00B44A74">
            <w:pPr>
              <w:pBdr>
                <w:top w:val="nil"/>
                <w:left w:val="nil"/>
                <w:bottom w:val="nil"/>
                <w:right w:val="nil"/>
                <w:between w:val="nil"/>
                <w:bar w:val="nil"/>
              </w:pBdr>
              <w:spacing w:line="280" w:lineRule="exact"/>
              <w:rPr>
                <w:rFonts w:cs="Arial"/>
                <w:sz w:val="20"/>
                <w:szCs w:val="20"/>
                <w:bdr w:val="none" w:sz="0" w:space="0" w:color="auto" w:frame="1"/>
                <w:lang w:val="en-GB" w:eastAsia="en-AU"/>
              </w:rPr>
            </w:pPr>
            <w:r w:rsidRPr="00A96D40">
              <w:rPr>
                <w:rFonts w:cs="Arial"/>
                <w:sz w:val="20"/>
                <w:szCs w:val="20"/>
                <w:bdr w:val="none" w:sz="0" w:space="0" w:color="auto" w:frame="1"/>
                <w:lang w:val="en-GB" w:eastAsia="en-AU"/>
              </w:rPr>
              <w:t>CAUTION</w:t>
            </w:r>
          </w:p>
          <w:p w14:paraId="227A61FB" w14:textId="77777777" w:rsidR="008E67EA" w:rsidRPr="00A96D40" w:rsidRDefault="008E67EA" w:rsidP="00B44A74">
            <w:pPr>
              <w:pBdr>
                <w:top w:val="nil"/>
                <w:left w:val="nil"/>
                <w:bottom w:val="nil"/>
                <w:right w:val="nil"/>
                <w:between w:val="nil"/>
                <w:bar w:val="nil"/>
              </w:pBdr>
              <w:spacing w:line="280" w:lineRule="exact"/>
              <w:rPr>
                <w:rFonts w:cs="Arial"/>
                <w:sz w:val="20"/>
                <w:szCs w:val="20"/>
                <w:bdr w:val="none" w:sz="0" w:space="0" w:color="auto" w:frame="1"/>
                <w:lang w:val="en-GB" w:eastAsia="en-AU"/>
              </w:rPr>
            </w:pPr>
            <w:r w:rsidRPr="00A96D40">
              <w:rPr>
                <w:rFonts w:cs="Arial"/>
                <w:sz w:val="20"/>
                <w:szCs w:val="20"/>
                <w:bdr w:val="none" w:sz="0" w:space="0" w:color="auto" w:frame="1"/>
                <w:lang w:val="en-GB" w:eastAsia="en-AU"/>
              </w:rPr>
              <w:t>Caution should be used when baiting near areas where hunting of wildlife may occur. Careful consideration of bait placement is necessary to avoid secondary exposure from contaminated wildlife that may be consumed.</w:t>
            </w:r>
          </w:p>
          <w:p w14:paraId="4C0D99B9" w14:textId="77777777" w:rsidR="008E67EA" w:rsidRDefault="008E67EA" w:rsidP="00B44A74">
            <w:pPr>
              <w:spacing w:line="280" w:lineRule="exact"/>
              <w:rPr>
                <w:rFonts w:cs="Arial"/>
                <w:sz w:val="20"/>
                <w:szCs w:val="20"/>
                <w:bdr w:val="none" w:sz="0" w:space="0" w:color="auto" w:frame="1"/>
                <w:lang w:val="en-GB" w:eastAsia="en-AU"/>
              </w:rPr>
            </w:pPr>
            <w:r w:rsidRPr="00A96D40">
              <w:rPr>
                <w:rFonts w:cs="Arial"/>
                <w:sz w:val="20"/>
                <w:szCs w:val="20"/>
                <w:bdr w:val="none" w:sz="0" w:space="0" w:color="auto" w:frame="1"/>
                <w:lang w:val="en-GB" w:eastAsia="en-AU"/>
              </w:rPr>
              <w:t>DO NOT place bait in areas where there is a possibility of contaminating food, livestock feed or surfaces that come in direct contact with food or livestock feed.</w:t>
            </w:r>
          </w:p>
          <w:p w14:paraId="40CF293F" w14:textId="77777777" w:rsidR="008E67EA" w:rsidRPr="00A96D40" w:rsidRDefault="008E67EA" w:rsidP="00B44A74">
            <w:pPr>
              <w:spacing w:line="280" w:lineRule="exact"/>
              <w:rPr>
                <w:rFonts w:cs="Arial"/>
                <w:sz w:val="20"/>
                <w:szCs w:val="20"/>
                <w:bdr w:val="none" w:sz="0" w:space="0" w:color="auto" w:frame="1"/>
                <w:lang w:val="en-GB" w:eastAsia="en-AU"/>
              </w:rPr>
            </w:pPr>
          </w:p>
          <w:p w14:paraId="666E23F6" w14:textId="77777777" w:rsidR="008E67EA" w:rsidRPr="00A96D40" w:rsidRDefault="008E67EA" w:rsidP="00B44A74">
            <w:pPr>
              <w:pBdr>
                <w:top w:val="nil"/>
                <w:left w:val="nil"/>
                <w:bottom w:val="nil"/>
                <w:right w:val="nil"/>
                <w:between w:val="nil"/>
                <w:bar w:val="nil"/>
              </w:pBdr>
              <w:spacing w:line="280" w:lineRule="exact"/>
              <w:rPr>
                <w:rFonts w:cs="Arial"/>
                <w:sz w:val="20"/>
                <w:szCs w:val="20"/>
                <w:bdr w:val="none" w:sz="0" w:space="0" w:color="auto" w:frame="1"/>
                <w:lang w:val="en-GB" w:eastAsia="en-AU"/>
              </w:rPr>
            </w:pPr>
            <w:r w:rsidRPr="00A96D40">
              <w:rPr>
                <w:rFonts w:cs="Arial"/>
                <w:sz w:val="20"/>
                <w:szCs w:val="20"/>
                <w:bdr w:val="none" w:sz="0" w:space="0" w:color="auto" w:frame="1"/>
                <w:lang w:val="en-GB" w:eastAsia="en-AU"/>
              </w:rPr>
              <w:t>PROTECTION OF LIVESTOCK AND WILDLIFE</w:t>
            </w:r>
          </w:p>
          <w:p w14:paraId="2A66788C" w14:textId="77777777" w:rsidR="008E67EA" w:rsidRPr="00A96D40" w:rsidRDefault="008E67EA" w:rsidP="00B44A74">
            <w:pPr>
              <w:spacing w:line="280" w:lineRule="exact"/>
              <w:rPr>
                <w:rFonts w:cs="Arial"/>
                <w:sz w:val="20"/>
                <w:szCs w:val="20"/>
                <w:bdr w:val="none" w:sz="0" w:space="0" w:color="auto" w:frame="1"/>
                <w:lang w:val="en-GB" w:eastAsia="en-AU"/>
              </w:rPr>
            </w:pPr>
            <w:r w:rsidRPr="00A96D40">
              <w:rPr>
                <w:rFonts w:cs="Arial"/>
                <w:sz w:val="20"/>
                <w:szCs w:val="20"/>
                <w:bdr w:val="none" w:sz="0" w:space="0" w:color="auto" w:frame="1"/>
                <w:lang w:val="en-GB" w:eastAsia="en-AU"/>
              </w:rPr>
              <w:t>Hazardous to livestock, poultry and wildlife. DO NOT place baits in locations that are accessible to domestic animals, livestock, non-target native animals or birds.</w:t>
            </w:r>
          </w:p>
          <w:p w14:paraId="382B6714" w14:textId="49D4B596" w:rsidR="008E67EA" w:rsidRPr="00A96D40" w:rsidRDefault="008E67EA" w:rsidP="00B44A74">
            <w:pPr>
              <w:pBdr>
                <w:top w:val="nil"/>
                <w:left w:val="nil"/>
                <w:bottom w:val="nil"/>
                <w:right w:val="nil"/>
                <w:between w:val="nil"/>
                <w:bar w:val="nil"/>
              </w:pBdr>
              <w:spacing w:line="280" w:lineRule="exact"/>
              <w:rPr>
                <w:rFonts w:cs="Arial"/>
                <w:sz w:val="20"/>
                <w:szCs w:val="20"/>
                <w:bdr w:val="none" w:sz="0" w:space="0" w:color="auto" w:frame="1"/>
                <w:lang w:val="en-GB" w:eastAsia="en-AU"/>
              </w:rPr>
            </w:pPr>
            <w:r w:rsidRPr="00A96D40">
              <w:rPr>
                <w:rFonts w:cs="Arial"/>
                <w:sz w:val="20"/>
                <w:szCs w:val="20"/>
                <w:bdr w:val="none" w:sz="0" w:space="0" w:color="auto" w:frame="1"/>
                <w:lang w:val="en-GB" w:eastAsia="en-AU"/>
              </w:rPr>
              <w:t xml:space="preserve">Search for and dispose of dead rodents and slugs/snails in the infested area at each visit to prevent secondary poisoning. In case slugs/snails are present, move bait station to another location within the rodent infested site, away from slugs/snails. </w:t>
            </w:r>
            <w:r w:rsidRPr="00A96D40">
              <w:rPr>
                <w:rFonts w:cs="Arial"/>
                <w:sz w:val="20"/>
                <w:szCs w:val="20"/>
                <w:bdr w:val="none" w:sz="0" w:space="0" w:color="auto" w:frame="1"/>
                <w:lang w:val="en-GB" w:eastAsia="en-AU"/>
              </w:rPr>
              <w:lastRenderedPageBreak/>
              <w:t>Dispose of slugs/snails, dead rodents and uneaten bait by wrapping in paper, placing in plastic bag and putting in garbage.</w:t>
            </w:r>
          </w:p>
          <w:p w14:paraId="741E4A65" w14:textId="77777777" w:rsidR="008E67EA" w:rsidRPr="00A96D40" w:rsidRDefault="008E67EA" w:rsidP="00B44A74">
            <w:pPr>
              <w:spacing w:line="280" w:lineRule="exact"/>
              <w:rPr>
                <w:rFonts w:cs="Arial"/>
                <w:sz w:val="20"/>
                <w:szCs w:val="20"/>
                <w:bdr w:val="none" w:sz="0" w:space="0" w:color="auto" w:frame="1"/>
                <w:lang w:val="en-GB" w:eastAsia="en-AU"/>
              </w:rPr>
            </w:pPr>
            <w:r w:rsidRPr="00A96D40">
              <w:rPr>
                <w:rFonts w:cs="Arial"/>
                <w:sz w:val="20"/>
                <w:szCs w:val="20"/>
                <w:bdr w:val="none" w:sz="0" w:space="0" w:color="auto" w:frame="1"/>
                <w:lang w:val="en-GB" w:eastAsia="en-AU"/>
              </w:rPr>
              <w:t>DO NOT allow livestock or poultry to consume dead or moribund mice</w:t>
            </w:r>
            <w:r>
              <w:rPr>
                <w:rFonts w:cs="Arial"/>
                <w:sz w:val="20"/>
                <w:szCs w:val="20"/>
                <w:bdr w:val="none" w:sz="0" w:space="0" w:color="auto" w:frame="1"/>
                <w:lang w:val="en-GB" w:eastAsia="en-AU"/>
              </w:rPr>
              <w:t xml:space="preserve"> and rats</w:t>
            </w:r>
            <w:r w:rsidRPr="00A96D40">
              <w:rPr>
                <w:rFonts w:cs="Arial"/>
                <w:sz w:val="20"/>
                <w:szCs w:val="20"/>
                <w:bdr w:val="none" w:sz="0" w:space="0" w:color="auto" w:frame="1"/>
                <w:lang w:val="en-GB" w:eastAsia="en-AU"/>
              </w:rPr>
              <w:t>. All dead or moribund animals and rodent faeces from baited rodents MUST be removed from areas accessible to livestock or poultry.</w:t>
            </w:r>
          </w:p>
          <w:p w14:paraId="4919069E" w14:textId="77777777" w:rsidR="008E67EA" w:rsidRPr="00A96D40" w:rsidRDefault="008E67EA" w:rsidP="00B44A74">
            <w:pPr>
              <w:spacing w:line="280" w:lineRule="exact"/>
              <w:rPr>
                <w:rFonts w:eastAsiaTheme="minorHAnsi" w:cs="Arial"/>
                <w:kern w:val="2"/>
                <w:sz w:val="20"/>
                <w:szCs w:val="20"/>
                <w:bdr w:val="none" w:sz="0" w:space="0" w:color="auto" w:frame="1"/>
                <w:lang w:eastAsia="en-AU"/>
              </w:rPr>
            </w:pPr>
            <w:r w:rsidRPr="00A96D40">
              <w:rPr>
                <w:rFonts w:eastAsiaTheme="minorHAnsi" w:cs="Arial"/>
                <w:kern w:val="2"/>
                <w:sz w:val="20"/>
                <w:szCs w:val="20"/>
                <w:bdr w:val="none" w:sz="0" w:space="0" w:color="auto" w:frame="1"/>
                <w:lang w:eastAsia="en-AU"/>
              </w:rPr>
              <w:t>DO NOT allow cats and dogs to eat poisoned rats or mice.</w:t>
            </w:r>
          </w:p>
          <w:p w14:paraId="601FB409" w14:textId="77777777" w:rsidR="008E67EA" w:rsidRDefault="008E67EA" w:rsidP="00B44A74">
            <w:pPr>
              <w:spacing w:line="280" w:lineRule="exact"/>
              <w:rPr>
                <w:rFonts w:eastAsiaTheme="minorHAnsi" w:cs="Arial"/>
                <w:kern w:val="2"/>
                <w:sz w:val="20"/>
                <w:szCs w:val="20"/>
                <w:bdr w:val="none" w:sz="0" w:space="0" w:color="auto" w:frame="1"/>
                <w:lang w:eastAsia="en-AU"/>
              </w:rPr>
            </w:pPr>
            <w:r w:rsidRPr="00A96D40">
              <w:rPr>
                <w:rFonts w:eastAsiaTheme="minorHAnsi" w:cs="Arial"/>
                <w:kern w:val="2"/>
                <w:sz w:val="20"/>
                <w:szCs w:val="20"/>
                <w:bdr w:val="none" w:sz="0" w:space="0" w:color="auto" w:frame="1"/>
                <w:lang w:eastAsia="en-AU"/>
              </w:rPr>
              <w:t>The use of this product for the control of protected native rodents requires permission from wildlife authorities.</w:t>
            </w:r>
          </w:p>
          <w:p w14:paraId="3B4AB8E7" w14:textId="77777777" w:rsidR="008E67EA" w:rsidRPr="00A96D40" w:rsidRDefault="008E67EA" w:rsidP="00B44A74">
            <w:pPr>
              <w:spacing w:line="280" w:lineRule="exact"/>
              <w:rPr>
                <w:rFonts w:eastAsiaTheme="minorHAnsi" w:cs="Arial"/>
                <w:kern w:val="2"/>
                <w:sz w:val="20"/>
                <w:szCs w:val="20"/>
                <w:bdr w:val="none" w:sz="0" w:space="0" w:color="auto" w:frame="1"/>
                <w:lang w:val="en-GB" w:eastAsia="en-AU"/>
              </w:rPr>
            </w:pPr>
          </w:p>
          <w:p w14:paraId="3CA44485" w14:textId="77777777" w:rsidR="008E67EA" w:rsidRPr="00A96D40" w:rsidRDefault="008E67EA" w:rsidP="00B44A74">
            <w:pPr>
              <w:spacing w:line="280" w:lineRule="exact"/>
              <w:rPr>
                <w:rFonts w:cs="Arial"/>
                <w:sz w:val="20"/>
                <w:szCs w:val="20"/>
                <w:bdr w:val="none" w:sz="0" w:space="0" w:color="auto" w:frame="1"/>
                <w:lang w:val="en-GB" w:eastAsia="en-AU"/>
              </w:rPr>
            </w:pPr>
            <w:r w:rsidRPr="00A96D40">
              <w:rPr>
                <w:rFonts w:cs="Arial"/>
                <w:sz w:val="20"/>
                <w:szCs w:val="20"/>
                <w:bdr w:val="none" w:sz="0" w:space="0" w:color="auto" w:frame="1"/>
                <w:lang w:val="en-GB" w:eastAsia="en-AU"/>
              </w:rPr>
              <w:t>PROTECTION OF FISH, CRUSTACEANS AND ENVIRONMENT</w:t>
            </w:r>
          </w:p>
          <w:p w14:paraId="04E56A8D" w14:textId="77777777" w:rsidR="008E67EA" w:rsidRPr="00A96D40" w:rsidRDefault="008E67EA" w:rsidP="00B44A74">
            <w:pPr>
              <w:pStyle w:val="StatementofReasonsLevel1"/>
              <w:numPr>
                <w:ilvl w:val="0"/>
                <w:numId w:val="0"/>
              </w:numPr>
              <w:spacing w:before="0" w:after="0"/>
              <w:rPr>
                <w:color w:val="000000" w:themeColor="text1"/>
                <w:szCs w:val="20"/>
              </w:rPr>
            </w:pPr>
            <w:r w:rsidRPr="00A96D40">
              <w:rPr>
                <w:szCs w:val="20"/>
                <w:bdr w:val="none" w:sz="0" w:space="0" w:color="auto" w:frame="1"/>
              </w:rPr>
              <w:t>DO NOT contaminate wetlands or watercourses with this product or used containers. Place the bait stations in areas not liable to flooding. When placing bait stations close to water drainage systems, ensure that bait contact with water is avoided</w:t>
            </w:r>
          </w:p>
        </w:tc>
      </w:tr>
      <w:tr w:rsidR="008E67EA" w:rsidRPr="00A96D40" w14:paraId="3802CF62" w14:textId="77777777" w:rsidTr="00B44A74">
        <w:trPr>
          <w:jc w:val="center"/>
        </w:trPr>
        <w:tc>
          <w:tcPr>
            <w:tcW w:w="2415" w:type="dxa"/>
            <w:tcBorders>
              <w:top w:val="single" w:sz="4" w:space="0" w:color="auto"/>
              <w:left w:val="nil"/>
              <w:bottom w:val="single" w:sz="4" w:space="0" w:color="auto"/>
              <w:right w:val="nil"/>
            </w:tcBorders>
          </w:tcPr>
          <w:p w14:paraId="49E15BF9" w14:textId="77777777" w:rsidR="008E67EA" w:rsidRPr="00A96D40"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59248E1" w14:textId="77777777" w:rsidR="008E67EA" w:rsidRPr="00A96D40" w:rsidRDefault="008E67EA" w:rsidP="00B44A74">
            <w:pPr>
              <w:spacing w:line="280" w:lineRule="exact"/>
              <w:rPr>
                <w:rFonts w:cs="Arial"/>
                <w:sz w:val="20"/>
                <w:szCs w:val="20"/>
              </w:rPr>
            </w:pPr>
          </w:p>
        </w:tc>
      </w:tr>
      <w:tr w:rsidR="008E67EA" w:rsidRPr="00A96D40" w14:paraId="33F1A67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EDAAECD" w14:textId="77777777" w:rsidR="008E67EA" w:rsidRPr="00A96D40" w:rsidRDefault="008E67EA" w:rsidP="00B44A74">
            <w:pPr>
              <w:spacing w:line="280" w:lineRule="exact"/>
              <w:rPr>
                <w:rFonts w:cs="Arial"/>
                <w:sz w:val="20"/>
                <w:szCs w:val="20"/>
              </w:rPr>
            </w:pPr>
            <w:r w:rsidRPr="00A96D40">
              <w:rPr>
                <w:rFonts w:cs="Arial"/>
                <w:sz w:val="20"/>
                <w:szCs w:val="20"/>
              </w:rPr>
              <w:t>Protections:</w:t>
            </w:r>
          </w:p>
        </w:tc>
        <w:tc>
          <w:tcPr>
            <w:tcW w:w="7755" w:type="dxa"/>
            <w:tcBorders>
              <w:top w:val="single" w:sz="4" w:space="0" w:color="auto"/>
              <w:left w:val="single" w:sz="4" w:space="0" w:color="auto"/>
              <w:bottom w:val="single" w:sz="4" w:space="0" w:color="auto"/>
              <w:right w:val="single" w:sz="4" w:space="0" w:color="auto"/>
            </w:tcBorders>
          </w:tcPr>
          <w:p w14:paraId="0670E444" w14:textId="77777777" w:rsidR="008E67EA" w:rsidRPr="00A96D40" w:rsidRDefault="008E67EA" w:rsidP="00B44A74">
            <w:pPr>
              <w:spacing w:line="280" w:lineRule="exact"/>
              <w:rPr>
                <w:rFonts w:cs="Arial"/>
                <w:sz w:val="20"/>
                <w:szCs w:val="20"/>
              </w:rPr>
            </w:pPr>
          </w:p>
        </w:tc>
      </w:tr>
      <w:tr w:rsidR="008E67EA" w:rsidRPr="00A96D40" w14:paraId="1D59D4A6" w14:textId="77777777" w:rsidTr="00B44A74">
        <w:trPr>
          <w:jc w:val="center"/>
        </w:trPr>
        <w:tc>
          <w:tcPr>
            <w:tcW w:w="2415" w:type="dxa"/>
            <w:tcBorders>
              <w:top w:val="single" w:sz="4" w:space="0" w:color="auto"/>
              <w:left w:val="nil"/>
              <w:bottom w:val="single" w:sz="4" w:space="0" w:color="auto"/>
              <w:right w:val="nil"/>
            </w:tcBorders>
          </w:tcPr>
          <w:p w14:paraId="588D2CE7" w14:textId="77777777" w:rsidR="008E67EA" w:rsidRPr="00A96D40"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B0080CC" w14:textId="77777777" w:rsidR="008E67EA" w:rsidRPr="00A96D40" w:rsidRDefault="008E67EA" w:rsidP="00B44A74">
            <w:pPr>
              <w:spacing w:line="280" w:lineRule="exact"/>
              <w:rPr>
                <w:rFonts w:cs="Arial"/>
                <w:sz w:val="20"/>
                <w:szCs w:val="20"/>
              </w:rPr>
            </w:pPr>
          </w:p>
        </w:tc>
      </w:tr>
      <w:tr w:rsidR="008E67EA" w:rsidRPr="00A96D40" w14:paraId="7727115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A3FA32C" w14:textId="77777777" w:rsidR="008E67EA" w:rsidRPr="00A96D40" w:rsidRDefault="008E67EA" w:rsidP="00B44A74">
            <w:pPr>
              <w:spacing w:line="280" w:lineRule="exact"/>
              <w:rPr>
                <w:rFonts w:cs="Arial"/>
                <w:sz w:val="20"/>
                <w:szCs w:val="20"/>
              </w:rPr>
            </w:pPr>
            <w:r w:rsidRPr="00A96D40">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166391AC" w14:textId="77777777" w:rsidR="008E67EA" w:rsidRPr="00A96D40" w:rsidRDefault="008E67EA" w:rsidP="00B44A74">
            <w:pPr>
              <w:spacing w:line="280" w:lineRule="exact"/>
              <w:rPr>
                <w:rFonts w:cs="Arial"/>
                <w:sz w:val="20"/>
                <w:szCs w:val="20"/>
                <w:bdr w:val="none" w:sz="0" w:space="0" w:color="auto" w:frame="1"/>
                <w:lang w:val="en-GB" w:eastAsia="en-AU"/>
              </w:rPr>
            </w:pPr>
            <w:r w:rsidRPr="00A96D40">
              <w:rPr>
                <w:rFonts w:cs="Arial"/>
                <w:sz w:val="20"/>
                <w:szCs w:val="20"/>
                <w:bdr w:val="none" w:sz="0" w:space="0" w:color="auto" w:frame="1"/>
                <w:lang w:val="en-GB" w:eastAsia="en-AU"/>
              </w:rPr>
              <w:t>STORAGE AND DISPOSAL</w:t>
            </w:r>
          </w:p>
          <w:p w14:paraId="04D8404A" w14:textId="77777777" w:rsidR="008E67EA" w:rsidRPr="00A96D40" w:rsidRDefault="008E67EA" w:rsidP="00B44A74">
            <w:pPr>
              <w:spacing w:line="280" w:lineRule="exact"/>
              <w:rPr>
                <w:rFonts w:cs="Arial"/>
                <w:sz w:val="20"/>
                <w:szCs w:val="20"/>
                <w:bdr w:val="none" w:sz="0" w:space="0" w:color="auto" w:frame="1"/>
                <w:lang w:val="en-GB" w:eastAsia="en-AU"/>
              </w:rPr>
            </w:pPr>
            <w:r w:rsidRPr="00A96D40">
              <w:rPr>
                <w:rFonts w:cs="Arial"/>
                <w:sz w:val="20"/>
                <w:szCs w:val="20"/>
                <w:bdr w:val="none" w:sz="0" w:space="0" w:color="auto" w:frame="1"/>
                <w:lang w:val="en-GB" w:eastAsia="en-AU"/>
              </w:rPr>
              <w:t>Store in the closed, original container in a cool, dry place out of the reach of children. DO NOT store in direct sunlight. Dispose of empty container and unused product by wrapping in paper, placing in plastic bag and putting in garbage.</w:t>
            </w:r>
          </w:p>
        </w:tc>
      </w:tr>
      <w:tr w:rsidR="008E67EA" w:rsidRPr="00A96D40" w14:paraId="36985220" w14:textId="77777777" w:rsidTr="00B44A74">
        <w:trPr>
          <w:jc w:val="center"/>
        </w:trPr>
        <w:tc>
          <w:tcPr>
            <w:tcW w:w="2415" w:type="dxa"/>
            <w:tcBorders>
              <w:top w:val="single" w:sz="4" w:space="0" w:color="auto"/>
              <w:left w:val="nil"/>
              <w:bottom w:val="single" w:sz="4" w:space="0" w:color="auto"/>
              <w:right w:val="nil"/>
            </w:tcBorders>
          </w:tcPr>
          <w:p w14:paraId="30D09111" w14:textId="77777777" w:rsidR="008E67EA" w:rsidRPr="00A96D40"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C5A1304" w14:textId="77777777" w:rsidR="008E67EA" w:rsidRPr="00A96D40" w:rsidRDefault="008E67EA" w:rsidP="00B44A74">
            <w:pPr>
              <w:spacing w:line="280" w:lineRule="exact"/>
              <w:rPr>
                <w:rFonts w:cs="Arial"/>
                <w:sz w:val="20"/>
                <w:szCs w:val="20"/>
              </w:rPr>
            </w:pPr>
          </w:p>
        </w:tc>
      </w:tr>
      <w:tr w:rsidR="008E67EA" w:rsidRPr="00A96D40" w14:paraId="236E7FB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C936F05" w14:textId="77777777" w:rsidR="008E67EA" w:rsidRPr="00A96D40" w:rsidRDefault="008E67EA" w:rsidP="00B44A74">
            <w:pPr>
              <w:spacing w:line="280" w:lineRule="exact"/>
              <w:rPr>
                <w:rFonts w:cs="Arial"/>
                <w:sz w:val="20"/>
                <w:szCs w:val="20"/>
              </w:rPr>
            </w:pPr>
            <w:r w:rsidRPr="00A96D40">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0F16BAAE" w14:textId="77777777" w:rsidR="008E67EA" w:rsidRPr="00A96D40" w:rsidRDefault="008E67EA" w:rsidP="00B44A74">
            <w:pPr>
              <w:spacing w:line="280" w:lineRule="exact"/>
              <w:rPr>
                <w:rFonts w:cs="Arial"/>
                <w:sz w:val="20"/>
                <w:szCs w:val="20"/>
                <w:bdr w:val="none" w:sz="0" w:space="0" w:color="auto" w:frame="1"/>
                <w:lang w:val="en-GB" w:eastAsia="en-AU"/>
              </w:rPr>
            </w:pPr>
            <w:r w:rsidRPr="00A96D40">
              <w:rPr>
                <w:rFonts w:cs="Arial"/>
                <w:sz w:val="20"/>
                <w:szCs w:val="20"/>
                <w:bdr w:val="none" w:sz="0" w:space="0" w:color="auto" w:frame="1"/>
                <w:lang w:val="en-GB" w:eastAsia="en-AU"/>
              </w:rPr>
              <w:t>STORAGE AND DISPOSAL</w:t>
            </w:r>
          </w:p>
          <w:p w14:paraId="760470F6" w14:textId="77777777" w:rsidR="008E67EA" w:rsidRPr="00A96D40" w:rsidRDefault="008E67EA" w:rsidP="00B44A74">
            <w:pPr>
              <w:spacing w:line="280" w:lineRule="exact"/>
              <w:rPr>
                <w:rFonts w:cs="Arial"/>
                <w:color w:val="7030A0"/>
                <w:sz w:val="20"/>
                <w:szCs w:val="20"/>
              </w:rPr>
            </w:pPr>
            <w:r w:rsidRPr="00596B45">
              <w:rPr>
                <w:rFonts w:cs="Arial"/>
                <w:color w:val="000000" w:themeColor="text1"/>
                <w:sz w:val="20"/>
                <w:szCs w:val="20"/>
              </w:rPr>
              <w:t>Repeated minor exposure may have a cumulative poisoning effect. When using the product wear disposable gloves. During cleanup, disposal operations of bait and bait stations and when handling rodent carcasses wear single layer clothing and disposable gloves. If on skin and after each baiting, wash thoroughly with soap and water. After each day’s use wash contaminated clothing.</w:t>
            </w:r>
            <w:r w:rsidRPr="00A96D40">
              <w:rPr>
                <w:rFonts w:cs="Arial"/>
                <w:sz w:val="20"/>
                <w:szCs w:val="20"/>
                <w:bdr w:val="none" w:sz="0" w:space="0" w:color="auto" w:frame="1"/>
                <w:lang w:val="en-GB" w:eastAsia="en-AU"/>
              </w:rPr>
              <w:t xml:space="preserve"> Wash clothes after performing re-handling activities.</w:t>
            </w:r>
          </w:p>
        </w:tc>
      </w:tr>
      <w:tr w:rsidR="008E67EA" w:rsidRPr="00A96D40" w14:paraId="67ACEDB8" w14:textId="77777777" w:rsidTr="00B44A74">
        <w:trPr>
          <w:jc w:val="center"/>
        </w:trPr>
        <w:tc>
          <w:tcPr>
            <w:tcW w:w="2415" w:type="dxa"/>
            <w:tcBorders>
              <w:top w:val="single" w:sz="4" w:space="0" w:color="auto"/>
              <w:left w:val="nil"/>
              <w:bottom w:val="single" w:sz="4" w:space="0" w:color="auto"/>
              <w:right w:val="nil"/>
            </w:tcBorders>
          </w:tcPr>
          <w:p w14:paraId="612623C9" w14:textId="77777777" w:rsidR="008E67EA" w:rsidRPr="00A96D40"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F37B87B" w14:textId="77777777" w:rsidR="008E67EA" w:rsidRPr="00A96D40" w:rsidRDefault="008E67EA" w:rsidP="00B44A74">
            <w:pPr>
              <w:spacing w:line="280" w:lineRule="exact"/>
              <w:rPr>
                <w:rFonts w:cs="Arial"/>
                <w:sz w:val="20"/>
                <w:szCs w:val="20"/>
              </w:rPr>
            </w:pPr>
          </w:p>
        </w:tc>
      </w:tr>
      <w:tr w:rsidR="008E67EA" w:rsidRPr="00A96D40" w14:paraId="428A41C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0289E08" w14:textId="77777777" w:rsidR="008E67EA" w:rsidRPr="00A96D40" w:rsidRDefault="008E67EA" w:rsidP="00B44A74">
            <w:pPr>
              <w:spacing w:line="280" w:lineRule="exact"/>
              <w:rPr>
                <w:rFonts w:cs="Arial"/>
                <w:sz w:val="20"/>
                <w:szCs w:val="20"/>
              </w:rPr>
            </w:pPr>
            <w:r w:rsidRPr="00A96D40">
              <w:rPr>
                <w:rFonts w:cs="Arial"/>
                <w:sz w:val="20"/>
                <w:szCs w:val="20"/>
              </w:rPr>
              <w:t>First Aid Instructions:</w:t>
            </w:r>
          </w:p>
        </w:tc>
        <w:tc>
          <w:tcPr>
            <w:tcW w:w="7755" w:type="dxa"/>
            <w:tcBorders>
              <w:top w:val="single" w:sz="4" w:space="0" w:color="auto"/>
              <w:left w:val="single" w:sz="4" w:space="0" w:color="auto"/>
              <w:bottom w:val="single" w:sz="4" w:space="0" w:color="auto"/>
              <w:right w:val="single" w:sz="4" w:space="0" w:color="auto"/>
            </w:tcBorders>
          </w:tcPr>
          <w:p w14:paraId="61439237" w14:textId="77777777" w:rsidR="008E67EA" w:rsidRPr="00A96D40" w:rsidRDefault="008E67EA" w:rsidP="00B44A74">
            <w:pPr>
              <w:spacing w:line="280" w:lineRule="exact"/>
              <w:rPr>
                <w:rFonts w:cs="Arial"/>
                <w:sz w:val="20"/>
                <w:szCs w:val="20"/>
                <w:bdr w:val="none" w:sz="0" w:space="0" w:color="auto" w:frame="1"/>
                <w:lang w:val="en-GB" w:eastAsia="en-AU"/>
              </w:rPr>
            </w:pPr>
            <w:r w:rsidRPr="00A96D40">
              <w:rPr>
                <w:rFonts w:cs="Arial"/>
                <w:sz w:val="20"/>
                <w:szCs w:val="20"/>
                <w:bdr w:val="none" w:sz="0" w:space="0" w:color="auto" w:frame="1"/>
                <w:lang w:val="en-GB" w:eastAsia="en-AU"/>
              </w:rPr>
              <w:t>FIRST AID</w:t>
            </w:r>
          </w:p>
          <w:p w14:paraId="784D24D0" w14:textId="77777777" w:rsidR="008E67EA" w:rsidRPr="00A96D40" w:rsidRDefault="008E67EA" w:rsidP="00B44A74">
            <w:pPr>
              <w:spacing w:line="280" w:lineRule="exact"/>
              <w:rPr>
                <w:rFonts w:cs="Arial"/>
                <w:sz w:val="20"/>
                <w:szCs w:val="20"/>
              </w:rPr>
            </w:pPr>
            <w:r w:rsidRPr="00A96D40">
              <w:rPr>
                <w:rFonts w:cs="Arial"/>
                <w:sz w:val="20"/>
                <w:szCs w:val="20"/>
                <w:bdr w:val="none" w:sz="0" w:space="0" w:color="auto" w:frame="1"/>
                <w:lang w:val="en-GB" w:eastAsia="en-AU"/>
              </w:rPr>
              <w:t>If poisoning occurs, contact a doctor or Poisons Information Centre. Phone Australia 13 11 26, New Zealand 0800 764 766. Vitamin K1 (Phytomenadione) is antidotal.</w:t>
            </w:r>
          </w:p>
        </w:tc>
      </w:tr>
      <w:tr w:rsidR="008E67EA" w:rsidRPr="00A96D40" w14:paraId="18D6E3B0" w14:textId="77777777" w:rsidTr="00B44A74">
        <w:trPr>
          <w:jc w:val="center"/>
        </w:trPr>
        <w:tc>
          <w:tcPr>
            <w:tcW w:w="2415" w:type="dxa"/>
            <w:tcBorders>
              <w:top w:val="single" w:sz="4" w:space="0" w:color="auto"/>
              <w:left w:val="nil"/>
              <w:bottom w:val="single" w:sz="4" w:space="0" w:color="auto"/>
              <w:right w:val="nil"/>
            </w:tcBorders>
          </w:tcPr>
          <w:p w14:paraId="4D0AB088" w14:textId="77777777" w:rsidR="008E67EA" w:rsidRPr="00A96D40"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E233C8E" w14:textId="77777777" w:rsidR="008E67EA" w:rsidRPr="00A96D40" w:rsidRDefault="008E67EA" w:rsidP="00B44A74">
            <w:pPr>
              <w:spacing w:line="280" w:lineRule="exact"/>
              <w:rPr>
                <w:rFonts w:cs="Arial"/>
                <w:sz w:val="20"/>
                <w:szCs w:val="20"/>
              </w:rPr>
            </w:pPr>
          </w:p>
        </w:tc>
      </w:tr>
      <w:tr w:rsidR="008E67EA" w:rsidRPr="00A96D40" w14:paraId="5BF34C5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6E99116" w14:textId="77777777" w:rsidR="008E67EA" w:rsidRPr="00A96D40" w:rsidRDefault="008E67EA" w:rsidP="00B44A74">
            <w:pPr>
              <w:spacing w:line="280" w:lineRule="exact"/>
              <w:rPr>
                <w:rFonts w:cs="Arial"/>
                <w:sz w:val="20"/>
                <w:szCs w:val="20"/>
              </w:rPr>
            </w:pPr>
            <w:r w:rsidRPr="00A96D40">
              <w:rPr>
                <w:rFonts w:cs="Arial"/>
                <w:sz w:val="20"/>
                <w:szCs w:val="20"/>
              </w:rPr>
              <w:t>First Aid Warnings:</w:t>
            </w:r>
          </w:p>
        </w:tc>
        <w:tc>
          <w:tcPr>
            <w:tcW w:w="7755" w:type="dxa"/>
            <w:tcBorders>
              <w:top w:val="single" w:sz="4" w:space="0" w:color="auto"/>
              <w:left w:val="single" w:sz="4" w:space="0" w:color="auto"/>
              <w:bottom w:val="single" w:sz="4" w:space="0" w:color="auto"/>
              <w:right w:val="single" w:sz="4" w:space="0" w:color="auto"/>
            </w:tcBorders>
          </w:tcPr>
          <w:p w14:paraId="496FAAAB" w14:textId="77777777" w:rsidR="008E67EA" w:rsidRPr="00A96D40" w:rsidRDefault="008E67EA" w:rsidP="00B44A74">
            <w:pPr>
              <w:spacing w:line="280" w:lineRule="exact"/>
              <w:rPr>
                <w:rFonts w:cs="Arial"/>
                <w:sz w:val="20"/>
                <w:szCs w:val="20"/>
              </w:rPr>
            </w:pPr>
          </w:p>
        </w:tc>
      </w:tr>
    </w:tbl>
    <w:p w14:paraId="7BD9D513" w14:textId="77777777" w:rsidR="008E67EA" w:rsidRDefault="008E67EA" w:rsidP="008E67EA">
      <w:pPr>
        <w:rPr>
          <w:rFonts w:cs="Arial"/>
          <w:b/>
          <w:bCs/>
          <w:sz w:val="20"/>
          <w:szCs w:val="20"/>
        </w:rPr>
      </w:pPr>
      <w:r>
        <w:rPr>
          <w:rFonts w:cs="Arial"/>
          <w:b/>
          <w:bCs/>
          <w:sz w:val="20"/>
          <w:szCs w:val="20"/>
        </w:rPr>
        <w:br w:type="page"/>
      </w:r>
    </w:p>
    <w:p w14:paraId="6ED033CF" w14:textId="77777777" w:rsidR="008E67EA" w:rsidRPr="00FF36BF" w:rsidRDefault="008E67EA" w:rsidP="008E67EA">
      <w:pPr>
        <w:rPr>
          <w:rFonts w:cs="Arial"/>
          <w:b/>
          <w:bCs/>
          <w:sz w:val="20"/>
          <w:szCs w:val="20"/>
        </w:rPr>
      </w:pPr>
      <w:r w:rsidRPr="00FF36BF">
        <w:rPr>
          <w:rFonts w:cs="Arial"/>
          <w:b/>
          <w:bCs/>
          <w:sz w:val="20"/>
          <w:szCs w:val="20"/>
        </w:rPr>
        <w:lastRenderedPageBreak/>
        <w:t>HOW TO USE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800"/>
        <w:gridCol w:w="1620"/>
        <w:gridCol w:w="4500"/>
      </w:tblGrid>
      <w:tr w:rsidR="008E67EA" w:rsidRPr="00FF36BF" w14:paraId="0086C770" w14:textId="77777777" w:rsidTr="009C4F64">
        <w:trPr>
          <w:trHeight w:val="340"/>
        </w:trPr>
        <w:tc>
          <w:tcPr>
            <w:tcW w:w="1080" w:type="dxa"/>
          </w:tcPr>
          <w:p w14:paraId="44607A6B" w14:textId="77777777" w:rsidR="008E67EA" w:rsidRPr="00D0124D" w:rsidRDefault="008E67EA" w:rsidP="00B44A74">
            <w:pPr>
              <w:spacing w:line="280" w:lineRule="exact"/>
              <w:rPr>
                <w:rFonts w:cs="Arial"/>
                <w:b/>
                <w:bCs/>
                <w:sz w:val="20"/>
                <w:szCs w:val="20"/>
              </w:rPr>
            </w:pPr>
            <w:r w:rsidRPr="00D0124D">
              <w:rPr>
                <w:rFonts w:cs="Arial"/>
                <w:b/>
                <w:bCs/>
                <w:sz w:val="20"/>
                <w:szCs w:val="20"/>
              </w:rPr>
              <w:t>PEST</w:t>
            </w:r>
          </w:p>
        </w:tc>
        <w:tc>
          <w:tcPr>
            <w:tcW w:w="1800" w:type="dxa"/>
          </w:tcPr>
          <w:p w14:paraId="44453C34" w14:textId="77777777" w:rsidR="008E67EA" w:rsidRPr="00D0124D" w:rsidRDefault="008E67EA" w:rsidP="00B44A74">
            <w:pPr>
              <w:spacing w:line="280" w:lineRule="exact"/>
              <w:rPr>
                <w:rFonts w:cs="Arial"/>
                <w:b/>
                <w:bCs/>
                <w:sz w:val="20"/>
                <w:szCs w:val="20"/>
              </w:rPr>
            </w:pPr>
            <w:r w:rsidRPr="00D0124D">
              <w:rPr>
                <w:rFonts w:cs="Arial"/>
                <w:b/>
                <w:bCs/>
                <w:sz w:val="20"/>
                <w:szCs w:val="20"/>
              </w:rPr>
              <w:t>SITUATION</w:t>
            </w:r>
          </w:p>
        </w:tc>
        <w:tc>
          <w:tcPr>
            <w:tcW w:w="1620" w:type="dxa"/>
          </w:tcPr>
          <w:p w14:paraId="2F236EDC" w14:textId="77777777" w:rsidR="008E67EA" w:rsidRPr="00D0124D" w:rsidRDefault="008E67EA" w:rsidP="00B44A74">
            <w:pPr>
              <w:spacing w:line="280" w:lineRule="exact"/>
              <w:rPr>
                <w:rFonts w:cs="Arial"/>
                <w:b/>
                <w:bCs/>
                <w:sz w:val="20"/>
                <w:szCs w:val="20"/>
              </w:rPr>
            </w:pPr>
            <w:r w:rsidRPr="00D0124D">
              <w:rPr>
                <w:rFonts w:cs="Arial"/>
                <w:b/>
                <w:bCs/>
                <w:sz w:val="20"/>
                <w:szCs w:val="20"/>
              </w:rPr>
              <w:t>RATE</w:t>
            </w:r>
          </w:p>
        </w:tc>
        <w:tc>
          <w:tcPr>
            <w:tcW w:w="4500" w:type="dxa"/>
          </w:tcPr>
          <w:p w14:paraId="7D60AAD6" w14:textId="77777777" w:rsidR="008E67EA" w:rsidRPr="00D0124D" w:rsidRDefault="008E67EA" w:rsidP="00B44A74">
            <w:pPr>
              <w:spacing w:line="280" w:lineRule="exact"/>
              <w:rPr>
                <w:rFonts w:cs="Arial"/>
                <w:b/>
                <w:bCs/>
                <w:sz w:val="20"/>
                <w:szCs w:val="20"/>
              </w:rPr>
            </w:pPr>
            <w:r w:rsidRPr="00D0124D">
              <w:rPr>
                <w:rFonts w:cs="Arial"/>
                <w:b/>
                <w:bCs/>
                <w:sz w:val="20"/>
                <w:szCs w:val="20"/>
              </w:rPr>
              <w:t>HOW TO APPLY</w:t>
            </w:r>
          </w:p>
        </w:tc>
      </w:tr>
      <w:tr w:rsidR="008E67EA" w:rsidRPr="00FF36BF" w14:paraId="67FEF01B" w14:textId="77777777" w:rsidTr="009C4F64">
        <w:trPr>
          <w:trHeight w:val="841"/>
        </w:trPr>
        <w:tc>
          <w:tcPr>
            <w:tcW w:w="1080" w:type="dxa"/>
          </w:tcPr>
          <w:p w14:paraId="4D9DB22F" w14:textId="77777777" w:rsidR="008E67EA" w:rsidRPr="00FF36BF" w:rsidRDefault="008E67EA" w:rsidP="00B44A74">
            <w:pPr>
              <w:spacing w:line="280" w:lineRule="exact"/>
              <w:rPr>
                <w:rFonts w:cs="Arial"/>
                <w:sz w:val="20"/>
                <w:szCs w:val="20"/>
              </w:rPr>
            </w:pPr>
            <w:r>
              <w:rPr>
                <w:rFonts w:cs="Arial"/>
                <w:sz w:val="20"/>
                <w:szCs w:val="20"/>
              </w:rPr>
              <w:t>Mice</w:t>
            </w:r>
          </w:p>
        </w:tc>
        <w:tc>
          <w:tcPr>
            <w:tcW w:w="1800" w:type="dxa"/>
          </w:tcPr>
          <w:p w14:paraId="35C98C25" w14:textId="77777777" w:rsidR="008E67EA" w:rsidRPr="00FF36BF" w:rsidRDefault="008E67EA" w:rsidP="00B44A74">
            <w:pPr>
              <w:spacing w:line="280" w:lineRule="exact"/>
              <w:rPr>
                <w:rFonts w:cs="Arial"/>
                <w:sz w:val="20"/>
                <w:szCs w:val="20"/>
              </w:rPr>
            </w:pPr>
            <w:r>
              <w:rPr>
                <w:rFonts w:cs="Arial"/>
                <w:sz w:val="20"/>
                <w:szCs w:val="20"/>
              </w:rPr>
              <w:t xml:space="preserve">In domestic buildings </w:t>
            </w:r>
          </w:p>
        </w:tc>
        <w:tc>
          <w:tcPr>
            <w:tcW w:w="1620" w:type="dxa"/>
          </w:tcPr>
          <w:p w14:paraId="101228EF" w14:textId="77777777" w:rsidR="008E67EA" w:rsidRPr="00FF36BF" w:rsidRDefault="008E67EA" w:rsidP="00B44A74">
            <w:pPr>
              <w:spacing w:line="280" w:lineRule="exact"/>
              <w:rPr>
                <w:rFonts w:cs="Arial"/>
                <w:sz w:val="20"/>
                <w:szCs w:val="20"/>
              </w:rPr>
            </w:pPr>
            <w:r>
              <w:rPr>
                <w:rFonts w:cs="Arial"/>
                <w:sz w:val="20"/>
                <w:szCs w:val="20"/>
              </w:rPr>
              <w:t>One bait sachet (10 g) per bait station</w:t>
            </w:r>
          </w:p>
        </w:tc>
        <w:tc>
          <w:tcPr>
            <w:tcW w:w="4500" w:type="dxa"/>
          </w:tcPr>
          <w:p w14:paraId="23B902DC" w14:textId="77777777" w:rsidR="008E67EA" w:rsidRDefault="008E67EA" w:rsidP="00B44A74">
            <w:pPr>
              <w:spacing w:line="280" w:lineRule="exact"/>
              <w:rPr>
                <w:rFonts w:cs="Arial"/>
                <w:sz w:val="20"/>
                <w:szCs w:val="20"/>
              </w:rPr>
            </w:pPr>
            <w:r w:rsidRPr="00D81AAB">
              <w:rPr>
                <w:rFonts w:cs="Arial"/>
                <w:sz w:val="20"/>
                <w:szCs w:val="20"/>
              </w:rPr>
              <w:t xml:space="preserve">Place the bait </w:t>
            </w:r>
            <w:r>
              <w:rPr>
                <w:rFonts w:cs="Arial"/>
                <w:sz w:val="20"/>
                <w:szCs w:val="20"/>
              </w:rPr>
              <w:t>stations</w:t>
            </w:r>
            <w:r w:rsidRPr="00D81AAB">
              <w:rPr>
                <w:rFonts w:cs="Arial"/>
                <w:sz w:val="20"/>
                <w:szCs w:val="20"/>
              </w:rPr>
              <w:t xml:space="preserve"> in areas of known rodent activity and under cover (e.g. behind</w:t>
            </w:r>
            <w:r>
              <w:rPr>
                <w:rFonts w:cs="Arial"/>
                <w:sz w:val="20"/>
                <w:szCs w:val="20"/>
              </w:rPr>
              <w:t xml:space="preserve"> </w:t>
            </w:r>
            <w:r w:rsidRPr="00D81AAB">
              <w:rPr>
                <w:rFonts w:cs="Arial"/>
                <w:sz w:val="20"/>
                <w:szCs w:val="20"/>
              </w:rPr>
              <w:t>appliances and furniture, in ceiling voids etc.).</w:t>
            </w:r>
          </w:p>
          <w:p w14:paraId="0BAF87F1" w14:textId="77777777" w:rsidR="008E67EA" w:rsidRPr="00FF36BF" w:rsidRDefault="008E67EA" w:rsidP="00B44A74">
            <w:pPr>
              <w:spacing w:line="280" w:lineRule="exact"/>
              <w:rPr>
                <w:rFonts w:cs="Arial"/>
                <w:sz w:val="20"/>
                <w:szCs w:val="20"/>
              </w:rPr>
            </w:pPr>
            <w:r>
              <w:rPr>
                <w:rFonts w:cs="Arial"/>
                <w:sz w:val="20"/>
                <w:szCs w:val="20"/>
              </w:rPr>
              <w:t xml:space="preserve">Mice require several feeding locations. DO NOT exceed 3 metres between bait stations. </w:t>
            </w:r>
          </w:p>
        </w:tc>
      </w:tr>
      <w:tr w:rsidR="008E67EA" w:rsidRPr="00FF36BF" w14:paraId="23D85E53" w14:textId="77777777" w:rsidTr="009C4F64">
        <w:trPr>
          <w:trHeight w:val="841"/>
        </w:trPr>
        <w:tc>
          <w:tcPr>
            <w:tcW w:w="1080" w:type="dxa"/>
          </w:tcPr>
          <w:p w14:paraId="3A4E278E" w14:textId="77777777" w:rsidR="008E67EA" w:rsidRPr="00FF36BF" w:rsidRDefault="008E67EA" w:rsidP="00B44A74">
            <w:pPr>
              <w:spacing w:line="280" w:lineRule="exact"/>
              <w:rPr>
                <w:rFonts w:cs="Arial"/>
                <w:sz w:val="20"/>
                <w:szCs w:val="20"/>
              </w:rPr>
            </w:pPr>
            <w:r>
              <w:rPr>
                <w:rFonts w:cs="Arial"/>
                <w:sz w:val="20"/>
                <w:szCs w:val="20"/>
              </w:rPr>
              <w:t>Rats</w:t>
            </w:r>
          </w:p>
        </w:tc>
        <w:tc>
          <w:tcPr>
            <w:tcW w:w="1800" w:type="dxa"/>
          </w:tcPr>
          <w:p w14:paraId="63505411" w14:textId="77777777" w:rsidR="008E67EA" w:rsidRPr="00FF36BF" w:rsidRDefault="008E67EA" w:rsidP="00B44A74">
            <w:pPr>
              <w:spacing w:line="280" w:lineRule="exact"/>
              <w:rPr>
                <w:rFonts w:cs="Arial"/>
                <w:sz w:val="20"/>
                <w:szCs w:val="20"/>
              </w:rPr>
            </w:pPr>
            <w:r>
              <w:rPr>
                <w:rFonts w:cs="Arial"/>
                <w:sz w:val="20"/>
                <w:szCs w:val="20"/>
              </w:rPr>
              <w:t>In and around (within 2 meters) domestic buildings</w:t>
            </w:r>
          </w:p>
        </w:tc>
        <w:tc>
          <w:tcPr>
            <w:tcW w:w="1620" w:type="dxa"/>
          </w:tcPr>
          <w:p w14:paraId="1BB5F615" w14:textId="77777777" w:rsidR="008E67EA" w:rsidRPr="00FF36BF" w:rsidRDefault="008E67EA" w:rsidP="00B44A74">
            <w:pPr>
              <w:spacing w:line="280" w:lineRule="exact"/>
              <w:rPr>
                <w:rFonts w:cs="Arial"/>
                <w:sz w:val="20"/>
                <w:szCs w:val="20"/>
              </w:rPr>
            </w:pPr>
            <w:r>
              <w:rPr>
                <w:rFonts w:cs="Arial"/>
                <w:sz w:val="20"/>
                <w:szCs w:val="20"/>
              </w:rPr>
              <w:t xml:space="preserve">Minimum 3 bait sachets (30 g) per bait station. </w:t>
            </w:r>
          </w:p>
        </w:tc>
        <w:tc>
          <w:tcPr>
            <w:tcW w:w="4500" w:type="dxa"/>
          </w:tcPr>
          <w:p w14:paraId="2EAE384E" w14:textId="77777777" w:rsidR="008E67EA" w:rsidRDefault="008E67EA" w:rsidP="00B44A74">
            <w:pPr>
              <w:spacing w:line="280" w:lineRule="exact"/>
              <w:rPr>
                <w:rFonts w:cs="Arial"/>
                <w:sz w:val="20"/>
                <w:szCs w:val="20"/>
              </w:rPr>
            </w:pPr>
            <w:r w:rsidRPr="00D81AAB">
              <w:rPr>
                <w:rFonts w:cs="Arial"/>
                <w:sz w:val="20"/>
                <w:szCs w:val="20"/>
              </w:rPr>
              <w:t xml:space="preserve">Place the bait </w:t>
            </w:r>
            <w:r>
              <w:rPr>
                <w:rFonts w:cs="Arial"/>
                <w:sz w:val="20"/>
                <w:szCs w:val="20"/>
              </w:rPr>
              <w:t>stations</w:t>
            </w:r>
            <w:r w:rsidRPr="00D81AAB">
              <w:rPr>
                <w:rFonts w:cs="Arial"/>
                <w:sz w:val="20"/>
                <w:szCs w:val="20"/>
              </w:rPr>
              <w:t xml:space="preserve"> in areas of known rodent activity and under cover (e.g. behind appliances and furniture, in ceiling voids etc.).</w:t>
            </w:r>
          </w:p>
          <w:p w14:paraId="6CB2D669" w14:textId="77777777" w:rsidR="008E67EA" w:rsidRPr="00FF36BF" w:rsidRDefault="008E67EA" w:rsidP="00B44A74">
            <w:pPr>
              <w:spacing w:line="280" w:lineRule="exact"/>
              <w:rPr>
                <w:rFonts w:cs="Arial"/>
                <w:sz w:val="20"/>
                <w:szCs w:val="20"/>
              </w:rPr>
            </w:pPr>
            <w:r>
              <w:rPr>
                <w:rFonts w:cs="Arial"/>
                <w:sz w:val="20"/>
                <w:szCs w:val="20"/>
              </w:rPr>
              <w:t xml:space="preserve">Rats require larger quantities of baits at fewer locations. DO NOT exceed 9 meters between bait stations. </w:t>
            </w:r>
          </w:p>
        </w:tc>
      </w:tr>
      <w:tr w:rsidR="008E67EA" w:rsidRPr="00FF36BF" w14:paraId="5821CC9F" w14:textId="77777777" w:rsidTr="009C4F64">
        <w:trPr>
          <w:trHeight w:val="841"/>
        </w:trPr>
        <w:tc>
          <w:tcPr>
            <w:tcW w:w="9000" w:type="dxa"/>
            <w:gridSpan w:val="4"/>
          </w:tcPr>
          <w:p w14:paraId="3EA76A72" w14:textId="77777777" w:rsidR="008E67EA" w:rsidRPr="00D81AAB" w:rsidRDefault="008E67EA" w:rsidP="00B44A74">
            <w:pPr>
              <w:spacing w:after="120" w:line="280" w:lineRule="exact"/>
              <w:rPr>
                <w:rFonts w:cs="Arial"/>
                <w:b/>
                <w:bCs/>
                <w:sz w:val="20"/>
                <w:szCs w:val="20"/>
                <w:bdr w:val="none" w:sz="0" w:space="0" w:color="auto" w:frame="1"/>
              </w:rPr>
            </w:pPr>
            <w:r w:rsidRPr="00D81AAB">
              <w:rPr>
                <w:rFonts w:cs="Arial"/>
                <w:b/>
                <w:bCs/>
                <w:sz w:val="20"/>
                <w:szCs w:val="20"/>
                <w:bdr w:val="none" w:sz="0" w:space="0" w:color="auto" w:frame="1"/>
              </w:rPr>
              <w:t>BAITING STRATEGY</w:t>
            </w:r>
          </w:p>
          <w:p w14:paraId="37AB7E84" w14:textId="77777777" w:rsidR="008E67EA" w:rsidRDefault="008E67EA" w:rsidP="00B44A74">
            <w:pPr>
              <w:spacing w:after="120" w:line="280" w:lineRule="exact"/>
              <w:rPr>
                <w:rFonts w:cs="Arial"/>
                <w:sz w:val="20"/>
                <w:szCs w:val="20"/>
                <w:bdr w:val="none" w:sz="0" w:space="0" w:color="auto" w:frame="1"/>
              </w:rPr>
            </w:pPr>
            <w:r w:rsidRPr="00D81AAB">
              <w:rPr>
                <w:rFonts w:cs="Arial"/>
                <w:sz w:val="20"/>
                <w:szCs w:val="20"/>
                <w:bdr w:val="none" w:sz="0" w:space="0" w:color="auto" w:frame="1"/>
              </w:rPr>
              <w:t>Eliminate, as far as practicable, all alternative rodent food sources.</w:t>
            </w:r>
          </w:p>
          <w:p w14:paraId="49216565" w14:textId="77777777" w:rsidR="008E67EA" w:rsidRDefault="008E67EA" w:rsidP="00B44A74">
            <w:pPr>
              <w:spacing w:after="120" w:line="280" w:lineRule="exact"/>
              <w:rPr>
                <w:rFonts w:eastAsia="Calibri" w:cs="Arial"/>
                <w:sz w:val="20"/>
                <w:szCs w:val="20"/>
                <w:bdr w:val="none" w:sz="0" w:space="0" w:color="auto" w:frame="1"/>
                <w:lang w:val="en-GB"/>
              </w:rPr>
            </w:pPr>
            <w:r w:rsidRPr="00D0124D">
              <w:rPr>
                <w:rFonts w:eastAsia="Calibri" w:cs="Arial"/>
                <w:sz w:val="20"/>
                <w:szCs w:val="20"/>
                <w:bdr w:val="none" w:sz="0" w:space="0" w:color="auto" w:frame="1"/>
              </w:rPr>
              <w:t>D</w:t>
            </w:r>
            <w:r>
              <w:rPr>
                <w:rFonts w:eastAsia="Calibri" w:cs="Arial"/>
                <w:sz w:val="20"/>
                <w:szCs w:val="20"/>
                <w:bdr w:val="none" w:sz="0" w:space="0" w:color="auto" w:frame="1"/>
              </w:rPr>
              <w:t>O</w:t>
            </w:r>
            <w:r w:rsidRPr="00D0124D">
              <w:rPr>
                <w:rFonts w:eastAsia="Calibri" w:cs="Arial"/>
                <w:sz w:val="20"/>
                <w:szCs w:val="20"/>
                <w:bdr w:val="none" w:sz="0" w:space="0" w:color="auto" w:frame="1"/>
              </w:rPr>
              <w:t xml:space="preserve"> NOT remove bait from the paper sachet. </w:t>
            </w:r>
            <w:r w:rsidRPr="001E6DA9">
              <w:rPr>
                <w:rFonts w:eastAsia="Calibri" w:cs="Arial"/>
                <w:sz w:val="20"/>
                <w:szCs w:val="20"/>
                <w:bdr w:val="none" w:sz="0" w:space="0" w:color="auto" w:frame="1"/>
                <w:lang w:val="en-GB"/>
              </w:rPr>
              <w:t>Use in tamper resistant bait stations only.</w:t>
            </w:r>
            <w:r>
              <w:rPr>
                <w:rFonts w:eastAsia="Calibri" w:cs="Arial"/>
                <w:sz w:val="20"/>
                <w:szCs w:val="20"/>
                <w:bdr w:val="none" w:sz="0" w:space="0" w:color="auto" w:frame="1"/>
                <w:lang w:val="en-GB"/>
              </w:rPr>
              <w:t xml:space="preserve"> </w:t>
            </w:r>
            <w:r w:rsidRPr="001E6DA9">
              <w:rPr>
                <w:rFonts w:eastAsia="Calibri" w:cs="Arial"/>
                <w:sz w:val="20"/>
                <w:szCs w:val="20"/>
                <w:bdr w:val="none" w:sz="0" w:space="0" w:color="auto" w:frame="1"/>
                <w:lang w:val="en-GB"/>
              </w:rPr>
              <w:t>If bait can be dislodged from bait station, fix tamper-resistant bait stations to the ground or other structures.</w:t>
            </w:r>
          </w:p>
          <w:p w14:paraId="213BAC8F" w14:textId="77777777" w:rsidR="008E67EA" w:rsidRPr="00D0124D" w:rsidRDefault="008E67EA" w:rsidP="00B44A74">
            <w:pPr>
              <w:spacing w:after="120" w:line="280" w:lineRule="exact"/>
              <w:rPr>
                <w:rFonts w:eastAsia="Calibri" w:cs="Arial"/>
                <w:sz w:val="20"/>
                <w:szCs w:val="20"/>
                <w:bdr w:val="none" w:sz="0" w:space="0" w:color="auto" w:frame="1"/>
                <w:lang w:val="en-GB"/>
              </w:rPr>
            </w:pPr>
            <w:r w:rsidRPr="00D0124D">
              <w:rPr>
                <w:rFonts w:eastAsia="Calibri" w:cs="Arial"/>
                <w:sz w:val="20"/>
                <w:szCs w:val="20"/>
                <w:bdr w:val="none" w:sz="0" w:space="0" w:color="auto" w:frame="1"/>
                <w:lang w:val="en-GB"/>
              </w:rPr>
              <w:t>Inspect baits regularly (daily). If bait is eaten up quickly then increase the number of bait</w:t>
            </w:r>
            <w:r>
              <w:rPr>
                <w:rFonts w:eastAsia="Calibri" w:cs="Arial"/>
                <w:sz w:val="20"/>
                <w:szCs w:val="20"/>
                <w:bdr w:val="none" w:sz="0" w:space="0" w:color="auto" w:frame="1"/>
                <w:lang w:val="en-GB"/>
              </w:rPr>
              <w:t xml:space="preserve"> </w:t>
            </w:r>
            <w:r w:rsidRPr="00D0124D">
              <w:rPr>
                <w:rFonts w:eastAsia="Calibri" w:cs="Arial"/>
                <w:sz w:val="20"/>
                <w:szCs w:val="20"/>
                <w:bdr w:val="none" w:sz="0" w:space="0" w:color="auto" w:frame="1"/>
                <w:lang w:val="en-GB"/>
              </w:rPr>
              <w:t>sachets at each location. Continue observation and replenishment until no more bait is</w:t>
            </w:r>
            <w:r>
              <w:rPr>
                <w:rFonts w:eastAsia="Calibri" w:cs="Arial"/>
                <w:sz w:val="20"/>
                <w:szCs w:val="20"/>
                <w:bdr w:val="none" w:sz="0" w:space="0" w:color="auto" w:frame="1"/>
                <w:lang w:val="en-GB"/>
              </w:rPr>
              <w:t xml:space="preserve"> </w:t>
            </w:r>
            <w:r w:rsidRPr="00D0124D">
              <w:rPr>
                <w:rFonts w:eastAsia="Calibri" w:cs="Arial"/>
                <w:sz w:val="20"/>
                <w:szCs w:val="20"/>
                <w:bdr w:val="none" w:sz="0" w:space="0" w:color="auto" w:frame="1"/>
                <w:lang w:val="en-GB"/>
              </w:rPr>
              <w:t>taken.</w:t>
            </w:r>
          </w:p>
          <w:p w14:paraId="0957ADC3" w14:textId="77777777" w:rsidR="008E67EA" w:rsidRDefault="008E67EA" w:rsidP="00B44A74">
            <w:pPr>
              <w:spacing w:after="120" w:line="280" w:lineRule="exact"/>
              <w:rPr>
                <w:rFonts w:eastAsia="Calibri" w:cs="Arial"/>
                <w:sz w:val="20"/>
                <w:szCs w:val="20"/>
                <w:bdr w:val="none" w:sz="0" w:space="0" w:color="auto" w:frame="1"/>
                <w:lang w:val="en-GB"/>
              </w:rPr>
            </w:pPr>
            <w:r w:rsidRPr="00D0124D">
              <w:rPr>
                <w:rFonts w:eastAsia="Calibri" w:cs="Arial"/>
                <w:sz w:val="20"/>
                <w:szCs w:val="20"/>
                <w:bdr w:val="none" w:sz="0" w:space="0" w:color="auto" w:frame="1"/>
                <w:lang w:val="en-GB"/>
              </w:rPr>
              <w:t>Baiting for at least 2 weeks is necessary to reduce mouse or rat numbers.</w:t>
            </w:r>
          </w:p>
          <w:p w14:paraId="03B1D415" w14:textId="77777777" w:rsidR="008E67EA" w:rsidRPr="00D0124D" w:rsidRDefault="008E67EA" w:rsidP="00B44A74">
            <w:pPr>
              <w:spacing w:after="120" w:line="280" w:lineRule="exact"/>
              <w:rPr>
                <w:rFonts w:eastAsia="Calibri" w:cs="Arial"/>
                <w:sz w:val="20"/>
                <w:szCs w:val="20"/>
                <w:bdr w:val="none" w:sz="0" w:space="0" w:color="auto" w:frame="1"/>
                <w:lang w:val="en-GB"/>
              </w:rPr>
            </w:pPr>
            <w:r w:rsidRPr="00D96955">
              <w:rPr>
                <w:rFonts w:eastAsia="Calibri" w:cs="Arial"/>
                <w:sz w:val="20"/>
                <w:szCs w:val="20"/>
                <w:bdr w:val="none" w:sz="0" w:space="0" w:color="auto" w:frame="1"/>
                <w:lang w:val="en-GB"/>
              </w:rPr>
              <w:t>DO NOT use the product beyond 35 days. If rodent activity is still observed after 35 days, seek advice from the product supplier or call a pest control service.</w:t>
            </w:r>
          </w:p>
        </w:tc>
      </w:tr>
    </w:tbl>
    <w:p w14:paraId="424A1621" w14:textId="0047175C" w:rsidR="008E67EA" w:rsidRPr="009C4F64" w:rsidRDefault="008E67EA" w:rsidP="008E67EA">
      <w:pPr>
        <w:rPr>
          <w:rFonts w:eastAsia="Arial Unicode MS" w:hAnsi="Arial Unicode MS" w:cs="Arial Unicode MS"/>
          <w:szCs w:val="18"/>
          <w:u w:color="000000"/>
          <w:bdr w:val="nil"/>
          <w:lang w:val="en-GB" w:eastAsia="en-AU"/>
        </w:rPr>
      </w:pPr>
      <w:r w:rsidRPr="00FF36BF">
        <w:rPr>
          <w:rFonts w:cs="Arial"/>
          <w:b/>
          <w:bCs/>
          <w:sz w:val="20"/>
          <w:szCs w:val="20"/>
        </w:rPr>
        <w:t>NOT TO BE USED FOR ANY PURPOSE, OR IN ANY MANNER, CONTRARY TO THIS LABEL UNLESS AUTHORISED.</w:t>
      </w:r>
      <w:r>
        <w:rPr>
          <w:color w:val="FF0000"/>
        </w:rPr>
        <w:br w:type="page"/>
      </w:r>
    </w:p>
    <w:p w14:paraId="2F3FB885" w14:textId="77777777" w:rsidR="008E67EA" w:rsidRPr="00DA343B" w:rsidRDefault="008E67EA" w:rsidP="008E67EA">
      <w:pPr>
        <w:pStyle w:val="Heading1"/>
        <w:rPr>
          <w:rFonts w:ascii="Franklin Gothic Medium" w:eastAsia="Arial Unicode MS" w:hAnsi="Franklin Gothic Medium"/>
          <w:color w:val="000000" w:themeColor="text1"/>
          <w:sz w:val="28"/>
          <w:szCs w:val="28"/>
          <w:bdr w:val="none" w:sz="0" w:space="0" w:color="auto" w:frame="1"/>
          <w:lang w:val="en-GB" w:eastAsia="en-AU"/>
        </w:rPr>
      </w:pPr>
      <w:r>
        <w:rPr>
          <w:rFonts w:ascii="Franklin Gothic Medium" w:eastAsia="Arial Unicode MS" w:hAnsi="Franklin Gothic Medium"/>
          <w:color w:val="000000" w:themeColor="text1"/>
          <w:sz w:val="28"/>
          <w:szCs w:val="28"/>
          <w:bdr w:val="none" w:sz="0" w:space="0" w:color="auto" w:frame="1"/>
          <w:lang w:val="en-GB" w:eastAsia="en-AU"/>
        </w:rPr>
        <w:lastRenderedPageBreak/>
        <w:t>Difenacoum</w:t>
      </w:r>
    </w:p>
    <w:p w14:paraId="3A969990" w14:textId="77777777" w:rsidR="008E67EA" w:rsidRDefault="008E67EA" w:rsidP="008E67EA">
      <w:pPr>
        <w:keepNext/>
        <w:keepLines/>
        <w:spacing w:before="400" w:after="240" w:line="280" w:lineRule="exact"/>
        <w:outlineLvl w:val="1"/>
        <w:rPr>
          <w:rFonts w:ascii="Franklin Gothic Medium" w:eastAsia="Arial Unicode MS" w:hAnsi="Franklin Gothic Medium"/>
          <w:bCs/>
          <w:iCs/>
          <w:bdr w:val="none" w:sz="0" w:space="0" w:color="auto" w:frame="1"/>
          <w:lang w:val="en-GB" w:eastAsia="en-AU"/>
        </w:rPr>
      </w:pPr>
      <w:r w:rsidRPr="00FF36BF">
        <w:rPr>
          <w:rFonts w:ascii="Franklin Gothic Medium" w:eastAsia="Arial Unicode MS" w:hAnsi="Franklin Gothic Medium"/>
          <w:bCs/>
          <w:iCs/>
          <w:bdr w:val="none" w:sz="0" w:space="0" w:color="auto" w:frame="1"/>
          <w:lang w:val="en-GB" w:eastAsia="en-AU"/>
        </w:rPr>
        <w:t>Commercial</w:t>
      </w:r>
      <w:r>
        <w:rPr>
          <w:rFonts w:ascii="Franklin Gothic Medium" w:eastAsia="Arial Unicode MS" w:hAnsi="Franklin Gothic Medium"/>
          <w:bCs/>
          <w:iCs/>
          <w:bdr w:val="none" w:sz="0" w:space="0" w:color="auto" w:frame="1"/>
          <w:lang w:val="en-GB" w:eastAsia="en-AU"/>
        </w:rPr>
        <w:t xml:space="preserve"> pest-control product:</w:t>
      </w:r>
      <w:r w:rsidRPr="00FF36BF">
        <w:rPr>
          <w:rFonts w:ascii="Franklin Gothic Medium" w:eastAsia="Arial Unicode MS" w:hAnsi="Franklin Gothic Medium"/>
          <w:bCs/>
          <w:iCs/>
          <w:bdr w:val="none" w:sz="0" w:space="0" w:color="auto" w:frame="1"/>
          <w:lang w:val="en-GB" w:eastAsia="en-AU"/>
        </w:rPr>
        <w:t xml:space="preserve"> </w:t>
      </w:r>
      <w:r w:rsidRPr="00DA343B">
        <w:rPr>
          <w:rFonts w:ascii="Franklin Gothic Medium" w:eastAsia="Arial Unicode MS" w:hAnsi="Franklin Gothic Medium"/>
          <w:bCs/>
          <w:iCs/>
          <w:bdr w:val="none" w:sz="0" w:space="0" w:color="auto" w:frame="1"/>
          <w:lang w:val="en-GB" w:eastAsia="en-AU"/>
        </w:rPr>
        <w:t>RB 0.05 g/kg or less in block formulation</w:t>
      </w:r>
    </w:p>
    <w:p w14:paraId="3E8DFB96" w14:textId="77777777" w:rsidR="008E67EA"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t xml:space="preserve">Template Label </w:t>
      </w:r>
      <w:r>
        <w:rPr>
          <w:rFonts w:cs="Arial"/>
          <w:b/>
          <w:bCs/>
          <w:sz w:val="20"/>
          <w:szCs w:val="20"/>
          <w:bdr w:val="none" w:sz="0" w:space="0" w:color="auto" w:frame="1"/>
          <w:lang w:val="en-GB" w:eastAsia="en-AU"/>
        </w:rPr>
        <w:t>19a</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A47785" w14:paraId="21731EE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7F96DE6" w14:textId="77777777" w:rsidR="008E67EA" w:rsidRPr="00A47785" w:rsidRDefault="008E67EA" w:rsidP="00B44A74">
            <w:pPr>
              <w:spacing w:line="280" w:lineRule="exact"/>
              <w:rPr>
                <w:rFonts w:cs="Arial"/>
                <w:sz w:val="20"/>
                <w:szCs w:val="20"/>
              </w:rPr>
            </w:pPr>
            <w:r w:rsidRPr="00A47785">
              <w:rPr>
                <w:rFonts w:cs="Arial"/>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66FA0A89" w14:textId="77777777" w:rsidR="008E67EA" w:rsidRPr="00010FCA" w:rsidRDefault="008E67EA" w:rsidP="00B44A74">
            <w:pPr>
              <w:spacing w:line="280" w:lineRule="exact"/>
              <w:rPr>
                <w:rFonts w:cs="Arial"/>
                <w:sz w:val="20"/>
                <w:szCs w:val="20"/>
              </w:rPr>
            </w:pPr>
            <w:r w:rsidRPr="00010FCA">
              <w:rPr>
                <w:rFonts w:cs="Arial"/>
                <w:sz w:val="20"/>
                <w:szCs w:val="20"/>
              </w:rPr>
              <w:t>[INSERT LABEL NAME]</w:t>
            </w:r>
          </w:p>
        </w:tc>
      </w:tr>
      <w:tr w:rsidR="008E67EA" w:rsidRPr="00A47785" w14:paraId="52543774" w14:textId="77777777" w:rsidTr="00B44A74">
        <w:trPr>
          <w:jc w:val="center"/>
        </w:trPr>
        <w:tc>
          <w:tcPr>
            <w:tcW w:w="2415" w:type="dxa"/>
            <w:tcBorders>
              <w:top w:val="single" w:sz="4" w:space="0" w:color="auto"/>
              <w:left w:val="nil"/>
              <w:bottom w:val="single" w:sz="4" w:space="0" w:color="auto"/>
              <w:right w:val="nil"/>
            </w:tcBorders>
          </w:tcPr>
          <w:p w14:paraId="58749A45" w14:textId="77777777" w:rsidR="008E67EA" w:rsidRPr="00A4778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C4F1E90" w14:textId="77777777" w:rsidR="008E67EA" w:rsidRPr="00010FCA" w:rsidRDefault="008E67EA" w:rsidP="00B44A74">
            <w:pPr>
              <w:spacing w:line="280" w:lineRule="exact"/>
              <w:rPr>
                <w:rFonts w:cs="Arial"/>
                <w:sz w:val="20"/>
                <w:szCs w:val="20"/>
              </w:rPr>
            </w:pPr>
          </w:p>
        </w:tc>
      </w:tr>
      <w:tr w:rsidR="008E67EA" w:rsidRPr="00A47785" w14:paraId="148A5AB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3E03F60" w14:textId="77777777" w:rsidR="008E67EA" w:rsidRPr="00A47785" w:rsidRDefault="008E67EA" w:rsidP="00B44A74">
            <w:pPr>
              <w:spacing w:line="280" w:lineRule="exact"/>
              <w:rPr>
                <w:rFonts w:cs="Arial"/>
                <w:sz w:val="20"/>
                <w:szCs w:val="20"/>
              </w:rPr>
            </w:pPr>
            <w:r w:rsidRPr="00A47785">
              <w:rPr>
                <w:rFonts w:cs="Arial"/>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4CEBFE5F" w14:textId="77777777" w:rsidR="008E67EA" w:rsidRPr="00010FCA" w:rsidRDefault="008E67EA" w:rsidP="00B44A74">
            <w:pPr>
              <w:spacing w:line="280" w:lineRule="exact"/>
              <w:rPr>
                <w:rFonts w:cs="Arial"/>
                <w:sz w:val="20"/>
                <w:szCs w:val="20"/>
              </w:rPr>
            </w:pPr>
            <w:r w:rsidRPr="00565F54">
              <w:rPr>
                <w:rFonts w:cs="Arial"/>
                <w:color w:val="000000"/>
                <w:sz w:val="20"/>
                <w:szCs w:val="20"/>
                <w:lang w:val="en-GB"/>
              </w:rPr>
              <w:t>POISON</w:t>
            </w:r>
            <w:r w:rsidRPr="00565F54">
              <w:rPr>
                <w:rFonts w:cs="Arial"/>
                <w:color w:val="000000"/>
                <w:sz w:val="20"/>
                <w:szCs w:val="20"/>
                <w:lang w:val="en-GB"/>
              </w:rPr>
              <w:br/>
              <w:t>KEEP OUT OF REACH OF CHILDREN</w:t>
            </w:r>
            <w:r w:rsidRPr="00565F54">
              <w:rPr>
                <w:rFonts w:cs="Arial"/>
                <w:color w:val="000000"/>
                <w:sz w:val="20"/>
                <w:szCs w:val="20"/>
                <w:lang w:val="en-GB"/>
              </w:rPr>
              <w:br/>
              <w:t>READ SAFETY DIRECTIONS BEFORE OPENING OR USING</w:t>
            </w:r>
          </w:p>
        </w:tc>
      </w:tr>
      <w:tr w:rsidR="008E67EA" w:rsidRPr="00A47785" w14:paraId="62A674E5" w14:textId="77777777" w:rsidTr="00B44A74">
        <w:trPr>
          <w:jc w:val="center"/>
        </w:trPr>
        <w:tc>
          <w:tcPr>
            <w:tcW w:w="2415" w:type="dxa"/>
            <w:tcBorders>
              <w:top w:val="single" w:sz="4" w:space="0" w:color="auto"/>
              <w:left w:val="nil"/>
              <w:bottom w:val="single" w:sz="4" w:space="0" w:color="auto"/>
              <w:right w:val="nil"/>
            </w:tcBorders>
          </w:tcPr>
          <w:p w14:paraId="1AC67D37" w14:textId="77777777" w:rsidR="008E67EA" w:rsidRPr="00A4778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BBE67F1" w14:textId="77777777" w:rsidR="008E67EA" w:rsidRPr="00010FCA" w:rsidRDefault="008E67EA" w:rsidP="00B44A74">
            <w:pPr>
              <w:spacing w:line="280" w:lineRule="exact"/>
              <w:rPr>
                <w:rFonts w:cs="Arial"/>
                <w:sz w:val="20"/>
                <w:szCs w:val="20"/>
              </w:rPr>
            </w:pPr>
          </w:p>
        </w:tc>
      </w:tr>
      <w:tr w:rsidR="008E67EA" w:rsidRPr="00A47785" w14:paraId="3758A9A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6DF680F" w14:textId="77777777" w:rsidR="008E67EA" w:rsidRPr="00A47785" w:rsidRDefault="008E67EA" w:rsidP="00B44A74">
            <w:pPr>
              <w:spacing w:line="280" w:lineRule="exact"/>
              <w:rPr>
                <w:rFonts w:cs="Arial"/>
                <w:sz w:val="20"/>
                <w:szCs w:val="20"/>
              </w:rPr>
            </w:pPr>
            <w:r w:rsidRPr="00A47785">
              <w:rPr>
                <w:rFonts w:cs="Arial"/>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63A7CC62" w14:textId="77777777" w:rsidR="008E67EA" w:rsidRPr="00010FCA" w:rsidRDefault="008E67EA" w:rsidP="00B44A74">
            <w:pPr>
              <w:spacing w:line="280" w:lineRule="exact"/>
              <w:rPr>
                <w:rFonts w:cs="Arial"/>
                <w:sz w:val="20"/>
                <w:szCs w:val="20"/>
              </w:rPr>
            </w:pPr>
            <w:r w:rsidRPr="00565F54">
              <w:rPr>
                <w:rFonts w:cs="Arial"/>
                <w:sz w:val="20"/>
                <w:szCs w:val="20"/>
              </w:rPr>
              <w:t>ACTIVE CONSTITUENTS: 0.05 g/kg</w:t>
            </w:r>
            <w:r w:rsidRPr="00010FCA" w:rsidDel="005B55D9">
              <w:rPr>
                <w:rFonts w:cs="Arial"/>
                <w:sz w:val="20"/>
                <w:szCs w:val="20"/>
              </w:rPr>
              <w:t xml:space="preserve"> </w:t>
            </w:r>
            <w:r w:rsidRPr="00565F54">
              <w:rPr>
                <w:rFonts w:cs="Arial"/>
                <w:sz w:val="20"/>
                <w:szCs w:val="20"/>
              </w:rPr>
              <w:t xml:space="preserve">DIFENACOUM </w:t>
            </w:r>
          </w:p>
        </w:tc>
      </w:tr>
      <w:tr w:rsidR="008E67EA" w:rsidRPr="00A47785" w14:paraId="0CFD4A2A" w14:textId="77777777" w:rsidTr="00B44A74">
        <w:trPr>
          <w:jc w:val="center"/>
        </w:trPr>
        <w:tc>
          <w:tcPr>
            <w:tcW w:w="2415" w:type="dxa"/>
            <w:tcBorders>
              <w:top w:val="single" w:sz="4" w:space="0" w:color="auto"/>
              <w:left w:val="nil"/>
              <w:bottom w:val="single" w:sz="4" w:space="0" w:color="auto"/>
              <w:right w:val="nil"/>
            </w:tcBorders>
          </w:tcPr>
          <w:p w14:paraId="5F70AA7B" w14:textId="77777777" w:rsidR="008E67EA" w:rsidRPr="00A4778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049097A" w14:textId="77777777" w:rsidR="008E67EA" w:rsidRPr="00A47785" w:rsidRDefault="008E67EA" w:rsidP="00B44A74">
            <w:pPr>
              <w:spacing w:line="280" w:lineRule="exact"/>
              <w:rPr>
                <w:rFonts w:cs="Arial"/>
                <w:sz w:val="20"/>
                <w:szCs w:val="20"/>
              </w:rPr>
            </w:pPr>
          </w:p>
        </w:tc>
      </w:tr>
      <w:tr w:rsidR="008E67EA" w:rsidRPr="00A47785" w14:paraId="084D943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C12F39D" w14:textId="77777777" w:rsidR="008E67EA" w:rsidRPr="00A47785" w:rsidRDefault="008E67EA" w:rsidP="00B44A74">
            <w:pPr>
              <w:spacing w:line="280" w:lineRule="exact"/>
              <w:rPr>
                <w:rFonts w:cs="Arial"/>
                <w:sz w:val="20"/>
                <w:szCs w:val="20"/>
              </w:rPr>
            </w:pPr>
            <w:r w:rsidRPr="00A47785">
              <w:rPr>
                <w:rFonts w:cs="Arial"/>
                <w:sz w:val="20"/>
                <w:szCs w:val="20"/>
              </w:rPr>
              <w:t>Mode of Action:</w:t>
            </w:r>
          </w:p>
        </w:tc>
        <w:tc>
          <w:tcPr>
            <w:tcW w:w="7755" w:type="dxa"/>
            <w:tcBorders>
              <w:top w:val="single" w:sz="4" w:space="0" w:color="auto"/>
              <w:left w:val="single" w:sz="4" w:space="0" w:color="auto"/>
              <w:bottom w:val="single" w:sz="4" w:space="0" w:color="auto"/>
              <w:right w:val="single" w:sz="4" w:space="0" w:color="auto"/>
            </w:tcBorders>
          </w:tcPr>
          <w:p w14:paraId="2E18CBC2" w14:textId="77777777" w:rsidR="008E67EA" w:rsidRPr="00A47785" w:rsidRDefault="008E67EA" w:rsidP="00B44A74">
            <w:pPr>
              <w:spacing w:line="280" w:lineRule="exact"/>
              <w:jc w:val="both"/>
              <w:rPr>
                <w:rFonts w:cs="Arial"/>
                <w:sz w:val="20"/>
                <w:szCs w:val="20"/>
              </w:rPr>
            </w:pPr>
          </w:p>
        </w:tc>
      </w:tr>
      <w:tr w:rsidR="008E67EA" w:rsidRPr="00A47785" w14:paraId="357B5DBB" w14:textId="77777777" w:rsidTr="00B44A74">
        <w:trPr>
          <w:jc w:val="center"/>
        </w:trPr>
        <w:tc>
          <w:tcPr>
            <w:tcW w:w="2415" w:type="dxa"/>
            <w:tcBorders>
              <w:top w:val="single" w:sz="4" w:space="0" w:color="auto"/>
              <w:left w:val="nil"/>
              <w:bottom w:val="single" w:sz="4" w:space="0" w:color="auto"/>
              <w:right w:val="nil"/>
            </w:tcBorders>
          </w:tcPr>
          <w:p w14:paraId="233CBBEF" w14:textId="77777777" w:rsidR="008E67EA" w:rsidRPr="00A4778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C027625" w14:textId="77777777" w:rsidR="008E67EA" w:rsidRPr="00A47785" w:rsidRDefault="008E67EA" w:rsidP="00B44A74">
            <w:pPr>
              <w:spacing w:line="280" w:lineRule="exact"/>
              <w:rPr>
                <w:rFonts w:cs="Arial"/>
                <w:sz w:val="20"/>
                <w:szCs w:val="20"/>
              </w:rPr>
            </w:pPr>
          </w:p>
        </w:tc>
      </w:tr>
      <w:tr w:rsidR="008E67EA" w:rsidRPr="00A47785" w14:paraId="0EB8639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8C7A52D" w14:textId="77777777" w:rsidR="008E67EA" w:rsidRPr="00A47785" w:rsidRDefault="008E67EA" w:rsidP="00B44A74">
            <w:pPr>
              <w:spacing w:line="280" w:lineRule="exact"/>
              <w:rPr>
                <w:rFonts w:cs="Arial"/>
                <w:sz w:val="20"/>
                <w:szCs w:val="20"/>
              </w:rPr>
            </w:pPr>
            <w:r w:rsidRPr="00A47785">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7E188BCE" w14:textId="77777777" w:rsidR="008E67EA" w:rsidRPr="00010FCA" w:rsidRDefault="008E67EA" w:rsidP="00B44A74">
            <w:pPr>
              <w:spacing w:line="280" w:lineRule="exact"/>
              <w:rPr>
                <w:rFonts w:cs="Arial"/>
                <w:sz w:val="20"/>
                <w:szCs w:val="20"/>
              </w:rPr>
            </w:pPr>
            <w:r w:rsidRPr="00565F54">
              <w:rPr>
                <w:rFonts w:cs="Arial"/>
                <w:color w:val="000000"/>
                <w:sz w:val="20"/>
                <w:szCs w:val="20"/>
              </w:rPr>
              <w:t>For control of mice in industrial, commercial, agricultural</w:t>
            </w:r>
            <w:r>
              <w:rPr>
                <w:rFonts w:cs="Arial"/>
                <w:color w:val="000000"/>
                <w:sz w:val="20"/>
                <w:szCs w:val="20"/>
              </w:rPr>
              <w:t>,</w:t>
            </w:r>
            <w:r w:rsidRPr="00565F54">
              <w:rPr>
                <w:rFonts w:cs="Arial"/>
                <w:color w:val="000000"/>
                <w:sz w:val="20"/>
                <w:szCs w:val="20"/>
              </w:rPr>
              <w:t xml:space="preserve"> </w:t>
            </w:r>
            <w:r>
              <w:rPr>
                <w:rFonts w:cs="Arial"/>
                <w:color w:val="000000"/>
                <w:sz w:val="20"/>
                <w:szCs w:val="20"/>
              </w:rPr>
              <w:t xml:space="preserve">public services </w:t>
            </w:r>
            <w:r w:rsidRPr="00565F54">
              <w:rPr>
                <w:rFonts w:cs="Arial"/>
                <w:color w:val="000000"/>
                <w:sz w:val="20"/>
                <w:szCs w:val="20"/>
              </w:rPr>
              <w:t>and domestic buildings and rats in and around industrial, commercial, agricultural</w:t>
            </w:r>
            <w:r>
              <w:rPr>
                <w:rFonts w:cs="Arial"/>
                <w:color w:val="000000"/>
                <w:sz w:val="20"/>
                <w:szCs w:val="20"/>
              </w:rPr>
              <w:t>, public services</w:t>
            </w:r>
            <w:r w:rsidRPr="00565F54">
              <w:rPr>
                <w:rFonts w:cs="Arial"/>
                <w:color w:val="000000"/>
                <w:sz w:val="20"/>
                <w:szCs w:val="20"/>
              </w:rPr>
              <w:t xml:space="preserve"> and domestic buildings.</w:t>
            </w:r>
          </w:p>
        </w:tc>
      </w:tr>
      <w:tr w:rsidR="008E67EA" w:rsidRPr="00A47785" w14:paraId="05D27AB2" w14:textId="77777777" w:rsidTr="00B44A74">
        <w:trPr>
          <w:jc w:val="center"/>
        </w:trPr>
        <w:tc>
          <w:tcPr>
            <w:tcW w:w="2415" w:type="dxa"/>
            <w:tcBorders>
              <w:top w:val="single" w:sz="4" w:space="0" w:color="auto"/>
              <w:left w:val="nil"/>
              <w:bottom w:val="single" w:sz="4" w:space="0" w:color="auto"/>
              <w:right w:val="nil"/>
            </w:tcBorders>
          </w:tcPr>
          <w:p w14:paraId="52D12DCF" w14:textId="77777777" w:rsidR="008E67EA" w:rsidRPr="00A4778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DD74081" w14:textId="77777777" w:rsidR="008E67EA" w:rsidRPr="00A47785" w:rsidRDefault="008E67EA" w:rsidP="00B44A74">
            <w:pPr>
              <w:spacing w:line="280" w:lineRule="exact"/>
              <w:rPr>
                <w:rFonts w:cs="Arial"/>
                <w:sz w:val="20"/>
                <w:szCs w:val="20"/>
              </w:rPr>
            </w:pPr>
          </w:p>
        </w:tc>
      </w:tr>
      <w:tr w:rsidR="008E67EA" w:rsidRPr="00A47785" w14:paraId="17D425A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6B9AC5E" w14:textId="77777777" w:rsidR="008E67EA" w:rsidRPr="00A47785" w:rsidRDefault="008E67EA" w:rsidP="00B44A74">
            <w:pPr>
              <w:spacing w:line="280" w:lineRule="exact"/>
              <w:rPr>
                <w:rFonts w:cs="Arial"/>
                <w:sz w:val="20"/>
                <w:szCs w:val="20"/>
              </w:rPr>
            </w:pPr>
            <w:r w:rsidRPr="00A47785">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4C168AB5" w14:textId="77777777" w:rsidR="008E67EA" w:rsidRPr="00A47785" w:rsidRDefault="008E67EA" w:rsidP="00B44A74">
            <w:pPr>
              <w:spacing w:line="280" w:lineRule="exact"/>
              <w:rPr>
                <w:rFonts w:cs="Arial"/>
                <w:sz w:val="20"/>
                <w:szCs w:val="20"/>
              </w:rPr>
            </w:pPr>
            <w:r w:rsidRPr="0074786A">
              <w:rPr>
                <w:rFonts w:cs="Arial"/>
                <w:sz w:val="20"/>
                <w:szCs w:val="20"/>
              </w:rPr>
              <w:t>[INSERT NET CONTENTS]</w:t>
            </w:r>
          </w:p>
        </w:tc>
      </w:tr>
      <w:tr w:rsidR="008E67EA" w:rsidRPr="00A47785" w14:paraId="1B1A80BE" w14:textId="77777777" w:rsidTr="00B44A74">
        <w:trPr>
          <w:jc w:val="center"/>
        </w:trPr>
        <w:tc>
          <w:tcPr>
            <w:tcW w:w="2415" w:type="dxa"/>
            <w:tcBorders>
              <w:top w:val="single" w:sz="4" w:space="0" w:color="auto"/>
              <w:left w:val="nil"/>
              <w:bottom w:val="single" w:sz="4" w:space="0" w:color="auto"/>
              <w:right w:val="nil"/>
            </w:tcBorders>
          </w:tcPr>
          <w:p w14:paraId="40B49690" w14:textId="77777777" w:rsidR="008E67EA" w:rsidRPr="00A4778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B00DC90" w14:textId="77777777" w:rsidR="008E67EA" w:rsidRPr="00A47785" w:rsidRDefault="008E67EA" w:rsidP="00B44A74">
            <w:pPr>
              <w:spacing w:line="280" w:lineRule="exact"/>
              <w:rPr>
                <w:rFonts w:cs="Arial"/>
                <w:sz w:val="20"/>
                <w:szCs w:val="20"/>
              </w:rPr>
            </w:pPr>
          </w:p>
        </w:tc>
      </w:tr>
      <w:tr w:rsidR="008E67EA" w:rsidRPr="00A47785" w14:paraId="1556A29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2C9B963" w14:textId="77777777" w:rsidR="008E67EA" w:rsidRPr="00A47785" w:rsidRDefault="008E67EA" w:rsidP="00B44A74">
            <w:pPr>
              <w:spacing w:line="280" w:lineRule="exact"/>
              <w:rPr>
                <w:rFonts w:cs="Arial"/>
                <w:sz w:val="20"/>
                <w:szCs w:val="20"/>
              </w:rPr>
            </w:pPr>
            <w:r w:rsidRPr="00A47785">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6FD9E5ED" w14:textId="77777777" w:rsidR="008E67EA" w:rsidRPr="00565F54" w:rsidRDefault="008E67EA" w:rsidP="00B44A74">
            <w:pPr>
              <w:spacing w:line="280" w:lineRule="exact"/>
              <w:rPr>
                <w:rFonts w:cs="Arial"/>
                <w:b/>
                <w:bCs/>
                <w:sz w:val="20"/>
                <w:szCs w:val="20"/>
                <w:highlight w:val="yellow"/>
              </w:rPr>
            </w:pPr>
            <w:r w:rsidRPr="00565F54">
              <w:rPr>
                <w:rFonts w:cs="Arial"/>
                <w:color w:val="000000"/>
                <w:sz w:val="20"/>
                <w:szCs w:val="20"/>
              </w:rPr>
              <w:t>RESTRAINTS</w:t>
            </w:r>
            <w:r w:rsidRPr="00565F54">
              <w:rPr>
                <w:rFonts w:cs="Arial"/>
                <w:color w:val="000000"/>
                <w:sz w:val="20"/>
                <w:szCs w:val="20"/>
              </w:rPr>
              <w:br/>
              <w:t>DO NOT use this product unless you have a current qualification in the nationally recognised training course for rodent pest management CPPUPM3006 - Manage pests by applying pesticides, or an equivalent unit of competency.</w:t>
            </w:r>
            <w:r w:rsidRPr="00565F54">
              <w:rPr>
                <w:rFonts w:cs="Arial"/>
                <w:color w:val="000000"/>
                <w:sz w:val="20"/>
                <w:szCs w:val="20"/>
              </w:rPr>
              <w:br/>
              <w:t>DO NOT place baits in areas that are accessible to children. In child-accessible areas baits must be placed in tamper-</w:t>
            </w:r>
            <w:r>
              <w:rPr>
                <w:rFonts w:cs="Arial"/>
                <w:color w:val="000000"/>
                <w:sz w:val="20"/>
                <w:szCs w:val="20"/>
              </w:rPr>
              <w:t>resistant</w:t>
            </w:r>
            <w:r w:rsidRPr="00565F54">
              <w:rPr>
                <w:rFonts w:cs="Arial"/>
                <w:color w:val="000000"/>
                <w:sz w:val="20"/>
                <w:szCs w:val="20"/>
              </w:rPr>
              <w:t xml:space="preserve"> bait stations. If bait can be dislodged from bait station, bait station must be secured in place. </w:t>
            </w:r>
            <w:r w:rsidRPr="00565F54">
              <w:rPr>
                <w:rFonts w:cs="Arial"/>
                <w:color w:val="000000"/>
                <w:sz w:val="20"/>
                <w:szCs w:val="20"/>
              </w:rPr>
              <w:br/>
              <w:t>DO NOT place bait outdoors unless it is in a tamper</w:t>
            </w:r>
            <w:r>
              <w:rPr>
                <w:rFonts w:cs="Arial"/>
                <w:color w:val="000000"/>
                <w:sz w:val="20"/>
                <w:szCs w:val="20"/>
              </w:rPr>
              <w:t>-resistant</w:t>
            </w:r>
            <w:r w:rsidRPr="00565F54">
              <w:rPr>
                <w:rFonts w:cs="Arial"/>
                <w:color w:val="000000"/>
                <w:sz w:val="20"/>
                <w:szCs w:val="20"/>
              </w:rPr>
              <w:t xml:space="preserve"> bait station which is secured in place.</w:t>
            </w:r>
            <w:r w:rsidRPr="00565F54">
              <w:rPr>
                <w:rFonts w:cs="Arial"/>
                <w:color w:val="000000"/>
                <w:sz w:val="20"/>
                <w:szCs w:val="20"/>
              </w:rPr>
              <w:br/>
              <w:t>DO NOT place bait stations more than 2 meters from buildings.</w:t>
            </w:r>
            <w:r w:rsidRPr="00565F54">
              <w:rPr>
                <w:rFonts w:cs="Arial"/>
                <w:color w:val="000000"/>
                <w:sz w:val="20"/>
                <w:szCs w:val="20"/>
              </w:rPr>
              <w:br/>
              <w:t>DO NOT place bait stations outdoors around buildings for control of mice.</w:t>
            </w:r>
            <w:r w:rsidRPr="00565F54">
              <w:rPr>
                <w:rFonts w:cs="Arial"/>
                <w:color w:val="000000"/>
                <w:sz w:val="20"/>
                <w:szCs w:val="20"/>
              </w:rPr>
              <w:br/>
              <w:t>DO NOT bait in areas where wildlife may be collected for human consumption.</w:t>
            </w:r>
            <w:r w:rsidRPr="00565F54">
              <w:rPr>
                <w:rFonts w:cs="Arial"/>
                <w:color w:val="000000"/>
                <w:sz w:val="20"/>
                <w:szCs w:val="20"/>
              </w:rPr>
              <w:br/>
              <w:t>DO NOT place in animal or livestock housing unless used in tamper</w:t>
            </w:r>
            <w:r>
              <w:rPr>
                <w:rFonts w:cs="Arial"/>
                <w:color w:val="000000"/>
                <w:sz w:val="20"/>
                <w:szCs w:val="20"/>
              </w:rPr>
              <w:t>-resistant</w:t>
            </w:r>
            <w:r w:rsidRPr="00565F54">
              <w:rPr>
                <w:rFonts w:cs="Arial"/>
                <w:color w:val="000000"/>
                <w:sz w:val="20"/>
                <w:szCs w:val="20"/>
              </w:rPr>
              <w:t xml:space="preserve"> and weather</w:t>
            </w:r>
            <w:r>
              <w:rPr>
                <w:rFonts w:cs="Arial"/>
                <w:color w:val="000000"/>
                <w:sz w:val="20"/>
                <w:szCs w:val="20"/>
              </w:rPr>
              <w:t>-</w:t>
            </w:r>
            <w:r w:rsidRPr="00565F54">
              <w:rPr>
                <w:rFonts w:cs="Arial"/>
                <w:color w:val="000000"/>
                <w:sz w:val="20"/>
                <w:szCs w:val="20"/>
              </w:rPr>
              <w:t>resistant bait stations fixed to the ground or other structures.</w:t>
            </w:r>
            <w:r w:rsidRPr="00565F54">
              <w:rPr>
                <w:rFonts w:cs="Arial"/>
                <w:color w:val="000000"/>
                <w:sz w:val="20"/>
                <w:szCs w:val="20"/>
              </w:rPr>
              <w:br/>
              <w:t>DO NOT place bait or bait stations above areas which would allow them to contaminate pig and poultry food or drinking water.</w:t>
            </w:r>
            <w:r w:rsidRPr="00565F54">
              <w:rPr>
                <w:rFonts w:cs="Arial"/>
                <w:color w:val="000000"/>
                <w:sz w:val="20"/>
                <w:szCs w:val="20"/>
              </w:rPr>
              <w:br/>
              <w:t>DO NOT apply this product directly into burrows.</w:t>
            </w:r>
          </w:p>
        </w:tc>
      </w:tr>
      <w:tr w:rsidR="008E67EA" w:rsidRPr="00A47785" w14:paraId="3EBA054E" w14:textId="77777777" w:rsidTr="00B44A74">
        <w:trPr>
          <w:jc w:val="center"/>
        </w:trPr>
        <w:tc>
          <w:tcPr>
            <w:tcW w:w="2415" w:type="dxa"/>
            <w:tcBorders>
              <w:top w:val="single" w:sz="4" w:space="0" w:color="auto"/>
              <w:left w:val="nil"/>
              <w:bottom w:val="single" w:sz="4" w:space="0" w:color="auto"/>
              <w:right w:val="nil"/>
            </w:tcBorders>
          </w:tcPr>
          <w:p w14:paraId="37A77D0D" w14:textId="77777777" w:rsidR="008E67EA" w:rsidRPr="00A4778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F753689" w14:textId="77777777" w:rsidR="008E67EA" w:rsidRPr="00A47785" w:rsidRDefault="008E67EA" w:rsidP="00B44A74">
            <w:pPr>
              <w:spacing w:line="280" w:lineRule="exact"/>
              <w:rPr>
                <w:rFonts w:cs="Arial"/>
                <w:sz w:val="20"/>
                <w:szCs w:val="20"/>
              </w:rPr>
            </w:pPr>
          </w:p>
        </w:tc>
      </w:tr>
      <w:tr w:rsidR="008E67EA" w:rsidRPr="00A47785" w14:paraId="57BCE90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16A4B85" w14:textId="77777777" w:rsidR="008E67EA" w:rsidRPr="00A47785" w:rsidRDefault="008E67EA" w:rsidP="00B44A74">
            <w:pPr>
              <w:spacing w:line="280" w:lineRule="exact"/>
              <w:rPr>
                <w:rFonts w:cs="Arial"/>
                <w:sz w:val="20"/>
                <w:szCs w:val="20"/>
              </w:rPr>
            </w:pPr>
            <w:r w:rsidRPr="00A47785">
              <w:rPr>
                <w:rFonts w:cs="Arial"/>
                <w:sz w:val="20"/>
                <w:szCs w:val="20"/>
              </w:rPr>
              <w:t>Directions for Use:</w:t>
            </w:r>
          </w:p>
        </w:tc>
        <w:tc>
          <w:tcPr>
            <w:tcW w:w="7755" w:type="dxa"/>
            <w:tcBorders>
              <w:top w:val="single" w:sz="4" w:space="0" w:color="auto"/>
              <w:left w:val="single" w:sz="4" w:space="0" w:color="auto"/>
              <w:bottom w:val="single" w:sz="4" w:space="0" w:color="auto"/>
              <w:right w:val="single" w:sz="4" w:space="0" w:color="auto"/>
            </w:tcBorders>
          </w:tcPr>
          <w:p w14:paraId="65DFDA0C" w14:textId="77777777" w:rsidR="008E67EA" w:rsidRPr="00A47785" w:rsidRDefault="008E67EA" w:rsidP="00B44A74">
            <w:pPr>
              <w:spacing w:line="280" w:lineRule="exact"/>
              <w:rPr>
                <w:rFonts w:cs="Arial"/>
                <w:sz w:val="20"/>
                <w:szCs w:val="20"/>
              </w:rPr>
            </w:pPr>
            <w:r w:rsidRPr="00713087">
              <w:rPr>
                <w:rFonts w:cs="Arial"/>
                <w:sz w:val="20"/>
                <w:szCs w:val="20"/>
              </w:rPr>
              <w:t>[This section contains an attachment below]</w:t>
            </w:r>
          </w:p>
        </w:tc>
      </w:tr>
      <w:tr w:rsidR="008E67EA" w:rsidRPr="00A47785" w14:paraId="79F6137D" w14:textId="77777777" w:rsidTr="00B44A74">
        <w:trPr>
          <w:jc w:val="center"/>
        </w:trPr>
        <w:tc>
          <w:tcPr>
            <w:tcW w:w="2415" w:type="dxa"/>
            <w:tcBorders>
              <w:top w:val="single" w:sz="4" w:space="0" w:color="auto"/>
              <w:left w:val="nil"/>
              <w:bottom w:val="single" w:sz="4" w:space="0" w:color="auto"/>
              <w:right w:val="nil"/>
            </w:tcBorders>
          </w:tcPr>
          <w:p w14:paraId="0545BC92" w14:textId="77777777" w:rsidR="008E67EA" w:rsidRPr="00A4778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F5FD187" w14:textId="77777777" w:rsidR="008E67EA" w:rsidRPr="00A47785" w:rsidRDefault="008E67EA" w:rsidP="00B44A74">
            <w:pPr>
              <w:spacing w:line="280" w:lineRule="exact"/>
              <w:rPr>
                <w:rFonts w:cs="Arial"/>
                <w:sz w:val="20"/>
                <w:szCs w:val="20"/>
              </w:rPr>
            </w:pPr>
          </w:p>
        </w:tc>
      </w:tr>
      <w:tr w:rsidR="008E67EA" w:rsidRPr="00A47785" w14:paraId="15CA549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0568E61" w14:textId="77777777" w:rsidR="008E67EA" w:rsidRPr="00A47785" w:rsidRDefault="008E67EA" w:rsidP="00B44A74">
            <w:pPr>
              <w:spacing w:line="280" w:lineRule="exact"/>
              <w:rPr>
                <w:rFonts w:cs="Arial"/>
                <w:sz w:val="20"/>
                <w:szCs w:val="20"/>
              </w:rPr>
            </w:pPr>
            <w:r w:rsidRPr="00A47785">
              <w:rPr>
                <w:rFonts w:cs="Arial"/>
                <w:sz w:val="20"/>
                <w:szCs w:val="20"/>
              </w:rPr>
              <w:t>Other Limitations:</w:t>
            </w:r>
          </w:p>
        </w:tc>
        <w:tc>
          <w:tcPr>
            <w:tcW w:w="7755" w:type="dxa"/>
            <w:tcBorders>
              <w:top w:val="single" w:sz="4" w:space="0" w:color="auto"/>
              <w:left w:val="single" w:sz="4" w:space="0" w:color="auto"/>
              <w:bottom w:val="single" w:sz="4" w:space="0" w:color="auto"/>
              <w:right w:val="single" w:sz="4" w:space="0" w:color="auto"/>
            </w:tcBorders>
          </w:tcPr>
          <w:p w14:paraId="43A115B3" w14:textId="77777777" w:rsidR="008E67EA" w:rsidRPr="00A47785" w:rsidRDefault="008E67EA" w:rsidP="00B44A74">
            <w:pPr>
              <w:spacing w:line="280" w:lineRule="exact"/>
              <w:rPr>
                <w:rFonts w:cs="Arial"/>
                <w:sz w:val="20"/>
                <w:szCs w:val="20"/>
              </w:rPr>
            </w:pPr>
          </w:p>
        </w:tc>
      </w:tr>
      <w:tr w:rsidR="008E67EA" w:rsidRPr="00A47785" w14:paraId="0EC46330" w14:textId="77777777" w:rsidTr="00B44A74">
        <w:trPr>
          <w:jc w:val="center"/>
        </w:trPr>
        <w:tc>
          <w:tcPr>
            <w:tcW w:w="2415" w:type="dxa"/>
            <w:tcBorders>
              <w:top w:val="single" w:sz="4" w:space="0" w:color="auto"/>
              <w:left w:val="nil"/>
              <w:bottom w:val="single" w:sz="4" w:space="0" w:color="auto"/>
              <w:right w:val="nil"/>
            </w:tcBorders>
          </w:tcPr>
          <w:p w14:paraId="0E1CC3AF" w14:textId="77777777" w:rsidR="008E67EA" w:rsidRPr="00A4778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08BD058" w14:textId="77777777" w:rsidR="008E67EA" w:rsidRPr="00A47785" w:rsidRDefault="008E67EA" w:rsidP="00B44A74">
            <w:pPr>
              <w:spacing w:line="280" w:lineRule="exact"/>
              <w:rPr>
                <w:rFonts w:cs="Arial"/>
                <w:sz w:val="20"/>
                <w:szCs w:val="20"/>
              </w:rPr>
            </w:pPr>
          </w:p>
        </w:tc>
      </w:tr>
      <w:tr w:rsidR="008E67EA" w:rsidRPr="00A47785" w14:paraId="4F33CCF9"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F1DEA27" w14:textId="77777777" w:rsidR="008E67EA" w:rsidRPr="00A47785" w:rsidRDefault="008E67EA" w:rsidP="00B44A74">
            <w:pPr>
              <w:spacing w:line="280" w:lineRule="exact"/>
              <w:rPr>
                <w:rFonts w:cs="Arial"/>
                <w:sz w:val="20"/>
                <w:szCs w:val="20"/>
              </w:rPr>
            </w:pPr>
            <w:r w:rsidRPr="00A47785">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59ACA49C" w14:textId="77777777" w:rsidR="008E67EA" w:rsidRPr="00A47785" w:rsidRDefault="008E67EA" w:rsidP="00B44A74">
            <w:pPr>
              <w:spacing w:line="280" w:lineRule="exact"/>
              <w:rPr>
                <w:rFonts w:cs="Arial"/>
                <w:sz w:val="20"/>
                <w:szCs w:val="20"/>
              </w:rPr>
            </w:pPr>
          </w:p>
        </w:tc>
      </w:tr>
      <w:tr w:rsidR="008E67EA" w:rsidRPr="00A47785" w14:paraId="690664F2" w14:textId="77777777" w:rsidTr="00B44A74">
        <w:trPr>
          <w:jc w:val="center"/>
        </w:trPr>
        <w:tc>
          <w:tcPr>
            <w:tcW w:w="2415" w:type="dxa"/>
            <w:tcBorders>
              <w:top w:val="single" w:sz="4" w:space="0" w:color="auto"/>
              <w:left w:val="nil"/>
              <w:bottom w:val="single" w:sz="4" w:space="0" w:color="auto"/>
              <w:right w:val="nil"/>
            </w:tcBorders>
          </w:tcPr>
          <w:p w14:paraId="114B5BF4" w14:textId="77777777" w:rsidR="008E67EA" w:rsidRPr="00A4778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3135DE9" w14:textId="77777777" w:rsidR="008E67EA" w:rsidRPr="00A47785" w:rsidRDefault="008E67EA" w:rsidP="00B44A74">
            <w:pPr>
              <w:spacing w:line="280" w:lineRule="exact"/>
              <w:rPr>
                <w:rFonts w:cs="Arial"/>
                <w:sz w:val="20"/>
                <w:szCs w:val="20"/>
              </w:rPr>
            </w:pPr>
          </w:p>
        </w:tc>
      </w:tr>
      <w:tr w:rsidR="008E67EA" w:rsidRPr="00A47785" w14:paraId="76C5615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55B85AF" w14:textId="77777777" w:rsidR="008E67EA" w:rsidRPr="00A47785" w:rsidRDefault="008E67EA" w:rsidP="00B44A74">
            <w:pPr>
              <w:spacing w:line="280" w:lineRule="exact"/>
              <w:rPr>
                <w:rFonts w:cs="Arial"/>
                <w:sz w:val="20"/>
                <w:szCs w:val="20"/>
              </w:rPr>
            </w:pPr>
            <w:r w:rsidRPr="00A47785">
              <w:rPr>
                <w:rFonts w:cs="Arial"/>
                <w:sz w:val="20"/>
                <w:szCs w:val="20"/>
              </w:rPr>
              <w:t>Trade Advice:</w:t>
            </w:r>
          </w:p>
        </w:tc>
        <w:tc>
          <w:tcPr>
            <w:tcW w:w="7755" w:type="dxa"/>
            <w:tcBorders>
              <w:top w:val="single" w:sz="4" w:space="0" w:color="auto"/>
              <w:left w:val="single" w:sz="4" w:space="0" w:color="auto"/>
              <w:bottom w:val="single" w:sz="4" w:space="0" w:color="auto"/>
              <w:right w:val="single" w:sz="4" w:space="0" w:color="auto"/>
            </w:tcBorders>
          </w:tcPr>
          <w:p w14:paraId="13246863" w14:textId="77777777" w:rsidR="008E67EA" w:rsidRPr="00A47785" w:rsidRDefault="008E67EA" w:rsidP="00B44A74">
            <w:pPr>
              <w:spacing w:line="280" w:lineRule="exact"/>
              <w:rPr>
                <w:rFonts w:cs="Arial"/>
                <w:sz w:val="20"/>
                <w:szCs w:val="20"/>
              </w:rPr>
            </w:pPr>
          </w:p>
        </w:tc>
      </w:tr>
      <w:tr w:rsidR="008E67EA" w:rsidRPr="00A47785" w14:paraId="77034588" w14:textId="77777777" w:rsidTr="00B44A74">
        <w:trPr>
          <w:jc w:val="center"/>
        </w:trPr>
        <w:tc>
          <w:tcPr>
            <w:tcW w:w="2415" w:type="dxa"/>
            <w:tcBorders>
              <w:top w:val="single" w:sz="4" w:space="0" w:color="auto"/>
              <w:left w:val="nil"/>
              <w:bottom w:val="single" w:sz="4" w:space="0" w:color="auto"/>
              <w:right w:val="nil"/>
            </w:tcBorders>
          </w:tcPr>
          <w:p w14:paraId="0D33924F" w14:textId="77777777" w:rsidR="008E67EA" w:rsidRPr="00A4778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E809C92" w14:textId="77777777" w:rsidR="008E67EA" w:rsidRPr="00A47785" w:rsidRDefault="008E67EA" w:rsidP="00B44A74">
            <w:pPr>
              <w:spacing w:line="280" w:lineRule="exact"/>
              <w:rPr>
                <w:rFonts w:cs="Arial"/>
                <w:sz w:val="20"/>
                <w:szCs w:val="20"/>
              </w:rPr>
            </w:pPr>
          </w:p>
        </w:tc>
      </w:tr>
      <w:tr w:rsidR="008E67EA" w:rsidRPr="00A47785" w14:paraId="75CFDE1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38F70F6" w14:textId="77777777" w:rsidR="008E67EA" w:rsidRPr="00A47785" w:rsidRDefault="008E67EA" w:rsidP="00B44A74">
            <w:pPr>
              <w:spacing w:line="280" w:lineRule="exact"/>
              <w:rPr>
                <w:rFonts w:cs="Arial"/>
                <w:sz w:val="20"/>
                <w:szCs w:val="20"/>
              </w:rPr>
            </w:pPr>
            <w:r w:rsidRPr="00A47785">
              <w:rPr>
                <w:rFonts w:cs="Arial"/>
                <w:sz w:val="20"/>
                <w:szCs w:val="20"/>
              </w:rPr>
              <w:t>General Directions:</w:t>
            </w:r>
          </w:p>
        </w:tc>
        <w:tc>
          <w:tcPr>
            <w:tcW w:w="7755" w:type="dxa"/>
            <w:tcBorders>
              <w:top w:val="single" w:sz="4" w:space="0" w:color="auto"/>
              <w:left w:val="single" w:sz="4" w:space="0" w:color="auto"/>
              <w:bottom w:val="single" w:sz="4" w:space="0" w:color="auto"/>
              <w:right w:val="single" w:sz="4" w:space="0" w:color="auto"/>
            </w:tcBorders>
          </w:tcPr>
          <w:p w14:paraId="40ED5F44" w14:textId="77777777" w:rsidR="008E67EA" w:rsidRDefault="008E67EA" w:rsidP="00B44A74">
            <w:pPr>
              <w:spacing w:line="280" w:lineRule="exact"/>
              <w:rPr>
                <w:rFonts w:cs="Arial"/>
                <w:sz w:val="20"/>
                <w:szCs w:val="20"/>
              </w:rPr>
            </w:pPr>
            <w:r w:rsidRPr="00FD4630">
              <w:rPr>
                <w:rFonts w:cs="Arial"/>
                <w:sz w:val="20"/>
                <w:szCs w:val="20"/>
              </w:rPr>
              <w:t>GENERAL INSTRUCTIONS</w:t>
            </w:r>
          </w:p>
          <w:p w14:paraId="6D6C7BA2" w14:textId="77777777" w:rsidR="008E67EA" w:rsidRPr="00A47785" w:rsidRDefault="008E67EA" w:rsidP="00B44A74">
            <w:pPr>
              <w:spacing w:line="280" w:lineRule="exact"/>
              <w:rPr>
                <w:rFonts w:cs="Arial"/>
                <w:sz w:val="20"/>
                <w:szCs w:val="20"/>
              </w:rPr>
            </w:pPr>
            <w:r>
              <w:rPr>
                <w:rFonts w:cs="Arial"/>
                <w:sz w:val="20"/>
                <w:szCs w:val="20"/>
              </w:rPr>
              <w:t>This product</w:t>
            </w:r>
            <w:r w:rsidRPr="00FD4630">
              <w:rPr>
                <w:rFonts w:cs="Arial"/>
                <w:sz w:val="20"/>
                <w:szCs w:val="20"/>
              </w:rPr>
              <w:t xml:space="preserve"> especially suited for use outdoors and in damp situations. The central hole in the block allows for fixing in bait stations, and for nailing or wiring in place to help prevent block carriage by rodents.</w:t>
            </w:r>
          </w:p>
        </w:tc>
      </w:tr>
      <w:tr w:rsidR="008E67EA" w:rsidRPr="00A47785" w14:paraId="5FE702BF" w14:textId="77777777" w:rsidTr="00B44A74">
        <w:trPr>
          <w:jc w:val="center"/>
        </w:trPr>
        <w:tc>
          <w:tcPr>
            <w:tcW w:w="2415" w:type="dxa"/>
            <w:tcBorders>
              <w:top w:val="single" w:sz="4" w:space="0" w:color="auto"/>
              <w:left w:val="nil"/>
              <w:bottom w:val="single" w:sz="4" w:space="0" w:color="auto"/>
              <w:right w:val="nil"/>
            </w:tcBorders>
          </w:tcPr>
          <w:p w14:paraId="42877238" w14:textId="77777777" w:rsidR="008E67EA" w:rsidRPr="00A4778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13596CC" w14:textId="77777777" w:rsidR="008E67EA" w:rsidRPr="00A47785" w:rsidRDefault="008E67EA" w:rsidP="00B44A74">
            <w:pPr>
              <w:spacing w:line="280" w:lineRule="exact"/>
              <w:rPr>
                <w:rFonts w:cs="Arial"/>
                <w:sz w:val="20"/>
                <w:szCs w:val="20"/>
              </w:rPr>
            </w:pPr>
          </w:p>
        </w:tc>
      </w:tr>
      <w:tr w:rsidR="008E67EA" w:rsidRPr="00A47785" w14:paraId="176A587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C615625" w14:textId="77777777" w:rsidR="008E67EA" w:rsidRPr="00A47785" w:rsidRDefault="008E67EA" w:rsidP="00B44A74">
            <w:pPr>
              <w:spacing w:line="280" w:lineRule="exact"/>
              <w:rPr>
                <w:rFonts w:cs="Arial"/>
                <w:sz w:val="20"/>
                <w:szCs w:val="20"/>
              </w:rPr>
            </w:pPr>
            <w:r w:rsidRPr="00A47785">
              <w:rPr>
                <w:rFonts w:cs="Arial"/>
                <w:sz w:val="20"/>
                <w:szCs w:val="20"/>
              </w:rPr>
              <w:t>Resistance Warning:</w:t>
            </w:r>
          </w:p>
        </w:tc>
        <w:tc>
          <w:tcPr>
            <w:tcW w:w="7755" w:type="dxa"/>
            <w:tcBorders>
              <w:top w:val="single" w:sz="4" w:space="0" w:color="auto"/>
              <w:left w:val="single" w:sz="4" w:space="0" w:color="auto"/>
              <w:bottom w:val="single" w:sz="4" w:space="0" w:color="auto"/>
              <w:right w:val="single" w:sz="4" w:space="0" w:color="auto"/>
            </w:tcBorders>
          </w:tcPr>
          <w:p w14:paraId="7D328D79" w14:textId="77777777" w:rsidR="008E67EA" w:rsidRPr="00A47785" w:rsidRDefault="008E67EA" w:rsidP="00B44A74">
            <w:pPr>
              <w:spacing w:line="280" w:lineRule="exact"/>
              <w:rPr>
                <w:rFonts w:cs="Arial"/>
                <w:sz w:val="20"/>
                <w:szCs w:val="20"/>
              </w:rPr>
            </w:pPr>
          </w:p>
        </w:tc>
      </w:tr>
      <w:tr w:rsidR="008E67EA" w:rsidRPr="00A47785" w14:paraId="68CF2DFD" w14:textId="77777777" w:rsidTr="00B44A74">
        <w:trPr>
          <w:jc w:val="center"/>
        </w:trPr>
        <w:tc>
          <w:tcPr>
            <w:tcW w:w="2415" w:type="dxa"/>
            <w:tcBorders>
              <w:top w:val="single" w:sz="4" w:space="0" w:color="auto"/>
              <w:left w:val="nil"/>
              <w:bottom w:val="single" w:sz="4" w:space="0" w:color="auto"/>
              <w:right w:val="nil"/>
            </w:tcBorders>
          </w:tcPr>
          <w:p w14:paraId="65D08A4C" w14:textId="77777777" w:rsidR="008E67EA" w:rsidRPr="00A4778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C5660E0" w14:textId="77777777" w:rsidR="008E67EA" w:rsidRPr="00A47785" w:rsidRDefault="008E67EA" w:rsidP="00B44A74">
            <w:pPr>
              <w:spacing w:line="280" w:lineRule="exact"/>
              <w:rPr>
                <w:rFonts w:cs="Arial"/>
                <w:sz w:val="20"/>
                <w:szCs w:val="20"/>
              </w:rPr>
            </w:pPr>
          </w:p>
        </w:tc>
      </w:tr>
      <w:tr w:rsidR="008E67EA" w:rsidRPr="00A47785" w14:paraId="610F7CA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F244116" w14:textId="77777777" w:rsidR="008E67EA" w:rsidRPr="00A47785" w:rsidRDefault="008E67EA" w:rsidP="00B44A74">
            <w:pPr>
              <w:spacing w:line="280" w:lineRule="exact"/>
              <w:rPr>
                <w:rFonts w:cs="Arial"/>
                <w:sz w:val="20"/>
                <w:szCs w:val="20"/>
              </w:rPr>
            </w:pPr>
            <w:r w:rsidRPr="00A47785">
              <w:rPr>
                <w:rFonts w:cs="Arial"/>
                <w:sz w:val="20"/>
                <w:szCs w:val="20"/>
              </w:rPr>
              <w:t>Precautions:</w:t>
            </w:r>
          </w:p>
        </w:tc>
        <w:tc>
          <w:tcPr>
            <w:tcW w:w="7755" w:type="dxa"/>
            <w:tcBorders>
              <w:top w:val="single" w:sz="4" w:space="0" w:color="auto"/>
              <w:left w:val="single" w:sz="4" w:space="0" w:color="auto"/>
              <w:bottom w:val="single" w:sz="4" w:space="0" w:color="auto"/>
              <w:right w:val="single" w:sz="4" w:space="0" w:color="auto"/>
            </w:tcBorders>
          </w:tcPr>
          <w:p w14:paraId="5CE1E4B3" w14:textId="77777777" w:rsidR="008E67EA" w:rsidRPr="00565F54" w:rsidRDefault="008E67EA" w:rsidP="00B44A74">
            <w:pPr>
              <w:spacing w:line="280" w:lineRule="exact"/>
              <w:rPr>
                <w:rFonts w:cs="Arial"/>
                <w:b/>
                <w:bCs/>
                <w:i/>
                <w:iCs/>
                <w:sz w:val="20"/>
                <w:szCs w:val="20"/>
              </w:rPr>
            </w:pPr>
            <w:r w:rsidRPr="00565F54">
              <w:rPr>
                <w:rFonts w:cs="Arial"/>
                <w:color w:val="000000"/>
                <w:sz w:val="20"/>
                <w:szCs w:val="20"/>
              </w:rPr>
              <w:t>PRECAUTIONS</w:t>
            </w:r>
            <w:r w:rsidRPr="00565F54">
              <w:rPr>
                <w:rFonts w:cs="Arial"/>
                <w:color w:val="000000"/>
                <w:sz w:val="20"/>
                <w:szCs w:val="20"/>
              </w:rPr>
              <w:br/>
              <w:t>Caution should be used when baiting near areas where hunting of wildlife may occur. Careful consideration of bait placement is necessary to avoid secondary exposure from contaminated wildlife that may be consumed.</w:t>
            </w:r>
            <w:r w:rsidRPr="00565F54">
              <w:rPr>
                <w:rFonts w:cs="Arial"/>
                <w:color w:val="000000"/>
                <w:sz w:val="20"/>
                <w:szCs w:val="20"/>
              </w:rPr>
              <w:br/>
              <w:t>DO NOT place bait in areas where there is a possibility of contaminating food, livestock feed or surfaces that come in direct contact with food or livestock feed.</w:t>
            </w:r>
          </w:p>
        </w:tc>
      </w:tr>
      <w:tr w:rsidR="008E67EA" w:rsidRPr="00A47785" w14:paraId="3E70A495" w14:textId="77777777" w:rsidTr="00B44A74">
        <w:trPr>
          <w:jc w:val="center"/>
        </w:trPr>
        <w:tc>
          <w:tcPr>
            <w:tcW w:w="2415" w:type="dxa"/>
            <w:tcBorders>
              <w:top w:val="single" w:sz="4" w:space="0" w:color="auto"/>
              <w:left w:val="nil"/>
              <w:bottom w:val="single" w:sz="4" w:space="0" w:color="auto"/>
              <w:right w:val="nil"/>
            </w:tcBorders>
          </w:tcPr>
          <w:p w14:paraId="2A2E9D90" w14:textId="77777777" w:rsidR="008E67EA" w:rsidRPr="00A4778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95F774D" w14:textId="77777777" w:rsidR="008E67EA" w:rsidRPr="00A47785" w:rsidRDefault="008E67EA" w:rsidP="00B44A74">
            <w:pPr>
              <w:spacing w:line="280" w:lineRule="exact"/>
              <w:rPr>
                <w:rFonts w:cs="Arial"/>
                <w:sz w:val="20"/>
                <w:szCs w:val="20"/>
              </w:rPr>
            </w:pPr>
          </w:p>
        </w:tc>
      </w:tr>
      <w:tr w:rsidR="008E67EA" w:rsidRPr="00A47785" w14:paraId="6BD453A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266B948" w14:textId="77777777" w:rsidR="008E67EA" w:rsidRPr="00A47785" w:rsidRDefault="008E67EA" w:rsidP="00B44A74">
            <w:pPr>
              <w:spacing w:line="280" w:lineRule="exact"/>
              <w:rPr>
                <w:rFonts w:cs="Arial"/>
                <w:sz w:val="20"/>
                <w:szCs w:val="20"/>
              </w:rPr>
            </w:pPr>
            <w:r w:rsidRPr="00A47785">
              <w:rPr>
                <w:rFonts w:cs="Arial"/>
                <w:sz w:val="20"/>
                <w:szCs w:val="20"/>
              </w:rPr>
              <w:t>Protection Statements:</w:t>
            </w:r>
          </w:p>
        </w:tc>
        <w:tc>
          <w:tcPr>
            <w:tcW w:w="7755" w:type="dxa"/>
            <w:tcBorders>
              <w:top w:val="single" w:sz="4" w:space="0" w:color="auto"/>
              <w:left w:val="single" w:sz="4" w:space="0" w:color="auto"/>
              <w:bottom w:val="single" w:sz="4" w:space="0" w:color="auto"/>
              <w:right w:val="single" w:sz="4" w:space="0" w:color="auto"/>
            </w:tcBorders>
          </w:tcPr>
          <w:p w14:paraId="39DEA7C5" w14:textId="77777777" w:rsidR="008E67EA" w:rsidRPr="00565F54" w:rsidRDefault="008E67EA" w:rsidP="00B44A74">
            <w:pPr>
              <w:spacing w:line="280" w:lineRule="exact"/>
              <w:rPr>
                <w:rFonts w:cs="Arial"/>
                <w:color w:val="000000"/>
                <w:sz w:val="20"/>
                <w:szCs w:val="20"/>
              </w:rPr>
            </w:pPr>
            <w:r w:rsidRPr="00565F54">
              <w:rPr>
                <w:rFonts w:cs="Arial"/>
                <w:color w:val="000000"/>
                <w:sz w:val="20"/>
                <w:szCs w:val="20"/>
              </w:rPr>
              <w:t>PROTECTION OF LIVESTOCK AND WILDLIFE</w:t>
            </w:r>
            <w:r w:rsidRPr="00565F54">
              <w:rPr>
                <w:rFonts w:cs="Arial"/>
                <w:color w:val="000000"/>
                <w:sz w:val="20"/>
                <w:szCs w:val="20"/>
              </w:rPr>
              <w:br/>
              <w:t>Hazardous to livestock, poultry and wildlife. DO NOT place baits in locations that are accessible to domestic animals, livestock, non-target native animals or birds.</w:t>
            </w:r>
            <w:r w:rsidRPr="00565F54">
              <w:rPr>
                <w:rFonts w:cs="Arial"/>
                <w:color w:val="000000"/>
                <w:sz w:val="20"/>
                <w:szCs w:val="20"/>
              </w:rPr>
              <w:br/>
              <w:t xml:space="preserve">Search for and dispose of dead rodents and slugs/snails in the infested area at each visit to prevent secondary poisoning. In case slugs/snails are present, move bait station to another location within the rodent infested site, away from slugs/snails. Dispose of slugs/snails in a way non-target animals are not exposed. Dispose of dead rodents and uneaten bait in compliance with local, state or territory government regulations. </w:t>
            </w:r>
            <w:r w:rsidRPr="00565F54">
              <w:rPr>
                <w:rFonts w:cs="Arial"/>
                <w:color w:val="000000"/>
                <w:sz w:val="20"/>
                <w:szCs w:val="20"/>
              </w:rPr>
              <w:br/>
              <w:t>DO NOT allow livestock or poultry to consume dead or moribund mice and rats. All dead or moribund animals and rodent faeces from baited rodents MUST be removed from areas accessible to livestock or poultry.</w:t>
            </w:r>
          </w:p>
          <w:p w14:paraId="2DD6F548" w14:textId="77777777" w:rsidR="008E67EA" w:rsidRPr="00565F54" w:rsidRDefault="008E67EA" w:rsidP="00B44A74">
            <w:pPr>
              <w:spacing w:line="280" w:lineRule="exact"/>
              <w:rPr>
                <w:rFonts w:cs="Arial"/>
                <w:color w:val="000000"/>
                <w:sz w:val="20"/>
                <w:szCs w:val="20"/>
              </w:rPr>
            </w:pPr>
            <w:r w:rsidRPr="007724C2">
              <w:rPr>
                <w:rFonts w:cs="Arial"/>
                <w:color w:val="000000"/>
                <w:sz w:val="20"/>
                <w:szCs w:val="20"/>
              </w:rPr>
              <w:t>DO NOT use this product to control native animals.</w:t>
            </w:r>
          </w:p>
          <w:p w14:paraId="2A8C84ED" w14:textId="4A32AB17" w:rsidR="008E67EA" w:rsidRPr="00565F54" w:rsidRDefault="008E67EA" w:rsidP="00B44A74">
            <w:pPr>
              <w:spacing w:line="280" w:lineRule="exact"/>
              <w:rPr>
                <w:rFonts w:cs="Arial"/>
                <w:sz w:val="20"/>
                <w:szCs w:val="20"/>
              </w:rPr>
            </w:pPr>
            <w:r w:rsidRPr="00565F54">
              <w:rPr>
                <w:rFonts w:cs="Arial"/>
                <w:color w:val="000000"/>
                <w:sz w:val="20"/>
                <w:szCs w:val="20"/>
              </w:rPr>
              <w:br/>
              <w:t>PROTECTION OF FISH, CRUSTACEANS AND ENVIRONMENT</w:t>
            </w:r>
            <w:r w:rsidRPr="00565F54">
              <w:rPr>
                <w:rFonts w:cs="Arial"/>
                <w:color w:val="000000"/>
                <w:sz w:val="20"/>
                <w:szCs w:val="20"/>
              </w:rPr>
              <w:br/>
              <w:t>Very toxic to aquatic life. DO NOT contaminate wetlands or watercourses with this product or used containers. Place the bait stations in areas not liable to flooding. When placing bait stations close to water drainage systems, ensure that bait contact with water is avoided.</w:t>
            </w:r>
          </w:p>
        </w:tc>
      </w:tr>
      <w:tr w:rsidR="008E67EA" w:rsidRPr="00A47785" w14:paraId="660469D2" w14:textId="77777777" w:rsidTr="00B44A74">
        <w:trPr>
          <w:jc w:val="center"/>
        </w:trPr>
        <w:tc>
          <w:tcPr>
            <w:tcW w:w="2415" w:type="dxa"/>
            <w:tcBorders>
              <w:top w:val="single" w:sz="4" w:space="0" w:color="auto"/>
              <w:left w:val="nil"/>
              <w:bottom w:val="single" w:sz="4" w:space="0" w:color="auto"/>
              <w:right w:val="nil"/>
            </w:tcBorders>
          </w:tcPr>
          <w:p w14:paraId="4B9A52E2" w14:textId="77777777" w:rsidR="008E67EA" w:rsidRPr="00A4778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A6A95DE" w14:textId="77777777" w:rsidR="008E67EA" w:rsidRPr="00A47785" w:rsidRDefault="008E67EA" w:rsidP="00B44A74">
            <w:pPr>
              <w:spacing w:line="280" w:lineRule="exact"/>
              <w:rPr>
                <w:rFonts w:cs="Arial"/>
                <w:sz w:val="20"/>
                <w:szCs w:val="20"/>
              </w:rPr>
            </w:pPr>
          </w:p>
        </w:tc>
      </w:tr>
      <w:tr w:rsidR="008E67EA" w:rsidRPr="00A47785" w14:paraId="2672C23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25C8703" w14:textId="77777777" w:rsidR="008E67EA" w:rsidRPr="00A47785" w:rsidRDefault="008E67EA" w:rsidP="00B44A74">
            <w:pPr>
              <w:spacing w:line="280" w:lineRule="exact"/>
              <w:rPr>
                <w:rFonts w:cs="Arial"/>
                <w:sz w:val="20"/>
                <w:szCs w:val="20"/>
              </w:rPr>
            </w:pPr>
            <w:r w:rsidRPr="00F073A6">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42B4633E" w14:textId="77777777" w:rsidR="008E67EA" w:rsidRDefault="008E67EA" w:rsidP="00B44A74">
            <w:pPr>
              <w:spacing w:line="280" w:lineRule="exact"/>
              <w:rPr>
                <w:rFonts w:cs="Arial"/>
                <w:color w:val="000000"/>
                <w:sz w:val="20"/>
                <w:szCs w:val="20"/>
              </w:rPr>
            </w:pPr>
            <w:r>
              <w:rPr>
                <w:rFonts w:cs="Arial"/>
                <w:color w:val="000000"/>
                <w:sz w:val="20"/>
                <w:szCs w:val="20"/>
              </w:rPr>
              <w:t xml:space="preserve">STORAGE AND DISPOSAL </w:t>
            </w:r>
          </w:p>
          <w:p w14:paraId="1D50239B" w14:textId="77777777" w:rsidR="008E67EA" w:rsidRPr="00010FCA" w:rsidRDefault="008E67EA" w:rsidP="00B44A74">
            <w:pPr>
              <w:spacing w:line="280" w:lineRule="exact"/>
              <w:rPr>
                <w:rFonts w:cs="Arial"/>
                <w:color w:val="000000"/>
                <w:sz w:val="20"/>
                <w:szCs w:val="20"/>
              </w:rPr>
            </w:pPr>
            <w:r w:rsidRPr="00565F54">
              <w:rPr>
                <w:rFonts w:cs="Arial"/>
                <w:color w:val="000000"/>
                <w:sz w:val="20"/>
                <w:szCs w:val="20"/>
              </w:rPr>
              <w:t>Store in the closed, original container in a cool dry place out of reach of children. DO NOT store in direct sunlight.</w:t>
            </w:r>
            <w:r>
              <w:rPr>
                <w:rFonts w:cs="Arial"/>
                <w:color w:val="000000"/>
                <w:sz w:val="20"/>
                <w:szCs w:val="20"/>
              </w:rPr>
              <w:t xml:space="preserve"> </w:t>
            </w:r>
            <w:r w:rsidRPr="00565F54">
              <w:rPr>
                <w:rFonts w:cs="Arial"/>
                <w:color w:val="000000"/>
                <w:sz w:val="20"/>
                <w:szCs w:val="20"/>
              </w:rPr>
              <w:t xml:space="preserve">Triple rinse containers before disposal. Break, crush or puncture and deliver empty packaging to an approved waste management facility. If an approved waste management facility is not available, dispose of empty packaging in compliance with relevant local, state or territory government regulations. </w:t>
            </w:r>
            <w:r w:rsidRPr="005E538D">
              <w:rPr>
                <w:rFonts w:cs="Arial"/>
                <w:sz w:val="20"/>
                <w:szCs w:val="20"/>
                <w:bdr w:val="none" w:sz="0" w:space="0" w:color="auto" w:frame="1"/>
                <w:lang w:val="en-GB" w:eastAsia="en-AU"/>
              </w:rPr>
              <w:t>Dispose of unused product in compliance with relevant local, state or territory government regulations.</w:t>
            </w:r>
            <w:r>
              <w:rPr>
                <w:rFonts w:cs="Arial"/>
                <w:sz w:val="20"/>
                <w:szCs w:val="20"/>
                <w:bdr w:val="none" w:sz="0" w:space="0" w:color="auto" w:frame="1"/>
                <w:lang w:val="en-GB" w:eastAsia="en-AU"/>
              </w:rPr>
              <w:t xml:space="preserve"> </w:t>
            </w:r>
            <w:r w:rsidRPr="00565F54">
              <w:rPr>
                <w:rFonts w:cs="Arial"/>
                <w:color w:val="000000"/>
                <w:sz w:val="20"/>
                <w:szCs w:val="20"/>
              </w:rPr>
              <w:t>DO NOT burn empty containers or product.</w:t>
            </w:r>
          </w:p>
        </w:tc>
      </w:tr>
      <w:tr w:rsidR="008E67EA" w:rsidRPr="00A47785" w14:paraId="74F99B36" w14:textId="77777777" w:rsidTr="00B44A74">
        <w:trPr>
          <w:jc w:val="center"/>
        </w:trPr>
        <w:tc>
          <w:tcPr>
            <w:tcW w:w="2415" w:type="dxa"/>
            <w:tcBorders>
              <w:top w:val="single" w:sz="4" w:space="0" w:color="auto"/>
              <w:left w:val="nil"/>
              <w:bottom w:val="single" w:sz="4" w:space="0" w:color="auto"/>
              <w:right w:val="nil"/>
            </w:tcBorders>
          </w:tcPr>
          <w:p w14:paraId="1B9231DE" w14:textId="77777777" w:rsidR="008E67EA" w:rsidRPr="00A4778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28FE2B8" w14:textId="77777777" w:rsidR="008E67EA" w:rsidRPr="00A47785" w:rsidRDefault="008E67EA" w:rsidP="00B44A74">
            <w:pPr>
              <w:spacing w:line="280" w:lineRule="exact"/>
              <w:rPr>
                <w:rFonts w:cs="Arial"/>
                <w:sz w:val="20"/>
                <w:szCs w:val="20"/>
              </w:rPr>
            </w:pPr>
          </w:p>
        </w:tc>
      </w:tr>
      <w:tr w:rsidR="008E67EA" w:rsidRPr="00A47785" w14:paraId="5EABC56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6C455D0" w14:textId="77777777" w:rsidR="008E67EA" w:rsidRPr="00A47785" w:rsidRDefault="008E67EA" w:rsidP="00B44A74">
            <w:pPr>
              <w:spacing w:line="280" w:lineRule="exact"/>
              <w:rPr>
                <w:rFonts w:cs="Arial"/>
                <w:sz w:val="20"/>
                <w:szCs w:val="20"/>
              </w:rPr>
            </w:pPr>
            <w:r w:rsidRPr="00A47785">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551CD551" w14:textId="77777777" w:rsidR="008E67EA" w:rsidRDefault="008E67EA" w:rsidP="00B44A74">
            <w:pPr>
              <w:spacing w:line="280" w:lineRule="exact"/>
              <w:rPr>
                <w:rFonts w:cs="Arial"/>
                <w:color w:val="000000"/>
                <w:sz w:val="20"/>
                <w:szCs w:val="20"/>
              </w:rPr>
            </w:pPr>
            <w:r>
              <w:rPr>
                <w:rFonts w:cs="Arial"/>
                <w:color w:val="000000"/>
                <w:sz w:val="20"/>
                <w:szCs w:val="20"/>
              </w:rPr>
              <w:t>SAFETY DIRECTIONS</w:t>
            </w:r>
          </w:p>
          <w:p w14:paraId="4E306C93" w14:textId="3D3C38A9" w:rsidR="008E67EA" w:rsidRDefault="008E67EA" w:rsidP="00B44A74">
            <w:pPr>
              <w:spacing w:line="280" w:lineRule="exact"/>
              <w:rPr>
                <w:rFonts w:cs="Arial"/>
                <w:color w:val="000000"/>
                <w:sz w:val="20"/>
                <w:szCs w:val="20"/>
              </w:rPr>
            </w:pPr>
            <w:r w:rsidRPr="00565F54">
              <w:rPr>
                <w:rFonts w:cs="Arial"/>
                <w:color w:val="000000"/>
                <w:sz w:val="20"/>
                <w:szCs w:val="20"/>
              </w:rPr>
              <w:t>Repeated minor exposure may have a cumulative poisoning effect. Will irritate the skin. May irritate eyes. Avoid contact with eyes and skin. Do not touch bait, use scoop or measure. When using the product wear disposable gloves. If on skin and after each baiting, wash thoroughly with soap and water.</w:t>
            </w:r>
          </w:p>
          <w:p w14:paraId="32C22FAD" w14:textId="336B23B1" w:rsidR="008E67EA" w:rsidRPr="00565F54" w:rsidRDefault="008E67EA" w:rsidP="00B44A74">
            <w:pPr>
              <w:spacing w:line="280" w:lineRule="exact"/>
              <w:rPr>
                <w:rFonts w:cs="Arial"/>
                <w:b/>
                <w:bCs/>
                <w:i/>
                <w:iCs/>
                <w:sz w:val="20"/>
                <w:szCs w:val="20"/>
                <w:highlight w:val="yellow"/>
              </w:rPr>
            </w:pPr>
            <w:r w:rsidRPr="00565F54">
              <w:rPr>
                <w:rFonts w:cs="Arial"/>
                <w:color w:val="000000"/>
                <w:sz w:val="20"/>
                <w:szCs w:val="20"/>
              </w:rPr>
              <w:lastRenderedPageBreak/>
              <w:t>During cleanup and disposal operations of bait and bait stations, wear a single layer of clothing and disposable gloves. Wear disposable gloves when handling rodent carcasses. Wash clothes after performing re-handling activities.</w:t>
            </w:r>
          </w:p>
        </w:tc>
      </w:tr>
      <w:tr w:rsidR="008E67EA" w:rsidRPr="00A47785" w14:paraId="1FE1153D" w14:textId="77777777" w:rsidTr="00B44A74">
        <w:trPr>
          <w:jc w:val="center"/>
        </w:trPr>
        <w:tc>
          <w:tcPr>
            <w:tcW w:w="2415" w:type="dxa"/>
            <w:tcBorders>
              <w:top w:val="single" w:sz="4" w:space="0" w:color="auto"/>
              <w:left w:val="nil"/>
              <w:bottom w:val="single" w:sz="4" w:space="0" w:color="auto"/>
              <w:right w:val="nil"/>
            </w:tcBorders>
          </w:tcPr>
          <w:p w14:paraId="7EC009A7" w14:textId="77777777" w:rsidR="008E67EA" w:rsidRPr="00A4778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83F4FB2" w14:textId="77777777" w:rsidR="008E67EA" w:rsidRPr="00A47785" w:rsidRDefault="008E67EA" w:rsidP="00B44A74">
            <w:pPr>
              <w:tabs>
                <w:tab w:val="left" w:pos="5171"/>
              </w:tabs>
              <w:spacing w:line="280" w:lineRule="exact"/>
              <w:rPr>
                <w:rFonts w:cs="Arial"/>
                <w:sz w:val="20"/>
                <w:szCs w:val="20"/>
              </w:rPr>
            </w:pPr>
            <w:r>
              <w:rPr>
                <w:rFonts w:cs="Arial"/>
                <w:sz w:val="20"/>
                <w:szCs w:val="20"/>
              </w:rPr>
              <w:tab/>
            </w:r>
          </w:p>
        </w:tc>
      </w:tr>
      <w:tr w:rsidR="008E67EA" w:rsidRPr="00A47785" w14:paraId="45DFF96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8F89A22" w14:textId="77777777" w:rsidR="008E67EA" w:rsidRPr="00A47785" w:rsidRDefault="008E67EA" w:rsidP="00B44A74">
            <w:pPr>
              <w:spacing w:line="280" w:lineRule="exact"/>
              <w:rPr>
                <w:rFonts w:cs="Arial"/>
                <w:sz w:val="20"/>
                <w:szCs w:val="20"/>
              </w:rPr>
            </w:pPr>
            <w:r w:rsidRPr="00A47785">
              <w:rPr>
                <w:rFonts w:cs="Arial"/>
                <w:sz w:val="20"/>
                <w:szCs w:val="20"/>
              </w:rPr>
              <w:t>First Aid Instructions:</w:t>
            </w:r>
          </w:p>
        </w:tc>
        <w:tc>
          <w:tcPr>
            <w:tcW w:w="7755" w:type="dxa"/>
            <w:tcBorders>
              <w:top w:val="single" w:sz="4" w:space="0" w:color="auto"/>
              <w:left w:val="single" w:sz="4" w:space="0" w:color="auto"/>
              <w:bottom w:val="single" w:sz="4" w:space="0" w:color="auto"/>
              <w:right w:val="single" w:sz="4" w:space="0" w:color="auto"/>
            </w:tcBorders>
          </w:tcPr>
          <w:p w14:paraId="143DBD15" w14:textId="77777777" w:rsidR="008E67EA" w:rsidRDefault="008E67EA" w:rsidP="00B44A74">
            <w:pPr>
              <w:spacing w:line="280" w:lineRule="exact"/>
              <w:rPr>
                <w:rFonts w:cs="Arial"/>
                <w:color w:val="000000"/>
                <w:sz w:val="20"/>
                <w:szCs w:val="20"/>
              </w:rPr>
            </w:pPr>
            <w:r>
              <w:rPr>
                <w:rFonts w:cs="Arial"/>
                <w:color w:val="000000"/>
                <w:sz w:val="20"/>
                <w:szCs w:val="20"/>
              </w:rPr>
              <w:t>FIRST AID</w:t>
            </w:r>
          </w:p>
          <w:p w14:paraId="1F8B80FC" w14:textId="77777777" w:rsidR="008E67EA" w:rsidRPr="00A47785" w:rsidRDefault="008E67EA" w:rsidP="00B44A74">
            <w:pPr>
              <w:spacing w:line="280" w:lineRule="exact"/>
              <w:rPr>
                <w:rFonts w:cs="Arial"/>
                <w:sz w:val="20"/>
                <w:szCs w:val="20"/>
              </w:rPr>
            </w:pPr>
            <w:r w:rsidRPr="00565F54">
              <w:rPr>
                <w:rFonts w:cs="Arial"/>
                <w:color w:val="000000"/>
                <w:sz w:val="20"/>
                <w:szCs w:val="20"/>
              </w:rPr>
              <w:t>If poisoning occurs, contact a doctor or Poisons Information Centre. Phone Australia 13 11 26, New Zealand 0800 764 766. Vitamin K1 (Phytomenadione) is antidotal.</w:t>
            </w:r>
          </w:p>
        </w:tc>
      </w:tr>
      <w:tr w:rsidR="008E67EA" w:rsidRPr="00A47785" w14:paraId="7805C534" w14:textId="77777777" w:rsidTr="00B44A74">
        <w:trPr>
          <w:jc w:val="center"/>
        </w:trPr>
        <w:tc>
          <w:tcPr>
            <w:tcW w:w="2415" w:type="dxa"/>
            <w:tcBorders>
              <w:top w:val="single" w:sz="4" w:space="0" w:color="auto"/>
              <w:left w:val="nil"/>
              <w:bottom w:val="single" w:sz="4" w:space="0" w:color="auto"/>
              <w:right w:val="nil"/>
            </w:tcBorders>
          </w:tcPr>
          <w:p w14:paraId="3C706EB7" w14:textId="77777777" w:rsidR="008E67EA" w:rsidRPr="00A47785"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0542B16" w14:textId="77777777" w:rsidR="008E67EA" w:rsidRPr="00A47785" w:rsidRDefault="008E67EA" w:rsidP="00B44A74">
            <w:pPr>
              <w:spacing w:line="280" w:lineRule="exact"/>
              <w:rPr>
                <w:rFonts w:cs="Arial"/>
                <w:sz w:val="20"/>
                <w:szCs w:val="20"/>
              </w:rPr>
            </w:pPr>
          </w:p>
        </w:tc>
      </w:tr>
      <w:tr w:rsidR="008E67EA" w:rsidRPr="00A47785" w14:paraId="781FECA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06B5068" w14:textId="77777777" w:rsidR="008E67EA" w:rsidRPr="00A47785" w:rsidRDefault="008E67EA" w:rsidP="00B44A74">
            <w:pPr>
              <w:spacing w:line="280" w:lineRule="exact"/>
              <w:rPr>
                <w:rFonts w:cs="Arial"/>
                <w:sz w:val="20"/>
                <w:szCs w:val="20"/>
              </w:rPr>
            </w:pPr>
            <w:r w:rsidRPr="00A47785">
              <w:rPr>
                <w:rFonts w:cs="Arial"/>
                <w:sz w:val="20"/>
                <w:szCs w:val="20"/>
              </w:rPr>
              <w:t>First Aid Warnings:</w:t>
            </w:r>
          </w:p>
        </w:tc>
        <w:tc>
          <w:tcPr>
            <w:tcW w:w="7755" w:type="dxa"/>
            <w:tcBorders>
              <w:top w:val="single" w:sz="4" w:space="0" w:color="auto"/>
              <w:left w:val="single" w:sz="4" w:space="0" w:color="auto"/>
              <w:bottom w:val="single" w:sz="4" w:space="0" w:color="auto"/>
              <w:right w:val="single" w:sz="4" w:space="0" w:color="auto"/>
            </w:tcBorders>
          </w:tcPr>
          <w:p w14:paraId="7FF86AA3" w14:textId="77777777" w:rsidR="008E67EA" w:rsidRPr="00A47785" w:rsidRDefault="008E67EA" w:rsidP="00B44A74">
            <w:pPr>
              <w:spacing w:line="280" w:lineRule="exact"/>
              <w:rPr>
                <w:rFonts w:cs="Arial"/>
                <w:sz w:val="20"/>
                <w:szCs w:val="20"/>
              </w:rPr>
            </w:pPr>
          </w:p>
        </w:tc>
      </w:tr>
    </w:tbl>
    <w:p w14:paraId="7BC65279" w14:textId="77777777" w:rsidR="008E67EA" w:rsidRPr="00565F54" w:rsidRDefault="008E67EA" w:rsidP="008E67EA">
      <w:pPr>
        <w:rPr>
          <w:rFonts w:cs="Arial"/>
          <w:sz w:val="20"/>
          <w:szCs w:val="20"/>
        </w:rPr>
      </w:pPr>
    </w:p>
    <w:p w14:paraId="0256F8C0" w14:textId="77777777" w:rsidR="008E67EA" w:rsidRPr="00FF36BF" w:rsidRDefault="008E67EA" w:rsidP="008E67EA">
      <w:pPr>
        <w:spacing w:line="280" w:lineRule="exact"/>
        <w:rPr>
          <w:rFonts w:cs="Arial"/>
          <w:b/>
          <w:bCs/>
          <w:sz w:val="20"/>
          <w:szCs w:val="20"/>
        </w:rPr>
      </w:pPr>
      <w:r w:rsidRPr="00FF36BF">
        <w:rPr>
          <w:rFonts w:cs="Arial"/>
          <w:b/>
          <w:bCs/>
          <w:sz w:val="20"/>
          <w:szCs w:val="20"/>
        </w:rPr>
        <w:t>DIRECTIONS FOR USE</w:t>
      </w:r>
    </w:p>
    <w:tbl>
      <w:tblPr>
        <w:tblStyle w:val="TableGrid"/>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276"/>
        <w:gridCol w:w="3613"/>
      </w:tblGrid>
      <w:tr w:rsidR="008E67EA" w:rsidRPr="00A27FD2" w14:paraId="124E6F20" w14:textId="77777777" w:rsidTr="009C4F64">
        <w:trPr>
          <w:trHeight w:val="340"/>
        </w:trPr>
        <w:tc>
          <w:tcPr>
            <w:tcW w:w="1701" w:type="dxa"/>
          </w:tcPr>
          <w:p w14:paraId="5D919CEA" w14:textId="77777777" w:rsidR="008E67EA" w:rsidRPr="00382A84" w:rsidRDefault="008E67EA" w:rsidP="00B44A74">
            <w:pPr>
              <w:spacing w:line="280" w:lineRule="exact"/>
              <w:rPr>
                <w:rFonts w:cs="Arial"/>
                <w:b/>
                <w:bCs/>
                <w:szCs w:val="18"/>
              </w:rPr>
            </w:pPr>
            <w:r>
              <w:rPr>
                <w:rFonts w:cs="Arial"/>
                <w:b/>
                <w:bCs/>
                <w:szCs w:val="18"/>
              </w:rPr>
              <w:t>PEST</w:t>
            </w:r>
          </w:p>
        </w:tc>
        <w:tc>
          <w:tcPr>
            <w:tcW w:w="2410" w:type="dxa"/>
          </w:tcPr>
          <w:p w14:paraId="363D9B92" w14:textId="77777777" w:rsidR="008E67EA" w:rsidRPr="00382A84" w:rsidRDefault="008E67EA" w:rsidP="00B44A74">
            <w:pPr>
              <w:spacing w:line="280" w:lineRule="exact"/>
              <w:rPr>
                <w:rFonts w:cs="Arial"/>
                <w:b/>
                <w:bCs/>
                <w:szCs w:val="18"/>
              </w:rPr>
            </w:pPr>
            <w:r>
              <w:rPr>
                <w:rFonts w:cs="Arial"/>
                <w:b/>
                <w:bCs/>
                <w:szCs w:val="18"/>
              </w:rPr>
              <w:t>SITUATION</w:t>
            </w:r>
          </w:p>
        </w:tc>
        <w:tc>
          <w:tcPr>
            <w:tcW w:w="1276" w:type="dxa"/>
          </w:tcPr>
          <w:p w14:paraId="7486035B" w14:textId="77777777" w:rsidR="008E67EA" w:rsidRPr="00382A84" w:rsidRDefault="008E67EA" w:rsidP="00B44A74">
            <w:pPr>
              <w:spacing w:line="280" w:lineRule="exact"/>
              <w:rPr>
                <w:rFonts w:cs="Arial"/>
                <w:b/>
                <w:bCs/>
                <w:szCs w:val="18"/>
              </w:rPr>
            </w:pPr>
            <w:r w:rsidRPr="00382A84">
              <w:rPr>
                <w:rFonts w:cs="Arial"/>
                <w:b/>
                <w:bCs/>
                <w:szCs w:val="18"/>
              </w:rPr>
              <w:t>RATE</w:t>
            </w:r>
          </w:p>
        </w:tc>
        <w:tc>
          <w:tcPr>
            <w:tcW w:w="3613" w:type="dxa"/>
          </w:tcPr>
          <w:p w14:paraId="543BB9A9" w14:textId="77777777" w:rsidR="008E67EA" w:rsidRPr="00382A84" w:rsidRDefault="008E67EA" w:rsidP="00B44A74">
            <w:pPr>
              <w:spacing w:line="280" w:lineRule="exact"/>
              <w:rPr>
                <w:rFonts w:cs="Arial"/>
                <w:b/>
                <w:bCs/>
                <w:szCs w:val="18"/>
              </w:rPr>
            </w:pPr>
            <w:r w:rsidRPr="00382A84">
              <w:rPr>
                <w:rFonts w:cs="Arial"/>
                <w:b/>
                <w:bCs/>
                <w:szCs w:val="18"/>
              </w:rPr>
              <w:t>CRITICAL COMMENTS</w:t>
            </w:r>
          </w:p>
        </w:tc>
      </w:tr>
      <w:tr w:rsidR="008E67EA" w:rsidRPr="00A27FD2" w14:paraId="306B5A8B" w14:textId="77777777" w:rsidTr="009C4F64">
        <w:trPr>
          <w:trHeight w:val="841"/>
        </w:trPr>
        <w:tc>
          <w:tcPr>
            <w:tcW w:w="1701" w:type="dxa"/>
          </w:tcPr>
          <w:p w14:paraId="6609D339" w14:textId="77777777" w:rsidR="008E67EA" w:rsidRPr="00382A84" w:rsidRDefault="008E67EA" w:rsidP="00B44A74">
            <w:pPr>
              <w:spacing w:after="120" w:line="240" w:lineRule="exact"/>
              <w:rPr>
                <w:rFonts w:cs="Arial"/>
                <w:bCs/>
                <w:spacing w:val="-2"/>
                <w:w w:val="105"/>
                <w:szCs w:val="18"/>
              </w:rPr>
            </w:pPr>
            <w:r w:rsidRPr="00382A84">
              <w:rPr>
                <w:rFonts w:cs="Arial"/>
                <w:bCs/>
                <w:spacing w:val="-2"/>
                <w:w w:val="105"/>
                <w:szCs w:val="18"/>
              </w:rPr>
              <w:t>Mice</w:t>
            </w:r>
          </w:p>
        </w:tc>
        <w:tc>
          <w:tcPr>
            <w:tcW w:w="2410" w:type="dxa"/>
          </w:tcPr>
          <w:p w14:paraId="21F91F2E" w14:textId="77777777" w:rsidR="008E67EA" w:rsidRPr="00382A84" w:rsidRDefault="008E67EA" w:rsidP="00B44A74">
            <w:pPr>
              <w:spacing w:after="120" w:line="240" w:lineRule="exact"/>
              <w:rPr>
                <w:rFonts w:cs="Arial"/>
                <w:bCs/>
                <w:spacing w:val="-2"/>
                <w:w w:val="105"/>
                <w:szCs w:val="18"/>
              </w:rPr>
            </w:pPr>
            <w:r>
              <w:rPr>
                <w:rFonts w:cs="Arial"/>
                <w:bCs/>
                <w:spacing w:val="-2"/>
                <w:w w:val="105"/>
                <w:szCs w:val="18"/>
              </w:rPr>
              <w:t xml:space="preserve">In </w:t>
            </w:r>
            <w:r w:rsidRPr="00B519F7">
              <w:rPr>
                <w:rFonts w:cs="Arial"/>
                <w:bCs/>
                <w:spacing w:val="-2"/>
                <w:w w:val="105"/>
                <w:szCs w:val="18"/>
              </w:rPr>
              <w:t>industrial,</w:t>
            </w:r>
            <w:r>
              <w:rPr>
                <w:rFonts w:cs="Arial"/>
                <w:bCs/>
                <w:spacing w:val="-2"/>
                <w:w w:val="105"/>
                <w:szCs w:val="18"/>
              </w:rPr>
              <w:t xml:space="preserve"> </w:t>
            </w:r>
            <w:r w:rsidRPr="00B519F7">
              <w:rPr>
                <w:rFonts w:cs="Arial"/>
                <w:bCs/>
                <w:spacing w:val="-2"/>
                <w:w w:val="105"/>
                <w:szCs w:val="18"/>
              </w:rPr>
              <w:t>commercial, public</w:t>
            </w:r>
            <w:r>
              <w:rPr>
                <w:rFonts w:cs="Arial"/>
                <w:bCs/>
                <w:spacing w:val="-2"/>
                <w:w w:val="105"/>
                <w:szCs w:val="18"/>
              </w:rPr>
              <w:t xml:space="preserve"> </w:t>
            </w:r>
            <w:r w:rsidRPr="00B519F7">
              <w:rPr>
                <w:rFonts w:cs="Arial"/>
                <w:bCs/>
                <w:spacing w:val="-2"/>
                <w:w w:val="105"/>
                <w:szCs w:val="18"/>
              </w:rPr>
              <w:t>services, domestic</w:t>
            </w:r>
            <w:r>
              <w:rPr>
                <w:rFonts w:cs="Arial"/>
                <w:bCs/>
                <w:spacing w:val="-2"/>
                <w:w w:val="105"/>
                <w:szCs w:val="18"/>
              </w:rPr>
              <w:t xml:space="preserve"> </w:t>
            </w:r>
            <w:r w:rsidRPr="00B519F7">
              <w:rPr>
                <w:rFonts w:cs="Arial"/>
                <w:bCs/>
                <w:spacing w:val="-2"/>
                <w:w w:val="105"/>
                <w:szCs w:val="18"/>
              </w:rPr>
              <w:t>and agricultural</w:t>
            </w:r>
            <w:r>
              <w:rPr>
                <w:rFonts w:cs="Arial"/>
                <w:bCs/>
                <w:spacing w:val="-2"/>
                <w:w w:val="105"/>
                <w:szCs w:val="18"/>
              </w:rPr>
              <w:t xml:space="preserve"> </w:t>
            </w:r>
            <w:r w:rsidRPr="00B519F7">
              <w:rPr>
                <w:rFonts w:cs="Arial"/>
                <w:bCs/>
                <w:spacing w:val="-2"/>
                <w:w w:val="105"/>
                <w:szCs w:val="18"/>
              </w:rPr>
              <w:t>buildings</w:t>
            </w:r>
            <w:r>
              <w:rPr>
                <w:rFonts w:cs="Arial"/>
                <w:bCs/>
                <w:spacing w:val="-2"/>
                <w:w w:val="105"/>
                <w:szCs w:val="18"/>
              </w:rPr>
              <w:t xml:space="preserve"> </w:t>
            </w:r>
            <w:r w:rsidRPr="00B519F7">
              <w:rPr>
                <w:rFonts w:cs="Arial"/>
                <w:bCs/>
                <w:spacing w:val="-2"/>
                <w:w w:val="105"/>
                <w:szCs w:val="18"/>
              </w:rPr>
              <w:t>(machinery sheds,</w:t>
            </w:r>
            <w:r>
              <w:rPr>
                <w:rFonts w:cs="Arial"/>
                <w:bCs/>
                <w:spacing w:val="-2"/>
                <w:w w:val="105"/>
                <w:szCs w:val="18"/>
              </w:rPr>
              <w:t xml:space="preserve"> </w:t>
            </w:r>
            <w:r w:rsidRPr="00B519F7">
              <w:rPr>
                <w:rFonts w:cs="Arial"/>
                <w:bCs/>
                <w:spacing w:val="-2"/>
                <w:w w:val="105"/>
                <w:szCs w:val="18"/>
              </w:rPr>
              <w:t>etc.)</w:t>
            </w:r>
          </w:p>
        </w:tc>
        <w:tc>
          <w:tcPr>
            <w:tcW w:w="1276" w:type="dxa"/>
          </w:tcPr>
          <w:p w14:paraId="6D2DE9A5" w14:textId="77777777" w:rsidR="008E67EA" w:rsidRPr="00382A84" w:rsidRDefault="008E67EA" w:rsidP="00B44A74">
            <w:pPr>
              <w:spacing w:after="120" w:line="240" w:lineRule="exact"/>
              <w:rPr>
                <w:rFonts w:cs="Arial"/>
                <w:bCs/>
                <w:spacing w:val="-2"/>
                <w:w w:val="105"/>
                <w:szCs w:val="18"/>
              </w:rPr>
            </w:pPr>
            <w:r>
              <w:rPr>
                <w:rFonts w:cs="Arial"/>
                <w:bCs/>
                <w:spacing w:val="-2"/>
                <w:w w:val="105"/>
                <w:szCs w:val="18"/>
              </w:rPr>
              <w:t>[As per current approved label]</w:t>
            </w:r>
          </w:p>
        </w:tc>
        <w:tc>
          <w:tcPr>
            <w:tcW w:w="3613" w:type="dxa"/>
          </w:tcPr>
          <w:p w14:paraId="15695927" w14:textId="4A56921F" w:rsidR="008E67EA" w:rsidRDefault="008E67EA" w:rsidP="00B44A74">
            <w:pPr>
              <w:spacing w:after="120" w:line="240" w:lineRule="exact"/>
              <w:rPr>
                <w:rFonts w:cs="Arial"/>
                <w:bCs/>
                <w:spacing w:val="-2"/>
                <w:w w:val="105"/>
                <w:szCs w:val="18"/>
              </w:rPr>
            </w:pPr>
            <w:r w:rsidRPr="00FF616F">
              <w:rPr>
                <w:rFonts w:cs="Arial"/>
                <w:bCs/>
                <w:spacing w:val="-2"/>
                <w:w w:val="105"/>
                <w:szCs w:val="18"/>
              </w:rPr>
              <w:t>Explore the site and locate runs, nests,</w:t>
            </w:r>
            <w:r>
              <w:rPr>
                <w:rFonts w:cs="Arial"/>
                <w:bCs/>
                <w:spacing w:val="-2"/>
                <w:w w:val="105"/>
                <w:szCs w:val="18"/>
              </w:rPr>
              <w:t xml:space="preserve"> </w:t>
            </w:r>
            <w:r w:rsidRPr="00FF616F">
              <w:rPr>
                <w:rFonts w:cs="Arial"/>
                <w:bCs/>
                <w:spacing w:val="-2"/>
                <w:w w:val="105"/>
                <w:szCs w:val="18"/>
              </w:rPr>
              <w:t>droppings and signs of damage.</w:t>
            </w:r>
          </w:p>
          <w:p w14:paraId="058DEA8A" w14:textId="77777777" w:rsidR="008E67EA" w:rsidRPr="00382A84" w:rsidRDefault="008E67EA" w:rsidP="00B44A74">
            <w:pPr>
              <w:spacing w:after="120" w:line="240" w:lineRule="exact"/>
              <w:rPr>
                <w:rFonts w:cs="Arial"/>
                <w:bCs/>
                <w:spacing w:val="-2"/>
                <w:w w:val="105"/>
                <w:szCs w:val="18"/>
              </w:rPr>
            </w:pPr>
            <w:r w:rsidRPr="00382A84">
              <w:rPr>
                <w:rFonts w:cs="Arial"/>
                <w:bCs/>
                <w:spacing w:val="-2"/>
                <w:w w:val="105"/>
                <w:szCs w:val="18"/>
              </w:rPr>
              <w:t>Place bait stations in infested area</w:t>
            </w:r>
            <w:r>
              <w:rPr>
                <w:rFonts w:cs="Arial"/>
                <w:bCs/>
                <w:spacing w:val="-2"/>
                <w:w w:val="105"/>
                <w:szCs w:val="18"/>
              </w:rPr>
              <w:t xml:space="preserve">. </w:t>
            </w:r>
            <w:r w:rsidRPr="00B519F7">
              <w:rPr>
                <w:rFonts w:cs="Arial"/>
                <w:bCs/>
                <w:spacing w:val="-2"/>
                <w:w w:val="105"/>
                <w:szCs w:val="18"/>
              </w:rPr>
              <w:t>As mice are sporadic feeders use many bait points, not more than 3m apart.</w:t>
            </w:r>
          </w:p>
        </w:tc>
      </w:tr>
      <w:tr w:rsidR="008E67EA" w:rsidRPr="00A27FD2" w14:paraId="0A7BAFCB" w14:textId="77777777" w:rsidTr="009C4F64">
        <w:trPr>
          <w:trHeight w:val="841"/>
        </w:trPr>
        <w:tc>
          <w:tcPr>
            <w:tcW w:w="1701" w:type="dxa"/>
          </w:tcPr>
          <w:p w14:paraId="217D58FF" w14:textId="77777777" w:rsidR="008E67EA" w:rsidRPr="00382A84" w:rsidRDefault="008E67EA" w:rsidP="00B44A74">
            <w:pPr>
              <w:spacing w:after="120" w:line="240" w:lineRule="exact"/>
              <w:rPr>
                <w:rFonts w:cs="Arial"/>
                <w:bCs/>
                <w:spacing w:val="-2"/>
                <w:w w:val="105"/>
                <w:szCs w:val="18"/>
              </w:rPr>
            </w:pPr>
            <w:r w:rsidRPr="00382A84">
              <w:rPr>
                <w:rFonts w:cs="Arial"/>
                <w:bCs/>
                <w:spacing w:val="-2"/>
                <w:w w:val="105"/>
                <w:szCs w:val="18"/>
              </w:rPr>
              <w:t xml:space="preserve">Brown or Norway rat </w:t>
            </w:r>
            <w:r w:rsidRPr="00382A84">
              <w:rPr>
                <w:rFonts w:cs="Arial"/>
                <w:bCs/>
                <w:i/>
                <w:iCs/>
                <w:spacing w:val="-2"/>
                <w:w w:val="105"/>
                <w:szCs w:val="18"/>
              </w:rPr>
              <w:t>(Rattus norvegicus)</w:t>
            </w:r>
          </w:p>
        </w:tc>
        <w:tc>
          <w:tcPr>
            <w:tcW w:w="2410" w:type="dxa"/>
          </w:tcPr>
          <w:p w14:paraId="60CBE196" w14:textId="77777777" w:rsidR="008E67EA" w:rsidRPr="00B519F7" w:rsidRDefault="008E67EA" w:rsidP="00B44A74">
            <w:pPr>
              <w:spacing w:after="120" w:line="240" w:lineRule="exact"/>
              <w:rPr>
                <w:rFonts w:cs="Arial"/>
                <w:bCs/>
                <w:spacing w:val="-2"/>
                <w:w w:val="105"/>
                <w:szCs w:val="18"/>
              </w:rPr>
            </w:pPr>
            <w:r w:rsidRPr="00B519F7">
              <w:rPr>
                <w:rFonts w:cs="Arial"/>
                <w:bCs/>
                <w:spacing w:val="-2"/>
                <w:w w:val="105"/>
                <w:szCs w:val="18"/>
              </w:rPr>
              <w:t>For use in and</w:t>
            </w:r>
            <w:r>
              <w:rPr>
                <w:rFonts w:cs="Arial"/>
                <w:bCs/>
                <w:spacing w:val="-2"/>
                <w:w w:val="105"/>
                <w:szCs w:val="18"/>
              </w:rPr>
              <w:t xml:space="preserve"> </w:t>
            </w:r>
            <w:r w:rsidRPr="00B519F7">
              <w:rPr>
                <w:rFonts w:cs="Arial"/>
                <w:bCs/>
                <w:spacing w:val="-2"/>
                <w:w w:val="105"/>
                <w:szCs w:val="18"/>
              </w:rPr>
              <w:t>around (within 2</w:t>
            </w:r>
            <w:r>
              <w:rPr>
                <w:rFonts w:cs="Arial"/>
                <w:bCs/>
                <w:spacing w:val="-2"/>
                <w:w w:val="105"/>
                <w:szCs w:val="18"/>
              </w:rPr>
              <w:t xml:space="preserve"> </w:t>
            </w:r>
            <w:r w:rsidRPr="00B519F7">
              <w:rPr>
                <w:rFonts w:cs="Arial"/>
                <w:bCs/>
                <w:spacing w:val="-2"/>
                <w:w w:val="105"/>
                <w:szCs w:val="18"/>
              </w:rPr>
              <w:t>metres) industrial,</w:t>
            </w:r>
            <w:r>
              <w:rPr>
                <w:rFonts w:cs="Arial"/>
                <w:bCs/>
                <w:spacing w:val="-2"/>
                <w:w w:val="105"/>
                <w:szCs w:val="18"/>
              </w:rPr>
              <w:t xml:space="preserve"> </w:t>
            </w:r>
            <w:r w:rsidRPr="00B519F7">
              <w:rPr>
                <w:rFonts w:cs="Arial"/>
                <w:bCs/>
                <w:spacing w:val="-2"/>
                <w:w w:val="105"/>
                <w:szCs w:val="18"/>
              </w:rPr>
              <w:t>commercial, public</w:t>
            </w:r>
            <w:r>
              <w:rPr>
                <w:rFonts w:cs="Arial"/>
                <w:bCs/>
                <w:spacing w:val="-2"/>
                <w:w w:val="105"/>
                <w:szCs w:val="18"/>
              </w:rPr>
              <w:t xml:space="preserve"> </w:t>
            </w:r>
            <w:r w:rsidRPr="00B519F7">
              <w:rPr>
                <w:rFonts w:cs="Arial"/>
                <w:bCs/>
                <w:spacing w:val="-2"/>
                <w:w w:val="105"/>
                <w:szCs w:val="18"/>
              </w:rPr>
              <w:t>services, domestic</w:t>
            </w:r>
            <w:r>
              <w:rPr>
                <w:rFonts w:cs="Arial"/>
                <w:bCs/>
                <w:spacing w:val="-2"/>
                <w:w w:val="105"/>
                <w:szCs w:val="18"/>
              </w:rPr>
              <w:t xml:space="preserve"> </w:t>
            </w:r>
            <w:r w:rsidRPr="00B519F7">
              <w:rPr>
                <w:rFonts w:cs="Arial"/>
                <w:bCs/>
                <w:spacing w:val="-2"/>
                <w:w w:val="105"/>
                <w:szCs w:val="18"/>
              </w:rPr>
              <w:t>and agricultural</w:t>
            </w:r>
            <w:r>
              <w:rPr>
                <w:rFonts w:cs="Arial"/>
                <w:bCs/>
                <w:spacing w:val="-2"/>
                <w:w w:val="105"/>
                <w:szCs w:val="18"/>
              </w:rPr>
              <w:t xml:space="preserve"> </w:t>
            </w:r>
            <w:r w:rsidRPr="00B519F7">
              <w:rPr>
                <w:rFonts w:cs="Arial"/>
                <w:bCs/>
                <w:spacing w:val="-2"/>
                <w:w w:val="105"/>
                <w:szCs w:val="18"/>
              </w:rPr>
              <w:t>buildings</w:t>
            </w:r>
            <w:r>
              <w:rPr>
                <w:rFonts w:cs="Arial"/>
                <w:bCs/>
                <w:spacing w:val="-2"/>
                <w:w w:val="105"/>
                <w:szCs w:val="18"/>
              </w:rPr>
              <w:t xml:space="preserve"> </w:t>
            </w:r>
            <w:r w:rsidRPr="00B519F7">
              <w:rPr>
                <w:rFonts w:cs="Arial"/>
                <w:bCs/>
                <w:spacing w:val="-2"/>
                <w:w w:val="105"/>
                <w:szCs w:val="18"/>
              </w:rPr>
              <w:t>(machinery sheds,</w:t>
            </w:r>
            <w:r>
              <w:rPr>
                <w:rFonts w:cs="Arial"/>
                <w:bCs/>
                <w:spacing w:val="-2"/>
                <w:w w:val="105"/>
                <w:szCs w:val="18"/>
              </w:rPr>
              <w:t xml:space="preserve"> </w:t>
            </w:r>
            <w:r w:rsidRPr="00B519F7">
              <w:rPr>
                <w:rFonts w:cs="Arial"/>
                <w:bCs/>
                <w:spacing w:val="-2"/>
                <w:w w:val="105"/>
                <w:szCs w:val="18"/>
              </w:rPr>
              <w:t>etc.)</w:t>
            </w:r>
          </w:p>
        </w:tc>
        <w:tc>
          <w:tcPr>
            <w:tcW w:w="1276" w:type="dxa"/>
          </w:tcPr>
          <w:p w14:paraId="089A251E" w14:textId="77777777" w:rsidR="008E67EA" w:rsidRPr="00382A84" w:rsidRDefault="008E67EA" w:rsidP="00B44A74">
            <w:pPr>
              <w:spacing w:after="120" w:line="240" w:lineRule="exact"/>
              <w:rPr>
                <w:rFonts w:cs="Arial"/>
                <w:bCs/>
                <w:spacing w:val="-2"/>
                <w:w w:val="105"/>
                <w:szCs w:val="18"/>
              </w:rPr>
            </w:pPr>
            <w:r>
              <w:rPr>
                <w:rFonts w:cs="Arial"/>
                <w:bCs/>
                <w:spacing w:val="-2"/>
                <w:w w:val="105"/>
                <w:szCs w:val="18"/>
              </w:rPr>
              <w:t>[As per current approved label]</w:t>
            </w:r>
          </w:p>
        </w:tc>
        <w:tc>
          <w:tcPr>
            <w:tcW w:w="3613" w:type="dxa"/>
          </w:tcPr>
          <w:p w14:paraId="1C8E9969" w14:textId="76308A39" w:rsidR="008E67EA" w:rsidRDefault="008E67EA" w:rsidP="00B44A74">
            <w:pPr>
              <w:spacing w:after="120" w:line="240" w:lineRule="exact"/>
              <w:rPr>
                <w:rFonts w:cs="Arial"/>
                <w:bCs/>
                <w:spacing w:val="-2"/>
                <w:w w:val="105"/>
                <w:szCs w:val="18"/>
              </w:rPr>
            </w:pPr>
            <w:r w:rsidRPr="00FF616F">
              <w:rPr>
                <w:rFonts w:cs="Arial"/>
                <w:bCs/>
                <w:spacing w:val="-2"/>
                <w:w w:val="105"/>
                <w:szCs w:val="18"/>
              </w:rPr>
              <w:t xml:space="preserve">Explore the site and locate runs, </w:t>
            </w:r>
            <w:r>
              <w:rPr>
                <w:rFonts w:cs="Arial"/>
                <w:bCs/>
                <w:spacing w:val="-2"/>
                <w:w w:val="105"/>
                <w:szCs w:val="18"/>
              </w:rPr>
              <w:t>burrows</w:t>
            </w:r>
            <w:r w:rsidRPr="00FF616F">
              <w:rPr>
                <w:rFonts w:cs="Arial"/>
                <w:bCs/>
                <w:spacing w:val="-2"/>
                <w:w w:val="105"/>
                <w:szCs w:val="18"/>
              </w:rPr>
              <w:t>,</w:t>
            </w:r>
            <w:r>
              <w:rPr>
                <w:rFonts w:cs="Arial"/>
                <w:bCs/>
                <w:spacing w:val="-2"/>
                <w:w w:val="105"/>
                <w:szCs w:val="18"/>
              </w:rPr>
              <w:t xml:space="preserve"> </w:t>
            </w:r>
            <w:r w:rsidRPr="00FF616F">
              <w:rPr>
                <w:rFonts w:cs="Arial"/>
                <w:bCs/>
                <w:spacing w:val="-2"/>
                <w:w w:val="105"/>
                <w:szCs w:val="18"/>
              </w:rPr>
              <w:t>droppings and signs of damage.</w:t>
            </w:r>
          </w:p>
          <w:p w14:paraId="25A01CC0" w14:textId="77777777" w:rsidR="008E67EA" w:rsidRPr="00382A84" w:rsidRDefault="008E67EA" w:rsidP="00B44A74">
            <w:pPr>
              <w:spacing w:after="120" w:line="240" w:lineRule="exact"/>
              <w:rPr>
                <w:rFonts w:cs="Arial"/>
                <w:bCs/>
                <w:spacing w:val="-2"/>
                <w:w w:val="105"/>
                <w:szCs w:val="18"/>
              </w:rPr>
            </w:pPr>
            <w:r>
              <w:rPr>
                <w:rFonts w:cs="Arial"/>
                <w:bCs/>
                <w:spacing w:val="-2"/>
                <w:w w:val="105"/>
                <w:szCs w:val="18"/>
              </w:rPr>
              <w:t>P</w:t>
            </w:r>
            <w:r w:rsidRPr="00B519F7">
              <w:rPr>
                <w:rFonts w:cs="Arial"/>
                <w:bCs/>
                <w:spacing w:val="-2"/>
                <w:w w:val="105"/>
                <w:szCs w:val="18"/>
              </w:rPr>
              <w:t>lace a number of bait points in dry locations throughout the infested area,</w:t>
            </w:r>
            <w:r w:rsidRPr="00B519F7">
              <w:t xml:space="preserve"> </w:t>
            </w:r>
            <w:r w:rsidRPr="00B519F7">
              <w:rPr>
                <w:rFonts w:cs="Arial"/>
                <w:bCs/>
                <w:spacing w:val="-2"/>
                <w:w w:val="105"/>
                <w:szCs w:val="18"/>
              </w:rPr>
              <w:t>not more than 9m apart.</w:t>
            </w:r>
          </w:p>
        </w:tc>
      </w:tr>
      <w:tr w:rsidR="008E67EA" w:rsidRPr="00A27FD2" w14:paraId="20002F87" w14:textId="77777777" w:rsidTr="009C4F64">
        <w:trPr>
          <w:trHeight w:val="841"/>
        </w:trPr>
        <w:tc>
          <w:tcPr>
            <w:tcW w:w="9000" w:type="dxa"/>
            <w:gridSpan w:val="4"/>
          </w:tcPr>
          <w:p w14:paraId="4613C182" w14:textId="77777777" w:rsidR="008E67EA" w:rsidRPr="00382A84" w:rsidRDefault="008E67EA" w:rsidP="00B44A74">
            <w:pPr>
              <w:spacing w:after="120" w:line="240" w:lineRule="exact"/>
              <w:rPr>
                <w:rFonts w:cs="Arial"/>
                <w:b/>
                <w:spacing w:val="-2"/>
                <w:w w:val="105"/>
                <w:szCs w:val="18"/>
              </w:rPr>
            </w:pPr>
            <w:r w:rsidRPr="00382A84">
              <w:rPr>
                <w:rFonts w:cs="Arial"/>
                <w:b/>
                <w:spacing w:val="-2"/>
                <w:w w:val="105"/>
                <w:szCs w:val="18"/>
              </w:rPr>
              <w:t>Baiting strategy</w:t>
            </w:r>
          </w:p>
          <w:p w14:paraId="7EF36BFE" w14:textId="3F339A2D" w:rsidR="008E67EA" w:rsidRPr="00382A84" w:rsidRDefault="008E67EA" w:rsidP="00B44A74">
            <w:pPr>
              <w:spacing w:after="120" w:line="240" w:lineRule="exact"/>
              <w:rPr>
                <w:rFonts w:cs="Arial"/>
                <w:bCs/>
                <w:spacing w:val="-2"/>
                <w:w w:val="105"/>
                <w:szCs w:val="18"/>
              </w:rPr>
            </w:pPr>
            <w:r w:rsidRPr="00382A84">
              <w:rPr>
                <w:rFonts w:cs="Arial"/>
                <w:bCs/>
                <w:spacing w:val="-2"/>
                <w:w w:val="105"/>
                <w:szCs w:val="18"/>
              </w:rPr>
              <w:t>Eliminate, as far as practicable, all other food sources.</w:t>
            </w:r>
          </w:p>
          <w:p w14:paraId="5B82F252" w14:textId="77777777" w:rsidR="008E67EA" w:rsidRDefault="008E67EA" w:rsidP="00B44A74">
            <w:pPr>
              <w:spacing w:after="120" w:line="240" w:lineRule="exact"/>
              <w:rPr>
                <w:rFonts w:cs="Arial"/>
                <w:bCs/>
                <w:spacing w:val="-2"/>
                <w:w w:val="105"/>
                <w:szCs w:val="18"/>
              </w:rPr>
            </w:pPr>
            <w:r w:rsidRPr="00382A84">
              <w:rPr>
                <w:rFonts w:cs="Arial"/>
                <w:bCs/>
                <w:spacing w:val="-2"/>
                <w:w w:val="105"/>
                <w:szCs w:val="18"/>
              </w:rPr>
              <w:t xml:space="preserve">Survey site prior to treatment, including assessment of the extent of infestation and identification of any indications of the presence of non-target animals. </w:t>
            </w:r>
            <w:r w:rsidRPr="00DE642F">
              <w:rPr>
                <w:rFonts w:cs="Arial"/>
                <w:bCs/>
                <w:spacing w:val="-2"/>
                <w:w w:val="105"/>
                <w:szCs w:val="18"/>
              </w:rPr>
              <w:t>Record the number and locations of bait stations for the purpose of inspection, replacement and later removal.</w:t>
            </w:r>
          </w:p>
          <w:p w14:paraId="49972827" w14:textId="39AE98B9" w:rsidR="008E67EA" w:rsidRPr="00382A84" w:rsidRDefault="008E67EA" w:rsidP="00B44A74">
            <w:pPr>
              <w:spacing w:after="120" w:line="240" w:lineRule="exact"/>
              <w:rPr>
                <w:rFonts w:cs="Arial"/>
                <w:bCs/>
                <w:spacing w:val="-2"/>
                <w:w w:val="105"/>
                <w:szCs w:val="18"/>
              </w:rPr>
            </w:pPr>
            <w:r w:rsidRPr="00382A84">
              <w:rPr>
                <w:rFonts w:cs="Arial"/>
                <w:bCs/>
                <w:spacing w:val="-2"/>
                <w:w w:val="105"/>
                <w:szCs w:val="18"/>
              </w:rPr>
              <w:t>Always use tamper-resistant bait stations that are secured in place in child accessible areas, outdoors and in animal or livestock housing. When used in food producing animal housing situations careful consideration is necessary regarding the placement of bait stations to ensure any rodenticide contamination of water, feed or livestock is prevented.</w:t>
            </w:r>
            <w:r>
              <w:rPr>
                <w:rFonts w:cs="Arial"/>
                <w:bCs/>
                <w:spacing w:val="-2"/>
                <w:w w:val="105"/>
                <w:szCs w:val="18"/>
              </w:rPr>
              <w:t xml:space="preserve"> W</w:t>
            </w:r>
            <w:r w:rsidRPr="00FF616F">
              <w:rPr>
                <w:rFonts w:cs="Arial"/>
                <w:bCs/>
                <w:spacing w:val="-2"/>
                <w:w w:val="105"/>
                <w:szCs w:val="18"/>
              </w:rPr>
              <w:t>hen using outdoors, it is best practice to use weather</w:t>
            </w:r>
            <w:r>
              <w:rPr>
                <w:rFonts w:cs="Arial"/>
                <w:bCs/>
                <w:spacing w:val="-2"/>
                <w:w w:val="105"/>
                <w:szCs w:val="18"/>
              </w:rPr>
              <w:t>-</w:t>
            </w:r>
            <w:r w:rsidRPr="00FF616F">
              <w:rPr>
                <w:rFonts w:cs="Arial"/>
                <w:bCs/>
                <w:spacing w:val="-2"/>
                <w:w w:val="105"/>
                <w:szCs w:val="18"/>
              </w:rPr>
              <w:t>resistant bait stations.</w:t>
            </w:r>
            <w:r>
              <w:rPr>
                <w:rFonts w:cs="Arial"/>
                <w:bCs/>
                <w:spacing w:val="-2"/>
                <w:w w:val="105"/>
                <w:szCs w:val="18"/>
              </w:rPr>
              <w:t xml:space="preserve"> DO NOT touch bait.</w:t>
            </w:r>
          </w:p>
          <w:p w14:paraId="46EC3D61" w14:textId="7A25CC04" w:rsidR="008E67EA" w:rsidRDefault="008E67EA" w:rsidP="00B44A74">
            <w:pPr>
              <w:spacing w:after="120" w:line="240" w:lineRule="exact"/>
              <w:rPr>
                <w:rFonts w:cs="Arial"/>
                <w:bCs/>
                <w:spacing w:val="-2"/>
                <w:w w:val="105"/>
                <w:szCs w:val="18"/>
              </w:rPr>
            </w:pPr>
            <w:r w:rsidRPr="00382A84">
              <w:rPr>
                <w:rFonts w:cs="Arial"/>
                <w:bCs/>
                <w:spacing w:val="-2"/>
                <w:w w:val="105"/>
                <w:szCs w:val="18"/>
              </w:rPr>
              <w:t xml:space="preserve">Inspect baits frequently, particularly in the first ten days. Replace eaten bait. If bait is completely consumed, the quantity should be increased. Continue inspecting bait </w:t>
            </w:r>
            <w:r>
              <w:rPr>
                <w:rFonts w:cs="Arial"/>
                <w:bCs/>
                <w:spacing w:val="-2"/>
                <w:w w:val="105"/>
                <w:szCs w:val="18"/>
              </w:rPr>
              <w:t>sites</w:t>
            </w:r>
            <w:r w:rsidRPr="00382A84">
              <w:rPr>
                <w:rFonts w:cs="Arial"/>
                <w:bCs/>
                <w:spacing w:val="-2"/>
                <w:w w:val="105"/>
                <w:szCs w:val="18"/>
              </w:rPr>
              <w:t xml:space="preserve"> at intervals of no longer than 7 days, replenishing baits until they are left untouched. Baiting for at least two weeks will be necessary to reduce rat/mouse numbers. Most deaths occur 4 to </w:t>
            </w:r>
            <w:r>
              <w:rPr>
                <w:rFonts w:cs="Arial"/>
                <w:bCs/>
                <w:spacing w:val="-2"/>
                <w:w w:val="105"/>
                <w:szCs w:val="18"/>
              </w:rPr>
              <w:t>7</w:t>
            </w:r>
            <w:r w:rsidRPr="00382A84">
              <w:rPr>
                <w:rFonts w:cs="Arial"/>
                <w:bCs/>
                <w:spacing w:val="-2"/>
                <w:w w:val="105"/>
                <w:szCs w:val="18"/>
              </w:rPr>
              <w:t xml:space="preserve"> days after consumption of bait, but deaths may occur for up to 2 weeks.</w:t>
            </w:r>
          </w:p>
          <w:p w14:paraId="6FFB8A93" w14:textId="77777777" w:rsidR="008E67EA" w:rsidRPr="00382A84" w:rsidRDefault="008E67EA" w:rsidP="00B44A74">
            <w:pPr>
              <w:spacing w:after="120" w:line="240" w:lineRule="exact"/>
              <w:rPr>
                <w:rFonts w:cs="Arial"/>
                <w:bCs/>
                <w:spacing w:val="-2"/>
                <w:w w:val="105"/>
                <w:szCs w:val="18"/>
              </w:rPr>
            </w:pPr>
            <w:r w:rsidRPr="00382A84">
              <w:rPr>
                <w:rFonts w:cs="Arial"/>
                <w:bCs/>
                <w:spacing w:val="-2"/>
                <w:w w:val="105"/>
                <w:szCs w:val="18"/>
              </w:rPr>
              <w:t>DO NOT use the product beyond 35 days without an evaluation of the state of the infestation and of the efficacy of the treatment.</w:t>
            </w:r>
            <w:r>
              <w:t xml:space="preserve"> </w:t>
            </w:r>
            <w:r w:rsidRPr="00382A84">
              <w:rPr>
                <w:rFonts w:cs="Arial"/>
                <w:bCs/>
                <w:spacing w:val="-2"/>
                <w:w w:val="105"/>
                <w:szCs w:val="18"/>
              </w:rPr>
              <w:t>Remove all uneaten bait at the end of treatment</w:t>
            </w:r>
          </w:p>
        </w:tc>
      </w:tr>
    </w:tbl>
    <w:p w14:paraId="2E1213AE" w14:textId="1710BB5A" w:rsidR="008E67EA" w:rsidRDefault="008E67EA" w:rsidP="009C4F64">
      <w:pPr>
        <w:spacing w:line="280" w:lineRule="exact"/>
        <w:rPr>
          <w:rFonts w:cs="Arial"/>
          <w:b/>
          <w:bCs/>
          <w:sz w:val="20"/>
          <w:szCs w:val="20"/>
          <w:bdr w:val="none" w:sz="0" w:space="0" w:color="auto" w:frame="1"/>
          <w:lang w:val="en-GB" w:eastAsia="en-AU"/>
        </w:rPr>
      </w:pPr>
      <w:r w:rsidRPr="00FF36BF">
        <w:rPr>
          <w:rFonts w:cs="Arial"/>
          <w:b/>
          <w:bCs/>
          <w:sz w:val="20"/>
          <w:szCs w:val="20"/>
        </w:rPr>
        <w:t>NOT TO BE USED FOR ANY PURPOSE, OR IN ANY MANNER, CONTRARY TO THIS LABEL UNLESS AUTHORISED UNDER APPROPRIATE LEGISLATION.</w:t>
      </w:r>
      <w:r>
        <w:rPr>
          <w:rFonts w:cs="Arial"/>
          <w:b/>
          <w:bCs/>
          <w:sz w:val="20"/>
          <w:szCs w:val="20"/>
          <w:bdr w:val="none" w:sz="0" w:space="0" w:color="auto" w:frame="1"/>
          <w:lang w:val="en-GB" w:eastAsia="en-AU"/>
        </w:rPr>
        <w:br w:type="page"/>
      </w:r>
    </w:p>
    <w:p w14:paraId="0689B76E" w14:textId="77777777" w:rsidR="008E67EA"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lastRenderedPageBreak/>
        <w:t xml:space="preserve">Template Label </w:t>
      </w:r>
      <w:r>
        <w:rPr>
          <w:rFonts w:cs="Arial"/>
          <w:b/>
          <w:bCs/>
          <w:sz w:val="20"/>
          <w:szCs w:val="20"/>
          <w:bdr w:val="none" w:sz="0" w:space="0" w:color="auto" w:frame="1"/>
          <w:lang w:val="en-GB" w:eastAsia="en-AU"/>
        </w:rPr>
        <w:t>19b</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2B5B5B" w14:paraId="1B5FDA7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C4EB9CB" w14:textId="77777777" w:rsidR="008E67EA" w:rsidRPr="00F5215F" w:rsidRDefault="008E67EA" w:rsidP="00B44A74">
            <w:pPr>
              <w:spacing w:line="280" w:lineRule="exact"/>
              <w:rPr>
                <w:rFonts w:cs="Arial"/>
                <w:sz w:val="20"/>
                <w:szCs w:val="20"/>
              </w:rPr>
            </w:pPr>
            <w:r w:rsidRPr="00F5215F">
              <w:rPr>
                <w:rFonts w:cs="Arial"/>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233AA1DA" w14:textId="77777777" w:rsidR="008E67EA" w:rsidRPr="00696B96" w:rsidRDefault="008E67EA" w:rsidP="00B44A74">
            <w:pPr>
              <w:spacing w:line="280" w:lineRule="exact"/>
              <w:rPr>
                <w:rFonts w:cs="Arial"/>
                <w:sz w:val="20"/>
                <w:szCs w:val="20"/>
              </w:rPr>
            </w:pPr>
            <w:r w:rsidRPr="00696B96">
              <w:rPr>
                <w:rFonts w:cs="Arial"/>
                <w:sz w:val="20"/>
                <w:szCs w:val="20"/>
              </w:rPr>
              <w:t>[INSERT LABEL NAME]</w:t>
            </w:r>
          </w:p>
        </w:tc>
      </w:tr>
      <w:tr w:rsidR="008E67EA" w:rsidRPr="002B5B5B" w14:paraId="2CA9E2B7" w14:textId="77777777" w:rsidTr="00B44A74">
        <w:trPr>
          <w:jc w:val="center"/>
        </w:trPr>
        <w:tc>
          <w:tcPr>
            <w:tcW w:w="2415" w:type="dxa"/>
            <w:tcBorders>
              <w:top w:val="single" w:sz="4" w:space="0" w:color="auto"/>
              <w:left w:val="nil"/>
              <w:bottom w:val="single" w:sz="4" w:space="0" w:color="auto"/>
              <w:right w:val="nil"/>
            </w:tcBorders>
          </w:tcPr>
          <w:p w14:paraId="474D293A"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63364AB" w14:textId="77777777" w:rsidR="008E67EA" w:rsidRPr="00696B96" w:rsidRDefault="008E67EA" w:rsidP="00B44A74">
            <w:pPr>
              <w:spacing w:line="280" w:lineRule="exact"/>
              <w:rPr>
                <w:rFonts w:cs="Arial"/>
                <w:sz w:val="20"/>
                <w:szCs w:val="20"/>
              </w:rPr>
            </w:pPr>
          </w:p>
        </w:tc>
      </w:tr>
      <w:tr w:rsidR="008E67EA" w:rsidRPr="002B5B5B" w14:paraId="39BB399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C6B6438" w14:textId="77777777" w:rsidR="008E67EA" w:rsidRPr="00F5215F" w:rsidRDefault="008E67EA" w:rsidP="00B44A74">
            <w:pPr>
              <w:spacing w:line="280" w:lineRule="exact"/>
              <w:rPr>
                <w:rFonts w:cs="Arial"/>
                <w:sz w:val="20"/>
                <w:szCs w:val="20"/>
              </w:rPr>
            </w:pPr>
            <w:r w:rsidRPr="00F5215F">
              <w:rPr>
                <w:rFonts w:cs="Arial"/>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0EF074BD" w14:textId="77777777" w:rsidR="008E67EA" w:rsidRPr="00696B96" w:rsidRDefault="008E67EA" w:rsidP="00B44A74">
            <w:pPr>
              <w:spacing w:line="280" w:lineRule="exact"/>
              <w:rPr>
                <w:rFonts w:cs="Arial"/>
                <w:sz w:val="20"/>
                <w:szCs w:val="20"/>
              </w:rPr>
            </w:pPr>
            <w:r w:rsidRPr="000D673C">
              <w:rPr>
                <w:rFonts w:cs="Arial"/>
                <w:sz w:val="20"/>
                <w:szCs w:val="20"/>
              </w:rPr>
              <w:t>POISON</w:t>
            </w:r>
            <w:r w:rsidRPr="000D673C">
              <w:rPr>
                <w:rFonts w:cs="Arial"/>
                <w:sz w:val="20"/>
                <w:szCs w:val="20"/>
              </w:rPr>
              <w:br/>
              <w:t>KEEP OUT OF REACH OF CHILDREN</w:t>
            </w:r>
            <w:r w:rsidRPr="000D673C">
              <w:rPr>
                <w:rFonts w:cs="Arial"/>
                <w:sz w:val="20"/>
                <w:szCs w:val="20"/>
              </w:rPr>
              <w:br/>
              <w:t>READ SAFETY DIRECTIONS BEFORE OPENING OR USING</w:t>
            </w:r>
          </w:p>
        </w:tc>
      </w:tr>
      <w:tr w:rsidR="008E67EA" w:rsidRPr="002B5B5B" w14:paraId="3601F00E" w14:textId="77777777" w:rsidTr="00B44A74">
        <w:trPr>
          <w:jc w:val="center"/>
        </w:trPr>
        <w:tc>
          <w:tcPr>
            <w:tcW w:w="2415" w:type="dxa"/>
            <w:tcBorders>
              <w:top w:val="single" w:sz="4" w:space="0" w:color="auto"/>
              <w:left w:val="nil"/>
              <w:bottom w:val="single" w:sz="4" w:space="0" w:color="auto"/>
              <w:right w:val="nil"/>
            </w:tcBorders>
          </w:tcPr>
          <w:p w14:paraId="5E9C77BE"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3AAAED5" w14:textId="77777777" w:rsidR="008E67EA" w:rsidRPr="00696B96" w:rsidRDefault="008E67EA" w:rsidP="00B44A74">
            <w:pPr>
              <w:spacing w:line="280" w:lineRule="exact"/>
              <w:rPr>
                <w:rFonts w:cs="Arial"/>
                <w:sz w:val="20"/>
                <w:szCs w:val="20"/>
              </w:rPr>
            </w:pPr>
          </w:p>
        </w:tc>
      </w:tr>
      <w:tr w:rsidR="008E67EA" w:rsidRPr="002B5B5B" w14:paraId="3438357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363184A" w14:textId="77777777" w:rsidR="008E67EA" w:rsidRPr="00F5215F" w:rsidRDefault="008E67EA" w:rsidP="00B44A74">
            <w:pPr>
              <w:spacing w:line="280" w:lineRule="exact"/>
              <w:rPr>
                <w:rFonts w:cs="Arial"/>
                <w:sz w:val="20"/>
                <w:szCs w:val="20"/>
              </w:rPr>
            </w:pPr>
            <w:r w:rsidRPr="00F5215F">
              <w:rPr>
                <w:rFonts w:cs="Arial"/>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0BA78223" w14:textId="77777777" w:rsidR="008E67EA" w:rsidRPr="00696B96" w:rsidRDefault="008E67EA" w:rsidP="00B44A74">
            <w:pPr>
              <w:spacing w:line="280" w:lineRule="exact"/>
              <w:rPr>
                <w:rFonts w:cs="Arial"/>
                <w:sz w:val="20"/>
                <w:szCs w:val="20"/>
              </w:rPr>
            </w:pPr>
            <w:r w:rsidRPr="00696B96">
              <w:rPr>
                <w:rFonts w:cs="Arial"/>
                <w:sz w:val="20"/>
                <w:szCs w:val="20"/>
              </w:rPr>
              <w:t>ACTIVE CONSTITUENT: 0.025 g/kg DIFENACOUM</w:t>
            </w:r>
          </w:p>
        </w:tc>
      </w:tr>
      <w:tr w:rsidR="008E67EA" w:rsidRPr="002B5B5B" w14:paraId="0F2639C7" w14:textId="77777777" w:rsidTr="00B44A74">
        <w:trPr>
          <w:jc w:val="center"/>
        </w:trPr>
        <w:tc>
          <w:tcPr>
            <w:tcW w:w="2415" w:type="dxa"/>
            <w:tcBorders>
              <w:top w:val="single" w:sz="4" w:space="0" w:color="auto"/>
              <w:left w:val="nil"/>
              <w:bottom w:val="single" w:sz="4" w:space="0" w:color="auto"/>
              <w:right w:val="nil"/>
            </w:tcBorders>
          </w:tcPr>
          <w:p w14:paraId="6B68956F"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639B6CA" w14:textId="77777777" w:rsidR="008E67EA" w:rsidRPr="00696B96" w:rsidRDefault="008E67EA" w:rsidP="00B44A74">
            <w:pPr>
              <w:spacing w:line="280" w:lineRule="exact"/>
              <w:rPr>
                <w:rFonts w:cs="Arial"/>
                <w:sz w:val="20"/>
                <w:szCs w:val="20"/>
              </w:rPr>
            </w:pPr>
          </w:p>
        </w:tc>
      </w:tr>
      <w:tr w:rsidR="008E67EA" w:rsidRPr="00994236" w14:paraId="0C058C6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8834B54" w14:textId="77777777" w:rsidR="008E67EA" w:rsidRPr="00F5215F" w:rsidRDefault="008E67EA" w:rsidP="00B44A74">
            <w:pPr>
              <w:spacing w:line="280" w:lineRule="exact"/>
              <w:rPr>
                <w:rFonts w:cs="Arial"/>
                <w:sz w:val="20"/>
                <w:szCs w:val="20"/>
              </w:rPr>
            </w:pPr>
            <w:r w:rsidRPr="00F5215F">
              <w:rPr>
                <w:rFonts w:cs="Arial"/>
                <w:sz w:val="20"/>
                <w:szCs w:val="20"/>
              </w:rPr>
              <w:t>Mode of Action:</w:t>
            </w:r>
          </w:p>
        </w:tc>
        <w:tc>
          <w:tcPr>
            <w:tcW w:w="7755" w:type="dxa"/>
            <w:tcBorders>
              <w:top w:val="single" w:sz="4" w:space="0" w:color="auto"/>
              <w:left w:val="single" w:sz="4" w:space="0" w:color="auto"/>
              <w:bottom w:val="single" w:sz="4" w:space="0" w:color="auto"/>
              <w:right w:val="single" w:sz="4" w:space="0" w:color="auto"/>
            </w:tcBorders>
          </w:tcPr>
          <w:p w14:paraId="6FEDACA8" w14:textId="77777777" w:rsidR="008E67EA" w:rsidRPr="00696B96" w:rsidRDefault="008E67EA" w:rsidP="00B44A74">
            <w:pPr>
              <w:spacing w:line="280" w:lineRule="exact"/>
              <w:jc w:val="both"/>
              <w:rPr>
                <w:rFonts w:cs="Arial"/>
                <w:sz w:val="20"/>
                <w:szCs w:val="20"/>
              </w:rPr>
            </w:pPr>
          </w:p>
        </w:tc>
      </w:tr>
      <w:tr w:rsidR="008E67EA" w:rsidRPr="002B5B5B" w14:paraId="31BC9F7D" w14:textId="77777777" w:rsidTr="00B44A74">
        <w:trPr>
          <w:jc w:val="center"/>
        </w:trPr>
        <w:tc>
          <w:tcPr>
            <w:tcW w:w="2415" w:type="dxa"/>
            <w:tcBorders>
              <w:top w:val="single" w:sz="4" w:space="0" w:color="auto"/>
              <w:left w:val="nil"/>
              <w:bottom w:val="single" w:sz="4" w:space="0" w:color="auto"/>
              <w:right w:val="nil"/>
            </w:tcBorders>
          </w:tcPr>
          <w:p w14:paraId="4BE78669"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C1C38D3" w14:textId="77777777" w:rsidR="008E67EA" w:rsidRPr="00696B96" w:rsidRDefault="008E67EA" w:rsidP="00B44A74">
            <w:pPr>
              <w:spacing w:line="280" w:lineRule="exact"/>
              <w:rPr>
                <w:rFonts w:cs="Arial"/>
                <w:sz w:val="20"/>
                <w:szCs w:val="20"/>
              </w:rPr>
            </w:pPr>
          </w:p>
        </w:tc>
      </w:tr>
      <w:tr w:rsidR="008E67EA" w:rsidRPr="002B5B5B" w14:paraId="24A4D97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C3F5807" w14:textId="77777777" w:rsidR="008E67EA" w:rsidRPr="00F5215F" w:rsidRDefault="008E67EA" w:rsidP="00B44A74">
            <w:pPr>
              <w:spacing w:line="280" w:lineRule="exact"/>
              <w:rPr>
                <w:rFonts w:cs="Arial"/>
                <w:sz w:val="20"/>
                <w:szCs w:val="20"/>
              </w:rPr>
            </w:pPr>
            <w:r w:rsidRPr="00F5215F">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1520C150" w14:textId="77777777" w:rsidR="008E67EA" w:rsidRPr="00696B96" w:rsidRDefault="008E67EA" w:rsidP="00B44A74">
            <w:pPr>
              <w:spacing w:line="280" w:lineRule="exact"/>
              <w:rPr>
                <w:rFonts w:cs="Arial"/>
                <w:sz w:val="20"/>
                <w:szCs w:val="20"/>
              </w:rPr>
            </w:pPr>
            <w:r>
              <w:rPr>
                <w:rFonts w:cs="Arial"/>
                <w:sz w:val="20"/>
                <w:szCs w:val="20"/>
              </w:rPr>
              <w:t>For c</w:t>
            </w:r>
            <w:r w:rsidRPr="00696B96">
              <w:rPr>
                <w:rFonts w:cs="Arial"/>
                <w:sz w:val="20"/>
                <w:szCs w:val="20"/>
              </w:rPr>
              <w:t>ontrol</w:t>
            </w:r>
            <w:r>
              <w:rPr>
                <w:rFonts w:cs="Arial"/>
                <w:sz w:val="20"/>
                <w:szCs w:val="20"/>
              </w:rPr>
              <w:t xml:space="preserve"> of</w:t>
            </w:r>
            <w:r w:rsidRPr="00696B96">
              <w:rPr>
                <w:rFonts w:cs="Arial"/>
                <w:sz w:val="20"/>
                <w:szCs w:val="20"/>
              </w:rPr>
              <w:t xml:space="preserve"> mice in commercial and domestic buildings and rats in and around commercial and domestic buildings.</w:t>
            </w:r>
          </w:p>
        </w:tc>
      </w:tr>
      <w:tr w:rsidR="008E67EA" w:rsidRPr="002B5B5B" w14:paraId="3B1CDF89" w14:textId="77777777" w:rsidTr="00B44A74">
        <w:trPr>
          <w:jc w:val="center"/>
        </w:trPr>
        <w:tc>
          <w:tcPr>
            <w:tcW w:w="2415" w:type="dxa"/>
            <w:tcBorders>
              <w:top w:val="single" w:sz="4" w:space="0" w:color="auto"/>
              <w:left w:val="nil"/>
              <w:bottom w:val="single" w:sz="4" w:space="0" w:color="auto"/>
              <w:right w:val="nil"/>
            </w:tcBorders>
          </w:tcPr>
          <w:p w14:paraId="6337043D"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0AA94D7" w14:textId="77777777" w:rsidR="008E67EA" w:rsidRPr="00696B96" w:rsidRDefault="008E67EA" w:rsidP="00B44A74">
            <w:pPr>
              <w:spacing w:line="280" w:lineRule="exact"/>
              <w:rPr>
                <w:rFonts w:cs="Arial"/>
                <w:sz w:val="20"/>
                <w:szCs w:val="20"/>
              </w:rPr>
            </w:pPr>
          </w:p>
        </w:tc>
      </w:tr>
      <w:tr w:rsidR="008E67EA" w:rsidRPr="002B5B5B" w14:paraId="5980934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DB86608" w14:textId="77777777" w:rsidR="008E67EA" w:rsidRPr="00F5215F" w:rsidRDefault="008E67EA" w:rsidP="00B44A74">
            <w:pPr>
              <w:spacing w:line="280" w:lineRule="exact"/>
              <w:rPr>
                <w:rFonts w:cs="Arial"/>
                <w:sz w:val="20"/>
                <w:szCs w:val="20"/>
              </w:rPr>
            </w:pPr>
            <w:r w:rsidRPr="00F5215F">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062F23E4" w14:textId="77777777" w:rsidR="008E67EA" w:rsidRPr="00696B96" w:rsidRDefault="008E67EA" w:rsidP="00B44A74">
            <w:pPr>
              <w:spacing w:line="280" w:lineRule="exact"/>
              <w:rPr>
                <w:rFonts w:cs="Arial"/>
                <w:sz w:val="20"/>
                <w:szCs w:val="20"/>
              </w:rPr>
            </w:pPr>
            <w:r w:rsidRPr="00696B96">
              <w:rPr>
                <w:rFonts w:cs="Arial"/>
                <w:sz w:val="20"/>
                <w:szCs w:val="20"/>
              </w:rPr>
              <w:t>[INSERT NET CONTENTS]</w:t>
            </w:r>
          </w:p>
        </w:tc>
      </w:tr>
      <w:tr w:rsidR="008E67EA" w:rsidRPr="002B5B5B" w14:paraId="6892A0A6" w14:textId="77777777" w:rsidTr="00B44A74">
        <w:trPr>
          <w:jc w:val="center"/>
        </w:trPr>
        <w:tc>
          <w:tcPr>
            <w:tcW w:w="2415" w:type="dxa"/>
            <w:tcBorders>
              <w:top w:val="single" w:sz="4" w:space="0" w:color="auto"/>
              <w:left w:val="nil"/>
              <w:bottom w:val="single" w:sz="4" w:space="0" w:color="auto"/>
              <w:right w:val="nil"/>
            </w:tcBorders>
          </w:tcPr>
          <w:p w14:paraId="349F0680"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3C93211" w14:textId="77777777" w:rsidR="008E67EA" w:rsidRPr="00696B96" w:rsidRDefault="008E67EA" w:rsidP="00B44A74">
            <w:pPr>
              <w:spacing w:line="280" w:lineRule="exact"/>
              <w:rPr>
                <w:rFonts w:cs="Arial"/>
                <w:sz w:val="20"/>
                <w:szCs w:val="20"/>
              </w:rPr>
            </w:pPr>
          </w:p>
        </w:tc>
      </w:tr>
      <w:tr w:rsidR="008E67EA" w:rsidRPr="002B5B5B" w14:paraId="308B67B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C29DE6A" w14:textId="77777777" w:rsidR="008E67EA" w:rsidRPr="00F5215F" w:rsidRDefault="008E67EA" w:rsidP="00B44A74">
            <w:pPr>
              <w:spacing w:line="280" w:lineRule="exact"/>
              <w:rPr>
                <w:rFonts w:cs="Arial"/>
                <w:sz w:val="20"/>
                <w:szCs w:val="20"/>
              </w:rPr>
            </w:pPr>
            <w:r w:rsidRPr="00F5215F">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4D4667BE" w14:textId="77777777" w:rsidR="008E67EA" w:rsidRPr="00696B96" w:rsidRDefault="008E67EA" w:rsidP="00B44A74">
            <w:pPr>
              <w:spacing w:line="280" w:lineRule="exact"/>
              <w:rPr>
                <w:rFonts w:cs="Arial"/>
                <w:sz w:val="20"/>
                <w:szCs w:val="20"/>
              </w:rPr>
            </w:pPr>
            <w:r w:rsidRPr="00696B96">
              <w:rPr>
                <w:rFonts w:cs="Arial"/>
                <w:sz w:val="20"/>
                <w:szCs w:val="20"/>
              </w:rPr>
              <w:t>RESTRAINTS</w:t>
            </w:r>
          </w:p>
          <w:p w14:paraId="2106B8B2" w14:textId="77777777" w:rsidR="008E67EA" w:rsidRPr="00696B96" w:rsidRDefault="008E67EA" w:rsidP="00B44A74">
            <w:pPr>
              <w:spacing w:line="280" w:lineRule="exact"/>
              <w:rPr>
                <w:rFonts w:cs="Arial"/>
                <w:sz w:val="20"/>
                <w:szCs w:val="20"/>
              </w:rPr>
            </w:pPr>
            <w:r w:rsidRPr="00696B96">
              <w:rPr>
                <w:rFonts w:cs="Arial"/>
                <w:sz w:val="20"/>
                <w:szCs w:val="20"/>
              </w:rPr>
              <w:t>DO NOT use this product unless you have a current qualification in the nationally recognised training course for rodent pest management CPPUPM3006 - Manage pests by applying pesticides, or an equivalent unit of competency.</w:t>
            </w:r>
          </w:p>
          <w:p w14:paraId="19E841E2" w14:textId="77777777" w:rsidR="008E67EA" w:rsidRPr="00696B96" w:rsidRDefault="008E67EA" w:rsidP="00B44A74">
            <w:pPr>
              <w:spacing w:line="280" w:lineRule="exact"/>
              <w:rPr>
                <w:rFonts w:cs="Arial"/>
                <w:sz w:val="20"/>
                <w:szCs w:val="20"/>
              </w:rPr>
            </w:pPr>
            <w:r w:rsidRPr="00696B96">
              <w:rPr>
                <w:rFonts w:cs="Arial"/>
                <w:sz w:val="20"/>
                <w:szCs w:val="20"/>
              </w:rPr>
              <w:t>DO NOT place baits in areas that are accessible to children. In child-accessible areas baits must be placed in tamper-</w:t>
            </w:r>
            <w:r>
              <w:rPr>
                <w:rFonts w:cs="Arial"/>
                <w:color w:val="000000"/>
                <w:sz w:val="20"/>
                <w:szCs w:val="20"/>
              </w:rPr>
              <w:t xml:space="preserve"> resistant</w:t>
            </w:r>
            <w:r w:rsidRPr="00565F54">
              <w:rPr>
                <w:rFonts w:cs="Arial"/>
                <w:color w:val="000000"/>
                <w:sz w:val="20"/>
                <w:szCs w:val="20"/>
              </w:rPr>
              <w:t xml:space="preserve"> </w:t>
            </w:r>
            <w:r w:rsidRPr="00696B96">
              <w:rPr>
                <w:rFonts w:cs="Arial"/>
                <w:sz w:val="20"/>
                <w:szCs w:val="20"/>
              </w:rPr>
              <w:t xml:space="preserve">bait stations. If bait can be dislodged from bait station, bait station must be secured in place. </w:t>
            </w:r>
          </w:p>
          <w:p w14:paraId="7E343DEF" w14:textId="77777777" w:rsidR="008E67EA" w:rsidRPr="00696B96" w:rsidRDefault="008E67EA" w:rsidP="00B44A74">
            <w:pPr>
              <w:spacing w:line="280" w:lineRule="exact"/>
              <w:rPr>
                <w:rFonts w:cs="Arial"/>
                <w:sz w:val="20"/>
                <w:szCs w:val="20"/>
              </w:rPr>
            </w:pPr>
            <w:r w:rsidRPr="00696B96">
              <w:rPr>
                <w:rFonts w:cs="Arial"/>
                <w:sz w:val="20"/>
                <w:szCs w:val="20"/>
              </w:rPr>
              <w:t>DO NOT place bait outdoors unless it is in a tamper</w:t>
            </w:r>
            <w:r>
              <w:rPr>
                <w:rFonts w:cs="Arial"/>
                <w:sz w:val="20"/>
                <w:szCs w:val="20"/>
              </w:rPr>
              <w:t>-</w:t>
            </w:r>
            <w:r>
              <w:rPr>
                <w:rFonts w:cs="Arial"/>
                <w:color w:val="000000"/>
                <w:sz w:val="20"/>
                <w:szCs w:val="20"/>
              </w:rPr>
              <w:t xml:space="preserve"> resistant</w:t>
            </w:r>
            <w:r w:rsidRPr="00565F54">
              <w:rPr>
                <w:rFonts w:cs="Arial"/>
                <w:color w:val="000000"/>
                <w:sz w:val="20"/>
                <w:szCs w:val="20"/>
              </w:rPr>
              <w:t xml:space="preserve"> </w:t>
            </w:r>
            <w:r w:rsidRPr="00696B96">
              <w:rPr>
                <w:rFonts w:cs="Arial"/>
                <w:sz w:val="20"/>
                <w:szCs w:val="20"/>
              </w:rPr>
              <w:t>bait station which is secured in place.</w:t>
            </w:r>
          </w:p>
          <w:p w14:paraId="3538FAED" w14:textId="77777777" w:rsidR="008E67EA" w:rsidRPr="00696B96" w:rsidRDefault="008E67EA" w:rsidP="00B44A74">
            <w:pPr>
              <w:spacing w:line="280" w:lineRule="exact"/>
              <w:rPr>
                <w:rFonts w:cs="Arial"/>
                <w:sz w:val="20"/>
                <w:szCs w:val="20"/>
              </w:rPr>
            </w:pPr>
            <w:r w:rsidRPr="00696B96">
              <w:rPr>
                <w:rFonts w:cs="Arial"/>
                <w:sz w:val="20"/>
                <w:szCs w:val="20"/>
              </w:rPr>
              <w:t>DO NOT place bait stations more than 2 meters from buildings.</w:t>
            </w:r>
          </w:p>
          <w:p w14:paraId="65FF2EBC" w14:textId="77777777" w:rsidR="008E67EA" w:rsidRPr="00696B96" w:rsidRDefault="008E67EA" w:rsidP="00B44A74">
            <w:pPr>
              <w:spacing w:line="280" w:lineRule="exact"/>
              <w:rPr>
                <w:rFonts w:cs="Arial"/>
                <w:sz w:val="20"/>
                <w:szCs w:val="20"/>
              </w:rPr>
            </w:pPr>
            <w:r w:rsidRPr="00696B96">
              <w:rPr>
                <w:rFonts w:cs="Arial"/>
                <w:sz w:val="20"/>
                <w:szCs w:val="20"/>
              </w:rPr>
              <w:t>DO NOT place bait stations outdoors around buildings for control of mice.</w:t>
            </w:r>
          </w:p>
          <w:p w14:paraId="09B0DDEF" w14:textId="77777777" w:rsidR="008E67EA" w:rsidRPr="00696B96" w:rsidRDefault="008E67EA" w:rsidP="00B44A74">
            <w:pPr>
              <w:spacing w:line="280" w:lineRule="exact"/>
              <w:rPr>
                <w:rFonts w:cs="Arial"/>
                <w:sz w:val="20"/>
                <w:szCs w:val="20"/>
              </w:rPr>
            </w:pPr>
            <w:r w:rsidRPr="00696B96">
              <w:rPr>
                <w:rFonts w:cs="Arial"/>
                <w:sz w:val="20"/>
                <w:szCs w:val="20"/>
              </w:rPr>
              <w:t>DO NOT bait in areas where wildlife may be collected for human consumption.</w:t>
            </w:r>
          </w:p>
          <w:p w14:paraId="613EC20F" w14:textId="77777777" w:rsidR="008E67EA" w:rsidRPr="00696B96" w:rsidRDefault="008E67EA" w:rsidP="00B44A74">
            <w:pPr>
              <w:spacing w:line="280" w:lineRule="exact"/>
              <w:rPr>
                <w:rFonts w:cs="Arial"/>
                <w:sz w:val="20"/>
                <w:szCs w:val="20"/>
              </w:rPr>
            </w:pPr>
            <w:r w:rsidRPr="00696B96">
              <w:rPr>
                <w:rFonts w:cs="Arial"/>
                <w:sz w:val="20"/>
                <w:szCs w:val="20"/>
              </w:rPr>
              <w:t>DO NOT place in animal or livestock housing unless used in tamper</w:t>
            </w:r>
            <w:r>
              <w:rPr>
                <w:rFonts w:cs="Arial"/>
                <w:sz w:val="20"/>
                <w:szCs w:val="20"/>
              </w:rPr>
              <w:t>-</w:t>
            </w:r>
            <w:r>
              <w:rPr>
                <w:rFonts w:cs="Arial"/>
                <w:color w:val="000000"/>
                <w:sz w:val="20"/>
                <w:szCs w:val="20"/>
              </w:rPr>
              <w:t>resistant</w:t>
            </w:r>
            <w:r w:rsidRPr="00565F54">
              <w:rPr>
                <w:rFonts w:cs="Arial"/>
                <w:color w:val="000000"/>
                <w:sz w:val="20"/>
                <w:szCs w:val="20"/>
              </w:rPr>
              <w:t xml:space="preserve"> </w:t>
            </w:r>
            <w:r w:rsidRPr="00696B96">
              <w:rPr>
                <w:rFonts w:cs="Arial"/>
                <w:sz w:val="20"/>
                <w:szCs w:val="20"/>
              </w:rPr>
              <w:t>and weather</w:t>
            </w:r>
            <w:r>
              <w:rPr>
                <w:rFonts w:cs="Arial"/>
                <w:sz w:val="20"/>
                <w:szCs w:val="20"/>
              </w:rPr>
              <w:t>-</w:t>
            </w:r>
            <w:r w:rsidRPr="00696B96">
              <w:rPr>
                <w:rFonts w:cs="Arial"/>
                <w:sz w:val="20"/>
                <w:szCs w:val="20"/>
              </w:rPr>
              <w:t>resistant bait stations fixed to the ground or other structures.</w:t>
            </w:r>
          </w:p>
          <w:p w14:paraId="3FA7A80B" w14:textId="77777777" w:rsidR="008E67EA" w:rsidRPr="00696B96" w:rsidRDefault="008E67EA" w:rsidP="00B44A74">
            <w:pPr>
              <w:spacing w:line="280" w:lineRule="exact"/>
              <w:rPr>
                <w:rFonts w:cs="Arial"/>
                <w:sz w:val="20"/>
                <w:szCs w:val="20"/>
              </w:rPr>
            </w:pPr>
            <w:r w:rsidRPr="00696B96">
              <w:rPr>
                <w:rFonts w:cs="Arial"/>
                <w:sz w:val="20"/>
                <w:szCs w:val="20"/>
              </w:rPr>
              <w:t>DO NOT place bait or bait stations above areas which would allow them to contaminate pig and poultry food or drinking water.</w:t>
            </w:r>
          </w:p>
          <w:p w14:paraId="1DE68BBC" w14:textId="77777777" w:rsidR="008E67EA" w:rsidRPr="00696B96" w:rsidRDefault="008E67EA" w:rsidP="00B44A74">
            <w:pPr>
              <w:spacing w:line="280" w:lineRule="exact"/>
              <w:rPr>
                <w:rFonts w:cs="Arial"/>
                <w:sz w:val="20"/>
                <w:szCs w:val="20"/>
              </w:rPr>
            </w:pPr>
            <w:r w:rsidRPr="00696B96">
              <w:rPr>
                <w:rFonts w:cs="Arial"/>
                <w:sz w:val="20"/>
                <w:szCs w:val="20"/>
              </w:rPr>
              <w:t>DO NOT apply this product directly into burrows.</w:t>
            </w:r>
          </w:p>
        </w:tc>
      </w:tr>
      <w:tr w:rsidR="008E67EA" w:rsidRPr="002B5B5B" w14:paraId="189C0D99" w14:textId="77777777" w:rsidTr="00B44A74">
        <w:trPr>
          <w:jc w:val="center"/>
        </w:trPr>
        <w:tc>
          <w:tcPr>
            <w:tcW w:w="2415" w:type="dxa"/>
            <w:tcBorders>
              <w:top w:val="single" w:sz="4" w:space="0" w:color="auto"/>
              <w:left w:val="nil"/>
              <w:bottom w:val="single" w:sz="4" w:space="0" w:color="auto"/>
              <w:right w:val="nil"/>
            </w:tcBorders>
          </w:tcPr>
          <w:p w14:paraId="6F15B436"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EAF5D53" w14:textId="77777777" w:rsidR="008E67EA" w:rsidRPr="00696B96" w:rsidRDefault="008E67EA" w:rsidP="00B44A74">
            <w:pPr>
              <w:spacing w:line="280" w:lineRule="exact"/>
              <w:rPr>
                <w:rFonts w:cs="Arial"/>
                <w:sz w:val="20"/>
                <w:szCs w:val="20"/>
              </w:rPr>
            </w:pPr>
          </w:p>
        </w:tc>
      </w:tr>
      <w:tr w:rsidR="008E67EA" w:rsidRPr="002B5B5B" w14:paraId="61F37BF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5C27542" w14:textId="77777777" w:rsidR="008E67EA" w:rsidRPr="00F5215F" w:rsidRDefault="008E67EA" w:rsidP="00B44A74">
            <w:pPr>
              <w:spacing w:line="280" w:lineRule="exact"/>
              <w:rPr>
                <w:rFonts w:cs="Arial"/>
                <w:sz w:val="20"/>
                <w:szCs w:val="20"/>
              </w:rPr>
            </w:pPr>
            <w:r w:rsidRPr="00F5215F">
              <w:rPr>
                <w:rFonts w:cs="Arial"/>
                <w:sz w:val="20"/>
                <w:szCs w:val="20"/>
              </w:rPr>
              <w:t>Directions for Use:</w:t>
            </w:r>
          </w:p>
        </w:tc>
        <w:tc>
          <w:tcPr>
            <w:tcW w:w="7755" w:type="dxa"/>
            <w:tcBorders>
              <w:top w:val="single" w:sz="4" w:space="0" w:color="auto"/>
              <w:left w:val="single" w:sz="4" w:space="0" w:color="auto"/>
              <w:bottom w:val="single" w:sz="4" w:space="0" w:color="auto"/>
              <w:right w:val="single" w:sz="4" w:space="0" w:color="auto"/>
            </w:tcBorders>
          </w:tcPr>
          <w:p w14:paraId="0019342E" w14:textId="77777777" w:rsidR="008E67EA" w:rsidRPr="00696B96" w:rsidRDefault="008E67EA" w:rsidP="00B44A74">
            <w:pPr>
              <w:spacing w:line="280" w:lineRule="exact"/>
              <w:rPr>
                <w:rFonts w:cs="Arial"/>
                <w:sz w:val="20"/>
                <w:szCs w:val="20"/>
              </w:rPr>
            </w:pPr>
            <w:r w:rsidRPr="00B832BB">
              <w:rPr>
                <w:rFonts w:cs="Arial"/>
                <w:sz w:val="20"/>
                <w:szCs w:val="20"/>
              </w:rPr>
              <w:t>[This section contains an attachment below]</w:t>
            </w:r>
          </w:p>
        </w:tc>
      </w:tr>
      <w:tr w:rsidR="008E67EA" w:rsidRPr="002B5B5B" w14:paraId="0CAA6065" w14:textId="77777777" w:rsidTr="00B44A74">
        <w:trPr>
          <w:jc w:val="center"/>
        </w:trPr>
        <w:tc>
          <w:tcPr>
            <w:tcW w:w="2415" w:type="dxa"/>
            <w:tcBorders>
              <w:top w:val="single" w:sz="4" w:space="0" w:color="auto"/>
              <w:left w:val="nil"/>
              <w:bottom w:val="single" w:sz="4" w:space="0" w:color="auto"/>
              <w:right w:val="nil"/>
            </w:tcBorders>
          </w:tcPr>
          <w:p w14:paraId="54E76F7F"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DAD4E87" w14:textId="77777777" w:rsidR="008E67EA" w:rsidRPr="00696B96" w:rsidRDefault="008E67EA" w:rsidP="00B44A74">
            <w:pPr>
              <w:spacing w:line="280" w:lineRule="exact"/>
              <w:rPr>
                <w:rFonts w:cs="Arial"/>
                <w:sz w:val="20"/>
                <w:szCs w:val="20"/>
              </w:rPr>
            </w:pPr>
          </w:p>
        </w:tc>
      </w:tr>
      <w:tr w:rsidR="008E67EA" w:rsidRPr="002B5B5B" w14:paraId="1B8C05B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F40C3E0" w14:textId="77777777" w:rsidR="008E67EA" w:rsidRPr="00F5215F" w:rsidRDefault="008E67EA" w:rsidP="00B44A74">
            <w:pPr>
              <w:spacing w:line="280" w:lineRule="exact"/>
              <w:rPr>
                <w:rFonts w:cs="Arial"/>
                <w:sz w:val="20"/>
                <w:szCs w:val="20"/>
              </w:rPr>
            </w:pPr>
            <w:r w:rsidRPr="00F5215F">
              <w:rPr>
                <w:rFonts w:cs="Arial"/>
                <w:sz w:val="20"/>
                <w:szCs w:val="20"/>
              </w:rPr>
              <w:t>Other Limitations:</w:t>
            </w:r>
          </w:p>
        </w:tc>
        <w:tc>
          <w:tcPr>
            <w:tcW w:w="7755" w:type="dxa"/>
            <w:tcBorders>
              <w:top w:val="single" w:sz="4" w:space="0" w:color="auto"/>
              <w:left w:val="single" w:sz="4" w:space="0" w:color="auto"/>
              <w:bottom w:val="single" w:sz="4" w:space="0" w:color="auto"/>
              <w:right w:val="single" w:sz="4" w:space="0" w:color="auto"/>
            </w:tcBorders>
          </w:tcPr>
          <w:p w14:paraId="72A769A0" w14:textId="77777777" w:rsidR="008E67EA" w:rsidRPr="00696B96" w:rsidRDefault="008E67EA" w:rsidP="00B44A74">
            <w:pPr>
              <w:spacing w:line="280" w:lineRule="exact"/>
              <w:rPr>
                <w:rFonts w:cs="Arial"/>
                <w:sz w:val="20"/>
                <w:szCs w:val="20"/>
              </w:rPr>
            </w:pPr>
          </w:p>
        </w:tc>
      </w:tr>
      <w:tr w:rsidR="008E67EA" w:rsidRPr="002B5B5B" w14:paraId="20F2BCCA" w14:textId="77777777" w:rsidTr="00B44A74">
        <w:trPr>
          <w:jc w:val="center"/>
        </w:trPr>
        <w:tc>
          <w:tcPr>
            <w:tcW w:w="2415" w:type="dxa"/>
            <w:tcBorders>
              <w:top w:val="single" w:sz="4" w:space="0" w:color="auto"/>
              <w:left w:val="nil"/>
              <w:bottom w:val="single" w:sz="4" w:space="0" w:color="auto"/>
              <w:right w:val="nil"/>
            </w:tcBorders>
          </w:tcPr>
          <w:p w14:paraId="65C3977D"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B979318" w14:textId="77777777" w:rsidR="008E67EA" w:rsidRPr="00696B96" w:rsidRDefault="008E67EA" w:rsidP="00B44A74">
            <w:pPr>
              <w:spacing w:line="280" w:lineRule="exact"/>
              <w:rPr>
                <w:rFonts w:cs="Arial"/>
                <w:sz w:val="20"/>
                <w:szCs w:val="20"/>
              </w:rPr>
            </w:pPr>
          </w:p>
        </w:tc>
      </w:tr>
      <w:tr w:rsidR="008E67EA" w:rsidRPr="002B5B5B" w14:paraId="4747E58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B414649" w14:textId="77777777" w:rsidR="008E67EA" w:rsidRPr="00F5215F" w:rsidRDefault="008E67EA" w:rsidP="00B44A74">
            <w:pPr>
              <w:spacing w:line="280" w:lineRule="exact"/>
              <w:rPr>
                <w:rFonts w:cs="Arial"/>
                <w:sz w:val="20"/>
                <w:szCs w:val="20"/>
              </w:rPr>
            </w:pPr>
            <w:r w:rsidRPr="00F5215F">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32321B23" w14:textId="77777777" w:rsidR="008E67EA" w:rsidRPr="00696B96" w:rsidRDefault="008E67EA" w:rsidP="00B44A74">
            <w:pPr>
              <w:tabs>
                <w:tab w:val="left" w:pos="1001"/>
              </w:tabs>
              <w:spacing w:line="280" w:lineRule="exact"/>
              <w:rPr>
                <w:rFonts w:cs="Arial"/>
                <w:sz w:val="20"/>
                <w:szCs w:val="20"/>
              </w:rPr>
            </w:pPr>
          </w:p>
        </w:tc>
      </w:tr>
      <w:tr w:rsidR="008E67EA" w:rsidRPr="002B5B5B" w14:paraId="10793BE7" w14:textId="77777777" w:rsidTr="00B44A74">
        <w:trPr>
          <w:jc w:val="center"/>
        </w:trPr>
        <w:tc>
          <w:tcPr>
            <w:tcW w:w="2415" w:type="dxa"/>
            <w:tcBorders>
              <w:top w:val="single" w:sz="4" w:space="0" w:color="auto"/>
              <w:left w:val="nil"/>
              <w:bottom w:val="single" w:sz="4" w:space="0" w:color="auto"/>
              <w:right w:val="nil"/>
            </w:tcBorders>
          </w:tcPr>
          <w:p w14:paraId="2C3D67C0"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AC20651" w14:textId="77777777" w:rsidR="008E67EA" w:rsidRPr="00696B96" w:rsidRDefault="008E67EA" w:rsidP="00B44A74">
            <w:pPr>
              <w:spacing w:line="280" w:lineRule="exact"/>
              <w:rPr>
                <w:rFonts w:cs="Arial"/>
                <w:sz w:val="20"/>
                <w:szCs w:val="20"/>
              </w:rPr>
            </w:pPr>
          </w:p>
        </w:tc>
      </w:tr>
      <w:tr w:rsidR="008E67EA" w:rsidRPr="002B5B5B" w14:paraId="0791C0F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5FBC4AB" w14:textId="77777777" w:rsidR="008E67EA" w:rsidRPr="00F5215F" w:rsidRDefault="008E67EA" w:rsidP="00B44A74">
            <w:pPr>
              <w:spacing w:line="280" w:lineRule="exact"/>
              <w:rPr>
                <w:rFonts w:cs="Arial"/>
                <w:sz w:val="20"/>
                <w:szCs w:val="20"/>
              </w:rPr>
            </w:pPr>
            <w:r w:rsidRPr="00F5215F">
              <w:rPr>
                <w:rFonts w:cs="Arial"/>
                <w:sz w:val="20"/>
                <w:szCs w:val="20"/>
              </w:rPr>
              <w:t>Trade Advice:</w:t>
            </w:r>
          </w:p>
        </w:tc>
        <w:tc>
          <w:tcPr>
            <w:tcW w:w="7755" w:type="dxa"/>
            <w:tcBorders>
              <w:top w:val="single" w:sz="4" w:space="0" w:color="auto"/>
              <w:left w:val="single" w:sz="4" w:space="0" w:color="auto"/>
              <w:bottom w:val="single" w:sz="4" w:space="0" w:color="auto"/>
              <w:right w:val="single" w:sz="4" w:space="0" w:color="auto"/>
            </w:tcBorders>
          </w:tcPr>
          <w:p w14:paraId="76B48CFD" w14:textId="77777777" w:rsidR="008E67EA" w:rsidRPr="00696B96" w:rsidRDefault="008E67EA" w:rsidP="00B44A74">
            <w:pPr>
              <w:spacing w:line="280" w:lineRule="exact"/>
              <w:rPr>
                <w:rFonts w:cs="Arial"/>
                <w:sz w:val="20"/>
                <w:szCs w:val="20"/>
              </w:rPr>
            </w:pPr>
          </w:p>
        </w:tc>
      </w:tr>
      <w:tr w:rsidR="008E67EA" w:rsidRPr="002B5B5B" w14:paraId="7DAEF81A" w14:textId="77777777" w:rsidTr="00B44A74">
        <w:trPr>
          <w:jc w:val="center"/>
        </w:trPr>
        <w:tc>
          <w:tcPr>
            <w:tcW w:w="2415" w:type="dxa"/>
            <w:tcBorders>
              <w:top w:val="single" w:sz="4" w:space="0" w:color="auto"/>
              <w:left w:val="nil"/>
              <w:bottom w:val="single" w:sz="4" w:space="0" w:color="auto"/>
              <w:right w:val="nil"/>
            </w:tcBorders>
          </w:tcPr>
          <w:p w14:paraId="7DA3C147"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E3AB7EF" w14:textId="77777777" w:rsidR="008E67EA" w:rsidRPr="00696B96" w:rsidRDefault="008E67EA" w:rsidP="00B44A74">
            <w:pPr>
              <w:spacing w:line="280" w:lineRule="exact"/>
              <w:rPr>
                <w:rFonts w:cs="Arial"/>
                <w:sz w:val="20"/>
                <w:szCs w:val="20"/>
              </w:rPr>
            </w:pPr>
          </w:p>
        </w:tc>
      </w:tr>
      <w:tr w:rsidR="008E67EA" w:rsidRPr="002B5B5B" w14:paraId="4DEB0C6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C710B0F" w14:textId="77777777" w:rsidR="008E67EA" w:rsidRPr="00F5215F" w:rsidRDefault="008E67EA" w:rsidP="00B44A74">
            <w:pPr>
              <w:spacing w:line="280" w:lineRule="exact"/>
              <w:rPr>
                <w:rFonts w:cs="Arial"/>
                <w:sz w:val="20"/>
                <w:szCs w:val="20"/>
              </w:rPr>
            </w:pPr>
            <w:r w:rsidRPr="00F5215F">
              <w:rPr>
                <w:rFonts w:cs="Arial"/>
                <w:sz w:val="20"/>
                <w:szCs w:val="20"/>
              </w:rPr>
              <w:t>General Directions:</w:t>
            </w:r>
          </w:p>
        </w:tc>
        <w:tc>
          <w:tcPr>
            <w:tcW w:w="7755" w:type="dxa"/>
            <w:tcBorders>
              <w:top w:val="single" w:sz="4" w:space="0" w:color="auto"/>
              <w:left w:val="single" w:sz="4" w:space="0" w:color="auto"/>
              <w:bottom w:val="single" w:sz="4" w:space="0" w:color="auto"/>
              <w:right w:val="single" w:sz="4" w:space="0" w:color="auto"/>
            </w:tcBorders>
          </w:tcPr>
          <w:p w14:paraId="57C223FA" w14:textId="77777777" w:rsidR="008E67EA" w:rsidRPr="00696B96" w:rsidRDefault="008E67EA" w:rsidP="00B44A74">
            <w:pPr>
              <w:rPr>
                <w:rFonts w:cs="Arial"/>
                <w:sz w:val="20"/>
                <w:szCs w:val="20"/>
              </w:rPr>
            </w:pPr>
          </w:p>
        </w:tc>
      </w:tr>
      <w:tr w:rsidR="008E67EA" w:rsidRPr="002B5B5B" w14:paraId="05D326AE" w14:textId="77777777" w:rsidTr="00B44A74">
        <w:trPr>
          <w:jc w:val="center"/>
        </w:trPr>
        <w:tc>
          <w:tcPr>
            <w:tcW w:w="2415" w:type="dxa"/>
            <w:tcBorders>
              <w:top w:val="single" w:sz="4" w:space="0" w:color="auto"/>
              <w:left w:val="nil"/>
              <w:bottom w:val="single" w:sz="4" w:space="0" w:color="auto"/>
              <w:right w:val="nil"/>
            </w:tcBorders>
          </w:tcPr>
          <w:p w14:paraId="4D46C7EB"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F7064AE" w14:textId="77777777" w:rsidR="008E67EA" w:rsidRPr="00696B96" w:rsidRDefault="008E67EA" w:rsidP="00B44A74">
            <w:pPr>
              <w:spacing w:line="280" w:lineRule="exact"/>
              <w:rPr>
                <w:rFonts w:cs="Arial"/>
                <w:sz w:val="20"/>
                <w:szCs w:val="20"/>
              </w:rPr>
            </w:pPr>
          </w:p>
        </w:tc>
      </w:tr>
      <w:tr w:rsidR="008E67EA" w:rsidRPr="002B5B5B" w14:paraId="2EE8617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07F8EEC" w14:textId="77777777" w:rsidR="008E67EA" w:rsidRPr="00F5215F" w:rsidRDefault="008E67EA" w:rsidP="00B44A74">
            <w:pPr>
              <w:spacing w:line="280" w:lineRule="exact"/>
              <w:rPr>
                <w:rFonts w:cs="Arial"/>
                <w:sz w:val="20"/>
                <w:szCs w:val="20"/>
              </w:rPr>
            </w:pPr>
            <w:r w:rsidRPr="00F5215F">
              <w:rPr>
                <w:rFonts w:cs="Arial"/>
                <w:sz w:val="20"/>
                <w:szCs w:val="20"/>
              </w:rPr>
              <w:t>Resistance Warning:</w:t>
            </w:r>
          </w:p>
        </w:tc>
        <w:tc>
          <w:tcPr>
            <w:tcW w:w="7755" w:type="dxa"/>
            <w:tcBorders>
              <w:top w:val="single" w:sz="4" w:space="0" w:color="auto"/>
              <w:left w:val="single" w:sz="4" w:space="0" w:color="auto"/>
              <w:bottom w:val="single" w:sz="4" w:space="0" w:color="auto"/>
              <w:right w:val="single" w:sz="4" w:space="0" w:color="auto"/>
            </w:tcBorders>
          </w:tcPr>
          <w:p w14:paraId="089A9F92" w14:textId="77777777" w:rsidR="008E67EA" w:rsidRPr="00696B96" w:rsidRDefault="008E67EA" w:rsidP="00B44A74">
            <w:pPr>
              <w:spacing w:line="280" w:lineRule="exact"/>
              <w:rPr>
                <w:rFonts w:cs="Arial"/>
                <w:sz w:val="20"/>
                <w:szCs w:val="20"/>
              </w:rPr>
            </w:pPr>
          </w:p>
        </w:tc>
      </w:tr>
      <w:tr w:rsidR="008E67EA" w:rsidRPr="002B5B5B" w14:paraId="4D87BC25" w14:textId="77777777" w:rsidTr="00B44A74">
        <w:trPr>
          <w:jc w:val="center"/>
        </w:trPr>
        <w:tc>
          <w:tcPr>
            <w:tcW w:w="2415" w:type="dxa"/>
            <w:tcBorders>
              <w:top w:val="single" w:sz="4" w:space="0" w:color="auto"/>
              <w:left w:val="nil"/>
              <w:bottom w:val="single" w:sz="4" w:space="0" w:color="auto"/>
              <w:right w:val="nil"/>
            </w:tcBorders>
          </w:tcPr>
          <w:p w14:paraId="23F0836D"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CEEBAF9" w14:textId="77777777" w:rsidR="008E67EA" w:rsidRPr="00696B96" w:rsidRDefault="008E67EA" w:rsidP="00B44A74">
            <w:pPr>
              <w:spacing w:line="280" w:lineRule="exact"/>
              <w:rPr>
                <w:rFonts w:cs="Arial"/>
                <w:sz w:val="20"/>
                <w:szCs w:val="20"/>
              </w:rPr>
            </w:pPr>
          </w:p>
        </w:tc>
      </w:tr>
      <w:tr w:rsidR="008E67EA" w:rsidRPr="002B5B5B" w14:paraId="776EFB7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B49C18A" w14:textId="77777777" w:rsidR="008E67EA" w:rsidRPr="00F5215F" w:rsidRDefault="008E67EA" w:rsidP="00B44A74">
            <w:pPr>
              <w:spacing w:line="280" w:lineRule="exact"/>
              <w:rPr>
                <w:rFonts w:cs="Arial"/>
                <w:sz w:val="20"/>
                <w:szCs w:val="20"/>
              </w:rPr>
            </w:pPr>
            <w:r w:rsidRPr="00F5215F">
              <w:rPr>
                <w:rFonts w:cs="Arial"/>
                <w:sz w:val="20"/>
                <w:szCs w:val="20"/>
              </w:rPr>
              <w:lastRenderedPageBreak/>
              <w:t>Precautions:</w:t>
            </w:r>
          </w:p>
        </w:tc>
        <w:tc>
          <w:tcPr>
            <w:tcW w:w="7755" w:type="dxa"/>
            <w:tcBorders>
              <w:top w:val="single" w:sz="4" w:space="0" w:color="auto"/>
              <w:left w:val="single" w:sz="4" w:space="0" w:color="auto"/>
              <w:bottom w:val="single" w:sz="4" w:space="0" w:color="auto"/>
              <w:right w:val="single" w:sz="4" w:space="0" w:color="auto"/>
            </w:tcBorders>
          </w:tcPr>
          <w:p w14:paraId="0792ACC5" w14:textId="77777777" w:rsidR="008E67EA" w:rsidRPr="00696B96" w:rsidRDefault="008E67EA" w:rsidP="00B44A74">
            <w:pPr>
              <w:spacing w:line="280" w:lineRule="exact"/>
              <w:rPr>
                <w:rFonts w:cs="Arial"/>
                <w:sz w:val="20"/>
                <w:szCs w:val="20"/>
              </w:rPr>
            </w:pPr>
            <w:r w:rsidRPr="00696B96">
              <w:rPr>
                <w:rFonts w:cs="Arial"/>
                <w:sz w:val="20"/>
                <w:szCs w:val="20"/>
              </w:rPr>
              <w:t>PRECAUTIONS</w:t>
            </w:r>
          </w:p>
          <w:p w14:paraId="20FAA8C2" w14:textId="77777777" w:rsidR="008E67EA" w:rsidRPr="00696B96" w:rsidRDefault="008E67EA" w:rsidP="00B44A74">
            <w:pPr>
              <w:spacing w:line="280" w:lineRule="exact"/>
              <w:rPr>
                <w:rFonts w:cs="Arial"/>
                <w:sz w:val="20"/>
                <w:szCs w:val="20"/>
              </w:rPr>
            </w:pPr>
            <w:r w:rsidRPr="00696B96">
              <w:rPr>
                <w:rFonts w:cs="Arial"/>
                <w:sz w:val="20"/>
                <w:szCs w:val="20"/>
              </w:rPr>
              <w:t>Caution should be used when baiting near areas where hunting of wildlife may occur. Careful consideration of bait placement is necessary to avoid secondary exposure from contaminated wildlife that may be consumed.</w:t>
            </w:r>
          </w:p>
          <w:p w14:paraId="4B28CDE1" w14:textId="77777777" w:rsidR="008E67EA" w:rsidRPr="00696B96" w:rsidRDefault="008E67EA" w:rsidP="00B44A74">
            <w:pPr>
              <w:spacing w:line="280" w:lineRule="exact"/>
              <w:rPr>
                <w:rFonts w:cs="Arial"/>
                <w:sz w:val="20"/>
                <w:szCs w:val="20"/>
              </w:rPr>
            </w:pPr>
            <w:r w:rsidRPr="00696B96">
              <w:rPr>
                <w:rFonts w:cs="Arial"/>
                <w:sz w:val="20"/>
                <w:szCs w:val="20"/>
              </w:rPr>
              <w:t>DO NOT place bait in areas where there is a possibility of contaminating food, livestock feed or surfaces that come in direct contact with food or livestock feed.</w:t>
            </w:r>
          </w:p>
        </w:tc>
      </w:tr>
      <w:tr w:rsidR="008E67EA" w:rsidRPr="002B5B5B" w14:paraId="7960C79B" w14:textId="77777777" w:rsidTr="00B44A74">
        <w:trPr>
          <w:jc w:val="center"/>
        </w:trPr>
        <w:tc>
          <w:tcPr>
            <w:tcW w:w="2415" w:type="dxa"/>
            <w:tcBorders>
              <w:top w:val="single" w:sz="4" w:space="0" w:color="auto"/>
              <w:left w:val="nil"/>
              <w:bottom w:val="single" w:sz="4" w:space="0" w:color="auto"/>
              <w:right w:val="nil"/>
            </w:tcBorders>
          </w:tcPr>
          <w:p w14:paraId="77B0FB8F"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BAF9129" w14:textId="77777777" w:rsidR="008E67EA" w:rsidRPr="00696B96" w:rsidRDefault="008E67EA" w:rsidP="00B44A74">
            <w:pPr>
              <w:spacing w:line="280" w:lineRule="exact"/>
              <w:rPr>
                <w:rFonts w:cs="Arial"/>
                <w:sz w:val="20"/>
                <w:szCs w:val="20"/>
              </w:rPr>
            </w:pPr>
          </w:p>
        </w:tc>
      </w:tr>
      <w:tr w:rsidR="008E67EA" w:rsidRPr="002B5B5B" w14:paraId="7203195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0D66CDD" w14:textId="77777777" w:rsidR="008E67EA" w:rsidRPr="00F5215F" w:rsidRDefault="008E67EA" w:rsidP="00B44A74">
            <w:pPr>
              <w:spacing w:line="280" w:lineRule="exact"/>
              <w:rPr>
                <w:rFonts w:cs="Arial"/>
                <w:sz w:val="20"/>
                <w:szCs w:val="20"/>
              </w:rPr>
            </w:pPr>
            <w:r w:rsidRPr="00F5215F">
              <w:rPr>
                <w:rFonts w:cs="Arial"/>
                <w:sz w:val="20"/>
                <w:szCs w:val="20"/>
              </w:rPr>
              <w:t>Protection Statements:</w:t>
            </w:r>
          </w:p>
        </w:tc>
        <w:tc>
          <w:tcPr>
            <w:tcW w:w="7755" w:type="dxa"/>
            <w:tcBorders>
              <w:top w:val="single" w:sz="4" w:space="0" w:color="auto"/>
              <w:left w:val="single" w:sz="4" w:space="0" w:color="auto"/>
              <w:bottom w:val="single" w:sz="4" w:space="0" w:color="auto"/>
              <w:right w:val="single" w:sz="4" w:space="0" w:color="auto"/>
            </w:tcBorders>
          </w:tcPr>
          <w:p w14:paraId="0D1B0EF7" w14:textId="77777777" w:rsidR="008E67EA" w:rsidRPr="00A35CA8" w:rsidRDefault="008E67EA" w:rsidP="00B44A74">
            <w:pPr>
              <w:spacing w:line="280" w:lineRule="exact"/>
              <w:rPr>
                <w:rFonts w:cs="Arial"/>
                <w:color w:val="000000"/>
                <w:sz w:val="20"/>
                <w:szCs w:val="20"/>
                <w:lang w:val="en-GB"/>
              </w:rPr>
            </w:pPr>
            <w:r w:rsidRPr="00A35CA8">
              <w:rPr>
                <w:rFonts w:cs="Arial"/>
                <w:color w:val="000000"/>
                <w:sz w:val="20"/>
                <w:szCs w:val="20"/>
                <w:lang w:val="en-GB"/>
              </w:rPr>
              <w:t>PROTECTION OF LIVESTOCK AND WILDLIFE</w:t>
            </w:r>
          </w:p>
          <w:p w14:paraId="6219C171" w14:textId="77777777" w:rsidR="008E67EA" w:rsidRPr="00A35CA8" w:rsidRDefault="008E67EA" w:rsidP="00B44A74">
            <w:pPr>
              <w:spacing w:line="280" w:lineRule="exact"/>
              <w:rPr>
                <w:rFonts w:cs="Arial"/>
                <w:color w:val="000000"/>
                <w:sz w:val="20"/>
                <w:szCs w:val="20"/>
                <w:lang w:val="en-GB"/>
              </w:rPr>
            </w:pPr>
            <w:r w:rsidRPr="00A35CA8">
              <w:rPr>
                <w:rFonts w:cs="Arial"/>
                <w:color w:val="000000"/>
                <w:sz w:val="20"/>
                <w:szCs w:val="20"/>
                <w:lang w:val="en-GB"/>
              </w:rPr>
              <w:t>Hazardous to livestock, poultry and wildlife. DO NOT place baits in locations that are accessible to domestic animals, livestock, non-target native animals or birds.</w:t>
            </w:r>
          </w:p>
          <w:p w14:paraId="111EF03C" w14:textId="77F035F2" w:rsidR="008E67EA" w:rsidRPr="00A35CA8" w:rsidRDefault="008E67EA" w:rsidP="00B44A74">
            <w:pPr>
              <w:spacing w:line="280" w:lineRule="exact"/>
              <w:rPr>
                <w:rFonts w:cs="Arial"/>
                <w:color w:val="000000"/>
                <w:sz w:val="20"/>
                <w:szCs w:val="20"/>
                <w:lang w:val="en-GB"/>
              </w:rPr>
            </w:pPr>
            <w:r w:rsidRPr="00A35CA8">
              <w:rPr>
                <w:rFonts w:cs="Arial"/>
                <w:color w:val="000000"/>
                <w:sz w:val="20"/>
                <w:szCs w:val="20"/>
                <w:lang w:val="en-GB"/>
              </w:rPr>
              <w:t>Search for and dispose of dead rodents and slugs/snails in the infested area at each visit to prevent secondary poisoning. In case slugs/snails are present, move bait station to another location within the rodent infested site, away from slugs/snails. Dispose of slugs/snails in a way non-target animals are not exposed. Dispose of dead rodents and uneaten bait in compliance with local, state or territory government regulations.</w:t>
            </w:r>
          </w:p>
          <w:p w14:paraId="6AF2DBA7" w14:textId="77777777" w:rsidR="008E67EA" w:rsidRPr="00A35CA8" w:rsidRDefault="008E67EA" w:rsidP="00B44A74">
            <w:pPr>
              <w:spacing w:line="280" w:lineRule="exact"/>
              <w:rPr>
                <w:rFonts w:cs="Arial"/>
                <w:color w:val="000000"/>
                <w:sz w:val="20"/>
                <w:szCs w:val="20"/>
                <w:lang w:val="en-GB"/>
              </w:rPr>
            </w:pPr>
            <w:r w:rsidRPr="00A35CA8">
              <w:rPr>
                <w:rFonts w:cs="Arial"/>
                <w:color w:val="000000"/>
                <w:sz w:val="20"/>
                <w:szCs w:val="20"/>
                <w:lang w:val="en-GB"/>
              </w:rPr>
              <w:t>DO NOT allow livestock or poultry to consume dead or moribund mice and rats. All dead or moribund animals and rodent faeces from baited rodents MUST be removed from areas accessible to livestock or poultry.</w:t>
            </w:r>
          </w:p>
          <w:p w14:paraId="01E175CE" w14:textId="77777777" w:rsidR="008E67EA" w:rsidRPr="00A35CA8" w:rsidRDefault="008E67EA" w:rsidP="00B44A74">
            <w:pPr>
              <w:spacing w:line="280" w:lineRule="exact"/>
              <w:rPr>
                <w:rFonts w:cs="Arial"/>
                <w:color w:val="000000"/>
                <w:sz w:val="20"/>
                <w:szCs w:val="20"/>
                <w:lang w:val="en-GB"/>
              </w:rPr>
            </w:pPr>
            <w:r w:rsidRPr="00A35CA8">
              <w:rPr>
                <w:rFonts w:cs="Arial"/>
                <w:color w:val="000000"/>
                <w:sz w:val="20"/>
                <w:szCs w:val="20"/>
                <w:lang w:val="en-GB"/>
              </w:rPr>
              <w:t>DO NOT use this product to control native animals.</w:t>
            </w:r>
          </w:p>
          <w:p w14:paraId="4171151C" w14:textId="77777777" w:rsidR="008E67EA" w:rsidRDefault="008E67EA" w:rsidP="00B44A74">
            <w:pPr>
              <w:spacing w:line="280" w:lineRule="exact"/>
              <w:rPr>
                <w:rFonts w:cs="Arial"/>
                <w:color w:val="000000"/>
                <w:sz w:val="20"/>
                <w:szCs w:val="20"/>
                <w:lang w:val="en-GB"/>
              </w:rPr>
            </w:pPr>
          </w:p>
          <w:p w14:paraId="2A43B2A2" w14:textId="77777777" w:rsidR="008E67EA" w:rsidRPr="00A35CA8" w:rsidRDefault="008E67EA" w:rsidP="00B44A74">
            <w:pPr>
              <w:spacing w:line="280" w:lineRule="exact"/>
              <w:rPr>
                <w:rFonts w:cs="Arial"/>
                <w:color w:val="000000"/>
                <w:sz w:val="20"/>
                <w:szCs w:val="20"/>
                <w:lang w:val="en-GB"/>
              </w:rPr>
            </w:pPr>
            <w:r w:rsidRPr="00A35CA8">
              <w:rPr>
                <w:rFonts w:cs="Arial"/>
                <w:color w:val="000000"/>
                <w:sz w:val="20"/>
                <w:szCs w:val="20"/>
                <w:lang w:val="en-GB"/>
              </w:rPr>
              <w:t>PROTECTION OF FISH, CRUSTACEANS AND ENVIRONMENT</w:t>
            </w:r>
          </w:p>
          <w:p w14:paraId="0228CB12" w14:textId="1F540DC9" w:rsidR="008E67EA" w:rsidRPr="00696B96" w:rsidRDefault="008E67EA" w:rsidP="00B44A74">
            <w:pPr>
              <w:spacing w:line="280" w:lineRule="exact"/>
              <w:rPr>
                <w:rFonts w:cs="Arial"/>
                <w:sz w:val="20"/>
                <w:szCs w:val="20"/>
              </w:rPr>
            </w:pPr>
            <w:r w:rsidRPr="00A35CA8">
              <w:rPr>
                <w:rFonts w:cs="Arial"/>
                <w:color w:val="000000"/>
                <w:sz w:val="20"/>
                <w:szCs w:val="20"/>
                <w:lang w:val="en-GB"/>
              </w:rPr>
              <w:t>Very toxic to aquatic life. DO NOT contaminate wetlands or watercourses with this product or used containers. Place the bait stations in areas not liable to flooding. When placing bait stations close to water drainage systems, ensure that bait contact with water is avoided.</w:t>
            </w:r>
          </w:p>
        </w:tc>
      </w:tr>
      <w:tr w:rsidR="008E67EA" w:rsidRPr="002B5B5B" w14:paraId="38688D4A" w14:textId="77777777" w:rsidTr="00B44A74">
        <w:trPr>
          <w:jc w:val="center"/>
        </w:trPr>
        <w:tc>
          <w:tcPr>
            <w:tcW w:w="2415" w:type="dxa"/>
            <w:tcBorders>
              <w:top w:val="single" w:sz="4" w:space="0" w:color="auto"/>
              <w:left w:val="nil"/>
              <w:bottom w:val="single" w:sz="4" w:space="0" w:color="auto"/>
              <w:right w:val="nil"/>
            </w:tcBorders>
          </w:tcPr>
          <w:p w14:paraId="7BEF704C"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BB42127" w14:textId="77777777" w:rsidR="008E67EA" w:rsidRPr="00696B96" w:rsidRDefault="008E67EA" w:rsidP="00B44A74">
            <w:pPr>
              <w:spacing w:line="280" w:lineRule="exact"/>
              <w:rPr>
                <w:rFonts w:cs="Arial"/>
                <w:sz w:val="20"/>
                <w:szCs w:val="20"/>
              </w:rPr>
            </w:pPr>
          </w:p>
        </w:tc>
      </w:tr>
      <w:tr w:rsidR="008E67EA" w:rsidRPr="002B5B5B" w14:paraId="36BA6949"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E012B99" w14:textId="77777777" w:rsidR="008E67EA" w:rsidRPr="00F5215F" w:rsidRDefault="008E67EA" w:rsidP="00B44A74">
            <w:pPr>
              <w:spacing w:line="280" w:lineRule="exact"/>
              <w:rPr>
                <w:rFonts w:cs="Arial"/>
                <w:sz w:val="20"/>
                <w:szCs w:val="20"/>
              </w:rPr>
            </w:pPr>
            <w:r w:rsidRPr="00F5215F">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2DF24CA6" w14:textId="77777777" w:rsidR="008E67EA" w:rsidRDefault="008E67EA" w:rsidP="00B44A74">
            <w:pPr>
              <w:spacing w:line="280" w:lineRule="exact"/>
              <w:rPr>
                <w:rFonts w:cs="Arial"/>
                <w:sz w:val="20"/>
                <w:szCs w:val="20"/>
              </w:rPr>
            </w:pPr>
            <w:r w:rsidRPr="00696B96">
              <w:rPr>
                <w:rFonts w:cs="Arial"/>
                <w:sz w:val="20"/>
                <w:szCs w:val="20"/>
              </w:rPr>
              <w:t>STORAGE AND DISPOSAL</w:t>
            </w:r>
          </w:p>
          <w:p w14:paraId="43733B65" w14:textId="77777777" w:rsidR="008E67EA" w:rsidRPr="00696B96" w:rsidRDefault="008E67EA" w:rsidP="00B44A74">
            <w:pPr>
              <w:spacing w:line="280" w:lineRule="exact"/>
              <w:rPr>
                <w:rFonts w:cs="Arial"/>
                <w:sz w:val="20"/>
                <w:szCs w:val="20"/>
              </w:rPr>
            </w:pPr>
            <w:r w:rsidRPr="00696B96">
              <w:rPr>
                <w:rFonts w:cs="Arial"/>
                <w:sz w:val="20"/>
                <w:szCs w:val="20"/>
              </w:rPr>
              <w:t>Store in the closed, original container in a dry, cool, well</w:t>
            </w:r>
            <w:r>
              <w:rPr>
                <w:rFonts w:cs="Arial"/>
                <w:sz w:val="20"/>
                <w:szCs w:val="20"/>
              </w:rPr>
              <w:t>-</w:t>
            </w:r>
            <w:r w:rsidRPr="00696B96">
              <w:rPr>
                <w:rFonts w:cs="Arial"/>
                <w:sz w:val="20"/>
                <w:szCs w:val="20"/>
              </w:rPr>
              <w:t>ventilated area out of direct sunlight.</w:t>
            </w:r>
            <w:r>
              <w:rPr>
                <w:rFonts w:cs="Arial"/>
                <w:sz w:val="20"/>
                <w:szCs w:val="20"/>
              </w:rPr>
              <w:t xml:space="preserve"> </w:t>
            </w:r>
            <w:r w:rsidRPr="00696B96">
              <w:rPr>
                <w:rFonts w:cs="Arial"/>
                <w:sz w:val="20"/>
                <w:szCs w:val="20"/>
              </w:rPr>
              <w:t>Triple rinse containers before disposal. Break, crush or puncture and deliver empty packaging to an approved waste management facility. If an approved waste management facility is not available, dispose of empty packaging in compliance with relevant local, state or territory government regulations.</w:t>
            </w:r>
            <w:r>
              <w:rPr>
                <w:rFonts w:cs="Arial"/>
                <w:sz w:val="20"/>
                <w:szCs w:val="20"/>
              </w:rPr>
              <w:t xml:space="preserve"> </w:t>
            </w:r>
            <w:r w:rsidRPr="005E538D">
              <w:rPr>
                <w:rFonts w:cs="Arial"/>
                <w:sz w:val="20"/>
                <w:szCs w:val="20"/>
                <w:bdr w:val="none" w:sz="0" w:space="0" w:color="auto" w:frame="1"/>
                <w:lang w:val="en-GB" w:eastAsia="en-AU"/>
              </w:rPr>
              <w:t>Dispose of unused product in compliance with relevant local, state or territory government regulations.</w:t>
            </w:r>
            <w:r w:rsidRPr="00696B96">
              <w:rPr>
                <w:rFonts w:cs="Arial"/>
                <w:sz w:val="20"/>
                <w:szCs w:val="20"/>
              </w:rPr>
              <w:t xml:space="preserve"> DO NOT burn empty containers or product.</w:t>
            </w:r>
          </w:p>
        </w:tc>
      </w:tr>
      <w:tr w:rsidR="008E67EA" w:rsidRPr="002B5B5B" w14:paraId="29FA2F2D" w14:textId="77777777" w:rsidTr="00B44A74">
        <w:trPr>
          <w:jc w:val="center"/>
        </w:trPr>
        <w:tc>
          <w:tcPr>
            <w:tcW w:w="2415" w:type="dxa"/>
            <w:tcBorders>
              <w:top w:val="single" w:sz="4" w:space="0" w:color="auto"/>
              <w:left w:val="nil"/>
              <w:bottom w:val="single" w:sz="4" w:space="0" w:color="auto"/>
              <w:right w:val="nil"/>
            </w:tcBorders>
          </w:tcPr>
          <w:p w14:paraId="2865D5F6"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5CDF9EF" w14:textId="77777777" w:rsidR="008E67EA" w:rsidRPr="00696B96" w:rsidRDefault="008E67EA" w:rsidP="00B44A74">
            <w:pPr>
              <w:spacing w:line="280" w:lineRule="exact"/>
              <w:rPr>
                <w:rFonts w:cs="Arial"/>
                <w:sz w:val="20"/>
                <w:szCs w:val="20"/>
              </w:rPr>
            </w:pPr>
          </w:p>
        </w:tc>
      </w:tr>
      <w:tr w:rsidR="008E67EA" w:rsidRPr="002B5B5B" w14:paraId="2368370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DF093A8" w14:textId="77777777" w:rsidR="008E67EA" w:rsidRPr="00F5215F" w:rsidRDefault="008E67EA" w:rsidP="00B44A74">
            <w:pPr>
              <w:spacing w:line="280" w:lineRule="exact"/>
              <w:rPr>
                <w:rFonts w:cs="Arial"/>
                <w:sz w:val="20"/>
                <w:szCs w:val="20"/>
              </w:rPr>
            </w:pPr>
            <w:r w:rsidRPr="00F5215F">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115D8AB9" w14:textId="77777777" w:rsidR="008E67EA" w:rsidRDefault="008E67EA" w:rsidP="00B44A74">
            <w:pPr>
              <w:spacing w:line="280" w:lineRule="exact"/>
              <w:rPr>
                <w:rFonts w:cs="Arial"/>
                <w:sz w:val="20"/>
                <w:szCs w:val="20"/>
              </w:rPr>
            </w:pPr>
            <w:r>
              <w:rPr>
                <w:rFonts w:cs="Arial"/>
                <w:sz w:val="20"/>
                <w:szCs w:val="20"/>
              </w:rPr>
              <w:t>SAFETY DIRECTIONS</w:t>
            </w:r>
          </w:p>
          <w:p w14:paraId="4C9F83E5" w14:textId="55528557" w:rsidR="008E67EA" w:rsidRDefault="008E67EA" w:rsidP="00B44A74">
            <w:pPr>
              <w:spacing w:line="280" w:lineRule="exact"/>
              <w:rPr>
                <w:rFonts w:cs="Arial"/>
                <w:sz w:val="20"/>
                <w:szCs w:val="20"/>
              </w:rPr>
            </w:pPr>
            <w:r w:rsidRPr="00696B96">
              <w:rPr>
                <w:rFonts w:cs="Arial"/>
                <w:sz w:val="20"/>
                <w:szCs w:val="20"/>
              </w:rPr>
              <w:t>Repeated minor exposure may have a cumulative poisoning effect. Will irritate the skin. May irritate eyes. Avoid contact with eyes and skin. Do not touch bait, use scoop or measure. When using the product wear disposable gloves. If on skin and after each baiting, wash thoroughly with soap and water.</w:t>
            </w:r>
          </w:p>
          <w:p w14:paraId="1E93B3DF" w14:textId="59D24155" w:rsidR="008E67EA" w:rsidRPr="00696B96" w:rsidRDefault="008E67EA" w:rsidP="00B44A74">
            <w:pPr>
              <w:spacing w:line="280" w:lineRule="exact"/>
              <w:rPr>
                <w:rFonts w:cs="Arial"/>
                <w:sz w:val="20"/>
                <w:szCs w:val="20"/>
              </w:rPr>
            </w:pPr>
            <w:r w:rsidRPr="00696B96">
              <w:rPr>
                <w:rFonts w:cs="Arial"/>
                <w:sz w:val="20"/>
                <w:szCs w:val="20"/>
              </w:rPr>
              <w:t>During cleanup and disposal operations of bait and bait stations, wear a single layer of clothing and disposable gloves. Wear disposable gloves when handling rodent carcasses. Wash clothes after performing re-handling activities.</w:t>
            </w:r>
          </w:p>
        </w:tc>
      </w:tr>
      <w:tr w:rsidR="008E67EA" w:rsidRPr="002B5B5B" w14:paraId="2A47EE91" w14:textId="77777777" w:rsidTr="00B44A74">
        <w:trPr>
          <w:jc w:val="center"/>
        </w:trPr>
        <w:tc>
          <w:tcPr>
            <w:tcW w:w="2415" w:type="dxa"/>
            <w:tcBorders>
              <w:top w:val="single" w:sz="4" w:space="0" w:color="auto"/>
              <w:left w:val="nil"/>
              <w:bottom w:val="single" w:sz="4" w:space="0" w:color="auto"/>
              <w:right w:val="nil"/>
            </w:tcBorders>
          </w:tcPr>
          <w:p w14:paraId="70139FD1"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BE70F6F" w14:textId="77777777" w:rsidR="008E67EA" w:rsidRPr="00696B96" w:rsidRDefault="008E67EA" w:rsidP="00B44A74">
            <w:pPr>
              <w:spacing w:line="280" w:lineRule="exact"/>
              <w:rPr>
                <w:rFonts w:cs="Arial"/>
                <w:sz w:val="20"/>
                <w:szCs w:val="20"/>
              </w:rPr>
            </w:pPr>
          </w:p>
        </w:tc>
      </w:tr>
      <w:tr w:rsidR="008E67EA" w:rsidRPr="002B5B5B" w14:paraId="4B81BB09"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497F0F7" w14:textId="77777777" w:rsidR="008E67EA" w:rsidRPr="00F5215F" w:rsidRDefault="008E67EA" w:rsidP="00B44A74">
            <w:pPr>
              <w:spacing w:line="280" w:lineRule="exact"/>
              <w:rPr>
                <w:rFonts w:cs="Arial"/>
                <w:sz w:val="20"/>
                <w:szCs w:val="20"/>
              </w:rPr>
            </w:pPr>
            <w:r w:rsidRPr="00F5215F">
              <w:rPr>
                <w:rFonts w:cs="Arial"/>
                <w:sz w:val="20"/>
                <w:szCs w:val="20"/>
              </w:rPr>
              <w:t>First Aid Instructions:</w:t>
            </w:r>
          </w:p>
        </w:tc>
        <w:tc>
          <w:tcPr>
            <w:tcW w:w="7755" w:type="dxa"/>
            <w:tcBorders>
              <w:top w:val="single" w:sz="4" w:space="0" w:color="auto"/>
              <w:left w:val="single" w:sz="4" w:space="0" w:color="auto"/>
              <w:bottom w:val="single" w:sz="4" w:space="0" w:color="auto"/>
              <w:right w:val="single" w:sz="4" w:space="0" w:color="auto"/>
            </w:tcBorders>
          </w:tcPr>
          <w:p w14:paraId="740407B9" w14:textId="77777777" w:rsidR="008E67EA" w:rsidRDefault="008E67EA" w:rsidP="00B44A74">
            <w:pPr>
              <w:spacing w:line="280" w:lineRule="exact"/>
              <w:rPr>
                <w:rFonts w:cs="Arial"/>
                <w:sz w:val="20"/>
                <w:szCs w:val="20"/>
              </w:rPr>
            </w:pPr>
            <w:r>
              <w:rPr>
                <w:rFonts w:cs="Arial"/>
                <w:sz w:val="20"/>
                <w:szCs w:val="20"/>
              </w:rPr>
              <w:t>FIRST AID</w:t>
            </w:r>
          </w:p>
          <w:p w14:paraId="59A935CC" w14:textId="77777777" w:rsidR="008E67EA" w:rsidRPr="00696B96" w:rsidRDefault="008E67EA" w:rsidP="00B44A74">
            <w:pPr>
              <w:spacing w:line="280" w:lineRule="exact"/>
              <w:rPr>
                <w:rFonts w:cs="Arial"/>
                <w:sz w:val="20"/>
                <w:szCs w:val="20"/>
              </w:rPr>
            </w:pPr>
            <w:r w:rsidRPr="00696B96">
              <w:rPr>
                <w:rFonts w:cs="Arial"/>
                <w:sz w:val="20"/>
                <w:szCs w:val="20"/>
              </w:rPr>
              <w:t>If poisoning occurs, contact a doctor or Poisons Information Centre. Phone Australia 13 11 26, New Zealand 0800 764 766. Vitamin K1 (Phytomenadione) is antidotal.</w:t>
            </w:r>
          </w:p>
        </w:tc>
      </w:tr>
      <w:tr w:rsidR="008E67EA" w:rsidRPr="002B5B5B" w14:paraId="7B275A77" w14:textId="77777777" w:rsidTr="00B44A74">
        <w:trPr>
          <w:jc w:val="center"/>
        </w:trPr>
        <w:tc>
          <w:tcPr>
            <w:tcW w:w="2415" w:type="dxa"/>
            <w:tcBorders>
              <w:top w:val="single" w:sz="4" w:space="0" w:color="auto"/>
              <w:left w:val="nil"/>
              <w:bottom w:val="single" w:sz="4" w:space="0" w:color="auto"/>
              <w:right w:val="nil"/>
            </w:tcBorders>
          </w:tcPr>
          <w:p w14:paraId="4AF11FA3"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F57821D" w14:textId="77777777" w:rsidR="008E67EA" w:rsidRPr="00696B96" w:rsidRDefault="008E67EA" w:rsidP="00B44A74">
            <w:pPr>
              <w:spacing w:line="280" w:lineRule="exact"/>
              <w:rPr>
                <w:rFonts w:cs="Arial"/>
                <w:sz w:val="20"/>
                <w:szCs w:val="20"/>
              </w:rPr>
            </w:pPr>
          </w:p>
        </w:tc>
      </w:tr>
      <w:tr w:rsidR="008E67EA" w:rsidRPr="002B5B5B" w14:paraId="498158E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FC66F75" w14:textId="77777777" w:rsidR="008E67EA" w:rsidRPr="00F5215F" w:rsidRDefault="008E67EA" w:rsidP="00B44A74">
            <w:pPr>
              <w:spacing w:line="280" w:lineRule="exact"/>
              <w:rPr>
                <w:rFonts w:cs="Arial"/>
                <w:sz w:val="20"/>
                <w:szCs w:val="20"/>
              </w:rPr>
            </w:pPr>
            <w:r w:rsidRPr="00F5215F">
              <w:rPr>
                <w:rFonts w:cs="Arial"/>
                <w:sz w:val="20"/>
                <w:szCs w:val="20"/>
              </w:rPr>
              <w:lastRenderedPageBreak/>
              <w:t>First Aid Warnings:</w:t>
            </w:r>
          </w:p>
        </w:tc>
        <w:tc>
          <w:tcPr>
            <w:tcW w:w="7755" w:type="dxa"/>
            <w:tcBorders>
              <w:top w:val="single" w:sz="4" w:space="0" w:color="auto"/>
              <w:left w:val="single" w:sz="4" w:space="0" w:color="auto"/>
              <w:bottom w:val="single" w:sz="4" w:space="0" w:color="auto"/>
              <w:right w:val="single" w:sz="4" w:space="0" w:color="auto"/>
            </w:tcBorders>
          </w:tcPr>
          <w:p w14:paraId="6AAEA874" w14:textId="77777777" w:rsidR="008E67EA" w:rsidRPr="00696B96" w:rsidRDefault="008E67EA" w:rsidP="00B44A74">
            <w:pPr>
              <w:spacing w:line="280" w:lineRule="exact"/>
              <w:rPr>
                <w:rFonts w:cs="Arial"/>
                <w:sz w:val="20"/>
                <w:szCs w:val="20"/>
              </w:rPr>
            </w:pPr>
          </w:p>
        </w:tc>
      </w:tr>
    </w:tbl>
    <w:p w14:paraId="023BC1C7" w14:textId="77777777" w:rsidR="008E67EA" w:rsidRDefault="008E67EA" w:rsidP="008E67EA"/>
    <w:p w14:paraId="4985A371" w14:textId="77777777" w:rsidR="008E67EA" w:rsidRDefault="008E67EA" w:rsidP="008E67EA">
      <w:pPr>
        <w:spacing w:line="280" w:lineRule="exact"/>
        <w:rPr>
          <w:rFonts w:cs="Arial"/>
          <w:b/>
          <w:bCs/>
          <w:sz w:val="20"/>
          <w:szCs w:val="20"/>
        </w:rPr>
      </w:pPr>
      <w:r w:rsidRPr="00FF36BF">
        <w:rPr>
          <w:rFonts w:cs="Arial"/>
          <w:b/>
          <w:bCs/>
          <w:sz w:val="20"/>
          <w:szCs w:val="20"/>
        </w:rPr>
        <w:t>DIRECTIONS FOR USE</w:t>
      </w:r>
    </w:p>
    <w:tbl>
      <w:tblPr>
        <w:tblStyle w:val="TableGrid"/>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276"/>
        <w:gridCol w:w="3613"/>
      </w:tblGrid>
      <w:tr w:rsidR="008E67EA" w:rsidRPr="00A27FD2" w14:paraId="389ED9CB" w14:textId="77777777" w:rsidTr="009C4F64">
        <w:trPr>
          <w:trHeight w:val="340"/>
        </w:trPr>
        <w:tc>
          <w:tcPr>
            <w:tcW w:w="1701" w:type="dxa"/>
          </w:tcPr>
          <w:p w14:paraId="26DC1014" w14:textId="77777777" w:rsidR="008E67EA" w:rsidRPr="00382A84" w:rsidRDefault="008E67EA" w:rsidP="00B44A74">
            <w:pPr>
              <w:spacing w:line="280" w:lineRule="exact"/>
              <w:rPr>
                <w:rFonts w:cs="Arial"/>
                <w:b/>
                <w:bCs/>
                <w:szCs w:val="18"/>
              </w:rPr>
            </w:pPr>
            <w:r>
              <w:rPr>
                <w:rFonts w:cs="Arial"/>
                <w:b/>
                <w:bCs/>
                <w:szCs w:val="18"/>
              </w:rPr>
              <w:t>PEST</w:t>
            </w:r>
          </w:p>
        </w:tc>
        <w:tc>
          <w:tcPr>
            <w:tcW w:w="2410" w:type="dxa"/>
          </w:tcPr>
          <w:p w14:paraId="63619A91" w14:textId="77777777" w:rsidR="008E67EA" w:rsidRPr="00382A84" w:rsidRDefault="008E67EA" w:rsidP="00B44A74">
            <w:pPr>
              <w:spacing w:line="280" w:lineRule="exact"/>
              <w:rPr>
                <w:rFonts w:cs="Arial"/>
                <w:b/>
                <w:bCs/>
                <w:szCs w:val="18"/>
              </w:rPr>
            </w:pPr>
            <w:r>
              <w:rPr>
                <w:rFonts w:cs="Arial"/>
                <w:b/>
                <w:bCs/>
                <w:szCs w:val="18"/>
              </w:rPr>
              <w:t>SITUATION</w:t>
            </w:r>
          </w:p>
        </w:tc>
        <w:tc>
          <w:tcPr>
            <w:tcW w:w="1276" w:type="dxa"/>
          </w:tcPr>
          <w:p w14:paraId="32739B92" w14:textId="77777777" w:rsidR="008E67EA" w:rsidRPr="00382A84" w:rsidRDefault="008E67EA" w:rsidP="00B44A74">
            <w:pPr>
              <w:spacing w:line="280" w:lineRule="exact"/>
              <w:rPr>
                <w:rFonts w:cs="Arial"/>
                <w:b/>
                <w:bCs/>
                <w:szCs w:val="18"/>
              </w:rPr>
            </w:pPr>
            <w:r w:rsidRPr="00382A84">
              <w:rPr>
                <w:rFonts w:cs="Arial"/>
                <w:b/>
                <w:bCs/>
                <w:szCs w:val="18"/>
              </w:rPr>
              <w:t>RATE</w:t>
            </w:r>
          </w:p>
        </w:tc>
        <w:tc>
          <w:tcPr>
            <w:tcW w:w="3613" w:type="dxa"/>
          </w:tcPr>
          <w:p w14:paraId="1824034A" w14:textId="77777777" w:rsidR="008E67EA" w:rsidRPr="00382A84" w:rsidRDefault="008E67EA" w:rsidP="00B44A74">
            <w:pPr>
              <w:spacing w:line="280" w:lineRule="exact"/>
              <w:rPr>
                <w:rFonts w:cs="Arial"/>
                <w:b/>
                <w:bCs/>
                <w:szCs w:val="18"/>
              </w:rPr>
            </w:pPr>
            <w:r w:rsidRPr="00382A84">
              <w:rPr>
                <w:rFonts w:cs="Arial"/>
                <w:b/>
                <w:bCs/>
                <w:szCs w:val="18"/>
              </w:rPr>
              <w:t>CRITICAL COMMENTS</w:t>
            </w:r>
          </w:p>
        </w:tc>
      </w:tr>
      <w:tr w:rsidR="008E67EA" w:rsidRPr="00A27FD2" w14:paraId="6E21C1A0" w14:textId="77777777" w:rsidTr="009C4F64">
        <w:trPr>
          <w:trHeight w:val="841"/>
        </w:trPr>
        <w:tc>
          <w:tcPr>
            <w:tcW w:w="1701" w:type="dxa"/>
          </w:tcPr>
          <w:p w14:paraId="41160528" w14:textId="77777777" w:rsidR="008E67EA" w:rsidRPr="00382A84" w:rsidRDefault="008E67EA" w:rsidP="00B44A74">
            <w:pPr>
              <w:spacing w:after="120" w:line="240" w:lineRule="exact"/>
              <w:rPr>
                <w:rFonts w:cs="Arial"/>
                <w:bCs/>
                <w:spacing w:val="-2"/>
                <w:w w:val="105"/>
                <w:szCs w:val="18"/>
              </w:rPr>
            </w:pPr>
            <w:r w:rsidRPr="00382A84">
              <w:rPr>
                <w:rFonts w:cs="Arial"/>
                <w:bCs/>
                <w:spacing w:val="-2"/>
                <w:w w:val="105"/>
                <w:szCs w:val="18"/>
              </w:rPr>
              <w:t>Mice</w:t>
            </w:r>
          </w:p>
        </w:tc>
        <w:tc>
          <w:tcPr>
            <w:tcW w:w="2410" w:type="dxa"/>
          </w:tcPr>
          <w:p w14:paraId="04D0A328" w14:textId="77777777" w:rsidR="008E67EA" w:rsidRPr="00382A84" w:rsidRDefault="008E67EA" w:rsidP="00B44A74">
            <w:pPr>
              <w:spacing w:after="120" w:line="240" w:lineRule="exact"/>
              <w:rPr>
                <w:rFonts w:cs="Arial"/>
                <w:bCs/>
                <w:spacing w:val="-2"/>
                <w:w w:val="105"/>
                <w:szCs w:val="18"/>
              </w:rPr>
            </w:pPr>
            <w:r>
              <w:rPr>
                <w:rFonts w:cs="Arial"/>
                <w:bCs/>
                <w:spacing w:val="-2"/>
                <w:w w:val="105"/>
                <w:szCs w:val="18"/>
              </w:rPr>
              <w:t xml:space="preserve">In </w:t>
            </w:r>
            <w:r w:rsidRPr="00B519F7">
              <w:rPr>
                <w:rFonts w:cs="Arial"/>
                <w:bCs/>
                <w:spacing w:val="-2"/>
                <w:w w:val="105"/>
                <w:szCs w:val="18"/>
              </w:rPr>
              <w:t xml:space="preserve">commercial </w:t>
            </w:r>
            <w:r>
              <w:rPr>
                <w:rFonts w:cs="Arial"/>
                <w:bCs/>
                <w:spacing w:val="-2"/>
                <w:w w:val="105"/>
                <w:szCs w:val="18"/>
              </w:rPr>
              <w:t>and</w:t>
            </w:r>
            <w:r w:rsidRPr="00B519F7">
              <w:rPr>
                <w:rFonts w:cs="Arial"/>
                <w:bCs/>
                <w:spacing w:val="-2"/>
                <w:w w:val="105"/>
                <w:szCs w:val="18"/>
              </w:rPr>
              <w:t xml:space="preserve"> domestic</w:t>
            </w:r>
            <w:r>
              <w:rPr>
                <w:rFonts w:cs="Arial"/>
                <w:bCs/>
                <w:spacing w:val="-2"/>
                <w:w w:val="105"/>
                <w:szCs w:val="18"/>
              </w:rPr>
              <w:t xml:space="preserve"> buildings and commercial premises</w:t>
            </w:r>
          </w:p>
        </w:tc>
        <w:tc>
          <w:tcPr>
            <w:tcW w:w="1276" w:type="dxa"/>
          </w:tcPr>
          <w:p w14:paraId="530FDDEB" w14:textId="77777777" w:rsidR="008E67EA" w:rsidRPr="00382A84" w:rsidRDefault="008E67EA" w:rsidP="00B44A74">
            <w:pPr>
              <w:spacing w:after="120" w:line="240" w:lineRule="exact"/>
              <w:rPr>
                <w:rFonts w:cs="Arial"/>
                <w:bCs/>
                <w:spacing w:val="-2"/>
                <w:w w:val="105"/>
                <w:szCs w:val="18"/>
              </w:rPr>
            </w:pPr>
            <w:r>
              <w:rPr>
                <w:rFonts w:cs="Arial"/>
                <w:bCs/>
                <w:spacing w:val="-2"/>
                <w:w w:val="105"/>
                <w:szCs w:val="18"/>
              </w:rPr>
              <w:t>Use one 20 g block per bait station</w:t>
            </w:r>
          </w:p>
        </w:tc>
        <w:tc>
          <w:tcPr>
            <w:tcW w:w="3613" w:type="dxa"/>
          </w:tcPr>
          <w:p w14:paraId="22C1568A" w14:textId="77777777" w:rsidR="008E67EA" w:rsidRPr="00382A84" w:rsidRDefault="008E67EA" w:rsidP="00B44A74">
            <w:pPr>
              <w:spacing w:after="120" w:line="240" w:lineRule="exact"/>
              <w:rPr>
                <w:rFonts w:cs="Arial"/>
                <w:bCs/>
                <w:spacing w:val="-2"/>
                <w:w w:val="105"/>
                <w:szCs w:val="18"/>
              </w:rPr>
            </w:pPr>
            <w:r w:rsidRPr="00382A84">
              <w:rPr>
                <w:rFonts w:cs="Arial"/>
                <w:bCs/>
                <w:spacing w:val="-2"/>
                <w:w w:val="105"/>
                <w:szCs w:val="18"/>
              </w:rPr>
              <w:t>Place bait stations in infested area</w:t>
            </w:r>
            <w:r>
              <w:rPr>
                <w:rFonts w:cs="Arial"/>
                <w:bCs/>
                <w:spacing w:val="-2"/>
                <w:w w:val="105"/>
                <w:szCs w:val="18"/>
              </w:rPr>
              <w:t xml:space="preserve">, where droppings, damage or other signs of activity are seen. Use multiple </w:t>
            </w:r>
            <w:r w:rsidRPr="00B519F7">
              <w:rPr>
                <w:rFonts w:cs="Arial"/>
                <w:bCs/>
                <w:spacing w:val="-2"/>
                <w:w w:val="105"/>
                <w:szCs w:val="18"/>
              </w:rPr>
              <w:t xml:space="preserve">bait </w:t>
            </w:r>
            <w:r>
              <w:rPr>
                <w:rFonts w:cs="Arial"/>
                <w:bCs/>
                <w:spacing w:val="-2"/>
                <w:w w:val="105"/>
                <w:szCs w:val="18"/>
              </w:rPr>
              <w:t>stations</w:t>
            </w:r>
            <w:r w:rsidRPr="00B519F7">
              <w:rPr>
                <w:rFonts w:cs="Arial"/>
                <w:bCs/>
                <w:spacing w:val="-2"/>
                <w:w w:val="105"/>
                <w:szCs w:val="18"/>
              </w:rPr>
              <w:t>, not more than 3m apart.</w:t>
            </w:r>
          </w:p>
        </w:tc>
      </w:tr>
      <w:tr w:rsidR="008E67EA" w:rsidRPr="00A27FD2" w14:paraId="0115F008" w14:textId="77777777" w:rsidTr="009C4F64">
        <w:trPr>
          <w:trHeight w:val="841"/>
        </w:trPr>
        <w:tc>
          <w:tcPr>
            <w:tcW w:w="1701" w:type="dxa"/>
          </w:tcPr>
          <w:p w14:paraId="200DFAA2" w14:textId="77777777" w:rsidR="008E67EA" w:rsidRPr="00382A84" w:rsidRDefault="008E67EA" w:rsidP="00B44A74">
            <w:pPr>
              <w:spacing w:after="120" w:line="240" w:lineRule="exact"/>
              <w:rPr>
                <w:rFonts w:cs="Arial"/>
                <w:bCs/>
                <w:spacing w:val="-2"/>
                <w:w w:val="105"/>
                <w:szCs w:val="18"/>
              </w:rPr>
            </w:pPr>
            <w:r w:rsidRPr="00382A84">
              <w:rPr>
                <w:rFonts w:cs="Arial"/>
                <w:bCs/>
                <w:spacing w:val="-2"/>
                <w:w w:val="105"/>
                <w:szCs w:val="18"/>
              </w:rPr>
              <w:t xml:space="preserve">Brown or Norway rat </w:t>
            </w:r>
            <w:r w:rsidRPr="00382A84">
              <w:rPr>
                <w:rFonts w:cs="Arial"/>
                <w:bCs/>
                <w:i/>
                <w:iCs/>
                <w:spacing w:val="-2"/>
                <w:w w:val="105"/>
                <w:szCs w:val="18"/>
              </w:rPr>
              <w:t>(Rattus norvegicus)</w:t>
            </w:r>
          </w:p>
        </w:tc>
        <w:tc>
          <w:tcPr>
            <w:tcW w:w="2410" w:type="dxa"/>
          </w:tcPr>
          <w:p w14:paraId="5354D4B8" w14:textId="77777777" w:rsidR="008E67EA" w:rsidRPr="00B519F7" w:rsidRDefault="008E67EA" w:rsidP="00B44A74">
            <w:pPr>
              <w:spacing w:after="120" w:line="240" w:lineRule="exact"/>
              <w:rPr>
                <w:rFonts w:cs="Arial"/>
                <w:bCs/>
                <w:spacing w:val="-2"/>
                <w:w w:val="105"/>
                <w:szCs w:val="18"/>
              </w:rPr>
            </w:pPr>
            <w:r w:rsidRPr="00B519F7">
              <w:rPr>
                <w:rFonts w:cs="Arial"/>
                <w:bCs/>
                <w:spacing w:val="-2"/>
                <w:w w:val="105"/>
                <w:szCs w:val="18"/>
              </w:rPr>
              <w:t>For use in and</w:t>
            </w:r>
            <w:r>
              <w:rPr>
                <w:rFonts w:cs="Arial"/>
                <w:bCs/>
                <w:spacing w:val="-2"/>
                <w:w w:val="105"/>
                <w:szCs w:val="18"/>
              </w:rPr>
              <w:t xml:space="preserve"> </w:t>
            </w:r>
            <w:r w:rsidRPr="00B519F7">
              <w:rPr>
                <w:rFonts w:cs="Arial"/>
                <w:bCs/>
                <w:spacing w:val="-2"/>
                <w:w w:val="105"/>
                <w:szCs w:val="18"/>
              </w:rPr>
              <w:t>around (within 2</w:t>
            </w:r>
            <w:r>
              <w:rPr>
                <w:rFonts w:cs="Arial"/>
                <w:bCs/>
                <w:spacing w:val="-2"/>
                <w:w w:val="105"/>
                <w:szCs w:val="18"/>
              </w:rPr>
              <w:t xml:space="preserve"> </w:t>
            </w:r>
            <w:r w:rsidRPr="00B519F7">
              <w:rPr>
                <w:rFonts w:cs="Arial"/>
                <w:bCs/>
                <w:spacing w:val="-2"/>
                <w:w w:val="105"/>
                <w:szCs w:val="18"/>
              </w:rPr>
              <w:t>metres) domestic</w:t>
            </w:r>
            <w:r>
              <w:rPr>
                <w:rFonts w:cs="Arial"/>
                <w:bCs/>
                <w:spacing w:val="-2"/>
                <w:w w:val="105"/>
                <w:szCs w:val="18"/>
              </w:rPr>
              <w:t xml:space="preserve"> buildings and commercial premises</w:t>
            </w:r>
          </w:p>
        </w:tc>
        <w:tc>
          <w:tcPr>
            <w:tcW w:w="1276" w:type="dxa"/>
          </w:tcPr>
          <w:p w14:paraId="787175B3" w14:textId="77777777" w:rsidR="008E67EA" w:rsidRPr="00382A84" w:rsidRDefault="008E67EA" w:rsidP="00B44A74">
            <w:pPr>
              <w:spacing w:after="120" w:line="240" w:lineRule="exact"/>
              <w:rPr>
                <w:rFonts w:cs="Arial"/>
                <w:bCs/>
                <w:spacing w:val="-2"/>
                <w:w w:val="105"/>
                <w:szCs w:val="18"/>
              </w:rPr>
            </w:pPr>
            <w:r>
              <w:rPr>
                <w:rFonts w:cs="Arial"/>
                <w:bCs/>
                <w:spacing w:val="-2"/>
                <w:w w:val="105"/>
                <w:szCs w:val="18"/>
              </w:rPr>
              <w:t>Use five 20 g blocks per bait station</w:t>
            </w:r>
          </w:p>
        </w:tc>
        <w:tc>
          <w:tcPr>
            <w:tcW w:w="3613" w:type="dxa"/>
          </w:tcPr>
          <w:p w14:paraId="33BD5295" w14:textId="77777777" w:rsidR="008E67EA" w:rsidRPr="00382A84" w:rsidRDefault="008E67EA" w:rsidP="00B44A74">
            <w:pPr>
              <w:spacing w:after="120" w:line="240" w:lineRule="exact"/>
              <w:rPr>
                <w:rFonts w:cs="Arial"/>
                <w:bCs/>
                <w:spacing w:val="-2"/>
                <w:w w:val="105"/>
                <w:szCs w:val="18"/>
              </w:rPr>
            </w:pPr>
            <w:r>
              <w:rPr>
                <w:rFonts w:cs="Arial"/>
                <w:bCs/>
                <w:spacing w:val="-2"/>
                <w:w w:val="105"/>
                <w:szCs w:val="18"/>
              </w:rPr>
              <w:t>P</w:t>
            </w:r>
            <w:r w:rsidRPr="00B519F7">
              <w:rPr>
                <w:rFonts w:cs="Arial"/>
                <w:bCs/>
                <w:spacing w:val="-2"/>
                <w:w w:val="105"/>
                <w:szCs w:val="18"/>
              </w:rPr>
              <w:t xml:space="preserve">lace a number of bait </w:t>
            </w:r>
            <w:r>
              <w:rPr>
                <w:rFonts w:cs="Arial"/>
                <w:bCs/>
                <w:spacing w:val="-2"/>
                <w:w w:val="105"/>
                <w:szCs w:val="18"/>
              </w:rPr>
              <w:t>stations</w:t>
            </w:r>
            <w:r w:rsidRPr="00B519F7">
              <w:rPr>
                <w:rFonts w:cs="Arial"/>
                <w:bCs/>
                <w:spacing w:val="-2"/>
                <w:w w:val="105"/>
                <w:szCs w:val="18"/>
              </w:rPr>
              <w:t xml:space="preserve"> in dry locations throughout the infested area</w:t>
            </w:r>
            <w:r>
              <w:rPr>
                <w:rFonts w:cs="Arial"/>
                <w:bCs/>
                <w:spacing w:val="-2"/>
                <w:w w:val="105"/>
                <w:szCs w:val="18"/>
              </w:rPr>
              <w:t xml:space="preserve">, on runs, near burrows and where droppings are seen, </w:t>
            </w:r>
            <w:r w:rsidRPr="00B519F7">
              <w:rPr>
                <w:rFonts w:cs="Arial"/>
                <w:bCs/>
                <w:spacing w:val="-2"/>
                <w:w w:val="105"/>
                <w:szCs w:val="18"/>
              </w:rPr>
              <w:t>not more than 9m apart.</w:t>
            </w:r>
          </w:p>
        </w:tc>
      </w:tr>
      <w:tr w:rsidR="008E67EA" w:rsidRPr="00A27FD2" w14:paraId="4DE62A5B" w14:textId="77777777" w:rsidTr="009C4F64">
        <w:trPr>
          <w:trHeight w:val="841"/>
        </w:trPr>
        <w:tc>
          <w:tcPr>
            <w:tcW w:w="9000" w:type="dxa"/>
            <w:gridSpan w:val="4"/>
          </w:tcPr>
          <w:p w14:paraId="41A60479" w14:textId="77777777" w:rsidR="008E67EA" w:rsidRPr="00382A84" w:rsidRDefault="008E67EA" w:rsidP="00B44A74">
            <w:pPr>
              <w:spacing w:after="120" w:line="240" w:lineRule="exact"/>
              <w:rPr>
                <w:rFonts w:cs="Arial"/>
                <w:b/>
                <w:spacing w:val="-2"/>
                <w:w w:val="105"/>
                <w:szCs w:val="18"/>
              </w:rPr>
            </w:pPr>
            <w:r w:rsidRPr="00382A84">
              <w:rPr>
                <w:rFonts w:cs="Arial"/>
                <w:b/>
                <w:spacing w:val="-2"/>
                <w:w w:val="105"/>
                <w:szCs w:val="18"/>
              </w:rPr>
              <w:t>Baiting strategy</w:t>
            </w:r>
          </w:p>
          <w:p w14:paraId="19067E30" w14:textId="722134D7" w:rsidR="008E67EA" w:rsidRPr="00382A84" w:rsidRDefault="008E67EA" w:rsidP="00B44A74">
            <w:pPr>
              <w:spacing w:after="120" w:line="240" w:lineRule="exact"/>
              <w:rPr>
                <w:rFonts w:cs="Arial"/>
                <w:bCs/>
                <w:spacing w:val="-2"/>
                <w:w w:val="105"/>
                <w:szCs w:val="18"/>
              </w:rPr>
            </w:pPr>
            <w:r w:rsidRPr="00382A84">
              <w:rPr>
                <w:rFonts w:cs="Arial"/>
                <w:bCs/>
                <w:spacing w:val="-2"/>
                <w:w w:val="105"/>
                <w:szCs w:val="18"/>
              </w:rPr>
              <w:t>Eliminate, as far as practicable, all other food sources.</w:t>
            </w:r>
          </w:p>
          <w:p w14:paraId="2923A96B" w14:textId="77777777" w:rsidR="008E67EA" w:rsidRDefault="008E67EA" w:rsidP="00B44A74">
            <w:pPr>
              <w:spacing w:after="120" w:line="240" w:lineRule="exact"/>
              <w:rPr>
                <w:rFonts w:cs="Arial"/>
                <w:bCs/>
                <w:spacing w:val="-2"/>
                <w:w w:val="105"/>
                <w:szCs w:val="18"/>
              </w:rPr>
            </w:pPr>
            <w:r w:rsidRPr="00382A84">
              <w:rPr>
                <w:rFonts w:cs="Arial"/>
                <w:bCs/>
                <w:spacing w:val="-2"/>
                <w:w w:val="105"/>
                <w:szCs w:val="18"/>
              </w:rPr>
              <w:t xml:space="preserve">Survey site prior to treatment, including assessment of the extent of infestation and identification of any indications of the presence of non-target animals. </w:t>
            </w:r>
            <w:r w:rsidRPr="004F1FE7">
              <w:rPr>
                <w:rFonts w:cs="Arial"/>
                <w:bCs/>
                <w:spacing w:val="-2"/>
                <w:w w:val="105"/>
                <w:szCs w:val="18"/>
              </w:rPr>
              <w:t>Record the number and locations of bait stations for the purpose of inspection, replacement and later removal.</w:t>
            </w:r>
          </w:p>
          <w:p w14:paraId="58272744" w14:textId="7EF50992" w:rsidR="008E67EA" w:rsidRPr="00382A84" w:rsidRDefault="008E67EA" w:rsidP="00B44A74">
            <w:pPr>
              <w:spacing w:after="120" w:line="240" w:lineRule="exact"/>
              <w:rPr>
                <w:rFonts w:cs="Arial"/>
                <w:bCs/>
                <w:spacing w:val="-2"/>
                <w:w w:val="105"/>
                <w:szCs w:val="18"/>
              </w:rPr>
            </w:pPr>
            <w:r w:rsidRPr="00382A84">
              <w:rPr>
                <w:rFonts w:cs="Arial"/>
                <w:bCs/>
                <w:spacing w:val="-2"/>
                <w:w w:val="105"/>
                <w:szCs w:val="18"/>
              </w:rPr>
              <w:t>Always use tamper-resistant bait stations that are secured in place in child accessible areas, outdoors and in animal or livestock housing. When used in food producing animal housing situations careful consideration is necessary regarding the placement of bait stations to ensure any rodenticide contamination of water, feed or livestock is prevented.</w:t>
            </w:r>
            <w:r>
              <w:rPr>
                <w:rFonts w:cs="Arial"/>
                <w:bCs/>
                <w:spacing w:val="-2"/>
                <w:w w:val="105"/>
                <w:szCs w:val="18"/>
              </w:rPr>
              <w:t xml:space="preserve"> W</w:t>
            </w:r>
            <w:r w:rsidRPr="00FF616F">
              <w:rPr>
                <w:rFonts w:cs="Arial"/>
                <w:bCs/>
                <w:spacing w:val="-2"/>
                <w:w w:val="105"/>
                <w:szCs w:val="18"/>
              </w:rPr>
              <w:t>hen using outdoors, it is best practice to use weather</w:t>
            </w:r>
            <w:r>
              <w:rPr>
                <w:rFonts w:cs="Arial"/>
                <w:bCs/>
                <w:spacing w:val="-2"/>
                <w:w w:val="105"/>
                <w:szCs w:val="18"/>
              </w:rPr>
              <w:t>-</w:t>
            </w:r>
            <w:r w:rsidRPr="00FF616F">
              <w:rPr>
                <w:rFonts w:cs="Arial"/>
                <w:bCs/>
                <w:spacing w:val="-2"/>
                <w:w w:val="105"/>
                <w:szCs w:val="18"/>
              </w:rPr>
              <w:t>resistant bait stations.</w:t>
            </w:r>
            <w:r>
              <w:rPr>
                <w:rFonts w:cs="Arial"/>
                <w:bCs/>
                <w:spacing w:val="-2"/>
                <w:w w:val="105"/>
                <w:szCs w:val="18"/>
              </w:rPr>
              <w:t xml:space="preserve"> DO NOT touch bait.</w:t>
            </w:r>
          </w:p>
          <w:p w14:paraId="711A3AC9" w14:textId="197D34C8" w:rsidR="008E67EA" w:rsidRDefault="008E67EA" w:rsidP="00B44A74">
            <w:pPr>
              <w:spacing w:after="120" w:line="240" w:lineRule="exact"/>
              <w:rPr>
                <w:rFonts w:cs="Arial"/>
                <w:bCs/>
                <w:spacing w:val="-2"/>
                <w:w w:val="105"/>
                <w:szCs w:val="18"/>
              </w:rPr>
            </w:pPr>
            <w:r w:rsidRPr="00382A84">
              <w:rPr>
                <w:rFonts w:cs="Arial"/>
                <w:bCs/>
                <w:spacing w:val="-2"/>
                <w:w w:val="105"/>
                <w:szCs w:val="18"/>
              </w:rPr>
              <w:t xml:space="preserve">Inspect baits frequently, particularly in the first ten days. Replace eaten bait. If bait is completely consumed, the quantity should be increased. Continue inspecting bait </w:t>
            </w:r>
            <w:r>
              <w:rPr>
                <w:rFonts w:cs="Arial"/>
                <w:bCs/>
                <w:spacing w:val="-2"/>
                <w:w w:val="105"/>
                <w:szCs w:val="18"/>
              </w:rPr>
              <w:t>sites</w:t>
            </w:r>
            <w:r w:rsidRPr="00382A84">
              <w:rPr>
                <w:rFonts w:cs="Arial"/>
                <w:bCs/>
                <w:spacing w:val="-2"/>
                <w:w w:val="105"/>
                <w:szCs w:val="18"/>
              </w:rPr>
              <w:t xml:space="preserve"> at intervals of no longer than 7 days, replenishing baits until they are left untouched. Baiting for at least two weeks will be necessary to reduce rat/mouse numbers. Most deaths occur 4 to </w:t>
            </w:r>
            <w:r>
              <w:rPr>
                <w:rFonts w:cs="Arial"/>
                <w:bCs/>
                <w:spacing w:val="-2"/>
                <w:w w:val="105"/>
                <w:szCs w:val="18"/>
              </w:rPr>
              <w:t>7</w:t>
            </w:r>
            <w:r w:rsidRPr="00382A84">
              <w:rPr>
                <w:rFonts w:cs="Arial"/>
                <w:bCs/>
                <w:spacing w:val="-2"/>
                <w:w w:val="105"/>
                <w:szCs w:val="18"/>
              </w:rPr>
              <w:t xml:space="preserve"> days after consumption of bait, but deaths may occur for up to 2 weeks.</w:t>
            </w:r>
          </w:p>
          <w:p w14:paraId="164E1E1E" w14:textId="77777777" w:rsidR="008E67EA" w:rsidRPr="00382A84" w:rsidRDefault="008E67EA" w:rsidP="00B44A74">
            <w:pPr>
              <w:spacing w:after="120" w:line="240" w:lineRule="exact"/>
              <w:rPr>
                <w:rFonts w:cs="Arial"/>
                <w:bCs/>
                <w:spacing w:val="-2"/>
                <w:w w:val="105"/>
                <w:szCs w:val="18"/>
              </w:rPr>
            </w:pPr>
            <w:r w:rsidRPr="00382A84">
              <w:rPr>
                <w:rFonts w:cs="Arial"/>
                <w:bCs/>
                <w:spacing w:val="-2"/>
                <w:w w:val="105"/>
                <w:szCs w:val="18"/>
              </w:rPr>
              <w:t>DO NOT use the product beyond 35 days without an evaluation of the state of the infestation and of the efficacy of the treatment.</w:t>
            </w:r>
            <w:r>
              <w:t xml:space="preserve"> </w:t>
            </w:r>
            <w:r w:rsidRPr="00382A84">
              <w:rPr>
                <w:rFonts w:cs="Arial"/>
                <w:bCs/>
                <w:spacing w:val="-2"/>
                <w:w w:val="105"/>
                <w:szCs w:val="18"/>
              </w:rPr>
              <w:t>Remove all uneaten bait at the end of treatment</w:t>
            </w:r>
          </w:p>
        </w:tc>
      </w:tr>
    </w:tbl>
    <w:p w14:paraId="4D61E623" w14:textId="0DF47837" w:rsidR="008E67EA" w:rsidRDefault="008E67EA" w:rsidP="009C4F64">
      <w:pPr>
        <w:spacing w:line="280" w:lineRule="exact"/>
        <w:rPr>
          <w:rFonts w:ascii="Franklin Gothic Medium" w:eastAsia="Arial Unicode MS" w:hAnsi="Franklin Gothic Medium"/>
          <w:bCs/>
          <w:iCs/>
          <w:bdr w:val="none" w:sz="0" w:space="0" w:color="auto" w:frame="1"/>
          <w:lang w:val="en-GB" w:eastAsia="en-AU"/>
        </w:rPr>
      </w:pPr>
      <w:r w:rsidRPr="00FF36BF">
        <w:rPr>
          <w:rFonts w:cs="Arial"/>
          <w:b/>
          <w:bCs/>
          <w:sz w:val="20"/>
          <w:szCs w:val="20"/>
        </w:rPr>
        <w:t>NOT TO BE USED FOR ANY PURPOSE, OR IN ANY MANNER, CONTRARY TO THIS LABEL UNLESS AUTHORISED UNDER APPROPRIATE LEGISLATION.</w:t>
      </w:r>
      <w:r>
        <w:rPr>
          <w:rFonts w:ascii="Franklin Gothic Medium" w:eastAsia="Arial Unicode MS" w:hAnsi="Franklin Gothic Medium"/>
          <w:bCs/>
          <w:iCs/>
          <w:bdr w:val="none" w:sz="0" w:space="0" w:color="auto" w:frame="1"/>
          <w:lang w:val="en-GB" w:eastAsia="en-AU"/>
        </w:rPr>
        <w:br w:type="page"/>
      </w:r>
    </w:p>
    <w:p w14:paraId="3FC6BDA2" w14:textId="77777777" w:rsidR="008E67EA" w:rsidRDefault="008E67EA" w:rsidP="008E67EA">
      <w:pPr>
        <w:keepNext/>
        <w:keepLines/>
        <w:spacing w:before="400" w:after="240" w:line="280" w:lineRule="exact"/>
        <w:outlineLvl w:val="1"/>
        <w:rPr>
          <w:rFonts w:ascii="Franklin Gothic Medium" w:eastAsia="Arial Unicode MS" w:hAnsi="Franklin Gothic Medium"/>
          <w:bCs/>
          <w:iCs/>
          <w:bdr w:val="none" w:sz="0" w:space="0" w:color="auto" w:frame="1"/>
          <w:lang w:val="en-GB" w:eastAsia="en-AU"/>
        </w:rPr>
      </w:pPr>
      <w:r w:rsidRPr="00FF36BF">
        <w:rPr>
          <w:rFonts w:ascii="Franklin Gothic Medium" w:eastAsia="Arial Unicode MS" w:hAnsi="Franklin Gothic Medium"/>
          <w:bCs/>
          <w:iCs/>
          <w:bdr w:val="none" w:sz="0" w:space="0" w:color="auto" w:frame="1"/>
          <w:lang w:val="en-GB" w:eastAsia="en-AU"/>
        </w:rPr>
        <w:lastRenderedPageBreak/>
        <w:t>Commercial</w:t>
      </w:r>
      <w:r>
        <w:rPr>
          <w:rFonts w:ascii="Franklin Gothic Medium" w:eastAsia="Arial Unicode MS" w:hAnsi="Franklin Gothic Medium"/>
          <w:bCs/>
          <w:iCs/>
          <w:bdr w:val="none" w:sz="0" w:space="0" w:color="auto" w:frame="1"/>
          <w:lang w:val="en-GB" w:eastAsia="en-AU"/>
        </w:rPr>
        <w:t xml:space="preserve"> pest-control product:</w:t>
      </w:r>
      <w:r w:rsidRPr="00FF36BF">
        <w:rPr>
          <w:rFonts w:ascii="Franklin Gothic Medium" w:eastAsia="Arial Unicode MS" w:hAnsi="Franklin Gothic Medium"/>
          <w:bCs/>
          <w:iCs/>
          <w:bdr w:val="none" w:sz="0" w:space="0" w:color="auto" w:frame="1"/>
          <w:lang w:val="en-GB" w:eastAsia="en-AU"/>
        </w:rPr>
        <w:t xml:space="preserve"> </w:t>
      </w:r>
      <w:r w:rsidRPr="00DA343B">
        <w:rPr>
          <w:rFonts w:ascii="Franklin Gothic Medium" w:eastAsia="Arial Unicode MS" w:hAnsi="Franklin Gothic Medium"/>
          <w:bCs/>
          <w:iCs/>
          <w:bdr w:val="none" w:sz="0" w:space="0" w:color="auto" w:frame="1"/>
          <w:lang w:val="en-GB" w:eastAsia="en-AU"/>
        </w:rPr>
        <w:t>RB 0.05 g/kg or less in pellet formulation</w:t>
      </w:r>
    </w:p>
    <w:p w14:paraId="4665BF6D" w14:textId="77777777" w:rsidR="008E67EA"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t xml:space="preserve">Template Label </w:t>
      </w:r>
      <w:r>
        <w:rPr>
          <w:rFonts w:cs="Arial"/>
          <w:b/>
          <w:bCs/>
          <w:sz w:val="20"/>
          <w:szCs w:val="20"/>
          <w:bdr w:val="none" w:sz="0" w:space="0" w:color="auto" w:frame="1"/>
          <w:lang w:val="en-GB" w:eastAsia="en-AU"/>
        </w:rPr>
        <w:t>20</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2B5B5B" w14:paraId="00C8884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86D8EB1" w14:textId="77777777" w:rsidR="008E67EA" w:rsidRPr="00F5215F" w:rsidRDefault="008E67EA" w:rsidP="00B44A74">
            <w:pPr>
              <w:spacing w:line="280" w:lineRule="exact"/>
              <w:rPr>
                <w:rFonts w:cs="Arial"/>
                <w:sz w:val="20"/>
                <w:szCs w:val="20"/>
              </w:rPr>
            </w:pPr>
            <w:r w:rsidRPr="00F5215F">
              <w:rPr>
                <w:rFonts w:cs="Arial"/>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2E07EAD4" w14:textId="77777777" w:rsidR="008E67EA" w:rsidRPr="009A0A25" w:rsidRDefault="008E67EA" w:rsidP="00B44A74">
            <w:pPr>
              <w:spacing w:line="280" w:lineRule="exact"/>
              <w:rPr>
                <w:rFonts w:cs="Arial"/>
                <w:sz w:val="20"/>
                <w:szCs w:val="20"/>
              </w:rPr>
            </w:pPr>
            <w:r w:rsidRPr="009A0A25">
              <w:rPr>
                <w:rFonts w:cs="Arial"/>
                <w:sz w:val="20"/>
                <w:szCs w:val="20"/>
              </w:rPr>
              <w:t>[INSERT LABEL NAME]</w:t>
            </w:r>
          </w:p>
        </w:tc>
      </w:tr>
      <w:tr w:rsidR="008E67EA" w:rsidRPr="002B5B5B" w14:paraId="367DC0DF" w14:textId="77777777" w:rsidTr="00B44A74">
        <w:trPr>
          <w:jc w:val="center"/>
        </w:trPr>
        <w:tc>
          <w:tcPr>
            <w:tcW w:w="2415" w:type="dxa"/>
            <w:tcBorders>
              <w:top w:val="single" w:sz="4" w:space="0" w:color="auto"/>
              <w:left w:val="nil"/>
              <w:bottom w:val="single" w:sz="4" w:space="0" w:color="auto"/>
              <w:right w:val="nil"/>
            </w:tcBorders>
          </w:tcPr>
          <w:p w14:paraId="2820EDA7"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249DBB1" w14:textId="77777777" w:rsidR="008E67EA" w:rsidRPr="009A0A25" w:rsidRDefault="008E67EA" w:rsidP="00B44A74">
            <w:pPr>
              <w:spacing w:line="280" w:lineRule="exact"/>
              <w:rPr>
                <w:rFonts w:cs="Arial"/>
                <w:sz w:val="20"/>
                <w:szCs w:val="20"/>
              </w:rPr>
            </w:pPr>
          </w:p>
        </w:tc>
      </w:tr>
      <w:tr w:rsidR="008E67EA" w:rsidRPr="002B5B5B" w14:paraId="19048EB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15D099D" w14:textId="77777777" w:rsidR="008E67EA" w:rsidRPr="00F5215F" w:rsidRDefault="008E67EA" w:rsidP="00B44A74">
            <w:pPr>
              <w:spacing w:line="280" w:lineRule="exact"/>
              <w:rPr>
                <w:rFonts w:cs="Arial"/>
                <w:sz w:val="20"/>
                <w:szCs w:val="20"/>
              </w:rPr>
            </w:pPr>
            <w:r w:rsidRPr="00F5215F">
              <w:rPr>
                <w:rFonts w:cs="Arial"/>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394678B1" w14:textId="77777777" w:rsidR="008E67EA" w:rsidRPr="009A0A25" w:rsidRDefault="008E67EA" w:rsidP="00B44A74">
            <w:pPr>
              <w:spacing w:line="280" w:lineRule="exact"/>
              <w:rPr>
                <w:rFonts w:cs="Arial"/>
                <w:sz w:val="20"/>
                <w:szCs w:val="20"/>
              </w:rPr>
            </w:pPr>
            <w:r w:rsidRPr="009A0A25">
              <w:rPr>
                <w:rFonts w:cs="Arial"/>
                <w:sz w:val="20"/>
                <w:szCs w:val="20"/>
              </w:rPr>
              <w:t>POISON</w:t>
            </w:r>
          </w:p>
          <w:p w14:paraId="5F910207" w14:textId="77777777" w:rsidR="008E67EA" w:rsidRPr="009A0A25" w:rsidRDefault="008E67EA" w:rsidP="00B44A74">
            <w:pPr>
              <w:spacing w:line="280" w:lineRule="exact"/>
              <w:rPr>
                <w:rFonts w:cs="Arial"/>
                <w:sz w:val="20"/>
                <w:szCs w:val="20"/>
              </w:rPr>
            </w:pPr>
            <w:r w:rsidRPr="009A0A25">
              <w:rPr>
                <w:rFonts w:cs="Arial"/>
                <w:sz w:val="20"/>
                <w:szCs w:val="20"/>
              </w:rPr>
              <w:t>KEEP OUT OF REACH OF CHILDREN</w:t>
            </w:r>
          </w:p>
          <w:p w14:paraId="5907BDAE" w14:textId="77777777" w:rsidR="008E67EA" w:rsidRPr="009A0A25" w:rsidRDefault="008E67EA" w:rsidP="00B44A74">
            <w:pPr>
              <w:spacing w:line="280" w:lineRule="exact"/>
              <w:rPr>
                <w:rFonts w:cs="Arial"/>
                <w:sz w:val="20"/>
                <w:szCs w:val="20"/>
              </w:rPr>
            </w:pPr>
            <w:r w:rsidRPr="009A0A25">
              <w:rPr>
                <w:rFonts w:cs="Arial"/>
                <w:sz w:val="20"/>
                <w:szCs w:val="20"/>
              </w:rPr>
              <w:t>READ SAFETY DIRECTIONS BEFORE OPENING OR USING</w:t>
            </w:r>
          </w:p>
        </w:tc>
      </w:tr>
      <w:tr w:rsidR="008E67EA" w:rsidRPr="002B5B5B" w14:paraId="6DFE9DFB" w14:textId="77777777" w:rsidTr="00B44A74">
        <w:trPr>
          <w:jc w:val="center"/>
        </w:trPr>
        <w:tc>
          <w:tcPr>
            <w:tcW w:w="2415" w:type="dxa"/>
            <w:tcBorders>
              <w:top w:val="single" w:sz="4" w:space="0" w:color="auto"/>
              <w:left w:val="nil"/>
              <w:bottom w:val="single" w:sz="4" w:space="0" w:color="auto"/>
              <w:right w:val="nil"/>
            </w:tcBorders>
          </w:tcPr>
          <w:p w14:paraId="5EE38F11"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AF46CCB" w14:textId="77777777" w:rsidR="008E67EA" w:rsidRPr="009A0A25" w:rsidRDefault="008E67EA" w:rsidP="00B44A74">
            <w:pPr>
              <w:spacing w:line="280" w:lineRule="exact"/>
              <w:rPr>
                <w:rFonts w:cs="Arial"/>
                <w:sz w:val="20"/>
                <w:szCs w:val="20"/>
              </w:rPr>
            </w:pPr>
          </w:p>
        </w:tc>
      </w:tr>
      <w:tr w:rsidR="008E67EA" w:rsidRPr="002B5B5B" w14:paraId="0A02904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BFF9826" w14:textId="77777777" w:rsidR="008E67EA" w:rsidRPr="00F5215F" w:rsidRDefault="008E67EA" w:rsidP="00B44A74">
            <w:pPr>
              <w:spacing w:line="280" w:lineRule="exact"/>
              <w:rPr>
                <w:rFonts w:cs="Arial"/>
                <w:sz w:val="20"/>
                <w:szCs w:val="20"/>
              </w:rPr>
            </w:pPr>
            <w:r w:rsidRPr="00F5215F">
              <w:rPr>
                <w:rFonts w:cs="Arial"/>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777CCE48" w14:textId="77777777" w:rsidR="008E67EA" w:rsidRPr="009A0A25" w:rsidRDefault="008E67EA" w:rsidP="00B44A74">
            <w:pPr>
              <w:spacing w:line="280" w:lineRule="exact"/>
              <w:rPr>
                <w:rFonts w:cs="Arial"/>
                <w:sz w:val="20"/>
                <w:szCs w:val="20"/>
              </w:rPr>
            </w:pPr>
            <w:r w:rsidRPr="009A0A25">
              <w:rPr>
                <w:rFonts w:cs="Arial"/>
                <w:sz w:val="20"/>
                <w:szCs w:val="20"/>
              </w:rPr>
              <w:t>ACTIVE CONSTITUENT: 0.05 g/kg DIFENACOUM</w:t>
            </w:r>
          </w:p>
        </w:tc>
      </w:tr>
      <w:tr w:rsidR="008E67EA" w:rsidRPr="002B5B5B" w14:paraId="4C3EE1CD" w14:textId="77777777" w:rsidTr="00B44A74">
        <w:trPr>
          <w:jc w:val="center"/>
        </w:trPr>
        <w:tc>
          <w:tcPr>
            <w:tcW w:w="2415" w:type="dxa"/>
            <w:tcBorders>
              <w:top w:val="single" w:sz="4" w:space="0" w:color="auto"/>
              <w:left w:val="nil"/>
              <w:bottom w:val="single" w:sz="4" w:space="0" w:color="auto"/>
              <w:right w:val="nil"/>
            </w:tcBorders>
          </w:tcPr>
          <w:p w14:paraId="1F64B6E7"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5C9729D" w14:textId="77777777" w:rsidR="008E67EA" w:rsidRPr="009A0A25" w:rsidRDefault="008E67EA" w:rsidP="00B44A74">
            <w:pPr>
              <w:spacing w:line="280" w:lineRule="exact"/>
              <w:rPr>
                <w:rFonts w:cs="Arial"/>
                <w:sz w:val="20"/>
                <w:szCs w:val="20"/>
              </w:rPr>
            </w:pPr>
          </w:p>
        </w:tc>
      </w:tr>
      <w:tr w:rsidR="008E67EA" w:rsidRPr="00994236" w14:paraId="780479E9"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3695D8D" w14:textId="77777777" w:rsidR="008E67EA" w:rsidRPr="00F5215F" w:rsidRDefault="008E67EA" w:rsidP="00B44A74">
            <w:pPr>
              <w:spacing w:line="280" w:lineRule="exact"/>
              <w:rPr>
                <w:rFonts w:cs="Arial"/>
                <w:sz w:val="20"/>
                <w:szCs w:val="20"/>
              </w:rPr>
            </w:pPr>
            <w:r w:rsidRPr="00F5215F">
              <w:rPr>
                <w:rFonts w:cs="Arial"/>
                <w:sz w:val="20"/>
                <w:szCs w:val="20"/>
              </w:rPr>
              <w:t>Mode of Action:</w:t>
            </w:r>
          </w:p>
        </w:tc>
        <w:tc>
          <w:tcPr>
            <w:tcW w:w="7755" w:type="dxa"/>
            <w:tcBorders>
              <w:top w:val="single" w:sz="4" w:space="0" w:color="auto"/>
              <w:left w:val="single" w:sz="4" w:space="0" w:color="auto"/>
              <w:bottom w:val="single" w:sz="4" w:space="0" w:color="auto"/>
              <w:right w:val="single" w:sz="4" w:space="0" w:color="auto"/>
            </w:tcBorders>
          </w:tcPr>
          <w:p w14:paraId="1C36A92A" w14:textId="77777777" w:rsidR="008E67EA" w:rsidRPr="009A0A25" w:rsidRDefault="008E67EA" w:rsidP="00B44A74">
            <w:pPr>
              <w:spacing w:line="280" w:lineRule="exact"/>
              <w:jc w:val="both"/>
              <w:rPr>
                <w:rFonts w:cs="Arial"/>
                <w:sz w:val="20"/>
                <w:szCs w:val="20"/>
              </w:rPr>
            </w:pPr>
          </w:p>
        </w:tc>
      </w:tr>
      <w:tr w:rsidR="008E67EA" w:rsidRPr="002B5B5B" w14:paraId="70648A08" w14:textId="77777777" w:rsidTr="00B44A74">
        <w:trPr>
          <w:jc w:val="center"/>
        </w:trPr>
        <w:tc>
          <w:tcPr>
            <w:tcW w:w="2415" w:type="dxa"/>
            <w:tcBorders>
              <w:top w:val="single" w:sz="4" w:space="0" w:color="auto"/>
              <w:left w:val="nil"/>
              <w:bottom w:val="single" w:sz="4" w:space="0" w:color="auto"/>
              <w:right w:val="nil"/>
            </w:tcBorders>
          </w:tcPr>
          <w:p w14:paraId="5EC5CEB0"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5971744" w14:textId="77777777" w:rsidR="008E67EA" w:rsidRPr="009A0A25" w:rsidRDefault="008E67EA" w:rsidP="00B44A74">
            <w:pPr>
              <w:spacing w:line="280" w:lineRule="exact"/>
              <w:rPr>
                <w:rFonts w:cs="Arial"/>
                <w:sz w:val="20"/>
                <w:szCs w:val="20"/>
              </w:rPr>
            </w:pPr>
          </w:p>
        </w:tc>
      </w:tr>
      <w:tr w:rsidR="008E67EA" w:rsidRPr="002B5B5B" w14:paraId="733841E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C10382F" w14:textId="77777777" w:rsidR="008E67EA" w:rsidRPr="00F5215F" w:rsidRDefault="008E67EA" w:rsidP="00B44A74">
            <w:pPr>
              <w:spacing w:line="280" w:lineRule="exact"/>
              <w:rPr>
                <w:rFonts w:cs="Arial"/>
                <w:sz w:val="20"/>
                <w:szCs w:val="20"/>
              </w:rPr>
            </w:pPr>
            <w:r w:rsidRPr="00F5215F">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754856D6" w14:textId="77777777" w:rsidR="008E67EA" w:rsidRPr="009A0A25" w:rsidRDefault="008E67EA" w:rsidP="00B44A74">
            <w:pPr>
              <w:spacing w:line="280" w:lineRule="exact"/>
              <w:rPr>
                <w:rFonts w:cs="Arial"/>
                <w:sz w:val="20"/>
                <w:szCs w:val="20"/>
              </w:rPr>
            </w:pPr>
            <w:r>
              <w:rPr>
                <w:rFonts w:cs="Arial"/>
                <w:sz w:val="20"/>
                <w:szCs w:val="20"/>
              </w:rPr>
              <w:t>For c</w:t>
            </w:r>
            <w:r w:rsidRPr="009A0A25">
              <w:rPr>
                <w:rFonts w:cs="Arial"/>
                <w:sz w:val="20"/>
                <w:szCs w:val="20"/>
              </w:rPr>
              <w:t>ontrol</w:t>
            </w:r>
            <w:r>
              <w:rPr>
                <w:rFonts w:cs="Arial"/>
                <w:sz w:val="20"/>
                <w:szCs w:val="20"/>
              </w:rPr>
              <w:t xml:space="preserve"> of</w:t>
            </w:r>
            <w:r w:rsidRPr="009A0A25">
              <w:rPr>
                <w:rFonts w:cs="Arial"/>
                <w:sz w:val="20"/>
                <w:szCs w:val="20"/>
              </w:rPr>
              <w:t xml:space="preserve"> mice in industrial, commercial, agricultural</w:t>
            </w:r>
            <w:r>
              <w:rPr>
                <w:rFonts w:cs="Arial"/>
                <w:sz w:val="20"/>
                <w:szCs w:val="20"/>
              </w:rPr>
              <w:t>, public services</w:t>
            </w:r>
            <w:r w:rsidRPr="009A0A25">
              <w:rPr>
                <w:rFonts w:cs="Arial"/>
                <w:sz w:val="20"/>
                <w:szCs w:val="20"/>
              </w:rPr>
              <w:t xml:space="preserve"> and domestic buildings and rats in and around industrial, commercial, agricultural</w:t>
            </w:r>
            <w:r>
              <w:rPr>
                <w:rFonts w:cs="Arial"/>
                <w:sz w:val="20"/>
                <w:szCs w:val="20"/>
              </w:rPr>
              <w:t>, public services</w:t>
            </w:r>
            <w:r w:rsidRPr="009A0A25">
              <w:rPr>
                <w:rFonts w:cs="Arial"/>
                <w:sz w:val="20"/>
                <w:szCs w:val="20"/>
              </w:rPr>
              <w:t xml:space="preserve"> and domestic buildings.</w:t>
            </w:r>
          </w:p>
        </w:tc>
      </w:tr>
      <w:tr w:rsidR="008E67EA" w:rsidRPr="002B5B5B" w14:paraId="68762547" w14:textId="77777777" w:rsidTr="00B44A74">
        <w:trPr>
          <w:jc w:val="center"/>
        </w:trPr>
        <w:tc>
          <w:tcPr>
            <w:tcW w:w="2415" w:type="dxa"/>
            <w:tcBorders>
              <w:top w:val="single" w:sz="4" w:space="0" w:color="auto"/>
              <w:left w:val="nil"/>
              <w:bottom w:val="single" w:sz="4" w:space="0" w:color="auto"/>
              <w:right w:val="nil"/>
            </w:tcBorders>
          </w:tcPr>
          <w:p w14:paraId="504640C5"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22FA267" w14:textId="77777777" w:rsidR="008E67EA" w:rsidRPr="009A0A25" w:rsidRDefault="008E67EA" w:rsidP="00B44A74">
            <w:pPr>
              <w:spacing w:line="280" w:lineRule="exact"/>
              <w:rPr>
                <w:rFonts w:cs="Arial"/>
                <w:sz w:val="20"/>
                <w:szCs w:val="20"/>
              </w:rPr>
            </w:pPr>
          </w:p>
        </w:tc>
      </w:tr>
      <w:tr w:rsidR="008E67EA" w:rsidRPr="002B5B5B" w14:paraId="2C79F15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7810929" w14:textId="77777777" w:rsidR="008E67EA" w:rsidRPr="00F5215F" w:rsidRDefault="008E67EA" w:rsidP="00B44A74">
            <w:pPr>
              <w:spacing w:line="280" w:lineRule="exact"/>
              <w:rPr>
                <w:rFonts w:cs="Arial"/>
                <w:sz w:val="20"/>
                <w:szCs w:val="20"/>
              </w:rPr>
            </w:pPr>
            <w:r w:rsidRPr="00F5215F">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4C4920BE" w14:textId="77777777" w:rsidR="008E67EA" w:rsidRPr="009A0A25" w:rsidRDefault="008E67EA" w:rsidP="00B44A74">
            <w:pPr>
              <w:spacing w:line="280" w:lineRule="exact"/>
              <w:rPr>
                <w:rFonts w:cs="Arial"/>
                <w:sz w:val="20"/>
                <w:szCs w:val="20"/>
              </w:rPr>
            </w:pPr>
            <w:r w:rsidRPr="009A0A25">
              <w:rPr>
                <w:rFonts w:cs="Arial"/>
                <w:sz w:val="20"/>
                <w:szCs w:val="20"/>
              </w:rPr>
              <w:t>[INSERT NET CONTENTS]</w:t>
            </w:r>
          </w:p>
        </w:tc>
      </w:tr>
      <w:tr w:rsidR="008E67EA" w:rsidRPr="002B5B5B" w14:paraId="407C5DDD" w14:textId="77777777" w:rsidTr="00B44A74">
        <w:trPr>
          <w:jc w:val="center"/>
        </w:trPr>
        <w:tc>
          <w:tcPr>
            <w:tcW w:w="2415" w:type="dxa"/>
            <w:tcBorders>
              <w:top w:val="single" w:sz="4" w:space="0" w:color="auto"/>
              <w:left w:val="nil"/>
              <w:bottom w:val="single" w:sz="4" w:space="0" w:color="auto"/>
              <w:right w:val="nil"/>
            </w:tcBorders>
          </w:tcPr>
          <w:p w14:paraId="5D2D5C8B"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0441F95" w14:textId="77777777" w:rsidR="008E67EA" w:rsidRPr="009A0A25" w:rsidRDefault="008E67EA" w:rsidP="00B44A74">
            <w:pPr>
              <w:spacing w:line="280" w:lineRule="exact"/>
              <w:rPr>
                <w:rFonts w:cs="Arial"/>
                <w:sz w:val="20"/>
                <w:szCs w:val="20"/>
              </w:rPr>
            </w:pPr>
          </w:p>
        </w:tc>
      </w:tr>
      <w:tr w:rsidR="008E67EA" w:rsidRPr="002B5B5B" w14:paraId="53401AE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E29ACBD" w14:textId="77777777" w:rsidR="008E67EA" w:rsidRPr="00F5215F" w:rsidRDefault="008E67EA" w:rsidP="00B44A74">
            <w:pPr>
              <w:spacing w:line="280" w:lineRule="exact"/>
              <w:rPr>
                <w:rFonts w:cs="Arial"/>
                <w:sz w:val="20"/>
                <w:szCs w:val="20"/>
              </w:rPr>
            </w:pPr>
            <w:r w:rsidRPr="00F5215F">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1FD4DD7A" w14:textId="77777777" w:rsidR="008E67EA" w:rsidRPr="009A0A25" w:rsidRDefault="008E67EA" w:rsidP="00B44A74">
            <w:pPr>
              <w:spacing w:line="280" w:lineRule="exact"/>
              <w:rPr>
                <w:rFonts w:cs="Arial"/>
                <w:sz w:val="20"/>
                <w:szCs w:val="20"/>
              </w:rPr>
            </w:pPr>
            <w:r w:rsidRPr="009A0A25">
              <w:rPr>
                <w:rFonts w:cs="Arial"/>
                <w:sz w:val="20"/>
                <w:szCs w:val="20"/>
              </w:rPr>
              <w:t>RESTRAINTS</w:t>
            </w:r>
          </w:p>
          <w:p w14:paraId="44414CE3" w14:textId="77777777" w:rsidR="008E67EA" w:rsidRPr="009A0A25" w:rsidRDefault="008E67EA" w:rsidP="00B44A74">
            <w:pPr>
              <w:spacing w:line="280" w:lineRule="exact"/>
              <w:rPr>
                <w:rFonts w:cs="Arial"/>
                <w:sz w:val="20"/>
                <w:szCs w:val="20"/>
              </w:rPr>
            </w:pPr>
            <w:r w:rsidRPr="009A0A25">
              <w:rPr>
                <w:rFonts w:cs="Arial"/>
                <w:sz w:val="20"/>
                <w:szCs w:val="20"/>
              </w:rPr>
              <w:t>DO NOT use this product unless you have a current qualification in the nationally recognised training course for rodent pest management CPPUPM3006 - Manage pests by applying pesticides, or an equivalent unit of competency.</w:t>
            </w:r>
          </w:p>
          <w:p w14:paraId="182F89D1" w14:textId="76B49C09" w:rsidR="008E67EA" w:rsidRPr="009A0A25" w:rsidRDefault="008E67EA" w:rsidP="00B44A74">
            <w:pPr>
              <w:spacing w:line="280" w:lineRule="exact"/>
              <w:rPr>
                <w:rFonts w:cs="Arial"/>
                <w:sz w:val="20"/>
                <w:szCs w:val="20"/>
              </w:rPr>
            </w:pPr>
            <w:r w:rsidRPr="009A0A25">
              <w:rPr>
                <w:rFonts w:cs="Arial"/>
                <w:sz w:val="20"/>
                <w:szCs w:val="20"/>
              </w:rPr>
              <w:t>DO NOT place baits in areas that are accessible to children. In child-accessible areas baits must be placed in tamper-</w:t>
            </w:r>
            <w:r>
              <w:rPr>
                <w:rFonts w:cs="Arial"/>
                <w:sz w:val="20"/>
                <w:szCs w:val="20"/>
              </w:rPr>
              <w:t>resistant</w:t>
            </w:r>
            <w:r w:rsidRPr="009A0A25">
              <w:rPr>
                <w:rFonts w:cs="Arial"/>
                <w:sz w:val="20"/>
                <w:szCs w:val="20"/>
              </w:rPr>
              <w:t xml:space="preserve"> bait stations. If bait can be dislodged from bait station, bait station must be secured in place.</w:t>
            </w:r>
          </w:p>
          <w:p w14:paraId="72C6D93C" w14:textId="77777777" w:rsidR="008E67EA" w:rsidRPr="009A0A25" w:rsidRDefault="008E67EA" w:rsidP="00B44A74">
            <w:pPr>
              <w:spacing w:line="280" w:lineRule="exact"/>
              <w:rPr>
                <w:rFonts w:cs="Arial"/>
                <w:sz w:val="20"/>
                <w:szCs w:val="20"/>
              </w:rPr>
            </w:pPr>
            <w:r w:rsidRPr="009A0A25">
              <w:rPr>
                <w:rFonts w:cs="Arial"/>
                <w:sz w:val="20"/>
                <w:szCs w:val="20"/>
              </w:rPr>
              <w:t>DO NOT place bait outdoors unless it is in a tamper</w:t>
            </w:r>
            <w:r>
              <w:rPr>
                <w:rFonts w:cs="Arial"/>
                <w:sz w:val="20"/>
                <w:szCs w:val="20"/>
              </w:rPr>
              <w:t>-resistant</w:t>
            </w:r>
            <w:r w:rsidRPr="009A0A25">
              <w:rPr>
                <w:rFonts w:cs="Arial"/>
                <w:sz w:val="20"/>
                <w:szCs w:val="20"/>
              </w:rPr>
              <w:t xml:space="preserve"> bait station which is secured in place.</w:t>
            </w:r>
          </w:p>
          <w:p w14:paraId="5188C97C" w14:textId="77777777" w:rsidR="008E67EA" w:rsidRPr="009A0A25" w:rsidRDefault="008E67EA" w:rsidP="00B44A74">
            <w:pPr>
              <w:spacing w:line="280" w:lineRule="exact"/>
              <w:rPr>
                <w:rFonts w:cs="Arial"/>
                <w:sz w:val="20"/>
                <w:szCs w:val="20"/>
              </w:rPr>
            </w:pPr>
            <w:r w:rsidRPr="009A0A25">
              <w:rPr>
                <w:rFonts w:cs="Arial"/>
                <w:sz w:val="20"/>
                <w:szCs w:val="20"/>
              </w:rPr>
              <w:t>DO NOT place bait stations more than 2 meters from buildings.</w:t>
            </w:r>
          </w:p>
          <w:p w14:paraId="07A6691A" w14:textId="77777777" w:rsidR="008E67EA" w:rsidRPr="009A0A25" w:rsidRDefault="008E67EA" w:rsidP="00B44A74">
            <w:pPr>
              <w:spacing w:line="280" w:lineRule="exact"/>
              <w:rPr>
                <w:rFonts w:cs="Arial"/>
                <w:sz w:val="20"/>
                <w:szCs w:val="20"/>
              </w:rPr>
            </w:pPr>
            <w:r w:rsidRPr="009A0A25">
              <w:rPr>
                <w:rFonts w:cs="Arial"/>
                <w:sz w:val="20"/>
                <w:szCs w:val="20"/>
              </w:rPr>
              <w:t>DO NOT place bait stations outdoors around buildings for control of mice.</w:t>
            </w:r>
          </w:p>
          <w:p w14:paraId="161AAFC3" w14:textId="77777777" w:rsidR="008E67EA" w:rsidRPr="009A0A25" w:rsidRDefault="008E67EA" w:rsidP="00B44A74">
            <w:pPr>
              <w:spacing w:line="280" w:lineRule="exact"/>
              <w:rPr>
                <w:rFonts w:cs="Arial"/>
                <w:sz w:val="20"/>
                <w:szCs w:val="20"/>
              </w:rPr>
            </w:pPr>
            <w:r w:rsidRPr="009A0A25">
              <w:rPr>
                <w:rFonts w:cs="Arial"/>
                <w:sz w:val="20"/>
                <w:szCs w:val="20"/>
              </w:rPr>
              <w:t>DO NOT bait in areas where wildlife may be collected for human consumption.</w:t>
            </w:r>
          </w:p>
          <w:p w14:paraId="18D590DA" w14:textId="77777777" w:rsidR="008E67EA" w:rsidRPr="009A0A25" w:rsidRDefault="008E67EA" w:rsidP="00B44A74">
            <w:pPr>
              <w:spacing w:line="280" w:lineRule="exact"/>
              <w:rPr>
                <w:rFonts w:cs="Arial"/>
                <w:sz w:val="20"/>
                <w:szCs w:val="20"/>
              </w:rPr>
            </w:pPr>
            <w:r w:rsidRPr="009A0A25">
              <w:rPr>
                <w:rFonts w:cs="Arial"/>
                <w:sz w:val="20"/>
                <w:szCs w:val="20"/>
              </w:rPr>
              <w:t>DO NOT place baits in and around animal, livestock and poultry houses, associated equipment, and food and feed processing areas.</w:t>
            </w:r>
          </w:p>
          <w:p w14:paraId="5422B9D6" w14:textId="77777777" w:rsidR="008E67EA" w:rsidRPr="009A0A25" w:rsidRDefault="008E67EA" w:rsidP="00B44A74">
            <w:pPr>
              <w:spacing w:line="280" w:lineRule="exact"/>
              <w:rPr>
                <w:rFonts w:cs="Arial"/>
                <w:sz w:val="20"/>
                <w:szCs w:val="20"/>
              </w:rPr>
            </w:pPr>
            <w:r w:rsidRPr="009A0A25">
              <w:rPr>
                <w:rFonts w:cs="Arial"/>
                <w:sz w:val="20"/>
                <w:szCs w:val="20"/>
              </w:rPr>
              <w:t>DO NOT apply this product directly into burrows.</w:t>
            </w:r>
          </w:p>
        </w:tc>
      </w:tr>
      <w:tr w:rsidR="008E67EA" w:rsidRPr="002B5B5B" w14:paraId="6C097719" w14:textId="77777777" w:rsidTr="00B44A74">
        <w:trPr>
          <w:jc w:val="center"/>
        </w:trPr>
        <w:tc>
          <w:tcPr>
            <w:tcW w:w="2415" w:type="dxa"/>
            <w:tcBorders>
              <w:top w:val="single" w:sz="4" w:space="0" w:color="auto"/>
              <w:left w:val="nil"/>
              <w:bottom w:val="single" w:sz="4" w:space="0" w:color="auto"/>
              <w:right w:val="nil"/>
            </w:tcBorders>
          </w:tcPr>
          <w:p w14:paraId="5D544FA1"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67FB32D" w14:textId="77777777" w:rsidR="008E67EA" w:rsidRPr="009A0A25" w:rsidRDefault="008E67EA" w:rsidP="00B44A74">
            <w:pPr>
              <w:spacing w:line="280" w:lineRule="exact"/>
              <w:rPr>
                <w:rFonts w:cs="Arial"/>
                <w:sz w:val="20"/>
                <w:szCs w:val="20"/>
              </w:rPr>
            </w:pPr>
          </w:p>
        </w:tc>
      </w:tr>
      <w:tr w:rsidR="008E67EA" w:rsidRPr="002B5B5B" w14:paraId="06D21AE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22AEB4D" w14:textId="77777777" w:rsidR="008E67EA" w:rsidRPr="00F5215F" w:rsidRDefault="008E67EA" w:rsidP="00B44A74">
            <w:pPr>
              <w:spacing w:line="280" w:lineRule="exact"/>
              <w:rPr>
                <w:rFonts w:cs="Arial"/>
                <w:sz w:val="20"/>
                <w:szCs w:val="20"/>
              </w:rPr>
            </w:pPr>
            <w:r w:rsidRPr="00F5215F">
              <w:rPr>
                <w:rFonts w:cs="Arial"/>
                <w:sz w:val="20"/>
                <w:szCs w:val="20"/>
              </w:rPr>
              <w:t>Directions for Use:</w:t>
            </w:r>
          </w:p>
        </w:tc>
        <w:tc>
          <w:tcPr>
            <w:tcW w:w="7755" w:type="dxa"/>
            <w:tcBorders>
              <w:top w:val="single" w:sz="4" w:space="0" w:color="auto"/>
              <w:left w:val="single" w:sz="4" w:space="0" w:color="auto"/>
              <w:bottom w:val="single" w:sz="4" w:space="0" w:color="auto"/>
              <w:right w:val="single" w:sz="4" w:space="0" w:color="auto"/>
            </w:tcBorders>
          </w:tcPr>
          <w:p w14:paraId="0391AE23" w14:textId="77777777" w:rsidR="008E67EA" w:rsidRPr="009A0A25" w:rsidRDefault="008E67EA" w:rsidP="00B44A74">
            <w:pPr>
              <w:spacing w:line="280" w:lineRule="exact"/>
              <w:rPr>
                <w:rFonts w:cs="Arial"/>
                <w:sz w:val="20"/>
                <w:szCs w:val="20"/>
              </w:rPr>
            </w:pPr>
            <w:r w:rsidRPr="00B832BB">
              <w:rPr>
                <w:rFonts w:cs="Arial"/>
                <w:sz w:val="20"/>
                <w:szCs w:val="20"/>
              </w:rPr>
              <w:t>[This section contains an attachment below]</w:t>
            </w:r>
          </w:p>
        </w:tc>
      </w:tr>
      <w:tr w:rsidR="008E67EA" w:rsidRPr="002B5B5B" w14:paraId="4C4DD8AB" w14:textId="77777777" w:rsidTr="00B44A74">
        <w:trPr>
          <w:jc w:val="center"/>
        </w:trPr>
        <w:tc>
          <w:tcPr>
            <w:tcW w:w="2415" w:type="dxa"/>
            <w:tcBorders>
              <w:top w:val="single" w:sz="4" w:space="0" w:color="auto"/>
              <w:left w:val="nil"/>
              <w:bottom w:val="single" w:sz="4" w:space="0" w:color="auto"/>
              <w:right w:val="nil"/>
            </w:tcBorders>
          </w:tcPr>
          <w:p w14:paraId="455FE85D"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B6211B4" w14:textId="77777777" w:rsidR="008E67EA" w:rsidRPr="009A0A25" w:rsidRDefault="008E67EA" w:rsidP="00B44A74">
            <w:pPr>
              <w:spacing w:line="280" w:lineRule="exact"/>
              <w:rPr>
                <w:rFonts w:cs="Arial"/>
                <w:sz w:val="20"/>
                <w:szCs w:val="20"/>
              </w:rPr>
            </w:pPr>
          </w:p>
        </w:tc>
      </w:tr>
      <w:tr w:rsidR="008E67EA" w:rsidRPr="002B5B5B" w14:paraId="6B1CE9B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17DED63" w14:textId="77777777" w:rsidR="008E67EA" w:rsidRPr="00F5215F" w:rsidRDefault="008E67EA" w:rsidP="00B44A74">
            <w:pPr>
              <w:spacing w:line="280" w:lineRule="exact"/>
              <w:rPr>
                <w:rFonts w:cs="Arial"/>
                <w:sz w:val="20"/>
                <w:szCs w:val="20"/>
              </w:rPr>
            </w:pPr>
            <w:r w:rsidRPr="00F5215F">
              <w:rPr>
                <w:rFonts w:cs="Arial"/>
                <w:sz w:val="20"/>
                <w:szCs w:val="20"/>
              </w:rPr>
              <w:t>Other Limitations:</w:t>
            </w:r>
          </w:p>
        </w:tc>
        <w:tc>
          <w:tcPr>
            <w:tcW w:w="7755" w:type="dxa"/>
            <w:tcBorders>
              <w:top w:val="single" w:sz="4" w:space="0" w:color="auto"/>
              <w:left w:val="single" w:sz="4" w:space="0" w:color="auto"/>
              <w:bottom w:val="single" w:sz="4" w:space="0" w:color="auto"/>
              <w:right w:val="single" w:sz="4" w:space="0" w:color="auto"/>
            </w:tcBorders>
          </w:tcPr>
          <w:p w14:paraId="3708E3EE" w14:textId="77777777" w:rsidR="008E67EA" w:rsidRPr="009A0A25" w:rsidRDefault="008E67EA" w:rsidP="00B44A74">
            <w:pPr>
              <w:spacing w:line="280" w:lineRule="exact"/>
              <w:rPr>
                <w:rFonts w:cs="Arial"/>
                <w:sz w:val="20"/>
                <w:szCs w:val="20"/>
              </w:rPr>
            </w:pPr>
          </w:p>
        </w:tc>
      </w:tr>
      <w:tr w:rsidR="008E67EA" w:rsidRPr="002B5B5B" w14:paraId="477E8C53" w14:textId="77777777" w:rsidTr="00B44A74">
        <w:trPr>
          <w:jc w:val="center"/>
        </w:trPr>
        <w:tc>
          <w:tcPr>
            <w:tcW w:w="2415" w:type="dxa"/>
            <w:tcBorders>
              <w:top w:val="single" w:sz="4" w:space="0" w:color="auto"/>
              <w:left w:val="nil"/>
              <w:bottom w:val="single" w:sz="4" w:space="0" w:color="auto"/>
              <w:right w:val="nil"/>
            </w:tcBorders>
          </w:tcPr>
          <w:p w14:paraId="4F3E0909"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9ED811A" w14:textId="77777777" w:rsidR="008E67EA" w:rsidRPr="009A0A25" w:rsidRDefault="008E67EA" w:rsidP="00B44A74">
            <w:pPr>
              <w:spacing w:line="280" w:lineRule="exact"/>
              <w:rPr>
                <w:rFonts w:cs="Arial"/>
                <w:sz w:val="20"/>
                <w:szCs w:val="20"/>
              </w:rPr>
            </w:pPr>
          </w:p>
        </w:tc>
      </w:tr>
      <w:tr w:rsidR="008E67EA" w:rsidRPr="002B5B5B" w14:paraId="236B95D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CDA29BD" w14:textId="77777777" w:rsidR="008E67EA" w:rsidRPr="00F5215F" w:rsidRDefault="008E67EA" w:rsidP="00B44A74">
            <w:pPr>
              <w:spacing w:line="280" w:lineRule="exact"/>
              <w:rPr>
                <w:rFonts w:cs="Arial"/>
                <w:sz w:val="20"/>
                <w:szCs w:val="20"/>
              </w:rPr>
            </w:pPr>
            <w:r w:rsidRPr="00F5215F">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38800C7B" w14:textId="77777777" w:rsidR="008E67EA" w:rsidRPr="009A0A25" w:rsidRDefault="008E67EA" w:rsidP="00B44A74">
            <w:pPr>
              <w:spacing w:line="280" w:lineRule="exact"/>
              <w:rPr>
                <w:rFonts w:cs="Arial"/>
                <w:sz w:val="20"/>
                <w:szCs w:val="20"/>
              </w:rPr>
            </w:pPr>
          </w:p>
        </w:tc>
      </w:tr>
      <w:tr w:rsidR="008E67EA" w:rsidRPr="002B5B5B" w14:paraId="7BD4BA8C" w14:textId="77777777" w:rsidTr="00B44A74">
        <w:trPr>
          <w:jc w:val="center"/>
        </w:trPr>
        <w:tc>
          <w:tcPr>
            <w:tcW w:w="2415" w:type="dxa"/>
            <w:tcBorders>
              <w:top w:val="single" w:sz="4" w:space="0" w:color="auto"/>
              <w:left w:val="nil"/>
              <w:bottom w:val="single" w:sz="4" w:space="0" w:color="auto"/>
              <w:right w:val="nil"/>
            </w:tcBorders>
          </w:tcPr>
          <w:p w14:paraId="716013B2"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DE09585" w14:textId="77777777" w:rsidR="008E67EA" w:rsidRPr="009A0A25" w:rsidRDefault="008E67EA" w:rsidP="00B44A74">
            <w:pPr>
              <w:spacing w:line="280" w:lineRule="exact"/>
              <w:rPr>
                <w:rFonts w:cs="Arial"/>
                <w:sz w:val="20"/>
                <w:szCs w:val="20"/>
              </w:rPr>
            </w:pPr>
          </w:p>
        </w:tc>
      </w:tr>
      <w:tr w:rsidR="008E67EA" w:rsidRPr="002B5B5B" w14:paraId="200A2B4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B0585A5" w14:textId="77777777" w:rsidR="008E67EA" w:rsidRPr="00F5215F" w:rsidRDefault="008E67EA" w:rsidP="00B44A74">
            <w:pPr>
              <w:spacing w:line="280" w:lineRule="exact"/>
              <w:rPr>
                <w:rFonts w:cs="Arial"/>
                <w:sz w:val="20"/>
                <w:szCs w:val="20"/>
              </w:rPr>
            </w:pPr>
            <w:r w:rsidRPr="00F5215F">
              <w:rPr>
                <w:rFonts w:cs="Arial"/>
                <w:sz w:val="20"/>
                <w:szCs w:val="20"/>
              </w:rPr>
              <w:t>Trade Advice:</w:t>
            </w:r>
          </w:p>
        </w:tc>
        <w:tc>
          <w:tcPr>
            <w:tcW w:w="7755" w:type="dxa"/>
            <w:tcBorders>
              <w:top w:val="single" w:sz="4" w:space="0" w:color="auto"/>
              <w:left w:val="single" w:sz="4" w:space="0" w:color="auto"/>
              <w:bottom w:val="single" w:sz="4" w:space="0" w:color="auto"/>
              <w:right w:val="single" w:sz="4" w:space="0" w:color="auto"/>
            </w:tcBorders>
          </w:tcPr>
          <w:p w14:paraId="0DE4DD4A" w14:textId="77777777" w:rsidR="008E67EA" w:rsidRPr="009A0A25" w:rsidRDefault="008E67EA" w:rsidP="00B44A74">
            <w:pPr>
              <w:spacing w:line="280" w:lineRule="exact"/>
              <w:rPr>
                <w:rFonts w:cs="Arial"/>
                <w:sz w:val="20"/>
                <w:szCs w:val="20"/>
              </w:rPr>
            </w:pPr>
          </w:p>
        </w:tc>
      </w:tr>
      <w:tr w:rsidR="008E67EA" w:rsidRPr="002B5B5B" w14:paraId="366B6D15" w14:textId="77777777" w:rsidTr="00B44A74">
        <w:trPr>
          <w:jc w:val="center"/>
        </w:trPr>
        <w:tc>
          <w:tcPr>
            <w:tcW w:w="2415" w:type="dxa"/>
            <w:tcBorders>
              <w:top w:val="single" w:sz="4" w:space="0" w:color="auto"/>
              <w:left w:val="nil"/>
              <w:bottom w:val="single" w:sz="4" w:space="0" w:color="auto"/>
              <w:right w:val="nil"/>
            </w:tcBorders>
          </w:tcPr>
          <w:p w14:paraId="412A78D7"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56A9F3C" w14:textId="77777777" w:rsidR="008E67EA" w:rsidRPr="009A0A25" w:rsidRDefault="008E67EA" w:rsidP="00B44A74">
            <w:pPr>
              <w:spacing w:line="280" w:lineRule="exact"/>
              <w:rPr>
                <w:rFonts w:cs="Arial"/>
                <w:sz w:val="20"/>
                <w:szCs w:val="20"/>
              </w:rPr>
            </w:pPr>
          </w:p>
        </w:tc>
      </w:tr>
      <w:tr w:rsidR="008E67EA" w:rsidRPr="002B5B5B" w14:paraId="3A311D8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2447F84" w14:textId="77777777" w:rsidR="008E67EA" w:rsidRPr="00F5215F" w:rsidRDefault="008E67EA" w:rsidP="00B44A74">
            <w:pPr>
              <w:spacing w:line="280" w:lineRule="exact"/>
              <w:rPr>
                <w:rFonts w:cs="Arial"/>
                <w:sz w:val="20"/>
                <w:szCs w:val="20"/>
              </w:rPr>
            </w:pPr>
            <w:r w:rsidRPr="00F5215F">
              <w:rPr>
                <w:rFonts w:cs="Arial"/>
                <w:sz w:val="20"/>
                <w:szCs w:val="20"/>
              </w:rPr>
              <w:t>General Directions:</w:t>
            </w:r>
          </w:p>
        </w:tc>
        <w:tc>
          <w:tcPr>
            <w:tcW w:w="7755" w:type="dxa"/>
            <w:tcBorders>
              <w:top w:val="single" w:sz="4" w:space="0" w:color="auto"/>
              <w:left w:val="single" w:sz="4" w:space="0" w:color="auto"/>
              <w:bottom w:val="single" w:sz="4" w:space="0" w:color="auto"/>
              <w:right w:val="single" w:sz="4" w:space="0" w:color="auto"/>
            </w:tcBorders>
          </w:tcPr>
          <w:p w14:paraId="28DCD055" w14:textId="77777777" w:rsidR="008E67EA" w:rsidRPr="009A0A25" w:rsidRDefault="008E67EA" w:rsidP="00B44A74">
            <w:pPr>
              <w:spacing w:line="280" w:lineRule="exact"/>
              <w:rPr>
                <w:rFonts w:cs="Arial"/>
                <w:sz w:val="20"/>
                <w:szCs w:val="20"/>
              </w:rPr>
            </w:pPr>
          </w:p>
        </w:tc>
      </w:tr>
      <w:tr w:rsidR="008E67EA" w:rsidRPr="002B5B5B" w14:paraId="53603441" w14:textId="77777777" w:rsidTr="00B44A74">
        <w:trPr>
          <w:jc w:val="center"/>
        </w:trPr>
        <w:tc>
          <w:tcPr>
            <w:tcW w:w="2415" w:type="dxa"/>
            <w:tcBorders>
              <w:top w:val="single" w:sz="4" w:space="0" w:color="auto"/>
              <w:left w:val="nil"/>
              <w:bottom w:val="single" w:sz="4" w:space="0" w:color="auto"/>
              <w:right w:val="nil"/>
            </w:tcBorders>
          </w:tcPr>
          <w:p w14:paraId="0945A26D"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F74EACA" w14:textId="77777777" w:rsidR="008E67EA" w:rsidRPr="009A0A25" w:rsidRDefault="008E67EA" w:rsidP="00B44A74">
            <w:pPr>
              <w:spacing w:line="280" w:lineRule="exact"/>
              <w:rPr>
                <w:rFonts w:cs="Arial"/>
                <w:sz w:val="20"/>
                <w:szCs w:val="20"/>
              </w:rPr>
            </w:pPr>
          </w:p>
        </w:tc>
      </w:tr>
      <w:tr w:rsidR="008E67EA" w:rsidRPr="002B5B5B" w14:paraId="64B4FD3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CC17888" w14:textId="77777777" w:rsidR="008E67EA" w:rsidRPr="00F5215F" w:rsidRDefault="008E67EA" w:rsidP="00B44A74">
            <w:pPr>
              <w:spacing w:line="280" w:lineRule="exact"/>
              <w:rPr>
                <w:rFonts w:cs="Arial"/>
                <w:sz w:val="20"/>
                <w:szCs w:val="20"/>
              </w:rPr>
            </w:pPr>
            <w:r w:rsidRPr="00F5215F">
              <w:rPr>
                <w:rFonts w:cs="Arial"/>
                <w:sz w:val="20"/>
                <w:szCs w:val="20"/>
              </w:rPr>
              <w:t>Resistance Warning:</w:t>
            </w:r>
          </w:p>
        </w:tc>
        <w:tc>
          <w:tcPr>
            <w:tcW w:w="7755" w:type="dxa"/>
            <w:tcBorders>
              <w:top w:val="single" w:sz="4" w:space="0" w:color="auto"/>
              <w:left w:val="single" w:sz="4" w:space="0" w:color="auto"/>
              <w:bottom w:val="single" w:sz="4" w:space="0" w:color="auto"/>
              <w:right w:val="single" w:sz="4" w:space="0" w:color="auto"/>
            </w:tcBorders>
          </w:tcPr>
          <w:p w14:paraId="1539C7DC" w14:textId="77777777" w:rsidR="008E67EA" w:rsidRPr="009A0A25" w:rsidRDefault="008E67EA" w:rsidP="00B44A74">
            <w:pPr>
              <w:spacing w:line="280" w:lineRule="exact"/>
              <w:rPr>
                <w:rFonts w:cs="Arial"/>
                <w:sz w:val="20"/>
                <w:szCs w:val="20"/>
              </w:rPr>
            </w:pPr>
          </w:p>
        </w:tc>
      </w:tr>
      <w:tr w:rsidR="008E67EA" w:rsidRPr="002B5B5B" w14:paraId="38683E0B" w14:textId="77777777" w:rsidTr="00B44A74">
        <w:trPr>
          <w:jc w:val="center"/>
        </w:trPr>
        <w:tc>
          <w:tcPr>
            <w:tcW w:w="2415" w:type="dxa"/>
            <w:tcBorders>
              <w:top w:val="single" w:sz="4" w:space="0" w:color="auto"/>
              <w:left w:val="nil"/>
              <w:bottom w:val="single" w:sz="4" w:space="0" w:color="auto"/>
              <w:right w:val="nil"/>
            </w:tcBorders>
          </w:tcPr>
          <w:p w14:paraId="0E630CF6"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8F4F504" w14:textId="77777777" w:rsidR="008E67EA" w:rsidRPr="009A0A25" w:rsidRDefault="008E67EA" w:rsidP="00B44A74">
            <w:pPr>
              <w:spacing w:line="280" w:lineRule="exact"/>
              <w:rPr>
                <w:rFonts w:cs="Arial"/>
                <w:sz w:val="20"/>
                <w:szCs w:val="20"/>
              </w:rPr>
            </w:pPr>
          </w:p>
        </w:tc>
      </w:tr>
      <w:tr w:rsidR="008E67EA" w:rsidRPr="002B5B5B" w14:paraId="203B7A2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221108E" w14:textId="77777777" w:rsidR="008E67EA" w:rsidRPr="00F5215F" w:rsidRDefault="008E67EA" w:rsidP="00B44A74">
            <w:pPr>
              <w:spacing w:line="280" w:lineRule="exact"/>
              <w:rPr>
                <w:rFonts w:cs="Arial"/>
                <w:sz w:val="20"/>
                <w:szCs w:val="20"/>
              </w:rPr>
            </w:pPr>
            <w:r w:rsidRPr="00F5215F">
              <w:rPr>
                <w:rFonts w:cs="Arial"/>
                <w:sz w:val="20"/>
                <w:szCs w:val="20"/>
              </w:rPr>
              <w:t>Precautions:</w:t>
            </w:r>
          </w:p>
        </w:tc>
        <w:tc>
          <w:tcPr>
            <w:tcW w:w="7755" w:type="dxa"/>
            <w:tcBorders>
              <w:top w:val="single" w:sz="4" w:space="0" w:color="auto"/>
              <w:left w:val="single" w:sz="4" w:space="0" w:color="auto"/>
              <w:bottom w:val="single" w:sz="4" w:space="0" w:color="auto"/>
              <w:right w:val="single" w:sz="4" w:space="0" w:color="auto"/>
            </w:tcBorders>
          </w:tcPr>
          <w:p w14:paraId="1984C1EC" w14:textId="77777777" w:rsidR="008E67EA" w:rsidRPr="009A0A25" w:rsidRDefault="008E67EA" w:rsidP="00B44A74">
            <w:pPr>
              <w:spacing w:line="280" w:lineRule="exact"/>
              <w:rPr>
                <w:rFonts w:cs="Arial"/>
                <w:sz w:val="20"/>
                <w:szCs w:val="20"/>
              </w:rPr>
            </w:pPr>
            <w:r w:rsidRPr="009A0A25">
              <w:rPr>
                <w:rFonts w:cs="Arial"/>
                <w:sz w:val="20"/>
                <w:szCs w:val="20"/>
              </w:rPr>
              <w:t>PRECAUTIONS</w:t>
            </w:r>
          </w:p>
          <w:p w14:paraId="15104644" w14:textId="77777777" w:rsidR="008E67EA" w:rsidRPr="009A0A25" w:rsidRDefault="008E67EA" w:rsidP="00B44A74">
            <w:pPr>
              <w:spacing w:line="280" w:lineRule="exact"/>
              <w:rPr>
                <w:rFonts w:cs="Arial"/>
                <w:sz w:val="20"/>
                <w:szCs w:val="20"/>
              </w:rPr>
            </w:pPr>
            <w:r w:rsidRPr="009A0A25">
              <w:rPr>
                <w:rFonts w:cs="Arial"/>
                <w:sz w:val="20"/>
                <w:szCs w:val="20"/>
              </w:rPr>
              <w:t>Caution should be used when baiting near areas where hunting of wildlife may occur. Careful consideration of bait placement is necessary to avoid secondary exposure from contaminated wildlife that may be consumed.</w:t>
            </w:r>
          </w:p>
          <w:p w14:paraId="2C6455C7" w14:textId="77777777" w:rsidR="008E67EA" w:rsidRPr="009A0A25" w:rsidRDefault="008E67EA" w:rsidP="00B44A74">
            <w:pPr>
              <w:spacing w:line="280" w:lineRule="exact"/>
              <w:rPr>
                <w:rFonts w:cs="Arial"/>
                <w:sz w:val="20"/>
                <w:szCs w:val="20"/>
                <w:highlight w:val="yellow"/>
              </w:rPr>
            </w:pPr>
            <w:r w:rsidRPr="009A0A25">
              <w:rPr>
                <w:rFonts w:cs="Arial"/>
                <w:sz w:val="20"/>
                <w:szCs w:val="20"/>
              </w:rPr>
              <w:t>DO NOT place bait in areas where there is a possibility of contaminating food, livestock feed or surfaces that come in direct contact with food or livestock feed.</w:t>
            </w:r>
          </w:p>
        </w:tc>
      </w:tr>
      <w:tr w:rsidR="008E67EA" w:rsidRPr="002B5B5B" w14:paraId="263449F7" w14:textId="77777777" w:rsidTr="00B44A74">
        <w:trPr>
          <w:jc w:val="center"/>
        </w:trPr>
        <w:tc>
          <w:tcPr>
            <w:tcW w:w="2415" w:type="dxa"/>
            <w:tcBorders>
              <w:top w:val="single" w:sz="4" w:space="0" w:color="auto"/>
              <w:left w:val="nil"/>
              <w:bottom w:val="single" w:sz="4" w:space="0" w:color="auto"/>
              <w:right w:val="nil"/>
            </w:tcBorders>
          </w:tcPr>
          <w:p w14:paraId="24CAE3BF"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68FD03C" w14:textId="77777777" w:rsidR="008E67EA" w:rsidRPr="009A0A25" w:rsidRDefault="008E67EA" w:rsidP="00B44A74">
            <w:pPr>
              <w:spacing w:line="280" w:lineRule="exact"/>
              <w:rPr>
                <w:rFonts w:cs="Arial"/>
                <w:sz w:val="20"/>
                <w:szCs w:val="20"/>
              </w:rPr>
            </w:pPr>
          </w:p>
        </w:tc>
      </w:tr>
      <w:tr w:rsidR="008E67EA" w:rsidRPr="002B5B5B" w14:paraId="79421A2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F065D1A" w14:textId="77777777" w:rsidR="008E67EA" w:rsidRPr="00F5215F" w:rsidRDefault="008E67EA" w:rsidP="00B44A74">
            <w:pPr>
              <w:spacing w:line="280" w:lineRule="exact"/>
              <w:rPr>
                <w:rFonts w:cs="Arial"/>
                <w:sz w:val="20"/>
                <w:szCs w:val="20"/>
              </w:rPr>
            </w:pPr>
            <w:r w:rsidRPr="00F5215F">
              <w:rPr>
                <w:rFonts w:cs="Arial"/>
                <w:sz w:val="20"/>
                <w:szCs w:val="20"/>
              </w:rPr>
              <w:t>Protection Statements:</w:t>
            </w:r>
          </w:p>
        </w:tc>
        <w:tc>
          <w:tcPr>
            <w:tcW w:w="7755" w:type="dxa"/>
            <w:tcBorders>
              <w:top w:val="single" w:sz="4" w:space="0" w:color="auto"/>
              <w:left w:val="single" w:sz="4" w:space="0" w:color="auto"/>
              <w:bottom w:val="single" w:sz="4" w:space="0" w:color="auto"/>
              <w:right w:val="single" w:sz="4" w:space="0" w:color="auto"/>
            </w:tcBorders>
          </w:tcPr>
          <w:p w14:paraId="722E7626" w14:textId="77777777" w:rsidR="008E67EA" w:rsidRPr="009A0A25" w:rsidRDefault="008E67EA" w:rsidP="00B44A74">
            <w:pPr>
              <w:spacing w:line="280" w:lineRule="exact"/>
              <w:rPr>
                <w:rFonts w:cs="Arial"/>
                <w:sz w:val="20"/>
                <w:szCs w:val="20"/>
              </w:rPr>
            </w:pPr>
            <w:r w:rsidRPr="009A0A25">
              <w:rPr>
                <w:rFonts w:cs="Arial"/>
                <w:sz w:val="20"/>
                <w:szCs w:val="20"/>
              </w:rPr>
              <w:t>PROTECTION OF LIVESTOCK AND WILDLIFE</w:t>
            </w:r>
          </w:p>
          <w:p w14:paraId="7B77897C" w14:textId="77777777" w:rsidR="008E67EA" w:rsidRPr="009A0A25" w:rsidRDefault="008E67EA" w:rsidP="00B44A74">
            <w:pPr>
              <w:spacing w:line="280" w:lineRule="exact"/>
              <w:rPr>
                <w:rFonts w:cs="Arial"/>
                <w:sz w:val="20"/>
                <w:szCs w:val="20"/>
              </w:rPr>
            </w:pPr>
            <w:r w:rsidRPr="009A0A25">
              <w:rPr>
                <w:rFonts w:cs="Arial"/>
                <w:sz w:val="20"/>
                <w:szCs w:val="20"/>
              </w:rPr>
              <w:t>Hazardous to livestock, poultry and wildlife. DO NOT place baits in locations that are accessible to domestic animals, livestock, non-target native animals or birds.</w:t>
            </w:r>
          </w:p>
          <w:p w14:paraId="33E259A7" w14:textId="09D2FF1B" w:rsidR="008E67EA" w:rsidRPr="009A0A25" w:rsidRDefault="008E67EA" w:rsidP="00B44A74">
            <w:pPr>
              <w:spacing w:line="280" w:lineRule="exact"/>
              <w:rPr>
                <w:rFonts w:cs="Arial"/>
                <w:sz w:val="20"/>
                <w:szCs w:val="20"/>
              </w:rPr>
            </w:pPr>
            <w:r w:rsidRPr="009A0A25">
              <w:rPr>
                <w:rFonts w:cs="Arial"/>
                <w:sz w:val="20"/>
                <w:szCs w:val="20"/>
              </w:rPr>
              <w:t>Search for and dispose of dead rodents and slugs/snails in the infested area at each visit to prevent secondary poisoning. In case slugs/snails are present, move bait station to another location within the rodent infested site, away from slugs/snails. Dispose of slugs/snails in a way non-target animals are not exposed. Dispose of dead rodents and uneaten bait in compliance with local, state or territory government regulations.</w:t>
            </w:r>
          </w:p>
          <w:p w14:paraId="0D961C09" w14:textId="77777777" w:rsidR="008E67EA" w:rsidRPr="009A0A25" w:rsidRDefault="008E67EA" w:rsidP="00B44A74">
            <w:pPr>
              <w:spacing w:line="280" w:lineRule="exact"/>
              <w:rPr>
                <w:rFonts w:cs="Arial"/>
                <w:sz w:val="20"/>
                <w:szCs w:val="20"/>
              </w:rPr>
            </w:pPr>
            <w:r w:rsidRPr="009A0A25">
              <w:rPr>
                <w:rFonts w:cs="Arial"/>
                <w:sz w:val="20"/>
                <w:szCs w:val="20"/>
              </w:rPr>
              <w:t>DO NOT allow livestock or poultry to consume dead or moribund mice and rats. All dead or moribund animals and rodent faeces from baited rodents MUST be removed from areas accessible to livestock or poultry.</w:t>
            </w:r>
          </w:p>
          <w:p w14:paraId="52BE39DE" w14:textId="77777777" w:rsidR="008E67EA" w:rsidRDefault="008E67EA" w:rsidP="00B44A74">
            <w:pPr>
              <w:spacing w:line="280" w:lineRule="exact"/>
              <w:rPr>
                <w:rFonts w:cs="Arial"/>
                <w:sz w:val="20"/>
                <w:szCs w:val="20"/>
              </w:rPr>
            </w:pPr>
            <w:r w:rsidRPr="009A0A25">
              <w:rPr>
                <w:rFonts w:cs="Arial"/>
                <w:sz w:val="20"/>
                <w:szCs w:val="20"/>
              </w:rPr>
              <w:t>DO NOT use this product to control native animals</w:t>
            </w:r>
            <w:r>
              <w:rPr>
                <w:rFonts w:cs="Arial"/>
                <w:sz w:val="20"/>
                <w:szCs w:val="20"/>
              </w:rPr>
              <w:t>.</w:t>
            </w:r>
          </w:p>
          <w:p w14:paraId="66BEE71E" w14:textId="77777777" w:rsidR="008E67EA" w:rsidRPr="009A0A25" w:rsidRDefault="008E67EA" w:rsidP="00B44A74">
            <w:pPr>
              <w:spacing w:line="280" w:lineRule="exact"/>
              <w:rPr>
                <w:rFonts w:cs="Arial"/>
                <w:sz w:val="20"/>
                <w:szCs w:val="20"/>
              </w:rPr>
            </w:pPr>
          </w:p>
          <w:p w14:paraId="44B55233" w14:textId="77777777" w:rsidR="008E67EA" w:rsidRPr="009A0A25" w:rsidRDefault="008E67EA" w:rsidP="00B44A74">
            <w:pPr>
              <w:spacing w:line="280" w:lineRule="exact"/>
              <w:rPr>
                <w:rFonts w:cs="Arial"/>
                <w:sz w:val="20"/>
                <w:szCs w:val="20"/>
              </w:rPr>
            </w:pPr>
            <w:r w:rsidRPr="009A0A25">
              <w:rPr>
                <w:rFonts w:cs="Arial"/>
                <w:sz w:val="20"/>
                <w:szCs w:val="20"/>
              </w:rPr>
              <w:t>PROTECTION OF FISH, CRUSTACEANS AND ENVIRONMENT</w:t>
            </w:r>
          </w:p>
          <w:p w14:paraId="7B1F425E" w14:textId="354F0F54" w:rsidR="008E67EA" w:rsidRPr="009A0A25" w:rsidRDefault="008E67EA" w:rsidP="00B44A74">
            <w:pPr>
              <w:spacing w:line="280" w:lineRule="exact"/>
              <w:rPr>
                <w:rFonts w:cs="Arial"/>
                <w:sz w:val="20"/>
                <w:szCs w:val="20"/>
              </w:rPr>
            </w:pPr>
            <w:r w:rsidRPr="009A0A25">
              <w:rPr>
                <w:rFonts w:cs="Arial"/>
                <w:sz w:val="20"/>
                <w:szCs w:val="20"/>
              </w:rPr>
              <w:t>Very toxic to aquatic life. DO NOT contaminate wetlands or watercourses with this product or used containers. Place the bait stations in areas not liable to flooding. When placing bait stations close to water drainage systems, ensure that bait contact with water is avoided.</w:t>
            </w:r>
          </w:p>
        </w:tc>
      </w:tr>
      <w:tr w:rsidR="008E67EA" w:rsidRPr="002B5B5B" w14:paraId="10089BA7" w14:textId="77777777" w:rsidTr="00B44A74">
        <w:trPr>
          <w:jc w:val="center"/>
        </w:trPr>
        <w:tc>
          <w:tcPr>
            <w:tcW w:w="2415" w:type="dxa"/>
            <w:tcBorders>
              <w:top w:val="single" w:sz="4" w:space="0" w:color="auto"/>
              <w:left w:val="nil"/>
              <w:bottom w:val="single" w:sz="4" w:space="0" w:color="auto"/>
              <w:right w:val="nil"/>
            </w:tcBorders>
          </w:tcPr>
          <w:p w14:paraId="77F2AD92"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3F9C508" w14:textId="77777777" w:rsidR="008E67EA" w:rsidRPr="009A0A25" w:rsidRDefault="008E67EA" w:rsidP="00B44A74">
            <w:pPr>
              <w:spacing w:line="280" w:lineRule="exact"/>
              <w:rPr>
                <w:rFonts w:cs="Arial"/>
                <w:sz w:val="20"/>
                <w:szCs w:val="20"/>
              </w:rPr>
            </w:pPr>
          </w:p>
        </w:tc>
      </w:tr>
      <w:tr w:rsidR="008E67EA" w:rsidRPr="002B5B5B" w14:paraId="749D624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547FDAE" w14:textId="77777777" w:rsidR="008E67EA" w:rsidRPr="00F5215F" w:rsidRDefault="008E67EA" w:rsidP="00B44A74">
            <w:pPr>
              <w:spacing w:line="280" w:lineRule="exact"/>
              <w:rPr>
                <w:rFonts w:cs="Arial"/>
                <w:sz w:val="20"/>
                <w:szCs w:val="20"/>
              </w:rPr>
            </w:pPr>
            <w:r w:rsidRPr="00F5215F">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25DBD5E7" w14:textId="77777777" w:rsidR="008E67EA" w:rsidRPr="00BA74F4" w:rsidRDefault="008E67EA" w:rsidP="00B44A74">
            <w:pPr>
              <w:spacing w:line="280" w:lineRule="exact"/>
              <w:rPr>
                <w:rFonts w:cs="Arial"/>
                <w:sz w:val="20"/>
                <w:szCs w:val="20"/>
              </w:rPr>
            </w:pPr>
            <w:r w:rsidRPr="00BA74F4">
              <w:rPr>
                <w:rFonts w:cs="Arial"/>
                <w:sz w:val="20"/>
                <w:szCs w:val="20"/>
              </w:rPr>
              <w:t>STORAGE AND DISPOSAL</w:t>
            </w:r>
          </w:p>
          <w:p w14:paraId="7DA9C2A6" w14:textId="77777777" w:rsidR="008E67EA" w:rsidRPr="00BA74F4" w:rsidRDefault="008E67EA" w:rsidP="00B44A74">
            <w:pPr>
              <w:spacing w:line="280" w:lineRule="exact"/>
              <w:rPr>
                <w:rFonts w:cs="Arial"/>
                <w:sz w:val="20"/>
                <w:szCs w:val="20"/>
              </w:rPr>
            </w:pPr>
            <w:r w:rsidRPr="00BA74F4">
              <w:rPr>
                <w:rFonts w:cs="Arial"/>
                <w:sz w:val="20"/>
                <w:szCs w:val="20"/>
              </w:rPr>
              <w:t xml:space="preserve">Store in original container, tightly closed, in a safe place. Triple rinse containers before disposal. Break, crush or puncture and deliver empty packaging to an approved waste management facility. If an approved waste management facility is not available, dispose of empty packaging in compliance with relevant local, state or territory government regulations. </w:t>
            </w:r>
            <w:r w:rsidRPr="00BA74F4">
              <w:rPr>
                <w:rFonts w:cs="Arial"/>
                <w:sz w:val="20"/>
                <w:szCs w:val="20"/>
                <w:bdr w:val="none" w:sz="0" w:space="0" w:color="auto" w:frame="1"/>
                <w:lang w:val="en-GB" w:eastAsia="en-AU"/>
              </w:rPr>
              <w:t xml:space="preserve">Dispose of unused product in compliance with relevant local, state or territory government regulations. </w:t>
            </w:r>
            <w:r w:rsidRPr="00BA74F4">
              <w:rPr>
                <w:rFonts w:cs="Arial"/>
                <w:sz w:val="20"/>
                <w:szCs w:val="20"/>
              </w:rPr>
              <w:t>DO NOT burn empty containers or product.</w:t>
            </w:r>
          </w:p>
        </w:tc>
      </w:tr>
      <w:tr w:rsidR="008E67EA" w:rsidRPr="002B5B5B" w14:paraId="02656EFE" w14:textId="77777777" w:rsidTr="00B44A74">
        <w:trPr>
          <w:jc w:val="center"/>
        </w:trPr>
        <w:tc>
          <w:tcPr>
            <w:tcW w:w="2415" w:type="dxa"/>
            <w:tcBorders>
              <w:top w:val="single" w:sz="4" w:space="0" w:color="auto"/>
              <w:left w:val="nil"/>
              <w:bottom w:val="single" w:sz="4" w:space="0" w:color="auto"/>
              <w:right w:val="nil"/>
            </w:tcBorders>
          </w:tcPr>
          <w:p w14:paraId="54D0F186"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ECE7B84" w14:textId="77777777" w:rsidR="008E67EA" w:rsidRPr="009A0A25" w:rsidRDefault="008E67EA" w:rsidP="00B44A74">
            <w:pPr>
              <w:spacing w:line="280" w:lineRule="exact"/>
              <w:rPr>
                <w:rFonts w:cs="Arial"/>
                <w:sz w:val="20"/>
                <w:szCs w:val="20"/>
              </w:rPr>
            </w:pPr>
          </w:p>
        </w:tc>
      </w:tr>
      <w:tr w:rsidR="008E67EA" w:rsidRPr="002B5B5B" w14:paraId="285AF23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85FB974" w14:textId="77777777" w:rsidR="008E67EA" w:rsidRPr="00F5215F" w:rsidRDefault="008E67EA" w:rsidP="00B44A74">
            <w:pPr>
              <w:spacing w:line="280" w:lineRule="exact"/>
              <w:rPr>
                <w:rFonts w:cs="Arial"/>
                <w:sz w:val="20"/>
                <w:szCs w:val="20"/>
              </w:rPr>
            </w:pPr>
            <w:r w:rsidRPr="00F5215F">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5B5A4CF1" w14:textId="77777777" w:rsidR="008E67EA" w:rsidRDefault="008E67EA" w:rsidP="00B44A74">
            <w:pPr>
              <w:spacing w:line="280" w:lineRule="exact"/>
              <w:rPr>
                <w:rFonts w:cs="Arial"/>
                <w:sz w:val="20"/>
                <w:szCs w:val="20"/>
              </w:rPr>
            </w:pPr>
            <w:r>
              <w:rPr>
                <w:rFonts w:cs="Arial"/>
                <w:sz w:val="20"/>
                <w:szCs w:val="20"/>
              </w:rPr>
              <w:t>SAFETY DIRECTIONS</w:t>
            </w:r>
          </w:p>
          <w:p w14:paraId="3246940E" w14:textId="77777777" w:rsidR="008E67EA" w:rsidRDefault="008E67EA" w:rsidP="00B44A74">
            <w:pPr>
              <w:spacing w:line="280" w:lineRule="exact"/>
              <w:rPr>
                <w:rFonts w:cs="Arial"/>
                <w:sz w:val="20"/>
                <w:szCs w:val="20"/>
              </w:rPr>
            </w:pPr>
            <w:r w:rsidRPr="009A0A25">
              <w:rPr>
                <w:rFonts w:cs="Arial"/>
                <w:sz w:val="20"/>
                <w:szCs w:val="20"/>
              </w:rPr>
              <w:t>Repeated minor exposure may have a cumulative poisoning effect. May irritate the eyes. Avoid contact with eyes and skin.</w:t>
            </w:r>
            <w:r>
              <w:rPr>
                <w:rFonts w:cs="Arial"/>
                <w:sz w:val="20"/>
                <w:szCs w:val="20"/>
              </w:rPr>
              <w:t xml:space="preserve"> </w:t>
            </w:r>
            <w:r w:rsidRPr="009A0A25">
              <w:rPr>
                <w:rFonts w:cs="Arial"/>
                <w:sz w:val="20"/>
                <w:szCs w:val="20"/>
              </w:rPr>
              <w:t>Do not inhale dust. Do not touch bait, use scoop or measure. When using the product wear disposable gloves. If on skin and after each baiting, wash thoroughly with soap and water.</w:t>
            </w:r>
          </w:p>
          <w:p w14:paraId="58AAB7D3" w14:textId="77777777" w:rsidR="008E67EA" w:rsidRPr="00406376" w:rsidRDefault="008E67EA" w:rsidP="00B44A74">
            <w:pPr>
              <w:spacing w:after="120" w:line="280" w:lineRule="exact"/>
              <w:rPr>
                <w:rFonts w:cs="Arial"/>
                <w:sz w:val="20"/>
                <w:szCs w:val="20"/>
                <w:bdr w:val="none" w:sz="0" w:space="0" w:color="auto" w:frame="1"/>
                <w:lang w:val="en-GB" w:eastAsia="en-AU"/>
              </w:rPr>
            </w:pPr>
            <w:r w:rsidRPr="00D42DB3">
              <w:rPr>
                <w:rFonts w:cs="Arial"/>
                <w:sz w:val="20"/>
                <w:szCs w:val="20"/>
                <w:bdr w:val="none" w:sz="0" w:space="0" w:color="auto" w:frame="1"/>
                <w:lang w:val="en-GB" w:eastAsia="en-AU"/>
              </w:rPr>
              <w:t>During cleanup and disposal operations of bait and bait stations, wear a single layer of clothing and disposable gloves. Wear disposable gloves when handling rodent carcasses. Wash clothes after performing re-handling activities.</w:t>
            </w:r>
          </w:p>
        </w:tc>
      </w:tr>
      <w:tr w:rsidR="008E67EA" w:rsidRPr="002B5B5B" w14:paraId="0EF7199E" w14:textId="77777777" w:rsidTr="00B44A74">
        <w:trPr>
          <w:jc w:val="center"/>
        </w:trPr>
        <w:tc>
          <w:tcPr>
            <w:tcW w:w="2415" w:type="dxa"/>
            <w:tcBorders>
              <w:top w:val="single" w:sz="4" w:space="0" w:color="auto"/>
              <w:left w:val="nil"/>
              <w:bottom w:val="single" w:sz="4" w:space="0" w:color="auto"/>
              <w:right w:val="nil"/>
            </w:tcBorders>
          </w:tcPr>
          <w:p w14:paraId="440B1CA5"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956B8A9" w14:textId="77777777" w:rsidR="008E67EA" w:rsidRPr="009A0A25" w:rsidRDefault="008E67EA" w:rsidP="00B44A74">
            <w:pPr>
              <w:spacing w:line="280" w:lineRule="exact"/>
              <w:rPr>
                <w:rFonts w:cs="Arial"/>
                <w:sz w:val="20"/>
                <w:szCs w:val="20"/>
              </w:rPr>
            </w:pPr>
          </w:p>
        </w:tc>
      </w:tr>
      <w:tr w:rsidR="008E67EA" w:rsidRPr="002B5B5B" w14:paraId="2ECBDD4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89E7D5E" w14:textId="77777777" w:rsidR="008E67EA" w:rsidRPr="00F5215F" w:rsidRDefault="008E67EA" w:rsidP="00B44A74">
            <w:pPr>
              <w:spacing w:line="280" w:lineRule="exact"/>
              <w:rPr>
                <w:rFonts w:cs="Arial"/>
                <w:sz w:val="20"/>
                <w:szCs w:val="20"/>
              </w:rPr>
            </w:pPr>
            <w:r w:rsidRPr="00F5215F">
              <w:rPr>
                <w:rFonts w:cs="Arial"/>
                <w:sz w:val="20"/>
                <w:szCs w:val="20"/>
              </w:rPr>
              <w:t>First Aid Instructions:</w:t>
            </w:r>
          </w:p>
        </w:tc>
        <w:tc>
          <w:tcPr>
            <w:tcW w:w="7755" w:type="dxa"/>
            <w:tcBorders>
              <w:top w:val="single" w:sz="4" w:space="0" w:color="auto"/>
              <w:left w:val="single" w:sz="4" w:space="0" w:color="auto"/>
              <w:bottom w:val="single" w:sz="4" w:space="0" w:color="auto"/>
              <w:right w:val="single" w:sz="4" w:space="0" w:color="auto"/>
            </w:tcBorders>
          </w:tcPr>
          <w:p w14:paraId="333C571E" w14:textId="77777777" w:rsidR="008E67EA" w:rsidRDefault="008E67EA" w:rsidP="00B44A74">
            <w:pPr>
              <w:spacing w:line="280" w:lineRule="exact"/>
              <w:rPr>
                <w:rFonts w:cs="Arial"/>
                <w:sz w:val="20"/>
                <w:szCs w:val="20"/>
              </w:rPr>
            </w:pPr>
            <w:r>
              <w:rPr>
                <w:rFonts w:cs="Arial"/>
                <w:sz w:val="20"/>
                <w:szCs w:val="20"/>
              </w:rPr>
              <w:t>FIRST AID</w:t>
            </w:r>
          </w:p>
          <w:p w14:paraId="2CE6D6D1" w14:textId="77777777" w:rsidR="008E67EA" w:rsidRPr="009A0A25" w:rsidRDefault="008E67EA" w:rsidP="00B44A74">
            <w:pPr>
              <w:spacing w:line="280" w:lineRule="exact"/>
              <w:rPr>
                <w:rFonts w:cs="Arial"/>
                <w:sz w:val="20"/>
                <w:szCs w:val="20"/>
              </w:rPr>
            </w:pPr>
            <w:r w:rsidRPr="009A0A25">
              <w:rPr>
                <w:rFonts w:cs="Arial"/>
                <w:sz w:val="20"/>
                <w:szCs w:val="20"/>
              </w:rPr>
              <w:t>If poisoning occurs, contact a doctor or Poisons Information Centre. Phone Australia 13 11 26, New Zealand 0800 764 766. Vitamin K1 (Phytomenadione) is antidotal.</w:t>
            </w:r>
          </w:p>
        </w:tc>
      </w:tr>
      <w:tr w:rsidR="008E67EA" w:rsidRPr="002B5B5B" w14:paraId="448D9A91" w14:textId="77777777" w:rsidTr="00B44A74">
        <w:trPr>
          <w:jc w:val="center"/>
        </w:trPr>
        <w:tc>
          <w:tcPr>
            <w:tcW w:w="2415" w:type="dxa"/>
            <w:tcBorders>
              <w:top w:val="single" w:sz="4" w:space="0" w:color="auto"/>
              <w:left w:val="nil"/>
              <w:bottom w:val="single" w:sz="4" w:space="0" w:color="auto"/>
              <w:right w:val="nil"/>
            </w:tcBorders>
          </w:tcPr>
          <w:p w14:paraId="5DF3CB79"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CD1B805" w14:textId="77777777" w:rsidR="008E67EA" w:rsidRPr="009A0A25" w:rsidRDefault="008E67EA" w:rsidP="00B44A74">
            <w:pPr>
              <w:spacing w:line="280" w:lineRule="exact"/>
              <w:rPr>
                <w:rFonts w:cs="Arial"/>
                <w:sz w:val="20"/>
                <w:szCs w:val="20"/>
              </w:rPr>
            </w:pPr>
          </w:p>
        </w:tc>
      </w:tr>
      <w:tr w:rsidR="008E67EA" w:rsidRPr="002B5B5B" w14:paraId="323D2C7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76F852B" w14:textId="77777777" w:rsidR="008E67EA" w:rsidRPr="00F5215F" w:rsidRDefault="008E67EA" w:rsidP="00B44A74">
            <w:pPr>
              <w:spacing w:line="280" w:lineRule="exact"/>
              <w:rPr>
                <w:rFonts w:cs="Arial"/>
                <w:sz w:val="20"/>
                <w:szCs w:val="20"/>
              </w:rPr>
            </w:pPr>
            <w:r w:rsidRPr="00F5215F">
              <w:rPr>
                <w:rFonts w:cs="Arial"/>
                <w:sz w:val="20"/>
                <w:szCs w:val="20"/>
              </w:rPr>
              <w:t>First Aid Warnings:</w:t>
            </w:r>
          </w:p>
        </w:tc>
        <w:tc>
          <w:tcPr>
            <w:tcW w:w="7755" w:type="dxa"/>
            <w:tcBorders>
              <w:top w:val="single" w:sz="4" w:space="0" w:color="auto"/>
              <w:left w:val="single" w:sz="4" w:space="0" w:color="auto"/>
              <w:bottom w:val="single" w:sz="4" w:space="0" w:color="auto"/>
              <w:right w:val="single" w:sz="4" w:space="0" w:color="auto"/>
            </w:tcBorders>
          </w:tcPr>
          <w:p w14:paraId="5C5489F4" w14:textId="77777777" w:rsidR="008E67EA" w:rsidRPr="009A0A25" w:rsidRDefault="008E67EA" w:rsidP="00B44A74">
            <w:pPr>
              <w:spacing w:line="280" w:lineRule="exact"/>
              <w:rPr>
                <w:rFonts w:cs="Arial"/>
                <w:sz w:val="20"/>
                <w:szCs w:val="20"/>
              </w:rPr>
            </w:pPr>
          </w:p>
        </w:tc>
      </w:tr>
    </w:tbl>
    <w:p w14:paraId="6FE05887" w14:textId="77777777" w:rsidR="008E67EA" w:rsidRDefault="008E67EA" w:rsidP="008E67EA"/>
    <w:p w14:paraId="0CB117D3" w14:textId="77777777" w:rsidR="008E67EA" w:rsidRPr="00FF36BF" w:rsidRDefault="008E67EA" w:rsidP="008E67EA">
      <w:pPr>
        <w:spacing w:line="280" w:lineRule="exact"/>
        <w:rPr>
          <w:rFonts w:cs="Arial"/>
          <w:b/>
          <w:bCs/>
          <w:sz w:val="20"/>
          <w:szCs w:val="20"/>
        </w:rPr>
      </w:pPr>
      <w:r w:rsidRPr="00FF36BF">
        <w:rPr>
          <w:rFonts w:cs="Arial"/>
          <w:b/>
          <w:bCs/>
          <w:sz w:val="20"/>
          <w:szCs w:val="20"/>
        </w:rPr>
        <w:t>DIRECTIONS FOR USE</w:t>
      </w:r>
    </w:p>
    <w:tbl>
      <w:tblPr>
        <w:tblStyle w:val="TableGrid"/>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276"/>
        <w:gridCol w:w="3613"/>
      </w:tblGrid>
      <w:tr w:rsidR="008E67EA" w:rsidRPr="00A27FD2" w14:paraId="190765F9" w14:textId="77777777" w:rsidTr="009C4F64">
        <w:trPr>
          <w:trHeight w:val="340"/>
        </w:trPr>
        <w:tc>
          <w:tcPr>
            <w:tcW w:w="1701" w:type="dxa"/>
          </w:tcPr>
          <w:p w14:paraId="00EBB8F9" w14:textId="77777777" w:rsidR="008E67EA" w:rsidRPr="00382A84" w:rsidRDefault="008E67EA" w:rsidP="00B44A74">
            <w:pPr>
              <w:spacing w:line="280" w:lineRule="exact"/>
              <w:rPr>
                <w:rFonts w:cs="Arial"/>
                <w:b/>
                <w:bCs/>
                <w:szCs w:val="18"/>
              </w:rPr>
            </w:pPr>
            <w:r>
              <w:rPr>
                <w:rFonts w:cs="Arial"/>
                <w:b/>
                <w:bCs/>
                <w:szCs w:val="18"/>
              </w:rPr>
              <w:t>PEST</w:t>
            </w:r>
          </w:p>
        </w:tc>
        <w:tc>
          <w:tcPr>
            <w:tcW w:w="2410" w:type="dxa"/>
          </w:tcPr>
          <w:p w14:paraId="6E23C839" w14:textId="77777777" w:rsidR="008E67EA" w:rsidRPr="00382A84" w:rsidRDefault="008E67EA" w:rsidP="00B44A74">
            <w:pPr>
              <w:spacing w:line="280" w:lineRule="exact"/>
              <w:rPr>
                <w:rFonts w:cs="Arial"/>
                <w:b/>
                <w:bCs/>
                <w:szCs w:val="18"/>
              </w:rPr>
            </w:pPr>
            <w:r>
              <w:rPr>
                <w:rFonts w:cs="Arial"/>
                <w:b/>
                <w:bCs/>
                <w:szCs w:val="18"/>
              </w:rPr>
              <w:t>SITUATION</w:t>
            </w:r>
          </w:p>
        </w:tc>
        <w:tc>
          <w:tcPr>
            <w:tcW w:w="1276" w:type="dxa"/>
          </w:tcPr>
          <w:p w14:paraId="6DC53382" w14:textId="77777777" w:rsidR="008E67EA" w:rsidRPr="00382A84" w:rsidRDefault="008E67EA" w:rsidP="00B44A74">
            <w:pPr>
              <w:spacing w:line="280" w:lineRule="exact"/>
              <w:rPr>
                <w:rFonts w:cs="Arial"/>
                <w:b/>
                <w:bCs/>
                <w:szCs w:val="18"/>
              </w:rPr>
            </w:pPr>
            <w:r w:rsidRPr="00382A84">
              <w:rPr>
                <w:rFonts w:cs="Arial"/>
                <w:b/>
                <w:bCs/>
                <w:szCs w:val="18"/>
              </w:rPr>
              <w:t>RATE</w:t>
            </w:r>
          </w:p>
        </w:tc>
        <w:tc>
          <w:tcPr>
            <w:tcW w:w="3613" w:type="dxa"/>
          </w:tcPr>
          <w:p w14:paraId="4155F0E5" w14:textId="77777777" w:rsidR="008E67EA" w:rsidRPr="00382A84" w:rsidRDefault="008E67EA" w:rsidP="00B44A74">
            <w:pPr>
              <w:spacing w:line="280" w:lineRule="exact"/>
              <w:rPr>
                <w:rFonts w:cs="Arial"/>
                <w:b/>
                <w:bCs/>
                <w:szCs w:val="18"/>
              </w:rPr>
            </w:pPr>
            <w:r w:rsidRPr="00382A84">
              <w:rPr>
                <w:rFonts w:cs="Arial"/>
                <w:b/>
                <w:bCs/>
                <w:szCs w:val="18"/>
              </w:rPr>
              <w:t>CRITICAL COMMENTS</w:t>
            </w:r>
          </w:p>
        </w:tc>
      </w:tr>
      <w:tr w:rsidR="008E67EA" w:rsidRPr="00A27FD2" w14:paraId="747F0293" w14:textId="77777777" w:rsidTr="009C4F64">
        <w:trPr>
          <w:trHeight w:val="841"/>
        </w:trPr>
        <w:tc>
          <w:tcPr>
            <w:tcW w:w="1701" w:type="dxa"/>
          </w:tcPr>
          <w:p w14:paraId="4BDFC0B2" w14:textId="77777777" w:rsidR="008E67EA" w:rsidRPr="00382A84" w:rsidRDefault="008E67EA" w:rsidP="00B44A74">
            <w:pPr>
              <w:spacing w:after="120" w:line="240" w:lineRule="exact"/>
              <w:rPr>
                <w:rFonts w:cs="Arial"/>
                <w:bCs/>
                <w:spacing w:val="-2"/>
                <w:w w:val="105"/>
                <w:szCs w:val="18"/>
              </w:rPr>
            </w:pPr>
            <w:r w:rsidRPr="00382A84">
              <w:rPr>
                <w:rFonts w:cs="Arial"/>
                <w:bCs/>
                <w:spacing w:val="-2"/>
                <w:w w:val="105"/>
                <w:szCs w:val="18"/>
              </w:rPr>
              <w:t>Mice</w:t>
            </w:r>
          </w:p>
        </w:tc>
        <w:tc>
          <w:tcPr>
            <w:tcW w:w="2410" w:type="dxa"/>
          </w:tcPr>
          <w:p w14:paraId="61F05231" w14:textId="77777777" w:rsidR="008E67EA" w:rsidRPr="00382A84" w:rsidRDefault="008E67EA" w:rsidP="00B44A74">
            <w:pPr>
              <w:spacing w:after="120" w:line="240" w:lineRule="exact"/>
              <w:rPr>
                <w:rFonts w:cs="Arial"/>
                <w:bCs/>
                <w:spacing w:val="-2"/>
                <w:w w:val="105"/>
                <w:szCs w:val="18"/>
              </w:rPr>
            </w:pPr>
            <w:r>
              <w:rPr>
                <w:rFonts w:cs="Arial"/>
                <w:bCs/>
                <w:spacing w:val="-2"/>
                <w:w w:val="105"/>
                <w:szCs w:val="18"/>
              </w:rPr>
              <w:t xml:space="preserve">In </w:t>
            </w:r>
            <w:r w:rsidRPr="00B519F7">
              <w:rPr>
                <w:rFonts w:cs="Arial"/>
                <w:bCs/>
                <w:spacing w:val="-2"/>
                <w:w w:val="105"/>
                <w:szCs w:val="18"/>
              </w:rPr>
              <w:t>industrial,</w:t>
            </w:r>
            <w:r>
              <w:rPr>
                <w:rFonts w:cs="Arial"/>
                <w:bCs/>
                <w:spacing w:val="-2"/>
                <w:w w:val="105"/>
                <w:szCs w:val="18"/>
              </w:rPr>
              <w:t xml:space="preserve"> </w:t>
            </w:r>
            <w:r w:rsidRPr="00B519F7">
              <w:rPr>
                <w:rFonts w:cs="Arial"/>
                <w:bCs/>
                <w:spacing w:val="-2"/>
                <w:w w:val="105"/>
                <w:szCs w:val="18"/>
              </w:rPr>
              <w:t>commercial, public</w:t>
            </w:r>
            <w:r>
              <w:rPr>
                <w:rFonts w:cs="Arial"/>
                <w:bCs/>
                <w:spacing w:val="-2"/>
                <w:w w:val="105"/>
                <w:szCs w:val="18"/>
              </w:rPr>
              <w:t xml:space="preserve"> </w:t>
            </w:r>
            <w:r w:rsidRPr="00B519F7">
              <w:rPr>
                <w:rFonts w:cs="Arial"/>
                <w:bCs/>
                <w:spacing w:val="-2"/>
                <w:w w:val="105"/>
                <w:szCs w:val="18"/>
              </w:rPr>
              <w:t>services, domestic</w:t>
            </w:r>
            <w:r>
              <w:rPr>
                <w:rFonts w:cs="Arial"/>
                <w:bCs/>
                <w:spacing w:val="-2"/>
                <w:w w:val="105"/>
                <w:szCs w:val="18"/>
              </w:rPr>
              <w:t xml:space="preserve"> </w:t>
            </w:r>
            <w:r w:rsidRPr="00B519F7">
              <w:rPr>
                <w:rFonts w:cs="Arial"/>
                <w:bCs/>
                <w:spacing w:val="-2"/>
                <w:w w:val="105"/>
                <w:szCs w:val="18"/>
              </w:rPr>
              <w:t>and agricultural</w:t>
            </w:r>
            <w:r>
              <w:rPr>
                <w:rFonts w:cs="Arial"/>
                <w:bCs/>
                <w:spacing w:val="-2"/>
                <w:w w:val="105"/>
                <w:szCs w:val="18"/>
              </w:rPr>
              <w:t xml:space="preserve"> </w:t>
            </w:r>
            <w:r w:rsidRPr="00B519F7">
              <w:rPr>
                <w:rFonts w:cs="Arial"/>
                <w:bCs/>
                <w:spacing w:val="-2"/>
                <w:w w:val="105"/>
                <w:szCs w:val="18"/>
              </w:rPr>
              <w:t>buildings</w:t>
            </w:r>
            <w:r>
              <w:rPr>
                <w:rFonts w:cs="Arial"/>
                <w:bCs/>
                <w:spacing w:val="-2"/>
                <w:w w:val="105"/>
                <w:szCs w:val="18"/>
              </w:rPr>
              <w:t xml:space="preserve"> </w:t>
            </w:r>
            <w:r w:rsidRPr="00B519F7">
              <w:rPr>
                <w:rFonts w:cs="Arial"/>
                <w:bCs/>
                <w:spacing w:val="-2"/>
                <w:w w:val="105"/>
                <w:szCs w:val="18"/>
              </w:rPr>
              <w:t>(machinery sheds,</w:t>
            </w:r>
            <w:r>
              <w:rPr>
                <w:rFonts w:cs="Arial"/>
                <w:bCs/>
                <w:spacing w:val="-2"/>
                <w:w w:val="105"/>
                <w:szCs w:val="18"/>
              </w:rPr>
              <w:t xml:space="preserve"> </w:t>
            </w:r>
            <w:r w:rsidRPr="00B519F7">
              <w:rPr>
                <w:rFonts w:cs="Arial"/>
                <w:bCs/>
                <w:spacing w:val="-2"/>
                <w:w w:val="105"/>
                <w:szCs w:val="18"/>
              </w:rPr>
              <w:t>etc.)</w:t>
            </w:r>
          </w:p>
        </w:tc>
        <w:tc>
          <w:tcPr>
            <w:tcW w:w="1276" w:type="dxa"/>
          </w:tcPr>
          <w:p w14:paraId="5B8E005C" w14:textId="77777777" w:rsidR="008E67EA" w:rsidRPr="00382A84" w:rsidRDefault="008E67EA" w:rsidP="00B44A74">
            <w:pPr>
              <w:spacing w:after="120" w:line="240" w:lineRule="exact"/>
              <w:rPr>
                <w:rFonts w:cs="Arial"/>
                <w:bCs/>
                <w:spacing w:val="-2"/>
                <w:w w:val="105"/>
                <w:szCs w:val="18"/>
              </w:rPr>
            </w:pPr>
            <w:r w:rsidRPr="00382A84">
              <w:rPr>
                <w:rFonts w:cs="Arial"/>
                <w:bCs/>
                <w:spacing w:val="-2"/>
                <w:w w:val="105"/>
                <w:szCs w:val="18"/>
              </w:rPr>
              <w:t>[As per current approved label]</w:t>
            </w:r>
          </w:p>
        </w:tc>
        <w:tc>
          <w:tcPr>
            <w:tcW w:w="3613" w:type="dxa"/>
          </w:tcPr>
          <w:p w14:paraId="71B0AC1A" w14:textId="2C79C4EA" w:rsidR="008E67EA" w:rsidRDefault="008E67EA" w:rsidP="00B44A74">
            <w:pPr>
              <w:spacing w:after="120" w:line="240" w:lineRule="exact"/>
              <w:rPr>
                <w:rFonts w:cs="Arial"/>
                <w:bCs/>
                <w:spacing w:val="-2"/>
                <w:w w:val="105"/>
                <w:szCs w:val="18"/>
              </w:rPr>
            </w:pPr>
            <w:r w:rsidRPr="00FF616F">
              <w:rPr>
                <w:rFonts w:cs="Arial"/>
                <w:bCs/>
                <w:spacing w:val="-2"/>
                <w:w w:val="105"/>
                <w:szCs w:val="18"/>
              </w:rPr>
              <w:t>Explore the site and locate runs, nests,</w:t>
            </w:r>
            <w:r>
              <w:rPr>
                <w:rFonts w:cs="Arial"/>
                <w:bCs/>
                <w:spacing w:val="-2"/>
                <w:w w:val="105"/>
                <w:szCs w:val="18"/>
              </w:rPr>
              <w:t xml:space="preserve"> </w:t>
            </w:r>
            <w:r w:rsidRPr="00FF616F">
              <w:rPr>
                <w:rFonts w:cs="Arial"/>
                <w:bCs/>
                <w:spacing w:val="-2"/>
                <w:w w:val="105"/>
                <w:szCs w:val="18"/>
              </w:rPr>
              <w:t>droppings and signs of damage.</w:t>
            </w:r>
          </w:p>
          <w:p w14:paraId="21C743C1" w14:textId="77777777" w:rsidR="008E67EA" w:rsidRPr="00382A84" w:rsidRDefault="008E67EA" w:rsidP="00B44A74">
            <w:pPr>
              <w:spacing w:after="120" w:line="240" w:lineRule="exact"/>
              <w:rPr>
                <w:rFonts w:cs="Arial"/>
                <w:bCs/>
                <w:spacing w:val="-2"/>
                <w:w w:val="105"/>
                <w:szCs w:val="18"/>
              </w:rPr>
            </w:pPr>
            <w:r w:rsidRPr="00382A84">
              <w:rPr>
                <w:rFonts w:cs="Arial"/>
                <w:bCs/>
                <w:spacing w:val="-2"/>
                <w:w w:val="105"/>
                <w:szCs w:val="18"/>
              </w:rPr>
              <w:t>Place bait stations in infested area</w:t>
            </w:r>
            <w:r>
              <w:rPr>
                <w:rFonts w:cs="Arial"/>
                <w:bCs/>
                <w:spacing w:val="-2"/>
                <w:w w:val="105"/>
                <w:szCs w:val="18"/>
              </w:rPr>
              <w:t xml:space="preserve">. </w:t>
            </w:r>
            <w:r w:rsidRPr="00B519F7">
              <w:rPr>
                <w:rFonts w:cs="Arial"/>
                <w:bCs/>
                <w:spacing w:val="-2"/>
                <w:w w:val="105"/>
                <w:szCs w:val="18"/>
              </w:rPr>
              <w:t>As mice are sporadic feeders use many bait points, not more than 3m apart.</w:t>
            </w:r>
          </w:p>
        </w:tc>
      </w:tr>
      <w:tr w:rsidR="008E67EA" w:rsidRPr="00A27FD2" w14:paraId="1F409472" w14:textId="77777777" w:rsidTr="009C4F64">
        <w:trPr>
          <w:trHeight w:val="841"/>
        </w:trPr>
        <w:tc>
          <w:tcPr>
            <w:tcW w:w="1701" w:type="dxa"/>
          </w:tcPr>
          <w:p w14:paraId="4792BBD6" w14:textId="77777777" w:rsidR="008E67EA" w:rsidRPr="00382A84" w:rsidRDefault="008E67EA" w:rsidP="00B44A74">
            <w:pPr>
              <w:spacing w:after="120" w:line="240" w:lineRule="exact"/>
              <w:rPr>
                <w:rFonts w:cs="Arial"/>
                <w:bCs/>
                <w:spacing w:val="-2"/>
                <w:w w:val="105"/>
                <w:szCs w:val="18"/>
              </w:rPr>
            </w:pPr>
            <w:r w:rsidRPr="00382A84">
              <w:rPr>
                <w:rFonts w:cs="Arial"/>
                <w:bCs/>
                <w:spacing w:val="-2"/>
                <w:w w:val="105"/>
                <w:szCs w:val="18"/>
              </w:rPr>
              <w:t xml:space="preserve">Brown or Norway rat </w:t>
            </w:r>
            <w:r w:rsidRPr="00382A84">
              <w:rPr>
                <w:rFonts w:cs="Arial"/>
                <w:bCs/>
                <w:i/>
                <w:iCs/>
                <w:spacing w:val="-2"/>
                <w:w w:val="105"/>
                <w:szCs w:val="18"/>
              </w:rPr>
              <w:t>(Rattus norvegicus)</w:t>
            </w:r>
          </w:p>
        </w:tc>
        <w:tc>
          <w:tcPr>
            <w:tcW w:w="2410" w:type="dxa"/>
          </w:tcPr>
          <w:p w14:paraId="633CD316" w14:textId="77777777" w:rsidR="008E67EA" w:rsidRPr="00B519F7" w:rsidRDefault="008E67EA" w:rsidP="00B44A74">
            <w:pPr>
              <w:spacing w:after="120" w:line="240" w:lineRule="exact"/>
              <w:rPr>
                <w:rFonts w:cs="Arial"/>
                <w:bCs/>
                <w:spacing w:val="-2"/>
                <w:w w:val="105"/>
                <w:szCs w:val="18"/>
              </w:rPr>
            </w:pPr>
            <w:r w:rsidRPr="00B519F7">
              <w:rPr>
                <w:rFonts w:cs="Arial"/>
                <w:bCs/>
                <w:spacing w:val="-2"/>
                <w:w w:val="105"/>
                <w:szCs w:val="18"/>
              </w:rPr>
              <w:t>For use in and</w:t>
            </w:r>
            <w:r>
              <w:rPr>
                <w:rFonts w:cs="Arial"/>
                <w:bCs/>
                <w:spacing w:val="-2"/>
                <w:w w:val="105"/>
                <w:szCs w:val="18"/>
              </w:rPr>
              <w:t xml:space="preserve"> </w:t>
            </w:r>
            <w:r w:rsidRPr="00B519F7">
              <w:rPr>
                <w:rFonts w:cs="Arial"/>
                <w:bCs/>
                <w:spacing w:val="-2"/>
                <w:w w:val="105"/>
                <w:szCs w:val="18"/>
              </w:rPr>
              <w:t>around (within 2</w:t>
            </w:r>
            <w:r>
              <w:rPr>
                <w:rFonts w:cs="Arial"/>
                <w:bCs/>
                <w:spacing w:val="-2"/>
                <w:w w:val="105"/>
                <w:szCs w:val="18"/>
              </w:rPr>
              <w:t xml:space="preserve"> </w:t>
            </w:r>
            <w:r w:rsidRPr="00B519F7">
              <w:rPr>
                <w:rFonts w:cs="Arial"/>
                <w:bCs/>
                <w:spacing w:val="-2"/>
                <w:w w:val="105"/>
                <w:szCs w:val="18"/>
              </w:rPr>
              <w:t>metres) industrial,</w:t>
            </w:r>
            <w:r>
              <w:rPr>
                <w:rFonts w:cs="Arial"/>
                <w:bCs/>
                <w:spacing w:val="-2"/>
                <w:w w:val="105"/>
                <w:szCs w:val="18"/>
              </w:rPr>
              <w:t xml:space="preserve"> </w:t>
            </w:r>
            <w:r w:rsidRPr="00B519F7">
              <w:rPr>
                <w:rFonts w:cs="Arial"/>
                <w:bCs/>
                <w:spacing w:val="-2"/>
                <w:w w:val="105"/>
                <w:szCs w:val="18"/>
              </w:rPr>
              <w:t>commercial, public</w:t>
            </w:r>
            <w:r>
              <w:rPr>
                <w:rFonts w:cs="Arial"/>
                <w:bCs/>
                <w:spacing w:val="-2"/>
                <w:w w:val="105"/>
                <w:szCs w:val="18"/>
              </w:rPr>
              <w:t xml:space="preserve"> </w:t>
            </w:r>
            <w:r w:rsidRPr="00B519F7">
              <w:rPr>
                <w:rFonts w:cs="Arial"/>
                <w:bCs/>
                <w:spacing w:val="-2"/>
                <w:w w:val="105"/>
                <w:szCs w:val="18"/>
              </w:rPr>
              <w:t>services, domestic</w:t>
            </w:r>
            <w:r>
              <w:rPr>
                <w:rFonts w:cs="Arial"/>
                <w:bCs/>
                <w:spacing w:val="-2"/>
                <w:w w:val="105"/>
                <w:szCs w:val="18"/>
              </w:rPr>
              <w:t xml:space="preserve"> </w:t>
            </w:r>
            <w:r w:rsidRPr="00B519F7">
              <w:rPr>
                <w:rFonts w:cs="Arial"/>
                <w:bCs/>
                <w:spacing w:val="-2"/>
                <w:w w:val="105"/>
                <w:szCs w:val="18"/>
              </w:rPr>
              <w:t>and agricultural</w:t>
            </w:r>
            <w:r>
              <w:rPr>
                <w:rFonts w:cs="Arial"/>
                <w:bCs/>
                <w:spacing w:val="-2"/>
                <w:w w:val="105"/>
                <w:szCs w:val="18"/>
              </w:rPr>
              <w:t xml:space="preserve"> </w:t>
            </w:r>
            <w:r w:rsidRPr="00B519F7">
              <w:rPr>
                <w:rFonts w:cs="Arial"/>
                <w:bCs/>
                <w:spacing w:val="-2"/>
                <w:w w:val="105"/>
                <w:szCs w:val="18"/>
              </w:rPr>
              <w:t>buildings</w:t>
            </w:r>
            <w:r>
              <w:rPr>
                <w:rFonts w:cs="Arial"/>
                <w:bCs/>
                <w:spacing w:val="-2"/>
                <w:w w:val="105"/>
                <w:szCs w:val="18"/>
              </w:rPr>
              <w:t xml:space="preserve"> </w:t>
            </w:r>
            <w:r w:rsidRPr="00B519F7">
              <w:rPr>
                <w:rFonts w:cs="Arial"/>
                <w:bCs/>
                <w:spacing w:val="-2"/>
                <w:w w:val="105"/>
                <w:szCs w:val="18"/>
              </w:rPr>
              <w:t>(machinery sheds,</w:t>
            </w:r>
            <w:r>
              <w:rPr>
                <w:rFonts w:cs="Arial"/>
                <w:bCs/>
                <w:spacing w:val="-2"/>
                <w:w w:val="105"/>
                <w:szCs w:val="18"/>
              </w:rPr>
              <w:t xml:space="preserve"> </w:t>
            </w:r>
            <w:r w:rsidRPr="00B519F7">
              <w:rPr>
                <w:rFonts w:cs="Arial"/>
                <w:bCs/>
                <w:spacing w:val="-2"/>
                <w:w w:val="105"/>
                <w:szCs w:val="18"/>
              </w:rPr>
              <w:t>etc.)</w:t>
            </w:r>
          </w:p>
        </w:tc>
        <w:tc>
          <w:tcPr>
            <w:tcW w:w="1276" w:type="dxa"/>
          </w:tcPr>
          <w:p w14:paraId="2F7AE4BC" w14:textId="77777777" w:rsidR="008E67EA" w:rsidRPr="00382A84" w:rsidRDefault="008E67EA" w:rsidP="00B44A74">
            <w:pPr>
              <w:spacing w:after="120" w:line="240" w:lineRule="exact"/>
              <w:rPr>
                <w:rFonts w:cs="Arial"/>
                <w:bCs/>
                <w:spacing w:val="-2"/>
                <w:w w:val="105"/>
                <w:szCs w:val="18"/>
              </w:rPr>
            </w:pPr>
            <w:r w:rsidRPr="00382A84">
              <w:rPr>
                <w:rFonts w:cs="Arial"/>
                <w:bCs/>
                <w:spacing w:val="-2"/>
                <w:w w:val="105"/>
                <w:szCs w:val="18"/>
              </w:rPr>
              <w:t>[As per current approved label]</w:t>
            </w:r>
          </w:p>
        </w:tc>
        <w:tc>
          <w:tcPr>
            <w:tcW w:w="3613" w:type="dxa"/>
          </w:tcPr>
          <w:p w14:paraId="18A5CFCC" w14:textId="7E916FC5" w:rsidR="008E67EA" w:rsidRDefault="008E67EA" w:rsidP="00B44A74">
            <w:pPr>
              <w:spacing w:after="120" w:line="240" w:lineRule="exact"/>
              <w:rPr>
                <w:rFonts w:cs="Arial"/>
                <w:bCs/>
                <w:spacing w:val="-2"/>
                <w:w w:val="105"/>
                <w:szCs w:val="18"/>
              </w:rPr>
            </w:pPr>
            <w:r w:rsidRPr="00FF616F">
              <w:rPr>
                <w:rFonts w:cs="Arial"/>
                <w:bCs/>
                <w:spacing w:val="-2"/>
                <w:w w:val="105"/>
                <w:szCs w:val="18"/>
              </w:rPr>
              <w:t xml:space="preserve">Explore the site and locate runs, </w:t>
            </w:r>
            <w:r>
              <w:rPr>
                <w:rFonts w:cs="Arial"/>
                <w:bCs/>
                <w:spacing w:val="-2"/>
                <w:w w:val="105"/>
                <w:szCs w:val="18"/>
              </w:rPr>
              <w:t>burrows</w:t>
            </w:r>
            <w:r w:rsidRPr="00FF616F">
              <w:rPr>
                <w:rFonts w:cs="Arial"/>
                <w:bCs/>
                <w:spacing w:val="-2"/>
                <w:w w:val="105"/>
                <w:szCs w:val="18"/>
              </w:rPr>
              <w:t>,</w:t>
            </w:r>
            <w:r>
              <w:rPr>
                <w:rFonts w:cs="Arial"/>
                <w:bCs/>
                <w:spacing w:val="-2"/>
                <w:w w:val="105"/>
                <w:szCs w:val="18"/>
              </w:rPr>
              <w:t xml:space="preserve"> </w:t>
            </w:r>
            <w:r w:rsidRPr="00FF616F">
              <w:rPr>
                <w:rFonts w:cs="Arial"/>
                <w:bCs/>
                <w:spacing w:val="-2"/>
                <w:w w:val="105"/>
                <w:szCs w:val="18"/>
              </w:rPr>
              <w:t>droppings and signs of damage.</w:t>
            </w:r>
          </w:p>
          <w:p w14:paraId="2C21943C" w14:textId="77777777" w:rsidR="008E67EA" w:rsidRPr="00382A84" w:rsidRDefault="008E67EA" w:rsidP="00B44A74">
            <w:pPr>
              <w:spacing w:after="120" w:line="240" w:lineRule="exact"/>
              <w:rPr>
                <w:rFonts w:cs="Arial"/>
                <w:bCs/>
                <w:spacing w:val="-2"/>
                <w:w w:val="105"/>
                <w:szCs w:val="18"/>
              </w:rPr>
            </w:pPr>
            <w:r>
              <w:rPr>
                <w:rFonts w:cs="Arial"/>
                <w:bCs/>
                <w:spacing w:val="-2"/>
                <w:w w:val="105"/>
                <w:szCs w:val="18"/>
              </w:rPr>
              <w:t>P</w:t>
            </w:r>
            <w:r w:rsidRPr="00B519F7">
              <w:rPr>
                <w:rFonts w:cs="Arial"/>
                <w:bCs/>
                <w:spacing w:val="-2"/>
                <w:w w:val="105"/>
                <w:szCs w:val="18"/>
              </w:rPr>
              <w:t>lace a number of bait points in dry locations throughout the infested area,</w:t>
            </w:r>
            <w:r w:rsidRPr="00B519F7">
              <w:t xml:space="preserve"> </w:t>
            </w:r>
            <w:r w:rsidRPr="00B519F7">
              <w:rPr>
                <w:rFonts w:cs="Arial"/>
                <w:bCs/>
                <w:spacing w:val="-2"/>
                <w:w w:val="105"/>
                <w:szCs w:val="18"/>
              </w:rPr>
              <w:t>not more than 9m apart.</w:t>
            </w:r>
          </w:p>
        </w:tc>
      </w:tr>
      <w:tr w:rsidR="008E67EA" w:rsidRPr="00A27FD2" w14:paraId="20E36629" w14:textId="77777777" w:rsidTr="009C4F64">
        <w:trPr>
          <w:trHeight w:val="841"/>
        </w:trPr>
        <w:tc>
          <w:tcPr>
            <w:tcW w:w="9000" w:type="dxa"/>
            <w:gridSpan w:val="4"/>
          </w:tcPr>
          <w:p w14:paraId="0B8B9A4E" w14:textId="77777777" w:rsidR="008E67EA" w:rsidRPr="00382A84" w:rsidRDefault="008E67EA" w:rsidP="00B44A74">
            <w:pPr>
              <w:spacing w:after="120" w:line="240" w:lineRule="exact"/>
              <w:rPr>
                <w:rFonts w:cs="Arial"/>
                <w:b/>
                <w:spacing w:val="-2"/>
                <w:w w:val="105"/>
                <w:szCs w:val="18"/>
              </w:rPr>
            </w:pPr>
            <w:r w:rsidRPr="00382A84">
              <w:rPr>
                <w:rFonts w:cs="Arial"/>
                <w:b/>
                <w:spacing w:val="-2"/>
                <w:w w:val="105"/>
                <w:szCs w:val="18"/>
              </w:rPr>
              <w:t>Baiting strategy</w:t>
            </w:r>
          </w:p>
          <w:p w14:paraId="05AB615B" w14:textId="568411A9" w:rsidR="008E67EA" w:rsidRPr="00382A84" w:rsidRDefault="008E67EA" w:rsidP="00B44A74">
            <w:pPr>
              <w:spacing w:after="120" w:line="240" w:lineRule="exact"/>
              <w:rPr>
                <w:rFonts w:cs="Arial"/>
                <w:bCs/>
                <w:spacing w:val="-2"/>
                <w:w w:val="105"/>
                <w:szCs w:val="18"/>
              </w:rPr>
            </w:pPr>
            <w:r w:rsidRPr="00382A84">
              <w:rPr>
                <w:rFonts w:cs="Arial"/>
                <w:bCs/>
                <w:spacing w:val="-2"/>
                <w:w w:val="105"/>
                <w:szCs w:val="18"/>
              </w:rPr>
              <w:t>Eliminate, as far as practicable, all other food sources.</w:t>
            </w:r>
          </w:p>
          <w:p w14:paraId="1AC28A52" w14:textId="77777777" w:rsidR="008E67EA" w:rsidRDefault="008E67EA" w:rsidP="00B44A74">
            <w:pPr>
              <w:spacing w:after="120" w:line="240" w:lineRule="exact"/>
              <w:rPr>
                <w:rFonts w:cs="Arial"/>
                <w:bCs/>
                <w:spacing w:val="-2"/>
                <w:w w:val="105"/>
                <w:szCs w:val="18"/>
              </w:rPr>
            </w:pPr>
            <w:r w:rsidRPr="00382A84">
              <w:rPr>
                <w:rFonts w:cs="Arial"/>
                <w:bCs/>
                <w:spacing w:val="-2"/>
                <w:w w:val="105"/>
                <w:szCs w:val="18"/>
              </w:rPr>
              <w:t xml:space="preserve">Survey site prior to treatment, including assessment of the extent of infestation and identification of any indications of the presence of non-target animals. </w:t>
            </w:r>
            <w:r w:rsidRPr="005F4A3B">
              <w:rPr>
                <w:rFonts w:cs="Arial"/>
                <w:bCs/>
                <w:spacing w:val="-2"/>
                <w:w w:val="105"/>
                <w:szCs w:val="18"/>
              </w:rPr>
              <w:t>Record the number and locations of bait stations for the purpose of inspection, replacement and later removal.</w:t>
            </w:r>
          </w:p>
          <w:p w14:paraId="34413059" w14:textId="23A65344" w:rsidR="008E67EA" w:rsidRPr="00382A84" w:rsidRDefault="008E67EA" w:rsidP="00B44A74">
            <w:pPr>
              <w:spacing w:after="120" w:line="240" w:lineRule="exact"/>
              <w:rPr>
                <w:rFonts w:cs="Arial"/>
                <w:bCs/>
                <w:spacing w:val="-2"/>
                <w:w w:val="105"/>
                <w:szCs w:val="18"/>
              </w:rPr>
            </w:pPr>
            <w:r w:rsidRPr="00382A84">
              <w:rPr>
                <w:rFonts w:cs="Arial"/>
                <w:bCs/>
                <w:spacing w:val="-2"/>
                <w:w w:val="105"/>
                <w:szCs w:val="18"/>
              </w:rPr>
              <w:t xml:space="preserve">Always use tamper-resistant bait stations that are secured in place in child accessible areas, outdoors and in animal or livestock housing. </w:t>
            </w:r>
            <w:r>
              <w:rPr>
                <w:rFonts w:cs="Arial"/>
                <w:bCs/>
                <w:spacing w:val="-2"/>
                <w:w w:val="105"/>
                <w:szCs w:val="18"/>
              </w:rPr>
              <w:t>W</w:t>
            </w:r>
            <w:r w:rsidRPr="00FF616F">
              <w:rPr>
                <w:rFonts w:cs="Arial"/>
                <w:bCs/>
                <w:spacing w:val="-2"/>
                <w:w w:val="105"/>
                <w:szCs w:val="18"/>
              </w:rPr>
              <w:t>hen using outdoors, it is best practice to use weather</w:t>
            </w:r>
            <w:r>
              <w:rPr>
                <w:rFonts w:cs="Arial"/>
                <w:bCs/>
                <w:spacing w:val="-2"/>
                <w:w w:val="105"/>
                <w:szCs w:val="18"/>
              </w:rPr>
              <w:t>-</w:t>
            </w:r>
            <w:r w:rsidRPr="00FF616F">
              <w:rPr>
                <w:rFonts w:cs="Arial"/>
                <w:bCs/>
                <w:spacing w:val="-2"/>
                <w:w w:val="105"/>
                <w:szCs w:val="18"/>
              </w:rPr>
              <w:t>resistant bait stations.</w:t>
            </w:r>
            <w:r>
              <w:rPr>
                <w:rFonts w:cs="Arial"/>
                <w:bCs/>
                <w:spacing w:val="-2"/>
                <w:w w:val="105"/>
                <w:szCs w:val="18"/>
              </w:rPr>
              <w:t xml:space="preserve"> DO NOT touch bait.</w:t>
            </w:r>
          </w:p>
          <w:p w14:paraId="43E8A7E4" w14:textId="3ED52D7F" w:rsidR="008E67EA" w:rsidRDefault="008E67EA" w:rsidP="00B44A74">
            <w:pPr>
              <w:spacing w:after="120" w:line="240" w:lineRule="exact"/>
              <w:rPr>
                <w:rFonts w:cs="Arial"/>
                <w:bCs/>
                <w:spacing w:val="-2"/>
                <w:w w:val="105"/>
                <w:szCs w:val="18"/>
              </w:rPr>
            </w:pPr>
            <w:r w:rsidRPr="00382A84">
              <w:rPr>
                <w:rFonts w:cs="Arial"/>
                <w:bCs/>
                <w:spacing w:val="-2"/>
                <w:w w:val="105"/>
                <w:szCs w:val="18"/>
              </w:rPr>
              <w:t xml:space="preserve">Inspect baits frequently, particularly in the first ten days. Replace eaten bait. If bait is completely consumed, the quantity should be increased. Continue inspecting bait </w:t>
            </w:r>
            <w:r>
              <w:rPr>
                <w:rFonts w:cs="Arial"/>
                <w:bCs/>
                <w:spacing w:val="-2"/>
                <w:w w:val="105"/>
                <w:szCs w:val="18"/>
              </w:rPr>
              <w:t>sites</w:t>
            </w:r>
            <w:r w:rsidRPr="00382A84">
              <w:rPr>
                <w:rFonts w:cs="Arial"/>
                <w:bCs/>
                <w:spacing w:val="-2"/>
                <w:w w:val="105"/>
                <w:szCs w:val="18"/>
              </w:rPr>
              <w:t xml:space="preserve"> at intervals of no longer than 7 days, replenishing baits until they are left untouched. Baiting for at least two weeks will be necessary to reduce rat/mouse numbers. Most deaths occur 4 to </w:t>
            </w:r>
            <w:r>
              <w:rPr>
                <w:rFonts w:cs="Arial"/>
                <w:bCs/>
                <w:spacing w:val="-2"/>
                <w:w w:val="105"/>
                <w:szCs w:val="18"/>
              </w:rPr>
              <w:t>7</w:t>
            </w:r>
            <w:r w:rsidRPr="00382A84">
              <w:rPr>
                <w:rFonts w:cs="Arial"/>
                <w:bCs/>
                <w:spacing w:val="-2"/>
                <w:w w:val="105"/>
                <w:szCs w:val="18"/>
              </w:rPr>
              <w:t xml:space="preserve"> days after consumption of bait, but deaths may occur for up to 2 weeks.</w:t>
            </w:r>
          </w:p>
          <w:p w14:paraId="4F7D9C56" w14:textId="77777777" w:rsidR="008E67EA" w:rsidRPr="00382A84" w:rsidRDefault="008E67EA" w:rsidP="00B44A74">
            <w:pPr>
              <w:spacing w:after="120" w:line="240" w:lineRule="exact"/>
              <w:rPr>
                <w:rFonts w:cs="Arial"/>
                <w:bCs/>
                <w:spacing w:val="-2"/>
                <w:w w:val="105"/>
                <w:szCs w:val="18"/>
              </w:rPr>
            </w:pPr>
            <w:r w:rsidRPr="00382A84">
              <w:rPr>
                <w:rFonts w:cs="Arial"/>
                <w:bCs/>
                <w:spacing w:val="-2"/>
                <w:w w:val="105"/>
                <w:szCs w:val="18"/>
              </w:rPr>
              <w:t>DO NOT use the product beyond 35 days without an evaluation of the state of the infestation and of the efficacy of the treatment.</w:t>
            </w:r>
            <w:r>
              <w:t xml:space="preserve"> </w:t>
            </w:r>
            <w:r w:rsidRPr="00382A84">
              <w:rPr>
                <w:rFonts w:cs="Arial"/>
                <w:bCs/>
                <w:spacing w:val="-2"/>
                <w:w w:val="105"/>
                <w:szCs w:val="18"/>
              </w:rPr>
              <w:t>Remove all uneaten bait at the end of treatment</w:t>
            </w:r>
          </w:p>
        </w:tc>
      </w:tr>
    </w:tbl>
    <w:p w14:paraId="3C65791A" w14:textId="7BA6BBE9" w:rsidR="008E67EA" w:rsidRDefault="008E67EA" w:rsidP="009C4F64">
      <w:pPr>
        <w:spacing w:line="280" w:lineRule="exact"/>
        <w:rPr>
          <w:rFonts w:ascii="Franklin Gothic Medium" w:eastAsia="Arial Unicode MS" w:hAnsi="Franklin Gothic Medium"/>
          <w:bCs/>
          <w:iCs/>
          <w:bdr w:val="none" w:sz="0" w:space="0" w:color="auto" w:frame="1"/>
          <w:lang w:val="en-GB" w:eastAsia="en-AU"/>
        </w:rPr>
      </w:pPr>
      <w:r w:rsidRPr="00FF36BF">
        <w:rPr>
          <w:rFonts w:cs="Arial"/>
          <w:b/>
          <w:bCs/>
          <w:sz w:val="20"/>
          <w:szCs w:val="20"/>
        </w:rPr>
        <w:t>NOT TO BE USED FOR ANY PURPOSE, OR IN ANY MANNER, CONTRARY TO THIS LABEL UNLESS AUTHORISED UNDER APPROPRIATE LEGISLATION.</w:t>
      </w:r>
      <w:r>
        <w:rPr>
          <w:rFonts w:ascii="Franklin Gothic Medium" w:eastAsia="Arial Unicode MS" w:hAnsi="Franklin Gothic Medium"/>
          <w:bCs/>
          <w:iCs/>
          <w:bdr w:val="none" w:sz="0" w:space="0" w:color="auto" w:frame="1"/>
          <w:lang w:val="en-GB" w:eastAsia="en-AU"/>
        </w:rPr>
        <w:br w:type="page"/>
      </w:r>
    </w:p>
    <w:p w14:paraId="1BE3BC74" w14:textId="77777777" w:rsidR="008E67EA" w:rsidRDefault="008E67EA" w:rsidP="008E67EA">
      <w:pPr>
        <w:keepNext/>
        <w:keepLines/>
        <w:spacing w:before="400" w:after="240" w:line="280" w:lineRule="exact"/>
        <w:outlineLvl w:val="1"/>
        <w:rPr>
          <w:rFonts w:ascii="Franklin Gothic Medium" w:eastAsia="Arial Unicode MS" w:hAnsi="Franklin Gothic Medium"/>
          <w:bCs/>
          <w:iCs/>
          <w:bdr w:val="none" w:sz="0" w:space="0" w:color="auto" w:frame="1"/>
          <w:lang w:val="en-GB" w:eastAsia="en-AU"/>
        </w:rPr>
      </w:pPr>
      <w:r w:rsidRPr="00FF36BF">
        <w:rPr>
          <w:rFonts w:ascii="Franklin Gothic Medium" w:eastAsia="Arial Unicode MS" w:hAnsi="Franklin Gothic Medium"/>
          <w:bCs/>
          <w:iCs/>
          <w:bdr w:val="none" w:sz="0" w:space="0" w:color="auto" w:frame="1"/>
          <w:lang w:val="en-GB" w:eastAsia="en-AU"/>
        </w:rPr>
        <w:lastRenderedPageBreak/>
        <w:t>Commercial</w:t>
      </w:r>
      <w:r>
        <w:rPr>
          <w:rFonts w:ascii="Franklin Gothic Medium" w:eastAsia="Arial Unicode MS" w:hAnsi="Franklin Gothic Medium"/>
          <w:bCs/>
          <w:iCs/>
          <w:bdr w:val="none" w:sz="0" w:space="0" w:color="auto" w:frame="1"/>
          <w:lang w:val="en-GB" w:eastAsia="en-AU"/>
        </w:rPr>
        <w:t xml:space="preserve"> pest-control product:</w:t>
      </w:r>
      <w:r w:rsidRPr="00FF36BF">
        <w:rPr>
          <w:rFonts w:ascii="Franklin Gothic Medium" w:eastAsia="Arial Unicode MS" w:hAnsi="Franklin Gothic Medium"/>
          <w:bCs/>
          <w:iCs/>
          <w:bdr w:val="none" w:sz="0" w:space="0" w:color="auto" w:frame="1"/>
          <w:lang w:val="en-GB" w:eastAsia="en-AU"/>
        </w:rPr>
        <w:t xml:space="preserve"> </w:t>
      </w:r>
      <w:r w:rsidRPr="00DA343B">
        <w:rPr>
          <w:rFonts w:ascii="Franklin Gothic Medium" w:eastAsia="Arial Unicode MS" w:hAnsi="Franklin Gothic Medium"/>
          <w:bCs/>
          <w:iCs/>
          <w:bdr w:val="none" w:sz="0" w:space="0" w:color="auto" w:frame="1"/>
          <w:lang w:val="en-GB" w:eastAsia="en-AU"/>
        </w:rPr>
        <w:t>RB 0.05 g/kg or less in sachet or place pack</w:t>
      </w:r>
    </w:p>
    <w:p w14:paraId="0AC17819" w14:textId="77777777" w:rsidR="008E67EA"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t xml:space="preserve">Template Label </w:t>
      </w:r>
      <w:r>
        <w:rPr>
          <w:rFonts w:cs="Arial"/>
          <w:b/>
          <w:bCs/>
          <w:sz w:val="20"/>
          <w:szCs w:val="20"/>
          <w:bdr w:val="none" w:sz="0" w:space="0" w:color="auto" w:frame="1"/>
          <w:lang w:val="en-GB" w:eastAsia="en-AU"/>
        </w:rPr>
        <w:t>21</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2B5B5B" w14:paraId="5ADF908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B291546" w14:textId="77777777" w:rsidR="008E67EA" w:rsidRPr="00F5215F" w:rsidRDefault="008E67EA" w:rsidP="00B44A74">
            <w:pPr>
              <w:spacing w:line="280" w:lineRule="exact"/>
              <w:rPr>
                <w:rFonts w:cs="Arial"/>
                <w:sz w:val="20"/>
                <w:szCs w:val="20"/>
              </w:rPr>
            </w:pPr>
            <w:r w:rsidRPr="00F5215F">
              <w:rPr>
                <w:rFonts w:cs="Arial"/>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3221EF21" w14:textId="77777777" w:rsidR="008E67EA" w:rsidRPr="00063878" w:rsidRDefault="008E67EA" w:rsidP="00B44A74">
            <w:pPr>
              <w:spacing w:line="280" w:lineRule="exact"/>
              <w:rPr>
                <w:rFonts w:cs="Arial"/>
                <w:sz w:val="20"/>
                <w:szCs w:val="20"/>
              </w:rPr>
            </w:pPr>
            <w:r w:rsidRPr="00063878">
              <w:rPr>
                <w:rFonts w:cs="Arial"/>
                <w:sz w:val="20"/>
                <w:szCs w:val="20"/>
              </w:rPr>
              <w:t>[INSERT LABEL NAME]</w:t>
            </w:r>
          </w:p>
        </w:tc>
      </w:tr>
      <w:tr w:rsidR="008E67EA" w:rsidRPr="002B5B5B" w14:paraId="336D1F03" w14:textId="77777777" w:rsidTr="00B44A74">
        <w:trPr>
          <w:jc w:val="center"/>
        </w:trPr>
        <w:tc>
          <w:tcPr>
            <w:tcW w:w="2415" w:type="dxa"/>
            <w:tcBorders>
              <w:top w:val="single" w:sz="4" w:space="0" w:color="auto"/>
              <w:left w:val="nil"/>
              <w:bottom w:val="single" w:sz="4" w:space="0" w:color="auto"/>
              <w:right w:val="nil"/>
            </w:tcBorders>
          </w:tcPr>
          <w:p w14:paraId="4DB7F563"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54DC436" w14:textId="77777777" w:rsidR="008E67EA" w:rsidRPr="00063878" w:rsidRDefault="008E67EA" w:rsidP="00B44A74">
            <w:pPr>
              <w:spacing w:line="280" w:lineRule="exact"/>
              <w:rPr>
                <w:rFonts w:cs="Arial"/>
                <w:sz w:val="20"/>
                <w:szCs w:val="20"/>
              </w:rPr>
            </w:pPr>
          </w:p>
        </w:tc>
      </w:tr>
      <w:tr w:rsidR="008E67EA" w:rsidRPr="002B5B5B" w14:paraId="675E5E2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C4B964B" w14:textId="77777777" w:rsidR="008E67EA" w:rsidRPr="00F5215F" w:rsidRDefault="008E67EA" w:rsidP="00B44A74">
            <w:pPr>
              <w:spacing w:line="280" w:lineRule="exact"/>
              <w:rPr>
                <w:rFonts w:cs="Arial"/>
                <w:sz w:val="20"/>
                <w:szCs w:val="20"/>
              </w:rPr>
            </w:pPr>
            <w:r w:rsidRPr="00F5215F">
              <w:rPr>
                <w:rFonts w:cs="Arial"/>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7AD1C423" w14:textId="77777777" w:rsidR="008E67EA" w:rsidRPr="00063878" w:rsidRDefault="008E67EA" w:rsidP="00B44A74">
            <w:pPr>
              <w:spacing w:line="280" w:lineRule="exact"/>
              <w:rPr>
                <w:rFonts w:cs="Arial"/>
                <w:sz w:val="20"/>
                <w:szCs w:val="20"/>
              </w:rPr>
            </w:pPr>
            <w:r w:rsidRPr="00063878">
              <w:rPr>
                <w:rFonts w:cs="Arial"/>
                <w:sz w:val="20"/>
                <w:szCs w:val="20"/>
              </w:rPr>
              <w:t>POISON</w:t>
            </w:r>
          </w:p>
          <w:p w14:paraId="5C5E6D85" w14:textId="77777777" w:rsidR="008E67EA" w:rsidRPr="00063878" w:rsidRDefault="008E67EA" w:rsidP="00B44A74">
            <w:pPr>
              <w:spacing w:line="280" w:lineRule="exact"/>
              <w:rPr>
                <w:rFonts w:cs="Arial"/>
                <w:sz w:val="20"/>
                <w:szCs w:val="20"/>
              </w:rPr>
            </w:pPr>
            <w:r w:rsidRPr="00063878">
              <w:rPr>
                <w:rFonts w:cs="Arial"/>
                <w:sz w:val="20"/>
                <w:szCs w:val="20"/>
              </w:rPr>
              <w:t>KEEP OUT OF REACH OF CHILDREN</w:t>
            </w:r>
          </w:p>
          <w:p w14:paraId="2D9C7C6E" w14:textId="77777777" w:rsidR="008E67EA" w:rsidRPr="00063878" w:rsidRDefault="008E67EA" w:rsidP="00B44A74">
            <w:pPr>
              <w:spacing w:line="280" w:lineRule="exact"/>
              <w:rPr>
                <w:rFonts w:cs="Arial"/>
                <w:sz w:val="20"/>
                <w:szCs w:val="20"/>
              </w:rPr>
            </w:pPr>
            <w:r w:rsidRPr="00063878">
              <w:rPr>
                <w:rFonts w:cs="Arial"/>
                <w:sz w:val="20"/>
                <w:szCs w:val="20"/>
              </w:rPr>
              <w:t>READ SAFETY DIRECTIONS BEFORE OPENING OR USING</w:t>
            </w:r>
          </w:p>
        </w:tc>
      </w:tr>
      <w:tr w:rsidR="008E67EA" w:rsidRPr="002B5B5B" w14:paraId="2DC8F2AC" w14:textId="77777777" w:rsidTr="00B44A74">
        <w:trPr>
          <w:jc w:val="center"/>
        </w:trPr>
        <w:tc>
          <w:tcPr>
            <w:tcW w:w="2415" w:type="dxa"/>
            <w:tcBorders>
              <w:top w:val="single" w:sz="4" w:space="0" w:color="auto"/>
              <w:left w:val="nil"/>
              <w:bottom w:val="single" w:sz="4" w:space="0" w:color="auto"/>
              <w:right w:val="nil"/>
            </w:tcBorders>
          </w:tcPr>
          <w:p w14:paraId="2A4DED7C"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A9C6B31" w14:textId="77777777" w:rsidR="008E67EA" w:rsidRPr="00063878" w:rsidRDefault="008E67EA" w:rsidP="00B44A74">
            <w:pPr>
              <w:spacing w:line="280" w:lineRule="exact"/>
              <w:rPr>
                <w:rFonts w:cs="Arial"/>
                <w:sz w:val="20"/>
                <w:szCs w:val="20"/>
              </w:rPr>
            </w:pPr>
          </w:p>
        </w:tc>
      </w:tr>
      <w:tr w:rsidR="008E67EA" w:rsidRPr="002B5B5B" w14:paraId="10095DB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11268FC" w14:textId="77777777" w:rsidR="008E67EA" w:rsidRPr="00F5215F" w:rsidRDefault="008E67EA" w:rsidP="00B44A74">
            <w:pPr>
              <w:spacing w:line="280" w:lineRule="exact"/>
              <w:rPr>
                <w:rFonts w:cs="Arial"/>
                <w:sz w:val="20"/>
                <w:szCs w:val="20"/>
              </w:rPr>
            </w:pPr>
            <w:r w:rsidRPr="00F5215F">
              <w:rPr>
                <w:rFonts w:cs="Arial"/>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0A523D61" w14:textId="77777777" w:rsidR="008E67EA" w:rsidRPr="00063878" w:rsidRDefault="008E67EA" w:rsidP="00B44A74">
            <w:pPr>
              <w:spacing w:line="280" w:lineRule="exact"/>
              <w:rPr>
                <w:rFonts w:cs="Arial"/>
                <w:sz w:val="20"/>
                <w:szCs w:val="20"/>
              </w:rPr>
            </w:pPr>
            <w:r w:rsidRPr="00063878">
              <w:rPr>
                <w:rFonts w:cs="Arial"/>
                <w:sz w:val="20"/>
                <w:szCs w:val="20"/>
              </w:rPr>
              <w:t>ACTIVE CONSTITUENT: 0.05 g/kg DIFENACOUM</w:t>
            </w:r>
          </w:p>
        </w:tc>
      </w:tr>
      <w:tr w:rsidR="008E67EA" w:rsidRPr="002B5B5B" w14:paraId="06C2AA7B" w14:textId="77777777" w:rsidTr="00B44A74">
        <w:trPr>
          <w:jc w:val="center"/>
        </w:trPr>
        <w:tc>
          <w:tcPr>
            <w:tcW w:w="2415" w:type="dxa"/>
            <w:tcBorders>
              <w:top w:val="single" w:sz="4" w:space="0" w:color="auto"/>
              <w:left w:val="nil"/>
              <w:bottom w:val="single" w:sz="4" w:space="0" w:color="auto"/>
              <w:right w:val="nil"/>
            </w:tcBorders>
          </w:tcPr>
          <w:p w14:paraId="525C5CFD"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C684242" w14:textId="77777777" w:rsidR="008E67EA" w:rsidRPr="00063878" w:rsidRDefault="008E67EA" w:rsidP="00B44A74">
            <w:pPr>
              <w:spacing w:line="280" w:lineRule="exact"/>
              <w:rPr>
                <w:rFonts w:cs="Arial"/>
                <w:sz w:val="20"/>
                <w:szCs w:val="20"/>
              </w:rPr>
            </w:pPr>
          </w:p>
        </w:tc>
      </w:tr>
      <w:tr w:rsidR="008E67EA" w:rsidRPr="00994236" w14:paraId="19C956A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512F59D" w14:textId="77777777" w:rsidR="008E67EA" w:rsidRPr="00F5215F" w:rsidRDefault="008E67EA" w:rsidP="00B44A74">
            <w:pPr>
              <w:spacing w:line="280" w:lineRule="exact"/>
              <w:rPr>
                <w:rFonts w:cs="Arial"/>
                <w:sz w:val="20"/>
                <w:szCs w:val="20"/>
              </w:rPr>
            </w:pPr>
            <w:r w:rsidRPr="00F5215F">
              <w:rPr>
                <w:rFonts w:cs="Arial"/>
                <w:sz w:val="20"/>
                <w:szCs w:val="20"/>
              </w:rPr>
              <w:t>Mode of Action:</w:t>
            </w:r>
          </w:p>
        </w:tc>
        <w:tc>
          <w:tcPr>
            <w:tcW w:w="7755" w:type="dxa"/>
            <w:tcBorders>
              <w:top w:val="single" w:sz="4" w:space="0" w:color="auto"/>
              <w:left w:val="single" w:sz="4" w:space="0" w:color="auto"/>
              <w:bottom w:val="single" w:sz="4" w:space="0" w:color="auto"/>
              <w:right w:val="single" w:sz="4" w:space="0" w:color="auto"/>
            </w:tcBorders>
          </w:tcPr>
          <w:p w14:paraId="73658C6E" w14:textId="77777777" w:rsidR="008E67EA" w:rsidRPr="00063878" w:rsidRDefault="008E67EA" w:rsidP="00B44A74">
            <w:pPr>
              <w:spacing w:line="280" w:lineRule="exact"/>
              <w:jc w:val="both"/>
              <w:rPr>
                <w:rFonts w:cs="Arial"/>
                <w:sz w:val="20"/>
                <w:szCs w:val="20"/>
              </w:rPr>
            </w:pPr>
          </w:p>
        </w:tc>
      </w:tr>
      <w:tr w:rsidR="008E67EA" w:rsidRPr="002B5B5B" w14:paraId="72EAEA41" w14:textId="77777777" w:rsidTr="00B44A74">
        <w:trPr>
          <w:jc w:val="center"/>
        </w:trPr>
        <w:tc>
          <w:tcPr>
            <w:tcW w:w="2415" w:type="dxa"/>
            <w:tcBorders>
              <w:top w:val="single" w:sz="4" w:space="0" w:color="auto"/>
              <w:left w:val="nil"/>
              <w:bottom w:val="single" w:sz="4" w:space="0" w:color="auto"/>
              <w:right w:val="nil"/>
            </w:tcBorders>
          </w:tcPr>
          <w:p w14:paraId="5C0E9797"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6DA61E9" w14:textId="77777777" w:rsidR="008E67EA" w:rsidRPr="00063878" w:rsidRDefault="008E67EA" w:rsidP="00B44A74">
            <w:pPr>
              <w:spacing w:line="280" w:lineRule="exact"/>
              <w:rPr>
                <w:rFonts w:cs="Arial"/>
                <w:sz w:val="20"/>
                <w:szCs w:val="20"/>
              </w:rPr>
            </w:pPr>
          </w:p>
        </w:tc>
      </w:tr>
      <w:tr w:rsidR="008E67EA" w:rsidRPr="002B5B5B" w14:paraId="38B8042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929ABCF" w14:textId="77777777" w:rsidR="008E67EA" w:rsidRPr="00F5215F" w:rsidRDefault="008E67EA" w:rsidP="00B44A74">
            <w:pPr>
              <w:spacing w:line="280" w:lineRule="exact"/>
              <w:rPr>
                <w:rFonts w:cs="Arial"/>
                <w:sz w:val="20"/>
                <w:szCs w:val="20"/>
              </w:rPr>
            </w:pPr>
            <w:r w:rsidRPr="00F5215F">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0EB10922" w14:textId="77777777" w:rsidR="008E67EA" w:rsidRPr="00063878" w:rsidRDefault="008E67EA" w:rsidP="00B44A74">
            <w:pPr>
              <w:spacing w:line="280" w:lineRule="exact"/>
              <w:rPr>
                <w:rFonts w:cs="Arial"/>
                <w:sz w:val="20"/>
                <w:szCs w:val="20"/>
              </w:rPr>
            </w:pPr>
            <w:r>
              <w:rPr>
                <w:rFonts w:cs="Arial"/>
                <w:sz w:val="20"/>
                <w:szCs w:val="20"/>
              </w:rPr>
              <w:t xml:space="preserve">For control of </w:t>
            </w:r>
            <w:r w:rsidRPr="00063878">
              <w:rPr>
                <w:rFonts w:cs="Arial"/>
                <w:sz w:val="20"/>
                <w:szCs w:val="20"/>
              </w:rPr>
              <w:t>mice in industrial, commercial, agricultural</w:t>
            </w:r>
            <w:r>
              <w:rPr>
                <w:rFonts w:cs="Arial"/>
                <w:sz w:val="20"/>
                <w:szCs w:val="20"/>
              </w:rPr>
              <w:t>, public services</w:t>
            </w:r>
            <w:r w:rsidRPr="00063878">
              <w:rPr>
                <w:rFonts w:cs="Arial"/>
                <w:sz w:val="20"/>
                <w:szCs w:val="20"/>
              </w:rPr>
              <w:t xml:space="preserve"> and domestic buildings and rats in and around industrial, commercial, agricultural</w:t>
            </w:r>
            <w:r>
              <w:rPr>
                <w:rFonts w:cs="Arial"/>
                <w:sz w:val="20"/>
                <w:szCs w:val="20"/>
              </w:rPr>
              <w:t>, public services</w:t>
            </w:r>
            <w:r w:rsidRPr="00063878">
              <w:rPr>
                <w:rFonts w:cs="Arial"/>
                <w:sz w:val="20"/>
                <w:szCs w:val="20"/>
              </w:rPr>
              <w:t xml:space="preserve"> and domestic buildings.</w:t>
            </w:r>
          </w:p>
        </w:tc>
      </w:tr>
      <w:tr w:rsidR="008E67EA" w:rsidRPr="002B5B5B" w14:paraId="60463D79" w14:textId="77777777" w:rsidTr="00B44A74">
        <w:trPr>
          <w:jc w:val="center"/>
        </w:trPr>
        <w:tc>
          <w:tcPr>
            <w:tcW w:w="2415" w:type="dxa"/>
            <w:tcBorders>
              <w:top w:val="single" w:sz="4" w:space="0" w:color="auto"/>
              <w:left w:val="nil"/>
              <w:bottom w:val="single" w:sz="4" w:space="0" w:color="auto"/>
              <w:right w:val="nil"/>
            </w:tcBorders>
          </w:tcPr>
          <w:p w14:paraId="06849C8C"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8765FCF" w14:textId="77777777" w:rsidR="008E67EA" w:rsidRPr="00063878" w:rsidRDefault="008E67EA" w:rsidP="00B44A74">
            <w:pPr>
              <w:spacing w:line="280" w:lineRule="exact"/>
              <w:rPr>
                <w:rFonts w:cs="Arial"/>
                <w:sz w:val="20"/>
                <w:szCs w:val="20"/>
              </w:rPr>
            </w:pPr>
          </w:p>
        </w:tc>
      </w:tr>
      <w:tr w:rsidR="008E67EA" w:rsidRPr="002B5B5B" w14:paraId="30EA12D9"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1B12A6B" w14:textId="77777777" w:rsidR="008E67EA" w:rsidRPr="00F5215F" w:rsidRDefault="008E67EA" w:rsidP="00B44A74">
            <w:pPr>
              <w:spacing w:line="280" w:lineRule="exact"/>
              <w:rPr>
                <w:rFonts w:cs="Arial"/>
                <w:sz w:val="20"/>
                <w:szCs w:val="20"/>
              </w:rPr>
            </w:pPr>
            <w:r w:rsidRPr="00F5215F">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04B50E16" w14:textId="77777777" w:rsidR="008E67EA" w:rsidRPr="00063878" w:rsidRDefault="008E67EA" w:rsidP="00B44A74">
            <w:pPr>
              <w:spacing w:line="280" w:lineRule="exact"/>
              <w:rPr>
                <w:rFonts w:cs="Arial"/>
                <w:sz w:val="20"/>
                <w:szCs w:val="20"/>
              </w:rPr>
            </w:pPr>
            <w:r w:rsidRPr="00063878">
              <w:rPr>
                <w:rFonts w:cs="Arial"/>
                <w:sz w:val="20"/>
                <w:szCs w:val="20"/>
              </w:rPr>
              <w:t>[INSERT NET CONTENTS]</w:t>
            </w:r>
          </w:p>
        </w:tc>
      </w:tr>
      <w:tr w:rsidR="008E67EA" w:rsidRPr="002B5B5B" w14:paraId="3AA6FB07" w14:textId="77777777" w:rsidTr="00B44A74">
        <w:trPr>
          <w:jc w:val="center"/>
        </w:trPr>
        <w:tc>
          <w:tcPr>
            <w:tcW w:w="2415" w:type="dxa"/>
            <w:tcBorders>
              <w:top w:val="single" w:sz="4" w:space="0" w:color="auto"/>
              <w:left w:val="nil"/>
              <w:bottom w:val="single" w:sz="4" w:space="0" w:color="auto"/>
              <w:right w:val="nil"/>
            </w:tcBorders>
          </w:tcPr>
          <w:p w14:paraId="1EE1E9CA"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BD2A23E" w14:textId="77777777" w:rsidR="008E67EA" w:rsidRPr="00063878" w:rsidRDefault="008E67EA" w:rsidP="00B44A74">
            <w:pPr>
              <w:spacing w:line="280" w:lineRule="exact"/>
              <w:rPr>
                <w:rFonts w:cs="Arial"/>
                <w:sz w:val="20"/>
                <w:szCs w:val="20"/>
              </w:rPr>
            </w:pPr>
          </w:p>
        </w:tc>
      </w:tr>
      <w:tr w:rsidR="008E67EA" w:rsidRPr="002B5B5B" w14:paraId="49C28AC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2F91D40" w14:textId="77777777" w:rsidR="008E67EA" w:rsidRPr="00F5215F" w:rsidRDefault="008E67EA" w:rsidP="00B44A74">
            <w:pPr>
              <w:spacing w:line="280" w:lineRule="exact"/>
              <w:rPr>
                <w:rFonts w:cs="Arial"/>
                <w:sz w:val="20"/>
                <w:szCs w:val="20"/>
              </w:rPr>
            </w:pPr>
            <w:r w:rsidRPr="00F5215F">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19E3F4B2" w14:textId="77777777" w:rsidR="008E67EA" w:rsidRPr="00063878" w:rsidRDefault="008E67EA" w:rsidP="00B44A74">
            <w:pPr>
              <w:spacing w:line="280" w:lineRule="exact"/>
              <w:rPr>
                <w:rFonts w:cs="Arial"/>
                <w:sz w:val="20"/>
                <w:szCs w:val="20"/>
              </w:rPr>
            </w:pPr>
            <w:r w:rsidRPr="00063878">
              <w:rPr>
                <w:rFonts w:cs="Arial"/>
                <w:sz w:val="20"/>
                <w:szCs w:val="20"/>
              </w:rPr>
              <w:t>RESTRAINTS</w:t>
            </w:r>
          </w:p>
          <w:p w14:paraId="592F1F56" w14:textId="77777777" w:rsidR="008E67EA" w:rsidRPr="00063878" w:rsidRDefault="008E67EA" w:rsidP="00B44A74">
            <w:pPr>
              <w:spacing w:line="280" w:lineRule="exact"/>
              <w:rPr>
                <w:rFonts w:cs="Arial"/>
                <w:sz w:val="20"/>
                <w:szCs w:val="20"/>
              </w:rPr>
            </w:pPr>
            <w:r w:rsidRPr="00063878">
              <w:rPr>
                <w:rFonts w:cs="Arial"/>
                <w:sz w:val="20"/>
                <w:szCs w:val="20"/>
              </w:rPr>
              <w:t>DO NOT use this product unless you have a current qualification in the nationally recognised training course for rodent pest management CPPUPM3006 - Manage pests by applying pesticides, or an equivalent unit of competency.</w:t>
            </w:r>
          </w:p>
          <w:p w14:paraId="7FD21BCD" w14:textId="4683E05E" w:rsidR="008E67EA" w:rsidRPr="00063878" w:rsidRDefault="008E67EA" w:rsidP="00B44A74">
            <w:pPr>
              <w:spacing w:line="280" w:lineRule="exact"/>
              <w:rPr>
                <w:rFonts w:cs="Arial"/>
                <w:sz w:val="20"/>
                <w:szCs w:val="20"/>
              </w:rPr>
            </w:pPr>
            <w:r w:rsidRPr="00063878">
              <w:rPr>
                <w:rFonts w:cs="Arial"/>
                <w:sz w:val="20"/>
                <w:szCs w:val="20"/>
              </w:rPr>
              <w:t>DO NOT place baits in areas that are accessible to children. In child-accessible areas baits must be placed in tamper-</w:t>
            </w:r>
            <w:r>
              <w:rPr>
                <w:rFonts w:cs="Arial"/>
                <w:sz w:val="20"/>
                <w:szCs w:val="20"/>
              </w:rPr>
              <w:t>resistant</w:t>
            </w:r>
            <w:r w:rsidRPr="00063878">
              <w:rPr>
                <w:rFonts w:cs="Arial"/>
                <w:sz w:val="20"/>
                <w:szCs w:val="20"/>
              </w:rPr>
              <w:t xml:space="preserve"> bait stations. If bait can be dislodged from bait station, bait station must be secured in place.</w:t>
            </w:r>
          </w:p>
          <w:p w14:paraId="3A818773" w14:textId="77777777" w:rsidR="008E67EA" w:rsidRPr="00063878" w:rsidRDefault="008E67EA" w:rsidP="00B44A74">
            <w:pPr>
              <w:spacing w:line="280" w:lineRule="exact"/>
              <w:rPr>
                <w:rFonts w:cs="Arial"/>
                <w:sz w:val="20"/>
                <w:szCs w:val="20"/>
              </w:rPr>
            </w:pPr>
            <w:r w:rsidRPr="00063878">
              <w:rPr>
                <w:rFonts w:cs="Arial"/>
                <w:sz w:val="20"/>
                <w:szCs w:val="20"/>
              </w:rPr>
              <w:t>DO NOT place bait outdoors unless it is in a tamper-</w:t>
            </w:r>
            <w:r>
              <w:rPr>
                <w:rFonts w:cs="Arial"/>
                <w:sz w:val="20"/>
                <w:szCs w:val="20"/>
              </w:rPr>
              <w:t>resistant</w:t>
            </w:r>
            <w:r w:rsidRPr="00063878">
              <w:rPr>
                <w:rFonts w:cs="Arial"/>
                <w:sz w:val="20"/>
                <w:szCs w:val="20"/>
              </w:rPr>
              <w:t xml:space="preserve"> bait station which is secured in place.</w:t>
            </w:r>
          </w:p>
          <w:p w14:paraId="163629E9" w14:textId="77777777" w:rsidR="008E67EA" w:rsidRPr="00063878" w:rsidRDefault="008E67EA" w:rsidP="00B44A74">
            <w:pPr>
              <w:spacing w:line="280" w:lineRule="exact"/>
              <w:rPr>
                <w:rFonts w:cs="Arial"/>
                <w:sz w:val="20"/>
                <w:szCs w:val="20"/>
              </w:rPr>
            </w:pPr>
            <w:r w:rsidRPr="00063878">
              <w:rPr>
                <w:rFonts w:cs="Arial"/>
                <w:sz w:val="20"/>
                <w:szCs w:val="20"/>
              </w:rPr>
              <w:t>DO NOT place bait stations more than 2 meters from buildings.</w:t>
            </w:r>
          </w:p>
          <w:p w14:paraId="36F28F09" w14:textId="77777777" w:rsidR="008E67EA" w:rsidRPr="00063878" w:rsidRDefault="008E67EA" w:rsidP="00B44A74">
            <w:pPr>
              <w:spacing w:line="280" w:lineRule="exact"/>
              <w:rPr>
                <w:rFonts w:cs="Arial"/>
                <w:sz w:val="20"/>
                <w:szCs w:val="20"/>
              </w:rPr>
            </w:pPr>
            <w:r w:rsidRPr="00063878">
              <w:rPr>
                <w:rFonts w:cs="Arial"/>
                <w:sz w:val="20"/>
                <w:szCs w:val="20"/>
              </w:rPr>
              <w:t>DO NOT place bait stations outdoors around buildings for control of mice.</w:t>
            </w:r>
          </w:p>
          <w:p w14:paraId="12661960" w14:textId="77777777" w:rsidR="008E67EA" w:rsidRPr="00063878" w:rsidRDefault="008E67EA" w:rsidP="00B44A74">
            <w:pPr>
              <w:spacing w:line="280" w:lineRule="exact"/>
              <w:rPr>
                <w:rFonts w:cs="Arial"/>
                <w:sz w:val="20"/>
                <w:szCs w:val="20"/>
              </w:rPr>
            </w:pPr>
            <w:r w:rsidRPr="00063878">
              <w:rPr>
                <w:rFonts w:cs="Arial"/>
                <w:sz w:val="20"/>
                <w:szCs w:val="20"/>
              </w:rPr>
              <w:t>DO NOT bait in areas where wildlife may be collected for human consumption.</w:t>
            </w:r>
          </w:p>
          <w:p w14:paraId="71E827D4" w14:textId="77777777" w:rsidR="008E67EA" w:rsidRPr="00063878" w:rsidRDefault="008E67EA" w:rsidP="00B44A74">
            <w:pPr>
              <w:spacing w:line="280" w:lineRule="exact"/>
              <w:rPr>
                <w:rFonts w:cs="Arial"/>
                <w:sz w:val="20"/>
                <w:szCs w:val="20"/>
              </w:rPr>
            </w:pPr>
            <w:r w:rsidRPr="00063878">
              <w:rPr>
                <w:rFonts w:cs="Arial"/>
                <w:sz w:val="20"/>
                <w:szCs w:val="20"/>
              </w:rPr>
              <w:t>DO NOT place in animal or livestock housing unless used in tamper-</w:t>
            </w:r>
            <w:r>
              <w:rPr>
                <w:rFonts w:cs="Arial"/>
                <w:sz w:val="20"/>
                <w:szCs w:val="20"/>
              </w:rPr>
              <w:t>resistant</w:t>
            </w:r>
            <w:r w:rsidRPr="00063878">
              <w:rPr>
                <w:rFonts w:cs="Arial"/>
                <w:sz w:val="20"/>
                <w:szCs w:val="20"/>
              </w:rPr>
              <w:t xml:space="preserve"> and weather</w:t>
            </w:r>
            <w:r>
              <w:rPr>
                <w:rFonts w:cs="Arial"/>
                <w:sz w:val="20"/>
                <w:szCs w:val="20"/>
              </w:rPr>
              <w:t>-</w:t>
            </w:r>
            <w:r w:rsidRPr="00063878">
              <w:rPr>
                <w:rFonts w:cs="Arial"/>
                <w:sz w:val="20"/>
                <w:szCs w:val="20"/>
              </w:rPr>
              <w:t>resistant bait stations fixed to the ground or other structures.</w:t>
            </w:r>
          </w:p>
          <w:p w14:paraId="724CD371" w14:textId="77777777" w:rsidR="008E67EA" w:rsidRPr="00063878" w:rsidRDefault="008E67EA" w:rsidP="00B44A74">
            <w:pPr>
              <w:spacing w:line="280" w:lineRule="exact"/>
              <w:rPr>
                <w:rFonts w:cs="Arial"/>
                <w:sz w:val="20"/>
                <w:szCs w:val="20"/>
              </w:rPr>
            </w:pPr>
            <w:r w:rsidRPr="00063878">
              <w:rPr>
                <w:rFonts w:cs="Arial"/>
                <w:sz w:val="20"/>
                <w:szCs w:val="20"/>
              </w:rPr>
              <w:t>DO NOT place bait or bait stations above areas which would allow them to contaminate pig and poultry food or drinking water.</w:t>
            </w:r>
          </w:p>
          <w:p w14:paraId="085897C1" w14:textId="77777777" w:rsidR="008E67EA" w:rsidRPr="00063878" w:rsidRDefault="008E67EA" w:rsidP="00B44A74">
            <w:pPr>
              <w:spacing w:line="280" w:lineRule="exact"/>
              <w:rPr>
                <w:rFonts w:cs="Arial"/>
                <w:sz w:val="20"/>
                <w:szCs w:val="20"/>
              </w:rPr>
            </w:pPr>
            <w:r w:rsidRPr="00063878">
              <w:rPr>
                <w:rFonts w:cs="Arial"/>
                <w:sz w:val="20"/>
                <w:szCs w:val="20"/>
              </w:rPr>
              <w:t>DO NOT apply this product directly into burrows.</w:t>
            </w:r>
          </w:p>
        </w:tc>
      </w:tr>
      <w:tr w:rsidR="008E67EA" w:rsidRPr="002B5B5B" w14:paraId="1D984459" w14:textId="77777777" w:rsidTr="00B44A74">
        <w:trPr>
          <w:jc w:val="center"/>
        </w:trPr>
        <w:tc>
          <w:tcPr>
            <w:tcW w:w="2415" w:type="dxa"/>
            <w:tcBorders>
              <w:top w:val="single" w:sz="4" w:space="0" w:color="auto"/>
              <w:left w:val="nil"/>
              <w:bottom w:val="single" w:sz="4" w:space="0" w:color="auto"/>
              <w:right w:val="nil"/>
            </w:tcBorders>
          </w:tcPr>
          <w:p w14:paraId="4752A898"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91AA0D1" w14:textId="77777777" w:rsidR="008E67EA" w:rsidRPr="00063878" w:rsidRDefault="008E67EA" w:rsidP="00B44A74">
            <w:pPr>
              <w:spacing w:line="280" w:lineRule="exact"/>
              <w:rPr>
                <w:rFonts w:cs="Arial"/>
                <w:sz w:val="20"/>
                <w:szCs w:val="20"/>
              </w:rPr>
            </w:pPr>
          </w:p>
        </w:tc>
      </w:tr>
      <w:tr w:rsidR="008E67EA" w:rsidRPr="002B5B5B" w14:paraId="4160D28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582DCAD" w14:textId="77777777" w:rsidR="008E67EA" w:rsidRPr="00F5215F" w:rsidRDefault="008E67EA" w:rsidP="00B44A74">
            <w:pPr>
              <w:spacing w:line="280" w:lineRule="exact"/>
              <w:rPr>
                <w:rFonts w:cs="Arial"/>
                <w:sz w:val="20"/>
                <w:szCs w:val="20"/>
              </w:rPr>
            </w:pPr>
            <w:r w:rsidRPr="00F5215F">
              <w:rPr>
                <w:rFonts w:cs="Arial"/>
                <w:sz w:val="20"/>
                <w:szCs w:val="20"/>
              </w:rPr>
              <w:t>Directions for Use:</w:t>
            </w:r>
          </w:p>
        </w:tc>
        <w:tc>
          <w:tcPr>
            <w:tcW w:w="7755" w:type="dxa"/>
            <w:tcBorders>
              <w:top w:val="single" w:sz="4" w:space="0" w:color="auto"/>
              <w:left w:val="single" w:sz="4" w:space="0" w:color="auto"/>
              <w:bottom w:val="single" w:sz="4" w:space="0" w:color="auto"/>
              <w:right w:val="single" w:sz="4" w:space="0" w:color="auto"/>
            </w:tcBorders>
          </w:tcPr>
          <w:p w14:paraId="3858CA97" w14:textId="77777777" w:rsidR="008E67EA" w:rsidRPr="00063878" w:rsidRDefault="008E67EA" w:rsidP="00B44A74">
            <w:pPr>
              <w:spacing w:line="280" w:lineRule="exact"/>
              <w:rPr>
                <w:rFonts w:cs="Arial"/>
                <w:sz w:val="20"/>
                <w:szCs w:val="20"/>
              </w:rPr>
            </w:pPr>
            <w:r w:rsidRPr="00B832BB">
              <w:rPr>
                <w:rFonts w:cs="Arial"/>
                <w:sz w:val="20"/>
                <w:szCs w:val="20"/>
              </w:rPr>
              <w:t>[This section contains an attachment below]</w:t>
            </w:r>
          </w:p>
        </w:tc>
      </w:tr>
      <w:tr w:rsidR="008E67EA" w:rsidRPr="002B5B5B" w14:paraId="47A7FF80" w14:textId="77777777" w:rsidTr="00B44A74">
        <w:trPr>
          <w:jc w:val="center"/>
        </w:trPr>
        <w:tc>
          <w:tcPr>
            <w:tcW w:w="2415" w:type="dxa"/>
            <w:tcBorders>
              <w:top w:val="single" w:sz="4" w:space="0" w:color="auto"/>
              <w:left w:val="nil"/>
              <w:bottom w:val="single" w:sz="4" w:space="0" w:color="auto"/>
              <w:right w:val="nil"/>
            </w:tcBorders>
          </w:tcPr>
          <w:p w14:paraId="3A787BED"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B36FD81" w14:textId="77777777" w:rsidR="008E67EA" w:rsidRPr="00063878" w:rsidRDefault="008E67EA" w:rsidP="00B44A74">
            <w:pPr>
              <w:spacing w:line="280" w:lineRule="exact"/>
              <w:rPr>
                <w:rFonts w:cs="Arial"/>
                <w:sz w:val="20"/>
                <w:szCs w:val="20"/>
              </w:rPr>
            </w:pPr>
          </w:p>
        </w:tc>
      </w:tr>
      <w:tr w:rsidR="008E67EA" w:rsidRPr="002B5B5B" w14:paraId="5F0D209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301AFD6" w14:textId="77777777" w:rsidR="008E67EA" w:rsidRPr="00F5215F" w:rsidRDefault="008E67EA" w:rsidP="00B44A74">
            <w:pPr>
              <w:spacing w:line="280" w:lineRule="exact"/>
              <w:rPr>
                <w:rFonts w:cs="Arial"/>
                <w:sz w:val="20"/>
                <w:szCs w:val="20"/>
              </w:rPr>
            </w:pPr>
            <w:r w:rsidRPr="00F5215F">
              <w:rPr>
                <w:rFonts w:cs="Arial"/>
                <w:sz w:val="20"/>
                <w:szCs w:val="20"/>
              </w:rPr>
              <w:t>Other Limitations:</w:t>
            </w:r>
          </w:p>
        </w:tc>
        <w:tc>
          <w:tcPr>
            <w:tcW w:w="7755" w:type="dxa"/>
            <w:tcBorders>
              <w:top w:val="single" w:sz="4" w:space="0" w:color="auto"/>
              <w:left w:val="single" w:sz="4" w:space="0" w:color="auto"/>
              <w:bottom w:val="single" w:sz="4" w:space="0" w:color="auto"/>
              <w:right w:val="single" w:sz="4" w:space="0" w:color="auto"/>
            </w:tcBorders>
          </w:tcPr>
          <w:p w14:paraId="42C37285" w14:textId="77777777" w:rsidR="008E67EA" w:rsidRPr="00063878" w:rsidRDefault="008E67EA" w:rsidP="00B44A74">
            <w:pPr>
              <w:spacing w:line="280" w:lineRule="exact"/>
              <w:rPr>
                <w:rFonts w:cs="Arial"/>
                <w:sz w:val="20"/>
                <w:szCs w:val="20"/>
              </w:rPr>
            </w:pPr>
          </w:p>
        </w:tc>
      </w:tr>
      <w:tr w:rsidR="008E67EA" w:rsidRPr="002B5B5B" w14:paraId="33D526EF" w14:textId="77777777" w:rsidTr="00B44A74">
        <w:trPr>
          <w:jc w:val="center"/>
        </w:trPr>
        <w:tc>
          <w:tcPr>
            <w:tcW w:w="2415" w:type="dxa"/>
            <w:tcBorders>
              <w:top w:val="single" w:sz="4" w:space="0" w:color="auto"/>
              <w:left w:val="nil"/>
              <w:bottom w:val="single" w:sz="4" w:space="0" w:color="auto"/>
              <w:right w:val="nil"/>
            </w:tcBorders>
          </w:tcPr>
          <w:p w14:paraId="15A95878"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CB3ABDE" w14:textId="77777777" w:rsidR="008E67EA" w:rsidRPr="00063878" w:rsidRDefault="008E67EA" w:rsidP="00B44A74">
            <w:pPr>
              <w:spacing w:line="280" w:lineRule="exact"/>
              <w:rPr>
                <w:rFonts w:cs="Arial"/>
                <w:sz w:val="20"/>
                <w:szCs w:val="20"/>
              </w:rPr>
            </w:pPr>
          </w:p>
        </w:tc>
      </w:tr>
      <w:tr w:rsidR="008E67EA" w:rsidRPr="002B5B5B" w14:paraId="1AADCA0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3437D03" w14:textId="77777777" w:rsidR="008E67EA" w:rsidRPr="00F5215F" w:rsidRDefault="008E67EA" w:rsidP="00B44A74">
            <w:pPr>
              <w:spacing w:line="280" w:lineRule="exact"/>
              <w:rPr>
                <w:rFonts w:cs="Arial"/>
                <w:sz w:val="20"/>
                <w:szCs w:val="20"/>
              </w:rPr>
            </w:pPr>
            <w:r w:rsidRPr="00F5215F">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1F1F9BEE" w14:textId="77777777" w:rsidR="008E67EA" w:rsidRPr="00063878" w:rsidRDefault="008E67EA" w:rsidP="00B44A74">
            <w:pPr>
              <w:spacing w:line="280" w:lineRule="exact"/>
              <w:rPr>
                <w:rFonts w:cs="Arial"/>
                <w:sz w:val="20"/>
                <w:szCs w:val="20"/>
              </w:rPr>
            </w:pPr>
          </w:p>
        </w:tc>
      </w:tr>
      <w:tr w:rsidR="008E67EA" w:rsidRPr="002B5B5B" w14:paraId="5426AAF6" w14:textId="77777777" w:rsidTr="00B44A74">
        <w:trPr>
          <w:jc w:val="center"/>
        </w:trPr>
        <w:tc>
          <w:tcPr>
            <w:tcW w:w="2415" w:type="dxa"/>
            <w:tcBorders>
              <w:top w:val="single" w:sz="4" w:space="0" w:color="auto"/>
              <w:left w:val="nil"/>
              <w:bottom w:val="single" w:sz="4" w:space="0" w:color="auto"/>
              <w:right w:val="nil"/>
            </w:tcBorders>
          </w:tcPr>
          <w:p w14:paraId="182B92AF"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AA702E3" w14:textId="77777777" w:rsidR="008E67EA" w:rsidRPr="00063878" w:rsidRDefault="008E67EA" w:rsidP="00B44A74">
            <w:pPr>
              <w:spacing w:line="280" w:lineRule="exact"/>
              <w:rPr>
                <w:rFonts w:cs="Arial"/>
                <w:sz w:val="20"/>
                <w:szCs w:val="20"/>
              </w:rPr>
            </w:pPr>
          </w:p>
        </w:tc>
      </w:tr>
      <w:tr w:rsidR="008E67EA" w:rsidRPr="002B5B5B" w14:paraId="076F279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A7979CE" w14:textId="77777777" w:rsidR="008E67EA" w:rsidRPr="00F5215F" w:rsidRDefault="008E67EA" w:rsidP="00B44A74">
            <w:pPr>
              <w:spacing w:line="280" w:lineRule="exact"/>
              <w:rPr>
                <w:rFonts w:cs="Arial"/>
                <w:sz w:val="20"/>
                <w:szCs w:val="20"/>
              </w:rPr>
            </w:pPr>
            <w:r w:rsidRPr="00F5215F">
              <w:rPr>
                <w:rFonts w:cs="Arial"/>
                <w:sz w:val="20"/>
                <w:szCs w:val="20"/>
              </w:rPr>
              <w:t>Trade Advice:</w:t>
            </w:r>
          </w:p>
        </w:tc>
        <w:tc>
          <w:tcPr>
            <w:tcW w:w="7755" w:type="dxa"/>
            <w:tcBorders>
              <w:top w:val="single" w:sz="4" w:space="0" w:color="auto"/>
              <w:left w:val="single" w:sz="4" w:space="0" w:color="auto"/>
              <w:bottom w:val="single" w:sz="4" w:space="0" w:color="auto"/>
              <w:right w:val="single" w:sz="4" w:space="0" w:color="auto"/>
            </w:tcBorders>
          </w:tcPr>
          <w:p w14:paraId="5142B6E4" w14:textId="77777777" w:rsidR="008E67EA" w:rsidRPr="00063878" w:rsidRDefault="008E67EA" w:rsidP="00B44A74">
            <w:pPr>
              <w:spacing w:line="280" w:lineRule="exact"/>
              <w:rPr>
                <w:rFonts w:cs="Arial"/>
                <w:sz w:val="20"/>
                <w:szCs w:val="20"/>
              </w:rPr>
            </w:pPr>
          </w:p>
        </w:tc>
      </w:tr>
      <w:tr w:rsidR="008E67EA" w:rsidRPr="002B5B5B" w14:paraId="3F0C2E53" w14:textId="77777777" w:rsidTr="00B44A74">
        <w:trPr>
          <w:jc w:val="center"/>
        </w:trPr>
        <w:tc>
          <w:tcPr>
            <w:tcW w:w="2415" w:type="dxa"/>
            <w:tcBorders>
              <w:top w:val="single" w:sz="4" w:space="0" w:color="auto"/>
              <w:left w:val="nil"/>
              <w:bottom w:val="single" w:sz="4" w:space="0" w:color="auto"/>
              <w:right w:val="nil"/>
            </w:tcBorders>
          </w:tcPr>
          <w:p w14:paraId="4E4F8342"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B6B50EB" w14:textId="77777777" w:rsidR="008E67EA" w:rsidRPr="00063878" w:rsidRDefault="008E67EA" w:rsidP="00B44A74">
            <w:pPr>
              <w:spacing w:line="280" w:lineRule="exact"/>
              <w:rPr>
                <w:rFonts w:cs="Arial"/>
                <w:sz w:val="20"/>
                <w:szCs w:val="20"/>
              </w:rPr>
            </w:pPr>
          </w:p>
        </w:tc>
      </w:tr>
      <w:tr w:rsidR="008E67EA" w:rsidRPr="002B5B5B" w14:paraId="544B5F5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159EFA8" w14:textId="77777777" w:rsidR="008E67EA" w:rsidRPr="00F5215F" w:rsidRDefault="008E67EA" w:rsidP="00B44A74">
            <w:pPr>
              <w:spacing w:line="280" w:lineRule="exact"/>
              <w:rPr>
                <w:rFonts w:cs="Arial"/>
                <w:sz w:val="20"/>
                <w:szCs w:val="20"/>
              </w:rPr>
            </w:pPr>
            <w:r w:rsidRPr="00F5215F">
              <w:rPr>
                <w:rFonts w:cs="Arial"/>
                <w:sz w:val="20"/>
                <w:szCs w:val="20"/>
              </w:rPr>
              <w:t>General Directions:</w:t>
            </w:r>
          </w:p>
        </w:tc>
        <w:tc>
          <w:tcPr>
            <w:tcW w:w="7755" w:type="dxa"/>
            <w:tcBorders>
              <w:top w:val="single" w:sz="4" w:space="0" w:color="auto"/>
              <w:left w:val="single" w:sz="4" w:space="0" w:color="auto"/>
              <w:bottom w:val="single" w:sz="4" w:space="0" w:color="auto"/>
              <w:right w:val="single" w:sz="4" w:space="0" w:color="auto"/>
            </w:tcBorders>
          </w:tcPr>
          <w:p w14:paraId="024BE124" w14:textId="77777777" w:rsidR="008E67EA" w:rsidRPr="00720625" w:rsidRDefault="008E67EA" w:rsidP="00B44A74">
            <w:pPr>
              <w:spacing w:line="280" w:lineRule="exact"/>
              <w:rPr>
                <w:rFonts w:cs="Arial"/>
                <w:sz w:val="20"/>
                <w:szCs w:val="20"/>
              </w:rPr>
            </w:pPr>
            <w:r w:rsidRPr="00720625">
              <w:rPr>
                <w:rFonts w:cs="Arial"/>
                <w:sz w:val="20"/>
                <w:szCs w:val="20"/>
              </w:rPr>
              <w:t>GENERAL INSTRUCTIONS</w:t>
            </w:r>
          </w:p>
          <w:p w14:paraId="3408E524" w14:textId="77777777" w:rsidR="008E67EA" w:rsidRPr="00063878" w:rsidRDefault="008E67EA" w:rsidP="00B44A74">
            <w:pPr>
              <w:spacing w:line="280" w:lineRule="exact"/>
              <w:rPr>
                <w:rFonts w:cs="Arial"/>
                <w:sz w:val="20"/>
                <w:szCs w:val="20"/>
              </w:rPr>
            </w:pPr>
            <w:r w:rsidRPr="00720625">
              <w:rPr>
                <w:rFonts w:cs="Arial"/>
                <w:sz w:val="20"/>
                <w:szCs w:val="20"/>
              </w:rPr>
              <w:lastRenderedPageBreak/>
              <w:t>The baits are ready to use-do not unwrap individual baits. Rats and mice will chew through</w:t>
            </w:r>
            <w:r>
              <w:rPr>
                <w:rFonts w:cs="Arial"/>
                <w:sz w:val="20"/>
                <w:szCs w:val="20"/>
              </w:rPr>
              <w:t xml:space="preserve"> </w:t>
            </w:r>
            <w:r w:rsidRPr="00720625">
              <w:rPr>
                <w:rFonts w:cs="Arial"/>
                <w:sz w:val="20"/>
                <w:szCs w:val="20"/>
              </w:rPr>
              <w:t>the wrapper.</w:t>
            </w:r>
          </w:p>
        </w:tc>
      </w:tr>
      <w:tr w:rsidR="008E67EA" w:rsidRPr="002B5B5B" w14:paraId="1356C2D1" w14:textId="77777777" w:rsidTr="00B44A74">
        <w:trPr>
          <w:jc w:val="center"/>
        </w:trPr>
        <w:tc>
          <w:tcPr>
            <w:tcW w:w="2415" w:type="dxa"/>
            <w:tcBorders>
              <w:top w:val="single" w:sz="4" w:space="0" w:color="auto"/>
              <w:left w:val="nil"/>
              <w:bottom w:val="single" w:sz="4" w:space="0" w:color="auto"/>
              <w:right w:val="nil"/>
            </w:tcBorders>
          </w:tcPr>
          <w:p w14:paraId="6A962FA0"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EADF9D9" w14:textId="77777777" w:rsidR="008E67EA" w:rsidRPr="00063878" w:rsidRDefault="008E67EA" w:rsidP="00B44A74">
            <w:pPr>
              <w:spacing w:line="280" w:lineRule="exact"/>
              <w:rPr>
                <w:rFonts w:cs="Arial"/>
                <w:sz w:val="20"/>
                <w:szCs w:val="20"/>
              </w:rPr>
            </w:pPr>
          </w:p>
        </w:tc>
      </w:tr>
      <w:tr w:rsidR="008E67EA" w:rsidRPr="002B5B5B" w14:paraId="2CEF405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27C7C42" w14:textId="77777777" w:rsidR="008E67EA" w:rsidRPr="00F5215F" w:rsidRDefault="008E67EA" w:rsidP="00B44A74">
            <w:pPr>
              <w:spacing w:line="280" w:lineRule="exact"/>
              <w:rPr>
                <w:rFonts w:cs="Arial"/>
                <w:sz w:val="20"/>
                <w:szCs w:val="20"/>
              </w:rPr>
            </w:pPr>
            <w:r w:rsidRPr="00F5215F">
              <w:rPr>
                <w:rFonts w:cs="Arial"/>
                <w:sz w:val="20"/>
                <w:szCs w:val="20"/>
              </w:rPr>
              <w:t>Resistance Warning:</w:t>
            </w:r>
          </w:p>
        </w:tc>
        <w:tc>
          <w:tcPr>
            <w:tcW w:w="7755" w:type="dxa"/>
            <w:tcBorders>
              <w:top w:val="single" w:sz="4" w:space="0" w:color="auto"/>
              <w:left w:val="single" w:sz="4" w:space="0" w:color="auto"/>
              <w:bottom w:val="single" w:sz="4" w:space="0" w:color="auto"/>
              <w:right w:val="single" w:sz="4" w:space="0" w:color="auto"/>
            </w:tcBorders>
          </w:tcPr>
          <w:p w14:paraId="7CB7A985" w14:textId="77777777" w:rsidR="008E67EA" w:rsidRPr="00063878" w:rsidRDefault="008E67EA" w:rsidP="00B44A74">
            <w:pPr>
              <w:spacing w:line="280" w:lineRule="exact"/>
              <w:rPr>
                <w:rFonts w:cs="Arial"/>
                <w:sz w:val="20"/>
                <w:szCs w:val="20"/>
              </w:rPr>
            </w:pPr>
          </w:p>
        </w:tc>
      </w:tr>
      <w:tr w:rsidR="008E67EA" w:rsidRPr="002B5B5B" w14:paraId="34D98DB9" w14:textId="77777777" w:rsidTr="00B44A74">
        <w:trPr>
          <w:jc w:val="center"/>
        </w:trPr>
        <w:tc>
          <w:tcPr>
            <w:tcW w:w="2415" w:type="dxa"/>
            <w:tcBorders>
              <w:top w:val="single" w:sz="4" w:space="0" w:color="auto"/>
              <w:left w:val="nil"/>
              <w:bottom w:val="single" w:sz="4" w:space="0" w:color="auto"/>
              <w:right w:val="nil"/>
            </w:tcBorders>
          </w:tcPr>
          <w:p w14:paraId="71841F19"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4A9E595" w14:textId="77777777" w:rsidR="008E67EA" w:rsidRPr="00063878" w:rsidRDefault="008E67EA" w:rsidP="00B44A74">
            <w:pPr>
              <w:spacing w:line="280" w:lineRule="exact"/>
              <w:rPr>
                <w:rFonts w:cs="Arial"/>
                <w:sz w:val="20"/>
                <w:szCs w:val="20"/>
              </w:rPr>
            </w:pPr>
          </w:p>
        </w:tc>
      </w:tr>
      <w:tr w:rsidR="008E67EA" w:rsidRPr="002B5B5B" w14:paraId="70CAED9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91ED125" w14:textId="77777777" w:rsidR="008E67EA" w:rsidRPr="00F5215F" w:rsidRDefault="008E67EA" w:rsidP="00B44A74">
            <w:pPr>
              <w:spacing w:line="280" w:lineRule="exact"/>
              <w:rPr>
                <w:rFonts w:cs="Arial"/>
                <w:sz w:val="20"/>
                <w:szCs w:val="20"/>
              </w:rPr>
            </w:pPr>
            <w:r w:rsidRPr="00F5215F">
              <w:rPr>
                <w:rFonts w:cs="Arial"/>
                <w:sz w:val="20"/>
                <w:szCs w:val="20"/>
              </w:rPr>
              <w:t>Precautions:</w:t>
            </w:r>
          </w:p>
        </w:tc>
        <w:tc>
          <w:tcPr>
            <w:tcW w:w="7755" w:type="dxa"/>
            <w:tcBorders>
              <w:top w:val="single" w:sz="4" w:space="0" w:color="auto"/>
              <w:left w:val="single" w:sz="4" w:space="0" w:color="auto"/>
              <w:bottom w:val="single" w:sz="4" w:space="0" w:color="auto"/>
              <w:right w:val="single" w:sz="4" w:space="0" w:color="auto"/>
            </w:tcBorders>
          </w:tcPr>
          <w:p w14:paraId="4E4A313D" w14:textId="77777777" w:rsidR="008E67EA" w:rsidRPr="00063878" w:rsidRDefault="008E67EA" w:rsidP="00B44A74">
            <w:pPr>
              <w:spacing w:line="280" w:lineRule="exact"/>
              <w:rPr>
                <w:rFonts w:cs="Arial"/>
                <w:sz w:val="20"/>
                <w:szCs w:val="20"/>
              </w:rPr>
            </w:pPr>
            <w:r w:rsidRPr="00063878">
              <w:rPr>
                <w:rFonts w:cs="Arial"/>
                <w:sz w:val="20"/>
                <w:szCs w:val="20"/>
              </w:rPr>
              <w:t>PRECAUTIONS</w:t>
            </w:r>
          </w:p>
          <w:p w14:paraId="0F4FBEDD" w14:textId="77777777" w:rsidR="008E67EA" w:rsidRPr="00063878" w:rsidRDefault="008E67EA" w:rsidP="00B44A74">
            <w:pPr>
              <w:spacing w:line="280" w:lineRule="exact"/>
              <w:rPr>
                <w:rFonts w:cs="Arial"/>
                <w:sz w:val="20"/>
                <w:szCs w:val="20"/>
              </w:rPr>
            </w:pPr>
            <w:r w:rsidRPr="00063878">
              <w:rPr>
                <w:rFonts w:cs="Arial"/>
                <w:sz w:val="20"/>
                <w:szCs w:val="20"/>
              </w:rPr>
              <w:t>Caution should be used when baiting near areas where hunting of wildlife may occur. Careful consideration of bait placement is necessary to avoid secondary exposure from contaminated wildlife that may be consumed.</w:t>
            </w:r>
          </w:p>
          <w:p w14:paraId="0159E5A0" w14:textId="77777777" w:rsidR="008E67EA" w:rsidRPr="00063878" w:rsidRDefault="008E67EA" w:rsidP="00B44A74">
            <w:pPr>
              <w:spacing w:line="280" w:lineRule="exact"/>
              <w:rPr>
                <w:rFonts w:cs="Arial"/>
                <w:sz w:val="20"/>
                <w:szCs w:val="20"/>
                <w:highlight w:val="yellow"/>
              </w:rPr>
            </w:pPr>
            <w:r w:rsidRPr="00063878">
              <w:rPr>
                <w:rFonts w:cs="Arial"/>
                <w:sz w:val="20"/>
                <w:szCs w:val="20"/>
              </w:rPr>
              <w:t>DO NOT place bait in areas where there is a possibility of contaminating food, livestock feed or surfaces that come in direct contact with food or livestock feed.</w:t>
            </w:r>
          </w:p>
        </w:tc>
      </w:tr>
      <w:tr w:rsidR="008E67EA" w:rsidRPr="002B5B5B" w14:paraId="4E53393F" w14:textId="77777777" w:rsidTr="00B44A74">
        <w:trPr>
          <w:jc w:val="center"/>
        </w:trPr>
        <w:tc>
          <w:tcPr>
            <w:tcW w:w="2415" w:type="dxa"/>
            <w:tcBorders>
              <w:top w:val="single" w:sz="4" w:space="0" w:color="auto"/>
              <w:left w:val="nil"/>
              <w:bottom w:val="single" w:sz="4" w:space="0" w:color="auto"/>
              <w:right w:val="nil"/>
            </w:tcBorders>
          </w:tcPr>
          <w:p w14:paraId="340971C1"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95DCB75" w14:textId="77777777" w:rsidR="008E67EA" w:rsidRPr="00063878" w:rsidRDefault="008E67EA" w:rsidP="00B44A74">
            <w:pPr>
              <w:spacing w:line="280" w:lineRule="exact"/>
              <w:rPr>
                <w:rFonts w:cs="Arial"/>
                <w:sz w:val="20"/>
                <w:szCs w:val="20"/>
              </w:rPr>
            </w:pPr>
          </w:p>
        </w:tc>
      </w:tr>
      <w:tr w:rsidR="008E67EA" w:rsidRPr="002B5B5B" w14:paraId="729E68F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9C7F562" w14:textId="77777777" w:rsidR="008E67EA" w:rsidRPr="00F5215F" w:rsidRDefault="008E67EA" w:rsidP="00B44A74">
            <w:pPr>
              <w:spacing w:line="280" w:lineRule="exact"/>
              <w:rPr>
                <w:rFonts w:cs="Arial"/>
                <w:sz w:val="20"/>
                <w:szCs w:val="20"/>
              </w:rPr>
            </w:pPr>
            <w:r w:rsidRPr="00F5215F">
              <w:rPr>
                <w:rFonts w:cs="Arial"/>
                <w:sz w:val="20"/>
                <w:szCs w:val="20"/>
              </w:rPr>
              <w:t>Protection Statements:</w:t>
            </w:r>
          </w:p>
        </w:tc>
        <w:tc>
          <w:tcPr>
            <w:tcW w:w="7755" w:type="dxa"/>
            <w:tcBorders>
              <w:top w:val="single" w:sz="4" w:space="0" w:color="auto"/>
              <w:left w:val="single" w:sz="4" w:space="0" w:color="auto"/>
              <w:bottom w:val="single" w:sz="4" w:space="0" w:color="auto"/>
              <w:right w:val="single" w:sz="4" w:space="0" w:color="auto"/>
            </w:tcBorders>
          </w:tcPr>
          <w:p w14:paraId="371DA617" w14:textId="77777777" w:rsidR="008E67EA" w:rsidRPr="00063878" w:rsidRDefault="008E67EA" w:rsidP="00B44A74">
            <w:pPr>
              <w:spacing w:line="280" w:lineRule="exact"/>
              <w:rPr>
                <w:rFonts w:cs="Arial"/>
                <w:sz w:val="20"/>
                <w:szCs w:val="20"/>
              </w:rPr>
            </w:pPr>
            <w:r w:rsidRPr="00063878">
              <w:rPr>
                <w:rFonts w:cs="Arial"/>
                <w:sz w:val="20"/>
                <w:szCs w:val="20"/>
              </w:rPr>
              <w:t>PROTECTION OF LIVESTOCK AND WILDLIFE</w:t>
            </w:r>
          </w:p>
          <w:p w14:paraId="07799301" w14:textId="77777777" w:rsidR="008E67EA" w:rsidRPr="00063878" w:rsidRDefault="008E67EA" w:rsidP="00B44A74">
            <w:pPr>
              <w:spacing w:line="280" w:lineRule="exact"/>
              <w:rPr>
                <w:rFonts w:cs="Arial"/>
                <w:sz w:val="20"/>
                <w:szCs w:val="20"/>
              </w:rPr>
            </w:pPr>
            <w:r w:rsidRPr="00063878">
              <w:rPr>
                <w:rFonts w:cs="Arial"/>
                <w:sz w:val="20"/>
                <w:szCs w:val="20"/>
              </w:rPr>
              <w:t>Hazardous to livestock, poultry and wildlife. DO NOT place baits in locations that are accessible to domestic animals, livestock, non-target native animals or birds.</w:t>
            </w:r>
          </w:p>
          <w:p w14:paraId="5E094E40" w14:textId="4C434067" w:rsidR="008E67EA" w:rsidRPr="00063878" w:rsidRDefault="008E67EA" w:rsidP="00B44A74">
            <w:pPr>
              <w:spacing w:line="280" w:lineRule="exact"/>
              <w:rPr>
                <w:rFonts w:cs="Arial"/>
                <w:sz w:val="20"/>
                <w:szCs w:val="20"/>
              </w:rPr>
            </w:pPr>
            <w:r w:rsidRPr="00063878">
              <w:rPr>
                <w:rFonts w:cs="Arial"/>
                <w:sz w:val="20"/>
                <w:szCs w:val="20"/>
              </w:rPr>
              <w:t>Search for and dispose of dead rodents and slugs/snails in the infested area at each visit to prevent secondary poisoning. In case slugs/snails are present, move bait station to another location within the rodent infested site, away from slugs/snails. Dispose of slugs/snails in a way non-target animals are not exposed. Dispose of dead rodents and uneaten bait in compliance with local, state or territory government regulations.</w:t>
            </w:r>
          </w:p>
          <w:p w14:paraId="260BD2A1" w14:textId="77777777" w:rsidR="008E67EA" w:rsidRPr="00063878" w:rsidRDefault="008E67EA" w:rsidP="00B44A74">
            <w:pPr>
              <w:spacing w:line="280" w:lineRule="exact"/>
              <w:rPr>
                <w:rFonts w:cs="Arial"/>
                <w:sz w:val="20"/>
                <w:szCs w:val="20"/>
              </w:rPr>
            </w:pPr>
            <w:r w:rsidRPr="00063878">
              <w:rPr>
                <w:rFonts w:cs="Arial"/>
                <w:sz w:val="20"/>
                <w:szCs w:val="20"/>
              </w:rPr>
              <w:t>DO NOT allow livestock or poultry to consume dead or moribund mice and rats. All dead or moribund animals and rodent faeces from baited rodents MUST be removed from areas accessible to livestock or poultry.</w:t>
            </w:r>
          </w:p>
          <w:p w14:paraId="2E9C3B1D" w14:textId="4B0A897B" w:rsidR="008E67EA" w:rsidRDefault="008E67EA" w:rsidP="00B44A74">
            <w:pPr>
              <w:spacing w:line="280" w:lineRule="exact"/>
              <w:rPr>
                <w:rFonts w:cs="Arial"/>
                <w:sz w:val="20"/>
                <w:szCs w:val="20"/>
              </w:rPr>
            </w:pPr>
            <w:r w:rsidRPr="00063878">
              <w:rPr>
                <w:rFonts w:cs="Arial"/>
                <w:sz w:val="20"/>
                <w:szCs w:val="20"/>
              </w:rPr>
              <w:t>DO NOT use this product to control native animals.</w:t>
            </w:r>
          </w:p>
          <w:p w14:paraId="3A948C18" w14:textId="77777777" w:rsidR="008E67EA" w:rsidRPr="00063878" w:rsidRDefault="008E67EA" w:rsidP="00B44A74">
            <w:pPr>
              <w:spacing w:line="280" w:lineRule="exact"/>
              <w:rPr>
                <w:rFonts w:cs="Arial"/>
                <w:sz w:val="20"/>
                <w:szCs w:val="20"/>
              </w:rPr>
            </w:pPr>
          </w:p>
          <w:p w14:paraId="6FCF5646" w14:textId="77777777" w:rsidR="008E67EA" w:rsidRPr="00063878" w:rsidRDefault="008E67EA" w:rsidP="00B44A74">
            <w:pPr>
              <w:spacing w:line="280" w:lineRule="exact"/>
              <w:rPr>
                <w:rFonts w:cs="Arial"/>
                <w:sz w:val="20"/>
                <w:szCs w:val="20"/>
              </w:rPr>
            </w:pPr>
            <w:r w:rsidRPr="00063878">
              <w:rPr>
                <w:rFonts w:cs="Arial"/>
                <w:sz w:val="20"/>
                <w:szCs w:val="20"/>
              </w:rPr>
              <w:t>PROTECTION OF FISH, CRUSTACEANS AND ENVIRONMENT</w:t>
            </w:r>
          </w:p>
          <w:p w14:paraId="002DA84E" w14:textId="6E491A42" w:rsidR="008E67EA" w:rsidRPr="00063878" w:rsidRDefault="008E67EA" w:rsidP="00B44A74">
            <w:pPr>
              <w:spacing w:line="280" w:lineRule="exact"/>
              <w:rPr>
                <w:rFonts w:cs="Arial"/>
                <w:sz w:val="20"/>
                <w:szCs w:val="20"/>
              </w:rPr>
            </w:pPr>
            <w:r w:rsidRPr="00063878">
              <w:rPr>
                <w:rFonts w:cs="Arial"/>
                <w:sz w:val="20"/>
                <w:szCs w:val="20"/>
              </w:rPr>
              <w:t>Very toxic to aquatic life. DO NOT contaminate wetlands or watercourses with this product or used containers. Place the bait stations in areas not liable to flooding. When placing bait stations close to water drainage systems, ensure that bait contact with water is avoided.</w:t>
            </w:r>
          </w:p>
        </w:tc>
      </w:tr>
      <w:tr w:rsidR="008E67EA" w:rsidRPr="002B5B5B" w14:paraId="78C3D620" w14:textId="77777777" w:rsidTr="00B44A74">
        <w:trPr>
          <w:jc w:val="center"/>
        </w:trPr>
        <w:tc>
          <w:tcPr>
            <w:tcW w:w="2415" w:type="dxa"/>
            <w:tcBorders>
              <w:top w:val="single" w:sz="4" w:space="0" w:color="auto"/>
              <w:left w:val="nil"/>
              <w:bottom w:val="single" w:sz="4" w:space="0" w:color="auto"/>
              <w:right w:val="nil"/>
            </w:tcBorders>
          </w:tcPr>
          <w:p w14:paraId="422DA126"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B8C19BA" w14:textId="77777777" w:rsidR="008E67EA" w:rsidRPr="00063878" w:rsidRDefault="008E67EA" w:rsidP="00B44A74">
            <w:pPr>
              <w:spacing w:line="280" w:lineRule="exact"/>
              <w:rPr>
                <w:rFonts w:cs="Arial"/>
                <w:sz w:val="20"/>
                <w:szCs w:val="20"/>
              </w:rPr>
            </w:pPr>
          </w:p>
        </w:tc>
      </w:tr>
      <w:tr w:rsidR="008E67EA" w:rsidRPr="002B5B5B" w14:paraId="7971C2B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BFA76A6" w14:textId="77777777" w:rsidR="008E67EA" w:rsidRPr="00F5215F" w:rsidRDefault="008E67EA" w:rsidP="00B44A74">
            <w:pPr>
              <w:spacing w:line="280" w:lineRule="exact"/>
              <w:rPr>
                <w:rFonts w:cs="Arial"/>
                <w:sz w:val="20"/>
                <w:szCs w:val="20"/>
              </w:rPr>
            </w:pPr>
            <w:r w:rsidRPr="00F5215F">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22A67CDF" w14:textId="77777777" w:rsidR="008E67EA" w:rsidRDefault="008E67EA" w:rsidP="00B44A74">
            <w:pPr>
              <w:spacing w:line="280" w:lineRule="exact"/>
              <w:rPr>
                <w:rFonts w:cs="Arial"/>
                <w:sz w:val="20"/>
                <w:szCs w:val="20"/>
              </w:rPr>
            </w:pPr>
            <w:r>
              <w:rPr>
                <w:rFonts w:cs="Arial"/>
                <w:sz w:val="20"/>
                <w:szCs w:val="20"/>
              </w:rPr>
              <w:t>STORAGE AND DISPOSAL</w:t>
            </w:r>
          </w:p>
          <w:p w14:paraId="68114430" w14:textId="77777777" w:rsidR="008E67EA" w:rsidRPr="00063878" w:rsidRDefault="008E67EA" w:rsidP="00B44A74">
            <w:pPr>
              <w:spacing w:line="280" w:lineRule="exact"/>
              <w:rPr>
                <w:rFonts w:cs="Arial"/>
                <w:sz w:val="20"/>
                <w:szCs w:val="20"/>
              </w:rPr>
            </w:pPr>
            <w:r w:rsidRPr="00063878">
              <w:rPr>
                <w:rFonts w:cs="Arial"/>
                <w:sz w:val="20"/>
                <w:szCs w:val="20"/>
              </w:rPr>
              <w:t>Store in the closed, original container in a dry, cool, well-ventilated area out of direct sunlight.</w:t>
            </w:r>
            <w:r>
              <w:rPr>
                <w:rFonts w:cs="Arial"/>
                <w:sz w:val="20"/>
                <w:szCs w:val="20"/>
              </w:rPr>
              <w:t xml:space="preserve"> </w:t>
            </w:r>
            <w:r w:rsidRPr="00063878">
              <w:rPr>
                <w:rFonts w:cs="Arial"/>
                <w:sz w:val="20"/>
                <w:szCs w:val="20"/>
              </w:rPr>
              <w:t xml:space="preserve">Triple rinse containers before disposal. Break, crush or puncture and deliver empty packaging to an approved waste management facility. If an approved waste management facility is not available, dispose of empty packaging in compliance with relevant local, state or territory government regulations. </w:t>
            </w:r>
            <w:r w:rsidRPr="005E538D">
              <w:rPr>
                <w:rFonts w:cs="Arial"/>
                <w:sz w:val="20"/>
                <w:szCs w:val="20"/>
                <w:bdr w:val="none" w:sz="0" w:space="0" w:color="auto" w:frame="1"/>
                <w:lang w:val="en-GB" w:eastAsia="en-AU"/>
              </w:rPr>
              <w:t>Dispose of unused product in compliance with relevant local, state or territory government regulations.</w:t>
            </w:r>
            <w:r>
              <w:rPr>
                <w:rFonts w:cs="Arial"/>
                <w:sz w:val="20"/>
                <w:szCs w:val="20"/>
                <w:bdr w:val="none" w:sz="0" w:space="0" w:color="auto" w:frame="1"/>
                <w:lang w:val="en-GB" w:eastAsia="en-AU"/>
              </w:rPr>
              <w:t xml:space="preserve"> </w:t>
            </w:r>
            <w:r w:rsidRPr="00063878">
              <w:rPr>
                <w:rFonts w:cs="Arial"/>
                <w:sz w:val="20"/>
                <w:szCs w:val="20"/>
              </w:rPr>
              <w:t>DO NOT burn empty containers or product.</w:t>
            </w:r>
          </w:p>
        </w:tc>
      </w:tr>
      <w:tr w:rsidR="008E67EA" w:rsidRPr="002B5B5B" w14:paraId="2610D951" w14:textId="77777777" w:rsidTr="00B44A74">
        <w:trPr>
          <w:jc w:val="center"/>
        </w:trPr>
        <w:tc>
          <w:tcPr>
            <w:tcW w:w="2415" w:type="dxa"/>
            <w:tcBorders>
              <w:top w:val="single" w:sz="4" w:space="0" w:color="auto"/>
              <w:left w:val="nil"/>
              <w:bottom w:val="single" w:sz="4" w:space="0" w:color="auto"/>
              <w:right w:val="nil"/>
            </w:tcBorders>
          </w:tcPr>
          <w:p w14:paraId="1C481285"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3FB2D98" w14:textId="77777777" w:rsidR="008E67EA" w:rsidRPr="00063878" w:rsidRDefault="008E67EA" w:rsidP="00B44A74">
            <w:pPr>
              <w:spacing w:line="280" w:lineRule="exact"/>
              <w:rPr>
                <w:rFonts w:cs="Arial"/>
                <w:sz w:val="20"/>
                <w:szCs w:val="20"/>
              </w:rPr>
            </w:pPr>
          </w:p>
        </w:tc>
      </w:tr>
      <w:tr w:rsidR="008E67EA" w:rsidRPr="002B5B5B" w14:paraId="699CD9B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F6DBBA2" w14:textId="77777777" w:rsidR="008E67EA" w:rsidRPr="00F5215F" w:rsidRDefault="008E67EA" w:rsidP="00B44A74">
            <w:pPr>
              <w:spacing w:line="280" w:lineRule="exact"/>
              <w:rPr>
                <w:rFonts w:cs="Arial"/>
                <w:sz w:val="20"/>
                <w:szCs w:val="20"/>
              </w:rPr>
            </w:pPr>
            <w:r w:rsidRPr="00F5215F">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5FC4336E" w14:textId="77777777" w:rsidR="008E67EA" w:rsidRDefault="008E67EA" w:rsidP="00B44A74">
            <w:pPr>
              <w:spacing w:line="280" w:lineRule="exact"/>
              <w:rPr>
                <w:rFonts w:cs="Arial"/>
                <w:sz w:val="20"/>
                <w:szCs w:val="20"/>
              </w:rPr>
            </w:pPr>
            <w:r>
              <w:rPr>
                <w:rFonts w:cs="Arial"/>
                <w:sz w:val="20"/>
                <w:szCs w:val="20"/>
              </w:rPr>
              <w:t>SAFETY DIRECTIONS</w:t>
            </w:r>
          </w:p>
          <w:p w14:paraId="04F5ED4A" w14:textId="77777777" w:rsidR="008E67EA" w:rsidRPr="008D0501" w:rsidRDefault="008E67EA" w:rsidP="00B44A74">
            <w:pPr>
              <w:spacing w:after="120" w:line="280" w:lineRule="exact"/>
              <w:rPr>
                <w:rFonts w:cs="Arial"/>
                <w:sz w:val="20"/>
                <w:szCs w:val="20"/>
                <w:bdr w:val="none" w:sz="0" w:space="0" w:color="auto" w:frame="1"/>
                <w:lang w:val="en-GB" w:eastAsia="en-AU"/>
              </w:rPr>
            </w:pPr>
            <w:r w:rsidRPr="003B011A">
              <w:rPr>
                <w:rFonts w:cs="Arial"/>
                <w:sz w:val="20"/>
                <w:szCs w:val="20"/>
                <w:bdr w:val="none" w:sz="0" w:space="0" w:color="auto" w:frame="1"/>
                <w:lang w:val="en-GB" w:eastAsia="en-AU"/>
              </w:rPr>
              <w:t xml:space="preserve">Repeated minor exposure may have a cumulative poisoning effect. Will irritate the skin. May irritate eyes. Avoid contact with eyes and skin. When using the product wear disposable gloves. During cleanup, disposal operations of bait and bait stations and when handling rodent carcasses wear single layer clothing and disposable gloves. If on skin and after each baiting, wash thoroughly with soap and water. After </w:t>
            </w:r>
            <w:r w:rsidRPr="003B011A">
              <w:rPr>
                <w:rFonts w:cs="Arial"/>
                <w:sz w:val="20"/>
                <w:szCs w:val="20"/>
                <w:bdr w:val="none" w:sz="0" w:space="0" w:color="auto" w:frame="1"/>
                <w:lang w:val="en-GB" w:eastAsia="en-AU"/>
              </w:rPr>
              <w:lastRenderedPageBreak/>
              <w:t>each day’s use wash contaminated clothing.</w:t>
            </w:r>
            <w:r w:rsidRPr="00D42DB3">
              <w:rPr>
                <w:rFonts w:cs="Arial"/>
                <w:sz w:val="20"/>
                <w:szCs w:val="20"/>
                <w:bdr w:val="none" w:sz="0" w:space="0" w:color="auto" w:frame="1"/>
                <w:lang w:val="en-GB" w:eastAsia="en-AU"/>
              </w:rPr>
              <w:t xml:space="preserve"> Wash clothes after performing re-handling activities.</w:t>
            </w:r>
          </w:p>
        </w:tc>
      </w:tr>
      <w:tr w:rsidR="008E67EA" w:rsidRPr="002B5B5B" w14:paraId="033D223F" w14:textId="77777777" w:rsidTr="00B44A74">
        <w:trPr>
          <w:jc w:val="center"/>
        </w:trPr>
        <w:tc>
          <w:tcPr>
            <w:tcW w:w="2415" w:type="dxa"/>
            <w:tcBorders>
              <w:top w:val="single" w:sz="4" w:space="0" w:color="auto"/>
              <w:left w:val="nil"/>
              <w:bottom w:val="single" w:sz="4" w:space="0" w:color="auto"/>
              <w:right w:val="nil"/>
            </w:tcBorders>
          </w:tcPr>
          <w:p w14:paraId="415842C7"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206A036" w14:textId="77777777" w:rsidR="008E67EA" w:rsidRPr="00063878" w:rsidRDefault="008E67EA" w:rsidP="00B44A74">
            <w:pPr>
              <w:spacing w:line="280" w:lineRule="exact"/>
              <w:rPr>
                <w:rFonts w:cs="Arial"/>
                <w:sz w:val="20"/>
                <w:szCs w:val="20"/>
              </w:rPr>
            </w:pPr>
          </w:p>
        </w:tc>
      </w:tr>
      <w:tr w:rsidR="008E67EA" w:rsidRPr="002B5B5B" w14:paraId="0BD0DD6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B576A48" w14:textId="77777777" w:rsidR="008E67EA" w:rsidRPr="00F5215F" w:rsidRDefault="008E67EA" w:rsidP="00B44A74">
            <w:pPr>
              <w:spacing w:line="280" w:lineRule="exact"/>
              <w:rPr>
                <w:rFonts w:cs="Arial"/>
                <w:sz w:val="20"/>
                <w:szCs w:val="20"/>
              </w:rPr>
            </w:pPr>
            <w:r w:rsidRPr="00F5215F">
              <w:rPr>
                <w:rFonts w:cs="Arial"/>
                <w:sz w:val="20"/>
                <w:szCs w:val="20"/>
              </w:rPr>
              <w:t>First Aid Instructions:</w:t>
            </w:r>
          </w:p>
        </w:tc>
        <w:tc>
          <w:tcPr>
            <w:tcW w:w="7755" w:type="dxa"/>
            <w:tcBorders>
              <w:top w:val="single" w:sz="4" w:space="0" w:color="auto"/>
              <w:left w:val="single" w:sz="4" w:space="0" w:color="auto"/>
              <w:bottom w:val="single" w:sz="4" w:space="0" w:color="auto"/>
              <w:right w:val="single" w:sz="4" w:space="0" w:color="auto"/>
            </w:tcBorders>
          </w:tcPr>
          <w:p w14:paraId="43952A1E" w14:textId="77777777" w:rsidR="008E67EA" w:rsidRDefault="008E67EA" w:rsidP="00B44A74">
            <w:pPr>
              <w:spacing w:line="280" w:lineRule="exact"/>
              <w:rPr>
                <w:rFonts w:cs="Arial"/>
                <w:sz w:val="20"/>
                <w:szCs w:val="20"/>
              </w:rPr>
            </w:pPr>
            <w:r>
              <w:rPr>
                <w:rFonts w:cs="Arial"/>
                <w:sz w:val="20"/>
                <w:szCs w:val="20"/>
              </w:rPr>
              <w:t>FIRST AID</w:t>
            </w:r>
          </w:p>
          <w:p w14:paraId="4C7DA933" w14:textId="77777777" w:rsidR="008E67EA" w:rsidRPr="00063878" w:rsidRDefault="008E67EA" w:rsidP="00B44A74">
            <w:pPr>
              <w:spacing w:line="280" w:lineRule="exact"/>
              <w:rPr>
                <w:rFonts w:cs="Arial"/>
                <w:sz w:val="20"/>
                <w:szCs w:val="20"/>
              </w:rPr>
            </w:pPr>
            <w:r w:rsidRPr="00063878">
              <w:rPr>
                <w:rFonts w:cs="Arial"/>
                <w:sz w:val="20"/>
                <w:szCs w:val="20"/>
              </w:rPr>
              <w:t>If poisoning occurs, contact a doctor or Poisons Information Centre. Phone Australia 13 11 26, New Zealand 0800 764 766. Vitamin K1 (Phytomenadione) is antidotal.</w:t>
            </w:r>
          </w:p>
        </w:tc>
      </w:tr>
      <w:tr w:rsidR="008E67EA" w:rsidRPr="002B5B5B" w14:paraId="09840C38" w14:textId="77777777" w:rsidTr="00B44A74">
        <w:trPr>
          <w:jc w:val="center"/>
        </w:trPr>
        <w:tc>
          <w:tcPr>
            <w:tcW w:w="2415" w:type="dxa"/>
            <w:tcBorders>
              <w:top w:val="single" w:sz="4" w:space="0" w:color="auto"/>
              <w:left w:val="nil"/>
              <w:bottom w:val="single" w:sz="4" w:space="0" w:color="auto"/>
              <w:right w:val="nil"/>
            </w:tcBorders>
          </w:tcPr>
          <w:p w14:paraId="66C9692A"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7D4606D" w14:textId="77777777" w:rsidR="008E67EA" w:rsidRPr="00063878" w:rsidRDefault="008E67EA" w:rsidP="00B44A74">
            <w:pPr>
              <w:spacing w:line="280" w:lineRule="exact"/>
              <w:rPr>
                <w:rFonts w:cs="Arial"/>
                <w:sz w:val="20"/>
                <w:szCs w:val="20"/>
              </w:rPr>
            </w:pPr>
          </w:p>
        </w:tc>
      </w:tr>
      <w:tr w:rsidR="008E67EA" w:rsidRPr="002B5B5B" w14:paraId="1D4F901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9D572EC" w14:textId="77777777" w:rsidR="008E67EA" w:rsidRPr="00F5215F" w:rsidRDefault="008E67EA" w:rsidP="00B44A74">
            <w:pPr>
              <w:spacing w:line="280" w:lineRule="exact"/>
              <w:rPr>
                <w:rFonts w:cs="Arial"/>
                <w:sz w:val="20"/>
                <w:szCs w:val="20"/>
              </w:rPr>
            </w:pPr>
            <w:r w:rsidRPr="00F5215F">
              <w:rPr>
                <w:rFonts w:cs="Arial"/>
                <w:sz w:val="20"/>
                <w:szCs w:val="20"/>
              </w:rPr>
              <w:t>First Aid Warnings:</w:t>
            </w:r>
          </w:p>
        </w:tc>
        <w:tc>
          <w:tcPr>
            <w:tcW w:w="7755" w:type="dxa"/>
            <w:tcBorders>
              <w:top w:val="single" w:sz="4" w:space="0" w:color="auto"/>
              <w:left w:val="single" w:sz="4" w:space="0" w:color="auto"/>
              <w:bottom w:val="single" w:sz="4" w:space="0" w:color="auto"/>
              <w:right w:val="single" w:sz="4" w:space="0" w:color="auto"/>
            </w:tcBorders>
          </w:tcPr>
          <w:p w14:paraId="7CA69282" w14:textId="77777777" w:rsidR="008E67EA" w:rsidRPr="00063878" w:rsidRDefault="008E67EA" w:rsidP="00B44A74">
            <w:pPr>
              <w:spacing w:line="280" w:lineRule="exact"/>
              <w:rPr>
                <w:rFonts w:cs="Arial"/>
                <w:sz w:val="20"/>
                <w:szCs w:val="20"/>
              </w:rPr>
            </w:pPr>
          </w:p>
        </w:tc>
      </w:tr>
    </w:tbl>
    <w:p w14:paraId="1056CC59" w14:textId="77777777" w:rsidR="008E67EA" w:rsidRDefault="008E67EA" w:rsidP="008E67EA"/>
    <w:p w14:paraId="6CEA2295" w14:textId="77777777" w:rsidR="008E67EA" w:rsidRPr="00FF36BF" w:rsidRDefault="008E67EA" w:rsidP="008E67EA">
      <w:pPr>
        <w:spacing w:line="280" w:lineRule="exact"/>
        <w:rPr>
          <w:rFonts w:cs="Arial"/>
          <w:b/>
          <w:bCs/>
          <w:sz w:val="20"/>
          <w:szCs w:val="20"/>
        </w:rPr>
      </w:pPr>
      <w:r w:rsidRPr="00FF36BF">
        <w:rPr>
          <w:rFonts w:cs="Arial"/>
          <w:b/>
          <w:bCs/>
          <w:sz w:val="20"/>
          <w:szCs w:val="20"/>
        </w:rPr>
        <w:t>DIRECTIONS FOR USE</w:t>
      </w:r>
    </w:p>
    <w:tbl>
      <w:tblPr>
        <w:tblStyle w:val="TableGrid"/>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268"/>
        <w:gridCol w:w="1276"/>
        <w:gridCol w:w="3471"/>
      </w:tblGrid>
      <w:tr w:rsidR="008E67EA" w:rsidRPr="00A27FD2" w14:paraId="2FFF56A1" w14:textId="77777777" w:rsidTr="009C4F64">
        <w:trPr>
          <w:trHeight w:val="340"/>
        </w:trPr>
        <w:tc>
          <w:tcPr>
            <w:tcW w:w="1985" w:type="dxa"/>
          </w:tcPr>
          <w:p w14:paraId="6D3DAD6E" w14:textId="77777777" w:rsidR="008E67EA" w:rsidRPr="00382A84" w:rsidRDefault="008E67EA" w:rsidP="00B44A74">
            <w:pPr>
              <w:spacing w:line="280" w:lineRule="exact"/>
              <w:rPr>
                <w:rFonts w:cs="Arial"/>
                <w:b/>
                <w:bCs/>
                <w:szCs w:val="18"/>
              </w:rPr>
            </w:pPr>
            <w:r w:rsidRPr="00382A84">
              <w:rPr>
                <w:rFonts w:cs="Arial"/>
                <w:b/>
                <w:bCs/>
                <w:szCs w:val="18"/>
              </w:rPr>
              <w:t>SITUATION</w:t>
            </w:r>
          </w:p>
        </w:tc>
        <w:tc>
          <w:tcPr>
            <w:tcW w:w="2268" w:type="dxa"/>
          </w:tcPr>
          <w:p w14:paraId="7233462D" w14:textId="77777777" w:rsidR="008E67EA" w:rsidRPr="00382A84" w:rsidRDefault="008E67EA" w:rsidP="00B44A74">
            <w:pPr>
              <w:spacing w:line="280" w:lineRule="exact"/>
              <w:rPr>
                <w:rFonts w:cs="Arial"/>
                <w:b/>
                <w:bCs/>
                <w:szCs w:val="18"/>
              </w:rPr>
            </w:pPr>
            <w:r w:rsidRPr="00382A84">
              <w:rPr>
                <w:rFonts w:cs="Arial"/>
                <w:b/>
                <w:bCs/>
                <w:szCs w:val="18"/>
              </w:rPr>
              <w:t>PEST</w:t>
            </w:r>
          </w:p>
        </w:tc>
        <w:tc>
          <w:tcPr>
            <w:tcW w:w="1276" w:type="dxa"/>
          </w:tcPr>
          <w:p w14:paraId="341817DF" w14:textId="77777777" w:rsidR="008E67EA" w:rsidRPr="00382A84" w:rsidRDefault="008E67EA" w:rsidP="00B44A74">
            <w:pPr>
              <w:spacing w:line="280" w:lineRule="exact"/>
              <w:rPr>
                <w:rFonts w:cs="Arial"/>
                <w:b/>
                <w:bCs/>
                <w:szCs w:val="18"/>
              </w:rPr>
            </w:pPr>
            <w:r w:rsidRPr="00382A84">
              <w:rPr>
                <w:rFonts w:cs="Arial"/>
                <w:b/>
                <w:bCs/>
                <w:szCs w:val="18"/>
              </w:rPr>
              <w:t>RATE</w:t>
            </w:r>
          </w:p>
        </w:tc>
        <w:tc>
          <w:tcPr>
            <w:tcW w:w="3471" w:type="dxa"/>
          </w:tcPr>
          <w:p w14:paraId="1B5892AA" w14:textId="77777777" w:rsidR="008E67EA" w:rsidRPr="00382A84" w:rsidRDefault="008E67EA" w:rsidP="00B44A74">
            <w:pPr>
              <w:spacing w:line="280" w:lineRule="exact"/>
              <w:rPr>
                <w:rFonts w:cs="Arial"/>
                <w:b/>
                <w:bCs/>
                <w:szCs w:val="18"/>
              </w:rPr>
            </w:pPr>
            <w:r w:rsidRPr="00382A84">
              <w:rPr>
                <w:rFonts w:cs="Arial"/>
                <w:b/>
                <w:bCs/>
                <w:szCs w:val="18"/>
              </w:rPr>
              <w:t>CRITICAL COMMENTS</w:t>
            </w:r>
          </w:p>
        </w:tc>
      </w:tr>
      <w:tr w:rsidR="008E67EA" w:rsidRPr="00A27FD2" w14:paraId="3056BB98" w14:textId="77777777" w:rsidTr="009C4F64">
        <w:trPr>
          <w:trHeight w:val="841"/>
        </w:trPr>
        <w:tc>
          <w:tcPr>
            <w:tcW w:w="1985" w:type="dxa"/>
          </w:tcPr>
          <w:p w14:paraId="71AB3447" w14:textId="77777777" w:rsidR="008E67EA" w:rsidRPr="00382A84" w:rsidRDefault="008E67EA" w:rsidP="00B44A74">
            <w:pPr>
              <w:spacing w:after="120" w:line="240" w:lineRule="exact"/>
              <w:rPr>
                <w:rFonts w:cs="Arial"/>
                <w:bCs/>
                <w:spacing w:val="-2"/>
                <w:w w:val="105"/>
                <w:szCs w:val="18"/>
              </w:rPr>
            </w:pPr>
            <w:r w:rsidRPr="00382A84">
              <w:rPr>
                <w:rFonts w:cs="Arial"/>
                <w:bCs/>
                <w:spacing w:val="-2"/>
                <w:w w:val="105"/>
                <w:szCs w:val="18"/>
              </w:rPr>
              <w:t>In industrial,</w:t>
            </w:r>
            <w:r>
              <w:rPr>
                <w:rFonts w:cs="Arial"/>
                <w:bCs/>
                <w:spacing w:val="-2"/>
                <w:w w:val="105"/>
                <w:szCs w:val="18"/>
              </w:rPr>
              <w:t xml:space="preserve"> </w:t>
            </w:r>
            <w:r w:rsidRPr="00382A84">
              <w:rPr>
                <w:rFonts w:cs="Arial"/>
                <w:bCs/>
                <w:spacing w:val="-2"/>
                <w:w w:val="105"/>
                <w:szCs w:val="18"/>
              </w:rPr>
              <w:t>commercial, public</w:t>
            </w:r>
            <w:r>
              <w:rPr>
                <w:rFonts w:cs="Arial"/>
                <w:bCs/>
                <w:spacing w:val="-2"/>
                <w:w w:val="105"/>
                <w:szCs w:val="18"/>
              </w:rPr>
              <w:t xml:space="preserve"> </w:t>
            </w:r>
            <w:r w:rsidRPr="00382A84">
              <w:rPr>
                <w:rFonts w:cs="Arial"/>
                <w:bCs/>
                <w:spacing w:val="-2"/>
                <w:w w:val="105"/>
                <w:szCs w:val="18"/>
              </w:rPr>
              <w:t>services domestic</w:t>
            </w:r>
            <w:r>
              <w:rPr>
                <w:rFonts w:cs="Arial"/>
                <w:bCs/>
                <w:spacing w:val="-2"/>
                <w:w w:val="105"/>
                <w:szCs w:val="18"/>
              </w:rPr>
              <w:t xml:space="preserve"> </w:t>
            </w:r>
            <w:r w:rsidRPr="00382A84">
              <w:rPr>
                <w:rFonts w:cs="Arial"/>
                <w:bCs/>
                <w:spacing w:val="-2"/>
                <w:w w:val="105"/>
                <w:szCs w:val="18"/>
              </w:rPr>
              <w:t>and agricultural</w:t>
            </w:r>
            <w:r>
              <w:rPr>
                <w:rFonts w:cs="Arial"/>
                <w:bCs/>
                <w:spacing w:val="-2"/>
                <w:w w:val="105"/>
                <w:szCs w:val="18"/>
              </w:rPr>
              <w:t xml:space="preserve"> </w:t>
            </w:r>
            <w:r w:rsidRPr="00382A84">
              <w:rPr>
                <w:rFonts w:cs="Arial"/>
                <w:bCs/>
                <w:spacing w:val="-2"/>
                <w:w w:val="105"/>
                <w:szCs w:val="18"/>
              </w:rPr>
              <w:t>buildings</w:t>
            </w:r>
          </w:p>
        </w:tc>
        <w:tc>
          <w:tcPr>
            <w:tcW w:w="2268" w:type="dxa"/>
          </w:tcPr>
          <w:p w14:paraId="5001872C" w14:textId="77777777" w:rsidR="008E67EA" w:rsidRPr="00382A84" w:rsidRDefault="008E67EA" w:rsidP="00B44A74">
            <w:pPr>
              <w:spacing w:after="120" w:line="240" w:lineRule="exact"/>
              <w:rPr>
                <w:rFonts w:cs="Arial"/>
                <w:bCs/>
                <w:spacing w:val="-2"/>
                <w:w w:val="105"/>
                <w:szCs w:val="18"/>
              </w:rPr>
            </w:pPr>
            <w:r w:rsidRPr="00382A84">
              <w:rPr>
                <w:rFonts w:cs="Arial"/>
                <w:bCs/>
                <w:spacing w:val="-2"/>
                <w:w w:val="105"/>
                <w:szCs w:val="18"/>
              </w:rPr>
              <w:t>Mice</w:t>
            </w:r>
          </w:p>
        </w:tc>
        <w:tc>
          <w:tcPr>
            <w:tcW w:w="1276" w:type="dxa"/>
          </w:tcPr>
          <w:p w14:paraId="65AB74BB" w14:textId="77777777" w:rsidR="008E67EA" w:rsidRPr="00382A84" w:rsidRDefault="008E67EA" w:rsidP="00B44A74">
            <w:pPr>
              <w:spacing w:after="120" w:line="240" w:lineRule="exact"/>
              <w:rPr>
                <w:rFonts w:cs="Arial"/>
                <w:bCs/>
                <w:spacing w:val="-2"/>
                <w:w w:val="105"/>
                <w:szCs w:val="18"/>
              </w:rPr>
            </w:pPr>
            <w:r w:rsidRPr="00382A84">
              <w:rPr>
                <w:rFonts w:cs="Arial"/>
                <w:bCs/>
                <w:spacing w:val="-2"/>
                <w:w w:val="105"/>
                <w:szCs w:val="18"/>
              </w:rPr>
              <w:t>[As per current approved label]</w:t>
            </w:r>
          </w:p>
        </w:tc>
        <w:tc>
          <w:tcPr>
            <w:tcW w:w="3471" w:type="dxa"/>
            <w:vMerge w:val="restart"/>
          </w:tcPr>
          <w:p w14:paraId="7DAA0A4A" w14:textId="0581495F" w:rsidR="008E67EA" w:rsidRDefault="008E67EA" w:rsidP="00B44A74">
            <w:pPr>
              <w:spacing w:after="120" w:line="240" w:lineRule="exact"/>
              <w:rPr>
                <w:rFonts w:cs="Arial"/>
                <w:bCs/>
                <w:spacing w:val="-2"/>
                <w:w w:val="105"/>
                <w:szCs w:val="18"/>
              </w:rPr>
            </w:pPr>
            <w:r w:rsidRPr="00FF616F">
              <w:rPr>
                <w:rFonts w:cs="Arial"/>
                <w:bCs/>
                <w:spacing w:val="-2"/>
                <w:w w:val="105"/>
                <w:szCs w:val="18"/>
              </w:rPr>
              <w:t>Explore the site and locate runs, nests,</w:t>
            </w:r>
            <w:r>
              <w:rPr>
                <w:rFonts w:cs="Arial"/>
                <w:bCs/>
                <w:spacing w:val="-2"/>
                <w:w w:val="105"/>
                <w:szCs w:val="18"/>
              </w:rPr>
              <w:t xml:space="preserve"> </w:t>
            </w:r>
            <w:r w:rsidRPr="00FF616F">
              <w:rPr>
                <w:rFonts w:cs="Arial"/>
                <w:bCs/>
                <w:spacing w:val="-2"/>
                <w:w w:val="105"/>
                <w:szCs w:val="18"/>
              </w:rPr>
              <w:t>droppings and signs of damage.</w:t>
            </w:r>
          </w:p>
          <w:p w14:paraId="7F59A959" w14:textId="77777777" w:rsidR="008E67EA" w:rsidRPr="00382A84" w:rsidRDefault="008E67EA" w:rsidP="00B44A74">
            <w:pPr>
              <w:spacing w:after="120" w:line="240" w:lineRule="exact"/>
              <w:rPr>
                <w:rFonts w:cs="Arial"/>
                <w:bCs/>
                <w:spacing w:val="-2"/>
                <w:w w:val="105"/>
                <w:szCs w:val="18"/>
              </w:rPr>
            </w:pPr>
            <w:r w:rsidRPr="00382A84">
              <w:rPr>
                <w:rFonts w:cs="Arial"/>
                <w:bCs/>
                <w:spacing w:val="-2"/>
                <w:w w:val="105"/>
                <w:szCs w:val="18"/>
              </w:rPr>
              <w:t>Place bait stations in infested area</w:t>
            </w:r>
            <w:r>
              <w:rPr>
                <w:rFonts w:cs="Arial"/>
                <w:bCs/>
                <w:spacing w:val="-2"/>
                <w:w w:val="105"/>
                <w:szCs w:val="18"/>
              </w:rPr>
              <w:t>.</w:t>
            </w:r>
          </w:p>
          <w:p w14:paraId="2DC2ADE6" w14:textId="77777777" w:rsidR="008E67EA" w:rsidRPr="00382A84" w:rsidRDefault="008E67EA" w:rsidP="00B44A74">
            <w:pPr>
              <w:spacing w:after="120" w:line="240" w:lineRule="exact"/>
              <w:rPr>
                <w:rFonts w:cs="Arial"/>
                <w:bCs/>
                <w:spacing w:val="-2"/>
                <w:w w:val="105"/>
                <w:szCs w:val="18"/>
              </w:rPr>
            </w:pPr>
            <w:r w:rsidRPr="00382A84">
              <w:rPr>
                <w:rFonts w:cs="Arial"/>
                <w:bCs/>
                <w:spacing w:val="-2"/>
                <w:w w:val="105"/>
                <w:szCs w:val="18"/>
              </w:rPr>
              <w:t>Mice: use many bait points.</w:t>
            </w:r>
          </w:p>
          <w:p w14:paraId="2096200E" w14:textId="77777777" w:rsidR="008E67EA" w:rsidRDefault="008E67EA" w:rsidP="00B44A74">
            <w:pPr>
              <w:spacing w:after="120" w:line="240" w:lineRule="exact"/>
              <w:rPr>
                <w:rFonts w:cs="Arial"/>
                <w:bCs/>
                <w:spacing w:val="-2"/>
                <w:w w:val="105"/>
                <w:szCs w:val="18"/>
              </w:rPr>
            </w:pPr>
            <w:r w:rsidRPr="00382A84">
              <w:rPr>
                <w:rFonts w:cs="Arial"/>
                <w:bCs/>
                <w:spacing w:val="-2"/>
                <w:w w:val="105"/>
                <w:szCs w:val="18"/>
              </w:rPr>
              <w:t>Rats: place a number of bait points in dry locations throughout the infested area.</w:t>
            </w:r>
          </w:p>
          <w:p w14:paraId="3A588836" w14:textId="77777777" w:rsidR="008E67EA" w:rsidRDefault="008E67EA" w:rsidP="00B44A74">
            <w:pPr>
              <w:spacing w:after="120" w:line="240" w:lineRule="exact"/>
              <w:rPr>
                <w:rFonts w:cs="Arial"/>
                <w:bCs/>
                <w:spacing w:val="-2"/>
                <w:w w:val="105"/>
                <w:szCs w:val="18"/>
              </w:rPr>
            </w:pPr>
            <w:r w:rsidRPr="00382A84">
              <w:rPr>
                <w:rFonts w:cs="Arial"/>
                <w:bCs/>
                <w:spacing w:val="-2"/>
                <w:w w:val="105"/>
                <w:szCs w:val="18"/>
              </w:rPr>
              <w:t>DO NOT exceed 9 m between bait stations for rats and 3 m for mice.</w:t>
            </w:r>
          </w:p>
          <w:p w14:paraId="716E5243" w14:textId="77777777" w:rsidR="008E67EA" w:rsidRPr="00382A84" w:rsidRDefault="008E67EA" w:rsidP="00B44A74">
            <w:pPr>
              <w:spacing w:after="120" w:line="240" w:lineRule="exact"/>
              <w:rPr>
                <w:rFonts w:cs="Arial"/>
                <w:bCs/>
                <w:spacing w:val="-2"/>
                <w:w w:val="105"/>
                <w:szCs w:val="18"/>
              </w:rPr>
            </w:pPr>
            <w:r w:rsidRPr="00382A84">
              <w:rPr>
                <w:rFonts w:cs="Arial"/>
                <w:bCs/>
                <w:spacing w:val="-2"/>
                <w:w w:val="105"/>
                <w:szCs w:val="18"/>
              </w:rPr>
              <w:t>Follow the baiting strategies detailed below.</w:t>
            </w:r>
          </w:p>
        </w:tc>
      </w:tr>
      <w:tr w:rsidR="008E67EA" w:rsidRPr="00A27FD2" w14:paraId="038B7496" w14:textId="77777777" w:rsidTr="009C4F64">
        <w:trPr>
          <w:trHeight w:val="841"/>
        </w:trPr>
        <w:tc>
          <w:tcPr>
            <w:tcW w:w="1985" w:type="dxa"/>
          </w:tcPr>
          <w:p w14:paraId="0A677563" w14:textId="77777777" w:rsidR="008E67EA" w:rsidRPr="00382A84" w:rsidRDefault="008E67EA" w:rsidP="00B44A74">
            <w:pPr>
              <w:spacing w:after="120" w:line="240" w:lineRule="exact"/>
              <w:rPr>
                <w:rFonts w:cs="Arial"/>
                <w:bCs/>
                <w:spacing w:val="-2"/>
                <w:w w:val="105"/>
                <w:szCs w:val="18"/>
              </w:rPr>
            </w:pPr>
            <w:r w:rsidRPr="00382A84">
              <w:rPr>
                <w:rFonts w:cs="Arial"/>
                <w:bCs/>
                <w:spacing w:val="-2"/>
                <w:w w:val="105"/>
                <w:szCs w:val="18"/>
              </w:rPr>
              <w:t>In and around (within 2 meters) industrial, commercial, public services domestic and agricultural buildings</w:t>
            </w:r>
          </w:p>
        </w:tc>
        <w:tc>
          <w:tcPr>
            <w:tcW w:w="2268" w:type="dxa"/>
          </w:tcPr>
          <w:p w14:paraId="3E0F0F29" w14:textId="77777777" w:rsidR="008E67EA" w:rsidRPr="00485D88" w:rsidRDefault="008E67EA" w:rsidP="00B44A74">
            <w:pPr>
              <w:spacing w:after="120" w:line="240" w:lineRule="exact"/>
              <w:rPr>
                <w:rFonts w:cs="Arial"/>
                <w:bCs/>
                <w:i/>
                <w:iCs/>
                <w:spacing w:val="-2"/>
                <w:w w:val="105"/>
                <w:szCs w:val="18"/>
              </w:rPr>
            </w:pPr>
            <w:r w:rsidRPr="00382A84">
              <w:rPr>
                <w:rFonts w:cs="Arial"/>
                <w:bCs/>
                <w:spacing w:val="-2"/>
                <w:w w:val="105"/>
                <w:szCs w:val="18"/>
              </w:rPr>
              <w:t>[As per current</w:t>
            </w:r>
            <w:r>
              <w:rPr>
                <w:rFonts w:cs="Arial"/>
                <w:bCs/>
                <w:spacing w:val="-2"/>
                <w:w w:val="105"/>
                <w:szCs w:val="18"/>
              </w:rPr>
              <w:t xml:space="preserve"> approved</w:t>
            </w:r>
            <w:r w:rsidRPr="00382A84">
              <w:rPr>
                <w:rFonts w:cs="Arial"/>
                <w:bCs/>
                <w:spacing w:val="-2"/>
                <w:w w:val="105"/>
                <w:szCs w:val="18"/>
              </w:rPr>
              <w:t xml:space="preserve"> label</w:t>
            </w:r>
            <w:r>
              <w:rPr>
                <w:rFonts w:cs="Arial"/>
                <w:bCs/>
                <w:spacing w:val="-2"/>
                <w:w w:val="105"/>
                <w:szCs w:val="18"/>
              </w:rPr>
              <w:t>:</w:t>
            </w:r>
            <w:r>
              <w:rPr>
                <w:rFonts w:cs="Arial"/>
                <w:bCs/>
                <w:spacing w:val="-2"/>
                <w:w w:val="105"/>
                <w:szCs w:val="18"/>
              </w:rPr>
              <w:br/>
            </w:r>
            <w:r w:rsidRPr="00382A84">
              <w:rPr>
                <w:rFonts w:cs="Arial"/>
                <w:bCs/>
                <w:spacing w:val="-2"/>
                <w:w w:val="105"/>
                <w:szCs w:val="18"/>
              </w:rPr>
              <w:t xml:space="preserve">Brown or Norway rat </w:t>
            </w:r>
            <w:r w:rsidRPr="00382A84">
              <w:rPr>
                <w:rFonts w:cs="Arial"/>
                <w:bCs/>
                <w:i/>
                <w:iCs/>
                <w:spacing w:val="-2"/>
                <w:w w:val="105"/>
                <w:szCs w:val="18"/>
              </w:rPr>
              <w:t>(Rattus norvegicus)</w:t>
            </w:r>
            <w:r>
              <w:rPr>
                <w:rFonts w:cs="Arial"/>
                <w:bCs/>
                <w:i/>
                <w:iCs/>
                <w:spacing w:val="-2"/>
                <w:w w:val="105"/>
                <w:szCs w:val="18"/>
              </w:rPr>
              <w:br/>
            </w:r>
            <w:r w:rsidRPr="00485D88">
              <w:rPr>
                <w:rFonts w:cs="Arial"/>
                <w:bCs/>
                <w:spacing w:val="-2"/>
                <w:w w:val="105"/>
                <w:szCs w:val="18"/>
              </w:rPr>
              <w:t>OR</w:t>
            </w:r>
            <w:r>
              <w:rPr>
                <w:rFonts w:cs="Arial"/>
                <w:bCs/>
                <w:i/>
                <w:iCs/>
                <w:spacing w:val="-2"/>
                <w:w w:val="105"/>
                <w:szCs w:val="18"/>
              </w:rPr>
              <w:br/>
            </w:r>
            <w:r w:rsidRPr="00382A84">
              <w:rPr>
                <w:rFonts w:cs="Arial"/>
                <w:bCs/>
                <w:spacing w:val="-2"/>
                <w:w w:val="105"/>
                <w:szCs w:val="18"/>
              </w:rPr>
              <w:t xml:space="preserve">Brown or Norway rat </w:t>
            </w:r>
            <w:r w:rsidRPr="00382A84">
              <w:rPr>
                <w:rFonts w:cs="Arial"/>
                <w:bCs/>
                <w:i/>
                <w:iCs/>
                <w:spacing w:val="-2"/>
                <w:w w:val="105"/>
                <w:szCs w:val="18"/>
              </w:rPr>
              <w:t>(Rattus norvegicus)</w:t>
            </w:r>
            <w:r>
              <w:rPr>
                <w:rFonts w:cs="Arial"/>
                <w:bCs/>
                <w:i/>
                <w:iCs/>
                <w:spacing w:val="-2"/>
                <w:w w:val="105"/>
                <w:szCs w:val="18"/>
              </w:rPr>
              <w:br/>
            </w:r>
            <w:r w:rsidRPr="00FF616F">
              <w:rPr>
                <w:rFonts w:cs="Arial"/>
                <w:bCs/>
                <w:spacing w:val="-2"/>
                <w:w w:val="105"/>
                <w:szCs w:val="18"/>
              </w:rPr>
              <w:t xml:space="preserve">Roof Rat </w:t>
            </w:r>
            <w:r w:rsidRPr="00FF616F">
              <w:rPr>
                <w:rFonts w:cs="Arial"/>
                <w:bCs/>
                <w:i/>
                <w:iCs/>
                <w:spacing w:val="-2"/>
                <w:w w:val="105"/>
                <w:szCs w:val="18"/>
              </w:rPr>
              <w:t>(Rattus rattus)</w:t>
            </w:r>
            <w:r w:rsidRPr="00485D88">
              <w:rPr>
                <w:rFonts w:cs="Arial"/>
                <w:bCs/>
                <w:spacing w:val="-2"/>
                <w:w w:val="105"/>
                <w:szCs w:val="18"/>
              </w:rPr>
              <w:t>]</w:t>
            </w:r>
          </w:p>
        </w:tc>
        <w:tc>
          <w:tcPr>
            <w:tcW w:w="1276" w:type="dxa"/>
          </w:tcPr>
          <w:p w14:paraId="62C57A93" w14:textId="77777777" w:rsidR="008E67EA" w:rsidRPr="00382A84" w:rsidRDefault="008E67EA" w:rsidP="00B44A74">
            <w:pPr>
              <w:spacing w:after="120" w:line="240" w:lineRule="exact"/>
              <w:rPr>
                <w:rFonts w:cs="Arial"/>
                <w:bCs/>
                <w:spacing w:val="-2"/>
                <w:w w:val="105"/>
                <w:szCs w:val="18"/>
              </w:rPr>
            </w:pPr>
            <w:r w:rsidRPr="00382A84">
              <w:rPr>
                <w:rFonts w:cs="Arial"/>
                <w:bCs/>
                <w:spacing w:val="-2"/>
                <w:w w:val="105"/>
                <w:szCs w:val="18"/>
              </w:rPr>
              <w:t>[As per current approved label]</w:t>
            </w:r>
          </w:p>
        </w:tc>
        <w:tc>
          <w:tcPr>
            <w:tcW w:w="3471" w:type="dxa"/>
            <w:vMerge/>
          </w:tcPr>
          <w:p w14:paraId="4CFC3BB5" w14:textId="77777777" w:rsidR="008E67EA" w:rsidRPr="00382A84" w:rsidRDefault="008E67EA" w:rsidP="00B44A74">
            <w:pPr>
              <w:ind w:firstLine="720"/>
              <w:rPr>
                <w:rFonts w:cs="Arial"/>
                <w:bCs/>
                <w:spacing w:val="-2"/>
                <w:w w:val="105"/>
                <w:szCs w:val="18"/>
              </w:rPr>
            </w:pPr>
          </w:p>
        </w:tc>
      </w:tr>
      <w:tr w:rsidR="008E67EA" w:rsidRPr="00A27FD2" w14:paraId="3772BDA6" w14:textId="77777777" w:rsidTr="009C4F64">
        <w:trPr>
          <w:trHeight w:val="841"/>
        </w:trPr>
        <w:tc>
          <w:tcPr>
            <w:tcW w:w="9000" w:type="dxa"/>
            <w:gridSpan w:val="4"/>
          </w:tcPr>
          <w:p w14:paraId="18044C34" w14:textId="77777777" w:rsidR="008E67EA" w:rsidRPr="00382A84" w:rsidRDefault="008E67EA" w:rsidP="00B44A74">
            <w:pPr>
              <w:spacing w:after="120" w:line="240" w:lineRule="exact"/>
              <w:rPr>
                <w:rFonts w:cs="Arial"/>
                <w:b/>
                <w:spacing w:val="-2"/>
                <w:w w:val="105"/>
                <w:szCs w:val="18"/>
              </w:rPr>
            </w:pPr>
            <w:r w:rsidRPr="00382A84">
              <w:rPr>
                <w:rFonts w:cs="Arial"/>
                <w:b/>
                <w:spacing w:val="-2"/>
                <w:w w:val="105"/>
                <w:szCs w:val="18"/>
              </w:rPr>
              <w:t>Baiting strategy</w:t>
            </w:r>
          </w:p>
          <w:p w14:paraId="77EC12B8" w14:textId="4BE86A7F" w:rsidR="008E67EA" w:rsidRPr="00382A84" w:rsidRDefault="008E67EA" w:rsidP="00B44A74">
            <w:pPr>
              <w:spacing w:after="120" w:line="240" w:lineRule="exact"/>
              <w:rPr>
                <w:rFonts w:cs="Arial"/>
                <w:bCs/>
                <w:spacing w:val="-2"/>
                <w:w w:val="105"/>
                <w:szCs w:val="18"/>
              </w:rPr>
            </w:pPr>
            <w:r w:rsidRPr="00382A84">
              <w:rPr>
                <w:rFonts w:cs="Arial"/>
                <w:bCs/>
                <w:spacing w:val="-2"/>
                <w:w w:val="105"/>
                <w:szCs w:val="18"/>
              </w:rPr>
              <w:t>Eliminate, as far as practicable, all other food sources.</w:t>
            </w:r>
          </w:p>
          <w:p w14:paraId="36972703" w14:textId="77777777" w:rsidR="008E67EA" w:rsidRDefault="008E67EA" w:rsidP="00B44A74">
            <w:pPr>
              <w:spacing w:after="120" w:line="240" w:lineRule="exact"/>
              <w:rPr>
                <w:rFonts w:cs="Arial"/>
                <w:bCs/>
                <w:spacing w:val="-2"/>
                <w:w w:val="105"/>
                <w:szCs w:val="18"/>
              </w:rPr>
            </w:pPr>
            <w:r w:rsidRPr="00382A84">
              <w:rPr>
                <w:rFonts w:cs="Arial"/>
                <w:bCs/>
                <w:spacing w:val="-2"/>
                <w:w w:val="105"/>
                <w:szCs w:val="18"/>
              </w:rPr>
              <w:t>Survey site prior to treatment, including assessment of the extent of infestation and identification of any indications of the presence of non-target animals.</w:t>
            </w:r>
            <w:r>
              <w:t xml:space="preserve"> </w:t>
            </w:r>
            <w:r w:rsidRPr="008D0501">
              <w:rPr>
                <w:rFonts w:cs="Arial"/>
                <w:bCs/>
                <w:spacing w:val="-2"/>
                <w:w w:val="105"/>
                <w:szCs w:val="18"/>
              </w:rPr>
              <w:t>Record the number and locations of bait stations for the purpose of inspection, replacement and later removal.</w:t>
            </w:r>
          </w:p>
          <w:p w14:paraId="5FC075D4" w14:textId="2E4A71B0" w:rsidR="008E67EA" w:rsidRPr="00382A84" w:rsidRDefault="008E67EA" w:rsidP="00B44A74">
            <w:pPr>
              <w:spacing w:after="120" w:line="240" w:lineRule="exact"/>
              <w:rPr>
                <w:rFonts w:cs="Arial"/>
                <w:bCs/>
                <w:spacing w:val="-2"/>
                <w:w w:val="105"/>
                <w:szCs w:val="18"/>
              </w:rPr>
            </w:pPr>
            <w:r w:rsidRPr="00382A84">
              <w:rPr>
                <w:rFonts w:cs="Arial"/>
                <w:bCs/>
                <w:spacing w:val="-2"/>
                <w:w w:val="105"/>
                <w:szCs w:val="18"/>
              </w:rPr>
              <w:t>Always use tamper-resistant bait stations that are secured in place in child accessible areas, outdoors and in animal or livestock housing. When used in food producing animal housing situations careful consideration is necessary regarding the placement of bait stations to ensure any rodenticide contamination of water, feed or livestock is prevented.</w:t>
            </w:r>
            <w:r>
              <w:rPr>
                <w:rFonts w:cs="Arial"/>
                <w:bCs/>
                <w:spacing w:val="-2"/>
                <w:w w:val="105"/>
                <w:szCs w:val="18"/>
              </w:rPr>
              <w:t xml:space="preserve"> W</w:t>
            </w:r>
            <w:r w:rsidRPr="00FF616F">
              <w:rPr>
                <w:rFonts w:cs="Arial"/>
                <w:bCs/>
                <w:spacing w:val="-2"/>
                <w:w w:val="105"/>
                <w:szCs w:val="18"/>
              </w:rPr>
              <w:t>hen using outdoors, it is best practice to use weather</w:t>
            </w:r>
            <w:r>
              <w:rPr>
                <w:rFonts w:cs="Arial"/>
                <w:bCs/>
                <w:spacing w:val="-2"/>
                <w:w w:val="105"/>
                <w:szCs w:val="18"/>
              </w:rPr>
              <w:t>-</w:t>
            </w:r>
            <w:r w:rsidRPr="00FF616F">
              <w:rPr>
                <w:rFonts w:cs="Arial"/>
                <w:bCs/>
                <w:spacing w:val="-2"/>
                <w:w w:val="105"/>
                <w:szCs w:val="18"/>
              </w:rPr>
              <w:t>resistant bait stations.</w:t>
            </w:r>
            <w:r>
              <w:rPr>
                <w:rFonts w:cs="Arial"/>
                <w:bCs/>
                <w:spacing w:val="-2"/>
                <w:w w:val="105"/>
                <w:szCs w:val="18"/>
              </w:rPr>
              <w:t xml:space="preserve"> DO NOT touch bait.</w:t>
            </w:r>
          </w:p>
          <w:p w14:paraId="75753AC0" w14:textId="77777777" w:rsidR="008E67EA" w:rsidRDefault="008E67EA" w:rsidP="00B44A74">
            <w:pPr>
              <w:spacing w:after="120" w:line="240" w:lineRule="exact"/>
              <w:rPr>
                <w:rFonts w:cs="Arial"/>
                <w:bCs/>
                <w:spacing w:val="-2"/>
                <w:w w:val="105"/>
                <w:szCs w:val="18"/>
              </w:rPr>
            </w:pPr>
            <w:r w:rsidRPr="00382A84">
              <w:rPr>
                <w:rFonts w:cs="Arial"/>
                <w:bCs/>
                <w:spacing w:val="-2"/>
                <w:w w:val="105"/>
                <w:szCs w:val="18"/>
              </w:rPr>
              <w:t xml:space="preserve">Inspect baits frequently, particularly in the first ten days. Replace eaten bait. If bait is completely consumed, the quantity should be increased. Continue inspecting bait </w:t>
            </w:r>
            <w:r>
              <w:rPr>
                <w:rFonts w:cs="Arial"/>
                <w:bCs/>
                <w:spacing w:val="-2"/>
                <w:w w:val="105"/>
                <w:szCs w:val="18"/>
              </w:rPr>
              <w:t>sites</w:t>
            </w:r>
            <w:r w:rsidRPr="00382A84">
              <w:rPr>
                <w:rFonts w:cs="Arial"/>
                <w:bCs/>
                <w:spacing w:val="-2"/>
                <w:w w:val="105"/>
                <w:szCs w:val="18"/>
              </w:rPr>
              <w:t xml:space="preserve"> at intervals of no longer than 7 days, replenishing baits until they are left untouched. Baiting for at least two weeks will be necessary to reduce rat/mouse numbers. Two or more feeds are required to produce a delayed mortality. Most deaths occur 4 to 10 days after consumption of bait, but deaths may occur for up to 2 weeks. </w:t>
            </w:r>
          </w:p>
          <w:p w14:paraId="2D5BD7CE" w14:textId="77777777" w:rsidR="008E67EA" w:rsidRPr="00382A84" w:rsidRDefault="008E67EA" w:rsidP="00B44A74">
            <w:pPr>
              <w:spacing w:after="120" w:line="240" w:lineRule="exact"/>
              <w:rPr>
                <w:rFonts w:cs="Arial"/>
                <w:bCs/>
                <w:spacing w:val="-2"/>
                <w:w w:val="105"/>
                <w:szCs w:val="18"/>
              </w:rPr>
            </w:pPr>
            <w:r w:rsidRPr="00382A84">
              <w:rPr>
                <w:rFonts w:cs="Arial"/>
                <w:bCs/>
                <w:spacing w:val="-2"/>
                <w:w w:val="105"/>
                <w:szCs w:val="18"/>
              </w:rPr>
              <w:t>DO NOT use the product beyond 35 days without an evaluation of the state of the infestation and of the efficacy of the treatment.</w:t>
            </w:r>
            <w:r>
              <w:t xml:space="preserve"> </w:t>
            </w:r>
            <w:r w:rsidRPr="00382A84">
              <w:rPr>
                <w:rFonts w:cs="Arial"/>
                <w:bCs/>
                <w:spacing w:val="-2"/>
                <w:w w:val="105"/>
                <w:szCs w:val="18"/>
              </w:rPr>
              <w:t>Remove all uneaten bait at the end of treatment</w:t>
            </w:r>
          </w:p>
        </w:tc>
      </w:tr>
    </w:tbl>
    <w:p w14:paraId="4F78DCDA" w14:textId="78F847D3" w:rsidR="008E67EA" w:rsidRDefault="008E67EA" w:rsidP="009C4F64">
      <w:pPr>
        <w:spacing w:line="280" w:lineRule="exact"/>
        <w:rPr>
          <w:rFonts w:ascii="Franklin Gothic Medium" w:eastAsia="Arial Unicode MS" w:hAnsi="Franklin Gothic Medium"/>
          <w:bCs/>
          <w:iCs/>
          <w:bdr w:val="none" w:sz="0" w:space="0" w:color="auto" w:frame="1"/>
          <w:lang w:val="en-GB" w:eastAsia="en-AU"/>
        </w:rPr>
      </w:pPr>
      <w:r w:rsidRPr="00FF36BF">
        <w:rPr>
          <w:rFonts w:cs="Arial"/>
          <w:b/>
          <w:bCs/>
          <w:sz w:val="20"/>
          <w:szCs w:val="20"/>
        </w:rPr>
        <w:t>NOT TO BE USED FOR ANY PURPOSE, OR IN ANY MANNER, CONTRARY TO THIS LABEL UNLESS AUTHORISED UNDER APPROPRIATE LEGISLATION.</w:t>
      </w:r>
      <w:r>
        <w:rPr>
          <w:rFonts w:ascii="Franklin Gothic Medium" w:eastAsia="Arial Unicode MS" w:hAnsi="Franklin Gothic Medium"/>
          <w:bCs/>
          <w:iCs/>
          <w:bdr w:val="none" w:sz="0" w:space="0" w:color="auto" w:frame="1"/>
          <w:lang w:val="en-GB" w:eastAsia="en-AU"/>
        </w:rPr>
        <w:br w:type="page"/>
      </w:r>
    </w:p>
    <w:p w14:paraId="6ABD6A5D" w14:textId="77777777" w:rsidR="008E67EA" w:rsidRDefault="008E67EA" w:rsidP="008E67EA">
      <w:pPr>
        <w:keepNext/>
        <w:keepLines/>
        <w:spacing w:before="400" w:after="240" w:line="280" w:lineRule="exact"/>
        <w:outlineLvl w:val="1"/>
        <w:rPr>
          <w:rFonts w:ascii="Franklin Gothic Medium" w:eastAsia="Arial Unicode MS" w:hAnsi="Franklin Gothic Medium"/>
          <w:bCs/>
          <w:iCs/>
          <w:bdr w:val="none" w:sz="0" w:space="0" w:color="auto" w:frame="1"/>
          <w:lang w:val="en-GB" w:eastAsia="en-AU"/>
        </w:rPr>
      </w:pPr>
      <w:r>
        <w:rPr>
          <w:rFonts w:ascii="Franklin Gothic Medium" w:eastAsia="Arial Unicode MS" w:hAnsi="Franklin Gothic Medium"/>
          <w:bCs/>
          <w:iCs/>
          <w:bdr w:val="none" w:sz="0" w:space="0" w:color="auto" w:frame="1"/>
          <w:lang w:val="en-GB" w:eastAsia="en-AU"/>
        </w:rPr>
        <w:lastRenderedPageBreak/>
        <w:t>Domestic pest-control product:</w:t>
      </w:r>
      <w:r w:rsidRPr="00FF36BF">
        <w:rPr>
          <w:rFonts w:ascii="Franklin Gothic Medium" w:eastAsia="Arial Unicode MS" w:hAnsi="Franklin Gothic Medium"/>
          <w:bCs/>
          <w:iCs/>
          <w:bdr w:val="none" w:sz="0" w:space="0" w:color="auto" w:frame="1"/>
          <w:lang w:val="en-GB" w:eastAsia="en-AU"/>
        </w:rPr>
        <w:t xml:space="preserve"> </w:t>
      </w:r>
      <w:r w:rsidRPr="00DA343B">
        <w:rPr>
          <w:rFonts w:ascii="Franklin Gothic Medium" w:eastAsia="Arial Unicode MS" w:hAnsi="Franklin Gothic Medium"/>
          <w:bCs/>
          <w:iCs/>
          <w:bdr w:val="none" w:sz="0" w:space="0" w:color="auto" w:frame="1"/>
          <w:lang w:val="en-GB" w:eastAsia="en-AU"/>
        </w:rPr>
        <w:t>RB 0.05 g/kg or less in block formulation</w:t>
      </w:r>
    </w:p>
    <w:p w14:paraId="7FA66373" w14:textId="77777777" w:rsidR="008E67EA"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t xml:space="preserve">Template Label </w:t>
      </w:r>
      <w:r>
        <w:rPr>
          <w:rFonts w:cs="Arial"/>
          <w:b/>
          <w:bCs/>
          <w:sz w:val="20"/>
          <w:szCs w:val="20"/>
          <w:bdr w:val="none" w:sz="0" w:space="0" w:color="auto" w:frame="1"/>
          <w:lang w:val="en-GB" w:eastAsia="en-AU"/>
        </w:rPr>
        <w:t>22a</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2B5B5B" w14:paraId="2D2D563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D4221AC" w14:textId="77777777" w:rsidR="008E67EA" w:rsidRPr="00F5215F" w:rsidRDefault="008E67EA" w:rsidP="00B44A74">
            <w:pPr>
              <w:spacing w:line="280" w:lineRule="exact"/>
              <w:rPr>
                <w:rFonts w:cs="Arial"/>
                <w:sz w:val="20"/>
                <w:szCs w:val="20"/>
              </w:rPr>
            </w:pPr>
            <w:r w:rsidRPr="00F5215F">
              <w:rPr>
                <w:rFonts w:cs="Arial"/>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5D1296BA" w14:textId="77777777" w:rsidR="008E67EA" w:rsidRPr="00594AAD" w:rsidRDefault="008E67EA" w:rsidP="00B44A74">
            <w:pPr>
              <w:spacing w:line="280" w:lineRule="exact"/>
              <w:rPr>
                <w:rFonts w:cs="Arial"/>
                <w:sz w:val="20"/>
                <w:szCs w:val="20"/>
              </w:rPr>
            </w:pPr>
            <w:r w:rsidRPr="00594AAD">
              <w:rPr>
                <w:rFonts w:cs="Arial"/>
                <w:sz w:val="20"/>
                <w:szCs w:val="20"/>
              </w:rPr>
              <w:t>[INSERT LABEL NAME]</w:t>
            </w:r>
          </w:p>
        </w:tc>
      </w:tr>
      <w:tr w:rsidR="008E67EA" w:rsidRPr="002B5B5B" w14:paraId="6E691BFC" w14:textId="77777777" w:rsidTr="00B44A74">
        <w:trPr>
          <w:jc w:val="center"/>
        </w:trPr>
        <w:tc>
          <w:tcPr>
            <w:tcW w:w="2415" w:type="dxa"/>
            <w:tcBorders>
              <w:top w:val="single" w:sz="4" w:space="0" w:color="auto"/>
              <w:left w:val="nil"/>
              <w:bottom w:val="single" w:sz="4" w:space="0" w:color="auto"/>
              <w:right w:val="nil"/>
            </w:tcBorders>
          </w:tcPr>
          <w:p w14:paraId="3F50F3AA"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FA09461" w14:textId="77777777" w:rsidR="008E67EA" w:rsidRPr="00594AAD" w:rsidRDefault="008E67EA" w:rsidP="00B44A74">
            <w:pPr>
              <w:spacing w:line="280" w:lineRule="exact"/>
              <w:rPr>
                <w:rFonts w:cs="Arial"/>
                <w:sz w:val="20"/>
                <w:szCs w:val="20"/>
              </w:rPr>
            </w:pPr>
          </w:p>
        </w:tc>
      </w:tr>
      <w:tr w:rsidR="008E67EA" w:rsidRPr="002B5B5B" w14:paraId="1C7F848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1638F14" w14:textId="77777777" w:rsidR="008E67EA" w:rsidRPr="00F5215F" w:rsidRDefault="008E67EA" w:rsidP="00B44A74">
            <w:pPr>
              <w:spacing w:line="280" w:lineRule="exact"/>
              <w:rPr>
                <w:rFonts w:cs="Arial"/>
                <w:sz w:val="20"/>
                <w:szCs w:val="20"/>
              </w:rPr>
            </w:pPr>
            <w:r w:rsidRPr="00F5215F">
              <w:rPr>
                <w:rFonts w:cs="Arial"/>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7374C7E8" w14:textId="77777777" w:rsidR="008E67EA" w:rsidRPr="00594AAD" w:rsidRDefault="008E67EA" w:rsidP="00B44A74">
            <w:pPr>
              <w:spacing w:line="280" w:lineRule="exact"/>
              <w:rPr>
                <w:rFonts w:cs="Arial"/>
                <w:sz w:val="20"/>
                <w:szCs w:val="20"/>
              </w:rPr>
            </w:pPr>
            <w:r w:rsidRPr="00594AAD">
              <w:rPr>
                <w:rFonts w:cs="Arial"/>
                <w:sz w:val="20"/>
                <w:szCs w:val="20"/>
              </w:rPr>
              <w:t>POISON</w:t>
            </w:r>
          </w:p>
          <w:p w14:paraId="622600B9" w14:textId="77777777" w:rsidR="008E67EA" w:rsidRPr="00594AAD" w:rsidRDefault="008E67EA" w:rsidP="00B44A74">
            <w:pPr>
              <w:spacing w:line="280" w:lineRule="exact"/>
              <w:rPr>
                <w:rFonts w:cs="Arial"/>
                <w:sz w:val="20"/>
                <w:szCs w:val="20"/>
              </w:rPr>
            </w:pPr>
            <w:r w:rsidRPr="00594AAD">
              <w:rPr>
                <w:rFonts w:cs="Arial"/>
                <w:sz w:val="20"/>
                <w:szCs w:val="20"/>
              </w:rPr>
              <w:t>KEEP OUT OF REACH OF CHILDREN</w:t>
            </w:r>
          </w:p>
          <w:p w14:paraId="66F69358" w14:textId="77777777" w:rsidR="008E67EA" w:rsidRPr="00594AAD" w:rsidRDefault="008E67EA" w:rsidP="00B44A74">
            <w:pPr>
              <w:spacing w:line="280" w:lineRule="exact"/>
              <w:rPr>
                <w:rFonts w:cs="Arial"/>
                <w:sz w:val="20"/>
                <w:szCs w:val="20"/>
              </w:rPr>
            </w:pPr>
            <w:r w:rsidRPr="00594AAD">
              <w:rPr>
                <w:rFonts w:cs="Arial"/>
                <w:sz w:val="20"/>
                <w:szCs w:val="20"/>
              </w:rPr>
              <w:t>READ SAFETY DIRECTIONS</w:t>
            </w:r>
          </w:p>
        </w:tc>
      </w:tr>
      <w:tr w:rsidR="008E67EA" w:rsidRPr="002B5B5B" w14:paraId="06CF8CF9" w14:textId="77777777" w:rsidTr="00B44A74">
        <w:trPr>
          <w:jc w:val="center"/>
        </w:trPr>
        <w:tc>
          <w:tcPr>
            <w:tcW w:w="2415" w:type="dxa"/>
            <w:tcBorders>
              <w:top w:val="single" w:sz="4" w:space="0" w:color="auto"/>
              <w:left w:val="nil"/>
              <w:bottom w:val="single" w:sz="4" w:space="0" w:color="auto"/>
              <w:right w:val="nil"/>
            </w:tcBorders>
          </w:tcPr>
          <w:p w14:paraId="630B84DB"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BF4BBA5" w14:textId="77777777" w:rsidR="008E67EA" w:rsidRPr="00594AAD" w:rsidRDefault="008E67EA" w:rsidP="00B44A74">
            <w:pPr>
              <w:spacing w:line="280" w:lineRule="exact"/>
              <w:rPr>
                <w:rFonts w:cs="Arial"/>
                <w:sz w:val="20"/>
                <w:szCs w:val="20"/>
              </w:rPr>
            </w:pPr>
          </w:p>
        </w:tc>
      </w:tr>
      <w:tr w:rsidR="008E67EA" w:rsidRPr="002B5B5B" w14:paraId="01C9A51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35FF2BD" w14:textId="77777777" w:rsidR="008E67EA" w:rsidRPr="00F5215F" w:rsidRDefault="008E67EA" w:rsidP="00B44A74">
            <w:pPr>
              <w:spacing w:line="280" w:lineRule="exact"/>
              <w:rPr>
                <w:rFonts w:cs="Arial"/>
                <w:sz w:val="20"/>
                <w:szCs w:val="20"/>
              </w:rPr>
            </w:pPr>
            <w:r w:rsidRPr="00F5215F">
              <w:rPr>
                <w:rFonts w:cs="Arial"/>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72F02508" w14:textId="77777777" w:rsidR="008E67EA" w:rsidRPr="00594AAD" w:rsidRDefault="008E67EA" w:rsidP="00B44A74">
            <w:pPr>
              <w:spacing w:line="280" w:lineRule="exact"/>
              <w:rPr>
                <w:rFonts w:cs="Arial"/>
                <w:sz w:val="20"/>
                <w:szCs w:val="20"/>
              </w:rPr>
            </w:pPr>
            <w:r w:rsidRPr="00594AAD">
              <w:rPr>
                <w:rFonts w:cs="Arial"/>
                <w:sz w:val="20"/>
                <w:szCs w:val="20"/>
              </w:rPr>
              <w:t>ACTIVE CONSTITUENT: 0.05 g/kg DIFENACOUM</w:t>
            </w:r>
          </w:p>
        </w:tc>
      </w:tr>
      <w:tr w:rsidR="008E67EA" w:rsidRPr="002B5B5B" w14:paraId="254779CA" w14:textId="77777777" w:rsidTr="00B44A74">
        <w:trPr>
          <w:jc w:val="center"/>
        </w:trPr>
        <w:tc>
          <w:tcPr>
            <w:tcW w:w="2415" w:type="dxa"/>
            <w:tcBorders>
              <w:top w:val="single" w:sz="4" w:space="0" w:color="auto"/>
              <w:left w:val="nil"/>
              <w:bottom w:val="single" w:sz="4" w:space="0" w:color="auto"/>
              <w:right w:val="nil"/>
            </w:tcBorders>
          </w:tcPr>
          <w:p w14:paraId="2FCEF62A"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1C67371" w14:textId="77777777" w:rsidR="008E67EA" w:rsidRPr="00594AAD" w:rsidRDefault="008E67EA" w:rsidP="00B44A74">
            <w:pPr>
              <w:spacing w:line="280" w:lineRule="exact"/>
              <w:rPr>
                <w:rFonts w:cs="Arial"/>
                <w:sz w:val="20"/>
                <w:szCs w:val="20"/>
              </w:rPr>
            </w:pPr>
          </w:p>
        </w:tc>
      </w:tr>
      <w:tr w:rsidR="008E67EA" w:rsidRPr="002B5B5B" w14:paraId="74F8BF3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217F5A7" w14:textId="77777777" w:rsidR="008E67EA" w:rsidRPr="00F5215F" w:rsidRDefault="008E67EA" w:rsidP="00B44A74">
            <w:pPr>
              <w:spacing w:line="280" w:lineRule="exact"/>
              <w:rPr>
                <w:rFonts w:cs="Arial"/>
                <w:sz w:val="20"/>
                <w:szCs w:val="20"/>
              </w:rPr>
            </w:pPr>
            <w:r w:rsidRPr="00F5215F">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2C37D525" w14:textId="77777777" w:rsidR="008E67EA" w:rsidRPr="00594AAD" w:rsidRDefault="008E67EA" w:rsidP="00B44A74">
            <w:pPr>
              <w:spacing w:line="280" w:lineRule="exact"/>
              <w:rPr>
                <w:rFonts w:cs="Arial"/>
                <w:sz w:val="20"/>
                <w:szCs w:val="20"/>
              </w:rPr>
            </w:pPr>
            <w:r w:rsidRPr="00342571">
              <w:rPr>
                <w:rFonts w:cs="Arial"/>
                <w:sz w:val="20"/>
                <w:szCs w:val="20"/>
              </w:rPr>
              <w:t>For control of mice in domestic and commercial buildings and rats in and around domestic and commercial buildings.</w:t>
            </w:r>
          </w:p>
        </w:tc>
      </w:tr>
      <w:tr w:rsidR="008E67EA" w:rsidRPr="002B5B5B" w14:paraId="1143E7F3" w14:textId="77777777" w:rsidTr="00B44A74">
        <w:trPr>
          <w:jc w:val="center"/>
        </w:trPr>
        <w:tc>
          <w:tcPr>
            <w:tcW w:w="2415" w:type="dxa"/>
            <w:tcBorders>
              <w:top w:val="single" w:sz="4" w:space="0" w:color="auto"/>
              <w:left w:val="nil"/>
              <w:bottom w:val="single" w:sz="4" w:space="0" w:color="auto"/>
              <w:right w:val="nil"/>
            </w:tcBorders>
          </w:tcPr>
          <w:p w14:paraId="05CD55FD"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16881AF" w14:textId="77777777" w:rsidR="008E67EA" w:rsidRPr="00594AAD" w:rsidRDefault="008E67EA" w:rsidP="00B44A74">
            <w:pPr>
              <w:spacing w:line="280" w:lineRule="exact"/>
              <w:rPr>
                <w:rFonts w:cs="Arial"/>
                <w:sz w:val="20"/>
                <w:szCs w:val="20"/>
              </w:rPr>
            </w:pPr>
          </w:p>
        </w:tc>
      </w:tr>
      <w:tr w:rsidR="008E67EA" w:rsidRPr="002B5B5B" w14:paraId="6B0256C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52612CA" w14:textId="77777777" w:rsidR="008E67EA" w:rsidRPr="00F5215F" w:rsidRDefault="008E67EA" w:rsidP="00B44A74">
            <w:pPr>
              <w:spacing w:line="280" w:lineRule="exact"/>
              <w:rPr>
                <w:rFonts w:cs="Arial"/>
                <w:sz w:val="20"/>
                <w:szCs w:val="20"/>
              </w:rPr>
            </w:pPr>
            <w:r w:rsidRPr="00F5215F">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50ABD474" w14:textId="77777777" w:rsidR="008E67EA" w:rsidRPr="00594AAD" w:rsidRDefault="008E67EA" w:rsidP="00B44A74">
            <w:pPr>
              <w:spacing w:line="280" w:lineRule="exact"/>
              <w:rPr>
                <w:rFonts w:cs="Arial"/>
                <w:sz w:val="20"/>
                <w:szCs w:val="20"/>
              </w:rPr>
            </w:pPr>
            <w:r w:rsidRPr="00594AAD">
              <w:rPr>
                <w:rFonts w:cs="Arial"/>
                <w:sz w:val="20"/>
                <w:szCs w:val="20"/>
              </w:rPr>
              <w:t>[INSERT NET CONTENTS – MAXIMUM 300 g]</w:t>
            </w:r>
          </w:p>
        </w:tc>
      </w:tr>
      <w:tr w:rsidR="008E67EA" w:rsidRPr="002B5B5B" w14:paraId="19BA90E3" w14:textId="77777777" w:rsidTr="00B44A74">
        <w:trPr>
          <w:jc w:val="center"/>
        </w:trPr>
        <w:tc>
          <w:tcPr>
            <w:tcW w:w="2415" w:type="dxa"/>
            <w:tcBorders>
              <w:top w:val="single" w:sz="4" w:space="0" w:color="auto"/>
              <w:left w:val="nil"/>
              <w:bottom w:val="single" w:sz="4" w:space="0" w:color="auto"/>
              <w:right w:val="nil"/>
            </w:tcBorders>
          </w:tcPr>
          <w:p w14:paraId="53C72A8A"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AB7D6DD" w14:textId="77777777" w:rsidR="008E67EA" w:rsidRPr="00594AAD" w:rsidRDefault="008E67EA" w:rsidP="00B44A74">
            <w:pPr>
              <w:spacing w:line="280" w:lineRule="exact"/>
              <w:rPr>
                <w:rFonts w:cs="Arial"/>
                <w:sz w:val="20"/>
                <w:szCs w:val="20"/>
              </w:rPr>
            </w:pPr>
          </w:p>
        </w:tc>
      </w:tr>
      <w:tr w:rsidR="008E67EA" w:rsidRPr="002B5B5B" w14:paraId="08144A0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5551B93" w14:textId="77777777" w:rsidR="008E67EA" w:rsidRPr="00F5215F" w:rsidRDefault="008E67EA" w:rsidP="00B44A74">
            <w:pPr>
              <w:spacing w:line="280" w:lineRule="exact"/>
              <w:rPr>
                <w:rFonts w:cs="Arial"/>
                <w:sz w:val="20"/>
                <w:szCs w:val="20"/>
              </w:rPr>
            </w:pPr>
            <w:r w:rsidRPr="00F5215F">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4D0F9857" w14:textId="67E85027" w:rsidR="008E67EA" w:rsidRPr="00594AAD" w:rsidRDefault="008E67EA" w:rsidP="00B44A74">
            <w:pPr>
              <w:spacing w:line="280" w:lineRule="exact"/>
              <w:rPr>
                <w:rFonts w:cs="Arial"/>
                <w:sz w:val="20"/>
                <w:szCs w:val="20"/>
              </w:rPr>
            </w:pPr>
            <w:r w:rsidRPr="00594AAD">
              <w:rPr>
                <w:rFonts w:cs="Arial"/>
                <w:sz w:val="20"/>
                <w:szCs w:val="20"/>
              </w:rPr>
              <w:t>DO NOT place baits unless in tamper-resistant bait stations.</w:t>
            </w:r>
          </w:p>
          <w:p w14:paraId="6A541573" w14:textId="77777777" w:rsidR="008E67EA" w:rsidRPr="00594AAD" w:rsidRDefault="008E67EA" w:rsidP="00B44A74">
            <w:pPr>
              <w:spacing w:line="280" w:lineRule="exact"/>
              <w:rPr>
                <w:rFonts w:cs="Arial"/>
                <w:sz w:val="20"/>
                <w:szCs w:val="20"/>
              </w:rPr>
            </w:pPr>
            <w:r w:rsidRPr="00594AAD">
              <w:rPr>
                <w:rFonts w:cs="Arial"/>
                <w:sz w:val="20"/>
                <w:szCs w:val="20"/>
              </w:rPr>
              <w:t>DO NOT place bait stations outdoors around buildings for control of mice.</w:t>
            </w:r>
          </w:p>
          <w:p w14:paraId="36C7C06F" w14:textId="77777777" w:rsidR="008E67EA" w:rsidRPr="00594AAD" w:rsidRDefault="008E67EA" w:rsidP="00B44A74">
            <w:pPr>
              <w:spacing w:line="280" w:lineRule="exact"/>
              <w:rPr>
                <w:rFonts w:cs="Arial"/>
                <w:sz w:val="20"/>
                <w:szCs w:val="20"/>
              </w:rPr>
            </w:pPr>
            <w:r w:rsidRPr="00594AAD">
              <w:rPr>
                <w:rFonts w:cs="Arial"/>
                <w:sz w:val="20"/>
                <w:szCs w:val="20"/>
              </w:rPr>
              <w:t>DO NOT place bait stations more than 2 meters from buildings.</w:t>
            </w:r>
          </w:p>
          <w:p w14:paraId="282E2C21" w14:textId="77777777" w:rsidR="008E67EA" w:rsidRPr="00594AAD" w:rsidRDefault="008E67EA" w:rsidP="00B44A74">
            <w:pPr>
              <w:spacing w:line="280" w:lineRule="exact"/>
              <w:rPr>
                <w:rFonts w:cs="Arial"/>
                <w:sz w:val="20"/>
                <w:szCs w:val="20"/>
              </w:rPr>
            </w:pPr>
            <w:r w:rsidRPr="00594AAD">
              <w:rPr>
                <w:rFonts w:cs="Arial"/>
                <w:sz w:val="20"/>
                <w:szCs w:val="20"/>
              </w:rPr>
              <w:t>DO NOT bait in areas where wildlife may be collected for human consumption.</w:t>
            </w:r>
          </w:p>
          <w:p w14:paraId="0E5FC49C" w14:textId="77777777" w:rsidR="008E67EA" w:rsidRPr="00594AAD" w:rsidRDefault="008E67EA" w:rsidP="00B44A74">
            <w:pPr>
              <w:spacing w:line="280" w:lineRule="exact"/>
              <w:rPr>
                <w:rFonts w:cs="Arial"/>
                <w:sz w:val="20"/>
                <w:szCs w:val="20"/>
              </w:rPr>
            </w:pPr>
            <w:r w:rsidRPr="00594AAD">
              <w:rPr>
                <w:rFonts w:cs="Arial"/>
                <w:sz w:val="20"/>
                <w:szCs w:val="20"/>
              </w:rPr>
              <w:t>DO NOT place baits in and around animal, livestock and poultry houses, associated equipment, and food and feed processing areas.</w:t>
            </w:r>
          </w:p>
          <w:p w14:paraId="0B064741" w14:textId="77777777" w:rsidR="008E67EA" w:rsidRPr="00594AAD" w:rsidRDefault="008E67EA" w:rsidP="00B44A74">
            <w:pPr>
              <w:spacing w:line="280" w:lineRule="exact"/>
              <w:rPr>
                <w:rFonts w:cs="Arial"/>
                <w:sz w:val="20"/>
                <w:szCs w:val="20"/>
              </w:rPr>
            </w:pPr>
            <w:r w:rsidRPr="00594AAD">
              <w:rPr>
                <w:rFonts w:cs="Arial"/>
                <w:sz w:val="20"/>
                <w:szCs w:val="20"/>
              </w:rPr>
              <w:t>DO NOT apply this product directly into burrows.</w:t>
            </w:r>
          </w:p>
          <w:p w14:paraId="0AE82D08" w14:textId="77777777" w:rsidR="008E67EA" w:rsidRPr="00594AAD" w:rsidRDefault="008E67EA" w:rsidP="00B44A74">
            <w:pPr>
              <w:spacing w:line="280" w:lineRule="exact"/>
              <w:rPr>
                <w:rFonts w:cs="Arial"/>
                <w:sz w:val="20"/>
                <w:szCs w:val="20"/>
                <w:highlight w:val="yellow"/>
              </w:rPr>
            </w:pPr>
            <w:r w:rsidRPr="00594AAD">
              <w:rPr>
                <w:rFonts w:cs="Arial"/>
                <w:sz w:val="20"/>
                <w:szCs w:val="20"/>
              </w:rPr>
              <w:t>DO NOT use the product in pulsed baiting treatments.</w:t>
            </w:r>
          </w:p>
        </w:tc>
      </w:tr>
      <w:tr w:rsidR="008E67EA" w:rsidRPr="002B5B5B" w14:paraId="7A31854E" w14:textId="77777777" w:rsidTr="00B44A74">
        <w:trPr>
          <w:jc w:val="center"/>
        </w:trPr>
        <w:tc>
          <w:tcPr>
            <w:tcW w:w="2415" w:type="dxa"/>
            <w:tcBorders>
              <w:top w:val="single" w:sz="4" w:space="0" w:color="auto"/>
              <w:left w:val="nil"/>
              <w:bottom w:val="single" w:sz="4" w:space="0" w:color="auto"/>
              <w:right w:val="nil"/>
            </w:tcBorders>
          </w:tcPr>
          <w:p w14:paraId="0D6891EA"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FB2674A" w14:textId="77777777" w:rsidR="008E67EA" w:rsidRPr="00594AAD" w:rsidRDefault="008E67EA" w:rsidP="00B44A74">
            <w:pPr>
              <w:spacing w:line="280" w:lineRule="exact"/>
              <w:rPr>
                <w:rFonts w:cs="Arial"/>
                <w:sz w:val="20"/>
                <w:szCs w:val="20"/>
              </w:rPr>
            </w:pPr>
          </w:p>
        </w:tc>
      </w:tr>
      <w:tr w:rsidR="008E67EA" w:rsidRPr="002B5B5B" w14:paraId="1149226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8D3F240" w14:textId="77777777" w:rsidR="008E67EA" w:rsidRPr="00F5215F" w:rsidRDefault="008E67EA" w:rsidP="00B44A74">
            <w:pPr>
              <w:spacing w:line="280" w:lineRule="exact"/>
              <w:rPr>
                <w:rFonts w:cs="Arial"/>
                <w:sz w:val="20"/>
                <w:szCs w:val="20"/>
              </w:rPr>
            </w:pPr>
            <w:r>
              <w:rPr>
                <w:rFonts w:cs="Arial"/>
                <w:sz w:val="20"/>
                <w:szCs w:val="20"/>
              </w:rPr>
              <w:t>How to Use</w:t>
            </w:r>
          </w:p>
        </w:tc>
        <w:tc>
          <w:tcPr>
            <w:tcW w:w="7755" w:type="dxa"/>
            <w:tcBorders>
              <w:top w:val="single" w:sz="4" w:space="0" w:color="auto"/>
              <w:left w:val="single" w:sz="4" w:space="0" w:color="auto"/>
              <w:bottom w:val="single" w:sz="4" w:space="0" w:color="auto"/>
              <w:right w:val="single" w:sz="4" w:space="0" w:color="auto"/>
            </w:tcBorders>
          </w:tcPr>
          <w:p w14:paraId="56017743" w14:textId="77777777" w:rsidR="008E67EA" w:rsidRPr="00594AAD" w:rsidRDefault="008E67EA" w:rsidP="00B44A74">
            <w:pPr>
              <w:spacing w:line="280" w:lineRule="exact"/>
              <w:rPr>
                <w:rFonts w:cs="Arial"/>
                <w:sz w:val="20"/>
                <w:szCs w:val="20"/>
              </w:rPr>
            </w:pPr>
            <w:r w:rsidRPr="00B832BB">
              <w:rPr>
                <w:rFonts w:cs="Arial"/>
                <w:sz w:val="20"/>
                <w:szCs w:val="20"/>
              </w:rPr>
              <w:t>[This section contains an attachment below]</w:t>
            </w:r>
          </w:p>
        </w:tc>
      </w:tr>
      <w:tr w:rsidR="008E67EA" w:rsidRPr="002B5B5B" w14:paraId="35B24038" w14:textId="77777777" w:rsidTr="00B44A74">
        <w:trPr>
          <w:jc w:val="center"/>
        </w:trPr>
        <w:tc>
          <w:tcPr>
            <w:tcW w:w="2415" w:type="dxa"/>
            <w:tcBorders>
              <w:top w:val="single" w:sz="4" w:space="0" w:color="auto"/>
              <w:left w:val="nil"/>
              <w:bottom w:val="single" w:sz="4" w:space="0" w:color="auto"/>
              <w:right w:val="nil"/>
            </w:tcBorders>
          </w:tcPr>
          <w:p w14:paraId="3DB993D2"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368C74B" w14:textId="77777777" w:rsidR="008E67EA" w:rsidRPr="00594AAD" w:rsidRDefault="008E67EA" w:rsidP="00B44A74">
            <w:pPr>
              <w:spacing w:line="280" w:lineRule="exact"/>
              <w:rPr>
                <w:rFonts w:cs="Arial"/>
                <w:sz w:val="20"/>
                <w:szCs w:val="20"/>
              </w:rPr>
            </w:pPr>
          </w:p>
        </w:tc>
      </w:tr>
      <w:tr w:rsidR="008E67EA" w:rsidRPr="002B5B5B" w14:paraId="4CAEBA6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256721F" w14:textId="77777777" w:rsidR="008E67EA" w:rsidRPr="00F5215F" w:rsidRDefault="008E67EA" w:rsidP="00B44A74">
            <w:pPr>
              <w:spacing w:line="280" w:lineRule="exact"/>
              <w:rPr>
                <w:rFonts w:cs="Arial"/>
                <w:sz w:val="20"/>
                <w:szCs w:val="20"/>
              </w:rPr>
            </w:pPr>
            <w:r w:rsidRPr="00F5215F">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1964D792" w14:textId="77777777" w:rsidR="008E67EA" w:rsidRPr="00594AAD" w:rsidRDefault="008E67EA" w:rsidP="00B44A74">
            <w:pPr>
              <w:spacing w:line="280" w:lineRule="exact"/>
              <w:rPr>
                <w:rFonts w:cs="Arial"/>
                <w:sz w:val="20"/>
                <w:szCs w:val="20"/>
              </w:rPr>
            </w:pPr>
          </w:p>
        </w:tc>
      </w:tr>
      <w:tr w:rsidR="008E67EA" w:rsidRPr="002B5B5B" w14:paraId="06BB3695" w14:textId="77777777" w:rsidTr="00B44A74">
        <w:trPr>
          <w:jc w:val="center"/>
        </w:trPr>
        <w:tc>
          <w:tcPr>
            <w:tcW w:w="2415" w:type="dxa"/>
            <w:tcBorders>
              <w:top w:val="single" w:sz="4" w:space="0" w:color="auto"/>
              <w:left w:val="nil"/>
              <w:bottom w:val="single" w:sz="4" w:space="0" w:color="auto"/>
              <w:right w:val="nil"/>
            </w:tcBorders>
          </w:tcPr>
          <w:p w14:paraId="6630F9DF"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FEEC9A8" w14:textId="77777777" w:rsidR="008E67EA" w:rsidRPr="00594AAD" w:rsidRDefault="008E67EA" w:rsidP="00B44A74">
            <w:pPr>
              <w:spacing w:line="280" w:lineRule="exact"/>
              <w:rPr>
                <w:rFonts w:cs="Arial"/>
                <w:sz w:val="20"/>
                <w:szCs w:val="20"/>
              </w:rPr>
            </w:pPr>
          </w:p>
        </w:tc>
      </w:tr>
      <w:tr w:rsidR="008E67EA" w:rsidRPr="002B5B5B" w14:paraId="1C18AC6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729B20B" w14:textId="77777777" w:rsidR="008E67EA" w:rsidRPr="00F5215F" w:rsidRDefault="008E67EA" w:rsidP="00B44A74">
            <w:pPr>
              <w:spacing w:line="280" w:lineRule="exact"/>
              <w:rPr>
                <w:rFonts w:cs="Arial"/>
                <w:sz w:val="20"/>
                <w:szCs w:val="20"/>
              </w:rPr>
            </w:pPr>
            <w:r>
              <w:rPr>
                <w:rFonts w:cs="Arial"/>
                <w:sz w:val="20"/>
                <w:szCs w:val="20"/>
              </w:rPr>
              <w:t>How to Prepare</w:t>
            </w:r>
          </w:p>
        </w:tc>
        <w:tc>
          <w:tcPr>
            <w:tcW w:w="7755" w:type="dxa"/>
            <w:tcBorders>
              <w:top w:val="single" w:sz="4" w:space="0" w:color="auto"/>
              <w:left w:val="single" w:sz="4" w:space="0" w:color="auto"/>
              <w:bottom w:val="single" w:sz="4" w:space="0" w:color="auto"/>
              <w:right w:val="single" w:sz="4" w:space="0" w:color="auto"/>
            </w:tcBorders>
          </w:tcPr>
          <w:p w14:paraId="75A02782" w14:textId="77777777" w:rsidR="008E67EA" w:rsidRPr="00594AAD" w:rsidRDefault="008E67EA" w:rsidP="00B44A74">
            <w:pPr>
              <w:spacing w:line="280" w:lineRule="exact"/>
              <w:rPr>
                <w:rFonts w:cs="Arial"/>
                <w:sz w:val="20"/>
                <w:szCs w:val="20"/>
              </w:rPr>
            </w:pPr>
          </w:p>
        </w:tc>
      </w:tr>
      <w:tr w:rsidR="008E67EA" w:rsidRPr="002B5B5B" w14:paraId="6F77E602" w14:textId="77777777" w:rsidTr="00B44A74">
        <w:trPr>
          <w:jc w:val="center"/>
        </w:trPr>
        <w:tc>
          <w:tcPr>
            <w:tcW w:w="2415" w:type="dxa"/>
            <w:tcBorders>
              <w:top w:val="single" w:sz="4" w:space="0" w:color="auto"/>
              <w:left w:val="nil"/>
              <w:bottom w:val="single" w:sz="4" w:space="0" w:color="auto"/>
              <w:right w:val="nil"/>
            </w:tcBorders>
          </w:tcPr>
          <w:p w14:paraId="799B915C"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024665D" w14:textId="77777777" w:rsidR="008E67EA" w:rsidRPr="00594AAD" w:rsidRDefault="008E67EA" w:rsidP="00B44A74">
            <w:pPr>
              <w:spacing w:line="280" w:lineRule="exact"/>
              <w:rPr>
                <w:rFonts w:cs="Arial"/>
                <w:sz w:val="20"/>
                <w:szCs w:val="20"/>
              </w:rPr>
            </w:pPr>
          </w:p>
        </w:tc>
      </w:tr>
      <w:tr w:rsidR="008E67EA" w:rsidRPr="002B5B5B" w14:paraId="561B586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5BFCDF7" w14:textId="77777777" w:rsidR="008E67EA" w:rsidRPr="00F5215F" w:rsidRDefault="008E67EA" w:rsidP="00B44A74">
            <w:pPr>
              <w:spacing w:line="280" w:lineRule="exact"/>
              <w:rPr>
                <w:rFonts w:cs="Arial"/>
                <w:sz w:val="20"/>
                <w:szCs w:val="20"/>
              </w:rPr>
            </w:pPr>
            <w:r w:rsidRPr="00F5215F">
              <w:rPr>
                <w:rFonts w:cs="Arial"/>
                <w:sz w:val="20"/>
                <w:szCs w:val="20"/>
              </w:rPr>
              <w:t>Resistance Warning:</w:t>
            </w:r>
          </w:p>
        </w:tc>
        <w:tc>
          <w:tcPr>
            <w:tcW w:w="7755" w:type="dxa"/>
            <w:tcBorders>
              <w:top w:val="single" w:sz="4" w:space="0" w:color="auto"/>
              <w:left w:val="single" w:sz="4" w:space="0" w:color="auto"/>
              <w:bottom w:val="single" w:sz="4" w:space="0" w:color="auto"/>
              <w:right w:val="single" w:sz="4" w:space="0" w:color="auto"/>
            </w:tcBorders>
          </w:tcPr>
          <w:p w14:paraId="0A4D64A9" w14:textId="77777777" w:rsidR="008E67EA" w:rsidRPr="00594AAD" w:rsidRDefault="008E67EA" w:rsidP="00B44A74">
            <w:pPr>
              <w:spacing w:line="280" w:lineRule="exact"/>
              <w:rPr>
                <w:rFonts w:cs="Arial"/>
                <w:sz w:val="20"/>
                <w:szCs w:val="20"/>
              </w:rPr>
            </w:pPr>
          </w:p>
        </w:tc>
      </w:tr>
      <w:tr w:rsidR="008E67EA" w:rsidRPr="002B5B5B" w14:paraId="50AAE343" w14:textId="77777777" w:rsidTr="00B44A74">
        <w:trPr>
          <w:jc w:val="center"/>
        </w:trPr>
        <w:tc>
          <w:tcPr>
            <w:tcW w:w="2415" w:type="dxa"/>
            <w:tcBorders>
              <w:top w:val="single" w:sz="4" w:space="0" w:color="auto"/>
              <w:left w:val="nil"/>
              <w:bottom w:val="single" w:sz="4" w:space="0" w:color="auto"/>
              <w:right w:val="nil"/>
            </w:tcBorders>
          </w:tcPr>
          <w:p w14:paraId="721B12F3"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3B2E293" w14:textId="77777777" w:rsidR="008E67EA" w:rsidRPr="00594AAD" w:rsidRDefault="008E67EA" w:rsidP="00B44A74">
            <w:pPr>
              <w:spacing w:line="280" w:lineRule="exact"/>
              <w:rPr>
                <w:rFonts w:cs="Arial"/>
                <w:sz w:val="20"/>
                <w:szCs w:val="20"/>
              </w:rPr>
            </w:pPr>
          </w:p>
        </w:tc>
      </w:tr>
      <w:tr w:rsidR="008E67EA" w:rsidRPr="002B5B5B" w14:paraId="2D676E7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6DD7494" w14:textId="77777777" w:rsidR="008E67EA" w:rsidRPr="00F5215F" w:rsidRDefault="008E67EA" w:rsidP="00B44A74">
            <w:pPr>
              <w:spacing w:line="280" w:lineRule="exact"/>
              <w:rPr>
                <w:rFonts w:cs="Arial"/>
                <w:sz w:val="20"/>
                <w:szCs w:val="20"/>
              </w:rPr>
            </w:pPr>
            <w:r w:rsidRPr="00F5215F">
              <w:rPr>
                <w:rFonts w:cs="Arial"/>
                <w:sz w:val="20"/>
                <w:szCs w:val="20"/>
              </w:rPr>
              <w:t>Precautions:</w:t>
            </w:r>
          </w:p>
        </w:tc>
        <w:tc>
          <w:tcPr>
            <w:tcW w:w="7755" w:type="dxa"/>
            <w:tcBorders>
              <w:top w:val="single" w:sz="4" w:space="0" w:color="auto"/>
              <w:left w:val="single" w:sz="4" w:space="0" w:color="auto"/>
              <w:bottom w:val="single" w:sz="4" w:space="0" w:color="auto"/>
              <w:right w:val="single" w:sz="4" w:space="0" w:color="auto"/>
            </w:tcBorders>
          </w:tcPr>
          <w:p w14:paraId="38CE398B" w14:textId="77777777" w:rsidR="008E67EA" w:rsidRPr="00594AAD" w:rsidRDefault="008E67EA" w:rsidP="00B44A74">
            <w:pPr>
              <w:spacing w:line="280" w:lineRule="exact"/>
              <w:rPr>
                <w:rFonts w:cs="Arial"/>
                <w:sz w:val="20"/>
                <w:szCs w:val="20"/>
              </w:rPr>
            </w:pPr>
            <w:r w:rsidRPr="00594AAD">
              <w:rPr>
                <w:rFonts w:cs="Arial"/>
                <w:sz w:val="20"/>
                <w:szCs w:val="20"/>
              </w:rPr>
              <w:t>CAUTION</w:t>
            </w:r>
          </w:p>
          <w:p w14:paraId="5A8252ED" w14:textId="77777777" w:rsidR="008E67EA" w:rsidRPr="00594AAD" w:rsidRDefault="008E67EA" w:rsidP="00B44A74">
            <w:pPr>
              <w:spacing w:line="280" w:lineRule="exact"/>
              <w:rPr>
                <w:rFonts w:cs="Arial"/>
                <w:sz w:val="20"/>
                <w:szCs w:val="20"/>
              </w:rPr>
            </w:pPr>
            <w:r w:rsidRPr="00594AAD">
              <w:rPr>
                <w:rFonts w:cs="Arial"/>
                <w:sz w:val="20"/>
                <w:szCs w:val="20"/>
              </w:rPr>
              <w:t>Caution should be used when baiting near areas where hunting of wildlife may occur. Careful consideration of bait placement is necessary to avoid secondary exposure from contaminated wildlife that may be consumed.</w:t>
            </w:r>
          </w:p>
          <w:p w14:paraId="54B4283C" w14:textId="77777777" w:rsidR="008E67EA" w:rsidRDefault="008E67EA" w:rsidP="00B44A74">
            <w:pPr>
              <w:spacing w:line="280" w:lineRule="exact"/>
              <w:rPr>
                <w:rFonts w:cs="Arial"/>
                <w:sz w:val="20"/>
                <w:szCs w:val="20"/>
              </w:rPr>
            </w:pPr>
            <w:r w:rsidRPr="00594AAD">
              <w:rPr>
                <w:rFonts w:cs="Arial"/>
                <w:sz w:val="20"/>
                <w:szCs w:val="20"/>
              </w:rPr>
              <w:t>DO NOT place bait in areas where there is a possibility of contaminating food, livestock feed or surfaces that come in direct contact with food or livestock feed.</w:t>
            </w:r>
          </w:p>
          <w:p w14:paraId="1E787358" w14:textId="77777777" w:rsidR="008E67EA" w:rsidRPr="00594AAD" w:rsidRDefault="008E67EA" w:rsidP="00B44A74">
            <w:pPr>
              <w:spacing w:line="280" w:lineRule="exact"/>
              <w:rPr>
                <w:rFonts w:cs="Arial"/>
                <w:sz w:val="20"/>
                <w:szCs w:val="20"/>
              </w:rPr>
            </w:pPr>
          </w:p>
          <w:p w14:paraId="0DEDBFE1" w14:textId="77777777" w:rsidR="008E67EA" w:rsidRPr="00594AAD" w:rsidRDefault="008E67EA" w:rsidP="00B44A74">
            <w:pPr>
              <w:spacing w:line="280" w:lineRule="exact"/>
              <w:rPr>
                <w:rFonts w:cs="Arial"/>
                <w:sz w:val="20"/>
                <w:szCs w:val="20"/>
              </w:rPr>
            </w:pPr>
            <w:r w:rsidRPr="00594AAD">
              <w:rPr>
                <w:rFonts w:cs="Arial"/>
                <w:sz w:val="20"/>
                <w:szCs w:val="20"/>
              </w:rPr>
              <w:t>PROTECTION OF LIVESTOCK AND WILDLIFE</w:t>
            </w:r>
          </w:p>
          <w:p w14:paraId="74E6C419" w14:textId="77777777" w:rsidR="008E67EA" w:rsidRPr="00594AAD" w:rsidRDefault="008E67EA" w:rsidP="00B44A74">
            <w:pPr>
              <w:spacing w:line="280" w:lineRule="exact"/>
              <w:rPr>
                <w:rFonts w:cs="Arial"/>
                <w:sz w:val="20"/>
                <w:szCs w:val="20"/>
              </w:rPr>
            </w:pPr>
            <w:r w:rsidRPr="00594AAD">
              <w:rPr>
                <w:rFonts w:cs="Arial"/>
                <w:sz w:val="20"/>
                <w:szCs w:val="20"/>
              </w:rPr>
              <w:t>Hazardous to livestock, poultry and wildlife. DO NOT place baits in locations that are accessible to domestic animals, livestock, non-target native animals or birds.</w:t>
            </w:r>
          </w:p>
          <w:p w14:paraId="53FDD71C" w14:textId="062E8FD5" w:rsidR="008E67EA" w:rsidRPr="00594AAD" w:rsidRDefault="008E67EA" w:rsidP="00B44A74">
            <w:pPr>
              <w:spacing w:line="280" w:lineRule="exact"/>
              <w:rPr>
                <w:rFonts w:cs="Arial"/>
                <w:sz w:val="20"/>
                <w:szCs w:val="20"/>
              </w:rPr>
            </w:pPr>
            <w:r w:rsidRPr="00594AAD">
              <w:rPr>
                <w:rFonts w:cs="Arial"/>
                <w:sz w:val="20"/>
                <w:szCs w:val="20"/>
              </w:rPr>
              <w:t xml:space="preserve">Search for and dispose of dead rodents and slugs/snails in the infested area at each visit to prevent secondary poisoning. In case slugs/snails are present, move bait station to another location within the rodent infested site, away from slugs/snails. </w:t>
            </w:r>
            <w:r w:rsidRPr="00594AAD">
              <w:rPr>
                <w:rFonts w:cs="Arial"/>
                <w:sz w:val="20"/>
                <w:szCs w:val="20"/>
              </w:rPr>
              <w:lastRenderedPageBreak/>
              <w:t>Dispose of slugs/snails, dead rodents and uneaten bait by wrapping in paper, placing in plastic bag and putting in garbage.</w:t>
            </w:r>
          </w:p>
          <w:p w14:paraId="4C3239E4" w14:textId="058529E6" w:rsidR="008E67EA" w:rsidRDefault="008E67EA" w:rsidP="00B44A74">
            <w:pPr>
              <w:spacing w:line="280" w:lineRule="exact"/>
              <w:rPr>
                <w:rFonts w:cs="Arial"/>
                <w:sz w:val="20"/>
                <w:szCs w:val="20"/>
              </w:rPr>
            </w:pPr>
            <w:r w:rsidRPr="00594AAD">
              <w:rPr>
                <w:rFonts w:cs="Arial"/>
                <w:sz w:val="20"/>
                <w:szCs w:val="20"/>
              </w:rPr>
              <w:t>DO NOT allow livestock or poultry to consume dead or moribund mice</w:t>
            </w:r>
            <w:r>
              <w:rPr>
                <w:rFonts w:cs="Arial"/>
                <w:sz w:val="20"/>
                <w:szCs w:val="20"/>
              </w:rPr>
              <w:t xml:space="preserve"> and rats</w:t>
            </w:r>
            <w:r w:rsidRPr="00594AAD">
              <w:rPr>
                <w:rFonts w:cs="Arial"/>
                <w:sz w:val="20"/>
                <w:szCs w:val="20"/>
              </w:rPr>
              <w:t>. All dead or moribund animals and rodent faeces from baited rodents MUST be removed from areas accessible to livestock or poultry.</w:t>
            </w:r>
          </w:p>
          <w:p w14:paraId="3DE3CF2C" w14:textId="35CF86D0" w:rsidR="008E67EA" w:rsidRDefault="008E67EA" w:rsidP="00B44A74">
            <w:pPr>
              <w:spacing w:line="280" w:lineRule="exact"/>
              <w:rPr>
                <w:rFonts w:cs="Arial"/>
                <w:sz w:val="20"/>
                <w:szCs w:val="20"/>
              </w:rPr>
            </w:pPr>
            <w:r w:rsidRPr="00594AAD">
              <w:rPr>
                <w:rFonts w:cs="Arial"/>
                <w:sz w:val="20"/>
                <w:szCs w:val="20"/>
              </w:rPr>
              <w:t>DO NOT let</w:t>
            </w:r>
            <w:r>
              <w:rPr>
                <w:rFonts w:cs="Arial"/>
                <w:sz w:val="20"/>
                <w:szCs w:val="20"/>
              </w:rPr>
              <w:t xml:space="preserve"> </w:t>
            </w:r>
            <w:r w:rsidRPr="00594AAD">
              <w:rPr>
                <w:rFonts w:cs="Arial"/>
                <w:sz w:val="20"/>
                <w:szCs w:val="20"/>
              </w:rPr>
              <w:t>cats, dogs or non-target animals eat poisoned mice and rats.</w:t>
            </w:r>
          </w:p>
          <w:p w14:paraId="678FA1AD" w14:textId="77777777" w:rsidR="008E67EA" w:rsidRDefault="008E67EA" w:rsidP="00B44A74">
            <w:pPr>
              <w:spacing w:line="280" w:lineRule="exact"/>
              <w:rPr>
                <w:rFonts w:cs="Arial"/>
                <w:sz w:val="20"/>
                <w:szCs w:val="20"/>
              </w:rPr>
            </w:pPr>
            <w:r w:rsidRPr="00594AAD">
              <w:rPr>
                <w:rFonts w:cs="Arial"/>
                <w:sz w:val="20"/>
                <w:szCs w:val="20"/>
              </w:rPr>
              <w:t>DO NOT us</w:t>
            </w:r>
            <w:r>
              <w:rPr>
                <w:rFonts w:cs="Arial"/>
                <w:sz w:val="20"/>
                <w:szCs w:val="20"/>
              </w:rPr>
              <w:t xml:space="preserve">e </w:t>
            </w:r>
            <w:r w:rsidRPr="00594AAD">
              <w:rPr>
                <w:rFonts w:cs="Arial"/>
                <w:sz w:val="20"/>
                <w:szCs w:val="20"/>
              </w:rPr>
              <w:t>this product to control native animals.</w:t>
            </w:r>
          </w:p>
          <w:p w14:paraId="0C3A49C2" w14:textId="77777777" w:rsidR="008E67EA" w:rsidRPr="00594AAD" w:rsidRDefault="008E67EA" w:rsidP="00B44A74">
            <w:pPr>
              <w:spacing w:line="280" w:lineRule="exact"/>
              <w:rPr>
                <w:rFonts w:cs="Arial"/>
                <w:sz w:val="20"/>
                <w:szCs w:val="20"/>
              </w:rPr>
            </w:pPr>
          </w:p>
          <w:p w14:paraId="332C5E23" w14:textId="77777777" w:rsidR="008E67EA" w:rsidRPr="00594AAD" w:rsidRDefault="008E67EA" w:rsidP="00B44A74">
            <w:pPr>
              <w:spacing w:line="280" w:lineRule="exact"/>
              <w:rPr>
                <w:rFonts w:cs="Arial"/>
                <w:sz w:val="20"/>
                <w:szCs w:val="20"/>
              </w:rPr>
            </w:pPr>
            <w:r w:rsidRPr="00594AAD">
              <w:rPr>
                <w:rFonts w:cs="Arial"/>
                <w:sz w:val="20"/>
                <w:szCs w:val="20"/>
              </w:rPr>
              <w:t>PROTECTION OF FISH, CRUSTACEANS AND ENVIRONMENT</w:t>
            </w:r>
          </w:p>
          <w:p w14:paraId="48242334" w14:textId="77777777" w:rsidR="008E67EA" w:rsidRPr="00594AAD" w:rsidRDefault="008E67EA" w:rsidP="00B44A74">
            <w:pPr>
              <w:spacing w:line="280" w:lineRule="exact"/>
              <w:rPr>
                <w:rFonts w:cs="Arial"/>
                <w:sz w:val="20"/>
                <w:szCs w:val="20"/>
              </w:rPr>
            </w:pPr>
            <w:r w:rsidRPr="00594AAD">
              <w:rPr>
                <w:rFonts w:cs="Arial"/>
                <w:sz w:val="20"/>
                <w:szCs w:val="20"/>
              </w:rPr>
              <w:t>Very toxic to aquatic life. DO NOT contaminate wetlands or watercourses with this product or used containers. Place the bait stations in areas not liable to flooding. When placing bait stations close to water drainage systems, ensure that bait contact with water is avoided</w:t>
            </w:r>
            <w:r>
              <w:rPr>
                <w:rFonts w:cs="Arial"/>
                <w:sz w:val="20"/>
                <w:szCs w:val="20"/>
              </w:rPr>
              <w:t>.</w:t>
            </w:r>
          </w:p>
        </w:tc>
      </w:tr>
      <w:tr w:rsidR="008E67EA" w:rsidRPr="002B5B5B" w14:paraId="10837106" w14:textId="77777777" w:rsidTr="00B44A74">
        <w:trPr>
          <w:jc w:val="center"/>
        </w:trPr>
        <w:tc>
          <w:tcPr>
            <w:tcW w:w="2415" w:type="dxa"/>
            <w:tcBorders>
              <w:top w:val="single" w:sz="4" w:space="0" w:color="auto"/>
              <w:left w:val="nil"/>
              <w:bottom w:val="single" w:sz="4" w:space="0" w:color="auto"/>
              <w:right w:val="nil"/>
            </w:tcBorders>
          </w:tcPr>
          <w:p w14:paraId="74058645"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2FD0A5E" w14:textId="77777777" w:rsidR="008E67EA" w:rsidRPr="00594AAD" w:rsidRDefault="008E67EA" w:rsidP="00B44A74">
            <w:pPr>
              <w:spacing w:line="280" w:lineRule="exact"/>
              <w:rPr>
                <w:rFonts w:cs="Arial"/>
                <w:sz w:val="20"/>
                <w:szCs w:val="20"/>
              </w:rPr>
            </w:pPr>
          </w:p>
        </w:tc>
      </w:tr>
      <w:tr w:rsidR="008E67EA" w:rsidRPr="002B5B5B" w14:paraId="7729E45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D93A17D" w14:textId="77777777" w:rsidR="008E67EA" w:rsidRPr="00F5215F" w:rsidRDefault="008E67EA" w:rsidP="00B44A74">
            <w:pPr>
              <w:spacing w:line="280" w:lineRule="exact"/>
              <w:rPr>
                <w:rFonts w:cs="Arial"/>
                <w:sz w:val="20"/>
                <w:szCs w:val="20"/>
              </w:rPr>
            </w:pPr>
            <w:r w:rsidRPr="00F5215F">
              <w:rPr>
                <w:rFonts w:cs="Arial"/>
                <w:sz w:val="20"/>
                <w:szCs w:val="20"/>
              </w:rPr>
              <w:t>Protectio</w:t>
            </w:r>
            <w:r>
              <w:rPr>
                <w:rFonts w:cs="Arial"/>
                <w:sz w:val="20"/>
                <w:szCs w:val="20"/>
              </w:rPr>
              <w:t>ns</w:t>
            </w:r>
            <w:r w:rsidRPr="00F5215F">
              <w:rPr>
                <w:rFonts w:cs="Arial"/>
                <w:sz w:val="20"/>
                <w:szCs w:val="20"/>
              </w:rPr>
              <w:t>:</w:t>
            </w:r>
          </w:p>
        </w:tc>
        <w:tc>
          <w:tcPr>
            <w:tcW w:w="7755" w:type="dxa"/>
            <w:tcBorders>
              <w:top w:val="single" w:sz="4" w:space="0" w:color="auto"/>
              <w:left w:val="single" w:sz="4" w:space="0" w:color="auto"/>
              <w:bottom w:val="single" w:sz="4" w:space="0" w:color="auto"/>
              <w:right w:val="single" w:sz="4" w:space="0" w:color="auto"/>
            </w:tcBorders>
          </w:tcPr>
          <w:p w14:paraId="43A6F5A0" w14:textId="77777777" w:rsidR="008E67EA" w:rsidRPr="00594AAD" w:rsidRDefault="008E67EA" w:rsidP="00B44A74">
            <w:pPr>
              <w:spacing w:line="280" w:lineRule="exact"/>
              <w:rPr>
                <w:rFonts w:cs="Arial"/>
                <w:sz w:val="20"/>
                <w:szCs w:val="20"/>
              </w:rPr>
            </w:pPr>
          </w:p>
        </w:tc>
      </w:tr>
      <w:tr w:rsidR="008E67EA" w:rsidRPr="002B5B5B" w14:paraId="181375DD" w14:textId="77777777" w:rsidTr="00B44A74">
        <w:trPr>
          <w:jc w:val="center"/>
        </w:trPr>
        <w:tc>
          <w:tcPr>
            <w:tcW w:w="2415" w:type="dxa"/>
            <w:tcBorders>
              <w:top w:val="single" w:sz="4" w:space="0" w:color="auto"/>
              <w:left w:val="nil"/>
              <w:bottom w:val="single" w:sz="4" w:space="0" w:color="auto"/>
              <w:right w:val="nil"/>
            </w:tcBorders>
          </w:tcPr>
          <w:p w14:paraId="1D291EE5"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D92E978" w14:textId="77777777" w:rsidR="008E67EA" w:rsidRPr="00594AAD" w:rsidRDefault="008E67EA" w:rsidP="00B44A74">
            <w:pPr>
              <w:spacing w:line="280" w:lineRule="exact"/>
              <w:rPr>
                <w:rFonts w:cs="Arial"/>
                <w:sz w:val="20"/>
                <w:szCs w:val="20"/>
              </w:rPr>
            </w:pPr>
          </w:p>
        </w:tc>
      </w:tr>
      <w:tr w:rsidR="008E67EA" w:rsidRPr="002B5B5B" w14:paraId="778A9AC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D9D6DE3" w14:textId="77777777" w:rsidR="008E67EA" w:rsidRPr="00F5215F" w:rsidRDefault="008E67EA" w:rsidP="00B44A74">
            <w:pPr>
              <w:spacing w:line="280" w:lineRule="exact"/>
              <w:rPr>
                <w:rFonts w:cs="Arial"/>
                <w:sz w:val="20"/>
                <w:szCs w:val="20"/>
              </w:rPr>
            </w:pPr>
            <w:r w:rsidRPr="00F5215F">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5B8D65B2" w14:textId="77777777" w:rsidR="008E67EA" w:rsidRPr="00342571" w:rsidRDefault="008E67EA" w:rsidP="00B44A74">
            <w:pPr>
              <w:spacing w:line="280" w:lineRule="exact"/>
              <w:rPr>
                <w:rFonts w:cs="Arial"/>
                <w:sz w:val="20"/>
                <w:szCs w:val="20"/>
                <w:bdr w:val="none" w:sz="0" w:space="0" w:color="auto" w:frame="1"/>
                <w:lang w:val="en-GB" w:eastAsia="en-AU"/>
              </w:rPr>
            </w:pPr>
            <w:r w:rsidRPr="00D96955">
              <w:rPr>
                <w:rFonts w:cs="Arial"/>
                <w:sz w:val="20"/>
                <w:szCs w:val="20"/>
                <w:bdr w:val="none" w:sz="0" w:space="0" w:color="auto" w:frame="1"/>
                <w:lang w:val="en-GB" w:eastAsia="en-AU"/>
              </w:rPr>
              <w:t>STORAGE AND DISPOSAL</w:t>
            </w:r>
          </w:p>
          <w:p w14:paraId="5A833B66" w14:textId="77777777" w:rsidR="008E67EA" w:rsidRPr="00594AAD" w:rsidRDefault="008E67EA" w:rsidP="00B44A74">
            <w:pPr>
              <w:spacing w:line="280" w:lineRule="exact"/>
              <w:rPr>
                <w:rFonts w:cs="Arial"/>
                <w:sz w:val="20"/>
                <w:szCs w:val="20"/>
              </w:rPr>
            </w:pPr>
            <w:r w:rsidRPr="00594AAD">
              <w:rPr>
                <w:rFonts w:cs="Arial"/>
                <w:sz w:val="20"/>
                <w:szCs w:val="20"/>
              </w:rPr>
              <w:t>Store in the</w:t>
            </w:r>
            <w:r>
              <w:rPr>
                <w:rFonts w:cs="Arial"/>
                <w:sz w:val="20"/>
                <w:szCs w:val="20"/>
              </w:rPr>
              <w:t xml:space="preserve"> </w:t>
            </w:r>
            <w:r w:rsidRPr="00594AAD">
              <w:rPr>
                <w:rFonts w:cs="Arial"/>
                <w:sz w:val="20"/>
                <w:szCs w:val="20"/>
              </w:rPr>
              <w:t>closed, original container in a cool, dry, place out of reach of children. D</w:t>
            </w:r>
            <w:r>
              <w:rPr>
                <w:rFonts w:cs="Arial"/>
                <w:sz w:val="20"/>
                <w:szCs w:val="20"/>
              </w:rPr>
              <w:t>O NOT</w:t>
            </w:r>
            <w:r w:rsidRPr="00594AAD">
              <w:rPr>
                <w:rFonts w:cs="Arial"/>
                <w:sz w:val="20"/>
                <w:szCs w:val="20"/>
              </w:rPr>
              <w:t xml:space="preserve"> store in direct sunlight. Dispose of empty containers </w:t>
            </w:r>
            <w:r>
              <w:rPr>
                <w:rFonts w:cs="Arial"/>
                <w:sz w:val="20"/>
                <w:szCs w:val="20"/>
              </w:rPr>
              <w:t xml:space="preserve">and unused product </w:t>
            </w:r>
            <w:r w:rsidRPr="00594AAD">
              <w:rPr>
                <w:rFonts w:cs="Arial"/>
                <w:sz w:val="20"/>
                <w:szCs w:val="20"/>
              </w:rPr>
              <w:t>by wrapping in paper placing in plastic bag and putting in garbage.</w:t>
            </w:r>
          </w:p>
        </w:tc>
      </w:tr>
      <w:tr w:rsidR="008E67EA" w:rsidRPr="002B5B5B" w14:paraId="72182512" w14:textId="77777777" w:rsidTr="00B44A74">
        <w:trPr>
          <w:jc w:val="center"/>
        </w:trPr>
        <w:tc>
          <w:tcPr>
            <w:tcW w:w="2415" w:type="dxa"/>
            <w:tcBorders>
              <w:top w:val="single" w:sz="4" w:space="0" w:color="auto"/>
              <w:left w:val="nil"/>
              <w:bottom w:val="single" w:sz="4" w:space="0" w:color="auto"/>
              <w:right w:val="nil"/>
            </w:tcBorders>
          </w:tcPr>
          <w:p w14:paraId="1B61E07A"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4ED63BE" w14:textId="77777777" w:rsidR="008E67EA" w:rsidRPr="00594AAD" w:rsidRDefault="008E67EA" w:rsidP="00B44A74">
            <w:pPr>
              <w:spacing w:line="280" w:lineRule="exact"/>
              <w:rPr>
                <w:rFonts w:cs="Arial"/>
                <w:sz w:val="20"/>
                <w:szCs w:val="20"/>
              </w:rPr>
            </w:pPr>
          </w:p>
        </w:tc>
      </w:tr>
      <w:tr w:rsidR="008E67EA" w:rsidRPr="002B5B5B" w14:paraId="4C769FD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3531475" w14:textId="77777777" w:rsidR="008E67EA" w:rsidRPr="00F5215F" w:rsidRDefault="008E67EA" w:rsidP="00B44A74">
            <w:pPr>
              <w:spacing w:line="280" w:lineRule="exact"/>
              <w:rPr>
                <w:rFonts w:cs="Arial"/>
                <w:sz w:val="20"/>
                <w:szCs w:val="20"/>
              </w:rPr>
            </w:pPr>
            <w:r w:rsidRPr="00F5215F">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45449C27" w14:textId="77777777" w:rsidR="008E67EA" w:rsidRPr="00342571" w:rsidRDefault="008E67EA" w:rsidP="00B44A74">
            <w:pPr>
              <w:spacing w:line="280" w:lineRule="exact"/>
              <w:rPr>
                <w:rFonts w:cs="Arial"/>
                <w:sz w:val="20"/>
                <w:szCs w:val="20"/>
                <w:bdr w:val="none" w:sz="0" w:space="0" w:color="auto" w:frame="1"/>
                <w:lang w:val="en-GB" w:eastAsia="en-AU"/>
              </w:rPr>
            </w:pPr>
            <w:r w:rsidRPr="00D96955">
              <w:rPr>
                <w:rFonts w:cs="Arial"/>
                <w:sz w:val="20"/>
                <w:szCs w:val="20"/>
                <w:bdr w:val="none" w:sz="0" w:space="0" w:color="auto" w:frame="1"/>
                <w:lang w:val="en-GB" w:eastAsia="en-AU"/>
              </w:rPr>
              <w:t>SAFETY DIRECTIONS</w:t>
            </w:r>
          </w:p>
          <w:p w14:paraId="7427613A" w14:textId="77777777" w:rsidR="008E67EA" w:rsidRDefault="008E67EA" w:rsidP="00B44A74">
            <w:pPr>
              <w:spacing w:line="280" w:lineRule="exact"/>
              <w:rPr>
                <w:rFonts w:cs="Arial"/>
                <w:sz w:val="20"/>
                <w:szCs w:val="20"/>
              </w:rPr>
            </w:pPr>
            <w:r w:rsidRPr="00082281">
              <w:rPr>
                <w:rFonts w:cs="Arial"/>
                <w:sz w:val="20"/>
                <w:szCs w:val="20"/>
              </w:rPr>
              <w:t>Repeated minor exposure may have a cumulative poisoning effect. Will irritate the skin. May irritate eyes. Avoid contact with eyes and skin. Do not touch bait, use scoop or measure. When using the product wear disposable gloves. If on skin and after each baiting, wash thoroughly with soap and water.</w:t>
            </w:r>
          </w:p>
          <w:p w14:paraId="25C9DED7" w14:textId="3FCF0D0E" w:rsidR="008E67EA" w:rsidRPr="00594AAD" w:rsidRDefault="008E67EA" w:rsidP="00B44A74">
            <w:pPr>
              <w:spacing w:line="280" w:lineRule="exact"/>
              <w:rPr>
                <w:rFonts w:cs="Arial"/>
                <w:sz w:val="20"/>
                <w:szCs w:val="20"/>
              </w:rPr>
            </w:pPr>
            <w:r w:rsidRPr="00594AAD">
              <w:rPr>
                <w:rFonts w:cs="Arial"/>
                <w:sz w:val="20"/>
                <w:szCs w:val="20"/>
              </w:rPr>
              <w:t>During cleanup and disposal operations of bait and bait stations, wear a single layer of clothing and disposable gloves. Wear disposable gloves when handling rodent carcasses. Wash clothes after performing re-handling activities.</w:t>
            </w:r>
          </w:p>
        </w:tc>
      </w:tr>
      <w:tr w:rsidR="008E67EA" w:rsidRPr="002B5B5B" w14:paraId="62AD021C" w14:textId="77777777" w:rsidTr="00B44A74">
        <w:trPr>
          <w:jc w:val="center"/>
        </w:trPr>
        <w:tc>
          <w:tcPr>
            <w:tcW w:w="2415" w:type="dxa"/>
            <w:tcBorders>
              <w:top w:val="single" w:sz="4" w:space="0" w:color="auto"/>
              <w:left w:val="nil"/>
              <w:bottom w:val="single" w:sz="4" w:space="0" w:color="auto"/>
              <w:right w:val="nil"/>
            </w:tcBorders>
          </w:tcPr>
          <w:p w14:paraId="7DDDFA3A"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7D57317" w14:textId="77777777" w:rsidR="008E67EA" w:rsidRPr="00594AAD" w:rsidRDefault="008E67EA" w:rsidP="00B44A74">
            <w:pPr>
              <w:spacing w:line="280" w:lineRule="exact"/>
              <w:rPr>
                <w:rFonts w:cs="Arial"/>
                <w:sz w:val="20"/>
                <w:szCs w:val="20"/>
              </w:rPr>
            </w:pPr>
          </w:p>
        </w:tc>
      </w:tr>
      <w:tr w:rsidR="008E67EA" w:rsidRPr="002B5B5B" w14:paraId="1A5A486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236D453" w14:textId="77777777" w:rsidR="008E67EA" w:rsidRPr="00F5215F" w:rsidRDefault="008E67EA" w:rsidP="00B44A74">
            <w:pPr>
              <w:spacing w:line="280" w:lineRule="exact"/>
              <w:rPr>
                <w:rFonts w:cs="Arial"/>
                <w:sz w:val="20"/>
                <w:szCs w:val="20"/>
              </w:rPr>
            </w:pPr>
            <w:r w:rsidRPr="00F5215F">
              <w:rPr>
                <w:rFonts w:cs="Arial"/>
                <w:sz w:val="20"/>
                <w:szCs w:val="20"/>
              </w:rPr>
              <w:t>First Aid Instructions:</w:t>
            </w:r>
          </w:p>
        </w:tc>
        <w:tc>
          <w:tcPr>
            <w:tcW w:w="7755" w:type="dxa"/>
            <w:tcBorders>
              <w:top w:val="single" w:sz="4" w:space="0" w:color="auto"/>
              <w:left w:val="single" w:sz="4" w:space="0" w:color="auto"/>
              <w:bottom w:val="single" w:sz="4" w:space="0" w:color="auto"/>
              <w:right w:val="single" w:sz="4" w:space="0" w:color="auto"/>
            </w:tcBorders>
          </w:tcPr>
          <w:p w14:paraId="2C7C3A10" w14:textId="77777777" w:rsidR="008E67EA" w:rsidRDefault="008E67EA" w:rsidP="00B44A74">
            <w:pPr>
              <w:spacing w:line="280" w:lineRule="exact"/>
              <w:rPr>
                <w:rFonts w:cs="Arial"/>
                <w:sz w:val="20"/>
                <w:szCs w:val="20"/>
                <w:bdr w:val="none" w:sz="0" w:space="0" w:color="auto" w:frame="1"/>
                <w:lang w:val="en-GB" w:eastAsia="en-AU"/>
              </w:rPr>
            </w:pPr>
            <w:r w:rsidRPr="00D96955">
              <w:rPr>
                <w:rFonts w:cs="Arial"/>
                <w:sz w:val="20"/>
                <w:szCs w:val="20"/>
                <w:bdr w:val="none" w:sz="0" w:space="0" w:color="auto" w:frame="1"/>
                <w:lang w:val="en-GB" w:eastAsia="en-AU"/>
              </w:rPr>
              <w:t>FIRST AID</w:t>
            </w:r>
          </w:p>
          <w:p w14:paraId="34CC3D59" w14:textId="77777777" w:rsidR="008E67EA" w:rsidRPr="00342571" w:rsidRDefault="008E67EA" w:rsidP="00B44A74">
            <w:pPr>
              <w:spacing w:line="280" w:lineRule="exact"/>
              <w:rPr>
                <w:rFonts w:cs="Arial"/>
                <w:sz w:val="20"/>
                <w:szCs w:val="20"/>
                <w:bdr w:val="none" w:sz="0" w:space="0" w:color="auto" w:frame="1"/>
                <w:lang w:val="en-GB" w:eastAsia="en-AU"/>
              </w:rPr>
            </w:pPr>
            <w:r w:rsidRPr="00594AAD">
              <w:rPr>
                <w:rFonts w:cs="Arial"/>
                <w:sz w:val="20"/>
                <w:szCs w:val="20"/>
              </w:rPr>
              <w:t>If poisoning occurs, contact a doctor or Poisons Information Centre. Phone Australia 13 11 26, New Zealand 0800 764 766. Vitamin K1 (Phytomenadione) is antidotal.</w:t>
            </w:r>
          </w:p>
        </w:tc>
      </w:tr>
      <w:tr w:rsidR="008E67EA" w:rsidRPr="002B5B5B" w14:paraId="1C192C0B" w14:textId="77777777" w:rsidTr="00B44A74">
        <w:trPr>
          <w:jc w:val="center"/>
        </w:trPr>
        <w:tc>
          <w:tcPr>
            <w:tcW w:w="2415" w:type="dxa"/>
            <w:tcBorders>
              <w:top w:val="single" w:sz="4" w:space="0" w:color="auto"/>
              <w:left w:val="nil"/>
              <w:bottom w:val="single" w:sz="4" w:space="0" w:color="auto"/>
              <w:right w:val="nil"/>
            </w:tcBorders>
          </w:tcPr>
          <w:p w14:paraId="1497DBA1"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0D164EA" w14:textId="77777777" w:rsidR="008E67EA" w:rsidRPr="00594AAD" w:rsidRDefault="008E67EA" w:rsidP="00B44A74">
            <w:pPr>
              <w:spacing w:line="280" w:lineRule="exact"/>
              <w:rPr>
                <w:rFonts w:cs="Arial"/>
                <w:sz w:val="20"/>
                <w:szCs w:val="20"/>
              </w:rPr>
            </w:pPr>
          </w:p>
        </w:tc>
      </w:tr>
      <w:tr w:rsidR="008E67EA" w:rsidRPr="002B5B5B" w14:paraId="58CD5AF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CBB5CF8" w14:textId="77777777" w:rsidR="008E67EA" w:rsidRPr="00F5215F" w:rsidRDefault="008E67EA" w:rsidP="00B44A74">
            <w:pPr>
              <w:spacing w:line="280" w:lineRule="exact"/>
              <w:rPr>
                <w:rFonts w:cs="Arial"/>
                <w:sz w:val="20"/>
                <w:szCs w:val="20"/>
              </w:rPr>
            </w:pPr>
            <w:r w:rsidRPr="00F5215F">
              <w:rPr>
                <w:rFonts w:cs="Arial"/>
                <w:sz w:val="20"/>
                <w:szCs w:val="20"/>
              </w:rPr>
              <w:t>First Aid Warnings:</w:t>
            </w:r>
          </w:p>
        </w:tc>
        <w:tc>
          <w:tcPr>
            <w:tcW w:w="7755" w:type="dxa"/>
            <w:tcBorders>
              <w:top w:val="single" w:sz="4" w:space="0" w:color="auto"/>
              <w:left w:val="single" w:sz="4" w:space="0" w:color="auto"/>
              <w:bottom w:val="single" w:sz="4" w:space="0" w:color="auto"/>
              <w:right w:val="single" w:sz="4" w:space="0" w:color="auto"/>
            </w:tcBorders>
          </w:tcPr>
          <w:p w14:paraId="0AEA47B3" w14:textId="77777777" w:rsidR="008E67EA" w:rsidRPr="00594AAD" w:rsidRDefault="008E67EA" w:rsidP="00B44A74">
            <w:pPr>
              <w:spacing w:line="280" w:lineRule="exact"/>
              <w:rPr>
                <w:rFonts w:cs="Arial"/>
                <w:sz w:val="20"/>
                <w:szCs w:val="20"/>
              </w:rPr>
            </w:pPr>
          </w:p>
        </w:tc>
      </w:tr>
    </w:tbl>
    <w:p w14:paraId="3F1CE662" w14:textId="77777777" w:rsidR="008E67EA" w:rsidRDefault="008E67EA" w:rsidP="008E67EA">
      <w:pPr>
        <w:rPr>
          <w:rFonts w:cs="Arial"/>
          <w:b/>
          <w:bCs/>
          <w:sz w:val="20"/>
          <w:szCs w:val="20"/>
        </w:rPr>
      </w:pPr>
      <w:r>
        <w:rPr>
          <w:rFonts w:cs="Arial"/>
          <w:b/>
          <w:bCs/>
          <w:sz w:val="20"/>
          <w:szCs w:val="20"/>
        </w:rPr>
        <w:br w:type="page"/>
      </w:r>
    </w:p>
    <w:p w14:paraId="52BF14AB" w14:textId="77777777" w:rsidR="008E67EA" w:rsidRPr="00FF36BF" w:rsidRDefault="008E67EA" w:rsidP="008E67EA">
      <w:pPr>
        <w:rPr>
          <w:rFonts w:cs="Arial"/>
          <w:b/>
          <w:bCs/>
          <w:sz w:val="20"/>
          <w:szCs w:val="20"/>
        </w:rPr>
      </w:pPr>
      <w:r w:rsidRPr="00FF36BF">
        <w:rPr>
          <w:rFonts w:cs="Arial"/>
          <w:b/>
          <w:bCs/>
          <w:sz w:val="20"/>
          <w:szCs w:val="20"/>
        </w:rPr>
        <w:lastRenderedPageBreak/>
        <w:t>HOW TO USE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181"/>
        <w:gridCol w:w="1842"/>
        <w:gridCol w:w="3897"/>
      </w:tblGrid>
      <w:tr w:rsidR="008E67EA" w:rsidRPr="00FF36BF" w14:paraId="7681F914" w14:textId="77777777" w:rsidTr="00604F9D">
        <w:trPr>
          <w:trHeight w:val="340"/>
        </w:trPr>
        <w:tc>
          <w:tcPr>
            <w:tcW w:w="1080" w:type="dxa"/>
          </w:tcPr>
          <w:p w14:paraId="0788C083" w14:textId="77777777" w:rsidR="008E67EA" w:rsidRPr="00246206" w:rsidRDefault="008E67EA" w:rsidP="00B44A74">
            <w:pPr>
              <w:pStyle w:val="TableParagraph"/>
              <w:widowControl/>
              <w:adjustRightInd w:val="0"/>
              <w:spacing w:before="61"/>
              <w:ind w:left="0"/>
              <w:rPr>
                <w:rFonts w:eastAsiaTheme="minorHAnsi"/>
                <w:b/>
                <w:bCs/>
                <w:sz w:val="20"/>
                <w:szCs w:val="20"/>
                <w:lang w:val="en-AU"/>
              </w:rPr>
            </w:pPr>
            <w:bookmarkStart w:id="351" w:name="_Hlk213752430"/>
            <w:r w:rsidRPr="00246206">
              <w:rPr>
                <w:rFonts w:eastAsiaTheme="minorHAnsi"/>
                <w:b/>
                <w:bCs/>
                <w:sz w:val="20"/>
                <w:szCs w:val="20"/>
                <w:lang w:val="en-AU"/>
              </w:rPr>
              <w:t>PEST</w:t>
            </w:r>
          </w:p>
        </w:tc>
        <w:tc>
          <w:tcPr>
            <w:tcW w:w="2181" w:type="dxa"/>
          </w:tcPr>
          <w:p w14:paraId="244E13A5" w14:textId="77777777" w:rsidR="008E67EA" w:rsidRPr="00246206" w:rsidRDefault="008E67EA" w:rsidP="00B44A74">
            <w:pPr>
              <w:pStyle w:val="TableParagraph"/>
              <w:widowControl/>
              <w:adjustRightInd w:val="0"/>
              <w:spacing w:before="61"/>
              <w:ind w:left="0"/>
              <w:rPr>
                <w:rFonts w:eastAsiaTheme="minorHAnsi"/>
                <w:b/>
                <w:bCs/>
                <w:sz w:val="20"/>
                <w:szCs w:val="20"/>
                <w:lang w:val="en-AU"/>
              </w:rPr>
            </w:pPr>
            <w:r w:rsidRPr="00246206">
              <w:rPr>
                <w:rFonts w:eastAsiaTheme="minorHAnsi"/>
                <w:b/>
                <w:bCs/>
                <w:sz w:val="20"/>
                <w:szCs w:val="20"/>
                <w:lang w:val="en-AU"/>
              </w:rPr>
              <w:t>SITUATION</w:t>
            </w:r>
          </w:p>
        </w:tc>
        <w:tc>
          <w:tcPr>
            <w:tcW w:w="1842" w:type="dxa"/>
          </w:tcPr>
          <w:p w14:paraId="6254614E" w14:textId="77777777" w:rsidR="008E67EA" w:rsidRPr="00246206" w:rsidRDefault="008E67EA" w:rsidP="00B44A74">
            <w:pPr>
              <w:pStyle w:val="TableParagraph"/>
              <w:widowControl/>
              <w:adjustRightInd w:val="0"/>
              <w:spacing w:before="61"/>
              <w:ind w:left="0"/>
              <w:rPr>
                <w:rFonts w:eastAsiaTheme="minorHAnsi"/>
                <w:b/>
                <w:bCs/>
                <w:sz w:val="20"/>
                <w:szCs w:val="20"/>
                <w:lang w:val="en-AU"/>
              </w:rPr>
            </w:pPr>
            <w:r w:rsidRPr="00246206">
              <w:rPr>
                <w:rFonts w:eastAsiaTheme="minorHAnsi"/>
                <w:b/>
                <w:bCs/>
                <w:sz w:val="20"/>
                <w:szCs w:val="20"/>
                <w:lang w:val="en-AU"/>
              </w:rPr>
              <w:t>RATE</w:t>
            </w:r>
          </w:p>
        </w:tc>
        <w:tc>
          <w:tcPr>
            <w:tcW w:w="3897" w:type="dxa"/>
          </w:tcPr>
          <w:p w14:paraId="5A25C84C" w14:textId="77777777" w:rsidR="008E67EA" w:rsidRPr="00246206" w:rsidRDefault="008E67EA" w:rsidP="00B44A74">
            <w:pPr>
              <w:pStyle w:val="TableParagraph"/>
              <w:widowControl/>
              <w:adjustRightInd w:val="0"/>
              <w:spacing w:before="61"/>
              <w:ind w:left="0"/>
              <w:rPr>
                <w:rFonts w:eastAsiaTheme="minorHAnsi"/>
                <w:b/>
                <w:bCs/>
                <w:sz w:val="20"/>
                <w:szCs w:val="20"/>
                <w:lang w:val="en-AU"/>
              </w:rPr>
            </w:pPr>
            <w:r w:rsidRPr="00246206">
              <w:rPr>
                <w:rFonts w:eastAsiaTheme="minorHAnsi"/>
                <w:b/>
                <w:bCs/>
                <w:sz w:val="20"/>
                <w:szCs w:val="20"/>
                <w:lang w:val="en-AU"/>
              </w:rPr>
              <w:t>HOW TO APPLY</w:t>
            </w:r>
          </w:p>
        </w:tc>
      </w:tr>
      <w:tr w:rsidR="008E67EA" w:rsidRPr="00FF36BF" w14:paraId="2636B7D9" w14:textId="77777777" w:rsidTr="00604F9D">
        <w:trPr>
          <w:trHeight w:val="421"/>
        </w:trPr>
        <w:tc>
          <w:tcPr>
            <w:tcW w:w="1080" w:type="dxa"/>
          </w:tcPr>
          <w:p w14:paraId="733D5C90" w14:textId="77777777" w:rsidR="008E67EA" w:rsidRPr="005D3D45" w:rsidRDefault="008E67EA" w:rsidP="00B44A74">
            <w:pPr>
              <w:spacing w:line="280" w:lineRule="exact"/>
              <w:rPr>
                <w:rFonts w:cs="Arial"/>
                <w:sz w:val="20"/>
                <w:szCs w:val="20"/>
              </w:rPr>
            </w:pPr>
            <w:r w:rsidRPr="005D3D45">
              <w:rPr>
                <w:rFonts w:cs="Arial"/>
                <w:sz w:val="20"/>
                <w:szCs w:val="20"/>
              </w:rPr>
              <w:t>Mice</w:t>
            </w:r>
          </w:p>
        </w:tc>
        <w:tc>
          <w:tcPr>
            <w:tcW w:w="2181" w:type="dxa"/>
          </w:tcPr>
          <w:p w14:paraId="1414FA86" w14:textId="77777777" w:rsidR="008E67EA" w:rsidRPr="005D3D45" w:rsidRDefault="008E67EA" w:rsidP="00B44A74">
            <w:pPr>
              <w:spacing w:line="280" w:lineRule="exact"/>
              <w:rPr>
                <w:rFonts w:cs="Arial"/>
                <w:sz w:val="20"/>
                <w:szCs w:val="20"/>
              </w:rPr>
            </w:pPr>
            <w:r w:rsidRPr="005D3D45">
              <w:rPr>
                <w:rFonts w:cs="Arial"/>
                <w:sz w:val="20"/>
                <w:szCs w:val="20"/>
              </w:rPr>
              <w:t>In domestic buildings and commercial premises</w:t>
            </w:r>
          </w:p>
        </w:tc>
        <w:tc>
          <w:tcPr>
            <w:tcW w:w="1842" w:type="dxa"/>
          </w:tcPr>
          <w:p w14:paraId="03DBA40D" w14:textId="77777777" w:rsidR="008E67EA" w:rsidRPr="005D3D45" w:rsidRDefault="008E67EA" w:rsidP="00B44A74">
            <w:pPr>
              <w:spacing w:line="280" w:lineRule="exact"/>
              <w:rPr>
                <w:rFonts w:cs="Arial"/>
                <w:sz w:val="20"/>
                <w:szCs w:val="20"/>
              </w:rPr>
            </w:pPr>
            <w:r>
              <w:rPr>
                <w:rFonts w:cs="Arial"/>
                <w:sz w:val="20"/>
                <w:szCs w:val="20"/>
              </w:rPr>
              <w:t>[</w:t>
            </w:r>
            <w:r w:rsidRPr="001019EA">
              <w:rPr>
                <w:rFonts w:cs="Arial"/>
                <w:sz w:val="20"/>
                <w:szCs w:val="20"/>
              </w:rPr>
              <w:t>as per current approved label</w:t>
            </w:r>
            <w:r>
              <w:rPr>
                <w:rFonts w:cs="Arial"/>
                <w:sz w:val="20"/>
                <w:szCs w:val="20"/>
              </w:rPr>
              <w:t>]</w:t>
            </w:r>
          </w:p>
        </w:tc>
        <w:tc>
          <w:tcPr>
            <w:tcW w:w="3897" w:type="dxa"/>
          </w:tcPr>
          <w:p w14:paraId="1C313122" w14:textId="77777777" w:rsidR="008E67EA" w:rsidRPr="005D3D45" w:rsidRDefault="008E67EA" w:rsidP="00B44A74">
            <w:pPr>
              <w:spacing w:line="280" w:lineRule="exact"/>
              <w:rPr>
                <w:rFonts w:cs="Arial"/>
                <w:sz w:val="20"/>
                <w:szCs w:val="20"/>
              </w:rPr>
            </w:pPr>
            <w:r w:rsidRPr="005D3D45">
              <w:rPr>
                <w:rFonts w:cs="Arial"/>
                <w:sz w:val="20"/>
                <w:szCs w:val="20"/>
              </w:rPr>
              <w:t xml:space="preserve">Place bait stations </w:t>
            </w:r>
            <w:r>
              <w:rPr>
                <w:rFonts w:cs="Arial"/>
                <w:sz w:val="20"/>
                <w:szCs w:val="20"/>
              </w:rPr>
              <w:t>in</w:t>
            </w:r>
            <w:r w:rsidRPr="005D3D45">
              <w:rPr>
                <w:rFonts w:cs="Arial"/>
                <w:sz w:val="20"/>
                <w:szCs w:val="20"/>
              </w:rPr>
              <w:t xml:space="preserve"> the infested area, </w:t>
            </w:r>
            <w:r>
              <w:rPr>
                <w:rFonts w:cs="Arial"/>
                <w:sz w:val="20"/>
                <w:szCs w:val="20"/>
              </w:rPr>
              <w:t>wherever droppings, damage or other signs of activity are seen</w:t>
            </w:r>
            <w:r w:rsidRPr="005D3D45">
              <w:rPr>
                <w:rFonts w:cs="Arial"/>
                <w:sz w:val="20"/>
                <w:szCs w:val="20"/>
              </w:rPr>
              <w:t>, not more than 3 m apart.</w:t>
            </w:r>
          </w:p>
        </w:tc>
      </w:tr>
      <w:tr w:rsidR="008E67EA" w:rsidRPr="00FF36BF" w14:paraId="1F9B549D" w14:textId="77777777" w:rsidTr="00604F9D">
        <w:trPr>
          <w:trHeight w:val="421"/>
        </w:trPr>
        <w:tc>
          <w:tcPr>
            <w:tcW w:w="1080" w:type="dxa"/>
          </w:tcPr>
          <w:p w14:paraId="1C37D926" w14:textId="77777777" w:rsidR="008E67EA" w:rsidRPr="005D3D45" w:rsidRDefault="008E67EA" w:rsidP="00B44A74">
            <w:pPr>
              <w:spacing w:line="280" w:lineRule="exact"/>
              <w:rPr>
                <w:rFonts w:cs="Arial"/>
                <w:sz w:val="20"/>
                <w:szCs w:val="20"/>
              </w:rPr>
            </w:pPr>
            <w:r>
              <w:rPr>
                <w:rFonts w:cs="Arial"/>
                <w:sz w:val="20"/>
                <w:szCs w:val="20"/>
              </w:rPr>
              <w:t>Rats</w:t>
            </w:r>
          </w:p>
        </w:tc>
        <w:tc>
          <w:tcPr>
            <w:tcW w:w="2181" w:type="dxa"/>
          </w:tcPr>
          <w:p w14:paraId="25924E10" w14:textId="77777777" w:rsidR="008E67EA" w:rsidRPr="005D3D45" w:rsidRDefault="008E67EA" w:rsidP="00B44A74">
            <w:pPr>
              <w:spacing w:line="280" w:lineRule="exact"/>
              <w:rPr>
                <w:rFonts w:cs="Arial"/>
                <w:sz w:val="20"/>
                <w:szCs w:val="20"/>
              </w:rPr>
            </w:pPr>
            <w:r w:rsidRPr="005D3D45">
              <w:rPr>
                <w:rFonts w:cs="Arial"/>
                <w:sz w:val="20"/>
                <w:szCs w:val="20"/>
              </w:rPr>
              <w:t>In</w:t>
            </w:r>
            <w:r>
              <w:rPr>
                <w:rFonts w:cs="Arial"/>
                <w:sz w:val="20"/>
                <w:szCs w:val="20"/>
              </w:rPr>
              <w:t xml:space="preserve"> and around</w:t>
            </w:r>
            <w:r w:rsidRPr="005D3D45">
              <w:rPr>
                <w:rFonts w:cs="Arial"/>
                <w:sz w:val="20"/>
                <w:szCs w:val="20"/>
              </w:rPr>
              <w:t xml:space="preserve"> </w:t>
            </w:r>
            <w:r>
              <w:rPr>
                <w:rFonts w:cs="Arial"/>
                <w:sz w:val="20"/>
                <w:szCs w:val="20"/>
              </w:rPr>
              <w:t xml:space="preserve">(within 2 meters) </w:t>
            </w:r>
            <w:r w:rsidRPr="005D3D45">
              <w:rPr>
                <w:rFonts w:cs="Arial"/>
                <w:sz w:val="20"/>
                <w:szCs w:val="20"/>
              </w:rPr>
              <w:t>domestic buildings and commercial premises</w:t>
            </w:r>
          </w:p>
        </w:tc>
        <w:tc>
          <w:tcPr>
            <w:tcW w:w="1842" w:type="dxa"/>
          </w:tcPr>
          <w:p w14:paraId="78C98BAF" w14:textId="77777777" w:rsidR="008E67EA" w:rsidRPr="005D3D45" w:rsidRDefault="008E67EA" w:rsidP="00B44A74">
            <w:pPr>
              <w:spacing w:line="280" w:lineRule="exact"/>
              <w:rPr>
                <w:rFonts w:cs="Arial"/>
                <w:sz w:val="20"/>
                <w:szCs w:val="20"/>
              </w:rPr>
            </w:pPr>
            <w:r>
              <w:rPr>
                <w:rFonts w:cs="Arial"/>
                <w:sz w:val="20"/>
                <w:szCs w:val="20"/>
              </w:rPr>
              <w:t>[</w:t>
            </w:r>
            <w:r w:rsidRPr="001019EA">
              <w:rPr>
                <w:rFonts w:cs="Arial"/>
                <w:sz w:val="20"/>
                <w:szCs w:val="20"/>
              </w:rPr>
              <w:t>as per current approved label</w:t>
            </w:r>
            <w:r>
              <w:rPr>
                <w:rFonts w:cs="Arial"/>
                <w:sz w:val="20"/>
                <w:szCs w:val="20"/>
              </w:rPr>
              <w:t>]</w:t>
            </w:r>
          </w:p>
        </w:tc>
        <w:tc>
          <w:tcPr>
            <w:tcW w:w="3897" w:type="dxa"/>
          </w:tcPr>
          <w:p w14:paraId="6700AA8A" w14:textId="77777777" w:rsidR="008E67EA" w:rsidRPr="005D3D45" w:rsidRDefault="008E67EA" w:rsidP="00B44A74">
            <w:pPr>
              <w:spacing w:line="280" w:lineRule="exact"/>
              <w:rPr>
                <w:rFonts w:cs="Arial"/>
                <w:sz w:val="20"/>
                <w:szCs w:val="20"/>
              </w:rPr>
            </w:pPr>
            <w:r w:rsidRPr="005D3D45">
              <w:rPr>
                <w:rFonts w:cs="Arial"/>
                <w:sz w:val="20"/>
                <w:szCs w:val="20"/>
              </w:rPr>
              <w:t xml:space="preserve">Place </w:t>
            </w:r>
            <w:r>
              <w:rPr>
                <w:rFonts w:cs="Arial"/>
                <w:sz w:val="20"/>
                <w:szCs w:val="20"/>
              </w:rPr>
              <w:t xml:space="preserve">a number of </w:t>
            </w:r>
            <w:r w:rsidRPr="005D3D45">
              <w:rPr>
                <w:rFonts w:cs="Arial"/>
                <w:sz w:val="20"/>
                <w:szCs w:val="20"/>
              </w:rPr>
              <w:t>bait stations</w:t>
            </w:r>
            <w:r>
              <w:rPr>
                <w:rFonts w:cs="Arial"/>
                <w:sz w:val="20"/>
                <w:szCs w:val="20"/>
              </w:rPr>
              <w:t xml:space="preserve"> in dry locations</w:t>
            </w:r>
            <w:r w:rsidRPr="005D3D45">
              <w:rPr>
                <w:rFonts w:cs="Arial"/>
                <w:sz w:val="20"/>
                <w:szCs w:val="20"/>
              </w:rPr>
              <w:t xml:space="preserve"> throughout the infested area, on runs, near burrows and where droppings are seen, not more than </w:t>
            </w:r>
            <w:r>
              <w:rPr>
                <w:rFonts w:cs="Arial"/>
                <w:sz w:val="20"/>
                <w:szCs w:val="20"/>
              </w:rPr>
              <w:t>9</w:t>
            </w:r>
            <w:r w:rsidRPr="005D3D45">
              <w:rPr>
                <w:rFonts w:cs="Arial"/>
                <w:sz w:val="20"/>
                <w:szCs w:val="20"/>
              </w:rPr>
              <w:t xml:space="preserve"> m apart.</w:t>
            </w:r>
          </w:p>
        </w:tc>
      </w:tr>
      <w:tr w:rsidR="008E67EA" w:rsidRPr="00FF36BF" w14:paraId="0DF72780" w14:textId="77777777" w:rsidTr="00604F9D">
        <w:trPr>
          <w:trHeight w:val="421"/>
        </w:trPr>
        <w:tc>
          <w:tcPr>
            <w:tcW w:w="9000" w:type="dxa"/>
            <w:gridSpan w:val="4"/>
          </w:tcPr>
          <w:p w14:paraId="2509D4C4" w14:textId="24EB2F89" w:rsidR="008E67EA" w:rsidRPr="001E6DA9" w:rsidRDefault="008E67EA" w:rsidP="00B44A74">
            <w:pPr>
              <w:spacing w:after="120" w:line="280" w:lineRule="exact"/>
              <w:rPr>
                <w:rFonts w:eastAsia="Calibri" w:cs="Arial"/>
                <w:b/>
                <w:bCs/>
                <w:sz w:val="20"/>
                <w:szCs w:val="20"/>
                <w:bdr w:val="none" w:sz="0" w:space="0" w:color="auto" w:frame="1"/>
                <w:lang w:val="en-GB"/>
              </w:rPr>
            </w:pPr>
            <w:r w:rsidRPr="001E6DA9">
              <w:rPr>
                <w:rFonts w:eastAsia="Calibri" w:cs="Arial"/>
                <w:b/>
                <w:bCs/>
                <w:sz w:val="20"/>
                <w:szCs w:val="20"/>
                <w:bdr w:val="none" w:sz="0" w:space="0" w:color="auto" w:frame="1"/>
                <w:lang w:val="en-GB"/>
              </w:rPr>
              <w:t>General Information and baiting strategy for and mice:</w:t>
            </w:r>
          </w:p>
          <w:p w14:paraId="053432DB" w14:textId="6D8B63D2" w:rsidR="008E67EA" w:rsidRDefault="008E67EA" w:rsidP="00B44A74">
            <w:pPr>
              <w:spacing w:after="120" w:line="280" w:lineRule="exact"/>
              <w:rPr>
                <w:rFonts w:eastAsia="Calibri" w:cs="Arial"/>
                <w:sz w:val="20"/>
                <w:szCs w:val="20"/>
                <w:bdr w:val="none" w:sz="0" w:space="0" w:color="auto" w:frame="1"/>
                <w:lang w:val="en-GB"/>
              </w:rPr>
            </w:pPr>
            <w:r w:rsidRPr="001E6DA9">
              <w:rPr>
                <w:rFonts w:eastAsia="Calibri" w:cs="Arial"/>
                <w:sz w:val="20"/>
                <w:szCs w:val="20"/>
                <w:bdr w:val="none" w:sz="0" w:space="0" w:color="auto" w:frame="1"/>
                <w:lang w:val="en-GB"/>
              </w:rPr>
              <w:t>Eliminate as far as practicable, all other food sources.</w:t>
            </w:r>
          </w:p>
          <w:p w14:paraId="3E8FB242" w14:textId="77777777" w:rsidR="008E67EA" w:rsidRPr="001E6DA9" w:rsidRDefault="008E67EA" w:rsidP="00B44A74">
            <w:pPr>
              <w:spacing w:after="120" w:line="280" w:lineRule="exact"/>
              <w:rPr>
                <w:rFonts w:eastAsia="Calibri" w:cs="Arial"/>
                <w:sz w:val="20"/>
                <w:szCs w:val="20"/>
                <w:bdr w:val="none" w:sz="0" w:space="0" w:color="auto" w:frame="1"/>
                <w:lang w:val="en-GB"/>
              </w:rPr>
            </w:pPr>
            <w:r w:rsidRPr="001E6DA9">
              <w:rPr>
                <w:rFonts w:eastAsia="Calibri" w:cs="Arial"/>
                <w:sz w:val="20"/>
                <w:szCs w:val="20"/>
                <w:bdr w:val="none" w:sz="0" w:space="0" w:color="auto" w:frame="1"/>
                <w:lang w:val="en-GB"/>
              </w:rPr>
              <w:t>Always place bait where it is inaccessible to children, animals and birds. Use in tamper resistant bait stations only. If bait can be dislodged from bait station, fix tamper-resistant bait stations to the ground or other structures.</w:t>
            </w:r>
          </w:p>
          <w:p w14:paraId="29B65862" w14:textId="17817351" w:rsidR="008E67EA" w:rsidRPr="001E6DA9" w:rsidRDefault="008E67EA" w:rsidP="00B44A74">
            <w:pPr>
              <w:spacing w:after="120" w:line="280" w:lineRule="exact"/>
              <w:rPr>
                <w:rFonts w:eastAsia="Calibri" w:cs="Arial"/>
                <w:sz w:val="20"/>
                <w:szCs w:val="20"/>
                <w:bdr w:val="none" w:sz="0" w:space="0" w:color="auto" w:frame="1"/>
                <w:lang w:val="en-GB"/>
              </w:rPr>
            </w:pPr>
            <w:r w:rsidRPr="001E6DA9">
              <w:rPr>
                <w:rFonts w:eastAsia="Calibri" w:cs="Arial"/>
                <w:sz w:val="20"/>
                <w:szCs w:val="20"/>
                <w:bdr w:val="none" w:sz="0" w:space="0" w:color="auto" w:frame="1"/>
                <w:lang w:val="en-GB"/>
              </w:rPr>
              <w:t xml:space="preserve">Inspect baits frequently, particularly in the first ten days. </w:t>
            </w:r>
            <w:r>
              <w:rPr>
                <w:rFonts w:eastAsia="Calibri" w:cs="Arial"/>
                <w:sz w:val="20"/>
                <w:szCs w:val="20"/>
                <w:bdr w:val="none" w:sz="0" w:space="0" w:color="auto" w:frame="1"/>
                <w:lang w:val="en-GB"/>
              </w:rPr>
              <w:t xml:space="preserve">Replace eaten bait. </w:t>
            </w:r>
            <w:r w:rsidRPr="001E6DA9">
              <w:rPr>
                <w:rFonts w:eastAsia="Calibri" w:cs="Arial"/>
                <w:sz w:val="20"/>
                <w:szCs w:val="20"/>
                <w:bdr w:val="none" w:sz="0" w:space="0" w:color="auto" w:frame="1"/>
                <w:lang w:val="en-GB"/>
              </w:rPr>
              <w:t>If bait is completely consumed, the number of bait stations should be increased. Continue replenishing bait until left untouched. Baiting for at least 2 weeks will be necessary to reduce mouse numbers. Most deaths occur 4 to 7 days after consumption of bait, but deaths may occur for up to 2 weeks.</w:t>
            </w:r>
          </w:p>
          <w:p w14:paraId="5369693D" w14:textId="77777777" w:rsidR="008E67EA" w:rsidRPr="00246206" w:rsidRDefault="008E67EA" w:rsidP="00B44A74">
            <w:pPr>
              <w:spacing w:after="120" w:line="280" w:lineRule="exact"/>
              <w:rPr>
                <w:rFonts w:eastAsia="Calibri" w:cs="Arial"/>
                <w:sz w:val="20"/>
                <w:szCs w:val="20"/>
                <w:bdr w:val="none" w:sz="0" w:space="0" w:color="auto" w:frame="1"/>
                <w:lang w:val="en-GB"/>
              </w:rPr>
            </w:pPr>
            <w:r w:rsidRPr="001E6DA9">
              <w:rPr>
                <w:rFonts w:eastAsia="Calibri" w:cs="Arial"/>
                <w:sz w:val="20"/>
                <w:szCs w:val="20"/>
                <w:bdr w:val="none" w:sz="0" w:space="0" w:color="auto" w:frame="1"/>
                <w:lang w:val="en-GB"/>
              </w:rPr>
              <w:t xml:space="preserve">Following treatment remove all remains of bait and bait stations. </w:t>
            </w:r>
            <w:r w:rsidRPr="003A1942">
              <w:rPr>
                <w:rFonts w:eastAsia="Calibri" w:cs="Arial"/>
                <w:sz w:val="20"/>
                <w:szCs w:val="20"/>
                <w:bdr w:val="none" w:sz="0" w:space="0" w:color="auto" w:frame="1"/>
                <w:lang w:val="en-GB"/>
              </w:rPr>
              <w:t>DO NOT use the product for longer than 35 days. If rodent activity is still observed after 35 days, seek advice from the product supplier or call a pest control service.</w:t>
            </w:r>
          </w:p>
        </w:tc>
      </w:tr>
    </w:tbl>
    <w:bookmarkEnd w:id="351"/>
    <w:p w14:paraId="3736D951" w14:textId="5C31A000" w:rsidR="008E67EA" w:rsidRDefault="008E67EA" w:rsidP="008E67EA">
      <w:pPr>
        <w:rPr>
          <w:rFonts w:cs="Arial"/>
          <w:b/>
          <w:bCs/>
          <w:sz w:val="20"/>
          <w:szCs w:val="20"/>
          <w:bdr w:val="none" w:sz="0" w:space="0" w:color="auto" w:frame="1"/>
          <w:lang w:val="en-GB" w:eastAsia="en-AU"/>
        </w:rPr>
      </w:pPr>
      <w:r w:rsidRPr="00FF36BF">
        <w:rPr>
          <w:rFonts w:cs="Arial"/>
          <w:b/>
          <w:bCs/>
          <w:sz w:val="20"/>
          <w:szCs w:val="20"/>
        </w:rPr>
        <w:t>NOT TO BE USED FOR ANY PURPOSE, OR IN ANY MANNER, CONTRARY TO THIS LABEL UNLESS AUTHORISED.</w:t>
      </w:r>
      <w:r>
        <w:rPr>
          <w:rFonts w:cs="Arial"/>
          <w:b/>
          <w:bCs/>
          <w:sz w:val="20"/>
          <w:szCs w:val="20"/>
          <w:bdr w:val="none" w:sz="0" w:space="0" w:color="auto" w:frame="1"/>
          <w:lang w:val="en-GB" w:eastAsia="en-AU"/>
        </w:rPr>
        <w:br w:type="page"/>
      </w:r>
    </w:p>
    <w:p w14:paraId="4E3BB6C4" w14:textId="77777777" w:rsidR="008E67EA"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lastRenderedPageBreak/>
        <w:t xml:space="preserve">Template Label </w:t>
      </w:r>
      <w:r>
        <w:rPr>
          <w:rFonts w:cs="Arial"/>
          <w:b/>
          <w:bCs/>
          <w:sz w:val="20"/>
          <w:szCs w:val="20"/>
          <w:bdr w:val="none" w:sz="0" w:space="0" w:color="auto" w:frame="1"/>
          <w:lang w:val="en-GB" w:eastAsia="en-AU"/>
        </w:rPr>
        <w:t>22b</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2B5B5B" w14:paraId="5D427C8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3DF5BD6" w14:textId="77777777" w:rsidR="008E67EA" w:rsidRPr="00234E5C" w:rsidRDefault="008E67EA" w:rsidP="00B44A74">
            <w:pPr>
              <w:spacing w:line="280" w:lineRule="exact"/>
              <w:rPr>
                <w:rFonts w:cs="Arial"/>
                <w:color w:val="000000" w:themeColor="text1"/>
                <w:sz w:val="20"/>
                <w:szCs w:val="20"/>
              </w:rPr>
            </w:pPr>
            <w:r w:rsidRPr="00234E5C">
              <w:rPr>
                <w:rFonts w:cs="Arial"/>
                <w:color w:val="000000" w:themeColor="text1"/>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0AD30A65" w14:textId="77777777" w:rsidR="008E67EA" w:rsidRPr="00234E5C" w:rsidRDefault="008E67EA" w:rsidP="00B44A74">
            <w:pPr>
              <w:spacing w:line="280" w:lineRule="exact"/>
              <w:rPr>
                <w:rFonts w:cs="Arial"/>
                <w:color w:val="000000" w:themeColor="text1"/>
                <w:sz w:val="20"/>
                <w:szCs w:val="20"/>
              </w:rPr>
            </w:pPr>
            <w:r w:rsidRPr="00234E5C">
              <w:rPr>
                <w:rFonts w:cs="Arial"/>
                <w:color w:val="000000" w:themeColor="text1"/>
                <w:sz w:val="20"/>
                <w:szCs w:val="20"/>
              </w:rPr>
              <w:t>[INSERT LABEL NAME]</w:t>
            </w:r>
          </w:p>
        </w:tc>
      </w:tr>
      <w:tr w:rsidR="008E67EA" w:rsidRPr="002B5B5B" w14:paraId="65165833" w14:textId="77777777" w:rsidTr="00B44A74">
        <w:trPr>
          <w:jc w:val="center"/>
        </w:trPr>
        <w:tc>
          <w:tcPr>
            <w:tcW w:w="2415" w:type="dxa"/>
            <w:tcBorders>
              <w:top w:val="single" w:sz="4" w:space="0" w:color="auto"/>
              <w:left w:val="nil"/>
              <w:bottom w:val="single" w:sz="4" w:space="0" w:color="auto"/>
              <w:right w:val="nil"/>
            </w:tcBorders>
          </w:tcPr>
          <w:p w14:paraId="5AAF93CA" w14:textId="77777777" w:rsidR="008E67EA" w:rsidRPr="00234E5C" w:rsidRDefault="008E67EA" w:rsidP="00B44A74">
            <w:pPr>
              <w:spacing w:line="280" w:lineRule="exact"/>
              <w:rPr>
                <w:rFonts w:cs="Arial"/>
                <w:color w:val="000000" w:themeColor="text1"/>
                <w:sz w:val="20"/>
                <w:szCs w:val="20"/>
              </w:rPr>
            </w:pPr>
          </w:p>
        </w:tc>
        <w:tc>
          <w:tcPr>
            <w:tcW w:w="7755" w:type="dxa"/>
            <w:tcBorders>
              <w:top w:val="single" w:sz="4" w:space="0" w:color="auto"/>
              <w:left w:val="nil"/>
              <w:bottom w:val="single" w:sz="4" w:space="0" w:color="auto"/>
              <w:right w:val="nil"/>
            </w:tcBorders>
          </w:tcPr>
          <w:p w14:paraId="1CC5A34C" w14:textId="77777777" w:rsidR="008E67EA" w:rsidRPr="00234E5C" w:rsidRDefault="008E67EA" w:rsidP="00B44A74">
            <w:pPr>
              <w:spacing w:line="280" w:lineRule="exact"/>
              <w:rPr>
                <w:rFonts w:cs="Arial"/>
                <w:color w:val="000000" w:themeColor="text1"/>
                <w:sz w:val="20"/>
                <w:szCs w:val="20"/>
              </w:rPr>
            </w:pPr>
          </w:p>
        </w:tc>
      </w:tr>
      <w:tr w:rsidR="008E67EA" w:rsidRPr="002B5B5B" w14:paraId="2B3BAFB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5428235" w14:textId="77777777" w:rsidR="008E67EA" w:rsidRPr="00234E5C" w:rsidRDefault="008E67EA" w:rsidP="00B44A74">
            <w:pPr>
              <w:spacing w:line="280" w:lineRule="exact"/>
              <w:rPr>
                <w:rFonts w:cs="Arial"/>
                <w:color w:val="000000" w:themeColor="text1"/>
                <w:sz w:val="20"/>
                <w:szCs w:val="20"/>
              </w:rPr>
            </w:pPr>
            <w:r w:rsidRPr="00234E5C">
              <w:rPr>
                <w:rFonts w:cs="Arial"/>
                <w:color w:val="000000" w:themeColor="text1"/>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0389F164" w14:textId="77777777" w:rsidR="008E67EA" w:rsidRPr="00234E5C" w:rsidRDefault="008E67EA" w:rsidP="00B44A74">
            <w:pPr>
              <w:spacing w:line="280" w:lineRule="exact"/>
              <w:rPr>
                <w:rFonts w:cs="Arial"/>
                <w:color w:val="000000" w:themeColor="text1"/>
                <w:sz w:val="20"/>
                <w:szCs w:val="20"/>
              </w:rPr>
            </w:pPr>
            <w:r w:rsidRPr="00234E5C">
              <w:rPr>
                <w:rFonts w:cs="Arial"/>
                <w:color w:val="000000" w:themeColor="text1"/>
                <w:sz w:val="20"/>
                <w:szCs w:val="20"/>
              </w:rPr>
              <w:t>POISON</w:t>
            </w:r>
          </w:p>
          <w:p w14:paraId="5DFE3D67" w14:textId="77777777" w:rsidR="008E67EA" w:rsidRPr="00234E5C" w:rsidRDefault="008E67EA" w:rsidP="00B44A74">
            <w:pPr>
              <w:spacing w:line="280" w:lineRule="exact"/>
              <w:rPr>
                <w:rFonts w:cs="Arial"/>
                <w:color w:val="000000" w:themeColor="text1"/>
                <w:sz w:val="20"/>
                <w:szCs w:val="20"/>
              </w:rPr>
            </w:pPr>
            <w:r w:rsidRPr="00234E5C">
              <w:rPr>
                <w:rFonts w:cs="Arial"/>
                <w:color w:val="000000" w:themeColor="text1"/>
                <w:sz w:val="20"/>
                <w:szCs w:val="20"/>
              </w:rPr>
              <w:t>KEEP OUT OF REACH OF CHILDREN</w:t>
            </w:r>
          </w:p>
          <w:p w14:paraId="7D867B78" w14:textId="77777777" w:rsidR="008E67EA" w:rsidRPr="00234E5C" w:rsidRDefault="008E67EA" w:rsidP="00B44A74">
            <w:pPr>
              <w:spacing w:line="280" w:lineRule="exact"/>
              <w:rPr>
                <w:rFonts w:cs="Arial"/>
                <w:color w:val="000000" w:themeColor="text1"/>
                <w:sz w:val="20"/>
                <w:szCs w:val="20"/>
              </w:rPr>
            </w:pPr>
            <w:r w:rsidRPr="00234E5C">
              <w:rPr>
                <w:rFonts w:cs="Arial"/>
                <w:color w:val="000000" w:themeColor="text1"/>
                <w:sz w:val="20"/>
                <w:szCs w:val="20"/>
              </w:rPr>
              <w:t>READ SAFETY DIRECIONS</w:t>
            </w:r>
          </w:p>
        </w:tc>
      </w:tr>
      <w:tr w:rsidR="008E67EA" w:rsidRPr="002B5B5B" w14:paraId="69DE08DB" w14:textId="77777777" w:rsidTr="00B44A74">
        <w:trPr>
          <w:jc w:val="center"/>
        </w:trPr>
        <w:tc>
          <w:tcPr>
            <w:tcW w:w="2415" w:type="dxa"/>
            <w:tcBorders>
              <w:top w:val="single" w:sz="4" w:space="0" w:color="auto"/>
              <w:left w:val="nil"/>
              <w:bottom w:val="single" w:sz="4" w:space="0" w:color="auto"/>
              <w:right w:val="nil"/>
            </w:tcBorders>
          </w:tcPr>
          <w:p w14:paraId="2BD1DD52" w14:textId="77777777" w:rsidR="008E67EA" w:rsidRPr="00234E5C" w:rsidRDefault="008E67EA" w:rsidP="00B44A74">
            <w:pPr>
              <w:spacing w:line="280" w:lineRule="exact"/>
              <w:rPr>
                <w:rFonts w:cs="Arial"/>
                <w:color w:val="000000" w:themeColor="text1"/>
                <w:sz w:val="20"/>
                <w:szCs w:val="20"/>
              </w:rPr>
            </w:pPr>
          </w:p>
        </w:tc>
        <w:tc>
          <w:tcPr>
            <w:tcW w:w="7755" w:type="dxa"/>
            <w:tcBorders>
              <w:top w:val="single" w:sz="4" w:space="0" w:color="auto"/>
              <w:left w:val="nil"/>
              <w:bottom w:val="single" w:sz="4" w:space="0" w:color="auto"/>
              <w:right w:val="nil"/>
            </w:tcBorders>
          </w:tcPr>
          <w:p w14:paraId="2D246FB4" w14:textId="77777777" w:rsidR="008E67EA" w:rsidRPr="00234E5C" w:rsidRDefault="008E67EA" w:rsidP="00B44A74">
            <w:pPr>
              <w:spacing w:line="280" w:lineRule="exact"/>
              <w:rPr>
                <w:rFonts w:cs="Arial"/>
                <w:color w:val="000000" w:themeColor="text1"/>
                <w:sz w:val="20"/>
                <w:szCs w:val="20"/>
              </w:rPr>
            </w:pPr>
          </w:p>
        </w:tc>
      </w:tr>
      <w:tr w:rsidR="008E67EA" w:rsidRPr="002B5B5B" w14:paraId="2F28434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606A9CE" w14:textId="77777777" w:rsidR="008E67EA" w:rsidRPr="00234E5C" w:rsidRDefault="008E67EA" w:rsidP="00B44A74">
            <w:pPr>
              <w:spacing w:line="280" w:lineRule="exact"/>
              <w:rPr>
                <w:rFonts w:cs="Arial"/>
                <w:color w:val="000000" w:themeColor="text1"/>
                <w:sz w:val="20"/>
                <w:szCs w:val="20"/>
              </w:rPr>
            </w:pPr>
            <w:r w:rsidRPr="00234E5C">
              <w:rPr>
                <w:rFonts w:cs="Arial"/>
                <w:color w:val="000000" w:themeColor="text1"/>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48ACFB0F" w14:textId="77777777" w:rsidR="008E67EA" w:rsidRPr="00234E5C" w:rsidRDefault="008E67EA" w:rsidP="00B44A74">
            <w:pPr>
              <w:spacing w:line="280" w:lineRule="exact"/>
              <w:rPr>
                <w:rFonts w:cs="Arial"/>
                <w:color w:val="000000" w:themeColor="text1"/>
                <w:sz w:val="20"/>
                <w:szCs w:val="20"/>
              </w:rPr>
            </w:pPr>
            <w:r w:rsidRPr="00234E5C">
              <w:rPr>
                <w:rFonts w:cs="Arial"/>
                <w:color w:val="000000" w:themeColor="text1"/>
                <w:sz w:val="20"/>
                <w:szCs w:val="20"/>
              </w:rPr>
              <w:t>ACTIVE CONSTITUENT: 0.05 g/kg DIFENACOUM</w:t>
            </w:r>
          </w:p>
        </w:tc>
      </w:tr>
      <w:tr w:rsidR="008E67EA" w:rsidRPr="002B5B5B" w14:paraId="6A757775" w14:textId="77777777" w:rsidTr="00B44A74">
        <w:trPr>
          <w:jc w:val="center"/>
        </w:trPr>
        <w:tc>
          <w:tcPr>
            <w:tcW w:w="2415" w:type="dxa"/>
            <w:tcBorders>
              <w:top w:val="single" w:sz="4" w:space="0" w:color="auto"/>
              <w:left w:val="nil"/>
              <w:bottom w:val="single" w:sz="4" w:space="0" w:color="auto"/>
              <w:right w:val="nil"/>
            </w:tcBorders>
          </w:tcPr>
          <w:p w14:paraId="36A97938"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E9C3A4E" w14:textId="77777777" w:rsidR="008E67EA" w:rsidRPr="0015462A" w:rsidRDefault="008E67EA" w:rsidP="00B44A74">
            <w:pPr>
              <w:spacing w:line="280" w:lineRule="exact"/>
              <w:rPr>
                <w:rFonts w:cs="Arial"/>
                <w:sz w:val="20"/>
                <w:szCs w:val="20"/>
              </w:rPr>
            </w:pPr>
          </w:p>
        </w:tc>
      </w:tr>
      <w:tr w:rsidR="008E67EA" w:rsidRPr="002B5B5B" w14:paraId="5181ED1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774BB64" w14:textId="77777777" w:rsidR="008E67EA" w:rsidRPr="00F5215F" w:rsidRDefault="008E67EA" w:rsidP="00B44A74">
            <w:pPr>
              <w:spacing w:line="280" w:lineRule="exact"/>
              <w:rPr>
                <w:rFonts w:cs="Arial"/>
                <w:sz w:val="20"/>
                <w:szCs w:val="20"/>
              </w:rPr>
            </w:pPr>
            <w:r w:rsidRPr="00F5215F">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1445B6C9" w14:textId="77777777" w:rsidR="008E67EA" w:rsidRPr="002578CF" w:rsidRDefault="008E67EA" w:rsidP="00B44A74">
            <w:pPr>
              <w:spacing w:line="280" w:lineRule="exact"/>
              <w:rPr>
                <w:rFonts w:cs="Arial"/>
                <w:color w:val="000000" w:themeColor="text1"/>
                <w:sz w:val="20"/>
                <w:szCs w:val="20"/>
              </w:rPr>
            </w:pPr>
            <w:r w:rsidRPr="002578CF">
              <w:rPr>
                <w:rFonts w:cs="Arial"/>
                <w:color w:val="000000" w:themeColor="text1"/>
                <w:sz w:val="20"/>
                <w:szCs w:val="20"/>
                <w:bdr w:val="none" w:sz="0" w:space="0" w:color="auto" w:frame="1"/>
                <w:lang w:val="en-GB" w:eastAsia="en-AU"/>
              </w:rPr>
              <w:t xml:space="preserve">For control of mice in domestic and commercial buildings. </w:t>
            </w:r>
          </w:p>
        </w:tc>
      </w:tr>
      <w:tr w:rsidR="008E67EA" w:rsidRPr="002B5B5B" w14:paraId="09DD0CF6" w14:textId="77777777" w:rsidTr="00B44A74">
        <w:trPr>
          <w:jc w:val="center"/>
        </w:trPr>
        <w:tc>
          <w:tcPr>
            <w:tcW w:w="2415" w:type="dxa"/>
            <w:tcBorders>
              <w:top w:val="single" w:sz="4" w:space="0" w:color="auto"/>
              <w:left w:val="nil"/>
              <w:bottom w:val="single" w:sz="4" w:space="0" w:color="auto"/>
              <w:right w:val="nil"/>
            </w:tcBorders>
          </w:tcPr>
          <w:p w14:paraId="0072AFA2"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AC88682" w14:textId="77777777" w:rsidR="008E67EA" w:rsidRPr="0015462A" w:rsidRDefault="008E67EA" w:rsidP="00B44A74">
            <w:pPr>
              <w:spacing w:line="280" w:lineRule="exact"/>
              <w:rPr>
                <w:rFonts w:cs="Arial"/>
                <w:sz w:val="20"/>
                <w:szCs w:val="20"/>
              </w:rPr>
            </w:pPr>
          </w:p>
        </w:tc>
      </w:tr>
      <w:tr w:rsidR="008E67EA" w:rsidRPr="002B5B5B" w14:paraId="205536F9"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046EF3F" w14:textId="77777777" w:rsidR="008E67EA" w:rsidRPr="00F5215F" w:rsidRDefault="008E67EA" w:rsidP="00B44A74">
            <w:pPr>
              <w:spacing w:line="280" w:lineRule="exact"/>
              <w:rPr>
                <w:rFonts w:cs="Arial"/>
                <w:sz w:val="20"/>
                <w:szCs w:val="20"/>
              </w:rPr>
            </w:pPr>
            <w:r w:rsidRPr="00F5215F">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3C54E801" w14:textId="77777777" w:rsidR="008E67EA" w:rsidRPr="00701CB1" w:rsidRDefault="008E67EA" w:rsidP="00B44A74">
            <w:pPr>
              <w:spacing w:line="280" w:lineRule="exact"/>
              <w:rPr>
                <w:rFonts w:cs="Arial"/>
                <w:sz w:val="20"/>
                <w:szCs w:val="20"/>
              </w:rPr>
            </w:pPr>
            <w:r w:rsidRPr="00234E5C">
              <w:rPr>
                <w:rFonts w:cs="Arial"/>
                <w:color w:val="000000" w:themeColor="text1"/>
                <w:sz w:val="20"/>
                <w:szCs w:val="20"/>
              </w:rPr>
              <w:t xml:space="preserve">[INSERT </w:t>
            </w:r>
            <w:r>
              <w:rPr>
                <w:rFonts w:cs="Arial"/>
                <w:color w:val="000000" w:themeColor="text1"/>
                <w:sz w:val="20"/>
                <w:szCs w:val="20"/>
              </w:rPr>
              <w:t>NET CONTENTS – MAXIMUM 300 g</w:t>
            </w:r>
            <w:r w:rsidRPr="00234E5C">
              <w:rPr>
                <w:rFonts w:cs="Arial"/>
                <w:color w:val="000000" w:themeColor="text1"/>
                <w:sz w:val="20"/>
                <w:szCs w:val="20"/>
              </w:rPr>
              <w:t>]</w:t>
            </w:r>
          </w:p>
        </w:tc>
      </w:tr>
      <w:tr w:rsidR="008E67EA" w:rsidRPr="002B5B5B" w14:paraId="495BA0FD" w14:textId="77777777" w:rsidTr="00B44A74">
        <w:trPr>
          <w:jc w:val="center"/>
        </w:trPr>
        <w:tc>
          <w:tcPr>
            <w:tcW w:w="2415" w:type="dxa"/>
            <w:tcBorders>
              <w:top w:val="single" w:sz="4" w:space="0" w:color="auto"/>
              <w:left w:val="nil"/>
              <w:bottom w:val="single" w:sz="4" w:space="0" w:color="auto"/>
              <w:right w:val="nil"/>
            </w:tcBorders>
          </w:tcPr>
          <w:p w14:paraId="002AB0B3"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0C96606" w14:textId="77777777" w:rsidR="008E67EA" w:rsidRPr="002B5B5B" w:rsidRDefault="008E67EA" w:rsidP="00B44A74">
            <w:pPr>
              <w:spacing w:line="280" w:lineRule="exact"/>
              <w:rPr>
                <w:rFonts w:cs="Arial"/>
                <w:sz w:val="20"/>
                <w:szCs w:val="20"/>
              </w:rPr>
            </w:pPr>
          </w:p>
        </w:tc>
      </w:tr>
      <w:tr w:rsidR="008E67EA" w:rsidRPr="002B5B5B" w14:paraId="14954F4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B3BE396" w14:textId="77777777" w:rsidR="008E67EA" w:rsidRPr="00F5215F" w:rsidRDefault="008E67EA" w:rsidP="00B44A74">
            <w:pPr>
              <w:spacing w:line="280" w:lineRule="exact"/>
              <w:rPr>
                <w:rFonts w:cs="Arial"/>
                <w:sz w:val="20"/>
                <w:szCs w:val="20"/>
              </w:rPr>
            </w:pPr>
            <w:r w:rsidRPr="00F5215F">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2396D034" w14:textId="76D3F4F7" w:rsidR="008E67EA" w:rsidRPr="00234E5C" w:rsidRDefault="008E67EA" w:rsidP="00B44A74">
            <w:pPr>
              <w:spacing w:line="280" w:lineRule="exact"/>
              <w:rPr>
                <w:rFonts w:cs="Arial"/>
                <w:sz w:val="20"/>
                <w:szCs w:val="20"/>
                <w:bdr w:val="none" w:sz="0" w:space="0" w:color="auto" w:frame="1"/>
                <w:lang w:val="en-GB" w:eastAsia="en-AU"/>
              </w:rPr>
            </w:pPr>
            <w:r w:rsidRPr="00234E5C">
              <w:rPr>
                <w:rFonts w:cs="Arial"/>
                <w:sz w:val="20"/>
                <w:szCs w:val="20"/>
                <w:bdr w:val="none" w:sz="0" w:space="0" w:color="auto" w:frame="1"/>
                <w:lang w:val="en-GB" w:eastAsia="en-AU"/>
              </w:rPr>
              <w:t>DO NOT place baits unless in tamper-resistant bait stations.</w:t>
            </w:r>
          </w:p>
          <w:p w14:paraId="6BBE2524" w14:textId="77777777" w:rsidR="008E67EA" w:rsidRDefault="008E67EA" w:rsidP="00B44A74">
            <w:pPr>
              <w:spacing w:line="280" w:lineRule="exact"/>
              <w:rPr>
                <w:rFonts w:cs="Arial"/>
                <w:sz w:val="20"/>
                <w:szCs w:val="20"/>
                <w:bdr w:val="none" w:sz="0" w:space="0" w:color="auto" w:frame="1"/>
                <w:lang w:val="en-GB" w:eastAsia="en-AU"/>
              </w:rPr>
            </w:pPr>
            <w:r w:rsidRPr="00234E5C">
              <w:rPr>
                <w:rFonts w:cs="Arial"/>
                <w:sz w:val="20"/>
                <w:szCs w:val="20"/>
                <w:bdr w:val="none" w:sz="0" w:space="0" w:color="auto" w:frame="1"/>
                <w:lang w:val="en-GB" w:eastAsia="en-AU"/>
              </w:rPr>
              <w:t>DO NOT place bait stations outdoors around buildings for control of mice.</w:t>
            </w:r>
          </w:p>
          <w:p w14:paraId="78A3D681" w14:textId="77777777" w:rsidR="008E67EA" w:rsidRPr="00234E5C" w:rsidRDefault="008E67EA" w:rsidP="00B44A74">
            <w:pPr>
              <w:spacing w:line="280" w:lineRule="exact"/>
              <w:rPr>
                <w:rFonts w:cs="Arial"/>
                <w:sz w:val="20"/>
                <w:szCs w:val="20"/>
                <w:bdr w:val="none" w:sz="0" w:space="0" w:color="auto" w:frame="1"/>
                <w:lang w:val="en-GB" w:eastAsia="en-AU"/>
              </w:rPr>
            </w:pPr>
            <w:r w:rsidRPr="00F71C5A">
              <w:rPr>
                <w:rFonts w:cs="Arial"/>
                <w:sz w:val="20"/>
                <w:szCs w:val="20"/>
                <w:bdr w:val="none" w:sz="0" w:space="0" w:color="auto" w:frame="1"/>
                <w:lang w:val="en-GB" w:eastAsia="en-AU"/>
              </w:rPr>
              <w:t>DO NOT bait in areas where wildlife may be collected for human consumption.</w:t>
            </w:r>
          </w:p>
          <w:p w14:paraId="4068F997" w14:textId="77777777" w:rsidR="008E67EA" w:rsidRPr="00234E5C" w:rsidRDefault="008E67EA" w:rsidP="00B44A74">
            <w:pPr>
              <w:spacing w:line="280" w:lineRule="exact"/>
              <w:rPr>
                <w:rFonts w:cs="Arial"/>
                <w:sz w:val="20"/>
                <w:szCs w:val="20"/>
                <w:bdr w:val="none" w:sz="0" w:space="0" w:color="auto" w:frame="1"/>
                <w:lang w:val="en-GB" w:eastAsia="en-AU"/>
              </w:rPr>
            </w:pPr>
            <w:r w:rsidRPr="00234E5C">
              <w:rPr>
                <w:rFonts w:cs="Arial"/>
                <w:sz w:val="20"/>
                <w:szCs w:val="20"/>
                <w:bdr w:val="none" w:sz="0" w:space="0" w:color="auto" w:frame="1"/>
                <w:lang w:val="en-GB" w:eastAsia="en-AU"/>
              </w:rPr>
              <w:t>DO NOT place baits in animal, livestock and poultry houses, associated equipment, and food and feed processing areas.</w:t>
            </w:r>
          </w:p>
          <w:p w14:paraId="163BF0E5" w14:textId="77777777" w:rsidR="008E67EA" w:rsidRPr="00234E5C" w:rsidRDefault="008E67EA" w:rsidP="00B44A74">
            <w:pPr>
              <w:spacing w:line="280" w:lineRule="exact"/>
              <w:rPr>
                <w:rFonts w:cs="Arial"/>
                <w:sz w:val="20"/>
                <w:szCs w:val="20"/>
                <w:bdr w:val="none" w:sz="0" w:space="0" w:color="auto" w:frame="1"/>
                <w:lang w:val="en-GB" w:eastAsia="en-AU"/>
              </w:rPr>
            </w:pPr>
            <w:r w:rsidRPr="00234E5C">
              <w:rPr>
                <w:rFonts w:cs="Arial"/>
                <w:sz w:val="20"/>
                <w:szCs w:val="20"/>
                <w:bdr w:val="none" w:sz="0" w:space="0" w:color="auto" w:frame="1"/>
                <w:lang w:val="en-GB" w:eastAsia="en-AU"/>
              </w:rPr>
              <w:t>DO NOT use the product in pulsed baiting treatments.</w:t>
            </w:r>
          </w:p>
        </w:tc>
      </w:tr>
      <w:tr w:rsidR="008E67EA" w:rsidRPr="002B5B5B" w14:paraId="4E0112EC" w14:textId="77777777" w:rsidTr="00B44A74">
        <w:trPr>
          <w:jc w:val="center"/>
        </w:trPr>
        <w:tc>
          <w:tcPr>
            <w:tcW w:w="2415" w:type="dxa"/>
            <w:tcBorders>
              <w:top w:val="single" w:sz="4" w:space="0" w:color="auto"/>
              <w:left w:val="nil"/>
              <w:bottom w:val="single" w:sz="4" w:space="0" w:color="auto"/>
              <w:right w:val="nil"/>
            </w:tcBorders>
          </w:tcPr>
          <w:p w14:paraId="3F0EC7E2"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516FD52" w14:textId="77777777" w:rsidR="008E67EA" w:rsidRPr="002B5B5B" w:rsidRDefault="008E67EA" w:rsidP="00B44A74">
            <w:pPr>
              <w:spacing w:line="280" w:lineRule="exact"/>
              <w:rPr>
                <w:rFonts w:cs="Arial"/>
                <w:sz w:val="20"/>
                <w:szCs w:val="20"/>
              </w:rPr>
            </w:pPr>
          </w:p>
        </w:tc>
      </w:tr>
      <w:tr w:rsidR="008E67EA" w:rsidRPr="002B5B5B" w14:paraId="37CD93C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A3FC34D" w14:textId="77777777" w:rsidR="008E67EA" w:rsidRPr="00F5215F" w:rsidRDefault="008E67EA" w:rsidP="00B44A74">
            <w:pPr>
              <w:spacing w:line="280" w:lineRule="exact"/>
              <w:rPr>
                <w:rFonts w:cs="Arial"/>
                <w:sz w:val="20"/>
                <w:szCs w:val="20"/>
              </w:rPr>
            </w:pPr>
            <w:r>
              <w:rPr>
                <w:rFonts w:cs="Arial"/>
                <w:sz w:val="20"/>
                <w:szCs w:val="20"/>
              </w:rPr>
              <w:t>How to Use</w:t>
            </w:r>
          </w:p>
        </w:tc>
        <w:tc>
          <w:tcPr>
            <w:tcW w:w="7755" w:type="dxa"/>
            <w:tcBorders>
              <w:top w:val="single" w:sz="4" w:space="0" w:color="auto"/>
              <w:left w:val="single" w:sz="4" w:space="0" w:color="auto"/>
              <w:bottom w:val="single" w:sz="4" w:space="0" w:color="auto"/>
              <w:right w:val="single" w:sz="4" w:space="0" w:color="auto"/>
            </w:tcBorders>
          </w:tcPr>
          <w:p w14:paraId="1B34131A" w14:textId="77777777" w:rsidR="008E67EA" w:rsidRPr="00EB4816" w:rsidRDefault="008E67EA" w:rsidP="00B44A74">
            <w:pPr>
              <w:spacing w:line="280" w:lineRule="exact"/>
              <w:rPr>
                <w:rFonts w:cs="Arial"/>
                <w:sz w:val="20"/>
                <w:szCs w:val="20"/>
              </w:rPr>
            </w:pPr>
            <w:r w:rsidRPr="00B832BB">
              <w:rPr>
                <w:rFonts w:cs="Arial"/>
                <w:sz w:val="20"/>
                <w:szCs w:val="20"/>
              </w:rPr>
              <w:t>[This section contains an attachment below]</w:t>
            </w:r>
          </w:p>
        </w:tc>
      </w:tr>
      <w:tr w:rsidR="008E67EA" w:rsidRPr="002B5B5B" w14:paraId="62A420F1" w14:textId="77777777" w:rsidTr="00B44A74">
        <w:trPr>
          <w:jc w:val="center"/>
        </w:trPr>
        <w:tc>
          <w:tcPr>
            <w:tcW w:w="2415" w:type="dxa"/>
            <w:tcBorders>
              <w:top w:val="single" w:sz="4" w:space="0" w:color="auto"/>
              <w:left w:val="nil"/>
              <w:bottom w:val="single" w:sz="4" w:space="0" w:color="auto"/>
              <w:right w:val="nil"/>
            </w:tcBorders>
          </w:tcPr>
          <w:p w14:paraId="64AB1022"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196D633" w14:textId="77777777" w:rsidR="008E67EA" w:rsidRPr="002B5B5B" w:rsidRDefault="008E67EA" w:rsidP="00B44A74">
            <w:pPr>
              <w:spacing w:line="280" w:lineRule="exact"/>
              <w:rPr>
                <w:rFonts w:cs="Arial"/>
                <w:sz w:val="20"/>
                <w:szCs w:val="20"/>
              </w:rPr>
            </w:pPr>
          </w:p>
        </w:tc>
      </w:tr>
      <w:tr w:rsidR="008E67EA" w:rsidRPr="002B5B5B" w14:paraId="04EB2F3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D90A327" w14:textId="77777777" w:rsidR="008E67EA" w:rsidRPr="00F5215F" w:rsidRDefault="008E67EA" w:rsidP="00B44A74">
            <w:pPr>
              <w:spacing w:line="280" w:lineRule="exact"/>
              <w:rPr>
                <w:rFonts w:cs="Arial"/>
                <w:sz w:val="20"/>
                <w:szCs w:val="20"/>
              </w:rPr>
            </w:pPr>
            <w:r w:rsidRPr="00F5215F">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40CFF4B2" w14:textId="77777777" w:rsidR="008E67EA" w:rsidRPr="002B5B5B" w:rsidRDefault="008E67EA" w:rsidP="00B44A74">
            <w:pPr>
              <w:spacing w:line="280" w:lineRule="exact"/>
              <w:rPr>
                <w:rFonts w:cs="Arial"/>
                <w:sz w:val="20"/>
                <w:szCs w:val="20"/>
              </w:rPr>
            </w:pPr>
          </w:p>
        </w:tc>
      </w:tr>
      <w:tr w:rsidR="008E67EA" w:rsidRPr="002B5B5B" w14:paraId="0C1494E6" w14:textId="77777777" w:rsidTr="00B44A74">
        <w:trPr>
          <w:jc w:val="center"/>
        </w:trPr>
        <w:tc>
          <w:tcPr>
            <w:tcW w:w="2415" w:type="dxa"/>
            <w:tcBorders>
              <w:top w:val="single" w:sz="4" w:space="0" w:color="auto"/>
              <w:left w:val="nil"/>
              <w:bottom w:val="single" w:sz="4" w:space="0" w:color="auto"/>
              <w:right w:val="nil"/>
            </w:tcBorders>
          </w:tcPr>
          <w:p w14:paraId="4D7F8063"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F6D3846" w14:textId="77777777" w:rsidR="008E67EA" w:rsidRPr="002B5B5B" w:rsidRDefault="008E67EA" w:rsidP="00B44A74">
            <w:pPr>
              <w:spacing w:line="280" w:lineRule="exact"/>
              <w:rPr>
                <w:rFonts w:cs="Arial"/>
                <w:sz w:val="20"/>
                <w:szCs w:val="20"/>
              </w:rPr>
            </w:pPr>
          </w:p>
        </w:tc>
      </w:tr>
      <w:tr w:rsidR="008E67EA" w:rsidRPr="002B5B5B" w14:paraId="64734892" w14:textId="77777777" w:rsidTr="00B44A74">
        <w:trPr>
          <w:trHeight w:val="293"/>
          <w:jc w:val="center"/>
        </w:trPr>
        <w:tc>
          <w:tcPr>
            <w:tcW w:w="2415" w:type="dxa"/>
            <w:tcBorders>
              <w:top w:val="single" w:sz="4" w:space="0" w:color="auto"/>
              <w:left w:val="single" w:sz="4" w:space="0" w:color="auto"/>
              <w:bottom w:val="single" w:sz="4" w:space="0" w:color="auto"/>
              <w:right w:val="single" w:sz="4" w:space="0" w:color="auto"/>
            </w:tcBorders>
            <w:hideMark/>
          </w:tcPr>
          <w:p w14:paraId="0CA0E944" w14:textId="77777777" w:rsidR="008E67EA" w:rsidRPr="00F5215F" w:rsidRDefault="008E67EA" w:rsidP="00B44A74">
            <w:pPr>
              <w:spacing w:line="280" w:lineRule="exact"/>
              <w:rPr>
                <w:rFonts w:cs="Arial"/>
                <w:sz w:val="20"/>
                <w:szCs w:val="20"/>
              </w:rPr>
            </w:pPr>
            <w:r>
              <w:rPr>
                <w:rFonts w:cs="Arial"/>
                <w:sz w:val="20"/>
                <w:szCs w:val="20"/>
              </w:rPr>
              <w:t>How to Prepare</w:t>
            </w:r>
          </w:p>
        </w:tc>
        <w:tc>
          <w:tcPr>
            <w:tcW w:w="7755" w:type="dxa"/>
            <w:tcBorders>
              <w:top w:val="single" w:sz="4" w:space="0" w:color="auto"/>
              <w:left w:val="single" w:sz="4" w:space="0" w:color="auto"/>
              <w:bottom w:val="single" w:sz="4" w:space="0" w:color="auto"/>
              <w:right w:val="single" w:sz="4" w:space="0" w:color="auto"/>
            </w:tcBorders>
          </w:tcPr>
          <w:p w14:paraId="1421818A" w14:textId="77777777" w:rsidR="008E67EA" w:rsidRPr="002B5B5B" w:rsidRDefault="008E67EA" w:rsidP="00B44A74">
            <w:pPr>
              <w:spacing w:line="280" w:lineRule="exact"/>
              <w:rPr>
                <w:rFonts w:cs="Arial"/>
                <w:sz w:val="20"/>
                <w:szCs w:val="20"/>
              </w:rPr>
            </w:pPr>
          </w:p>
        </w:tc>
      </w:tr>
      <w:tr w:rsidR="008E67EA" w:rsidRPr="002B5B5B" w14:paraId="7690FF9D" w14:textId="77777777" w:rsidTr="00B44A74">
        <w:trPr>
          <w:jc w:val="center"/>
        </w:trPr>
        <w:tc>
          <w:tcPr>
            <w:tcW w:w="2415" w:type="dxa"/>
            <w:tcBorders>
              <w:top w:val="single" w:sz="4" w:space="0" w:color="auto"/>
              <w:left w:val="nil"/>
              <w:bottom w:val="single" w:sz="4" w:space="0" w:color="auto"/>
              <w:right w:val="nil"/>
            </w:tcBorders>
          </w:tcPr>
          <w:p w14:paraId="35B40725"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682E4D1" w14:textId="77777777" w:rsidR="008E67EA" w:rsidRPr="002B5B5B" w:rsidRDefault="008E67EA" w:rsidP="00B44A74">
            <w:pPr>
              <w:spacing w:line="280" w:lineRule="exact"/>
              <w:rPr>
                <w:rFonts w:cs="Arial"/>
                <w:sz w:val="20"/>
                <w:szCs w:val="20"/>
              </w:rPr>
            </w:pPr>
          </w:p>
        </w:tc>
      </w:tr>
      <w:tr w:rsidR="008E67EA" w:rsidRPr="002B5B5B" w14:paraId="66C6BA0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3AB1422" w14:textId="77777777" w:rsidR="008E67EA" w:rsidRPr="00F5215F" w:rsidRDefault="008E67EA" w:rsidP="00B44A74">
            <w:pPr>
              <w:spacing w:line="280" w:lineRule="exact"/>
              <w:rPr>
                <w:rFonts w:cs="Arial"/>
                <w:sz w:val="20"/>
                <w:szCs w:val="20"/>
              </w:rPr>
            </w:pPr>
            <w:r w:rsidRPr="00F5215F">
              <w:rPr>
                <w:rFonts w:cs="Arial"/>
                <w:sz w:val="20"/>
                <w:szCs w:val="20"/>
              </w:rPr>
              <w:t>Resistance Warning:</w:t>
            </w:r>
          </w:p>
        </w:tc>
        <w:tc>
          <w:tcPr>
            <w:tcW w:w="7755" w:type="dxa"/>
            <w:tcBorders>
              <w:top w:val="single" w:sz="4" w:space="0" w:color="auto"/>
              <w:left w:val="single" w:sz="4" w:space="0" w:color="auto"/>
              <w:bottom w:val="single" w:sz="4" w:space="0" w:color="auto"/>
              <w:right w:val="single" w:sz="4" w:space="0" w:color="auto"/>
            </w:tcBorders>
          </w:tcPr>
          <w:p w14:paraId="45303DFC" w14:textId="77777777" w:rsidR="008E67EA" w:rsidRPr="002B5B5B" w:rsidRDefault="008E67EA" w:rsidP="00B44A74">
            <w:pPr>
              <w:spacing w:line="280" w:lineRule="exact"/>
              <w:rPr>
                <w:rFonts w:cs="Arial"/>
                <w:sz w:val="20"/>
                <w:szCs w:val="20"/>
              </w:rPr>
            </w:pPr>
          </w:p>
        </w:tc>
      </w:tr>
      <w:tr w:rsidR="008E67EA" w:rsidRPr="002B5B5B" w14:paraId="2A75C214" w14:textId="77777777" w:rsidTr="00B44A74">
        <w:trPr>
          <w:jc w:val="center"/>
        </w:trPr>
        <w:tc>
          <w:tcPr>
            <w:tcW w:w="2415" w:type="dxa"/>
            <w:tcBorders>
              <w:top w:val="single" w:sz="4" w:space="0" w:color="auto"/>
              <w:left w:val="nil"/>
              <w:bottom w:val="single" w:sz="4" w:space="0" w:color="auto"/>
              <w:right w:val="nil"/>
            </w:tcBorders>
          </w:tcPr>
          <w:p w14:paraId="70DB4AF9"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7D827A6" w14:textId="77777777" w:rsidR="008E67EA" w:rsidRPr="002B5B5B" w:rsidRDefault="008E67EA" w:rsidP="00B44A74">
            <w:pPr>
              <w:spacing w:line="280" w:lineRule="exact"/>
              <w:rPr>
                <w:rFonts w:cs="Arial"/>
                <w:sz w:val="20"/>
                <w:szCs w:val="20"/>
              </w:rPr>
            </w:pPr>
          </w:p>
        </w:tc>
      </w:tr>
      <w:tr w:rsidR="008E67EA" w:rsidRPr="002B5B5B" w14:paraId="499371B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2A34AA4" w14:textId="77777777" w:rsidR="008E67EA" w:rsidRPr="00F5215F" w:rsidRDefault="008E67EA" w:rsidP="00B44A74">
            <w:pPr>
              <w:spacing w:line="280" w:lineRule="exact"/>
              <w:rPr>
                <w:rFonts w:cs="Arial"/>
                <w:sz w:val="20"/>
                <w:szCs w:val="20"/>
              </w:rPr>
            </w:pPr>
            <w:r w:rsidRPr="00F5215F">
              <w:rPr>
                <w:rFonts w:cs="Arial"/>
                <w:sz w:val="20"/>
                <w:szCs w:val="20"/>
              </w:rPr>
              <w:t>Precautions:</w:t>
            </w:r>
          </w:p>
        </w:tc>
        <w:tc>
          <w:tcPr>
            <w:tcW w:w="7755" w:type="dxa"/>
            <w:tcBorders>
              <w:top w:val="single" w:sz="4" w:space="0" w:color="auto"/>
              <w:left w:val="single" w:sz="4" w:space="0" w:color="auto"/>
              <w:bottom w:val="single" w:sz="4" w:space="0" w:color="auto"/>
              <w:right w:val="single" w:sz="4" w:space="0" w:color="auto"/>
            </w:tcBorders>
          </w:tcPr>
          <w:p w14:paraId="4D733318" w14:textId="77777777" w:rsidR="008E67EA" w:rsidRPr="002578CF" w:rsidRDefault="008E67EA" w:rsidP="00B44A74">
            <w:pPr>
              <w:spacing w:line="280" w:lineRule="exact"/>
              <w:rPr>
                <w:rFonts w:cs="Arial"/>
                <w:sz w:val="20"/>
                <w:szCs w:val="20"/>
                <w:bdr w:val="none" w:sz="0" w:space="0" w:color="auto" w:frame="1"/>
                <w:lang w:val="en-GB" w:eastAsia="en-AU"/>
              </w:rPr>
            </w:pPr>
            <w:r w:rsidRPr="002578CF">
              <w:rPr>
                <w:rFonts w:cs="Arial"/>
                <w:sz w:val="20"/>
                <w:szCs w:val="20"/>
                <w:bdr w:val="none" w:sz="0" w:space="0" w:color="auto" w:frame="1"/>
                <w:lang w:val="en-GB" w:eastAsia="en-AU"/>
              </w:rPr>
              <w:t>CAUTION</w:t>
            </w:r>
          </w:p>
          <w:p w14:paraId="577BFE6E" w14:textId="77777777" w:rsidR="008E67EA" w:rsidRPr="00A86A4B" w:rsidRDefault="008E67EA" w:rsidP="00B44A74">
            <w:pPr>
              <w:pBdr>
                <w:top w:val="nil"/>
                <w:left w:val="nil"/>
                <w:bottom w:val="nil"/>
                <w:right w:val="nil"/>
                <w:between w:val="nil"/>
                <w:bar w:val="nil"/>
              </w:pBdr>
              <w:spacing w:line="280" w:lineRule="exact"/>
              <w:rPr>
                <w:rFonts w:cs="Arial"/>
                <w:sz w:val="20"/>
                <w:szCs w:val="20"/>
                <w:bdr w:val="none" w:sz="0" w:space="0" w:color="auto" w:frame="1"/>
                <w:lang w:val="en-GB" w:eastAsia="en-AU"/>
              </w:rPr>
            </w:pPr>
            <w:r w:rsidRPr="00A86A4B">
              <w:rPr>
                <w:rFonts w:cs="Arial"/>
                <w:sz w:val="20"/>
                <w:szCs w:val="20"/>
                <w:bdr w:val="none" w:sz="0" w:space="0" w:color="auto" w:frame="1"/>
                <w:lang w:val="en-GB" w:eastAsia="en-AU"/>
              </w:rPr>
              <w:t>Caution should be used when baiting near areas where hunting of wildlife may occur. Careful consideration of bait placement is necessary to avoid secondary exposure from contaminated wildlife that may be consumed.</w:t>
            </w:r>
          </w:p>
          <w:p w14:paraId="4ADCA338" w14:textId="77777777" w:rsidR="008E67EA" w:rsidRDefault="008E67EA" w:rsidP="00B44A74">
            <w:pPr>
              <w:spacing w:line="280" w:lineRule="exact"/>
              <w:rPr>
                <w:rFonts w:cs="Arial"/>
                <w:sz w:val="20"/>
                <w:szCs w:val="20"/>
                <w:bdr w:val="none" w:sz="0" w:space="0" w:color="auto" w:frame="1"/>
                <w:lang w:val="en-GB" w:eastAsia="en-AU"/>
              </w:rPr>
            </w:pPr>
            <w:r w:rsidRPr="00A86A4B">
              <w:rPr>
                <w:rFonts w:cs="Arial"/>
                <w:sz w:val="20"/>
                <w:szCs w:val="20"/>
                <w:bdr w:val="none" w:sz="0" w:space="0" w:color="auto" w:frame="1"/>
                <w:lang w:val="en-GB" w:eastAsia="en-AU"/>
              </w:rPr>
              <w:t>DO NOT place bait in areas where there is a possibility of contaminating food, livestock feed or surfaces that come in direct contact with food or livestock feed.</w:t>
            </w:r>
          </w:p>
          <w:p w14:paraId="0D6E6C58" w14:textId="77777777" w:rsidR="008E67EA" w:rsidRDefault="008E67EA" w:rsidP="00B44A74">
            <w:pPr>
              <w:spacing w:line="280" w:lineRule="exact"/>
              <w:rPr>
                <w:rFonts w:cs="Arial"/>
                <w:sz w:val="20"/>
                <w:szCs w:val="20"/>
                <w:bdr w:val="none" w:sz="0" w:space="0" w:color="auto" w:frame="1"/>
                <w:lang w:val="en-GB" w:eastAsia="en-AU"/>
              </w:rPr>
            </w:pPr>
          </w:p>
          <w:p w14:paraId="603F2D01" w14:textId="77777777" w:rsidR="008E67EA" w:rsidRPr="00F84D7C" w:rsidRDefault="008E67EA" w:rsidP="00B44A74">
            <w:pPr>
              <w:pBdr>
                <w:top w:val="nil"/>
                <w:left w:val="nil"/>
                <w:bottom w:val="nil"/>
                <w:right w:val="nil"/>
                <w:between w:val="nil"/>
                <w:bar w:val="nil"/>
              </w:pBdr>
              <w:spacing w:line="280" w:lineRule="exact"/>
              <w:rPr>
                <w:rFonts w:cs="Arial"/>
                <w:sz w:val="20"/>
                <w:szCs w:val="20"/>
                <w:bdr w:val="none" w:sz="0" w:space="0" w:color="auto" w:frame="1"/>
                <w:lang w:val="en-GB" w:eastAsia="en-AU"/>
              </w:rPr>
            </w:pPr>
            <w:r w:rsidRPr="00F84D7C">
              <w:rPr>
                <w:rFonts w:cs="Arial"/>
                <w:sz w:val="20"/>
                <w:szCs w:val="20"/>
                <w:bdr w:val="none" w:sz="0" w:space="0" w:color="auto" w:frame="1"/>
                <w:lang w:val="en-GB" w:eastAsia="en-AU"/>
              </w:rPr>
              <w:t>PROTECTION OF LIVESTOCK AND WILDLIFE</w:t>
            </w:r>
          </w:p>
          <w:p w14:paraId="72AE72AD" w14:textId="77777777" w:rsidR="008E67EA" w:rsidRPr="00F84D7C" w:rsidRDefault="008E67EA" w:rsidP="00B44A74">
            <w:pPr>
              <w:spacing w:line="280" w:lineRule="exact"/>
              <w:rPr>
                <w:rFonts w:cs="Arial"/>
                <w:sz w:val="20"/>
                <w:szCs w:val="20"/>
                <w:bdr w:val="none" w:sz="0" w:space="0" w:color="auto" w:frame="1"/>
                <w:lang w:val="en-GB" w:eastAsia="en-AU"/>
              </w:rPr>
            </w:pPr>
            <w:r w:rsidRPr="00F84D7C">
              <w:rPr>
                <w:rFonts w:cs="Arial"/>
                <w:sz w:val="20"/>
                <w:szCs w:val="20"/>
                <w:bdr w:val="none" w:sz="0" w:space="0" w:color="auto" w:frame="1"/>
                <w:lang w:val="en-GB" w:eastAsia="en-AU"/>
              </w:rPr>
              <w:t>Hazardous to livestock, poultry and wildlife. DO NOT place baits in locations that are accessible to domestic animals, livestock, non-target native animals or birds.</w:t>
            </w:r>
          </w:p>
          <w:p w14:paraId="29724598" w14:textId="77777777" w:rsidR="008E67EA" w:rsidRPr="00F84D7C" w:rsidRDefault="008E67EA" w:rsidP="00B44A74">
            <w:pPr>
              <w:pBdr>
                <w:top w:val="nil"/>
                <w:left w:val="nil"/>
                <w:bottom w:val="nil"/>
                <w:right w:val="nil"/>
                <w:between w:val="nil"/>
                <w:bar w:val="nil"/>
              </w:pBdr>
              <w:spacing w:line="280" w:lineRule="exact"/>
              <w:rPr>
                <w:rFonts w:cs="Arial"/>
                <w:sz w:val="20"/>
                <w:szCs w:val="20"/>
                <w:bdr w:val="none" w:sz="0" w:space="0" w:color="auto" w:frame="1"/>
                <w:lang w:val="en-GB" w:eastAsia="en-AU"/>
              </w:rPr>
            </w:pPr>
            <w:r w:rsidRPr="00562145">
              <w:rPr>
                <w:rFonts w:cs="Arial"/>
                <w:sz w:val="20"/>
                <w:szCs w:val="20"/>
                <w:bdr w:val="none" w:sz="0" w:space="0" w:color="auto" w:frame="1"/>
                <w:lang w:val="en-GB" w:eastAsia="en-AU"/>
              </w:rPr>
              <w:t>Search for and dispose of dead rodents and slugs/snails in the infested area at each visit to prevent secondary poisoning. In case slugs/snails are present, move bait station to another location within the rodent infested site, away from slugs/snails. Dispose of slugs/snails, dead rodents and uneaten bait by wrapping in paper, placing in plastic bag and putting in garbage.</w:t>
            </w:r>
            <w:r w:rsidRPr="00F84D7C">
              <w:rPr>
                <w:rFonts w:cs="Arial"/>
                <w:sz w:val="20"/>
                <w:szCs w:val="20"/>
                <w:bdr w:val="none" w:sz="0" w:space="0" w:color="auto" w:frame="1"/>
                <w:lang w:val="en-GB" w:eastAsia="en-AU"/>
              </w:rPr>
              <w:t xml:space="preserve"> </w:t>
            </w:r>
          </w:p>
          <w:p w14:paraId="1FE49DAE" w14:textId="77777777" w:rsidR="008E67EA" w:rsidRDefault="008E67EA" w:rsidP="00B44A74">
            <w:pPr>
              <w:spacing w:line="280" w:lineRule="exact"/>
              <w:rPr>
                <w:rFonts w:cs="Arial"/>
                <w:sz w:val="20"/>
                <w:szCs w:val="20"/>
                <w:bdr w:val="none" w:sz="0" w:space="0" w:color="auto" w:frame="1"/>
                <w:lang w:val="en-GB" w:eastAsia="en-AU"/>
              </w:rPr>
            </w:pPr>
            <w:r w:rsidRPr="00F84D7C">
              <w:rPr>
                <w:rFonts w:cs="Arial"/>
                <w:sz w:val="20"/>
                <w:szCs w:val="20"/>
                <w:bdr w:val="none" w:sz="0" w:space="0" w:color="auto" w:frame="1"/>
                <w:lang w:val="en-GB" w:eastAsia="en-AU"/>
              </w:rPr>
              <w:t>DO NOT allow livestock or poultry to consume dead or moribund mice</w:t>
            </w:r>
            <w:r>
              <w:rPr>
                <w:rFonts w:cs="Arial"/>
                <w:sz w:val="20"/>
                <w:szCs w:val="20"/>
                <w:bdr w:val="none" w:sz="0" w:space="0" w:color="auto" w:frame="1"/>
                <w:lang w:val="en-GB" w:eastAsia="en-AU"/>
              </w:rPr>
              <w:t xml:space="preserve"> and rats</w:t>
            </w:r>
            <w:r w:rsidRPr="00F84D7C">
              <w:rPr>
                <w:rFonts w:cs="Arial"/>
                <w:sz w:val="20"/>
                <w:szCs w:val="20"/>
                <w:bdr w:val="none" w:sz="0" w:space="0" w:color="auto" w:frame="1"/>
                <w:lang w:val="en-GB" w:eastAsia="en-AU"/>
              </w:rPr>
              <w:t>. All dead or moribund animals and rodent faeces from baited rodents MUST be removed from areas accessible to livestock or poultry.</w:t>
            </w:r>
          </w:p>
          <w:p w14:paraId="2081DE4D" w14:textId="77777777" w:rsidR="008E67EA" w:rsidRDefault="008E67EA" w:rsidP="00B44A74">
            <w:pPr>
              <w:spacing w:line="280" w:lineRule="exact"/>
              <w:rPr>
                <w:rFonts w:cs="Arial"/>
                <w:sz w:val="20"/>
                <w:szCs w:val="20"/>
                <w:bdr w:val="none" w:sz="0" w:space="0" w:color="auto" w:frame="1"/>
                <w:lang w:val="en-GB" w:eastAsia="en-AU"/>
              </w:rPr>
            </w:pPr>
            <w:bookmarkStart w:id="352" w:name="_Hlk212728019"/>
            <w:r w:rsidRPr="00D269D9">
              <w:rPr>
                <w:rFonts w:cs="Arial"/>
                <w:sz w:val="20"/>
                <w:szCs w:val="20"/>
                <w:bdr w:val="none" w:sz="0" w:space="0" w:color="auto" w:frame="1"/>
                <w:lang w:val="en-GB" w:eastAsia="en-AU"/>
              </w:rPr>
              <w:lastRenderedPageBreak/>
              <w:t>DO NOT let cats, dogs or</w:t>
            </w:r>
            <w:r>
              <w:rPr>
                <w:rFonts w:cs="Arial"/>
                <w:sz w:val="20"/>
                <w:szCs w:val="20"/>
                <w:bdr w:val="none" w:sz="0" w:space="0" w:color="auto" w:frame="1"/>
                <w:lang w:val="en-GB" w:eastAsia="en-AU"/>
              </w:rPr>
              <w:t xml:space="preserve"> </w:t>
            </w:r>
            <w:r w:rsidRPr="00D269D9">
              <w:rPr>
                <w:rFonts w:cs="Arial"/>
                <w:sz w:val="20"/>
                <w:szCs w:val="20"/>
                <w:bdr w:val="none" w:sz="0" w:space="0" w:color="auto" w:frame="1"/>
                <w:lang w:val="en-GB" w:eastAsia="en-AU"/>
              </w:rPr>
              <w:t>non-target animals eat poisoned mice.</w:t>
            </w:r>
          </w:p>
          <w:p w14:paraId="3139EB64" w14:textId="77777777" w:rsidR="008E67EA" w:rsidRDefault="008E67EA" w:rsidP="00B44A74">
            <w:pPr>
              <w:spacing w:line="280" w:lineRule="exact"/>
              <w:rPr>
                <w:rFonts w:cs="Arial"/>
                <w:sz w:val="20"/>
                <w:szCs w:val="20"/>
                <w:bdr w:val="none" w:sz="0" w:space="0" w:color="auto" w:frame="1"/>
                <w:lang w:eastAsia="en-AU"/>
              </w:rPr>
            </w:pPr>
            <w:r w:rsidRPr="00D269D9">
              <w:rPr>
                <w:rFonts w:cs="Arial"/>
                <w:sz w:val="20"/>
                <w:szCs w:val="20"/>
                <w:bdr w:val="none" w:sz="0" w:space="0" w:color="auto" w:frame="1"/>
                <w:lang w:eastAsia="en-AU"/>
              </w:rPr>
              <w:t>DO NOT use this product to control native animals.</w:t>
            </w:r>
          </w:p>
          <w:p w14:paraId="160836BE" w14:textId="77777777" w:rsidR="008E67EA" w:rsidRDefault="008E67EA" w:rsidP="00B44A74">
            <w:pPr>
              <w:spacing w:line="280" w:lineRule="exact"/>
              <w:rPr>
                <w:rFonts w:cs="Arial"/>
                <w:sz w:val="20"/>
                <w:szCs w:val="20"/>
                <w:bdr w:val="none" w:sz="0" w:space="0" w:color="auto" w:frame="1"/>
                <w:lang w:val="en-GB" w:eastAsia="en-AU"/>
              </w:rPr>
            </w:pPr>
          </w:p>
          <w:bookmarkEnd w:id="352"/>
          <w:p w14:paraId="5428E194" w14:textId="77777777" w:rsidR="008E67EA" w:rsidRDefault="008E67EA" w:rsidP="00B44A74">
            <w:pPr>
              <w:spacing w:line="280" w:lineRule="exact"/>
              <w:rPr>
                <w:rFonts w:cs="Arial"/>
                <w:sz w:val="20"/>
                <w:szCs w:val="20"/>
                <w:bdr w:val="none" w:sz="0" w:space="0" w:color="auto" w:frame="1"/>
                <w:lang w:val="en-GB" w:eastAsia="en-AU"/>
              </w:rPr>
            </w:pPr>
            <w:r w:rsidRPr="00A86A4B">
              <w:rPr>
                <w:rFonts w:cs="Arial"/>
                <w:sz w:val="20"/>
                <w:szCs w:val="20"/>
                <w:bdr w:val="none" w:sz="0" w:space="0" w:color="auto" w:frame="1"/>
                <w:lang w:val="en-GB" w:eastAsia="en-AU"/>
              </w:rPr>
              <w:t>PROTECTION OF FISH, CRUSTACEANS AND ENVIRONMENT</w:t>
            </w:r>
          </w:p>
          <w:p w14:paraId="3F62BA57" w14:textId="77777777" w:rsidR="008E67EA" w:rsidRPr="002578CF" w:rsidRDefault="008E67EA" w:rsidP="00B44A74">
            <w:pPr>
              <w:spacing w:line="280" w:lineRule="exact"/>
              <w:rPr>
                <w:rFonts w:cs="Arial"/>
                <w:sz w:val="20"/>
                <w:szCs w:val="20"/>
                <w:bdr w:val="none" w:sz="0" w:space="0" w:color="auto" w:frame="1"/>
                <w:lang w:val="en-GB" w:eastAsia="en-AU"/>
              </w:rPr>
            </w:pPr>
            <w:r w:rsidRPr="00A86A4B">
              <w:rPr>
                <w:rFonts w:cs="Arial"/>
                <w:sz w:val="20"/>
                <w:szCs w:val="20"/>
                <w:bdr w:val="none" w:sz="0" w:space="0" w:color="auto" w:frame="1"/>
                <w:lang w:val="en-GB" w:eastAsia="en-AU"/>
              </w:rPr>
              <w:t>Very toxic to aquatic life.</w:t>
            </w:r>
            <w:r>
              <w:rPr>
                <w:rFonts w:cs="Arial"/>
                <w:sz w:val="20"/>
                <w:szCs w:val="20"/>
                <w:bdr w:val="none" w:sz="0" w:space="0" w:color="auto" w:frame="1"/>
                <w:lang w:val="en-GB" w:eastAsia="en-AU"/>
              </w:rPr>
              <w:t xml:space="preserve"> </w:t>
            </w:r>
            <w:r w:rsidRPr="00A86A4B">
              <w:rPr>
                <w:rFonts w:cs="Arial"/>
                <w:sz w:val="20"/>
                <w:szCs w:val="20"/>
                <w:bdr w:val="none" w:sz="0" w:space="0" w:color="auto" w:frame="1"/>
                <w:lang w:val="en-GB" w:eastAsia="en-AU"/>
              </w:rPr>
              <w:t>DO NOT contaminate wetlands or watercourses with this product or used containers. Place the bait stations in areas not liable to flooding. When placing bait stations close to water drainage systems, ensure that bait contact with water is avoided.</w:t>
            </w:r>
          </w:p>
        </w:tc>
      </w:tr>
      <w:tr w:rsidR="008E67EA" w:rsidRPr="002B5B5B" w14:paraId="79DDECAF" w14:textId="77777777" w:rsidTr="00B44A74">
        <w:trPr>
          <w:jc w:val="center"/>
        </w:trPr>
        <w:tc>
          <w:tcPr>
            <w:tcW w:w="2415" w:type="dxa"/>
            <w:tcBorders>
              <w:top w:val="single" w:sz="4" w:space="0" w:color="auto"/>
              <w:left w:val="nil"/>
              <w:bottom w:val="single" w:sz="4" w:space="0" w:color="auto"/>
              <w:right w:val="nil"/>
            </w:tcBorders>
          </w:tcPr>
          <w:p w14:paraId="387DAE8E"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89E3ED9" w14:textId="77777777" w:rsidR="008E67EA" w:rsidRPr="002B5B5B" w:rsidRDefault="008E67EA" w:rsidP="00B44A74">
            <w:pPr>
              <w:spacing w:line="280" w:lineRule="exact"/>
              <w:rPr>
                <w:rFonts w:cs="Arial"/>
                <w:sz w:val="20"/>
                <w:szCs w:val="20"/>
              </w:rPr>
            </w:pPr>
          </w:p>
        </w:tc>
      </w:tr>
      <w:tr w:rsidR="008E67EA" w:rsidRPr="002B5B5B" w14:paraId="7CD5788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1CDFE51" w14:textId="77777777" w:rsidR="008E67EA" w:rsidRPr="00F5215F" w:rsidRDefault="008E67EA" w:rsidP="00B44A74">
            <w:pPr>
              <w:spacing w:line="280" w:lineRule="exact"/>
              <w:rPr>
                <w:rFonts w:cs="Arial"/>
                <w:sz w:val="20"/>
                <w:szCs w:val="20"/>
              </w:rPr>
            </w:pPr>
            <w:r w:rsidRPr="00F5215F">
              <w:rPr>
                <w:rFonts w:cs="Arial"/>
                <w:sz w:val="20"/>
                <w:szCs w:val="20"/>
              </w:rPr>
              <w:t>Protectio</w:t>
            </w:r>
            <w:r>
              <w:rPr>
                <w:rFonts w:cs="Arial"/>
                <w:sz w:val="20"/>
                <w:szCs w:val="20"/>
              </w:rPr>
              <w:t>ns</w:t>
            </w:r>
            <w:r w:rsidRPr="00F5215F">
              <w:rPr>
                <w:rFonts w:cs="Arial"/>
                <w:sz w:val="20"/>
                <w:szCs w:val="20"/>
              </w:rPr>
              <w:t>:</w:t>
            </w:r>
          </w:p>
        </w:tc>
        <w:tc>
          <w:tcPr>
            <w:tcW w:w="7755" w:type="dxa"/>
            <w:tcBorders>
              <w:top w:val="single" w:sz="4" w:space="0" w:color="auto"/>
              <w:left w:val="single" w:sz="4" w:space="0" w:color="auto"/>
              <w:bottom w:val="single" w:sz="4" w:space="0" w:color="auto"/>
              <w:right w:val="single" w:sz="4" w:space="0" w:color="auto"/>
            </w:tcBorders>
          </w:tcPr>
          <w:p w14:paraId="66A2564B" w14:textId="77777777" w:rsidR="008E67EA" w:rsidRPr="002B5B5B" w:rsidRDefault="008E67EA" w:rsidP="00B44A74">
            <w:pPr>
              <w:spacing w:line="280" w:lineRule="exact"/>
              <w:rPr>
                <w:rFonts w:cs="Arial"/>
                <w:sz w:val="20"/>
                <w:szCs w:val="20"/>
              </w:rPr>
            </w:pPr>
          </w:p>
        </w:tc>
      </w:tr>
      <w:tr w:rsidR="008E67EA" w:rsidRPr="002B5B5B" w14:paraId="31F624CF" w14:textId="77777777" w:rsidTr="00B44A74">
        <w:trPr>
          <w:jc w:val="center"/>
        </w:trPr>
        <w:tc>
          <w:tcPr>
            <w:tcW w:w="2415" w:type="dxa"/>
            <w:tcBorders>
              <w:top w:val="single" w:sz="4" w:space="0" w:color="auto"/>
              <w:left w:val="nil"/>
              <w:bottom w:val="single" w:sz="4" w:space="0" w:color="auto"/>
              <w:right w:val="nil"/>
            </w:tcBorders>
          </w:tcPr>
          <w:p w14:paraId="247DA17F"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2A93F83" w14:textId="77777777" w:rsidR="008E67EA" w:rsidRPr="002B5B5B" w:rsidRDefault="008E67EA" w:rsidP="00B44A74">
            <w:pPr>
              <w:spacing w:line="280" w:lineRule="exact"/>
              <w:rPr>
                <w:rFonts w:cs="Arial"/>
                <w:sz w:val="20"/>
                <w:szCs w:val="20"/>
              </w:rPr>
            </w:pPr>
          </w:p>
        </w:tc>
      </w:tr>
      <w:tr w:rsidR="008E67EA" w:rsidRPr="002B5B5B" w14:paraId="347FB22E" w14:textId="77777777" w:rsidTr="00B44A74">
        <w:trPr>
          <w:trHeight w:val="822"/>
          <w:jc w:val="center"/>
        </w:trPr>
        <w:tc>
          <w:tcPr>
            <w:tcW w:w="2415" w:type="dxa"/>
            <w:tcBorders>
              <w:top w:val="single" w:sz="4" w:space="0" w:color="auto"/>
              <w:left w:val="single" w:sz="4" w:space="0" w:color="auto"/>
              <w:bottom w:val="single" w:sz="4" w:space="0" w:color="auto"/>
              <w:right w:val="single" w:sz="4" w:space="0" w:color="auto"/>
            </w:tcBorders>
            <w:hideMark/>
          </w:tcPr>
          <w:p w14:paraId="4AEEF716" w14:textId="77777777" w:rsidR="008E67EA" w:rsidRPr="00F5215F" w:rsidRDefault="008E67EA" w:rsidP="00B44A74">
            <w:pPr>
              <w:spacing w:line="280" w:lineRule="exact"/>
              <w:rPr>
                <w:rFonts w:cs="Arial"/>
                <w:sz w:val="20"/>
                <w:szCs w:val="20"/>
              </w:rPr>
            </w:pPr>
            <w:r w:rsidRPr="00F5215F">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4C89E853" w14:textId="77777777" w:rsidR="008E67EA" w:rsidRPr="00562145" w:rsidRDefault="008E67EA" w:rsidP="00B44A74">
            <w:pPr>
              <w:spacing w:line="280" w:lineRule="exact"/>
              <w:rPr>
                <w:rFonts w:cs="Arial"/>
                <w:sz w:val="20"/>
                <w:szCs w:val="20"/>
                <w:bdr w:val="none" w:sz="0" w:space="0" w:color="auto" w:frame="1"/>
                <w:lang w:val="en-GB" w:eastAsia="en-AU"/>
              </w:rPr>
            </w:pPr>
            <w:r w:rsidRPr="00562145">
              <w:rPr>
                <w:rFonts w:cs="Arial"/>
                <w:sz w:val="20"/>
                <w:szCs w:val="20"/>
                <w:bdr w:val="none" w:sz="0" w:space="0" w:color="auto" w:frame="1"/>
                <w:lang w:val="en-GB" w:eastAsia="en-AU"/>
              </w:rPr>
              <w:t>STORAGE AND DISPOSAL</w:t>
            </w:r>
          </w:p>
          <w:p w14:paraId="61A2901E" w14:textId="77777777" w:rsidR="008E67EA" w:rsidRPr="002B5B5B" w:rsidRDefault="008E67EA" w:rsidP="00B44A74">
            <w:pPr>
              <w:spacing w:line="280" w:lineRule="exact"/>
              <w:rPr>
                <w:rFonts w:cs="Arial"/>
                <w:sz w:val="20"/>
                <w:szCs w:val="20"/>
              </w:rPr>
            </w:pPr>
            <w:r w:rsidRPr="00562145">
              <w:rPr>
                <w:rFonts w:cs="Arial"/>
                <w:sz w:val="20"/>
                <w:szCs w:val="20"/>
                <w:bdr w:val="none" w:sz="0" w:space="0" w:color="auto" w:frame="1"/>
                <w:lang w:val="en-GB" w:eastAsia="en-AU"/>
              </w:rPr>
              <w:t>Store in the closed, original container in a cool, dry, place out of reach of children. D</w:t>
            </w:r>
            <w:r>
              <w:rPr>
                <w:rFonts w:cs="Arial"/>
                <w:sz w:val="20"/>
                <w:szCs w:val="20"/>
                <w:bdr w:val="none" w:sz="0" w:space="0" w:color="auto" w:frame="1"/>
                <w:lang w:val="en-GB" w:eastAsia="en-AU"/>
              </w:rPr>
              <w:t>O NOT</w:t>
            </w:r>
            <w:r w:rsidRPr="00562145">
              <w:rPr>
                <w:rFonts w:cs="Arial"/>
                <w:sz w:val="20"/>
                <w:szCs w:val="20"/>
                <w:bdr w:val="none" w:sz="0" w:space="0" w:color="auto" w:frame="1"/>
                <w:lang w:val="en-GB" w:eastAsia="en-AU"/>
              </w:rPr>
              <w:t xml:space="preserve"> store in direct sunlight.</w:t>
            </w:r>
            <w:r>
              <w:rPr>
                <w:rFonts w:cs="Arial"/>
                <w:sz w:val="20"/>
                <w:szCs w:val="20"/>
                <w:bdr w:val="none" w:sz="0" w:space="0" w:color="auto" w:frame="1"/>
                <w:lang w:val="en-GB" w:eastAsia="en-AU"/>
              </w:rPr>
              <w:t xml:space="preserve"> </w:t>
            </w:r>
            <w:r w:rsidRPr="00CC1C6D">
              <w:rPr>
                <w:rFonts w:cs="Arial"/>
                <w:sz w:val="20"/>
                <w:szCs w:val="20"/>
              </w:rPr>
              <w:t>Dispose of empty containers</w:t>
            </w:r>
            <w:r>
              <w:rPr>
                <w:rFonts w:cs="Arial"/>
                <w:sz w:val="20"/>
                <w:szCs w:val="20"/>
              </w:rPr>
              <w:t xml:space="preserve"> and unused product</w:t>
            </w:r>
            <w:r w:rsidRPr="00CC1C6D">
              <w:rPr>
                <w:rFonts w:cs="Arial"/>
                <w:sz w:val="20"/>
                <w:szCs w:val="20"/>
              </w:rPr>
              <w:t xml:space="preserve"> by wrapping in paper placing in plastic bag and putting in garbage.</w:t>
            </w:r>
          </w:p>
        </w:tc>
      </w:tr>
      <w:tr w:rsidR="008E67EA" w:rsidRPr="002B5B5B" w14:paraId="27D5A8D8" w14:textId="77777777" w:rsidTr="00B44A74">
        <w:trPr>
          <w:jc w:val="center"/>
        </w:trPr>
        <w:tc>
          <w:tcPr>
            <w:tcW w:w="2415" w:type="dxa"/>
            <w:tcBorders>
              <w:top w:val="single" w:sz="4" w:space="0" w:color="auto"/>
              <w:left w:val="nil"/>
              <w:bottom w:val="single" w:sz="4" w:space="0" w:color="auto"/>
              <w:right w:val="nil"/>
            </w:tcBorders>
          </w:tcPr>
          <w:p w14:paraId="21E35C0A"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A4EB07E" w14:textId="77777777" w:rsidR="008E67EA" w:rsidRPr="002B5B5B" w:rsidRDefault="008E67EA" w:rsidP="00B44A74">
            <w:pPr>
              <w:spacing w:line="280" w:lineRule="exact"/>
              <w:rPr>
                <w:rFonts w:cs="Arial"/>
                <w:sz w:val="20"/>
                <w:szCs w:val="20"/>
              </w:rPr>
            </w:pPr>
          </w:p>
        </w:tc>
      </w:tr>
      <w:tr w:rsidR="008E67EA" w:rsidRPr="002B5B5B" w14:paraId="332175D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ABB1C7E" w14:textId="77777777" w:rsidR="008E67EA" w:rsidRPr="00F5215F" w:rsidRDefault="008E67EA" w:rsidP="00B44A74">
            <w:pPr>
              <w:spacing w:line="280" w:lineRule="exact"/>
              <w:rPr>
                <w:rFonts w:cs="Arial"/>
                <w:sz w:val="20"/>
                <w:szCs w:val="20"/>
              </w:rPr>
            </w:pPr>
            <w:r w:rsidRPr="00F5215F">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0740E631" w14:textId="77777777" w:rsidR="008E67EA" w:rsidRPr="002578CF" w:rsidRDefault="008E67EA" w:rsidP="00B44A74">
            <w:pPr>
              <w:spacing w:line="280" w:lineRule="exact"/>
              <w:rPr>
                <w:rFonts w:cs="Arial"/>
                <w:sz w:val="20"/>
                <w:szCs w:val="20"/>
                <w:bdr w:val="none" w:sz="0" w:space="0" w:color="auto" w:frame="1"/>
                <w:lang w:val="en-GB" w:eastAsia="en-AU"/>
              </w:rPr>
            </w:pPr>
            <w:r w:rsidRPr="002578CF">
              <w:rPr>
                <w:rFonts w:cs="Arial"/>
                <w:sz w:val="20"/>
                <w:szCs w:val="20"/>
                <w:bdr w:val="none" w:sz="0" w:space="0" w:color="auto" w:frame="1"/>
                <w:lang w:val="en-GB" w:eastAsia="en-AU"/>
              </w:rPr>
              <w:t>SAFETY DIRECTIONS</w:t>
            </w:r>
          </w:p>
          <w:p w14:paraId="5FCBA62A" w14:textId="77777777" w:rsidR="008E67EA" w:rsidRPr="002578CF" w:rsidRDefault="008E67EA" w:rsidP="00B44A74">
            <w:pPr>
              <w:spacing w:line="280" w:lineRule="exact"/>
              <w:rPr>
                <w:rFonts w:cs="Arial"/>
                <w:sz w:val="20"/>
                <w:szCs w:val="20"/>
                <w:bdr w:val="none" w:sz="0" w:space="0" w:color="auto" w:frame="1"/>
                <w:lang w:val="en-GB" w:eastAsia="en-AU"/>
              </w:rPr>
            </w:pPr>
            <w:r w:rsidRPr="002578CF">
              <w:rPr>
                <w:rFonts w:cs="Arial"/>
                <w:sz w:val="20"/>
                <w:szCs w:val="20"/>
                <w:bdr w:val="none" w:sz="0" w:space="0" w:color="auto" w:frame="1"/>
                <w:lang w:val="en-GB" w:eastAsia="en-AU"/>
              </w:rPr>
              <w:t>Repeated minor exposure may have a cumulative poisoning effect. Will irritate the skin. May irritate eyes. Avoid contact with eyes and skin. D</w:t>
            </w:r>
            <w:r>
              <w:rPr>
                <w:rFonts w:cs="Arial"/>
                <w:sz w:val="20"/>
                <w:szCs w:val="20"/>
                <w:bdr w:val="none" w:sz="0" w:space="0" w:color="auto" w:frame="1"/>
                <w:lang w:val="en-GB" w:eastAsia="en-AU"/>
              </w:rPr>
              <w:t>O NOT</w:t>
            </w:r>
            <w:r w:rsidRPr="002578CF">
              <w:rPr>
                <w:rFonts w:cs="Arial"/>
                <w:sz w:val="20"/>
                <w:szCs w:val="20"/>
                <w:bdr w:val="none" w:sz="0" w:space="0" w:color="auto" w:frame="1"/>
                <w:lang w:val="en-GB" w:eastAsia="en-AU"/>
              </w:rPr>
              <w:t xml:space="preserve"> touch bait, use scoop or measure. When using the product wear disposable gloves. If on skin and after each baiting, wash thoroughly with soap and water.</w:t>
            </w:r>
          </w:p>
          <w:p w14:paraId="22B27439" w14:textId="61FF8C0D" w:rsidR="008E67EA" w:rsidRPr="002578CF" w:rsidRDefault="008E67EA" w:rsidP="00B44A74">
            <w:pPr>
              <w:spacing w:line="280" w:lineRule="exact"/>
              <w:rPr>
                <w:rFonts w:cs="Arial"/>
                <w:sz w:val="20"/>
                <w:szCs w:val="20"/>
                <w:bdr w:val="none" w:sz="0" w:space="0" w:color="auto" w:frame="1"/>
                <w:lang w:val="en-GB" w:eastAsia="en-AU"/>
              </w:rPr>
            </w:pPr>
            <w:r w:rsidRPr="00A86A4B">
              <w:rPr>
                <w:rFonts w:cs="Arial"/>
                <w:sz w:val="20"/>
                <w:szCs w:val="20"/>
                <w:bdr w:val="none" w:sz="0" w:space="0" w:color="auto" w:frame="1"/>
                <w:lang w:val="en-GB" w:eastAsia="en-AU"/>
              </w:rPr>
              <w:t>During cleanup and disposal operations of bait and bait stations, wear a single layer of clothing and disposable gloves. Wear disposable gloves when handling rodent carcasses. Wash clothes after performing re-handling activities.</w:t>
            </w:r>
          </w:p>
        </w:tc>
      </w:tr>
      <w:tr w:rsidR="008E67EA" w:rsidRPr="002B5B5B" w14:paraId="6B5FF3A4" w14:textId="77777777" w:rsidTr="00B44A74">
        <w:trPr>
          <w:jc w:val="center"/>
        </w:trPr>
        <w:tc>
          <w:tcPr>
            <w:tcW w:w="2415" w:type="dxa"/>
            <w:tcBorders>
              <w:top w:val="single" w:sz="4" w:space="0" w:color="auto"/>
              <w:left w:val="nil"/>
              <w:bottom w:val="single" w:sz="4" w:space="0" w:color="auto"/>
              <w:right w:val="nil"/>
            </w:tcBorders>
          </w:tcPr>
          <w:p w14:paraId="25B194DD"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8A8B622" w14:textId="77777777" w:rsidR="008E67EA" w:rsidRPr="002B5B5B" w:rsidRDefault="008E67EA" w:rsidP="00B44A74">
            <w:pPr>
              <w:spacing w:line="280" w:lineRule="exact"/>
              <w:rPr>
                <w:rFonts w:cs="Arial"/>
                <w:sz w:val="20"/>
                <w:szCs w:val="20"/>
              </w:rPr>
            </w:pPr>
          </w:p>
        </w:tc>
      </w:tr>
      <w:tr w:rsidR="008E67EA" w:rsidRPr="002B5B5B" w14:paraId="37CB200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B12CABF" w14:textId="77777777" w:rsidR="008E67EA" w:rsidRPr="00F5215F" w:rsidRDefault="008E67EA" w:rsidP="00B44A74">
            <w:pPr>
              <w:spacing w:line="280" w:lineRule="exact"/>
              <w:rPr>
                <w:rFonts w:cs="Arial"/>
                <w:sz w:val="20"/>
                <w:szCs w:val="20"/>
              </w:rPr>
            </w:pPr>
            <w:r w:rsidRPr="00F5215F">
              <w:rPr>
                <w:rFonts w:cs="Arial"/>
                <w:sz w:val="20"/>
                <w:szCs w:val="20"/>
              </w:rPr>
              <w:t>First Aid Instructions:</w:t>
            </w:r>
          </w:p>
        </w:tc>
        <w:tc>
          <w:tcPr>
            <w:tcW w:w="7755" w:type="dxa"/>
            <w:tcBorders>
              <w:top w:val="single" w:sz="4" w:space="0" w:color="auto"/>
              <w:left w:val="single" w:sz="4" w:space="0" w:color="auto"/>
              <w:bottom w:val="single" w:sz="4" w:space="0" w:color="auto"/>
              <w:right w:val="single" w:sz="4" w:space="0" w:color="auto"/>
            </w:tcBorders>
          </w:tcPr>
          <w:p w14:paraId="7AF8D813" w14:textId="77777777" w:rsidR="008E67EA" w:rsidRPr="002578CF" w:rsidRDefault="008E67EA" w:rsidP="00B44A74">
            <w:pPr>
              <w:spacing w:line="280" w:lineRule="exact"/>
              <w:rPr>
                <w:rFonts w:cs="Arial"/>
                <w:sz w:val="20"/>
                <w:szCs w:val="20"/>
                <w:bdr w:val="none" w:sz="0" w:space="0" w:color="auto" w:frame="1"/>
                <w:lang w:val="en-GB" w:eastAsia="en-AU"/>
              </w:rPr>
            </w:pPr>
            <w:r w:rsidRPr="002578CF">
              <w:rPr>
                <w:rFonts w:cs="Arial"/>
                <w:sz w:val="20"/>
                <w:szCs w:val="20"/>
                <w:bdr w:val="none" w:sz="0" w:space="0" w:color="auto" w:frame="1"/>
                <w:lang w:val="en-GB" w:eastAsia="en-AU"/>
              </w:rPr>
              <w:t>FIRST AID INSTRUCTIONS</w:t>
            </w:r>
          </w:p>
          <w:p w14:paraId="3786572D" w14:textId="77777777" w:rsidR="008E67EA" w:rsidRPr="002B5B5B" w:rsidRDefault="008E67EA" w:rsidP="00B44A74">
            <w:pPr>
              <w:spacing w:line="280" w:lineRule="exact"/>
              <w:rPr>
                <w:rFonts w:cs="Arial"/>
                <w:sz w:val="20"/>
                <w:szCs w:val="20"/>
              </w:rPr>
            </w:pPr>
            <w:r w:rsidRPr="002578CF">
              <w:rPr>
                <w:rFonts w:cs="Arial"/>
                <w:sz w:val="20"/>
                <w:szCs w:val="20"/>
                <w:bdr w:val="none" w:sz="0" w:space="0" w:color="auto" w:frame="1"/>
                <w:lang w:val="en-GB" w:eastAsia="en-AU"/>
              </w:rPr>
              <w:t>If poisoning occurs, contact a doctor or Poisons Information Centre. Phone Australia 13 11 26, New Zealand 0800 764 766. Vitamin K1 (Phytomenadione) is antidotal.</w:t>
            </w:r>
          </w:p>
        </w:tc>
      </w:tr>
      <w:tr w:rsidR="008E67EA" w:rsidRPr="002B5B5B" w14:paraId="516287A1" w14:textId="77777777" w:rsidTr="00B44A74">
        <w:trPr>
          <w:jc w:val="center"/>
        </w:trPr>
        <w:tc>
          <w:tcPr>
            <w:tcW w:w="2415" w:type="dxa"/>
            <w:tcBorders>
              <w:top w:val="single" w:sz="4" w:space="0" w:color="auto"/>
              <w:left w:val="nil"/>
              <w:bottom w:val="single" w:sz="4" w:space="0" w:color="auto"/>
              <w:right w:val="nil"/>
            </w:tcBorders>
          </w:tcPr>
          <w:p w14:paraId="0697AB38"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390498E" w14:textId="77777777" w:rsidR="008E67EA" w:rsidRPr="002B5B5B" w:rsidRDefault="008E67EA" w:rsidP="00B44A74">
            <w:pPr>
              <w:spacing w:line="280" w:lineRule="exact"/>
              <w:rPr>
                <w:rFonts w:cs="Arial"/>
                <w:sz w:val="20"/>
                <w:szCs w:val="20"/>
              </w:rPr>
            </w:pPr>
          </w:p>
        </w:tc>
      </w:tr>
      <w:tr w:rsidR="008E67EA" w:rsidRPr="002B5B5B" w14:paraId="7B71E06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BFA0A6C" w14:textId="77777777" w:rsidR="008E67EA" w:rsidRPr="00F5215F" w:rsidRDefault="008E67EA" w:rsidP="00B44A74">
            <w:pPr>
              <w:spacing w:line="280" w:lineRule="exact"/>
              <w:rPr>
                <w:rFonts w:cs="Arial"/>
                <w:sz w:val="20"/>
                <w:szCs w:val="20"/>
              </w:rPr>
            </w:pPr>
            <w:r w:rsidRPr="00F5215F">
              <w:rPr>
                <w:rFonts w:cs="Arial"/>
                <w:sz w:val="20"/>
                <w:szCs w:val="20"/>
              </w:rPr>
              <w:t>First Aid Warnings:</w:t>
            </w:r>
          </w:p>
        </w:tc>
        <w:tc>
          <w:tcPr>
            <w:tcW w:w="7755" w:type="dxa"/>
            <w:tcBorders>
              <w:top w:val="single" w:sz="4" w:space="0" w:color="auto"/>
              <w:left w:val="single" w:sz="4" w:space="0" w:color="auto"/>
              <w:bottom w:val="single" w:sz="4" w:space="0" w:color="auto"/>
              <w:right w:val="single" w:sz="4" w:space="0" w:color="auto"/>
            </w:tcBorders>
          </w:tcPr>
          <w:p w14:paraId="526EB064" w14:textId="77777777" w:rsidR="008E67EA" w:rsidRPr="00CA030D" w:rsidRDefault="008E67EA" w:rsidP="00B44A74">
            <w:pPr>
              <w:spacing w:line="280" w:lineRule="exact"/>
              <w:rPr>
                <w:rFonts w:cs="Arial"/>
                <w:color w:val="7030A0"/>
                <w:sz w:val="20"/>
                <w:szCs w:val="20"/>
              </w:rPr>
            </w:pPr>
          </w:p>
        </w:tc>
      </w:tr>
    </w:tbl>
    <w:p w14:paraId="36D0A95E" w14:textId="77777777" w:rsidR="008E67EA" w:rsidRDefault="008E67EA" w:rsidP="008E67EA">
      <w:pPr>
        <w:rPr>
          <w:rFonts w:cs="Arial"/>
          <w:b/>
          <w:bCs/>
          <w:sz w:val="20"/>
          <w:szCs w:val="20"/>
        </w:rPr>
      </w:pPr>
      <w:r>
        <w:rPr>
          <w:rFonts w:cs="Arial"/>
          <w:b/>
          <w:bCs/>
          <w:sz w:val="20"/>
          <w:szCs w:val="20"/>
        </w:rPr>
        <w:br w:type="page"/>
      </w:r>
    </w:p>
    <w:p w14:paraId="7DFE5968" w14:textId="77777777" w:rsidR="008E67EA" w:rsidRDefault="008E67EA" w:rsidP="008E67EA">
      <w:pPr>
        <w:rPr>
          <w:rFonts w:cs="Arial"/>
          <w:b/>
          <w:bCs/>
          <w:sz w:val="20"/>
          <w:szCs w:val="20"/>
        </w:rPr>
      </w:pPr>
      <w:r w:rsidRPr="00FF36BF">
        <w:rPr>
          <w:rFonts w:cs="Arial"/>
          <w:b/>
          <w:bCs/>
          <w:sz w:val="20"/>
          <w:szCs w:val="20"/>
        </w:rPr>
        <w:lastRenderedPageBreak/>
        <w:t>HOW TO USE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181"/>
        <w:gridCol w:w="1842"/>
        <w:gridCol w:w="3897"/>
      </w:tblGrid>
      <w:tr w:rsidR="008E67EA" w:rsidRPr="00FF36BF" w14:paraId="7C0E2AE8" w14:textId="77777777" w:rsidTr="00604F9D">
        <w:trPr>
          <w:trHeight w:val="340"/>
        </w:trPr>
        <w:tc>
          <w:tcPr>
            <w:tcW w:w="1080" w:type="dxa"/>
          </w:tcPr>
          <w:p w14:paraId="21B8D7F4" w14:textId="77777777" w:rsidR="008E67EA" w:rsidRPr="00246206" w:rsidRDefault="008E67EA" w:rsidP="00B44A74">
            <w:pPr>
              <w:pStyle w:val="TableParagraph"/>
              <w:widowControl/>
              <w:adjustRightInd w:val="0"/>
              <w:spacing w:before="61"/>
              <w:ind w:left="0"/>
              <w:rPr>
                <w:rFonts w:eastAsiaTheme="minorHAnsi"/>
                <w:b/>
                <w:bCs/>
                <w:sz w:val="20"/>
                <w:szCs w:val="20"/>
                <w:lang w:val="en-AU"/>
              </w:rPr>
            </w:pPr>
            <w:r w:rsidRPr="00246206">
              <w:rPr>
                <w:rFonts w:eastAsiaTheme="minorHAnsi"/>
                <w:b/>
                <w:bCs/>
                <w:sz w:val="20"/>
                <w:szCs w:val="20"/>
                <w:lang w:val="en-AU"/>
              </w:rPr>
              <w:t>PEST</w:t>
            </w:r>
          </w:p>
        </w:tc>
        <w:tc>
          <w:tcPr>
            <w:tcW w:w="2181" w:type="dxa"/>
          </w:tcPr>
          <w:p w14:paraId="4B417824" w14:textId="77777777" w:rsidR="008E67EA" w:rsidRPr="00246206" w:rsidRDefault="008E67EA" w:rsidP="00B44A74">
            <w:pPr>
              <w:pStyle w:val="TableParagraph"/>
              <w:widowControl/>
              <w:adjustRightInd w:val="0"/>
              <w:spacing w:before="61"/>
              <w:ind w:left="0"/>
              <w:rPr>
                <w:rFonts w:eastAsiaTheme="minorHAnsi"/>
                <w:b/>
                <w:bCs/>
                <w:sz w:val="20"/>
                <w:szCs w:val="20"/>
                <w:lang w:val="en-AU"/>
              </w:rPr>
            </w:pPr>
            <w:r w:rsidRPr="00246206">
              <w:rPr>
                <w:rFonts w:eastAsiaTheme="minorHAnsi"/>
                <w:b/>
                <w:bCs/>
                <w:sz w:val="20"/>
                <w:szCs w:val="20"/>
                <w:lang w:val="en-AU"/>
              </w:rPr>
              <w:t>SITUATION</w:t>
            </w:r>
          </w:p>
        </w:tc>
        <w:tc>
          <w:tcPr>
            <w:tcW w:w="1842" w:type="dxa"/>
          </w:tcPr>
          <w:p w14:paraId="29AAE861" w14:textId="77777777" w:rsidR="008E67EA" w:rsidRPr="00246206" w:rsidRDefault="008E67EA" w:rsidP="00B44A74">
            <w:pPr>
              <w:pStyle w:val="TableParagraph"/>
              <w:widowControl/>
              <w:adjustRightInd w:val="0"/>
              <w:spacing w:before="61"/>
              <w:ind w:left="0"/>
              <w:rPr>
                <w:rFonts w:eastAsiaTheme="minorHAnsi"/>
                <w:b/>
                <w:bCs/>
                <w:sz w:val="20"/>
                <w:szCs w:val="20"/>
                <w:lang w:val="en-AU"/>
              </w:rPr>
            </w:pPr>
            <w:r w:rsidRPr="00246206">
              <w:rPr>
                <w:rFonts w:eastAsiaTheme="minorHAnsi"/>
                <w:b/>
                <w:bCs/>
                <w:sz w:val="20"/>
                <w:szCs w:val="20"/>
                <w:lang w:val="en-AU"/>
              </w:rPr>
              <w:t>RATE</w:t>
            </w:r>
          </w:p>
        </w:tc>
        <w:tc>
          <w:tcPr>
            <w:tcW w:w="3897" w:type="dxa"/>
          </w:tcPr>
          <w:p w14:paraId="1CA188EA" w14:textId="77777777" w:rsidR="008E67EA" w:rsidRPr="00246206" w:rsidRDefault="008E67EA" w:rsidP="00B44A74">
            <w:pPr>
              <w:pStyle w:val="TableParagraph"/>
              <w:widowControl/>
              <w:adjustRightInd w:val="0"/>
              <w:spacing w:before="61"/>
              <w:ind w:left="0"/>
              <w:rPr>
                <w:rFonts w:eastAsiaTheme="minorHAnsi"/>
                <w:b/>
                <w:bCs/>
                <w:sz w:val="20"/>
                <w:szCs w:val="20"/>
                <w:lang w:val="en-AU"/>
              </w:rPr>
            </w:pPr>
            <w:r w:rsidRPr="00246206">
              <w:rPr>
                <w:rFonts w:eastAsiaTheme="minorHAnsi"/>
                <w:b/>
                <w:bCs/>
                <w:sz w:val="20"/>
                <w:szCs w:val="20"/>
                <w:lang w:val="en-AU"/>
              </w:rPr>
              <w:t>HOW TO APPLY</w:t>
            </w:r>
          </w:p>
        </w:tc>
      </w:tr>
      <w:tr w:rsidR="008E67EA" w:rsidRPr="00FF36BF" w14:paraId="6A5706F7" w14:textId="77777777" w:rsidTr="00604F9D">
        <w:trPr>
          <w:trHeight w:val="421"/>
        </w:trPr>
        <w:tc>
          <w:tcPr>
            <w:tcW w:w="1080" w:type="dxa"/>
          </w:tcPr>
          <w:p w14:paraId="4691056F" w14:textId="77777777" w:rsidR="008E67EA" w:rsidRPr="005D3D45" w:rsidRDefault="008E67EA" w:rsidP="00B44A74">
            <w:pPr>
              <w:spacing w:line="280" w:lineRule="exact"/>
              <w:rPr>
                <w:rFonts w:cs="Arial"/>
                <w:sz w:val="20"/>
                <w:szCs w:val="20"/>
              </w:rPr>
            </w:pPr>
            <w:r w:rsidRPr="005D3D45">
              <w:rPr>
                <w:rFonts w:cs="Arial"/>
                <w:sz w:val="20"/>
                <w:szCs w:val="20"/>
              </w:rPr>
              <w:t>Mice</w:t>
            </w:r>
          </w:p>
        </w:tc>
        <w:tc>
          <w:tcPr>
            <w:tcW w:w="2181" w:type="dxa"/>
          </w:tcPr>
          <w:p w14:paraId="448A569B" w14:textId="77777777" w:rsidR="008E67EA" w:rsidRPr="005D3D45" w:rsidRDefault="008E67EA" w:rsidP="00B44A74">
            <w:pPr>
              <w:spacing w:line="280" w:lineRule="exact"/>
              <w:rPr>
                <w:rFonts w:cs="Arial"/>
                <w:sz w:val="20"/>
                <w:szCs w:val="20"/>
              </w:rPr>
            </w:pPr>
            <w:r w:rsidRPr="005D3D45">
              <w:rPr>
                <w:rFonts w:cs="Arial"/>
                <w:sz w:val="20"/>
                <w:szCs w:val="20"/>
              </w:rPr>
              <w:t>In domestic buildings and commercial premises</w:t>
            </w:r>
          </w:p>
        </w:tc>
        <w:tc>
          <w:tcPr>
            <w:tcW w:w="1842" w:type="dxa"/>
          </w:tcPr>
          <w:p w14:paraId="0A2945A3" w14:textId="77777777" w:rsidR="008E67EA" w:rsidRPr="005D3D45" w:rsidRDefault="008E67EA" w:rsidP="00B44A74">
            <w:pPr>
              <w:spacing w:line="280" w:lineRule="exact"/>
              <w:rPr>
                <w:rFonts w:cs="Arial"/>
                <w:sz w:val="20"/>
                <w:szCs w:val="20"/>
              </w:rPr>
            </w:pPr>
            <w:r w:rsidRPr="005D3D45">
              <w:rPr>
                <w:rFonts w:cs="Arial"/>
                <w:sz w:val="20"/>
                <w:szCs w:val="20"/>
              </w:rPr>
              <w:t>Use one bait per bait station</w:t>
            </w:r>
          </w:p>
        </w:tc>
        <w:tc>
          <w:tcPr>
            <w:tcW w:w="3897" w:type="dxa"/>
          </w:tcPr>
          <w:p w14:paraId="6C614312" w14:textId="77777777" w:rsidR="008E67EA" w:rsidRPr="005D3D45" w:rsidRDefault="008E67EA" w:rsidP="00B44A74">
            <w:pPr>
              <w:spacing w:line="280" w:lineRule="exact"/>
              <w:rPr>
                <w:rFonts w:cs="Arial"/>
                <w:sz w:val="20"/>
                <w:szCs w:val="20"/>
              </w:rPr>
            </w:pPr>
            <w:r w:rsidRPr="005D3D45">
              <w:rPr>
                <w:rFonts w:cs="Arial"/>
                <w:sz w:val="20"/>
                <w:szCs w:val="20"/>
              </w:rPr>
              <w:t>Place bait stations in dry locations throughout the infested area, on runs, near burrows and where droppings are seen, not more than 3 m apart.</w:t>
            </w:r>
          </w:p>
        </w:tc>
      </w:tr>
      <w:tr w:rsidR="008E67EA" w:rsidRPr="00FF36BF" w14:paraId="04C01BFA" w14:textId="77777777" w:rsidTr="00604F9D">
        <w:trPr>
          <w:trHeight w:val="421"/>
        </w:trPr>
        <w:tc>
          <w:tcPr>
            <w:tcW w:w="9000" w:type="dxa"/>
            <w:gridSpan w:val="4"/>
          </w:tcPr>
          <w:p w14:paraId="27B334A2" w14:textId="3C69A72F" w:rsidR="008E67EA" w:rsidRPr="001E6DA9" w:rsidRDefault="008E67EA" w:rsidP="00B44A74">
            <w:pPr>
              <w:spacing w:after="120" w:line="280" w:lineRule="exact"/>
              <w:rPr>
                <w:rFonts w:eastAsia="Calibri" w:cs="Arial"/>
                <w:b/>
                <w:bCs/>
                <w:sz w:val="20"/>
                <w:szCs w:val="20"/>
                <w:bdr w:val="none" w:sz="0" w:space="0" w:color="auto" w:frame="1"/>
                <w:lang w:val="en-GB"/>
              </w:rPr>
            </w:pPr>
            <w:r w:rsidRPr="001E6DA9">
              <w:rPr>
                <w:rFonts w:eastAsia="Calibri" w:cs="Arial"/>
                <w:b/>
                <w:bCs/>
                <w:sz w:val="20"/>
                <w:szCs w:val="20"/>
                <w:bdr w:val="none" w:sz="0" w:space="0" w:color="auto" w:frame="1"/>
                <w:lang w:val="en-GB"/>
              </w:rPr>
              <w:t>General Information and baiting strategy for and mice:</w:t>
            </w:r>
          </w:p>
          <w:p w14:paraId="20F6EAD8" w14:textId="3C3F8EDD" w:rsidR="008E67EA" w:rsidRDefault="008E67EA" w:rsidP="00B44A74">
            <w:pPr>
              <w:spacing w:after="120" w:line="280" w:lineRule="exact"/>
              <w:rPr>
                <w:rFonts w:eastAsia="Calibri" w:cs="Arial"/>
                <w:sz w:val="20"/>
                <w:szCs w:val="20"/>
                <w:bdr w:val="none" w:sz="0" w:space="0" w:color="auto" w:frame="1"/>
                <w:lang w:val="en-GB"/>
              </w:rPr>
            </w:pPr>
            <w:r w:rsidRPr="001E6DA9">
              <w:rPr>
                <w:rFonts w:eastAsia="Calibri" w:cs="Arial"/>
                <w:sz w:val="20"/>
                <w:szCs w:val="20"/>
                <w:bdr w:val="none" w:sz="0" w:space="0" w:color="auto" w:frame="1"/>
                <w:lang w:val="en-GB"/>
              </w:rPr>
              <w:t>Eliminate as far as practicable, all other food sources.</w:t>
            </w:r>
          </w:p>
          <w:p w14:paraId="3B9C1897" w14:textId="6D58977D" w:rsidR="008E67EA" w:rsidRPr="001E6DA9" w:rsidRDefault="008E67EA" w:rsidP="00B44A74">
            <w:pPr>
              <w:spacing w:after="120" w:line="280" w:lineRule="exact"/>
              <w:rPr>
                <w:rFonts w:eastAsia="Calibri" w:cs="Arial"/>
                <w:sz w:val="20"/>
                <w:szCs w:val="20"/>
                <w:bdr w:val="none" w:sz="0" w:space="0" w:color="auto" w:frame="1"/>
                <w:lang w:val="en-GB"/>
              </w:rPr>
            </w:pPr>
            <w:r w:rsidRPr="001E6DA9">
              <w:rPr>
                <w:rFonts w:eastAsia="Calibri" w:cs="Arial"/>
                <w:sz w:val="20"/>
                <w:szCs w:val="20"/>
                <w:bdr w:val="none" w:sz="0" w:space="0" w:color="auto" w:frame="1"/>
                <w:lang w:val="en-GB"/>
              </w:rPr>
              <w:t xml:space="preserve">Always place bait where it is inaccessible to children, animals and birds. Use in tamper resistant bait stations only. If bait can be dislodged from bait station, fix tamper-resistant bait stations to the ground or other structures. </w:t>
            </w:r>
            <w:r>
              <w:rPr>
                <w:rFonts w:eastAsia="Calibri" w:cs="Arial"/>
                <w:sz w:val="20"/>
                <w:szCs w:val="20"/>
                <w:bdr w:val="none" w:sz="0" w:space="0" w:color="auto" w:frame="1"/>
                <w:lang w:val="en-GB"/>
              </w:rPr>
              <w:t>DO NOT touch bait.</w:t>
            </w:r>
          </w:p>
          <w:p w14:paraId="6E683491" w14:textId="7AB88321" w:rsidR="008E67EA" w:rsidRPr="001E6DA9" w:rsidRDefault="008E67EA" w:rsidP="00B44A74">
            <w:pPr>
              <w:spacing w:after="120" w:line="280" w:lineRule="exact"/>
              <w:rPr>
                <w:rFonts w:eastAsia="Calibri" w:cs="Arial"/>
                <w:sz w:val="20"/>
                <w:szCs w:val="20"/>
                <w:bdr w:val="none" w:sz="0" w:space="0" w:color="auto" w:frame="1"/>
                <w:lang w:val="en-GB"/>
              </w:rPr>
            </w:pPr>
            <w:r w:rsidRPr="001E6DA9">
              <w:rPr>
                <w:rFonts w:eastAsia="Calibri" w:cs="Arial"/>
                <w:sz w:val="20"/>
                <w:szCs w:val="20"/>
                <w:bdr w:val="none" w:sz="0" w:space="0" w:color="auto" w:frame="1"/>
                <w:lang w:val="en-GB"/>
              </w:rPr>
              <w:t>Inspect baits frequently, particularly in the first ten days. Replace eaten bait. If bait is completely consumed, the number of bait stations should be increased. Continue replenishing bait until left untouched. Baiting for at least 2 weeks will be necessary to reduce mouse numbers. Most deaths occur 4 to 7 days after consumption of bait, but deaths may occur for up to 2 weeks.</w:t>
            </w:r>
          </w:p>
          <w:p w14:paraId="2EB5851B" w14:textId="77777777" w:rsidR="008E67EA" w:rsidRPr="00246206" w:rsidRDefault="008E67EA" w:rsidP="00B44A74">
            <w:pPr>
              <w:spacing w:after="120" w:line="280" w:lineRule="exact"/>
              <w:rPr>
                <w:rFonts w:eastAsia="Calibri" w:cs="Arial"/>
                <w:sz w:val="20"/>
                <w:szCs w:val="20"/>
                <w:bdr w:val="none" w:sz="0" w:space="0" w:color="auto" w:frame="1"/>
                <w:lang w:val="en-GB"/>
              </w:rPr>
            </w:pPr>
            <w:r w:rsidRPr="001E6DA9">
              <w:rPr>
                <w:rFonts w:eastAsia="Calibri" w:cs="Arial"/>
                <w:sz w:val="20"/>
                <w:szCs w:val="20"/>
                <w:bdr w:val="none" w:sz="0" w:space="0" w:color="auto" w:frame="1"/>
                <w:lang w:val="en-GB"/>
              </w:rPr>
              <w:t xml:space="preserve">Following treatment remove all remains of bait and bait stations. </w:t>
            </w:r>
            <w:r w:rsidRPr="003A1942">
              <w:rPr>
                <w:rFonts w:eastAsia="Calibri" w:cs="Arial"/>
                <w:sz w:val="20"/>
                <w:szCs w:val="20"/>
                <w:bdr w:val="none" w:sz="0" w:space="0" w:color="auto" w:frame="1"/>
                <w:lang w:val="en-GB"/>
              </w:rPr>
              <w:t>DO NOT use the product for longer than 35 days. If rodent activity is still observed after 35 days, seek advice from the product supplier or call a pest control service.</w:t>
            </w:r>
          </w:p>
        </w:tc>
      </w:tr>
    </w:tbl>
    <w:p w14:paraId="555274A8" w14:textId="68970B84" w:rsidR="008E67EA" w:rsidRDefault="008E67EA" w:rsidP="00604F9D">
      <w:pPr>
        <w:spacing w:after="120" w:line="280" w:lineRule="exact"/>
        <w:rPr>
          <w:rFonts w:cs="Arial"/>
          <w:b/>
          <w:bCs/>
          <w:sz w:val="20"/>
          <w:szCs w:val="20"/>
          <w:bdr w:val="none" w:sz="0" w:space="0" w:color="auto" w:frame="1"/>
          <w:lang w:val="en-GB" w:eastAsia="en-AU"/>
        </w:rPr>
      </w:pPr>
      <w:r w:rsidRPr="001E6DA9">
        <w:rPr>
          <w:rFonts w:eastAsia="Calibri" w:cs="Arial"/>
          <w:b/>
          <w:bCs/>
          <w:sz w:val="20"/>
          <w:szCs w:val="20"/>
          <w:bdr w:val="none" w:sz="0" w:space="0" w:color="auto" w:frame="1"/>
          <w:lang w:val="en-GB" w:eastAsia="en-AU"/>
        </w:rPr>
        <w:t>NOT TO BE USED FOR ANY PURPOSE, OR IN ANY MANNER, CONTRARY TO THIS LABEL UNLESS AUTHORISED.</w:t>
      </w:r>
      <w:r>
        <w:rPr>
          <w:rFonts w:cs="Arial"/>
          <w:b/>
          <w:bCs/>
          <w:sz w:val="20"/>
          <w:szCs w:val="20"/>
          <w:bdr w:val="none" w:sz="0" w:space="0" w:color="auto" w:frame="1"/>
          <w:lang w:val="en-GB" w:eastAsia="en-AU"/>
        </w:rPr>
        <w:br w:type="page"/>
      </w:r>
    </w:p>
    <w:p w14:paraId="575236DC" w14:textId="77777777" w:rsidR="008E67EA"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lastRenderedPageBreak/>
        <w:t xml:space="preserve">Template Label </w:t>
      </w:r>
      <w:r>
        <w:rPr>
          <w:rFonts w:cs="Arial"/>
          <w:b/>
          <w:bCs/>
          <w:sz w:val="20"/>
          <w:szCs w:val="20"/>
          <w:bdr w:val="none" w:sz="0" w:space="0" w:color="auto" w:frame="1"/>
          <w:lang w:val="en-GB" w:eastAsia="en-AU"/>
        </w:rPr>
        <w:t>22c</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612FBE" w14:paraId="15C56A6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80F69FF" w14:textId="77777777" w:rsidR="008E67EA" w:rsidRPr="00F5215F" w:rsidRDefault="008E67EA" w:rsidP="00B44A74">
            <w:pPr>
              <w:spacing w:line="280" w:lineRule="exact"/>
              <w:rPr>
                <w:rFonts w:cs="Arial"/>
                <w:sz w:val="20"/>
                <w:szCs w:val="20"/>
              </w:rPr>
            </w:pPr>
            <w:r w:rsidRPr="00F5215F">
              <w:rPr>
                <w:rFonts w:cs="Arial"/>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52620778" w14:textId="77777777" w:rsidR="008E67EA" w:rsidRPr="00612FBE" w:rsidRDefault="008E67EA" w:rsidP="00B44A74">
            <w:pPr>
              <w:spacing w:line="280" w:lineRule="exact"/>
              <w:rPr>
                <w:rFonts w:cs="Arial"/>
                <w:sz w:val="20"/>
                <w:szCs w:val="20"/>
              </w:rPr>
            </w:pPr>
            <w:r w:rsidRPr="00612FBE">
              <w:rPr>
                <w:rFonts w:cs="Arial"/>
                <w:sz w:val="20"/>
                <w:szCs w:val="20"/>
              </w:rPr>
              <w:t>[INSERT LABEL NAME]</w:t>
            </w:r>
          </w:p>
        </w:tc>
      </w:tr>
      <w:tr w:rsidR="008E67EA" w:rsidRPr="00612FBE" w14:paraId="5C8180BC" w14:textId="77777777" w:rsidTr="00B44A74">
        <w:trPr>
          <w:jc w:val="center"/>
        </w:trPr>
        <w:tc>
          <w:tcPr>
            <w:tcW w:w="2415" w:type="dxa"/>
            <w:tcBorders>
              <w:top w:val="single" w:sz="4" w:space="0" w:color="auto"/>
              <w:left w:val="nil"/>
              <w:bottom w:val="single" w:sz="4" w:space="0" w:color="auto"/>
              <w:right w:val="nil"/>
            </w:tcBorders>
          </w:tcPr>
          <w:p w14:paraId="518FA2CC"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E653A7D" w14:textId="77777777" w:rsidR="008E67EA" w:rsidRPr="00612FBE" w:rsidRDefault="008E67EA" w:rsidP="00B44A74">
            <w:pPr>
              <w:spacing w:line="280" w:lineRule="exact"/>
              <w:rPr>
                <w:rFonts w:cs="Arial"/>
                <w:sz w:val="20"/>
                <w:szCs w:val="20"/>
              </w:rPr>
            </w:pPr>
          </w:p>
        </w:tc>
      </w:tr>
      <w:tr w:rsidR="008E67EA" w:rsidRPr="00612FBE" w14:paraId="36AADF3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F349665" w14:textId="77777777" w:rsidR="008E67EA" w:rsidRPr="00F5215F" w:rsidRDefault="008E67EA" w:rsidP="00B44A74">
            <w:pPr>
              <w:spacing w:line="280" w:lineRule="exact"/>
              <w:rPr>
                <w:rFonts w:cs="Arial"/>
                <w:sz w:val="20"/>
                <w:szCs w:val="20"/>
              </w:rPr>
            </w:pPr>
            <w:r w:rsidRPr="00F5215F">
              <w:rPr>
                <w:rFonts w:cs="Arial"/>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4F7A8253" w14:textId="77777777" w:rsidR="008E67EA" w:rsidRPr="00612FBE" w:rsidRDefault="008E67EA" w:rsidP="00B44A74">
            <w:pPr>
              <w:spacing w:line="280" w:lineRule="exact"/>
              <w:rPr>
                <w:rFonts w:cs="Arial"/>
                <w:sz w:val="20"/>
                <w:szCs w:val="20"/>
              </w:rPr>
            </w:pPr>
            <w:r w:rsidRPr="00612FBE">
              <w:rPr>
                <w:rFonts w:cs="Arial"/>
                <w:sz w:val="20"/>
                <w:szCs w:val="20"/>
              </w:rPr>
              <w:t>POISON</w:t>
            </w:r>
          </w:p>
          <w:p w14:paraId="29E677B4" w14:textId="77777777" w:rsidR="008E67EA" w:rsidRPr="00612FBE" w:rsidRDefault="008E67EA" w:rsidP="00B44A74">
            <w:pPr>
              <w:spacing w:line="280" w:lineRule="exact"/>
              <w:rPr>
                <w:rFonts w:cs="Arial"/>
                <w:sz w:val="20"/>
                <w:szCs w:val="20"/>
              </w:rPr>
            </w:pPr>
            <w:r w:rsidRPr="00612FBE">
              <w:rPr>
                <w:rFonts w:cs="Arial"/>
                <w:sz w:val="20"/>
                <w:szCs w:val="20"/>
              </w:rPr>
              <w:t>KEEP OUT OF REACH OF CHILDREN</w:t>
            </w:r>
          </w:p>
          <w:p w14:paraId="098B0E29" w14:textId="77777777" w:rsidR="008E67EA" w:rsidRPr="00612FBE" w:rsidRDefault="008E67EA" w:rsidP="00B44A74">
            <w:pPr>
              <w:spacing w:line="280" w:lineRule="exact"/>
              <w:rPr>
                <w:rFonts w:cs="Arial"/>
                <w:sz w:val="20"/>
                <w:szCs w:val="20"/>
              </w:rPr>
            </w:pPr>
            <w:r w:rsidRPr="00612FBE">
              <w:rPr>
                <w:rFonts w:cs="Arial"/>
                <w:sz w:val="20"/>
                <w:szCs w:val="20"/>
              </w:rPr>
              <w:t>READ SAFETY DIRECTIONS</w:t>
            </w:r>
          </w:p>
        </w:tc>
      </w:tr>
      <w:tr w:rsidR="008E67EA" w:rsidRPr="00612FBE" w14:paraId="43D3D27F" w14:textId="77777777" w:rsidTr="00B44A74">
        <w:trPr>
          <w:jc w:val="center"/>
        </w:trPr>
        <w:tc>
          <w:tcPr>
            <w:tcW w:w="2415" w:type="dxa"/>
            <w:tcBorders>
              <w:top w:val="single" w:sz="4" w:space="0" w:color="auto"/>
              <w:left w:val="nil"/>
              <w:bottom w:val="single" w:sz="4" w:space="0" w:color="auto"/>
              <w:right w:val="nil"/>
            </w:tcBorders>
          </w:tcPr>
          <w:p w14:paraId="5442DE4E"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4574A8D" w14:textId="77777777" w:rsidR="008E67EA" w:rsidRPr="00612FBE" w:rsidRDefault="008E67EA" w:rsidP="00B44A74">
            <w:pPr>
              <w:spacing w:line="280" w:lineRule="exact"/>
              <w:rPr>
                <w:rFonts w:cs="Arial"/>
                <w:sz w:val="20"/>
                <w:szCs w:val="20"/>
              </w:rPr>
            </w:pPr>
          </w:p>
        </w:tc>
      </w:tr>
      <w:tr w:rsidR="008E67EA" w:rsidRPr="00612FBE" w14:paraId="512CE05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03F32B8" w14:textId="77777777" w:rsidR="008E67EA" w:rsidRPr="00F5215F" w:rsidRDefault="008E67EA" w:rsidP="00B44A74">
            <w:pPr>
              <w:spacing w:line="280" w:lineRule="exact"/>
              <w:rPr>
                <w:rFonts w:cs="Arial"/>
                <w:sz w:val="20"/>
                <w:szCs w:val="20"/>
              </w:rPr>
            </w:pPr>
            <w:r w:rsidRPr="00F5215F">
              <w:rPr>
                <w:rFonts w:cs="Arial"/>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03899BDB" w14:textId="77777777" w:rsidR="008E67EA" w:rsidRPr="00612FBE" w:rsidRDefault="008E67EA" w:rsidP="00B44A74">
            <w:pPr>
              <w:spacing w:line="280" w:lineRule="exact"/>
              <w:rPr>
                <w:rFonts w:cs="Arial"/>
                <w:sz w:val="20"/>
                <w:szCs w:val="20"/>
              </w:rPr>
            </w:pPr>
            <w:r w:rsidRPr="00612FBE">
              <w:rPr>
                <w:rFonts w:cs="Arial"/>
                <w:sz w:val="20"/>
                <w:szCs w:val="20"/>
              </w:rPr>
              <w:t>ACTIVE CONSTITUENT: 0.025 g/kg DIFENACOUM</w:t>
            </w:r>
          </w:p>
        </w:tc>
      </w:tr>
      <w:tr w:rsidR="008E67EA" w:rsidRPr="00612FBE" w14:paraId="3E02C908" w14:textId="77777777" w:rsidTr="00B44A74">
        <w:trPr>
          <w:jc w:val="center"/>
        </w:trPr>
        <w:tc>
          <w:tcPr>
            <w:tcW w:w="2415" w:type="dxa"/>
            <w:tcBorders>
              <w:top w:val="single" w:sz="4" w:space="0" w:color="auto"/>
              <w:left w:val="nil"/>
              <w:bottom w:val="single" w:sz="4" w:space="0" w:color="auto"/>
              <w:right w:val="nil"/>
            </w:tcBorders>
          </w:tcPr>
          <w:p w14:paraId="41A699BB"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F648303" w14:textId="77777777" w:rsidR="008E67EA" w:rsidRPr="00612FBE" w:rsidRDefault="008E67EA" w:rsidP="00B44A74">
            <w:pPr>
              <w:spacing w:line="280" w:lineRule="exact"/>
              <w:rPr>
                <w:rFonts w:cs="Arial"/>
                <w:sz w:val="20"/>
                <w:szCs w:val="20"/>
              </w:rPr>
            </w:pPr>
          </w:p>
        </w:tc>
      </w:tr>
      <w:tr w:rsidR="008E67EA" w:rsidRPr="00612FBE" w14:paraId="3373267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BE70190" w14:textId="77777777" w:rsidR="008E67EA" w:rsidRPr="00F5215F" w:rsidRDefault="008E67EA" w:rsidP="00B44A74">
            <w:pPr>
              <w:spacing w:line="280" w:lineRule="exact"/>
              <w:rPr>
                <w:rFonts w:cs="Arial"/>
                <w:sz w:val="20"/>
                <w:szCs w:val="20"/>
              </w:rPr>
            </w:pPr>
            <w:r w:rsidRPr="00F5215F">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3833B9FE" w14:textId="77777777" w:rsidR="008E67EA" w:rsidRPr="00612FBE" w:rsidRDefault="008E67EA" w:rsidP="00B44A74">
            <w:pPr>
              <w:spacing w:line="280" w:lineRule="exact"/>
              <w:rPr>
                <w:rFonts w:cs="Arial"/>
                <w:sz w:val="20"/>
                <w:szCs w:val="20"/>
              </w:rPr>
            </w:pPr>
            <w:r w:rsidRPr="00612FBE">
              <w:rPr>
                <w:rFonts w:cs="Arial"/>
                <w:sz w:val="20"/>
                <w:szCs w:val="20"/>
              </w:rPr>
              <w:t>For control of rats in and around domestic and commercial buildings.</w:t>
            </w:r>
          </w:p>
        </w:tc>
      </w:tr>
      <w:tr w:rsidR="008E67EA" w:rsidRPr="00612FBE" w14:paraId="0BD9330B" w14:textId="77777777" w:rsidTr="00B44A74">
        <w:trPr>
          <w:jc w:val="center"/>
        </w:trPr>
        <w:tc>
          <w:tcPr>
            <w:tcW w:w="2415" w:type="dxa"/>
            <w:tcBorders>
              <w:top w:val="single" w:sz="4" w:space="0" w:color="auto"/>
              <w:left w:val="nil"/>
              <w:bottom w:val="single" w:sz="4" w:space="0" w:color="auto"/>
              <w:right w:val="nil"/>
            </w:tcBorders>
          </w:tcPr>
          <w:p w14:paraId="63972088"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7C7ECEE" w14:textId="77777777" w:rsidR="008E67EA" w:rsidRPr="00612FBE" w:rsidRDefault="008E67EA" w:rsidP="00B44A74">
            <w:pPr>
              <w:spacing w:line="280" w:lineRule="exact"/>
              <w:rPr>
                <w:rFonts w:cs="Arial"/>
                <w:sz w:val="20"/>
                <w:szCs w:val="20"/>
              </w:rPr>
            </w:pPr>
          </w:p>
        </w:tc>
      </w:tr>
      <w:tr w:rsidR="008E67EA" w:rsidRPr="00612FBE" w14:paraId="1F5B313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687D289" w14:textId="77777777" w:rsidR="008E67EA" w:rsidRPr="00F5215F" w:rsidRDefault="008E67EA" w:rsidP="00B44A74">
            <w:pPr>
              <w:spacing w:line="280" w:lineRule="exact"/>
              <w:rPr>
                <w:rFonts w:cs="Arial"/>
                <w:sz w:val="20"/>
                <w:szCs w:val="20"/>
              </w:rPr>
            </w:pPr>
            <w:r w:rsidRPr="00F5215F">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43A4ABAF" w14:textId="77777777" w:rsidR="008E67EA" w:rsidRPr="00612FBE" w:rsidRDefault="008E67EA" w:rsidP="00B44A74">
            <w:pPr>
              <w:spacing w:line="280" w:lineRule="exact"/>
              <w:rPr>
                <w:rFonts w:cs="Arial"/>
                <w:sz w:val="20"/>
                <w:szCs w:val="20"/>
              </w:rPr>
            </w:pPr>
            <w:r w:rsidRPr="00612FBE">
              <w:rPr>
                <w:rFonts w:cs="Arial"/>
                <w:sz w:val="20"/>
                <w:szCs w:val="20"/>
              </w:rPr>
              <w:t>[INSERT NET CONTENTS – MAXIMUM 300 g]</w:t>
            </w:r>
          </w:p>
        </w:tc>
      </w:tr>
      <w:tr w:rsidR="008E67EA" w:rsidRPr="00612FBE" w14:paraId="02F1046E" w14:textId="77777777" w:rsidTr="00B44A74">
        <w:trPr>
          <w:jc w:val="center"/>
        </w:trPr>
        <w:tc>
          <w:tcPr>
            <w:tcW w:w="2415" w:type="dxa"/>
            <w:tcBorders>
              <w:top w:val="single" w:sz="4" w:space="0" w:color="auto"/>
              <w:left w:val="nil"/>
              <w:bottom w:val="single" w:sz="4" w:space="0" w:color="auto"/>
              <w:right w:val="nil"/>
            </w:tcBorders>
          </w:tcPr>
          <w:p w14:paraId="087BE041"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356C5DA" w14:textId="77777777" w:rsidR="008E67EA" w:rsidRPr="00612FBE" w:rsidRDefault="008E67EA" w:rsidP="00B44A74">
            <w:pPr>
              <w:spacing w:line="280" w:lineRule="exact"/>
              <w:rPr>
                <w:rFonts w:cs="Arial"/>
                <w:sz w:val="20"/>
                <w:szCs w:val="20"/>
              </w:rPr>
            </w:pPr>
          </w:p>
        </w:tc>
      </w:tr>
      <w:tr w:rsidR="008E67EA" w:rsidRPr="00612FBE" w14:paraId="3023C4D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343A755" w14:textId="77777777" w:rsidR="008E67EA" w:rsidRPr="00F5215F" w:rsidRDefault="008E67EA" w:rsidP="00B44A74">
            <w:pPr>
              <w:spacing w:line="280" w:lineRule="exact"/>
              <w:rPr>
                <w:rFonts w:cs="Arial"/>
                <w:sz w:val="20"/>
                <w:szCs w:val="20"/>
              </w:rPr>
            </w:pPr>
            <w:r w:rsidRPr="00F5215F">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05774AA4" w14:textId="05A1A9B6" w:rsidR="008E67EA" w:rsidRPr="00612FBE" w:rsidRDefault="008E67EA" w:rsidP="00B44A74">
            <w:pPr>
              <w:spacing w:line="280" w:lineRule="exact"/>
              <w:rPr>
                <w:rFonts w:cs="Arial"/>
                <w:sz w:val="20"/>
                <w:szCs w:val="20"/>
              </w:rPr>
            </w:pPr>
            <w:r w:rsidRPr="00612FBE">
              <w:rPr>
                <w:rFonts w:cs="Arial"/>
                <w:sz w:val="20"/>
                <w:szCs w:val="20"/>
              </w:rPr>
              <w:t>DO NOT place baits unless in tamper-resistant bait stations.</w:t>
            </w:r>
          </w:p>
          <w:p w14:paraId="4C772934" w14:textId="77777777" w:rsidR="008E67EA" w:rsidRPr="00612FBE" w:rsidRDefault="008E67EA" w:rsidP="00B44A74">
            <w:pPr>
              <w:spacing w:line="280" w:lineRule="exact"/>
              <w:rPr>
                <w:rFonts w:cs="Arial"/>
                <w:sz w:val="20"/>
                <w:szCs w:val="20"/>
              </w:rPr>
            </w:pPr>
            <w:r w:rsidRPr="00612FBE">
              <w:rPr>
                <w:rFonts w:cs="Arial"/>
                <w:sz w:val="20"/>
                <w:szCs w:val="20"/>
              </w:rPr>
              <w:t>DO NOT place bait stations more than 2 meters from buildings.</w:t>
            </w:r>
          </w:p>
          <w:p w14:paraId="12748F81" w14:textId="77777777" w:rsidR="008E67EA" w:rsidRPr="00612FBE" w:rsidRDefault="008E67EA" w:rsidP="00B44A74">
            <w:pPr>
              <w:spacing w:line="280" w:lineRule="exact"/>
              <w:rPr>
                <w:rFonts w:cs="Arial"/>
                <w:sz w:val="20"/>
                <w:szCs w:val="20"/>
              </w:rPr>
            </w:pPr>
            <w:r w:rsidRPr="00612FBE">
              <w:rPr>
                <w:rFonts w:cs="Arial"/>
                <w:sz w:val="20"/>
                <w:szCs w:val="20"/>
              </w:rPr>
              <w:t>DO NOT bait in areas where wildlife may be collected for human consumption.</w:t>
            </w:r>
          </w:p>
          <w:p w14:paraId="1CB1F2A6" w14:textId="77777777" w:rsidR="008E67EA" w:rsidRPr="00612FBE" w:rsidRDefault="008E67EA" w:rsidP="00B44A74">
            <w:pPr>
              <w:spacing w:line="280" w:lineRule="exact"/>
              <w:rPr>
                <w:rFonts w:cs="Arial"/>
                <w:sz w:val="20"/>
                <w:szCs w:val="20"/>
              </w:rPr>
            </w:pPr>
            <w:r w:rsidRPr="00612FBE">
              <w:rPr>
                <w:rFonts w:cs="Arial"/>
                <w:sz w:val="20"/>
                <w:szCs w:val="20"/>
              </w:rPr>
              <w:t>DO NOT place baits in and around animal, livestock and poultry houses, associated equipment, and food and feed processing areas.</w:t>
            </w:r>
          </w:p>
          <w:p w14:paraId="71B69947" w14:textId="77777777" w:rsidR="008E67EA" w:rsidRPr="00612FBE" w:rsidRDefault="008E67EA" w:rsidP="00B44A74">
            <w:pPr>
              <w:spacing w:line="280" w:lineRule="exact"/>
              <w:rPr>
                <w:rFonts w:cs="Arial"/>
                <w:sz w:val="20"/>
                <w:szCs w:val="20"/>
              </w:rPr>
            </w:pPr>
            <w:r w:rsidRPr="00612FBE">
              <w:rPr>
                <w:rFonts w:cs="Arial"/>
                <w:sz w:val="20"/>
                <w:szCs w:val="20"/>
              </w:rPr>
              <w:t>DO NOT apply this product directly into burrows.</w:t>
            </w:r>
          </w:p>
          <w:p w14:paraId="052323DF" w14:textId="77777777" w:rsidR="008E67EA" w:rsidRPr="00612FBE" w:rsidRDefault="008E67EA" w:rsidP="00B44A74">
            <w:pPr>
              <w:spacing w:line="280" w:lineRule="exact"/>
              <w:rPr>
                <w:rFonts w:cs="Arial"/>
                <w:sz w:val="20"/>
                <w:szCs w:val="20"/>
                <w:highlight w:val="yellow"/>
              </w:rPr>
            </w:pPr>
            <w:r w:rsidRPr="00612FBE">
              <w:rPr>
                <w:rFonts w:cs="Arial"/>
                <w:sz w:val="20"/>
                <w:szCs w:val="20"/>
              </w:rPr>
              <w:t>DO NOT use the product in pulsed baiting treatments.</w:t>
            </w:r>
          </w:p>
        </w:tc>
      </w:tr>
      <w:tr w:rsidR="008E67EA" w:rsidRPr="00612FBE" w14:paraId="3B838207" w14:textId="77777777" w:rsidTr="00B44A74">
        <w:trPr>
          <w:jc w:val="center"/>
        </w:trPr>
        <w:tc>
          <w:tcPr>
            <w:tcW w:w="2415" w:type="dxa"/>
            <w:tcBorders>
              <w:top w:val="single" w:sz="4" w:space="0" w:color="auto"/>
              <w:left w:val="nil"/>
              <w:bottom w:val="single" w:sz="4" w:space="0" w:color="auto"/>
              <w:right w:val="nil"/>
            </w:tcBorders>
          </w:tcPr>
          <w:p w14:paraId="6743CACA"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EC7A14B" w14:textId="77777777" w:rsidR="008E67EA" w:rsidRPr="00612FBE" w:rsidRDefault="008E67EA" w:rsidP="00B44A74">
            <w:pPr>
              <w:spacing w:line="280" w:lineRule="exact"/>
              <w:rPr>
                <w:rFonts w:cs="Arial"/>
                <w:sz w:val="20"/>
                <w:szCs w:val="20"/>
              </w:rPr>
            </w:pPr>
          </w:p>
        </w:tc>
      </w:tr>
      <w:tr w:rsidR="008E67EA" w:rsidRPr="00612FBE" w14:paraId="46BACF2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F2020D5" w14:textId="77777777" w:rsidR="008E67EA" w:rsidRPr="00F5215F" w:rsidRDefault="008E67EA" w:rsidP="00B44A74">
            <w:pPr>
              <w:spacing w:line="280" w:lineRule="exact"/>
              <w:rPr>
                <w:rFonts w:cs="Arial"/>
                <w:sz w:val="20"/>
                <w:szCs w:val="20"/>
              </w:rPr>
            </w:pPr>
            <w:r>
              <w:rPr>
                <w:rFonts w:cs="Arial"/>
                <w:sz w:val="20"/>
                <w:szCs w:val="20"/>
              </w:rPr>
              <w:t>How to Use</w:t>
            </w:r>
          </w:p>
        </w:tc>
        <w:tc>
          <w:tcPr>
            <w:tcW w:w="7755" w:type="dxa"/>
            <w:tcBorders>
              <w:top w:val="single" w:sz="4" w:space="0" w:color="auto"/>
              <w:left w:val="single" w:sz="4" w:space="0" w:color="auto"/>
              <w:bottom w:val="single" w:sz="4" w:space="0" w:color="auto"/>
              <w:right w:val="single" w:sz="4" w:space="0" w:color="auto"/>
            </w:tcBorders>
          </w:tcPr>
          <w:p w14:paraId="4E98607F" w14:textId="77777777" w:rsidR="008E67EA" w:rsidRPr="00612FBE" w:rsidRDefault="008E67EA" w:rsidP="00B44A74">
            <w:pPr>
              <w:spacing w:line="280" w:lineRule="exact"/>
              <w:rPr>
                <w:rFonts w:cs="Arial"/>
                <w:sz w:val="20"/>
                <w:szCs w:val="20"/>
              </w:rPr>
            </w:pPr>
            <w:r w:rsidRPr="00B832BB">
              <w:rPr>
                <w:rFonts w:cs="Arial"/>
                <w:sz w:val="20"/>
                <w:szCs w:val="20"/>
              </w:rPr>
              <w:t>[This section contains an attachment below]</w:t>
            </w:r>
          </w:p>
        </w:tc>
      </w:tr>
      <w:tr w:rsidR="008E67EA" w:rsidRPr="00612FBE" w14:paraId="7CE3792B" w14:textId="77777777" w:rsidTr="00B44A74">
        <w:trPr>
          <w:jc w:val="center"/>
        </w:trPr>
        <w:tc>
          <w:tcPr>
            <w:tcW w:w="2415" w:type="dxa"/>
            <w:tcBorders>
              <w:top w:val="single" w:sz="4" w:space="0" w:color="auto"/>
              <w:left w:val="nil"/>
              <w:bottom w:val="single" w:sz="4" w:space="0" w:color="auto"/>
              <w:right w:val="nil"/>
            </w:tcBorders>
          </w:tcPr>
          <w:p w14:paraId="07AA4EBC"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B9B38EC" w14:textId="77777777" w:rsidR="008E67EA" w:rsidRPr="00612FBE" w:rsidRDefault="008E67EA" w:rsidP="00B44A74">
            <w:pPr>
              <w:spacing w:line="280" w:lineRule="exact"/>
              <w:rPr>
                <w:rFonts w:cs="Arial"/>
                <w:sz w:val="20"/>
                <w:szCs w:val="20"/>
              </w:rPr>
            </w:pPr>
          </w:p>
        </w:tc>
      </w:tr>
      <w:tr w:rsidR="008E67EA" w:rsidRPr="00612FBE" w14:paraId="6ED414B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DAC52BE" w14:textId="77777777" w:rsidR="008E67EA" w:rsidRPr="00F5215F" w:rsidRDefault="008E67EA" w:rsidP="00B44A74">
            <w:pPr>
              <w:spacing w:line="280" w:lineRule="exact"/>
              <w:rPr>
                <w:rFonts w:cs="Arial"/>
                <w:sz w:val="20"/>
                <w:szCs w:val="20"/>
              </w:rPr>
            </w:pPr>
            <w:r w:rsidRPr="00F5215F">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16EF2110" w14:textId="77777777" w:rsidR="008E67EA" w:rsidRPr="00612FBE" w:rsidRDefault="008E67EA" w:rsidP="00B44A74">
            <w:pPr>
              <w:spacing w:line="280" w:lineRule="exact"/>
              <w:rPr>
                <w:rFonts w:cs="Arial"/>
                <w:sz w:val="20"/>
                <w:szCs w:val="20"/>
              </w:rPr>
            </w:pPr>
          </w:p>
        </w:tc>
      </w:tr>
      <w:tr w:rsidR="008E67EA" w:rsidRPr="00612FBE" w14:paraId="4379C6A8" w14:textId="77777777" w:rsidTr="00B44A74">
        <w:trPr>
          <w:jc w:val="center"/>
        </w:trPr>
        <w:tc>
          <w:tcPr>
            <w:tcW w:w="2415" w:type="dxa"/>
            <w:tcBorders>
              <w:top w:val="single" w:sz="4" w:space="0" w:color="auto"/>
              <w:left w:val="nil"/>
              <w:bottom w:val="single" w:sz="4" w:space="0" w:color="auto"/>
              <w:right w:val="nil"/>
            </w:tcBorders>
          </w:tcPr>
          <w:p w14:paraId="592B8945"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63DFF58" w14:textId="77777777" w:rsidR="008E67EA" w:rsidRPr="00612FBE" w:rsidRDefault="008E67EA" w:rsidP="00B44A74">
            <w:pPr>
              <w:spacing w:line="280" w:lineRule="exact"/>
              <w:rPr>
                <w:rFonts w:cs="Arial"/>
                <w:sz w:val="20"/>
                <w:szCs w:val="20"/>
              </w:rPr>
            </w:pPr>
          </w:p>
        </w:tc>
      </w:tr>
      <w:tr w:rsidR="008E67EA" w:rsidRPr="00612FBE" w14:paraId="4B046999"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1C70641" w14:textId="77777777" w:rsidR="008E67EA" w:rsidRPr="00F5215F" w:rsidRDefault="008E67EA" w:rsidP="00B44A74">
            <w:pPr>
              <w:spacing w:line="280" w:lineRule="exact"/>
              <w:rPr>
                <w:rFonts w:cs="Arial"/>
                <w:sz w:val="20"/>
                <w:szCs w:val="20"/>
              </w:rPr>
            </w:pPr>
            <w:r>
              <w:rPr>
                <w:rFonts w:cs="Arial"/>
                <w:sz w:val="20"/>
                <w:szCs w:val="20"/>
              </w:rPr>
              <w:t>How to Prepare</w:t>
            </w:r>
          </w:p>
        </w:tc>
        <w:tc>
          <w:tcPr>
            <w:tcW w:w="7755" w:type="dxa"/>
            <w:tcBorders>
              <w:top w:val="single" w:sz="4" w:space="0" w:color="auto"/>
              <w:left w:val="single" w:sz="4" w:space="0" w:color="auto"/>
              <w:bottom w:val="single" w:sz="4" w:space="0" w:color="auto"/>
              <w:right w:val="single" w:sz="4" w:space="0" w:color="auto"/>
            </w:tcBorders>
          </w:tcPr>
          <w:p w14:paraId="3B47C2AE" w14:textId="77777777" w:rsidR="008E67EA" w:rsidRPr="00612FBE" w:rsidRDefault="008E67EA" w:rsidP="00B44A74">
            <w:pPr>
              <w:spacing w:line="280" w:lineRule="exact"/>
              <w:rPr>
                <w:rFonts w:cs="Arial"/>
                <w:sz w:val="20"/>
                <w:szCs w:val="20"/>
              </w:rPr>
            </w:pPr>
          </w:p>
        </w:tc>
      </w:tr>
      <w:tr w:rsidR="008E67EA" w:rsidRPr="00612FBE" w14:paraId="399F0DC0" w14:textId="77777777" w:rsidTr="00B44A74">
        <w:trPr>
          <w:jc w:val="center"/>
        </w:trPr>
        <w:tc>
          <w:tcPr>
            <w:tcW w:w="2415" w:type="dxa"/>
            <w:tcBorders>
              <w:top w:val="single" w:sz="4" w:space="0" w:color="auto"/>
              <w:left w:val="nil"/>
              <w:bottom w:val="single" w:sz="4" w:space="0" w:color="auto"/>
              <w:right w:val="nil"/>
            </w:tcBorders>
          </w:tcPr>
          <w:p w14:paraId="0353EB00"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56B1F5D" w14:textId="77777777" w:rsidR="008E67EA" w:rsidRPr="00612FBE" w:rsidRDefault="008E67EA" w:rsidP="00B44A74">
            <w:pPr>
              <w:spacing w:line="280" w:lineRule="exact"/>
              <w:rPr>
                <w:rFonts w:cs="Arial"/>
                <w:sz w:val="20"/>
                <w:szCs w:val="20"/>
              </w:rPr>
            </w:pPr>
          </w:p>
        </w:tc>
      </w:tr>
      <w:tr w:rsidR="008E67EA" w:rsidRPr="00612FBE" w14:paraId="0FEF2A3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5DF5CDD" w14:textId="77777777" w:rsidR="008E67EA" w:rsidRPr="00F5215F" w:rsidRDefault="008E67EA" w:rsidP="00B44A74">
            <w:pPr>
              <w:spacing w:line="280" w:lineRule="exact"/>
              <w:rPr>
                <w:rFonts w:cs="Arial"/>
                <w:sz w:val="20"/>
                <w:szCs w:val="20"/>
              </w:rPr>
            </w:pPr>
            <w:r w:rsidRPr="00F5215F">
              <w:rPr>
                <w:rFonts w:cs="Arial"/>
                <w:sz w:val="20"/>
                <w:szCs w:val="20"/>
              </w:rPr>
              <w:t>Resistance Warning:</w:t>
            </w:r>
          </w:p>
        </w:tc>
        <w:tc>
          <w:tcPr>
            <w:tcW w:w="7755" w:type="dxa"/>
            <w:tcBorders>
              <w:top w:val="single" w:sz="4" w:space="0" w:color="auto"/>
              <w:left w:val="single" w:sz="4" w:space="0" w:color="auto"/>
              <w:bottom w:val="single" w:sz="4" w:space="0" w:color="auto"/>
              <w:right w:val="single" w:sz="4" w:space="0" w:color="auto"/>
            </w:tcBorders>
          </w:tcPr>
          <w:p w14:paraId="04FA4329" w14:textId="77777777" w:rsidR="008E67EA" w:rsidRPr="00612FBE" w:rsidRDefault="008E67EA" w:rsidP="00B44A74">
            <w:pPr>
              <w:spacing w:line="280" w:lineRule="exact"/>
              <w:rPr>
                <w:rFonts w:cs="Arial"/>
                <w:sz w:val="20"/>
                <w:szCs w:val="20"/>
              </w:rPr>
            </w:pPr>
          </w:p>
        </w:tc>
      </w:tr>
      <w:tr w:rsidR="008E67EA" w:rsidRPr="00612FBE" w14:paraId="1E96C278" w14:textId="77777777" w:rsidTr="00B44A74">
        <w:trPr>
          <w:jc w:val="center"/>
        </w:trPr>
        <w:tc>
          <w:tcPr>
            <w:tcW w:w="2415" w:type="dxa"/>
            <w:tcBorders>
              <w:top w:val="single" w:sz="4" w:space="0" w:color="auto"/>
              <w:left w:val="nil"/>
              <w:bottom w:val="single" w:sz="4" w:space="0" w:color="auto"/>
              <w:right w:val="nil"/>
            </w:tcBorders>
          </w:tcPr>
          <w:p w14:paraId="6532CA1B"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8805701" w14:textId="77777777" w:rsidR="008E67EA" w:rsidRPr="00612FBE" w:rsidRDefault="008E67EA" w:rsidP="00B44A74">
            <w:pPr>
              <w:spacing w:line="280" w:lineRule="exact"/>
              <w:rPr>
                <w:rFonts w:cs="Arial"/>
                <w:sz w:val="20"/>
                <w:szCs w:val="20"/>
              </w:rPr>
            </w:pPr>
          </w:p>
        </w:tc>
      </w:tr>
      <w:tr w:rsidR="008E67EA" w:rsidRPr="00612FBE" w14:paraId="0DF1334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8AF27CC" w14:textId="77777777" w:rsidR="008E67EA" w:rsidRPr="00F5215F" w:rsidRDefault="008E67EA" w:rsidP="00B44A74">
            <w:pPr>
              <w:spacing w:line="280" w:lineRule="exact"/>
              <w:rPr>
                <w:rFonts w:cs="Arial"/>
                <w:sz w:val="20"/>
                <w:szCs w:val="20"/>
              </w:rPr>
            </w:pPr>
            <w:r w:rsidRPr="00F5215F">
              <w:rPr>
                <w:rFonts w:cs="Arial"/>
                <w:sz w:val="20"/>
                <w:szCs w:val="20"/>
              </w:rPr>
              <w:t>Precautions:</w:t>
            </w:r>
          </w:p>
        </w:tc>
        <w:tc>
          <w:tcPr>
            <w:tcW w:w="7755" w:type="dxa"/>
            <w:tcBorders>
              <w:top w:val="single" w:sz="4" w:space="0" w:color="auto"/>
              <w:left w:val="single" w:sz="4" w:space="0" w:color="auto"/>
              <w:bottom w:val="single" w:sz="4" w:space="0" w:color="auto"/>
              <w:right w:val="single" w:sz="4" w:space="0" w:color="auto"/>
            </w:tcBorders>
          </w:tcPr>
          <w:p w14:paraId="12968B6A" w14:textId="77777777" w:rsidR="008E67EA" w:rsidRPr="00612FBE" w:rsidRDefault="008E67EA" w:rsidP="00B44A74">
            <w:pPr>
              <w:spacing w:line="280" w:lineRule="exact"/>
              <w:rPr>
                <w:rFonts w:cs="Arial"/>
                <w:sz w:val="20"/>
                <w:szCs w:val="20"/>
              </w:rPr>
            </w:pPr>
            <w:r w:rsidRPr="00612FBE">
              <w:rPr>
                <w:rFonts w:cs="Arial"/>
                <w:sz w:val="20"/>
                <w:szCs w:val="20"/>
              </w:rPr>
              <w:t>CAUTION</w:t>
            </w:r>
          </w:p>
          <w:p w14:paraId="346F0DDE" w14:textId="77777777" w:rsidR="008E67EA" w:rsidRPr="00612FBE" w:rsidRDefault="008E67EA" w:rsidP="00B44A74">
            <w:pPr>
              <w:spacing w:line="280" w:lineRule="exact"/>
              <w:rPr>
                <w:rFonts w:cs="Arial"/>
                <w:sz w:val="20"/>
                <w:szCs w:val="20"/>
              </w:rPr>
            </w:pPr>
            <w:r w:rsidRPr="00612FBE">
              <w:rPr>
                <w:rFonts w:cs="Arial"/>
                <w:sz w:val="20"/>
                <w:szCs w:val="20"/>
              </w:rPr>
              <w:t>Caution should be used when baiting near areas where hunting of wildlife may occur. Careful consideration of bait placement is necessary to avoid secondary exposure from contaminated wildlife that may be consumed.</w:t>
            </w:r>
          </w:p>
          <w:p w14:paraId="2373C582" w14:textId="77777777" w:rsidR="008E67EA" w:rsidRDefault="008E67EA" w:rsidP="00B44A74">
            <w:pPr>
              <w:spacing w:line="280" w:lineRule="exact"/>
              <w:rPr>
                <w:rFonts w:cs="Arial"/>
                <w:sz w:val="20"/>
                <w:szCs w:val="20"/>
              </w:rPr>
            </w:pPr>
            <w:r w:rsidRPr="00612FBE">
              <w:rPr>
                <w:rFonts w:cs="Arial"/>
                <w:sz w:val="20"/>
                <w:szCs w:val="20"/>
              </w:rPr>
              <w:t>DO NOT place bait in areas where there is a possibility of contaminating food, livestock feed or surfaces that come in direct contact with food or livestock feed.</w:t>
            </w:r>
          </w:p>
          <w:p w14:paraId="2B6CC71F" w14:textId="77777777" w:rsidR="008E67EA" w:rsidRPr="00612FBE" w:rsidRDefault="008E67EA" w:rsidP="00B44A74">
            <w:pPr>
              <w:spacing w:line="280" w:lineRule="exact"/>
              <w:rPr>
                <w:rFonts w:cs="Arial"/>
                <w:sz w:val="20"/>
                <w:szCs w:val="20"/>
              </w:rPr>
            </w:pPr>
          </w:p>
          <w:p w14:paraId="071FC143" w14:textId="77777777" w:rsidR="008E67EA" w:rsidRPr="00612FBE" w:rsidRDefault="008E67EA" w:rsidP="00B44A74">
            <w:pPr>
              <w:spacing w:line="280" w:lineRule="exact"/>
              <w:rPr>
                <w:rFonts w:cs="Arial"/>
                <w:sz w:val="20"/>
                <w:szCs w:val="20"/>
              </w:rPr>
            </w:pPr>
            <w:r w:rsidRPr="00612FBE">
              <w:rPr>
                <w:rFonts w:cs="Arial"/>
                <w:sz w:val="20"/>
                <w:szCs w:val="20"/>
              </w:rPr>
              <w:t>PROTECTION OF LIVESTOCK AND WILDLIFE</w:t>
            </w:r>
          </w:p>
          <w:p w14:paraId="6845E860" w14:textId="77777777" w:rsidR="008E67EA" w:rsidRPr="00612FBE" w:rsidRDefault="008E67EA" w:rsidP="00B44A74">
            <w:pPr>
              <w:spacing w:line="280" w:lineRule="exact"/>
              <w:rPr>
                <w:rFonts w:cs="Arial"/>
                <w:sz w:val="20"/>
                <w:szCs w:val="20"/>
              </w:rPr>
            </w:pPr>
            <w:r w:rsidRPr="00612FBE">
              <w:rPr>
                <w:rFonts w:cs="Arial"/>
                <w:sz w:val="20"/>
                <w:szCs w:val="20"/>
              </w:rPr>
              <w:t>Hazardous to livestock, poultry and wildlife. DO NOT place baits in locations that are accessible to domestic animals, livestock, non-target native animals or birds.</w:t>
            </w:r>
          </w:p>
          <w:p w14:paraId="5CF09E30" w14:textId="77777777" w:rsidR="008E67EA" w:rsidRPr="00612FBE" w:rsidRDefault="008E67EA" w:rsidP="00B44A74">
            <w:pPr>
              <w:spacing w:line="280" w:lineRule="exact"/>
              <w:rPr>
                <w:rFonts w:cs="Arial"/>
                <w:sz w:val="20"/>
                <w:szCs w:val="20"/>
              </w:rPr>
            </w:pPr>
            <w:r w:rsidRPr="00612FBE">
              <w:rPr>
                <w:rFonts w:cs="Arial"/>
                <w:sz w:val="20"/>
                <w:szCs w:val="20"/>
              </w:rPr>
              <w:t xml:space="preserve">Search for and dispose of dead rodents and slugs/snails in the infested area at each visit to prevent secondary poisoning. In case slugs/snails are present, move bait station to another location within the rodent infested site, away from slugs/snails. Dispose of slugs/snails, dead rodents and uneaten bait by wrapping in paper, placing in plastic bag and putting in garbage. </w:t>
            </w:r>
          </w:p>
          <w:p w14:paraId="15F1862F" w14:textId="77777777" w:rsidR="008E67EA" w:rsidRPr="00612FBE" w:rsidRDefault="008E67EA" w:rsidP="00B44A74">
            <w:pPr>
              <w:spacing w:line="280" w:lineRule="exact"/>
              <w:rPr>
                <w:rFonts w:cs="Arial"/>
                <w:sz w:val="20"/>
                <w:szCs w:val="20"/>
              </w:rPr>
            </w:pPr>
            <w:r w:rsidRPr="00612FBE">
              <w:rPr>
                <w:rFonts w:cs="Arial"/>
                <w:sz w:val="20"/>
                <w:szCs w:val="20"/>
              </w:rPr>
              <w:lastRenderedPageBreak/>
              <w:t>DO NOT allow livestock or poultry to consume dead or moribund mice</w:t>
            </w:r>
            <w:r>
              <w:rPr>
                <w:rFonts w:cs="Arial"/>
                <w:sz w:val="20"/>
                <w:szCs w:val="20"/>
              </w:rPr>
              <w:t xml:space="preserve"> and rats</w:t>
            </w:r>
            <w:r w:rsidRPr="00612FBE">
              <w:rPr>
                <w:rFonts w:cs="Arial"/>
                <w:sz w:val="20"/>
                <w:szCs w:val="20"/>
              </w:rPr>
              <w:t>. All dead or moribund animals and rodent faeces from baited rodents MUST be removed from areas accessible to livestock or poultry.</w:t>
            </w:r>
          </w:p>
          <w:p w14:paraId="6DB57E61" w14:textId="25F86E08" w:rsidR="008E67EA" w:rsidRDefault="008E67EA" w:rsidP="00B44A74">
            <w:pPr>
              <w:spacing w:line="280" w:lineRule="exact"/>
              <w:rPr>
                <w:rFonts w:cs="Arial"/>
                <w:sz w:val="20"/>
                <w:szCs w:val="20"/>
              </w:rPr>
            </w:pPr>
            <w:r w:rsidRPr="00612FBE">
              <w:rPr>
                <w:rFonts w:cs="Arial"/>
                <w:sz w:val="20"/>
                <w:szCs w:val="20"/>
              </w:rPr>
              <w:t>DO NOT let cats, dogs or non-target animals eat poisoned rats.</w:t>
            </w:r>
          </w:p>
          <w:p w14:paraId="66BE501D" w14:textId="77777777" w:rsidR="008E67EA" w:rsidRDefault="008E67EA" w:rsidP="00B44A74">
            <w:pPr>
              <w:spacing w:line="280" w:lineRule="exact"/>
              <w:rPr>
                <w:rFonts w:cs="Arial"/>
                <w:sz w:val="20"/>
                <w:szCs w:val="20"/>
              </w:rPr>
            </w:pPr>
            <w:r w:rsidRPr="00612FBE">
              <w:rPr>
                <w:rFonts w:cs="Arial"/>
                <w:sz w:val="20"/>
                <w:szCs w:val="20"/>
              </w:rPr>
              <w:t>DO NOT use this product to control native animals.</w:t>
            </w:r>
          </w:p>
          <w:p w14:paraId="2E14528F" w14:textId="77777777" w:rsidR="008E67EA" w:rsidRPr="00612FBE" w:rsidRDefault="008E67EA" w:rsidP="00B44A74">
            <w:pPr>
              <w:spacing w:line="280" w:lineRule="exact"/>
              <w:rPr>
                <w:rFonts w:cs="Arial"/>
                <w:sz w:val="20"/>
                <w:szCs w:val="20"/>
              </w:rPr>
            </w:pPr>
          </w:p>
          <w:p w14:paraId="5CB0129C" w14:textId="77777777" w:rsidR="008E67EA" w:rsidRPr="00612FBE" w:rsidRDefault="008E67EA" w:rsidP="00B44A74">
            <w:pPr>
              <w:spacing w:line="280" w:lineRule="exact"/>
              <w:rPr>
                <w:rFonts w:cs="Arial"/>
                <w:sz w:val="20"/>
                <w:szCs w:val="20"/>
              </w:rPr>
            </w:pPr>
            <w:r w:rsidRPr="00612FBE">
              <w:rPr>
                <w:rFonts w:cs="Arial"/>
                <w:sz w:val="20"/>
                <w:szCs w:val="20"/>
              </w:rPr>
              <w:t>PROTECTION OF FISH, CRUSTACEANS AND ENVIRONMENT</w:t>
            </w:r>
          </w:p>
          <w:p w14:paraId="69C6E2A1" w14:textId="77777777" w:rsidR="008E67EA" w:rsidRPr="00612FBE" w:rsidRDefault="008E67EA" w:rsidP="00B44A74">
            <w:pPr>
              <w:spacing w:line="280" w:lineRule="exact"/>
              <w:rPr>
                <w:rFonts w:cs="Arial"/>
                <w:sz w:val="20"/>
                <w:szCs w:val="20"/>
              </w:rPr>
            </w:pPr>
            <w:r w:rsidRPr="00612FBE">
              <w:rPr>
                <w:rFonts w:cs="Arial"/>
                <w:sz w:val="20"/>
                <w:szCs w:val="20"/>
              </w:rPr>
              <w:t>Very toxic to aquatic life. DO NOT contaminate wetlands or watercourses with this product or used containers. Place the bait stations in areas not liable to flooding. When placing bait stations close to water drainage systems, ensure that bait contact with water is avoided</w:t>
            </w:r>
            <w:r>
              <w:rPr>
                <w:rFonts w:cs="Arial"/>
                <w:sz w:val="20"/>
                <w:szCs w:val="20"/>
              </w:rPr>
              <w:t>.</w:t>
            </w:r>
          </w:p>
        </w:tc>
      </w:tr>
      <w:tr w:rsidR="008E67EA" w:rsidRPr="00612FBE" w14:paraId="771DA521" w14:textId="77777777" w:rsidTr="00B44A74">
        <w:trPr>
          <w:jc w:val="center"/>
        </w:trPr>
        <w:tc>
          <w:tcPr>
            <w:tcW w:w="2415" w:type="dxa"/>
            <w:tcBorders>
              <w:top w:val="single" w:sz="4" w:space="0" w:color="auto"/>
              <w:left w:val="nil"/>
              <w:bottom w:val="single" w:sz="4" w:space="0" w:color="auto"/>
              <w:right w:val="nil"/>
            </w:tcBorders>
          </w:tcPr>
          <w:p w14:paraId="7948D6C6"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A645BAB" w14:textId="77777777" w:rsidR="008E67EA" w:rsidRPr="00612FBE" w:rsidRDefault="008E67EA" w:rsidP="00B44A74">
            <w:pPr>
              <w:spacing w:line="280" w:lineRule="exact"/>
              <w:rPr>
                <w:rFonts w:cs="Arial"/>
                <w:sz w:val="20"/>
                <w:szCs w:val="20"/>
              </w:rPr>
            </w:pPr>
          </w:p>
        </w:tc>
      </w:tr>
      <w:tr w:rsidR="008E67EA" w:rsidRPr="00612FBE" w14:paraId="6DE22E6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754E67D" w14:textId="77777777" w:rsidR="008E67EA" w:rsidRPr="00F5215F" w:rsidRDefault="008E67EA" w:rsidP="00B44A74">
            <w:pPr>
              <w:spacing w:line="280" w:lineRule="exact"/>
              <w:rPr>
                <w:rFonts w:cs="Arial"/>
                <w:sz w:val="20"/>
                <w:szCs w:val="20"/>
              </w:rPr>
            </w:pPr>
            <w:r w:rsidRPr="00F5215F">
              <w:rPr>
                <w:rFonts w:cs="Arial"/>
                <w:sz w:val="20"/>
                <w:szCs w:val="20"/>
              </w:rPr>
              <w:t>Protectio</w:t>
            </w:r>
            <w:r>
              <w:rPr>
                <w:rFonts w:cs="Arial"/>
                <w:sz w:val="20"/>
                <w:szCs w:val="20"/>
              </w:rPr>
              <w:t>ns</w:t>
            </w:r>
            <w:r w:rsidRPr="00F5215F">
              <w:rPr>
                <w:rFonts w:cs="Arial"/>
                <w:sz w:val="20"/>
                <w:szCs w:val="20"/>
              </w:rPr>
              <w:t>:</w:t>
            </w:r>
          </w:p>
        </w:tc>
        <w:tc>
          <w:tcPr>
            <w:tcW w:w="7755" w:type="dxa"/>
            <w:tcBorders>
              <w:top w:val="single" w:sz="4" w:space="0" w:color="auto"/>
              <w:left w:val="single" w:sz="4" w:space="0" w:color="auto"/>
              <w:bottom w:val="single" w:sz="4" w:space="0" w:color="auto"/>
              <w:right w:val="single" w:sz="4" w:space="0" w:color="auto"/>
            </w:tcBorders>
          </w:tcPr>
          <w:p w14:paraId="1F1B1ADC" w14:textId="77777777" w:rsidR="008E67EA" w:rsidRPr="00612FBE" w:rsidRDefault="008E67EA" w:rsidP="00B44A74">
            <w:pPr>
              <w:spacing w:line="280" w:lineRule="exact"/>
              <w:rPr>
                <w:rFonts w:cs="Arial"/>
                <w:sz w:val="20"/>
                <w:szCs w:val="20"/>
              </w:rPr>
            </w:pPr>
          </w:p>
        </w:tc>
      </w:tr>
      <w:tr w:rsidR="008E67EA" w:rsidRPr="00612FBE" w14:paraId="124F7C7E" w14:textId="77777777" w:rsidTr="00B44A74">
        <w:trPr>
          <w:jc w:val="center"/>
        </w:trPr>
        <w:tc>
          <w:tcPr>
            <w:tcW w:w="2415" w:type="dxa"/>
            <w:tcBorders>
              <w:top w:val="single" w:sz="4" w:space="0" w:color="auto"/>
              <w:left w:val="nil"/>
              <w:bottom w:val="single" w:sz="4" w:space="0" w:color="auto"/>
              <w:right w:val="nil"/>
            </w:tcBorders>
          </w:tcPr>
          <w:p w14:paraId="191B265F"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19BD537" w14:textId="77777777" w:rsidR="008E67EA" w:rsidRPr="00612FBE" w:rsidRDefault="008E67EA" w:rsidP="00B44A74">
            <w:pPr>
              <w:spacing w:line="280" w:lineRule="exact"/>
              <w:rPr>
                <w:rFonts w:cs="Arial"/>
                <w:sz w:val="20"/>
                <w:szCs w:val="20"/>
              </w:rPr>
            </w:pPr>
          </w:p>
        </w:tc>
      </w:tr>
      <w:tr w:rsidR="008E67EA" w:rsidRPr="00612FBE" w14:paraId="04DBA93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E67BBA1" w14:textId="77777777" w:rsidR="008E67EA" w:rsidRPr="00F5215F" w:rsidRDefault="008E67EA" w:rsidP="00B44A74">
            <w:pPr>
              <w:spacing w:line="280" w:lineRule="exact"/>
              <w:rPr>
                <w:rFonts w:cs="Arial"/>
                <w:sz w:val="20"/>
                <w:szCs w:val="20"/>
              </w:rPr>
            </w:pPr>
            <w:r w:rsidRPr="00F5215F">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3C95B866" w14:textId="77777777" w:rsidR="008E67EA" w:rsidRPr="003F5316" w:rsidRDefault="008E67EA" w:rsidP="00B44A74">
            <w:pPr>
              <w:spacing w:line="280" w:lineRule="exact"/>
              <w:rPr>
                <w:rFonts w:cs="Arial"/>
                <w:sz w:val="20"/>
                <w:szCs w:val="20"/>
                <w:bdr w:val="none" w:sz="0" w:space="0" w:color="auto" w:frame="1"/>
                <w:lang w:val="en-GB" w:eastAsia="en-AU"/>
              </w:rPr>
            </w:pPr>
            <w:r w:rsidRPr="00D96955">
              <w:rPr>
                <w:rFonts w:cs="Arial"/>
                <w:sz w:val="20"/>
                <w:szCs w:val="20"/>
                <w:bdr w:val="none" w:sz="0" w:space="0" w:color="auto" w:frame="1"/>
                <w:lang w:val="en-GB" w:eastAsia="en-AU"/>
              </w:rPr>
              <w:t>STORAGE AND DISPOSAL</w:t>
            </w:r>
          </w:p>
          <w:p w14:paraId="56D001A3" w14:textId="3DF43690" w:rsidR="008E67EA" w:rsidRPr="00612FBE" w:rsidRDefault="008E67EA" w:rsidP="00B44A74">
            <w:pPr>
              <w:spacing w:line="280" w:lineRule="exact"/>
              <w:rPr>
                <w:rFonts w:cs="Arial"/>
                <w:sz w:val="20"/>
                <w:szCs w:val="20"/>
              </w:rPr>
            </w:pPr>
            <w:r w:rsidRPr="00612FBE">
              <w:rPr>
                <w:rFonts w:cs="Arial"/>
                <w:sz w:val="20"/>
                <w:szCs w:val="20"/>
              </w:rPr>
              <w:t>Store in the closed, original container in a cool, dry, place out of reach of children. D</w:t>
            </w:r>
            <w:r>
              <w:rPr>
                <w:rFonts w:cs="Arial"/>
                <w:sz w:val="20"/>
                <w:szCs w:val="20"/>
              </w:rPr>
              <w:t>O NOT</w:t>
            </w:r>
            <w:r w:rsidRPr="00612FBE">
              <w:rPr>
                <w:rFonts w:cs="Arial"/>
                <w:sz w:val="20"/>
                <w:szCs w:val="20"/>
              </w:rPr>
              <w:t xml:space="preserve"> store in direct sunlight. Dispose of empty containers</w:t>
            </w:r>
            <w:r>
              <w:rPr>
                <w:rFonts w:cs="Arial"/>
                <w:sz w:val="20"/>
                <w:szCs w:val="20"/>
              </w:rPr>
              <w:t xml:space="preserve"> and unused product</w:t>
            </w:r>
            <w:r w:rsidRPr="00612FBE">
              <w:rPr>
                <w:rFonts w:cs="Arial"/>
                <w:sz w:val="20"/>
                <w:szCs w:val="20"/>
              </w:rPr>
              <w:t xml:space="preserve"> by wrapping in paper placing in plastic bag and putting in garbage.</w:t>
            </w:r>
          </w:p>
        </w:tc>
      </w:tr>
      <w:tr w:rsidR="008E67EA" w:rsidRPr="00612FBE" w14:paraId="49BDFE04" w14:textId="77777777" w:rsidTr="00B44A74">
        <w:trPr>
          <w:jc w:val="center"/>
        </w:trPr>
        <w:tc>
          <w:tcPr>
            <w:tcW w:w="2415" w:type="dxa"/>
            <w:tcBorders>
              <w:top w:val="single" w:sz="4" w:space="0" w:color="auto"/>
              <w:left w:val="nil"/>
              <w:bottom w:val="single" w:sz="4" w:space="0" w:color="auto"/>
              <w:right w:val="nil"/>
            </w:tcBorders>
          </w:tcPr>
          <w:p w14:paraId="79F7D5D5"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3D33C53" w14:textId="77777777" w:rsidR="008E67EA" w:rsidRPr="00612FBE" w:rsidRDefault="008E67EA" w:rsidP="00B44A74">
            <w:pPr>
              <w:spacing w:line="280" w:lineRule="exact"/>
              <w:rPr>
                <w:rFonts w:cs="Arial"/>
                <w:sz w:val="20"/>
                <w:szCs w:val="20"/>
              </w:rPr>
            </w:pPr>
          </w:p>
        </w:tc>
      </w:tr>
      <w:tr w:rsidR="008E67EA" w:rsidRPr="00612FBE" w14:paraId="2B4D371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8C6AC55" w14:textId="77777777" w:rsidR="008E67EA" w:rsidRPr="00F5215F" w:rsidRDefault="008E67EA" w:rsidP="00B44A74">
            <w:pPr>
              <w:spacing w:line="280" w:lineRule="exact"/>
              <w:rPr>
                <w:rFonts w:cs="Arial"/>
                <w:sz w:val="20"/>
                <w:szCs w:val="20"/>
              </w:rPr>
            </w:pPr>
            <w:r w:rsidRPr="00F5215F">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18CDFA4B" w14:textId="77777777" w:rsidR="008E67EA" w:rsidRPr="003F5316" w:rsidRDefault="008E67EA" w:rsidP="00B44A74">
            <w:pPr>
              <w:spacing w:line="280" w:lineRule="exact"/>
              <w:rPr>
                <w:rFonts w:cs="Arial"/>
                <w:sz w:val="20"/>
                <w:szCs w:val="20"/>
                <w:bdr w:val="none" w:sz="0" w:space="0" w:color="auto" w:frame="1"/>
                <w:lang w:val="en-GB" w:eastAsia="en-AU"/>
              </w:rPr>
            </w:pPr>
            <w:r w:rsidRPr="00D96955">
              <w:rPr>
                <w:rFonts w:cs="Arial"/>
                <w:sz w:val="20"/>
                <w:szCs w:val="20"/>
                <w:bdr w:val="none" w:sz="0" w:space="0" w:color="auto" w:frame="1"/>
                <w:lang w:val="en-GB" w:eastAsia="en-AU"/>
              </w:rPr>
              <w:t>SAFETY DIRECTIONS</w:t>
            </w:r>
          </w:p>
          <w:p w14:paraId="3107D8AD" w14:textId="46A1E440" w:rsidR="008E67EA" w:rsidRDefault="008E67EA" w:rsidP="00B44A74">
            <w:pPr>
              <w:spacing w:line="280" w:lineRule="exact"/>
              <w:rPr>
                <w:rFonts w:cs="Arial"/>
                <w:sz w:val="20"/>
                <w:szCs w:val="20"/>
              </w:rPr>
            </w:pPr>
            <w:r w:rsidRPr="00612FBE">
              <w:rPr>
                <w:rFonts w:cs="Arial"/>
                <w:sz w:val="20"/>
                <w:szCs w:val="20"/>
              </w:rPr>
              <w:t>Repeated minor exposure may have a cumulative poisoning effect. Will irritate the skin. May irritate eyes. Avoid contact with eyes and skin. Do not touch bait, use scoop or measure. When using the product wear disposable gloves. If on skin and after each baiting, wash thoroughly with soap and water.</w:t>
            </w:r>
          </w:p>
          <w:p w14:paraId="15103EFD" w14:textId="6B545D47" w:rsidR="008E67EA" w:rsidRPr="00612FBE" w:rsidRDefault="008E67EA" w:rsidP="00B44A74">
            <w:pPr>
              <w:spacing w:line="280" w:lineRule="exact"/>
              <w:rPr>
                <w:rFonts w:cs="Arial"/>
                <w:sz w:val="20"/>
                <w:szCs w:val="20"/>
              </w:rPr>
            </w:pPr>
            <w:r w:rsidRPr="00612FBE">
              <w:rPr>
                <w:rFonts w:cs="Arial"/>
                <w:sz w:val="20"/>
                <w:szCs w:val="20"/>
              </w:rPr>
              <w:t>During cleanup and disposal operations of bait and bait stations, wear a single layer of clothing and disposable gloves. Wear disposable gloves when handling rodent carcasses. Wash clothes after performing re-handling activities.</w:t>
            </w:r>
          </w:p>
        </w:tc>
      </w:tr>
      <w:tr w:rsidR="008E67EA" w:rsidRPr="00612FBE" w14:paraId="2453A9DD" w14:textId="77777777" w:rsidTr="00B44A74">
        <w:trPr>
          <w:jc w:val="center"/>
        </w:trPr>
        <w:tc>
          <w:tcPr>
            <w:tcW w:w="2415" w:type="dxa"/>
            <w:tcBorders>
              <w:top w:val="single" w:sz="4" w:space="0" w:color="auto"/>
              <w:left w:val="nil"/>
              <w:bottom w:val="single" w:sz="4" w:space="0" w:color="auto"/>
              <w:right w:val="nil"/>
            </w:tcBorders>
          </w:tcPr>
          <w:p w14:paraId="4C475CA0"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8B935D9" w14:textId="77777777" w:rsidR="008E67EA" w:rsidRPr="00612FBE" w:rsidRDefault="008E67EA" w:rsidP="00B44A74">
            <w:pPr>
              <w:spacing w:line="280" w:lineRule="exact"/>
              <w:rPr>
                <w:rFonts w:cs="Arial"/>
                <w:sz w:val="20"/>
                <w:szCs w:val="20"/>
              </w:rPr>
            </w:pPr>
          </w:p>
        </w:tc>
      </w:tr>
      <w:tr w:rsidR="008E67EA" w:rsidRPr="00612FBE" w14:paraId="5ECA484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8A84992" w14:textId="77777777" w:rsidR="008E67EA" w:rsidRPr="00F5215F" w:rsidRDefault="008E67EA" w:rsidP="00B44A74">
            <w:pPr>
              <w:spacing w:line="280" w:lineRule="exact"/>
              <w:rPr>
                <w:rFonts w:cs="Arial"/>
                <w:sz w:val="20"/>
                <w:szCs w:val="20"/>
              </w:rPr>
            </w:pPr>
            <w:r w:rsidRPr="00F5215F">
              <w:rPr>
                <w:rFonts w:cs="Arial"/>
                <w:sz w:val="20"/>
                <w:szCs w:val="20"/>
              </w:rPr>
              <w:t>First Aid Instructions:</w:t>
            </w:r>
          </w:p>
        </w:tc>
        <w:tc>
          <w:tcPr>
            <w:tcW w:w="7755" w:type="dxa"/>
            <w:tcBorders>
              <w:top w:val="single" w:sz="4" w:space="0" w:color="auto"/>
              <w:left w:val="single" w:sz="4" w:space="0" w:color="auto"/>
              <w:bottom w:val="single" w:sz="4" w:space="0" w:color="auto"/>
              <w:right w:val="single" w:sz="4" w:space="0" w:color="auto"/>
            </w:tcBorders>
          </w:tcPr>
          <w:p w14:paraId="2B1B280D" w14:textId="77777777" w:rsidR="008E67EA" w:rsidRPr="003F5316" w:rsidRDefault="008E67EA" w:rsidP="00B44A74">
            <w:pPr>
              <w:spacing w:line="280" w:lineRule="exact"/>
              <w:rPr>
                <w:rFonts w:cs="Arial"/>
                <w:sz w:val="20"/>
                <w:szCs w:val="20"/>
                <w:bdr w:val="none" w:sz="0" w:space="0" w:color="auto" w:frame="1"/>
                <w:lang w:val="en-GB" w:eastAsia="en-AU"/>
              </w:rPr>
            </w:pPr>
            <w:r w:rsidRPr="00D96955">
              <w:rPr>
                <w:rFonts w:cs="Arial"/>
                <w:sz w:val="20"/>
                <w:szCs w:val="20"/>
                <w:bdr w:val="none" w:sz="0" w:space="0" w:color="auto" w:frame="1"/>
                <w:lang w:val="en-GB" w:eastAsia="en-AU"/>
              </w:rPr>
              <w:t>FIRST AID</w:t>
            </w:r>
          </w:p>
          <w:p w14:paraId="4BDC5589" w14:textId="77777777" w:rsidR="008E67EA" w:rsidRPr="00612FBE" w:rsidRDefault="008E67EA" w:rsidP="00B44A74">
            <w:pPr>
              <w:spacing w:line="280" w:lineRule="exact"/>
              <w:rPr>
                <w:rFonts w:cs="Arial"/>
                <w:sz w:val="20"/>
                <w:szCs w:val="20"/>
              </w:rPr>
            </w:pPr>
            <w:r w:rsidRPr="00612FBE">
              <w:rPr>
                <w:rFonts w:cs="Arial"/>
                <w:sz w:val="20"/>
                <w:szCs w:val="20"/>
              </w:rPr>
              <w:t>If poisoning occurs, contact a doctor or Poisons Information Centre. Phone Australia 13 11 26, New Zealand 0800 764 766. Vitamin K1 (Phytomenadione) is antidotal.</w:t>
            </w:r>
          </w:p>
        </w:tc>
      </w:tr>
      <w:tr w:rsidR="008E67EA" w:rsidRPr="00612FBE" w14:paraId="6566380E" w14:textId="77777777" w:rsidTr="00B44A74">
        <w:trPr>
          <w:jc w:val="center"/>
        </w:trPr>
        <w:tc>
          <w:tcPr>
            <w:tcW w:w="2415" w:type="dxa"/>
            <w:tcBorders>
              <w:top w:val="single" w:sz="4" w:space="0" w:color="auto"/>
              <w:left w:val="nil"/>
              <w:bottom w:val="single" w:sz="4" w:space="0" w:color="auto"/>
              <w:right w:val="nil"/>
            </w:tcBorders>
          </w:tcPr>
          <w:p w14:paraId="1144A285"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11B750D" w14:textId="77777777" w:rsidR="008E67EA" w:rsidRPr="00612FBE" w:rsidRDefault="008E67EA" w:rsidP="00B44A74">
            <w:pPr>
              <w:spacing w:line="280" w:lineRule="exact"/>
              <w:rPr>
                <w:rFonts w:cs="Arial"/>
                <w:sz w:val="20"/>
                <w:szCs w:val="20"/>
              </w:rPr>
            </w:pPr>
          </w:p>
        </w:tc>
      </w:tr>
      <w:tr w:rsidR="008E67EA" w:rsidRPr="00612FBE" w14:paraId="38E7553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D81641A" w14:textId="77777777" w:rsidR="008E67EA" w:rsidRPr="00F5215F" w:rsidRDefault="008E67EA" w:rsidP="00B44A74">
            <w:pPr>
              <w:spacing w:line="280" w:lineRule="exact"/>
              <w:rPr>
                <w:rFonts w:cs="Arial"/>
                <w:sz w:val="20"/>
                <w:szCs w:val="20"/>
              </w:rPr>
            </w:pPr>
            <w:r w:rsidRPr="00F5215F">
              <w:rPr>
                <w:rFonts w:cs="Arial"/>
                <w:sz w:val="20"/>
                <w:szCs w:val="20"/>
              </w:rPr>
              <w:t>First Aid Warnings:</w:t>
            </w:r>
          </w:p>
        </w:tc>
        <w:tc>
          <w:tcPr>
            <w:tcW w:w="7755" w:type="dxa"/>
            <w:tcBorders>
              <w:top w:val="single" w:sz="4" w:space="0" w:color="auto"/>
              <w:left w:val="single" w:sz="4" w:space="0" w:color="auto"/>
              <w:bottom w:val="single" w:sz="4" w:space="0" w:color="auto"/>
              <w:right w:val="single" w:sz="4" w:space="0" w:color="auto"/>
            </w:tcBorders>
          </w:tcPr>
          <w:p w14:paraId="07EA0C52" w14:textId="77777777" w:rsidR="008E67EA" w:rsidRPr="00612FBE" w:rsidRDefault="008E67EA" w:rsidP="00B44A74">
            <w:pPr>
              <w:spacing w:line="280" w:lineRule="exact"/>
              <w:rPr>
                <w:rFonts w:cs="Arial"/>
                <w:sz w:val="20"/>
                <w:szCs w:val="20"/>
              </w:rPr>
            </w:pPr>
          </w:p>
        </w:tc>
      </w:tr>
    </w:tbl>
    <w:p w14:paraId="7B42812A" w14:textId="77777777" w:rsidR="008E67EA" w:rsidRDefault="008E67EA" w:rsidP="008E67EA">
      <w:pPr>
        <w:rPr>
          <w:rFonts w:cs="Arial"/>
          <w:b/>
          <w:bCs/>
          <w:sz w:val="20"/>
          <w:szCs w:val="20"/>
        </w:rPr>
      </w:pPr>
      <w:r>
        <w:rPr>
          <w:rFonts w:cs="Arial"/>
          <w:b/>
          <w:bCs/>
          <w:sz w:val="20"/>
          <w:szCs w:val="20"/>
        </w:rPr>
        <w:br w:type="page"/>
      </w:r>
    </w:p>
    <w:p w14:paraId="41622EFB" w14:textId="77777777" w:rsidR="008E67EA" w:rsidRPr="00FF36BF" w:rsidRDefault="008E67EA" w:rsidP="008E67EA">
      <w:pPr>
        <w:rPr>
          <w:rFonts w:cs="Arial"/>
          <w:b/>
          <w:bCs/>
          <w:sz w:val="20"/>
          <w:szCs w:val="20"/>
        </w:rPr>
      </w:pPr>
      <w:r w:rsidRPr="00FF36BF">
        <w:rPr>
          <w:rFonts w:cs="Arial"/>
          <w:b/>
          <w:bCs/>
          <w:sz w:val="20"/>
          <w:szCs w:val="20"/>
        </w:rPr>
        <w:lastRenderedPageBreak/>
        <w:t>HOW TO USE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181"/>
        <w:gridCol w:w="1842"/>
        <w:gridCol w:w="3897"/>
      </w:tblGrid>
      <w:tr w:rsidR="008E67EA" w:rsidRPr="00FF36BF" w14:paraId="75B551A0" w14:textId="77777777" w:rsidTr="00604F9D">
        <w:trPr>
          <w:trHeight w:val="340"/>
        </w:trPr>
        <w:tc>
          <w:tcPr>
            <w:tcW w:w="1080" w:type="dxa"/>
          </w:tcPr>
          <w:p w14:paraId="6EB11D6F" w14:textId="77777777" w:rsidR="008E67EA" w:rsidRPr="00246206" w:rsidRDefault="008E67EA" w:rsidP="00B44A74">
            <w:pPr>
              <w:pStyle w:val="TableParagraph"/>
              <w:widowControl/>
              <w:adjustRightInd w:val="0"/>
              <w:spacing w:before="61"/>
              <w:ind w:left="0"/>
              <w:rPr>
                <w:rFonts w:eastAsiaTheme="minorHAnsi"/>
                <w:b/>
                <w:bCs/>
                <w:sz w:val="20"/>
                <w:szCs w:val="20"/>
                <w:lang w:val="en-AU"/>
              </w:rPr>
            </w:pPr>
            <w:r w:rsidRPr="00246206">
              <w:rPr>
                <w:rFonts w:eastAsiaTheme="minorHAnsi"/>
                <w:b/>
                <w:bCs/>
                <w:sz w:val="20"/>
                <w:szCs w:val="20"/>
                <w:lang w:val="en-AU"/>
              </w:rPr>
              <w:t>PEST</w:t>
            </w:r>
          </w:p>
        </w:tc>
        <w:tc>
          <w:tcPr>
            <w:tcW w:w="2181" w:type="dxa"/>
          </w:tcPr>
          <w:p w14:paraId="1BC32BC1" w14:textId="77777777" w:rsidR="008E67EA" w:rsidRPr="00246206" w:rsidRDefault="008E67EA" w:rsidP="00B44A74">
            <w:pPr>
              <w:pStyle w:val="TableParagraph"/>
              <w:widowControl/>
              <w:adjustRightInd w:val="0"/>
              <w:spacing w:before="61"/>
              <w:ind w:left="0"/>
              <w:rPr>
                <w:rFonts w:eastAsiaTheme="minorHAnsi"/>
                <w:b/>
                <w:bCs/>
                <w:sz w:val="20"/>
                <w:szCs w:val="20"/>
                <w:lang w:val="en-AU"/>
              </w:rPr>
            </w:pPr>
            <w:r w:rsidRPr="00246206">
              <w:rPr>
                <w:rFonts w:eastAsiaTheme="minorHAnsi"/>
                <w:b/>
                <w:bCs/>
                <w:sz w:val="20"/>
                <w:szCs w:val="20"/>
                <w:lang w:val="en-AU"/>
              </w:rPr>
              <w:t>SITUATION</w:t>
            </w:r>
          </w:p>
        </w:tc>
        <w:tc>
          <w:tcPr>
            <w:tcW w:w="1842" w:type="dxa"/>
          </w:tcPr>
          <w:p w14:paraId="29724B7A" w14:textId="77777777" w:rsidR="008E67EA" w:rsidRPr="00246206" w:rsidRDefault="008E67EA" w:rsidP="00B44A74">
            <w:pPr>
              <w:pStyle w:val="TableParagraph"/>
              <w:widowControl/>
              <w:adjustRightInd w:val="0"/>
              <w:spacing w:before="61"/>
              <w:ind w:left="0"/>
              <w:rPr>
                <w:rFonts w:eastAsiaTheme="minorHAnsi"/>
                <w:b/>
                <w:bCs/>
                <w:sz w:val="20"/>
                <w:szCs w:val="20"/>
                <w:lang w:val="en-AU"/>
              </w:rPr>
            </w:pPr>
            <w:r w:rsidRPr="00246206">
              <w:rPr>
                <w:rFonts w:eastAsiaTheme="minorHAnsi"/>
                <w:b/>
                <w:bCs/>
                <w:sz w:val="20"/>
                <w:szCs w:val="20"/>
                <w:lang w:val="en-AU"/>
              </w:rPr>
              <w:t>RATE</w:t>
            </w:r>
          </w:p>
        </w:tc>
        <w:tc>
          <w:tcPr>
            <w:tcW w:w="3897" w:type="dxa"/>
          </w:tcPr>
          <w:p w14:paraId="20C66249" w14:textId="77777777" w:rsidR="008E67EA" w:rsidRPr="00246206" w:rsidRDefault="008E67EA" w:rsidP="00B44A74">
            <w:pPr>
              <w:pStyle w:val="TableParagraph"/>
              <w:widowControl/>
              <w:adjustRightInd w:val="0"/>
              <w:spacing w:before="61"/>
              <w:ind w:left="0"/>
              <w:rPr>
                <w:rFonts w:eastAsiaTheme="minorHAnsi"/>
                <w:b/>
                <w:bCs/>
                <w:sz w:val="20"/>
                <w:szCs w:val="20"/>
                <w:lang w:val="en-AU"/>
              </w:rPr>
            </w:pPr>
            <w:r w:rsidRPr="00246206">
              <w:rPr>
                <w:rFonts w:eastAsiaTheme="minorHAnsi"/>
                <w:b/>
                <w:bCs/>
                <w:sz w:val="20"/>
                <w:szCs w:val="20"/>
                <w:lang w:val="en-AU"/>
              </w:rPr>
              <w:t>HOW TO APPLY</w:t>
            </w:r>
          </w:p>
        </w:tc>
      </w:tr>
      <w:tr w:rsidR="008E67EA" w:rsidRPr="00FF36BF" w14:paraId="6AA81790" w14:textId="77777777" w:rsidTr="00604F9D">
        <w:trPr>
          <w:trHeight w:val="421"/>
        </w:trPr>
        <w:tc>
          <w:tcPr>
            <w:tcW w:w="1080" w:type="dxa"/>
          </w:tcPr>
          <w:p w14:paraId="48094F6D" w14:textId="77777777" w:rsidR="008E67EA" w:rsidRPr="005D3D45" w:rsidRDefault="008E67EA" w:rsidP="00B44A74">
            <w:pPr>
              <w:spacing w:line="280" w:lineRule="exact"/>
              <w:rPr>
                <w:rFonts w:cs="Arial"/>
                <w:sz w:val="20"/>
                <w:szCs w:val="20"/>
              </w:rPr>
            </w:pPr>
            <w:r>
              <w:rPr>
                <w:rFonts w:cs="Arial"/>
                <w:sz w:val="20"/>
                <w:szCs w:val="20"/>
              </w:rPr>
              <w:t>Rats</w:t>
            </w:r>
          </w:p>
        </w:tc>
        <w:tc>
          <w:tcPr>
            <w:tcW w:w="2181" w:type="dxa"/>
          </w:tcPr>
          <w:p w14:paraId="2838DC72" w14:textId="77777777" w:rsidR="008E67EA" w:rsidRPr="005D3D45" w:rsidRDefault="008E67EA" w:rsidP="00B44A74">
            <w:pPr>
              <w:spacing w:line="280" w:lineRule="exact"/>
              <w:rPr>
                <w:rFonts w:cs="Arial"/>
                <w:sz w:val="20"/>
                <w:szCs w:val="20"/>
              </w:rPr>
            </w:pPr>
            <w:r w:rsidRPr="005D3D45">
              <w:rPr>
                <w:rFonts w:cs="Arial"/>
                <w:sz w:val="20"/>
                <w:szCs w:val="20"/>
              </w:rPr>
              <w:t>In</w:t>
            </w:r>
            <w:r>
              <w:rPr>
                <w:rFonts w:cs="Arial"/>
                <w:sz w:val="20"/>
                <w:szCs w:val="20"/>
              </w:rPr>
              <w:t xml:space="preserve"> and around</w:t>
            </w:r>
            <w:r w:rsidRPr="005D3D45">
              <w:rPr>
                <w:rFonts w:cs="Arial"/>
                <w:sz w:val="20"/>
                <w:szCs w:val="20"/>
              </w:rPr>
              <w:t xml:space="preserve"> </w:t>
            </w:r>
            <w:r>
              <w:rPr>
                <w:rFonts w:cs="Arial"/>
                <w:sz w:val="20"/>
                <w:szCs w:val="20"/>
              </w:rPr>
              <w:t xml:space="preserve">(within 2 meters) </w:t>
            </w:r>
            <w:r w:rsidRPr="005D3D45">
              <w:rPr>
                <w:rFonts w:cs="Arial"/>
                <w:sz w:val="20"/>
                <w:szCs w:val="20"/>
              </w:rPr>
              <w:t>domestic buildings and commercial premises</w:t>
            </w:r>
          </w:p>
        </w:tc>
        <w:tc>
          <w:tcPr>
            <w:tcW w:w="1842" w:type="dxa"/>
          </w:tcPr>
          <w:p w14:paraId="286DBEB5" w14:textId="77777777" w:rsidR="008E67EA" w:rsidRPr="005D3D45" w:rsidRDefault="008E67EA" w:rsidP="00B44A74">
            <w:pPr>
              <w:spacing w:line="280" w:lineRule="exact"/>
              <w:rPr>
                <w:rFonts w:cs="Arial"/>
                <w:sz w:val="20"/>
                <w:szCs w:val="20"/>
              </w:rPr>
            </w:pPr>
            <w:r>
              <w:rPr>
                <w:rFonts w:cs="Arial"/>
                <w:sz w:val="20"/>
                <w:szCs w:val="20"/>
              </w:rPr>
              <w:t>Five 20 g blocks per bait station</w:t>
            </w:r>
          </w:p>
        </w:tc>
        <w:tc>
          <w:tcPr>
            <w:tcW w:w="3897" w:type="dxa"/>
          </w:tcPr>
          <w:p w14:paraId="1539EF90" w14:textId="77777777" w:rsidR="008E67EA" w:rsidRPr="005D3D45" w:rsidRDefault="008E67EA" w:rsidP="00B44A74">
            <w:pPr>
              <w:spacing w:line="280" w:lineRule="exact"/>
              <w:rPr>
                <w:rFonts w:cs="Arial"/>
                <w:sz w:val="20"/>
                <w:szCs w:val="20"/>
              </w:rPr>
            </w:pPr>
            <w:r w:rsidRPr="005D3D45">
              <w:rPr>
                <w:rFonts w:cs="Arial"/>
                <w:sz w:val="20"/>
                <w:szCs w:val="20"/>
              </w:rPr>
              <w:t>Place bait stations</w:t>
            </w:r>
            <w:r>
              <w:rPr>
                <w:rFonts w:cs="Arial"/>
                <w:sz w:val="20"/>
                <w:szCs w:val="20"/>
              </w:rPr>
              <w:t xml:space="preserve"> in dry locations</w:t>
            </w:r>
            <w:r w:rsidRPr="005D3D45">
              <w:rPr>
                <w:rFonts w:cs="Arial"/>
                <w:sz w:val="20"/>
                <w:szCs w:val="20"/>
              </w:rPr>
              <w:t xml:space="preserve"> throughout the infested area, on runs, near burrows and where droppings are seen, not more than </w:t>
            </w:r>
            <w:r>
              <w:rPr>
                <w:rFonts w:cs="Arial"/>
                <w:sz w:val="20"/>
                <w:szCs w:val="20"/>
              </w:rPr>
              <w:t>9</w:t>
            </w:r>
            <w:r w:rsidRPr="005D3D45">
              <w:rPr>
                <w:rFonts w:cs="Arial"/>
                <w:sz w:val="20"/>
                <w:szCs w:val="20"/>
              </w:rPr>
              <w:t xml:space="preserve"> m apart.</w:t>
            </w:r>
          </w:p>
        </w:tc>
      </w:tr>
      <w:tr w:rsidR="008E67EA" w:rsidRPr="00FF36BF" w14:paraId="62777F54" w14:textId="77777777" w:rsidTr="00604F9D">
        <w:trPr>
          <w:trHeight w:val="421"/>
        </w:trPr>
        <w:tc>
          <w:tcPr>
            <w:tcW w:w="9000" w:type="dxa"/>
            <w:gridSpan w:val="4"/>
          </w:tcPr>
          <w:p w14:paraId="4D9CEE9D" w14:textId="4BBE3FB2" w:rsidR="008E67EA" w:rsidRPr="001E6DA9" w:rsidRDefault="008E67EA" w:rsidP="00B44A74">
            <w:pPr>
              <w:spacing w:after="120" w:line="280" w:lineRule="exact"/>
              <w:rPr>
                <w:rFonts w:eastAsia="Calibri" w:cs="Arial"/>
                <w:b/>
                <w:bCs/>
                <w:sz w:val="20"/>
                <w:szCs w:val="20"/>
                <w:bdr w:val="none" w:sz="0" w:space="0" w:color="auto" w:frame="1"/>
                <w:lang w:val="en-GB"/>
              </w:rPr>
            </w:pPr>
            <w:r w:rsidRPr="001E6DA9">
              <w:rPr>
                <w:rFonts w:eastAsia="Calibri" w:cs="Arial"/>
                <w:b/>
                <w:bCs/>
                <w:sz w:val="20"/>
                <w:szCs w:val="20"/>
                <w:bdr w:val="none" w:sz="0" w:space="0" w:color="auto" w:frame="1"/>
                <w:lang w:val="en-GB"/>
              </w:rPr>
              <w:t xml:space="preserve">General Information and baiting strategy for </w:t>
            </w:r>
            <w:r>
              <w:rPr>
                <w:rFonts w:eastAsia="Calibri" w:cs="Arial"/>
                <w:b/>
                <w:bCs/>
                <w:sz w:val="20"/>
                <w:szCs w:val="20"/>
                <w:bdr w:val="none" w:sz="0" w:space="0" w:color="auto" w:frame="1"/>
                <w:lang w:val="en-GB"/>
              </w:rPr>
              <w:t>rats</w:t>
            </w:r>
            <w:r w:rsidRPr="001E6DA9">
              <w:rPr>
                <w:rFonts w:eastAsia="Calibri" w:cs="Arial"/>
                <w:b/>
                <w:bCs/>
                <w:sz w:val="20"/>
                <w:szCs w:val="20"/>
                <w:bdr w:val="none" w:sz="0" w:space="0" w:color="auto" w:frame="1"/>
                <w:lang w:val="en-GB"/>
              </w:rPr>
              <w:t>:</w:t>
            </w:r>
          </w:p>
          <w:p w14:paraId="187AEE2E" w14:textId="5C9E5E56" w:rsidR="008E67EA" w:rsidRDefault="008E67EA" w:rsidP="00B44A74">
            <w:pPr>
              <w:spacing w:after="120" w:line="280" w:lineRule="exact"/>
              <w:rPr>
                <w:rFonts w:eastAsia="Calibri" w:cs="Arial"/>
                <w:sz w:val="20"/>
                <w:szCs w:val="20"/>
                <w:bdr w:val="none" w:sz="0" w:space="0" w:color="auto" w:frame="1"/>
                <w:lang w:val="en-GB"/>
              </w:rPr>
            </w:pPr>
            <w:r w:rsidRPr="001E6DA9">
              <w:rPr>
                <w:rFonts w:eastAsia="Calibri" w:cs="Arial"/>
                <w:sz w:val="20"/>
                <w:szCs w:val="20"/>
                <w:bdr w:val="none" w:sz="0" w:space="0" w:color="auto" w:frame="1"/>
                <w:lang w:val="en-GB"/>
              </w:rPr>
              <w:t>Eliminate as far as practicable, all other food sources.</w:t>
            </w:r>
          </w:p>
          <w:p w14:paraId="3F1018D4" w14:textId="0F5CFE74" w:rsidR="008E67EA" w:rsidRPr="001E6DA9" w:rsidRDefault="008E67EA" w:rsidP="00B44A74">
            <w:pPr>
              <w:spacing w:after="120" w:line="280" w:lineRule="exact"/>
              <w:rPr>
                <w:rFonts w:eastAsia="Calibri" w:cs="Arial"/>
                <w:sz w:val="20"/>
                <w:szCs w:val="20"/>
                <w:bdr w:val="none" w:sz="0" w:space="0" w:color="auto" w:frame="1"/>
                <w:lang w:val="en-GB"/>
              </w:rPr>
            </w:pPr>
            <w:r w:rsidRPr="001E6DA9">
              <w:rPr>
                <w:rFonts w:eastAsia="Calibri" w:cs="Arial"/>
                <w:sz w:val="20"/>
                <w:szCs w:val="20"/>
                <w:bdr w:val="none" w:sz="0" w:space="0" w:color="auto" w:frame="1"/>
                <w:lang w:val="en-GB"/>
              </w:rPr>
              <w:t>Always place bait where it is inaccessible to children, animals and birds. Use in tamper resistant bait stations only. If bait can be dislodged from bait station, fix tamper-resistant bait stations to the ground or other structures.</w:t>
            </w:r>
          </w:p>
          <w:p w14:paraId="679546BE" w14:textId="4295FECE" w:rsidR="008E67EA" w:rsidRPr="001E6DA9" w:rsidRDefault="008E67EA" w:rsidP="00B44A74">
            <w:pPr>
              <w:spacing w:after="120" w:line="280" w:lineRule="exact"/>
              <w:rPr>
                <w:rFonts w:eastAsia="Calibri" w:cs="Arial"/>
                <w:sz w:val="20"/>
                <w:szCs w:val="20"/>
                <w:bdr w:val="none" w:sz="0" w:space="0" w:color="auto" w:frame="1"/>
                <w:lang w:val="en-GB"/>
              </w:rPr>
            </w:pPr>
            <w:r w:rsidRPr="001E6DA9">
              <w:rPr>
                <w:rFonts w:eastAsia="Calibri" w:cs="Arial"/>
                <w:sz w:val="20"/>
                <w:szCs w:val="20"/>
                <w:bdr w:val="none" w:sz="0" w:space="0" w:color="auto" w:frame="1"/>
                <w:lang w:val="en-GB"/>
              </w:rPr>
              <w:t xml:space="preserve">Inspect baits frequently, particularly in the first ten days. </w:t>
            </w:r>
            <w:r>
              <w:rPr>
                <w:rFonts w:eastAsia="Calibri" w:cs="Arial"/>
                <w:sz w:val="20"/>
                <w:szCs w:val="20"/>
                <w:bdr w:val="none" w:sz="0" w:space="0" w:color="auto" w:frame="1"/>
                <w:lang w:val="en-GB"/>
              </w:rPr>
              <w:t xml:space="preserve">Replace eaten bait. </w:t>
            </w:r>
            <w:r w:rsidRPr="001E6DA9">
              <w:rPr>
                <w:rFonts w:eastAsia="Calibri" w:cs="Arial"/>
                <w:sz w:val="20"/>
                <w:szCs w:val="20"/>
                <w:bdr w:val="none" w:sz="0" w:space="0" w:color="auto" w:frame="1"/>
                <w:lang w:val="en-GB"/>
              </w:rPr>
              <w:t>If bait is completely consumed, the number of bait stations should be increased. Continue replenishing bait until left untouched. Baiting for at least 2 weeks will be necessary to reduce mouse numbers. Most deaths occur 4 to 7 days after consumption of bait, but deaths may occur for up to 2 weeks.</w:t>
            </w:r>
          </w:p>
          <w:p w14:paraId="64C7DD09" w14:textId="77777777" w:rsidR="008E67EA" w:rsidRPr="00246206" w:rsidRDefault="008E67EA" w:rsidP="00B44A74">
            <w:pPr>
              <w:spacing w:after="120" w:line="280" w:lineRule="exact"/>
              <w:rPr>
                <w:rFonts w:eastAsia="Calibri" w:cs="Arial"/>
                <w:sz w:val="20"/>
                <w:szCs w:val="20"/>
                <w:bdr w:val="none" w:sz="0" w:space="0" w:color="auto" w:frame="1"/>
                <w:lang w:val="en-GB"/>
              </w:rPr>
            </w:pPr>
            <w:r w:rsidRPr="001E6DA9">
              <w:rPr>
                <w:rFonts w:eastAsia="Calibri" w:cs="Arial"/>
                <w:sz w:val="20"/>
                <w:szCs w:val="20"/>
                <w:bdr w:val="none" w:sz="0" w:space="0" w:color="auto" w:frame="1"/>
                <w:lang w:val="en-GB"/>
              </w:rPr>
              <w:t xml:space="preserve">Following treatment remove all remains of bait and bait stations. </w:t>
            </w:r>
            <w:r w:rsidRPr="003A1942">
              <w:rPr>
                <w:rFonts w:eastAsia="Calibri" w:cs="Arial"/>
                <w:sz w:val="20"/>
                <w:szCs w:val="20"/>
                <w:bdr w:val="none" w:sz="0" w:space="0" w:color="auto" w:frame="1"/>
                <w:lang w:val="en-GB"/>
              </w:rPr>
              <w:t>DO NOT use the product for longer than 35 days. If rodent activity is still observed after 35 days, seek advice from the product supplier or call a pest control service.</w:t>
            </w:r>
          </w:p>
        </w:tc>
      </w:tr>
    </w:tbl>
    <w:p w14:paraId="06FD7429" w14:textId="7D9A64E7" w:rsidR="008E67EA" w:rsidRDefault="008E67EA" w:rsidP="008E67EA">
      <w:pPr>
        <w:rPr>
          <w:rFonts w:cs="Arial"/>
          <w:b/>
          <w:bCs/>
          <w:sz w:val="20"/>
          <w:szCs w:val="20"/>
          <w:bdr w:val="none" w:sz="0" w:space="0" w:color="auto" w:frame="1"/>
          <w:lang w:val="en-GB" w:eastAsia="en-AU"/>
        </w:rPr>
      </w:pPr>
      <w:r w:rsidRPr="00FF36BF">
        <w:rPr>
          <w:rFonts w:cs="Arial"/>
          <w:b/>
          <w:bCs/>
          <w:sz w:val="20"/>
          <w:szCs w:val="20"/>
        </w:rPr>
        <w:t>NOT TO BE USED FOR ANY PURPOSE, OR IN ANY MANNER, CONTRARY TO THIS LABEL UNLESS AUTHORISED.</w:t>
      </w:r>
      <w:r>
        <w:rPr>
          <w:rFonts w:cs="Arial"/>
          <w:b/>
          <w:bCs/>
          <w:sz w:val="20"/>
          <w:szCs w:val="20"/>
          <w:bdr w:val="none" w:sz="0" w:space="0" w:color="auto" w:frame="1"/>
          <w:lang w:val="en-GB" w:eastAsia="en-AU"/>
        </w:rPr>
        <w:br w:type="page"/>
      </w:r>
    </w:p>
    <w:p w14:paraId="445E00DE" w14:textId="77777777" w:rsidR="008E67EA"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lastRenderedPageBreak/>
        <w:t xml:space="preserve">Template Label </w:t>
      </w:r>
      <w:r>
        <w:rPr>
          <w:rFonts w:cs="Arial"/>
          <w:b/>
          <w:bCs/>
          <w:sz w:val="20"/>
          <w:szCs w:val="20"/>
          <w:bdr w:val="none" w:sz="0" w:space="0" w:color="auto" w:frame="1"/>
          <w:lang w:val="en-GB" w:eastAsia="en-AU"/>
        </w:rPr>
        <w:t>22d</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2B5B5B" w14:paraId="555D2D9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554126C" w14:textId="77777777" w:rsidR="008E67EA" w:rsidRPr="00F5215F" w:rsidRDefault="008E67EA" w:rsidP="00B44A74">
            <w:pPr>
              <w:spacing w:line="280" w:lineRule="exact"/>
              <w:rPr>
                <w:rFonts w:cs="Arial"/>
                <w:sz w:val="20"/>
                <w:szCs w:val="20"/>
              </w:rPr>
            </w:pPr>
            <w:r w:rsidRPr="00F5215F">
              <w:rPr>
                <w:rFonts w:cs="Arial"/>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6553A7E7" w14:textId="77777777" w:rsidR="008E67EA" w:rsidRPr="00D728D7" w:rsidRDefault="008E67EA" w:rsidP="00B44A74">
            <w:pPr>
              <w:spacing w:line="280" w:lineRule="exact"/>
              <w:rPr>
                <w:rFonts w:cs="Arial"/>
                <w:sz w:val="20"/>
                <w:szCs w:val="20"/>
              </w:rPr>
            </w:pPr>
            <w:r w:rsidRPr="00D728D7">
              <w:rPr>
                <w:rFonts w:cs="Arial"/>
                <w:sz w:val="20"/>
                <w:szCs w:val="20"/>
              </w:rPr>
              <w:t>[INSERT LABEL NAME]</w:t>
            </w:r>
          </w:p>
        </w:tc>
      </w:tr>
      <w:tr w:rsidR="008E67EA" w:rsidRPr="002B5B5B" w14:paraId="6045E6F0" w14:textId="77777777" w:rsidTr="00B44A74">
        <w:trPr>
          <w:jc w:val="center"/>
        </w:trPr>
        <w:tc>
          <w:tcPr>
            <w:tcW w:w="2415" w:type="dxa"/>
            <w:tcBorders>
              <w:top w:val="single" w:sz="4" w:space="0" w:color="auto"/>
              <w:left w:val="nil"/>
              <w:bottom w:val="single" w:sz="4" w:space="0" w:color="auto"/>
              <w:right w:val="nil"/>
            </w:tcBorders>
          </w:tcPr>
          <w:p w14:paraId="72AC0B65"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D3E0B57" w14:textId="77777777" w:rsidR="008E67EA" w:rsidRPr="00D728D7" w:rsidRDefault="008E67EA" w:rsidP="00B44A74">
            <w:pPr>
              <w:spacing w:line="280" w:lineRule="exact"/>
              <w:rPr>
                <w:rFonts w:cs="Arial"/>
                <w:sz w:val="20"/>
                <w:szCs w:val="20"/>
              </w:rPr>
            </w:pPr>
          </w:p>
        </w:tc>
      </w:tr>
      <w:tr w:rsidR="008E67EA" w:rsidRPr="002B5B5B" w14:paraId="121468D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4B97953" w14:textId="77777777" w:rsidR="008E67EA" w:rsidRPr="00F5215F" w:rsidRDefault="008E67EA" w:rsidP="00B44A74">
            <w:pPr>
              <w:spacing w:line="280" w:lineRule="exact"/>
              <w:rPr>
                <w:rFonts w:cs="Arial"/>
                <w:sz w:val="20"/>
                <w:szCs w:val="20"/>
              </w:rPr>
            </w:pPr>
            <w:r w:rsidRPr="00F5215F">
              <w:rPr>
                <w:rFonts w:cs="Arial"/>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0A7053D3" w14:textId="77777777" w:rsidR="008E67EA" w:rsidRPr="00D728D7" w:rsidRDefault="008E67EA" w:rsidP="00B44A74">
            <w:pPr>
              <w:spacing w:line="280" w:lineRule="exact"/>
              <w:rPr>
                <w:rFonts w:cs="Arial"/>
                <w:sz w:val="20"/>
                <w:szCs w:val="20"/>
              </w:rPr>
            </w:pPr>
            <w:r w:rsidRPr="00D728D7">
              <w:rPr>
                <w:rFonts w:cs="Arial"/>
                <w:sz w:val="20"/>
                <w:szCs w:val="20"/>
              </w:rPr>
              <w:t>POISON</w:t>
            </w:r>
          </w:p>
          <w:p w14:paraId="124C8412" w14:textId="77777777" w:rsidR="008E67EA" w:rsidRPr="00D728D7" w:rsidRDefault="008E67EA" w:rsidP="00B44A74">
            <w:pPr>
              <w:spacing w:line="280" w:lineRule="exact"/>
              <w:rPr>
                <w:rFonts w:cs="Arial"/>
                <w:sz w:val="20"/>
                <w:szCs w:val="20"/>
              </w:rPr>
            </w:pPr>
            <w:r w:rsidRPr="00D728D7">
              <w:rPr>
                <w:rFonts w:cs="Arial"/>
                <w:sz w:val="20"/>
                <w:szCs w:val="20"/>
              </w:rPr>
              <w:t>KEEP OUT OF REACH OF CHILDREN</w:t>
            </w:r>
          </w:p>
          <w:p w14:paraId="1C7365C8" w14:textId="77777777" w:rsidR="008E67EA" w:rsidRPr="00D728D7" w:rsidRDefault="008E67EA" w:rsidP="00B44A74">
            <w:pPr>
              <w:spacing w:line="280" w:lineRule="exact"/>
              <w:rPr>
                <w:rFonts w:cs="Arial"/>
                <w:sz w:val="20"/>
                <w:szCs w:val="20"/>
              </w:rPr>
            </w:pPr>
            <w:r w:rsidRPr="00D728D7">
              <w:rPr>
                <w:rFonts w:cs="Arial"/>
                <w:sz w:val="20"/>
                <w:szCs w:val="20"/>
              </w:rPr>
              <w:t>READ SAFETY DIRECTIONS</w:t>
            </w:r>
          </w:p>
        </w:tc>
      </w:tr>
      <w:tr w:rsidR="008E67EA" w:rsidRPr="002B5B5B" w14:paraId="76DC7CE5" w14:textId="77777777" w:rsidTr="00B44A74">
        <w:trPr>
          <w:jc w:val="center"/>
        </w:trPr>
        <w:tc>
          <w:tcPr>
            <w:tcW w:w="2415" w:type="dxa"/>
            <w:tcBorders>
              <w:top w:val="single" w:sz="4" w:space="0" w:color="auto"/>
              <w:left w:val="nil"/>
              <w:bottom w:val="single" w:sz="4" w:space="0" w:color="auto"/>
              <w:right w:val="nil"/>
            </w:tcBorders>
          </w:tcPr>
          <w:p w14:paraId="34061EDA"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9DA4D83" w14:textId="77777777" w:rsidR="008E67EA" w:rsidRPr="00D728D7" w:rsidRDefault="008E67EA" w:rsidP="00B44A74">
            <w:pPr>
              <w:spacing w:line="280" w:lineRule="exact"/>
              <w:rPr>
                <w:rFonts w:cs="Arial"/>
                <w:sz w:val="20"/>
                <w:szCs w:val="20"/>
              </w:rPr>
            </w:pPr>
          </w:p>
        </w:tc>
      </w:tr>
      <w:tr w:rsidR="008E67EA" w:rsidRPr="002B5B5B" w14:paraId="76CDB88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3B04306" w14:textId="77777777" w:rsidR="008E67EA" w:rsidRPr="00F5215F" w:rsidRDefault="008E67EA" w:rsidP="00B44A74">
            <w:pPr>
              <w:spacing w:line="280" w:lineRule="exact"/>
              <w:rPr>
                <w:rFonts w:cs="Arial"/>
                <w:sz w:val="20"/>
                <w:szCs w:val="20"/>
              </w:rPr>
            </w:pPr>
            <w:r w:rsidRPr="00F5215F">
              <w:rPr>
                <w:rFonts w:cs="Arial"/>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1C07EAF7" w14:textId="77777777" w:rsidR="008E67EA" w:rsidRPr="00D728D7" w:rsidRDefault="008E67EA" w:rsidP="00B44A74">
            <w:pPr>
              <w:spacing w:line="280" w:lineRule="exact"/>
              <w:rPr>
                <w:rFonts w:cs="Arial"/>
                <w:sz w:val="20"/>
                <w:szCs w:val="20"/>
              </w:rPr>
            </w:pPr>
            <w:r w:rsidRPr="00D728D7">
              <w:rPr>
                <w:rFonts w:cs="Arial"/>
                <w:sz w:val="20"/>
                <w:szCs w:val="20"/>
              </w:rPr>
              <w:t>ACTIVE CONSTITUENT: 0.025 g/kg DIFENACOUM</w:t>
            </w:r>
          </w:p>
        </w:tc>
      </w:tr>
      <w:tr w:rsidR="008E67EA" w:rsidRPr="002B5B5B" w14:paraId="65E64FAE" w14:textId="77777777" w:rsidTr="00B44A74">
        <w:trPr>
          <w:jc w:val="center"/>
        </w:trPr>
        <w:tc>
          <w:tcPr>
            <w:tcW w:w="2415" w:type="dxa"/>
            <w:tcBorders>
              <w:top w:val="single" w:sz="4" w:space="0" w:color="auto"/>
              <w:left w:val="nil"/>
              <w:bottom w:val="single" w:sz="4" w:space="0" w:color="auto"/>
              <w:right w:val="nil"/>
            </w:tcBorders>
          </w:tcPr>
          <w:p w14:paraId="4D2D1917"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6285F8C" w14:textId="77777777" w:rsidR="008E67EA" w:rsidRPr="00D728D7" w:rsidRDefault="008E67EA" w:rsidP="00B44A74">
            <w:pPr>
              <w:spacing w:line="280" w:lineRule="exact"/>
              <w:rPr>
                <w:rFonts w:cs="Arial"/>
                <w:sz w:val="20"/>
                <w:szCs w:val="20"/>
              </w:rPr>
            </w:pPr>
          </w:p>
        </w:tc>
      </w:tr>
      <w:tr w:rsidR="008E67EA" w:rsidRPr="002B5B5B" w14:paraId="13D4446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F8BAD89" w14:textId="77777777" w:rsidR="008E67EA" w:rsidRPr="00F5215F" w:rsidRDefault="008E67EA" w:rsidP="00B44A74">
            <w:pPr>
              <w:spacing w:line="280" w:lineRule="exact"/>
              <w:rPr>
                <w:rFonts w:cs="Arial"/>
                <w:sz w:val="20"/>
                <w:szCs w:val="20"/>
              </w:rPr>
            </w:pPr>
            <w:r w:rsidRPr="00F5215F">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3C8D4D1E" w14:textId="77777777" w:rsidR="008E67EA" w:rsidRPr="00D728D7" w:rsidRDefault="008E67EA" w:rsidP="00B44A74">
            <w:pPr>
              <w:spacing w:line="280" w:lineRule="exact"/>
              <w:rPr>
                <w:rFonts w:cs="Arial"/>
                <w:sz w:val="20"/>
                <w:szCs w:val="20"/>
              </w:rPr>
            </w:pPr>
            <w:r w:rsidRPr="00D728D7">
              <w:rPr>
                <w:rFonts w:cs="Arial"/>
                <w:sz w:val="20"/>
                <w:szCs w:val="20"/>
              </w:rPr>
              <w:t>For control of mice in domestic and commercial buildings and rats in and around domestic and commercial buildings.</w:t>
            </w:r>
          </w:p>
        </w:tc>
      </w:tr>
      <w:tr w:rsidR="008E67EA" w:rsidRPr="002B5B5B" w14:paraId="08E5B834" w14:textId="77777777" w:rsidTr="00B44A74">
        <w:trPr>
          <w:jc w:val="center"/>
        </w:trPr>
        <w:tc>
          <w:tcPr>
            <w:tcW w:w="2415" w:type="dxa"/>
            <w:tcBorders>
              <w:top w:val="single" w:sz="4" w:space="0" w:color="auto"/>
              <w:left w:val="nil"/>
              <w:bottom w:val="single" w:sz="4" w:space="0" w:color="auto"/>
              <w:right w:val="nil"/>
            </w:tcBorders>
          </w:tcPr>
          <w:p w14:paraId="5150E85A"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7EEA2BB" w14:textId="77777777" w:rsidR="008E67EA" w:rsidRPr="00D728D7" w:rsidRDefault="008E67EA" w:rsidP="00B44A74">
            <w:pPr>
              <w:spacing w:line="280" w:lineRule="exact"/>
              <w:rPr>
                <w:rFonts w:cs="Arial"/>
                <w:sz w:val="20"/>
                <w:szCs w:val="20"/>
              </w:rPr>
            </w:pPr>
          </w:p>
        </w:tc>
      </w:tr>
      <w:tr w:rsidR="008E67EA" w:rsidRPr="002B5B5B" w14:paraId="1CBBF83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FD85551" w14:textId="77777777" w:rsidR="008E67EA" w:rsidRPr="00F5215F" w:rsidRDefault="008E67EA" w:rsidP="00B44A74">
            <w:pPr>
              <w:spacing w:line="280" w:lineRule="exact"/>
              <w:rPr>
                <w:rFonts w:cs="Arial"/>
                <w:sz w:val="20"/>
                <w:szCs w:val="20"/>
              </w:rPr>
            </w:pPr>
            <w:r w:rsidRPr="00F5215F">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594DE7A1" w14:textId="77777777" w:rsidR="008E67EA" w:rsidRPr="00D728D7" w:rsidRDefault="008E67EA" w:rsidP="00B44A74">
            <w:pPr>
              <w:spacing w:line="280" w:lineRule="exact"/>
              <w:rPr>
                <w:rFonts w:cs="Arial"/>
                <w:sz w:val="20"/>
                <w:szCs w:val="20"/>
              </w:rPr>
            </w:pPr>
            <w:r w:rsidRPr="00D728D7">
              <w:rPr>
                <w:rFonts w:cs="Arial"/>
                <w:sz w:val="20"/>
                <w:szCs w:val="20"/>
              </w:rPr>
              <w:t>[INSERT NET CONTENTS – MAXIMUM 300 g]</w:t>
            </w:r>
          </w:p>
        </w:tc>
      </w:tr>
      <w:tr w:rsidR="008E67EA" w:rsidRPr="002B5B5B" w14:paraId="645D4969" w14:textId="77777777" w:rsidTr="00B44A74">
        <w:trPr>
          <w:jc w:val="center"/>
        </w:trPr>
        <w:tc>
          <w:tcPr>
            <w:tcW w:w="2415" w:type="dxa"/>
            <w:tcBorders>
              <w:top w:val="single" w:sz="4" w:space="0" w:color="auto"/>
              <w:left w:val="nil"/>
              <w:bottom w:val="single" w:sz="4" w:space="0" w:color="auto"/>
              <w:right w:val="nil"/>
            </w:tcBorders>
          </w:tcPr>
          <w:p w14:paraId="722DF898"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8A6DC46" w14:textId="77777777" w:rsidR="008E67EA" w:rsidRPr="00D728D7" w:rsidRDefault="008E67EA" w:rsidP="00B44A74">
            <w:pPr>
              <w:spacing w:line="280" w:lineRule="exact"/>
              <w:rPr>
                <w:rFonts w:cs="Arial"/>
                <w:sz w:val="20"/>
                <w:szCs w:val="20"/>
              </w:rPr>
            </w:pPr>
          </w:p>
        </w:tc>
      </w:tr>
      <w:tr w:rsidR="008E67EA" w:rsidRPr="002B5B5B" w14:paraId="40B7A45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9D63522" w14:textId="77777777" w:rsidR="008E67EA" w:rsidRPr="00F5215F" w:rsidRDefault="008E67EA" w:rsidP="00B44A74">
            <w:pPr>
              <w:spacing w:line="280" w:lineRule="exact"/>
              <w:rPr>
                <w:rFonts w:cs="Arial"/>
                <w:sz w:val="20"/>
                <w:szCs w:val="20"/>
              </w:rPr>
            </w:pPr>
            <w:r w:rsidRPr="00F5215F">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59C13A15" w14:textId="271DFE09" w:rsidR="008E67EA" w:rsidRPr="00D728D7" w:rsidRDefault="008E67EA" w:rsidP="00B44A74">
            <w:pPr>
              <w:spacing w:line="280" w:lineRule="exact"/>
              <w:rPr>
                <w:rFonts w:cs="Arial"/>
                <w:sz w:val="20"/>
                <w:szCs w:val="20"/>
              </w:rPr>
            </w:pPr>
            <w:r w:rsidRPr="00D728D7">
              <w:rPr>
                <w:rFonts w:cs="Arial"/>
                <w:sz w:val="20"/>
                <w:szCs w:val="20"/>
              </w:rPr>
              <w:t>DO NOT place baits unless in tamper-resistant bait stations.</w:t>
            </w:r>
          </w:p>
          <w:p w14:paraId="64DE2493" w14:textId="77777777" w:rsidR="008E67EA" w:rsidRPr="00D728D7" w:rsidRDefault="008E67EA" w:rsidP="00B44A74">
            <w:pPr>
              <w:spacing w:line="280" w:lineRule="exact"/>
              <w:rPr>
                <w:rFonts w:cs="Arial"/>
                <w:sz w:val="20"/>
                <w:szCs w:val="20"/>
              </w:rPr>
            </w:pPr>
            <w:r w:rsidRPr="00D728D7">
              <w:rPr>
                <w:rFonts w:cs="Arial"/>
                <w:sz w:val="20"/>
                <w:szCs w:val="20"/>
              </w:rPr>
              <w:t>DO NOT place bait stations outdoors around buildings for control of mice.</w:t>
            </w:r>
          </w:p>
          <w:p w14:paraId="392DF94A" w14:textId="77777777" w:rsidR="008E67EA" w:rsidRPr="00D728D7" w:rsidRDefault="008E67EA" w:rsidP="00B44A74">
            <w:pPr>
              <w:spacing w:line="280" w:lineRule="exact"/>
              <w:rPr>
                <w:rFonts w:cs="Arial"/>
                <w:sz w:val="20"/>
                <w:szCs w:val="20"/>
              </w:rPr>
            </w:pPr>
            <w:r w:rsidRPr="00D728D7">
              <w:rPr>
                <w:rFonts w:cs="Arial"/>
                <w:sz w:val="20"/>
                <w:szCs w:val="20"/>
              </w:rPr>
              <w:t>DO NOT place bait stations more than 2 meters from buildings.</w:t>
            </w:r>
          </w:p>
          <w:p w14:paraId="33C15636" w14:textId="77777777" w:rsidR="008E67EA" w:rsidRPr="00D728D7" w:rsidRDefault="008E67EA" w:rsidP="00B44A74">
            <w:pPr>
              <w:spacing w:line="280" w:lineRule="exact"/>
              <w:rPr>
                <w:rFonts w:cs="Arial"/>
                <w:sz w:val="20"/>
                <w:szCs w:val="20"/>
              </w:rPr>
            </w:pPr>
            <w:r w:rsidRPr="00D728D7">
              <w:rPr>
                <w:rFonts w:cs="Arial"/>
                <w:sz w:val="20"/>
                <w:szCs w:val="20"/>
              </w:rPr>
              <w:t>DO NOT bait in areas where wildlife may be collected for human consumption.</w:t>
            </w:r>
          </w:p>
          <w:p w14:paraId="1B1536A7" w14:textId="77777777" w:rsidR="008E67EA" w:rsidRPr="00D728D7" w:rsidRDefault="008E67EA" w:rsidP="00B44A74">
            <w:pPr>
              <w:spacing w:line="280" w:lineRule="exact"/>
              <w:rPr>
                <w:rFonts w:cs="Arial"/>
                <w:sz w:val="20"/>
                <w:szCs w:val="20"/>
              </w:rPr>
            </w:pPr>
            <w:r w:rsidRPr="00D728D7">
              <w:rPr>
                <w:rFonts w:cs="Arial"/>
                <w:sz w:val="20"/>
                <w:szCs w:val="20"/>
              </w:rPr>
              <w:t>DO NOT place baits in and around animal, livestock and poultry houses, associated equipment, and food and feed processing areas.</w:t>
            </w:r>
          </w:p>
          <w:p w14:paraId="17DE60C3" w14:textId="77777777" w:rsidR="008E67EA" w:rsidRPr="00D728D7" w:rsidRDefault="008E67EA" w:rsidP="00B44A74">
            <w:pPr>
              <w:spacing w:line="280" w:lineRule="exact"/>
              <w:rPr>
                <w:rFonts w:cs="Arial"/>
                <w:sz w:val="20"/>
                <w:szCs w:val="20"/>
              </w:rPr>
            </w:pPr>
            <w:r w:rsidRPr="00D728D7">
              <w:rPr>
                <w:rFonts w:cs="Arial"/>
                <w:sz w:val="20"/>
                <w:szCs w:val="20"/>
              </w:rPr>
              <w:t>DO NOT apply this product directly into burrows.</w:t>
            </w:r>
          </w:p>
          <w:p w14:paraId="4932E63E" w14:textId="77777777" w:rsidR="008E67EA" w:rsidRPr="00D728D7" w:rsidRDefault="008E67EA" w:rsidP="00B44A74">
            <w:pPr>
              <w:spacing w:line="280" w:lineRule="exact"/>
              <w:rPr>
                <w:rFonts w:cs="Arial"/>
                <w:sz w:val="20"/>
                <w:szCs w:val="20"/>
                <w:highlight w:val="yellow"/>
              </w:rPr>
            </w:pPr>
            <w:r w:rsidRPr="00D728D7">
              <w:rPr>
                <w:rFonts w:cs="Arial"/>
                <w:sz w:val="20"/>
                <w:szCs w:val="20"/>
              </w:rPr>
              <w:t>DO NOT use the product in pulsed baiting treatments.</w:t>
            </w:r>
          </w:p>
        </w:tc>
      </w:tr>
      <w:tr w:rsidR="008E67EA" w:rsidRPr="002B5B5B" w14:paraId="1304C981" w14:textId="77777777" w:rsidTr="00B44A74">
        <w:trPr>
          <w:jc w:val="center"/>
        </w:trPr>
        <w:tc>
          <w:tcPr>
            <w:tcW w:w="2415" w:type="dxa"/>
            <w:tcBorders>
              <w:top w:val="single" w:sz="4" w:space="0" w:color="auto"/>
              <w:left w:val="nil"/>
              <w:bottom w:val="single" w:sz="4" w:space="0" w:color="auto"/>
              <w:right w:val="nil"/>
            </w:tcBorders>
          </w:tcPr>
          <w:p w14:paraId="6028E3A4"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BB1E758" w14:textId="77777777" w:rsidR="008E67EA" w:rsidRPr="00D728D7" w:rsidRDefault="008E67EA" w:rsidP="00B44A74">
            <w:pPr>
              <w:spacing w:line="280" w:lineRule="exact"/>
              <w:rPr>
                <w:rFonts w:cs="Arial"/>
                <w:sz w:val="20"/>
                <w:szCs w:val="20"/>
              </w:rPr>
            </w:pPr>
          </w:p>
        </w:tc>
      </w:tr>
      <w:tr w:rsidR="008E67EA" w:rsidRPr="002B5B5B" w14:paraId="1CD7A67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9B3059F" w14:textId="77777777" w:rsidR="008E67EA" w:rsidRPr="00F5215F" w:rsidRDefault="008E67EA" w:rsidP="00B44A74">
            <w:pPr>
              <w:spacing w:line="280" w:lineRule="exact"/>
              <w:rPr>
                <w:rFonts w:cs="Arial"/>
                <w:sz w:val="20"/>
                <w:szCs w:val="20"/>
              </w:rPr>
            </w:pPr>
            <w:r>
              <w:rPr>
                <w:rFonts w:cs="Arial"/>
                <w:sz w:val="20"/>
                <w:szCs w:val="20"/>
              </w:rPr>
              <w:t>How to Use</w:t>
            </w:r>
          </w:p>
        </w:tc>
        <w:tc>
          <w:tcPr>
            <w:tcW w:w="7755" w:type="dxa"/>
            <w:tcBorders>
              <w:top w:val="single" w:sz="4" w:space="0" w:color="auto"/>
              <w:left w:val="single" w:sz="4" w:space="0" w:color="auto"/>
              <w:bottom w:val="single" w:sz="4" w:space="0" w:color="auto"/>
              <w:right w:val="single" w:sz="4" w:space="0" w:color="auto"/>
            </w:tcBorders>
          </w:tcPr>
          <w:p w14:paraId="23EB819A" w14:textId="77777777" w:rsidR="008E67EA" w:rsidRPr="00D728D7" w:rsidRDefault="008E67EA" w:rsidP="00B44A74">
            <w:pPr>
              <w:spacing w:line="280" w:lineRule="exact"/>
              <w:rPr>
                <w:rFonts w:cs="Arial"/>
                <w:sz w:val="20"/>
                <w:szCs w:val="20"/>
              </w:rPr>
            </w:pPr>
            <w:r w:rsidRPr="00713087">
              <w:rPr>
                <w:rFonts w:cs="Arial"/>
                <w:sz w:val="20"/>
                <w:szCs w:val="20"/>
              </w:rPr>
              <w:t>[This section contains an attachment below]</w:t>
            </w:r>
          </w:p>
        </w:tc>
      </w:tr>
      <w:tr w:rsidR="008E67EA" w:rsidRPr="002B5B5B" w14:paraId="4CE8472F" w14:textId="77777777" w:rsidTr="00B44A74">
        <w:trPr>
          <w:jc w:val="center"/>
        </w:trPr>
        <w:tc>
          <w:tcPr>
            <w:tcW w:w="2415" w:type="dxa"/>
            <w:tcBorders>
              <w:top w:val="single" w:sz="4" w:space="0" w:color="auto"/>
              <w:left w:val="nil"/>
              <w:bottom w:val="single" w:sz="4" w:space="0" w:color="auto"/>
              <w:right w:val="nil"/>
            </w:tcBorders>
          </w:tcPr>
          <w:p w14:paraId="1819316B"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9898CB9" w14:textId="77777777" w:rsidR="008E67EA" w:rsidRPr="00D728D7" w:rsidRDefault="008E67EA" w:rsidP="00B44A74">
            <w:pPr>
              <w:spacing w:line="280" w:lineRule="exact"/>
              <w:rPr>
                <w:rFonts w:cs="Arial"/>
                <w:sz w:val="20"/>
                <w:szCs w:val="20"/>
              </w:rPr>
            </w:pPr>
          </w:p>
        </w:tc>
      </w:tr>
      <w:tr w:rsidR="008E67EA" w:rsidRPr="002B5B5B" w14:paraId="29C61AF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5FFB5D6" w14:textId="77777777" w:rsidR="008E67EA" w:rsidRPr="00F5215F" w:rsidRDefault="008E67EA" w:rsidP="00B44A74">
            <w:pPr>
              <w:spacing w:line="280" w:lineRule="exact"/>
              <w:rPr>
                <w:rFonts w:cs="Arial"/>
                <w:sz w:val="20"/>
                <w:szCs w:val="20"/>
              </w:rPr>
            </w:pPr>
            <w:r w:rsidRPr="00F5215F">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3DEF8B77" w14:textId="77777777" w:rsidR="008E67EA" w:rsidRPr="00D728D7" w:rsidRDefault="008E67EA" w:rsidP="00B44A74">
            <w:pPr>
              <w:spacing w:line="280" w:lineRule="exact"/>
              <w:rPr>
                <w:rFonts w:cs="Arial"/>
                <w:sz w:val="20"/>
                <w:szCs w:val="20"/>
              </w:rPr>
            </w:pPr>
          </w:p>
        </w:tc>
      </w:tr>
      <w:tr w:rsidR="008E67EA" w:rsidRPr="002B5B5B" w14:paraId="02DC4E40" w14:textId="77777777" w:rsidTr="00B44A74">
        <w:trPr>
          <w:jc w:val="center"/>
        </w:trPr>
        <w:tc>
          <w:tcPr>
            <w:tcW w:w="2415" w:type="dxa"/>
            <w:tcBorders>
              <w:top w:val="single" w:sz="4" w:space="0" w:color="auto"/>
              <w:left w:val="nil"/>
              <w:bottom w:val="single" w:sz="4" w:space="0" w:color="auto"/>
              <w:right w:val="nil"/>
            </w:tcBorders>
          </w:tcPr>
          <w:p w14:paraId="30053B31"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3BC88E3" w14:textId="77777777" w:rsidR="008E67EA" w:rsidRPr="00D728D7" w:rsidRDefault="008E67EA" w:rsidP="00B44A74">
            <w:pPr>
              <w:spacing w:line="280" w:lineRule="exact"/>
              <w:rPr>
                <w:rFonts w:cs="Arial"/>
                <w:sz w:val="20"/>
                <w:szCs w:val="20"/>
              </w:rPr>
            </w:pPr>
          </w:p>
        </w:tc>
      </w:tr>
      <w:tr w:rsidR="008E67EA" w:rsidRPr="002B5B5B" w14:paraId="734AD79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8B2A24C" w14:textId="77777777" w:rsidR="008E67EA" w:rsidRPr="00F5215F" w:rsidRDefault="008E67EA" w:rsidP="00B44A74">
            <w:pPr>
              <w:spacing w:line="280" w:lineRule="exact"/>
              <w:rPr>
                <w:rFonts w:cs="Arial"/>
                <w:sz w:val="20"/>
                <w:szCs w:val="20"/>
              </w:rPr>
            </w:pPr>
            <w:r>
              <w:rPr>
                <w:rFonts w:cs="Arial"/>
                <w:sz w:val="20"/>
                <w:szCs w:val="20"/>
              </w:rPr>
              <w:t>How to Prepare</w:t>
            </w:r>
          </w:p>
        </w:tc>
        <w:tc>
          <w:tcPr>
            <w:tcW w:w="7755" w:type="dxa"/>
            <w:tcBorders>
              <w:top w:val="single" w:sz="4" w:space="0" w:color="auto"/>
              <w:left w:val="single" w:sz="4" w:space="0" w:color="auto"/>
              <w:bottom w:val="single" w:sz="4" w:space="0" w:color="auto"/>
              <w:right w:val="single" w:sz="4" w:space="0" w:color="auto"/>
            </w:tcBorders>
          </w:tcPr>
          <w:p w14:paraId="58092E87" w14:textId="77777777" w:rsidR="008E67EA" w:rsidRPr="00D728D7" w:rsidRDefault="008E67EA" w:rsidP="00B44A74">
            <w:pPr>
              <w:spacing w:line="280" w:lineRule="exact"/>
              <w:rPr>
                <w:rFonts w:cs="Arial"/>
                <w:sz w:val="20"/>
                <w:szCs w:val="20"/>
              </w:rPr>
            </w:pPr>
          </w:p>
        </w:tc>
      </w:tr>
      <w:tr w:rsidR="008E67EA" w:rsidRPr="002B5B5B" w14:paraId="0617047D" w14:textId="77777777" w:rsidTr="00B44A74">
        <w:trPr>
          <w:jc w:val="center"/>
        </w:trPr>
        <w:tc>
          <w:tcPr>
            <w:tcW w:w="2415" w:type="dxa"/>
            <w:tcBorders>
              <w:top w:val="single" w:sz="4" w:space="0" w:color="auto"/>
              <w:left w:val="nil"/>
              <w:bottom w:val="single" w:sz="4" w:space="0" w:color="auto"/>
              <w:right w:val="nil"/>
            </w:tcBorders>
          </w:tcPr>
          <w:p w14:paraId="193EBBCA"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6B703BC" w14:textId="77777777" w:rsidR="008E67EA" w:rsidRPr="00D728D7" w:rsidRDefault="008E67EA" w:rsidP="00B44A74">
            <w:pPr>
              <w:spacing w:line="280" w:lineRule="exact"/>
              <w:rPr>
                <w:rFonts w:cs="Arial"/>
                <w:sz w:val="20"/>
                <w:szCs w:val="20"/>
              </w:rPr>
            </w:pPr>
          </w:p>
        </w:tc>
      </w:tr>
      <w:tr w:rsidR="008E67EA" w:rsidRPr="002B5B5B" w14:paraId="6E2A129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C13E3EF" w14:textId="77777777" w:rsidR="008E67EA" w:rsidRPr="00F5215F" w:rsidRDefault="008E67EA" w:rsidP="00B44A74">
            <w:pPr>
              <w:spacing w:line="280" w:lineRule="exact"/>
              <w:rPr>
                <w:rFonts w:cs="Arial"/>
                <w:sz w:val="20"/>
                <w:szCs w:val="20"/>
              </w:rPr>
            </w:pPr>
            <w:r w:rsidRPr="00F5215F">
              <w:rPr>
                <w:rFonts w:cs="Arial"/>
                <w:sz w:val="20"/>
                <w:szCs w:val="20"/>
              </w:rPr>
              <w:t>Resistance Warning:</w:t>
            </w:r>
          </w:p>
        </w:tc>
        <w:tc>
          <w:tcPr>
            <w:tcW w:w="7755" w:type="dxa"/>
            <w:tcBorders>
              <w:top w:val="single" w:sz="4" w:space="0" w:color="auto"/>
              <w:left w:val="single" w:sz="4" w:space="0" w:color="auto"/>
              <w:bottom w:val="single" w:sz="4" w:space="0" w:color="auto"/>
              <w:right w:val="single" w:sz="4" w:space="0" w:color="auto"/>
            </w:tcBorders>
          </w:tcPr>
          <w:p w14:paraId="621C2E53" w14:textId="77777777" w:rsidR="008E67EA" w:rsidRPr="00D728D7" w:rsidRDefault="008E67EA" w:rsidP="00B44A74">
            <w:pPr>
              <w:spacing w:line="280" w:lineRule="exact"/>
              <w:rPr>
                <w:rFonts w:cs="Arial"/>
                <w:sz w:val="20"/>
                <w:szCs w:val="20"/>
              </w:rPr>
            </w:pPr>
          </w:p>
        </w:tc>
      </w:tr>
      <w:tr w:rsidR="008E67EA" w:rsidRPr="002B5B5B" w14:paraId="654B1D96" w14:textId="77777777" w:rsidTr="00B44A74">
        <w:trPr>
          <w:jc w:val="center"/>
        </w:trPr>
        <w:tc>
          <w:tcPr>
            <w:tcW w:w="2415" w:type="dxa"/>
            <w:tcBorders>
              <w:top w:val="single" w:sz="4" w:space="0" w:color="auto"/>
              <w:left w:val="nil"/>
              <w:bottom w:val="single" w:sz="4" w:space="0" w:color="auto"/>
              <w:right w:val="nil"/>
            </w:tcBorders>
          </w:tcPr>
          <w:p w14:paraId="5F1764DF"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F85A657" w14:textId="77777777" w:rsidR="008E67EA" w:rsidRPr="00D728D7" w:rsidRDefault="008E67EA" w:rsidP="00B44A74">
            <w:pPr>
              <w:spacing w:line="280" w:lineRule="exact"/>
              <w:rPr>
                <w:rFonts w:cs="Arial"/>
                <w:sz w:val="20"/>
                <w:szCs w:val="20"/>
              </w:rPr>
            </w:pPr>
          </w:p>
        </w:tc>
      </w:tr>
      <w:tr w:rsidR="008E67EA" w:rsidRPr="002B5B5B" w14:paraId="7116105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DBAF65C" w14:textId="77777777" w:rsidR="008E67EA" w:rsidRPr="00F5215F" w:rsidRDefault="008E67EA" w:rsidP="00B44A74">
            <w:pPr>
              <w:spacing w:line="280" w:lineRule="exact"/>
              <w:rPr>
                <w:rFonts w:cs="Arial"/>
                <w:sz w:val="20"/>
                <w:szCs w:val="20"/>
              </w:rPr>
            </w:pPr>
            <w:r w:rsidRPr="00F5215F">
              <w:rPr>
                <w:rFonts w:cs="Arial"/>
                <w:sz w:val="20"/>
                <w:szCs w:val="20"/>
              </w:rPr>
              <w:t>Precautions:</w:t>
            </w:r>
          </w:p>
        </w:tc>
        <w:tc>
          <w:tcPr>
            <w:tcW w:w="7755" w:type="dxa"/>
            <w:tcBorders>
              <w:top w:val="single" w:sz="4" w:space="0" w:color="auto"/>
              <w:left w:val="single" w:sz="4" w:space="0" w:color="auto"/>
              <w:bottom w:val="single" w:sz="4" w:space="0" w:color="auto"/>
              <w:right w:val="single" w:sz="4" w:space="0" w:color="auto"/>
            </w:tcBorders>
          </w:tcPr>
          <w:p w14:paraId="5889EC5B" w14:textId="77777777" w:rsidR="008E67EA" w:rsidRPr="00D728D7" w:rsidRDefault="008E67EA" w:rsidP="00B44A74">
            <w:pPr>
              <w:spacing w:line="280" w:lineRule="exact"/>
              <w:rPr>
                <w:rFonts w:cs="Arial"/>
                <w:sz w:val="20"/>
                <w:szCs w:val="20"/>
              </w:rPr>
            </w:pPr>
            <w:r w:rsidRPr="00D728D7">
              <w:rPr>
                <w:rFonts w:cs="Arial"/>
                <w:sz w:val="20"/>
                <w:szCs w:val="20"/>
              </w:rPr>
              <w:t>CAUTION</w:t>
            </w:r>
          </w:p>
          <w:p w14:paraId="3E3D3D18" w14:textId="77777777" w:rsidR="008E67EA" w:rsidRPr="00D728D7" w:rsidRDefault="008E67EA" w:rsidP="00B44A74">
            <w:pPr>
              <w:spacing w:line="280" w:lineRule="exact"/>
              <w:rPr>
                <w:rFonts w:cs="Arial"/>
                <w:sz w:val="20"/>
                <w:szCs w:val="20"/>
              </w:rPr>
            </w:pPr>
            <w:r w:rsidRPr="00D728D7">
              <w:rPr>
                <w:rFonts w:cs="Arial"/>
                <w:sz w:val="20"/>
                <w:szCs w:val="20"/>
              </w:rPr>
              <w:t>Caution should be used when baiting near areas where hunting of wildlife may occur. Careful consideration of bait placement is necessary to avoid secondary exposure from contaminated wildlife that may be consumed.</w:t>
            </w:r>
          </w:p>
          <w:p w14:paraId="4E5D99FC" w14:textId="77777777" w:rsidR="008E67EA" w:rsidRDefault="008E67EA" w:rsidP="00B44A74">
            <w:pPr>
              <w:spacing w:line="280" w:lineRule="exact"/>
              <w:rPr>
                <w:rFonts w:cs="Arial"/>
                <w:sz w:val="20"/>
                <w:szCs w:val="20"/>
              </w:rPr>
            </w:pPr>
            <w:r w:rsidRPr="00D728D7">
              <w:rPr>
                <w:rFonts w:cs="Arial"/>
                <w:sz w:val="20"/>
                <w:szCs w:val="20"/>
              </w:rPr>
              <w:t>DO NOT place bait in areas where there is a possibility of contaminating food, livestock feed or surfaces that come in direct contact with food or livestock feed.</w:t>
            </w:r>
          </w:p>
          <w:p w14:paraId="77E93155" w14:textId="77777777" w:rsidR="008E67EA" w:rsidRPr="00D728D7" w:rsidRDefault="008E67EA" w:rsidP="00B44A74">
            <w:pPr>
              <w:spacing w:line="280" w:lineRule="exact"/>
              <w:rPr>
                <w:rFonts w:cs="Arial"/>
                <w:sz w:val="20"/>
                <w:szCs w:val="20"/>
              </w:rPr>
            </w:pPr>
          </w:p>
          <w:p w14:paraId="48169372" w14:textId="77777777" w:rsidR="008E67EA" w:rsidRPr="00D728D7" w:rsidRDefault="008E67EA" w:rsidP="00B44A74">
            <w:pPr>
              <w:spacing w:line="280" w:lineRule="exact"/>
              <w:rPr>
                <w:rFonts w:cs="Arial"/>
                <w:sz w:val="20"/>
                <w:szCs w:val="20"/>
              </w:rPr>
            </w:pPr>
            <w:r w:rsidRPr="00D728D7">
              <w:rPr>
                <w:rFonts w:cs="Arial"/>
                <w:sz w:val="20"/>
                <w:szCs w:val="20"/>
              </w:rPr>
              <w:t>PROTECTION OF LIVESTOCK AND WILDLIFE</w:t>
            </w:r>
          </w:p>
          <w:p w14:paraId="25236923" w14:textId="77777777" w:rsidR="008E67EA" w:rsidRPr="00D728D7" w:rsidRDefault="008E67EA" w:rsidP="00B44A74">
            <w:pPr>
              <w:spacing w:line="280" w:lineRule="exact"/>
              <w:rPr>
                <w:rFonts w:cs="Arial"/>
                <w:sz w:val="20"/>
                <w:szCs w:val="20"/>
              </w:rPr>
            </w:pPr>
            <w:r w:rsidRPr="00D728D7">
              <w:rPr>
                <w:rFonts w:cs="Arial"/>
                <w:sz w:val="20"/>
                <w:szCs w:val="20"/>
              </w:rPr>
              <w:t>Hazardous to livestock, poultry and wildlife. DO NOT place baits in locations that are accessible to domestic animals, livestock, non-target native animals or birds.</w:t>
            </w:r>
          </w:p>
          <w:p w14:paraId="5A852CB2" w14:textId="77777777" w:rsidR="008E67EA" w:rsidRPr="00D728D7" w:rsidRDefault="008E67EA" w:rsidP="00B44A74">
            <w:pPr>
              <w:spacing w:line="280" w:lineRule="exact"/>
              <w:rPr>
                <w:rFonts w:cs="Arial"/>
                <w:sz w:val="20"/>
                <w:szCs w:val="20"/>
              </w:rPr>
            </w:pPr>
            <w:r w:rsidRPr="00D728D7">
              <w:rPr>
                <w:rFonts w:cs="Arial"/>
                <w:sz w:val="20"/>
                <w:szCs w:val="20"/>
              </w:rPr>
              <w:t xml:space="preserve">Search for and dispose of dead rodents and slugs/snails in the infested area at each visit to prevent secondary poisoning. In case slugs/snails are present, move bait station to another location within the rodent infested site, away from slugs/snails. Dispose of slugs/snails, dead rodents and uneaten bait by wrapping in paper, placing in plastic bag and putting in garbage. </w:t>
            </w:r>
          </w:p>
          <w:p w14:paraId="42107F5B" w14:textId="77777777" w:rsidR="008E67EA" w:rsidRPr="00D728D7" w:rsidRDefault="008E67EA" w:rsidP="00B44A74">
            <w:pPr>
              <w:spacing w:line="280" w:lineRule="exact"/>
              <w:rPr>
                <w:rFonts w:cs="Arial"/>
                <w:sz w:val="20"/>
                <w:szCs w:val="20"/>
              </w:rPr>
            </w:pPr>
            <w:r w:rsidRPr="00D728D7">
              <w:rPr>
                <w:rFonts w:cs="Arial"/>
                <w:sz w:val="20"/>
                <w:szCs w:val="20"/>
              </w:rPr>
              <w:lastRenderedPageBreak/>
              <w:t>DO NOT allow livestock or poultry to consume dead or moribund mice</w:t>
            </w:r>
            <w:r>
              <w:rPr>
                <w:rFonts w:cs="Arial"/>
                <w:sz w:val="20"/>
                <w:szCs w:val="20"/>
              </w:rPr>
              <w:t xml:space="preserve"> and rats</w:t>
            </w:r>
            <w:r w:rsidRPr="00D728D7">
              <w:rPr>
                <w:rFonts w:cs="Arial"/>
                <w:sz w:val="20"/>
                <w:szCs w:val="20"/>
              </w:rPr>
              <w:t>. All dead or moribund animals and rodent faeces from baited rodents MUST be removed from areas accessible to livestock or poultry.</w:t>
            </w:r>
          </w:p>
          <w:p w14:paraId="0DF2A5F8" w14:textId="6B6AD239" w:rsidR="008E67EA" w:rsidRDefault="008E67EA" w:rsidP="00B44A74">
            <w:pPr>
              <w:spacing w:line="280" w:lineRule="exact"/>
              <w:rPr>
                <w:rFonts w:cs="Arial"/>
                <w:sz w:val="20"/>
                <w:szCs w:val="20"/>
              </w:rPr>
            </w:pPr>
            <w:r w:rsidRPr="00D728D7">
              <w:rPr>
                <w:rFonts w:cs="Arial"/>
                <w:sz w:val="20"/>
                <w:szCs w:val="20"/>
              </w:rPr>
              <w:t>DO NOT let cats, dogs or non-target animals eat poisoned mice and rats</w:t>
            </w:r>
            <w:r>
              <w:rPr>
                <w:rFonts w:cs="Arial"/>
                <w:sz w:val="20"/>
                <w:szCs w:val="20"/>
              </w:rPr>
              <w:t>.</w:t>
            </w:r>
          </w:p>
          <w:p w14:paraId="30D5E1C1" w14:textId="65FB0E92" w:rsidR="008E67EA" w:rsidRDefault="008E67EA" w:rsidP="00B44A74">
            <w:pPr>
              <w:spacing w:line="280" w:lineRule="exact"/>
              <w:rPr>
                <w:rFonts w:cs="Arial"/>
                <w:sz w:val="20"/>
                <w:szCs w:val="20"/>
              </w:rPr>
            </w:pPr>
            <w:r w:rsidRPr="00D728D7">
              <w:rPr>
                <w:rFonts w:cs="Arial"/>
                <w:sz w:val="20"/>
                <w:szCs w:val="20"/>
              </w:rPr>
              <w:t>DO NOT use this product to control native animals.</w:t>
            </w:r>
          </w:p>
          <w:p w14:paraId="1842679B" w14:textId="77777777" w:rsidR="008E67EA" w:rsidRPr="00D728D7" w:rsidRDefault="008E67EA" w:rsidP="00B44A74">
            <w:pPr>
              <w:spacing w:line="280" w:lineRule="exact"/>
              <w:rPr>
                <w:rFonts w:cs="Arial"/>
                <w:sz w:val="20"/>
                <w:szCs w:val="20"/>
              </w:rPr>
            </w:pPr>
          </w:p>
          <w:p w14:paraId="468D6B84" w14:textId="77777777" w:rsidR="008E67EA" w:rsidRPr="00D728D7" w:rsidRDefault="008E67EA" w:rsidP="00B44A74">
            <w:pPr>
              <w:spacing w:line="280" w:lineRule="exact"/>
              <w:rPr>
                <w:rFonts w:cs="Arial"/>
                <w:sz w:val="20"/>
                <w:szCs w:val="20"/>
              </w:rPr>
            </w:pPr>
            <w:r w:rsidRPr="00D728D7">
              <w:rPr>
                <w:rFonts w:cs="Arial"/>
                <w:sz w:val="20"/>
                <w:szCs w:val="20"/>
              </w:rPr>
              <w:t>PROTECTION OF FISH, CRUSTACEANS AND ENVIRONMENT</w:t>
            </w:r>
          </w:p>
          <w:p w14:paraId="3A62885C" w14:textId="77777777" w:rsidR="008E67EA" w:rsidRPr="00D728D7" w:rsidRDefault="008E67EA" w:rsidP="00B44A74">
            <w:pPr>
              <w:spacing w:line="280" w:lineRule="exact"/>
              <w:rPr>
                <w:rFonts w:cs="Arial"/>
                <w:sz w:val="20"/>
                <w:szCs w:val="20"/>
              </w:rPr>
            </w:pPr>
            <w:r w:rsidRPr="007B6B60">
              <w:rPr>
                <w:rFonts w:cs="Arial"/>
                <w:sz w:val="20"/>
                <w:szCs w:val="20"/>
              </w:rPr>
              <w:t xml:space="preserve">Very toxic to aquatic life. </w:t>
            </w:r>
            <w:r w:rsidRPr="00D728D7">
              <w:rPr>
                <w:rFonts w:cs="Arial"/>
                <w:sz w:val="20"/>
                <w:szCs w:val="20"/>
              </w:rPr>
              <w:t>DO NOT contaminate wetlands or watercourses with this product or used containers. Place the bait stations in areas not liable to flooding. When placing bait stations close to water drainage systems, ensure that bait contact with water is avoided</w:t>
            </w:r>
            <w:r>
              <w:rPr>
                <w:rFonts w:cs="Arial"/>
                <w:sz w:val="20"/>
                <w:szCs w:val="20"/>
              </w:rPr>
              <w:t>.</w:t>
            </w:r>
          </w:p>
        </w:tc>
      </w:tr>
      <w:tr w:rsidR="008E67EA" w:rsidRPr="002B5B5B" w14:paraId="10EBD984" w14:textId="77777777" w:rsidTr="00B44A74">
        <w:trPr>
          <w:jc w:val="center"/>
        </w:trPr>
        <w:tc>
          <w:tcPr>
            <w:tcW w:w="2415" w:type="dxa"/>
            <w:tcBorders>
              <w:top w:val="single" w:sz="4" w:space="0" w:color="auto"/>
              <w:left w:val="nil"/>
              <w:bottom w:val="single" w:sz="4" w:space="0" w:color="auto"/>
              <w:right w:val="nil"/>
            </w:tcBorders>
          </w:tcPr>
          <w:p w14:paraId="767E5237"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724FC31" w14:textId="77777777" w:rsidR="008E67EA" w:rsidRPr="00D728D7" w:rsidRDefault="008E67EA" w:rsidP="00B44A74">
            <w:pPr>
              <w:spacing w:line="280" w:lineRule="exact"/>
              <w:rPr>
                <w:rFonts w:cs="Arial"/>
                <w:sz w:val="20"/>
                <w:szCs w:val="20"/>
              </w:rPr>
            </w:pPr>
          </w:p>
        </w:tc>
      </w:tr>
      <w:tr w:rsidR="008E67EA" w:rsidRPr="002B5B5B" w14:paraId="20009B3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3045E24" w14:textId="77777777" w:rsidR="008E67EA" w:rsidRPr="00F5215F" w:rsidRDefault="008E67EA" w:rsidP="00B44A74">
            <w:pPr>
              <w:spacing w:line="280" w:lineRule="exact"/>
              <w:rPr>
                <w:rFonts w:cs="Arial"/>
                <w:sz w:val="20"/>
                <w:szCs w:val="20"/>
              </w:rPr>
            </w:pPr>
            <w:r w:rsidRPr="00F5215F">
              <w:rPr>
                <w:rFonts w:cs="Arial"/>
                <w:sz w:val="20"/>
                <w:szCs w:val="20"/>
              </w:rPr>
              <w:t>Protectio</w:t>
            </w:r>
            <w:r>
              <w:rPr>
                <w:rFonts w:cs="Arial"/>
                <w:sz w:val="20"/>
                <w:szCs w:val="20"/>
              </w:rPr>
              <w:t>ns</w:t>
            </w:r>
            <w:r w:rsidRPr="00F5215F">
              <w:rPr>
                <w:rFonts w:cs="Arial"/>
                <w:sz w:val="20"/>
                <w:szCs w:val="20"/>
              </w:rPr>
              <w:t>:</w:t>
            </w:r>
          </w:p>
        </w:tc>
        <w:tc>
          <w:tcPr>
            <w:tcW w:w="7755" w:type="dxa"/>
            <w:tcBorders>
              <w:top w:val="single" w:sz="4" w:space="0" w:color="auto"/>
              <w:left w:val="single" w:sz="4" w:space="0" w:color="auto"/>
              <w:bottom w:val="single" w:sz="4" w:space="0" w:color="auto"/>
              <w:right w:val="single" w:sz="4" w:space="0" w:color="auto"/>
            </w:tcBorders>
          </w:tcPr>
          <w:p w14:paraId="199C65F8" w14:textId="77777777" w:rsidR="008E67EA" w:rsidRPr="00D728D7" w:rsidRDefault="008E67EA" w:rsidP="00B44A74">
            <w:pPr>
              <w:spacing w:line="280" w:lineRule="exact"/>
              <w:rPr>
                <w:rFonts w:cs="Arial"/>
                <w:sz w:val="20"/>
                <w:szCs w:val="20"/>
              </w:rPr>
            </w:pPr>
          </w:p>
        </w:tc>
      </w:tr>
      <w:tr w:rsidR="008E67EA" w:rsidRPr="002B5B5B" w14:paraId="6D4906B7" w14:textId="77777777" w:rsidTr="00B44A74">
        <w:trPr>
          <w:jc w:val="center"/>
        </w:trPr>
        <w:tc>
          <w:tcPr>
            <w:tcW w:w="2415" w:type="dxa"/>
            <w:tcBorders>
              <w:top w:val="single" w:sz="4" w:space="0" w:color="auto"/>
              <w:left w:val="nil"/>
              <w:bottom w:val="single" w:sz="4" w:space="0" w:color="auto"/>
              <w:right w:val="nil"/>
            </w:tcBorders>
          </w:tcPr>
          <w:p w14:paraId="525012DB"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4F02F07" w14:textId="77777777" w:rsidR="008E67EA" w:rsidRPr="00D728D7" w:rsidRDefault="008E67EA" w:rsidP="00B44A74">
            <w:pPr>
              <w:spacing w:line="280" w:lineRule="exact"/>
              <w:rPr>
                <w:rFonts w:cs="Arial"/>
                <w:sz w:val="20"/>
                <w:szCs w:val="20"/>
              </w:rPr>
            </w:pPr>
          </w:p>
        </w:tc>
      </w:tr>
      <w:tr w:rsidR="008E67EA" w:rsidRPr="002B5B5B" w14:paraId="5E54156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5939F41" w14:textId="77777777" w:rsidR="008E67EA" w:rsidRPr="00F5215F" w:rsidRDefault="008E67EA" w:rsidP="00B44A74">
            <w:pPr>
              <w:spacing w:line="280" w:lineRule="exact"/>
              <w:rPr>
                <w:rFonts w:cs="Arial"/>
                <w:sz w:val="20"/>
                <w:szCs w:val="20"/>
              </w:rPr>
            </w:pPr>
            <w:r w:rsidRPr="00F5215F">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2B51555C" w14:textId="77777777" w:rsidR="008E67EA" w:rsidRPr="00D728D7" w:rsidRDefault="008E67EA" w:rsidP="00B44A74">
            <w:pPr>
              <w:spacing w:line="280" w:lineRule="exact"/>
              <w:rPr>
                <w:rFonts w:cs="Arial"/>
                <w:sz w:val="20"/>
                <w:szCs w:val="20"/>
                <w:bdr w:val="none" w:sz="0" w:space="0" w:color="auto" w:frame="1"/>
                <w:lang w:val="en-GB" w:eastAsia="en-AU"/>
              </w:rPr>
            </w:pPr>
            <w:r w:rsidRPr="00D96955">
              <w:rPr>
                <w:rFonts w:cs="Arial"/>
                <w:sz w:val="20"/>
                <w:szCs w:val="20"/>
                <w:bdr w:val="none" w:sz="0" w:space="0" w:color="auto" w:frame="1"/>
                <w:lang w:val="en-GB" w:eastAsia="en-AU"/>
              </w:rPr>
              <w:t>STORAGE AND DISPOSAL</w:t>
            </w:r>
          </w:p>
          <w:p w14:paraId="6A446E9B" w14:textId="6C836FC7" w:rsidR="008E67EA" w:rsidRPr="00D728D7" w:rsidRDefault="008E67EA" w:rsidP="00B44A74">
            <w:pPr>
              <w:spacing w:line="280" w:lineRule="exact"/>
              <w:rPr>
                <w:rFonts w:cs="Arial"/>
                <w:sz w:val="20"/>
                <w:szCs w:val="20"/>
              </w:rPr>
            </w:pPr>
            <w:r w:rsidRPr="00D728D7">
              <w:rPr>
                <w:rFonts w:cs="Arial"/>
                <w:sz w:val="20"/>
                <w:szCs w:val="20"/>
              </w:rPr>
              <w:t>Store in the closed, original container in a cool, dry, place out of reach of</w:t>
            </w:r>
            <w:r>
              <w:rPr>
                <w:rFonts w:cs="Arial"/>
                <w:sz w:val="20"/>
                <w:szCs w:val="20"/>
              </w:rPr>
              <w:t xml:space="preserve"> </w:t>
            </w:r>
            <w:r w:rsidRPr="00D728D7">
              <w:rPr>
                <w:rFonts w:cs="Arial"/>
                <w:sz w:val="20"/>
                <w:szCs w:val="20"/>
              </w:rPr>
              <w:t>children. Do not store in direct sunlight. Dispose of empty containers</w:t>
            </w:r>
            <w:r>
              <w:rPr>
                <w:rFonts w:cs="Arial"/>
                <w:sz w:val="20"/>
                <w:szCs w:val="20"/>
              </w:rPr>
              <w:t xml:space="preserve"> and unused product</w:t>
            </w:r>
            <w:r w:rsidRPr="00D728D7">
              <w:rPr>
                <w:rFonts w:cs="Arial"/>
                <w:sz w:val="20"/>
                <w:szCs w:val="20"/>
              </w:rPr>
              <w:t xml:space="preserve"> by wrapping in paper placing in plastic bag and putting in garbage.</w:t>
            </w:r>
          </w:p>
        </w:tc>
      </w:tr>
      <w:tr w:rsidR="008E67EA" w:rsidRPr="002B5B5B" w14:paraId="69C81CC1" w14:textId="77777777" w:rsidTr="00B44A74">
        <w:trPr>
          <w:jc w:val="center"/>
        </w:trPr>
        <w:tc>
          <w:tcPr>
            <w:tcW w:w="2415" w:type="dxa"/>
            <w:tcBorders>
              <w:top w:val="single" w:sz="4" w:space="0" w:color="auto"/>
              <w:left w:val="nil"/>
              <w:bottom w:val="single" w:sz="4" w:space="0" w:color="auto"/>
              <w:right w:val="nil"/>
            </w:tcBorders>
          </w:tcPr>
          <w:p w14:paraId="5AC55214"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EEA9E4F" w14:textId="77777777" w:rsidR="008E67EA" w:rsidRPr="00D728D7" w:rsidRDefault="008E67EA" w:rsidP="00B44A74">
            <w:pPr>
              <w:spacing w:line="280" w:lineRule="exact"/>
              <w:rPr>
                <w:rFonts w:cs="Arial"/>
                <w:sz w:val="20"/>
                <w:szCs w:val="20"/>
              </w:rPr>
            </w:pPr>
          </w:p>
        </w:tc>
      </w:tr>
      <w:tr w:rsidR="008E67EA" w:rsidRPr="002B5B5B" w14:paraId="2A260EF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D041312" w14:textId="77777777" w:rsidR="008E67EA" w:rsidRPr="00F5215F" w:rsidRDefault="008E67EA" w:rsidP="00B44A74">
            <w:pPr>
              <w:spacing w:line="280" w:lineRule="exact"/>
              <w:rPr>
                <w:rFonts w:cs="Arial"/>
                <w:sz w:val="20"/>
                <w:szCs w:val="20"/>
              </w:rPr>
            </w:pPr>
            <w:r w:rsidRPr="00F5215F">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605C7626" w14:textId="77777777" w:rsidR="008E67EA" w:rsidRPr="00D728D7" w:rsidRDefault="008E67EA" w:rsidP="00B44A74">
            <w:pPr>
              <w:spacing w:line="280" w:lineRule="exact"/>
              <w:rPr>
                <w:rFonts w:cs="Arial"/>
                <w:sz w:val="20"/>
                <w:szCs w:val="20"/>
                <w:bdr w:val="none" w:sz="0" w:space="0" w:color="auto" w:frame="1"/>
                <w:lang w:val="en-GB" w:eastAsia="en-AU"/>
              </w:rPr>
            </w:pPr>
            <w:r w:rsidRPr="00D96955">
              <w:rPr>
                <w:rFonts w:cs="Arial"/>
                <w:sz w:val="20"/>
                <w:szCs w:val="20"/>
                <w:bdr w:val="none" w:sz="0" w:space="0" w:color="auto" w:frame="1"/>
                <w:lang w:val="en-GB" w:eastAsia="en-AU"/>
              </w:rPr>
              <w:t>SAFETY DIRECTIONS</w:t>
            </w:r>
          </w:p>
          <w:p w14:paraId="562D7D20" w14:textId="3C6E2D40" w:rsidR="008E67EA" w:rsidRPr="00D728D7" w:rsidRDefault="008E67EA" w:rsidP="00B44A74">
            <w:pPr>
              <w:spacing w:line="280" w:lineRule="exact"/>
              <w:rPr>
                <w:rFonts w:cs="Arial"/>
                <w:sz w:val="20"/>
                <w:szCs w:val="20"/>
              </w:rPr>
            </w:pPr>
            <w:r w:rsidRPr="00D728D7">
              <w:rPr>
                <w:rFonts w:cs="Arial"/>
                <w:sz w:val="20"/>
                <w:szCs w:val="20"/>
              </w:rPr>
              <w:t>Repeated minor exposure may have a cumulative poisoning effect. Will irritate the skin. May irritate eyes. Avoid contact with eyes and skin. Do not touch bait, use scoop or measure. When using the product wear disposable gloves. If on skin and after each baiting, wash thoroughly with soap and water. During cleanup and disposal operations of bait and bait stations, wear a single layer of clothing and disposable gloves. Wear disposable gloves when handling rodent carcasses. Wash clothes after performing re-handling activities.</w:t>
            </w:r>
          </w:p>
        </w:tc>
      </w:tr>
      <w:tr w:rsidR="008E67EA" w:rsidRPr="002B5B5B" w14:paraId="7B63AD57" w14:textId="77777777" w:rsidTr="00B44A74">
        <w:trPr>
          <w:jc w:val="center"/>
        </w:trPr>
        <w:tc>
          <w:tcPr>
            <w:tcW w:w="2415" w:type="dxa"/>
            <w:tcBorders>
              <w:top w:val="single" w:sz="4" w:space="0" w:color="auto"/>
              <w:left w:val="nil"/>
              <w:bottom w:val="single" w:sz="4" w:space="0" w:color="auto"/>
              <w:right w:val="nil"/>
            </w:tcBorders>
          </w:tcPr>
          <w:p w14:paraId="1119DC00"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819A88B" w14:textId="77777777" w:rsidR="008E67EA" w:rsidRPr="00D728D7" w:rsidRDefault="008E67EA" w:rsidP="00B44A74">
            <w:pPr>
              <w:spacing w:line="280" w:lineRule="exact"/>
              <w:rPr>
                <w:rFonts w:cs="Arial"/>
                <w:sz w:val="20"/>
                <w:szCs w:val="20"/>
              </w:rPr>
            </w:pPr>
          </w:p>
        </w:tc>
      </w:tr>
      <w:tr w:rsidR="008E67EA" w:rsidRPr="002B5B5B" w14:paraId="4200A469"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9FDE26F" w14:textId="77777777" w:rsidR="008E67EA" w:rsidRPr="00F5215F" w:rsidRDefault="008E67EA" w:rsidP="00B44A74">
            <w:pPr>
              <w:spacing w:line="280" w:lineRule="exact"/>
              <w:rPr>
                <w:rFonts w:cs="Arial"/>
                <w:sz w:val="20"/>
                <w:szCs w:val="20"/>
              </w:rPr>
            </w:pPr>
            <w:r w:rsidRPr="00F5215F">
              <w:rPr>
                <w:rFonts w:cs="Arial"/>
                <w:sz w:val="20"/>
                <w:szCs w:val="20"/>
              </w:rPr>
              <w:t>First Aid Instructions:</w:t>
            </w:r>
          </w:p>
        </w:tc>
        <w:tc>
          <w:tcPr>
            <w:tcW w:w="7755" w:type="dxa"/>
            <w:tcBorders>
              <w:top w:val="single" w:sz="4" w:space="0" w:color="auto"/>
              <w:left w:val="single" w:sz="4" w:space="0" w:color="auto"/>
              <w:bottom w:val="single" w:sz="4" w:space="0" w:color="auto"/>
              <w:right w:val="single" w:sz="4" w:space="0" w:color="auto"/>
            </w:tcBorders>
          </w:tcPr>
          <w:p w14:paraId="5BE491AB" w14:textId="77777777" w:rsidR="008E67EA" w:rsidRPr="00D728D7" w:rsidRDefault="008E67EA" w:rsidP="00B44A74">
            <w:pPr>
              <w:spacing w:line="280" w:lineRule="exact"/>
              <w:rPr>
                <w:rFonts w:cs="Arial"/>
                <w:sz w:val="20"/>
                <w:szCs w:val="20"/>
                <w:bdr w:val="none" w:sz="0" w:space="0" w:color="auto" w:frame="1"/>
                <w:lang w:val="en-GB" w:eastAsia="en-AU"/>
              </w:rPr>
            </w:pPr>
            <w:r w:rsidRPr="00D96955">
              <w:rPr>
                <w:rFonts w:cs="Arial"/>
                <w:sz w:val="20"/>
                <w:szCs w:val="20"/>
                <w:bdr w:val="none" w:sz="0" w:space="0" w:color="auto" w:frame="1"/>
                <w:lang w:val="en-GB" w:eastAsia="en-AU"/>
              </w:rPr>
              <w:t>FIRST AID</w:t>
            </w:r>
          </w:p>
          <w:p w14:paraId="6AB522B0" w14:textId="77777777" w:rsidR="008E67EA" w:rsidRPr="00D728D7" w:rsidRDefault="008E67EA" w:rsidP="00B44A74">
            <w:pPr>
              <w:spacing w:line="280" w:lineRule="exact"/>
              <w:rPr>
                <w:rFonts w:cs="Arial"/>
                <w:sz w:val="20"/>
                <w:szCs w:val="20"/>
              </w:rPr>
            </w:pPr>
            <w:r w:rsidRPr="00D728D7">
              <w:rPr>
                <w:rFonts w:cs="Arial"/>
                <w:sz w:val="20"/>
                <w:szCs w:val="20"/>
              </w:rPr>
              <w:t>If poisoning occurs, contact a doctor or Poisons Information Centre. Phone Australia 13 11 26, New Zealand 0800 764 766. Vitamin K1 (Phytomenadione) is antidotal.</w:t>
            </w:r>
          </w:p>
        </w:tc>
      </w:tr>
      <w:tr w:rsidR="008E67EA" w:rsidRPr="002B5B5B" w14:paraId="10D62381" w14:textId="77777777" w:rsidTr="00B44A74">
        <w:trPr>
          <w:jc w:val="center"/>
        </w:trPr>
        <w:tc>
          <w:tcPr>
            <w:tcW w:w="2415" w:type="dxa"/>
            <w:tcBorders>
              <w:top w:val="single" w:sz="4" w:space="0" w:color="auto"/>
              <w:left w:val="nil"/>
              <w:bottom w:val="single" w:sz="4" w:space="0" w:color="auto"/>
              <w:right w:val="nil"/>
            </w:tcBorders>
          </w:tcPr>
          <w:p w14:paraId="2DB02E42"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AEB52D9" w14:textId="77777777" w:rsidR="008E67EA" w:rsidRPr="00D728D7" w:rsidRDefault="008E67EA" w:rsidP="00B44A74">
            <w:pPr>
              <w:spacing w:line="280" w:lineRule="exact"/>
              <w:rPr>
                <w:rFonts w:cs="Arial"/>
                <w:sz w:val="20"/>
                <w:szCs w:val="20"/>
              </w:rPr>
            </w:pPr>
          </w:p>
        </w:tc>
      </w:tr>
      <w:tr w:rsidR="008E67EA" w:rsidRPr="002B5B5B" w14:paraId="2C54C8F9"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21CC915" w14:textId="77777777" w:rsidR="008E67EA" w:rsidRPr="00F5215F" w:rsidRDefault="008E67EA" w:rsidP="00B44A74">
            <w:pPr>
              <w:spacing w:line="280" w:lineRule="exact"/>
              <w:rPr>
                <w:rFonts w:cs="Arial"/>
                <w:sz w:val="20"/>
                <w:szCs w:val="20"/>
              </w:rPr>
            </w:pPr>
            <w:r w:rsidRPr="00F5215F">
              <w:rPr>
                <w:rFonts w:cs="Arial"/>
                <w:sz w:val="20"/>
                <w:szCs w:val="20"/>
              </w:rPr>
              <w:t>First Aid Warnings:</w:t>
            </w:r>
          </w:p>
        </w:tc>
        <w:tc>
          <w:tcPr>
            <w:tcW w:w="7755" w:type="dxa"/>
            <w:tcBorders>
              <w:top w:val="single" w:sz="4" w:space="0" w:color="auto"/>
              <w:left w:val="single" w:sz="4" w:space="0" w:color="auto"/>
              <w:bottom w:val="single" w:sz="4" w:space="0" w:color="auto"/>
              <w:right w:val="single" w:sz="4" w:space="0" w:color="auto"/>
            </w:tcBorders>
          </w:tcPr>
          <w:p w14:paraId="255AED78" w14:textId="77777777" w:rsidR="008E67EA" w:rsidRPr="00D728D7" w:rsidRDefault="008E67EA" w:rsidP="00B44A74">
            <w:pPr>
              <w:spacing w:line="280" w:lineRule="exact"/>
              <w:rPr>
                <w:rFonts w:cs="Arial"/>
                <w:sz w:val="20"/>
                <w:szCs w:val="20"/>
              </w:rPr>
            </w:pPr>
          </w:p>
        </w:tc>
      </w:tr>
    </w:tbl>
    <w:p w14:paraId="0A485BFF" w14:textId="77777777" w:rsidR="008E67EA" w:rsidRDefault="008E67EA" w:rsidP="008E67EA">
      <w:pPr>
        <w:rPr>
          <w:rFonts w:cs="Arial"/>
          <w:b/>
          <w:bCs/>
          <w:sz w:val="20"/>
          <w:szCs w:val="20"/>
        </w:rPr>
      </w:pPr>
      <w:r>
        <w:rPr>
          <w:rFonts w:cs="Arial"/>
          <w:b/>
          <w:bCs/>
          <w:sz w:val="20"/>
          <w:szCs w:val="20"/>
        </w:rPr>
        <w:br w:type="page"/>
      </w:r>
    </w:p>
    <w:p w14:paraId="14FDF2D2" w14:textId="77777777" w:rsidR="008E67EA" w:rsidRPr="00FF36BF" w:rsidRDefault="008E67EA" w:rsidP="008E67EA">
      <w:pPr>
        <w:rPr>
          <w:rFonts w:cs="Arial"/>
          <w:b/>
          <w:bCs/>
          <w:sz w:val="20"/>
          <w:szCs w:val="20"/>
        </w:rPr>
      </w:pPr>
      <w:r w:rsidRPr="00FF36BF">
        <w:rPr>
          <w:rFonts w:cs="Arial"/>
          <w:b/>
          <w:bCs/>
          <w:sz w:val="20"/>
          <w:szCs w:val="20"/>
        </w:rPr>
        <w:lastRenderedPageBreak/>
        <w:t>HOW TO USE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181"/>
        <w:gridCol w:w="1842"/>
        <w:gridCol w:w="3897"/>
      </w:tblGrid>
      <w:tr w:rsidR="008E67EA" w:rsidRPr="00FF36BF" w14:paraId="2ADB569B" w14:textId="77777777" w:rsidTr="00604F9D">
        <w:trPr>
          <w:trHeight w:val="340"/>
        </w:trPr>
        <w:tc>
          <w:tcPr>
            <w:tcW w:w="1080" w:type="dxa"/>
          </w:tcPr>
          <w:p w14:paraId="6D592A11" w14:textId="77777777" w:rsidR="008E67EA" w:rsidRPr="00246206" w:rsidRDefault="008E67EA" w:rsidP="00B44A74">
            <w:pPr>
              <w:pStyle w:val="TableParagraph"/>
              <w:widowControl/>
              <w:adjustRightInd w:val="0"/>
              <w:spacing w:before="61"/>
              <w:ind w:left="0"/>
              <w:rPr>
                <w:rFonts w:eastAsiaTheme="minorHAnsi"/>
                <w:b/>
                <w:bCs/>
                <w:sz w:val="20"/>
                <w:szCs w:val="20"/>
                <w:lang w:val="en-AU"/>
              </w:rPr>
            </w:pPr>
            <w:r w:rsidRPr="00246206">
              <w:rPr>
                <w:rFonts w:eastAsiaTheme="minorHAnsi"/>
                <w:b/>
                <w:bCs/>
                <w:sz w:val="20"/>
                <w:szCs w:val="20"/>
                <w:lang w:val="en-AU"/>
              </w:rPr>
              <w:t>PEST</w:t>
            </w:r>
          </w:p>
        </w:tc>
        <w:tc>
          <w:tcPr>
            <w:tcW w:w="2181" w:type="dxa"/>
          </w:tcPr>
          <w:p w14:paraId="10AFCED5" w14:textId="77777777" w:rsidR="008E67EA" w:rsidRPr="00246206" w:rsidRDefault="008E67EA" w:rsidP="00B44A74">
            <w:pPr>
              <w:pStyle w:val="TableParagraph"/>
              <w:widowControl/>
              <w:adjustRightInd w:val="0"/>
              <w:spacing w:before="61"/>
              <w:ind w:left="0"/>
              <w:rPr>
                <w:rFonts w:eastAsiaTheme="minorHAnsi"/>
                <w:b/>
                <w:bCs/>
                <w:sz w:val="20"/>
                <w:szCs w:val="20"/>
                <w:lang w:val="en-AU"/>
              </w:rPr>
            </w:pPr>
            <w:r w:rsidRPr="00246206">
              <w:rPr>
                <w:rFonts w:eastAsiaTheme="minorHAnsi"/>
                <w:b/>
                <w:bCs/>
                <w:sz w:val="20"/>
                <w:szCs w:val="20"/>
                <w:lang w:val="en-AU"/>
              </w:rPr>
              <w:t>SITUATION</w:t>
            </w:r>
          </w:p>
        </w:tc>
        <w:tc>
          <w:tcPr>
            <w:tcW w:w="1842" w:type="dxa"/>
          </w:tcPr>
          <w:p w14:paraId="439E7036" w14:textId="77777777" w:rsidR="008E67EA" w:rsidRPr="00246206" w:rsidRDefault="008E67EA" w:rsidP="00B44A74">
            <w:pPr>
              <w:pStyle w:val="TableParagraph"/>
              <w:widowControl/>
              <w:adjustRightInd w:val="0"/>
              <w:spacing w:before="61"/>
              <w:ind w:left="0"/>
              <w:rPr>
                <w:rFonts w:eastAsiaTheme="minorHAnsi"/>
                <w:b/>
                <w:bCs/>
                <w:sz w:val="20"/>
                <w:szCs w:val="20"/>
                <w:lang w:val="en-AU"/>
              </w:rPr>
            </w:pPr>
            <w:r w:rsidRPr="00246206">
              <w:rPr>
                <w:rFonts w:eastAsiaTheme="minorHAnsi"/>
                <w:b/>
                <w:bCs/>
                <w:sz w:val="20"/>
                <w:szCs w:val="20"/>
                <w:lang w:val="en-AU"/>
              </w:rPr>
              <w:t>RATE</w:t>
            </w:r>
          </w:p>
        </w:tc>
        <w:tc>
          <w:tcPr>
            <w:tcW w:w="3897" w:type="dxa"/>
          </w:tcPr>
          <w:p w14:paraId="30438F40" w14:textId="77777777" w:rsidR="008E67EA" w:rsidRPr="00246206" w:rsidRDefault="008E67EA" w:rsidP="00B44A74">
            <w:pPr>
              <w:pStyle w:val="TableParagraph"/>
              <w:widowControl/>
              <w:adjustRightInd w:val="0"/>
              <w:spacing w:before="61"/>
              <w:ind w:left="0"/>
              <w:rPr>
                <w:rFonts w:eastAsiaTheme="minorHAnsi"/>
                <w:b/>
                <w:bCs/>
                <w:sz w:val="20"/>
                <w:szCs w:val="20"/>
                <w:lang w:val="en-AU"/>
              </w:rPr>
            </w:pPr>
            <w:r w:rsidRPr="00246206">
              <w:rPr>
                <w:rFonts w:eastAsiaTheme="minorHAnsi"/>
                <w:b/>
                <w:bCs/>
                <w:sz w:val="20"/>
                <w:szCs w:val="20"/>
                <w:lang w:val="en-AU"/>
              </w:rPr>
              <w:t>HOW TO APPLY</w:t>
            </w:r>
          </w:p>
        </w:tc>
      </w:tr>
      <w:tr w:rsidR="008E67EA" w:rsidRPr="00FF36BF" w14:paraId="1EB37724" w14:textId="77777777" w:rsidTr="00604F9D">
        <w:trPr>
          <w:trHeight w:val="421"/>
        </w:trPr>
        <w:tc>
          <w:tcPr>
            <w:tcW w:w="1080" w:type="dxa"/>
          </w:tcPr>
          <w:p w14:paraId="3B962F4E" w14:textId="77777777" w:rsidR="008E67EA" w:rsidRPr="005D3D45" w:rsidRDefault="008E67EA" w:rsidP="00B44A74">
            <w:pPr>
              <w:spacing w:line="280" w:lineRule="exact"/>
              <w:rPr>
                <w:rFonts w:cs="Arial"/>
                <w:sz w:val="20"/>
                <w:szCs w:val="20"/>
              </w:rPr>
            </w:pPr>
            <w:r w:rsidRPr="005D3D45">
              <w:rPr>
                <w:rFonts w:cs="Arial"/>
                <w:sz w:val="20"/>
                <w:szCs w:val="20"/>
              </w:rPr>
              <w:t>Mice</w:t>
            </w:r>
          </w:p>
        </w:tc>
        <w:tc>
          <w:tcPr>
            <w:tcW w:w="2181" w:type="dxa"/>
          </w:tcPr>
          <w:p w14:paraId="0BA1A99E" w14:textId="77777777" w:rsidR="008E67EA" w:rsidRPr="005D3D45" w:rsidRDefault="008E67EA" w:rsidP="00B44A74">
            <w:pPr>
              <w:spacing w:line="280" w:lineRule="exact"/>
              <w:rPr>
                <w:rFonts w:cs="Arial"/>
                <w:sz w:val="20"/>
                <w:szCs w:val="20"/>
              </w:rPr>
            </w:pPr>
            <w:r w:rsidRPr="005D3D45">
              <w:rPr>
                <w:rFonts w:cs="Arial"/>
                <w:sz w:val="20"/>
                <w:szCs w:val="20"/>
              </w:rPr>
              <w:t>In domestic buildings and commercial premises</w:t>
            </w:r>
          </w:p>
        </w:tc>
        <w:tc>
          <w:tcPr>
            <w:tcW w:w="1842" w:type="dxa"/>
          </w:tcPr>
          <w:p w14:paraId="53F4C38D" w14:textId="77777777" w:rsidR="008E67EA" w:rsidRPr="005D3D45" w:rsidRDefault="008E67EA" w:rsidP="00B44A74">
            <w:pPr>
              <w:spacing w:line="280" w:lineRule="exact"/>
              <w:rPr>
                <w:rFonts w:cs="Arial"/>
                <w:sz w:val="20"/>
                <w:szCs w:val="20"/>
              </w:rPr>
            </w:pPr>
            <w:r>
              <w:rPr>
                <w:rFonts w:cs="Arial"/>
                <w:sz w:val="20"/>
                <w:szCs w:val="20"/>
              </w:rPr>
              <w:t>Use one 20 g block per bait station</w:t>
            </w:r>
          </w:p>
        </w:tc>
        <w:tc>
          <w:tcPr>
            <w:tcW w:w="3897" w:type="dxa"/>
          </w:tcPr>
          <w:p w14:paraId="6FFED80E" w14:textId="77777777" w:rsidR="008E67EA" w:rsidRPr="005D3D45" w:rsidRDefault="008E67EA" w:rsidP="00B44A74">
            <w:pPr>
              <w:spacing w:line="280" w:lineRule="exact"/>
              <w:rPr>
                <w:rFonts w:cs="Arial"/>
                <w:sz w:val="20"/>
                <w:szCs w:val="20"/>
              </w:rPr>
            </w:pPr>
            <w:r w:rsidRPr="005D3D45">
              <w:rPr>
                <w:rFonts w:cs="Arial"/>
                <w:sz w:val="20"/>
                <w:szCs w:val="20"/>
              </w:rPr>
              <w:t xml:space="preserve">Place bait stations </w:t>
            </w:r>
            <w:r>
              <w:rPr>
                <w:rFonts w:cs="Arial"/>
                <w:sz w:val="20"/>
                <w:szCs w:val="20"/>
              </w:rPr>
              <w:t>wherever droppings, damage or other signs of activity are seen. Use multiple bait stations</w:t>
            </w:r>
            <w:r w:rsidRPr="005D3D45">
              <w:rPr>
                <w:rFonts w:cs="Arial"/>
                <w:sz w:val="20"/>
                <w:szCs w:val="20"/>
              </w:rPr>
              <w:t>, not more than 3 m apart.</w:t>
            </w:r>
          </w:p>
        </w:tc>
      </w:tr>
      <w:tr w:rsidR="008E67EA" w:rsidRPr="00FF36BF" w14:paraId="0C7046E8" w14:textId="77777777" w:rsidTr="00604F9D">
        <w:trPr>
          <w:trHeight w:val="421"/>
        </w:trPr>
        <w:tc>
          <w:tcPr>
            <w:tcW w:w="1080" w:type="dxa"/>
          </w:tcPr>
          <w:p w14:paraId="65EE62D6" w14:textId="77777777" w:rsidR="008E67EA" w:rsidRPr="005D3D45" w:rsidRDefault="008E67EA" w:rsidP="00B44A74">
            <w:pPr>
              <w:spacing w:line="280" w:lineRule="exact"/>
              <w:rPr>
                <w:rFonts w:cs="Arial"/>
                <w:sz w:val="20"/>
                <w:szCs w:val="20"/>
              </w:rPr>
            </w:pPr>
            <w:r>
              <w:rPr>
                <w:rFonts w:cs="Arial"/>
                <w:sz w:val="20"/>
                <w:szCs w:val="20"/>
              </w:rPr>
              <w:t>Rats</w:t>
            </w:r>
          </w:p>
        </w:tc>
        <w:tc>
          <w:tcPr>
            <w:tcW w:w="2181" w:type="dxa"/>
          </w:tcPr>
          <w:p w14:paraId="0552A5E1" w14:textId="77777777" w:rsidR="008E67EA" w:rsidRPr="005D3D45" w:rsidRDefault="008E67EA" w:rsidP="00B44A74">
            <w:pPr>
              <w:spacing w:line="280" w:lineRule="exact"/>
              <w:rPr>
                <w:rFonts w:cs="Arial"/>
                <w:sz w:val="20"/>
                <w:szCs w:val="20"/>
              </w:rPr>
            </w:pPr>
            <w:r w:rsidRPr="005D3D45">
              <w:rPr>
                <w:rFonts w:cs="Arial"/>
                <w:sz w:val="20"/>
                <w:szCs w:val="20"/>
              </w:rPr>
              <w:t>In</w:t>
            </w:r>
            <w:r>
              <w:rPr>
                <w:rFonts w:cs="Arial"/>
                <w:sz w:val="20"/>
                <w:szCs w:val="20"/>
              </w:rPr>
              <w:t xml:space="preserve"> and around</w:t>
            </w:r>
            <w:r w:rsidRPr="005D3D45">
              <w:rPr>
                <w:rFonts w:cs="Arial"/>
                <w:sz w:val="20"/>
                <w:szCs w:val="20"/>
              </w:rPr>
              <w:t xml:space="preserve"> </w:t>
            </w:r>
            <w:r>
              <w:rPr>
                <w:rFonts w:cs="Arial"/>
                <w:sz w:val="20"/>
                <w:szCs w:val="20"/>
              </w:rPr>
              <w:t xml:space="preserve">(within 2 meters) </w:t>
            </w:r>
            <w:r w:rsidRPr="005D3D45">
              <w:rPr>
                <w:rFonts w:cs="Arial"/>
                <w:sz w:val="20"/>
                <w:szCs w:val="20"/>
              </w:rPr>
              <w:t>domestic buildings and commercial premises</w:t>
            </w:r>
          </w:p>
        </w:tc>
        <w:tc>
          <w:tcPr>
            <w:tcW w:w="1842" w:type="dxa"/>
          </w:tcPr>
          <w:p w14:paraId="4EB25F10" w14:textId="77777777" w:rsidR="008E67EA" w:rsidRPr="005D3D45" w:rsidRDefault="008E67EA" w:rsidP="00B44A74">
            <w:pPr>
              <w:spacing w:line="280" w:lineRule="exact"/>
              <w:rPr>
                <w:rFonts w:cs="Arial"/>
                <w:sz w:val="20"/>
                <w:szCs w:val="20"/>
              </w:rPr>
            </w:pPr>
            <w:r>
              <w:rPr>
                <w:rFonts w:cs="Arial"/>
                <w:sz w:val="20"/>
                <w:szCs w:val="20"/>
              </w:rPr>
              <w:t>Use five 20 g blocks per bait station</w:t>
            </w:r>
          </w:p>
        </w:tc>
        <w:tc>
          <w:tcPr>
            <w:tcW w:w="3897" w:type="dxa"/>
          </w:tcPr>
          <w:p w14:paraId="2BF5B6BD" w14:textId="77777777" w:rsidR="008E67EA" w:rsidRPr="005D3D45" w:rsidRDefault="008E67EA" w:rsidP="00B44A74">
            <w:pPr>
              <w:spacing w:line="280" w:lineRule="exact"/>
              <w:rPr>
                <w:rFonts w:cs="Arial"/>
                <w:sz w:val="20"/>
                <w:szCs w:val="20"/>
              </w:rPr>
            </w:pPr>
            <w:r w:rsidRPr="005D3D45">
              <w:rPr>
                <w:rFonts w:cs="Arial"/>
                <w:sz w:val="20"/>
                <w:szCs w:val="20"/>
              </w:rPr>
              <w:t xml:space="preserve">Place </w:t>
            </w:r>
            <w:r>
              <w:rPr>
                <w:rFonts w:cs="Arial"/>
                <w:sz w:val="20"/>
                <w:szCs w:val="20"/>
              </w:rPr>
              <w:t xml:space="preserve">a number of </w:t>
            </w:r>
            <w:r w:rsidRPr="005D3D45">
              <w:rPr>
                <w:rFonts w:cs="Arial"/>
                <w:sz w:val="20"/>
                <w:szCs w:val="20"/>
              </w:rPr>
              <w:t>bait stations</w:t>
            </w:r>
            <w:r>
              <w:rPr>
                <w:rFonts w:cs="Arial"/>
                <w:sz w:val="20"/>
                <w:szCs w:val="20"/>
              </w:rPr>
              <w:t xml:space="preserve"> in dry locations</w:t>
            </w:r>
            <w:r w:rsidRPr="005D3D45">
              <w:rPr>
                <w:rFonts w:cs="Arial"/>
                <w:sz w:val="20"/>
                <w:szCs w:val="20"/>
              </w:rPr>
              <w:t xml:space="preserve"> throughout the infested area, on runs, near burrows and where droppings are seen, not more than </w:t>
            </w:r>
            <w:r>
              <w:rPr>
                <w:rFonts w:cs="Arial"/>
                <w:sz w:val="20"/>
                <w:szCs w:val="20"/>
              </w:rPr>
              <w:t>9</w:t>
            </w:r>
            <w:r w:rsidRPr="005D3D45">
              <w:rPr>
                <w:rFonts w:cs="Arial"/>
                <w:sz w:val="20"/>
                <w:szCs w:val="20"/>
              </w:rPr>
              <w:t xml:space="preserve"> m apart.</w:t>
            </w:r>
          </w:p>
        </w:tc>
      </w:tr>
      <w:tr w:rsidR="008E67EA" w:rsidRPr="00FF36BF" w14:paraId="3FEE4755" w14:textId="77777777" w:rsidTr="00604F9D">
        <w:trPr>
          <w:trHeight w:val="421"/>
        </w:trPr>
        <w:tc>
          <w:tcPr>
            <w:tcW w:w="9000" w:type="dxa"/>
            <w:gridSpan w:val="4"/>
          </w:tcPr>
          <w:p w14:paraId="4A5CE861" w14:textId="06BB1C92" w:rsidR="008E67EA" w:rsidRPr="001E6DA9" w:rsidRDefault="008E67EA" w:rsidP="00B44A74">
            <w:pPr>
              <w:spacing w:after="120" w:line="280" w:lineRule="exact"/>
              <w:rPr>
                <w:rFonts w:eastAsia="Calibri" w:cs="Arial"/>
                <w:b/>
                <w:bCs/>
                <w:sz w:val="20"/>
                <w:szCs w:val="20"/>
                <w:bdr w:val="none" w:sz="0" w:space="0" w:color="auto" w:frame="1"/>
                <w:lang w:val="en-GB"/>
              </w:rPr>
            </w:pPr>
            <w:r w:rsidRPr="001E6DA9">
              <w:rPr>
                <w:rFonts w:eastAsia="Calibri" w:cs="Arial"/>
                <w:b/>
                <w:bCs/>
                <w:sz w:val="20"/>
                <w:szCs w:val="20"/>
                <w:bdr w:val="none" w:sz="0" w:space="0" w:color="auto" w:frame="1"/>
                <w:lang w:val="en-GB"/>
              </w:rPr>
              <w:t xml:space="preserve">General Information and baiting strategy for </w:t>
            </w:r>
            <w:r>
              <w:rPr>
                <w:rFonts w:eastAsia="Calibri" w:cs="Arial"/>
                <w:b/>
                <w:bCs/>
                <w:sz w:val="20"/>
                <w:szCs w:val="20"/>
                <w:bdr w:val="none" w:sz="0" w:space="0" w:color="auto" w:frame="1"/>
                <w:lang w:val="en-GB"/>
              </w:rPr>
              <w:t xml:space="preserve">rats </w:t>
            </w:r>
            <w:r w:rsidRPr="001E6DA9">
              <w:rPr>
                <w:rFonts w:eastAsia="Calibri" w:cs="Arial"/>
                <w:b/>
                <w:bCs/>
                <w:sz w:val="20"/>
                <w:szCs w:val="20"/>
                <w:bdr w:val="none" w:sz="0" w:space="0" w:color="auto" w:frame="1"/>
                <w:lang w:val="en-GB"/>
              </w:rPr>
              <w:t>and mice:</w:t>
            </w:r>
          </w:p>
          <w:p w14:paraId="694BB09F" w14:textId="5343BBB8" w:rsidR="008E67EA" w:rsidRDefault="008E67EA" w:rsidP="00B44A74">
            <w:pPr>
              <w:spacing w:after="120" w:line="280" w:lineRule="exact"/>
              <w:rPr>
                <w:rFonts w:eastAsia="Calibri" w:cs="Arial"/>
                <w:sz w:val="20"/>
                <w:szCs w:val="20"/>
                <w:bdr w:val="none" w:sz="0" w:space="0" w:color="auto" w:frame="1"/>
                <w:lang w:val="en-GB"/>
              </w:rPr>
            </w:pPr>
            <w:r w:rsidRPr="001E6DA9">
              <w:rPr>
                <w:rFonts w:eastAsia="Calibri" w:cs="Arial"/>
                <w:sz w:val="20"/>
                <w:szCs w:val="20"/>
                <w:bdr w:val="none" w:sz="0" w:space="0" w:color="auto" w:frame="1"/>
                <w:lang w:val="en-GB"/>
              </w:rPr>
              <w:t>Eliminate as far as practicable, all other food sources.</w:t>
            </w:r>
          </w:p>
          <w:p w14:paraId="17C3A65F" w14:textId="688561E6" w:rsidR="008E67EA" w:rsidRPr="001E6DA9" w:rsidRDefault="008E67EA" w:rsidP="00B44A74">
            <w:pPr>
              <w:spacing w:after="120" w:line="280" w:lineRule="exact"/>
              <w:rPr>
                <w:rFonts w:eastAsia="Calibri" w:cs="Arial"/>
                <w:sz w:val="20"/>
                <w:szCs w:val="20"/>
                <w:bdr w:val="none" w:sz="0" w:space="0" w:color="auto" w:frame="1"/>
                <w:lang w:val="en-GB"/>
              </w:rPr>
            </w:pPr>
            <w:r w:rsidRPr="001E6DA9">
              <w:rPr>
                <w:rFonts w:eastAsia="Calibri" w:cs="Arial"/>
                <w:sz w:val="20"/>
                <w:szCs w:val="20"/>
                <w:bdr w:val="none" w:sz="0" w:space="0" w:color="auto" w:frame="1"/>
                <w:lang w:val="en-GB"/>
              </w:rPr>
              <w:t>Always place bait where it is inaccessible to children, animals and birds. Use in tamper resistant bait stations only. If bait can be dislodged from bait station, fix tamper-resistant bait stations to the ground or other structures.</w:t>
            </w:r>
            <w:r>
              <w:t xml:space="preserve"> </w:t>
            </w:r>
            <w:r w:rsidRPr="00F92CD9">
              <w:rPr>
                <w:rFonts w:eastAsia="Calibri" w:cs="Arial"/>
                <w:sz w:val="20"/>
                <w:szCs w:val="20"/>
                <w:bdr w:val="none" w:sz="0" w:space="0" w:color="auto" w:frame="1"/>
                <w:lang w:val="en-GB"/>
              </w:rPr>
              <w:t>When using outdoors, it is best practice to use weather resistant bait</w:t>
            </w:r>
            <w:r>
              <w:rPr>
                <w:rFonts w:eastAsia="Calibri" w:cs="Arial"/>
                <w:sz w:val="20"/>
                <w:szCs w:val="20"/>
                <w:bdr w:val="none" w:sz="0" w:space="0" w:color="auto" w:frame="1"/>
                <w:lang w:val="en-GB"/>
              </w:rPr>
              <w:t xml:space="preserve"> </w:t>
            </w:r>
            <w:r w:rsidRPr="00F92CD9">
              <w:rPr>
                <w:rFonts w:eastAsia="Calibri" w:cs="Arial"/>
                <w:sz w:val="20"/>
                <w:szCs w:val="20"/>
                <w:bdr w:val="none" w:sz="0" w:space="0" w:color="auto" w:frame="1"/>
                <w:lang w:val="en-GB"/>
              </w:rPr>
              <w:t>stations.</w:t>
            </w:r>
            <w:r>
              <w:rPr>
                <w:rFonts w:eastAsia="Calibri" w:cs="Arial"/>
                <w:sz w:val="20"/>
                <w:szCs w:val="20"/>
                <w:bdr w:val="none" w:sz="0" w:space="0" w:color="auto" w:frame="1"/>
                <w:lang w:val="en-GB"/>
              </w:rPr>
              <w:t xml:space="preserve"> DO NOT touch bait.</w:t>
            </w:r>
          </w:p>
          <w:p w14:paraId="47D23F7C" w14:textId="6009AF83" w:rsidR="008E67EA" w:rsidRPr="001E6DA9" w:rsidRDefault="008E67EA" w:rsidP="00B44A74">
            <w:pPr>
              <w:spacing w:after="120" w:line="280" w:lineRule="exact"/>
              <w:rPr>
                <w:rFonts w:eastAsia="Calibri" w:cs="Arial"/>
                <w:sz w:val="20"/>
                <w:szCs w:val="20"/>
                <w:bdr w:val="none" w:sz="0" w:space="0" w:color="auto" w:frame="1"/>
                <w:lang w:val="en-GB"/>
              </w:rPr>
            </w:pPr>
            <w:r w:rsidRPr="001E6DA9">
              <w:rPr>
                <w:rFonts w:eastAsia="Calibri" w:cs="Arial"/>
                <w:sz w:val="20"/>
                <w:szCs w:val="20"/>
                <w:bdr w:val="none" w:sz="0" w:space="0" w:color="auto" w:frame="1"/>
                <w:lang w:val="en-GB"/>
              </w:rPr>
              <w:t xml:space="preserve">Inspect baits frequently, particularly in the first ten days. </w:t>
            </w:r>
            <w:r>
              <w:rPr>
                <w:rFonts w:eastAsia="Calibri" w:cs="Arial"/>
                <w:sz w:val="20"/>
                <w:szCs w:val="20"/>
                <w:bdr w:val="none" w:sz="0" w:space="0" w:color="auto" w:frame="1"/>
                <w:lang w:val="en-GB"/>
              </w:rPr>
              <w:t xml:space="preserve">Replace eaten bait. </w:t>
            </w:r>
            <w:r w:rsidRPr="001E6DA9">
              <w:rPr>
                <w:rFonts w:eastAsia="Calibri" w:cs="Arial"/>
                <w:sz w:val="20"/>
                <w:szCs w:val="20"/>
                <w:bdr w:val="none" w:sz="0" w:space="0" w:color="auto" w:frame="1"/>
                <w:lang w:val="en-GB"/>
              </w:rPr>
              <w:t>If bait is completely consumed, the number of bait stations should be increased. Continue replenishing bait until left untouched. Baiting for at least 2 weeks will be necessary to reduce mouse numbers. Most deaths occur 4 to 7 days after consumption of bait, but deaths may occur for up to 2 weeks.</w:t>
            </w:r>
          </w:p>
          <w:p w14:paraId="67DA61FE" w14:textId="77777777" w:rsidR="008E67EA" w:rsidRPr="00246206" w:rsidRDefault="008E67EA" w:rsidP="00B44A74">
            <w:pPr>
              <w:spacing w:after="120" w:line="280" w:lineRule="exact"/>
              <w:rPr>
                <w:rFonts w:eastAsia="Calibri" w:cs="Arial"/>
                <w:sz w:val="20"/>
                <w:szCs w:val="20"/>
                <w:bdr w:val="none" w:sz="0" w:space="0" w:color="auto" w:frame="1"/>
                <w:lang w:val="en-GB"/>
              </w:rPr>
            </w:pPr>
            <w:r w:rsidRPr="001E6DA9">
              <w:rPr>
                <w:rFonts w:eastAsia="Calibri" w:cs="Arial"/>
                <w:sz w:val="20"/>
                <w:szCs w:val="20"/>
                <w:bdr w:val="none" w:sz="0" w:space="0" w:color="auto" w:frame="1"/>
                <w:lang w:val="en-GB"/>
              </w:rPr>
              <w:t xml:space="preserve">Following treatment remove all remains of bait and bait stations. </w:t>
            </w:r>
            <w:r w:rsidRPr="003A1942">
              <w:rPr>
                <w:rFonts w:eastAsia="Calibri" w:cs="Arial"/>
                <w:sz w:val="20"/>
                <w:szCs w:val="20"/>
                <w:bdr w:val="none" w:sz="0" w:space="0" w:color="auto" w:frame="1"/>
                <w:lang w:val="en-GB"/>
              </w:rPr>
              <w:t>DO NOT use the product for longer than 35 days. If rodent activity is still observed after 35 days, seek advice from the product supplier or call a pest control service.</w:t>
            </w:r>
          </w:p>
        </w:tc>
      </w:tr>
    </w:tbl>
    <w:p w14:paraId="47785E5B" w14:textId="6763BED8" w:rsidR="008E67EA" w:rsidRDefault="008E67EA" w:rsidP="008E67EA">
      <w:pPr>
        <w:rPr>
          <w:rFonts w:cs="Arial"/>
          <w:b/>
          <w:bCs/>
          <w:sz w:val="20"/>
          <w:szCs w:val="20"/>
          <w:bdr w:val="none" w:sz="0" w:space="0" w:color="auto" w:frame="1"/>
          <w:lang w:val="en-GB" w:eastAsia="en-AU"/>
        </w:rPr>
      </w:pPr>
      <w:r w:rsidRPr="00FF36BF">
        <w:rPr>
          <w:rFonts w:cs="Arial"/>
          <w:b/>
          <w:bCs/>
          <w:sz w:val="20"/>
          <w:szCs w:val="20"/>
        </w:rPr>
        <w:t>NOT TO BE USED FOR ANY PURPOSE, OR IN ANY MANNER, CONTRARY TO THIS LABEL UNLESS AUTHORISED.</w:t>
      </w:r>
      <w:r>
        <w:rPr>
          <w:rFonts w:cs="Arial"/>
          <w:b/>
          <w:bCs/>
          <w:sz w:val="20"/>
          <w:szCs w:val="20"/>
          <w:bdr w:val="none" w:sz="0" w:space="0" w:color="auto" w:frame="1"/>
          <w:lang w:val="en-GB" w:eastAsia="en-AU"/>
        </w:rPr>
        <w:br w:type="page"/>
      </w:r>
    </w:p>
    <w:p w14:paraId="6FC8A90A" w14:textId="77777777" w:rsidR="008E67EA"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lastRenderedPageBreak/>
        <w:t xml:space="preserve">Template Label </w:t>
      </w:r>
      <w:r>
        <w:rPr>
          <w:rFonts w:cs="Arial"/>
          <w:b/>
          <w:bCs/>
          <w:sz w:val="20"/>
          <w:szCs w:val="20"/>
          <w:bdr w:val="none" w:sz="0" w:space="0" w:color="auto" w:frame="1"/>
          <w:lang w:val="en-GB" w:eastAsia="en-AU"/>
        </w:rPr>
        <w:t>22e</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2B5B5B" w14:paraId="5E5FCAB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009D8A0" w14:textId="77777777" w:rsidR="008E67EA" w:rsidRPr="00F5215F" w:rsidRDefault="008E67EA" w:rsidP="00B44A74">
            <w:pPr>
              <w:spacing w:line="280" w:lineRule="exact"/>
              <w:rPr>
                <w:rFonts w:cs="Arial"/>
                <w:sz w:val="20"/>
                <w:szCs w:val="20"/>
              </w:rPr>
            </w:pPr>
            <w:r w:rsidRPr="00F5215F">
              <w:rPr>
                <w:rFonts w:cs="Arial"/>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14C82C7F" w14:textId="77777777" w:rsidR="008E67EA" w:rsidRPr="00612FBE" w:rsidRDefault="008E67EA" w:rsidP="00B44A74">
            <w:pPr>
              <w:spacing w:line="280" w:lineRule="exact"/>
              <w:rPr>
                <w:rFonts w:cs="Arial"/>
                <w:sz w:val="20"/>
                <w:szCs w:val="20"/>
              </w:rPr>
            </w:pPr>
            <w:r w:rsidRPr="00AA75D8">
              <w:rPr>
                <w:rFonts w:cs="Arial"/>
                <w:sz w:val="20"/>
                <w:szCs w:val="20"/>
              </w:rPr>
              <w:t>[INSERT LABEL NAME]</w:t>
            </w:r>
          </w:p>
        </w:tc>
      </w:tr>
      <w:tr w:rsidR="008E67EA" w:rsidRPr="002B5B5B" w14:paraId="728987FA" w14:textId="77777777" w:rsidTr="00B44A74">
        <w:trPr>
          <w:jc w:val="center"/>
        </w:trPr>
        <w:tc>
          <w:tcPr>
            <w:tcW w:w="2415" w:type="dxa"/>
            <w:tcBorders>
              <w:top w:val="single" w:sz="4" w:space="0" w:color="auto"/>
              <w:left w:val="nil"/>
              <w:bottom w:val="single" w:sz="4" w:space="0" w:color="auto"/>
              <w:right w:val="nil"/>
            </w:tcBorders>
          </w:tcPr>
          <w:p w14:paraId="1BF0E063"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2DCFAAE" w14:textId="77777777" w:rsidR="008E67EA" w:rsidRPr="00612FBE" w:rsidRDefault="008E67EA" w:rsidP="00B44A74">
            <w:pPr>
              <w:spacing w:line="280" w:lineRule="exact"/>
              <w:rPr>
                <w:rFonts w:cs="Arial"/>
                <w:sz w:val="20"/>
                <w:szCs w:val="20"/>
              </w:rPr>
            </w:pPr>
          </w:p>
        </w:tc>
      </w:tr>
      <w:tr w:rsidR="008E67EA" w:rsidRPr="002B5B5B" w14:paraId="4DEF760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1326674" w14:textId="77777777" w:rsidR="008E67EA" w:rsidRPr="00F5215F" w:rsidRDefault="008E67EA" w:rsidP="00B44A74">
            <w:pPr>
              <w:spacing w:line="280" w:lineRule="exact"/>
              <w:rPr>
                <w:rFonts w:cs="Arial"/>
                <w:sz w:val="20"/>
                <w:szCs w:val="20"/>
              </w:rPr>
            </w:pPr>
            <w:r w:rsidRPr="00F5215F">
              <w:rPr>
                <w:rFonts w:cs="Arial"/>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25913873" w14:textId="77777777" w:rsidR="008E67EA" w:rsidRPr="00AA75D8" w:rsidRDefault="008E67EA" w:rsidP="00B44A74">
            <w:pPr>
              <w:spacing w:line="280" w:lineRule="exact"/>
              <w:rPr>
                <w:rFonts w:cs="Arial"/>
                <w:sz w:val="20"/>
                <w:szCs w:val="20"/>
              </w:rPr>
            </w:pPr>
            <w:r w:rsidRPr="00AA75D8">
              <w:rPr>
                <w:rFonts w:cs="Arial"/>
                <w:sz w:val="20"/>
                <w:szCs w:val="20"/>
              </w:rPr>
              <w:t>POISON</w:t>
            </w:r>
          </w:p>
          <w:p w14:paraId="4F2F521E" w14:textId="77777777" w:rsidR="008E67EA" w:rsidRPr="00AA75D8" w:rsidRDefault="008E67EA" w:rsidP="00B44A74">
            <w:pPr>
              <w:spacing w:line="280" w:lineRule="exact"/>
              <w:rPr>
                <w:rFonts w:cs="Arial"/>
                <w:sz w:val="20"/>
                <w:szCs w:val="20"/>
              </w:rPr>
            </w:pPr>
            <w:r w:rsidRPr="00AA75D8">
              <w:rPr>
                <w:rFonts w:cs="Arial"/>
                <w:sz w:val="20"/>
                <w:szCs w:val="20"/>
              </w:rPr>
              <w:t>KEEP OUT OF REACH OF CHILDREN</w:t>
            </w:r>
          </w:p>
          <w:p w14:paraId="656E2788" w14:textId="77777777" w:rsidR="008E67EA" w:rsidRPr="00612FBE" w:rsidRDefault="008E67EA" w:rsidP="00B44A74">
            <w:pPr>
              <w:spacing w:line="280" w:lineRule="exact"/>
              <w:rPr>
                <w:rFonts w:cs="Arial"/>
                <w:sz w:val="20"/>
                <w:szCs w:val="20"/>
              </w:rPr>
            </w:pPr>
            <w:r w:rsidRPr="00AA75D8">
              <w:rPr>
                <w:rFonts w:cs="Arial"/>
                <w:sz w:val="20"/>
                <w:szCs w:val="20"/>
              </w:rPr>
              <w:t>READ SAFETY DIRECTIONS</w:t>
            </w:r>
          </w:p>
        </w:tc>
      </w:tr>
      <w:tr w:rsidR="008E67EA" w:rsidRPr="002B5B5B" w14:paraId="558E8D9D" w14:textId="77777777" w:rsidTr="00B44A74">
        <w:trPr>
          <w:jc w:val="center"/>
        </w:trPr>
        <w:tc>
          <w:tcPr>
            <w:tcW w:w="2415" w:type="dxa"/>
            <w:tcBorders>
              <w:top w:val="single" w:sz="4" w:space="0" w:color="auto"/>
              <w:left w:val="nil"/>
              <w:bottom w:val="single" w:sz="4" w:space="0" w:color="auto"/>
              <w:right w:val="nil"/>
            </w:tcBorders>
          </w:tcPr>
          <w:p w14:paraId="7690D545"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D529E45" w14:textId="77777777" w:rsidR="008E67EA" w:rsidRPr="00612FBE" w:rsidRDefault="008E67EA" w:rsidP="00B44A74">
            <w:pPr>
              <w:spacing w:line="280" w:lineRule="exact"/>
              <w:rPr>
                <w:rFonts w:cs="Arial"/>
                <w:sz w:val="20"/>
                <w:szCs w:val="20"/>
              </w:rPr>
            </w:pPr>
          </w:p>
        </w:tc>
      </w:tr>
      <w:tr w:rsidR="008E67EA" w:rsidRPr="002B5B5B" w14:paraId="101C94F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8DBA3FD" w14:textId="77777777" w:rsidR="008E67EA" w:rsidRPr="00F5215F" w:rsidRDefault="008E67EA" w:rsidP="00B44A74">
            <w:pPr>
              <w:spacing w:line="280" w:lineRule="exact"/>
              <w:rPr>
                <w:rFonts w:cs="Arial"/>
                <w:sz w:val="20"/>
                <w:szCs w:val="20"/>
              </w:rPr>
            </w:pPr>
            <w:r w:rsidRPr="00F5215F">
              <w:rPr>
                <w:rFonts w:cs="Arial"/>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7D2F0696" w14:textId="77777777" w:rsidR="008E67EA" w:rsidRPr="00612FBE" w:rsidRDefault="008E67EA" w:rsidP="00B44A74">
            <w:pPr>
              <w:spacing w:line="280" w:lineRule="exact"/>
              <w:rPr>
                <w:rFonts w:cs="Arial"/>
                <w:sz w:val="20"/>
                <w:szCs w:val="20"/>
              </w:rPr>
            </w:pPr>
            <w:r w:rsidRPr="00AA75D8">
              <w:rPr>
                <w:rFonts w:cs="Arial"/>
                <w:sz w:val="20"/>
                <w:szCs w:val="20"/>
              </w:rPr>
              <w:t>ACTIVE CONSTITUENT: 0.025 g/kg DIFENACOUM</w:t>
            </w:r>
          </w:p>
        </w:tc>
      </w:tr>
      <w:tr w:rsidR="008E67EA" w:rsidRPr="002B5B5B" w14:paraId="09D731C1" w14:textId="77777777" w:rsidTr="00B44A74">
        <w:trPr>
          <w:jc w:val="center"/>
        </w:trPr>
        <w:tc>
          <w:tcPr>
            <w:tcW w:w="2415" w:type="dxa"/>
            <w:tcBorders>
              <w:top w:val="single" w:sz="4" w:space="0" w:color="auto"/>
              <w:left w:val="nil"/>
              <w:bottom w:val="single" w:sz="4" w:space="0" w:color="auto"/>
              <w:right w:val="nil"/>
            </w:tcBorders>
          </w:tcPr>
          <w:p w14:paraId="338C885A"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157A163" w14:textId="77777777" w:rsidR="008E67EA" w:rsidRPr="00612FBE" w:rsidRDefault="008E67EA" w:rsidP="00B44A74">
            <w:pPr>
              <w:spacing w:line="280" w:lineRule="exact"/>
              <w:rPr>
                <w:rFonts w:cs="Arial"/>
                <w:sz w:val="20"/>
                <w:szCs w:val="20"/>
              </w:rPr>
            </w:pPr>
          </w:p>
        </w:tc>
      </w:tr>
      <w:tr w:rsidR="008E67EA" w:rsidRPr="002B5B5B" w14:paraId="11D8B90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F9C63F9" w14:textId="77777777" w:rsidR="008E67EA" w:rsidRPr="00F5215F" w:rsidRDefault="008E67EA" w:rsidP="00B44A74">
            <w:pPr>
              <w:spacing w:line="280" w:lineRule="exact"/>
              <w:rPr>
                <w:rFonts w:cs="Arial"/>
                <w:sz w:val="20"/>
                <w:szCs w:val="20"/>
              </w:rPr>
            </w:pPr>
            <w:r w:rsidRPr="00F5215F">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4DB41D66" w14:textId="77777777" w:rsidR="008E67EA" w:rsidRPr="00612FBE" w:rsidRDefault="008E67EA" w:rsidP="00B44A74">
            <w:pPr>
              <w:spacing w:line="280" w:lineRule="exact"/>
              <w:rPr>
                <w:rFonts w:cs="Arial"/>
                <w:sz w:val="20"/>
                <w:szCs w:val="20"/>
              </w:rPr>
            </w:pPr>
            <w:r w:rsidRPr="00AA75D8">
              <w:rPr>
                <w:rFonts w:cs="Arial"/>
                <w:sz w:val="20"/>
                <w:szCs w:val="20"/>
              </w:rPr>
              <w:t>For control of mice in domestic buildings.</w:t>
            </w:r>
          </w:p>
        </w:tc>
      </w:tr>
      <w:tr w:rsidR="008E67EA" w:rsidRPr="002B5B5B" w14:paraId="209D528F" w14:textId="77777777" w:rsidTr="00B44A74">
        <w:trPr>
          <w:jc w:val="center"/>
        </w:trPr>
        <w:tc>
          <w:tcPr>
            <w:tcW w:w="2415" w:type="dxa"/>
            <w:tcBorders>
              <w:top w:val="single" w:sz="4" w:space="0" w:color="auto"/>
              <w:left w:val="nil"/>
              <w:bottom w:val="single" w:sz="4" w:space="0" w:color="auto"/>
              <w:right w:val="nil"/>
            </w:tcBorders>
          </w:tcPr>
          <w:p w14:paraId="423E4B3B"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AD8F78A" w14:textId="77777777" w:rsidR="008E67EA" w:rsidRPr="00612FBE" w:rsidRDefault="008E67EA" w:rsidP="00B44A74">
            <w:pPr>
              <w:spacing w:line="280" w:lineRule="exact"/>
              <w:rPr>
                <w:rFonts w:cs="Arial"/>
                <w:sz w:val="20"/>
                <w:szCs w:val="20"/>
              </w:rPr>
            </w:pPr>
          </w:p>
        </w:tc>
      </w:tr>
      <w:tr w:rsidR="008E67EA" w:rsidRPr="002B5B5B" w14:paraId="5114A68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E75014E" w14:textId="77777777" w:rsidR="008E67EA" w:rsidRPr="00F5215F" w:rsidRDefault="008E67EA" w:rsidP="00B44A74">
            <w:pPr>
              <w:spacing w:line="280" w:lineRule="exact"/>
              <w:rPr>
                <w:rFonts w:cs="Arial"/>
                <w:sz w:val="20"/>
                <w:szCs w:val="20"/>
              </w:rPr>
            </w:pPr>
            <w:r w:rsidRPr="00F5215F">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79BFE081" w14:textId="77777777" w:rsidR="008E67EA" w:rsidRPr="00612FBE" w:rsidRDefault="008E67EA" w:rsidP="00B44A74">
            <w:pPr>
              <w:spacing w:line="280" w:lineRule="exact"/>
              <w:rPr>
                <w:rFonts w:cs="Arial"/>
                <w:sz w:val="20"/>
                <w:szCs w:val="20"/>
              </w:rPr>
            </w:pPr>
            <w:r w:rsidRPr="00AA75D8">
              <w:rPr>
                <w:rFonts w:cs="Arial"/>
                <w:sz w:val="20"/>
                <w:szCs w:val="20"/>
              </w:rPr>
              <w:t>[INSERT NET CONTENTS – MAXIMUM 300 g]</w:t>
            </w:r>
          </w:p>
        </w:tc>
      </w:tr>
      <w:tr w:rsidR="008E67EA" w:rsidRPr="002B5B5B" w14:paraId="107EAF7D" w14:textId="77777777" w:rsidTr="00B44A74">
        <w:trPr>
          <w:jc w:val="center"/>
        </w:trPr>
        <w:tc>
          <w:tcPr>
            <w:tcW w:w="2415" w:type="dxa"/>
            <w:tcBorders>
              <w:top w:val="single" w:sz="4" w:space="0" w:color="auto"/>
              <w:left w:val="nil"/>
              <w:bottom w:val="single" w:sz="4" w:space="0" w:color="auto"/>
              <w:right w:val="nil"/>
            </w:tcBorders>
          </w:tcPr>
          <w:p w14:paraId="20457804"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419E54E" w14:textId="77777777" w:rsidR="008E67EA" w:rsidRPr="00612FBE" w:rsidRDefault="008E67EA" w:rsidP="00B44A74">
            <w:pPr>
              <w:spacing w:line="280" w:lineRule="exact"/>
              <w:rPr>
                <w:rFonts w:cs="Arial"/>
                <w:sz w:val="20"/>
                <w:szCs w:val="20"/>
              </w:rPr>
            </w:pPr>
          </w:p>
        </w:tc>
      </w:tr>
      <w:tr w:rsidR="008E67EA" w:rsidRPr="002B5B5B" w14:paraId="5E0B0B1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71F1331" w14:textId="77777777" w:rsidR="008E67EA" w:rsidRPr="00F5215F" w:rsidRDefault="008E67EA" w:rsidP="00B44A74">
            <w:pPr>
              <w:spacing w:line="280" w:lineRule="exact"/>
              <w:rPr>
                <w:rFonts w:cs="Arial"/>
                <w:sz w:val="20"/>
                <w:szCs w:val="20"/>
              </w:rPr>
            </w:pPr>
            <w:r w:rsidRPr="00F5215F">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2E303544" w14:textId="789D6544" w:rsidR="008E67EA" w:rsidRPr="00AA75D8" w:rsidRDefault="008E67EA" w:rsidP="00B44A74">
            <w:pPr>
              <w:spacing w:line="280" w:lineRule="exact"/>
              <w:rPr>
                <w:rFonts w:cs="Arial"/>
                <w:sz w:val="20"/>
                <w:szCs w:val="20"/>
              </w:rPr>
            </w:pPr>
            <w:r w:rsidRPr="00AA75D8">
              <w:rPr>
                <w:rFonts w:cs="Arial"/>
                <w:sz w:val="20"/>
                <w:szCs w:val="20"/>
              </w:rPr>
              <w:t>DO NOT place baits unless in tamper-resistant bait stations.</w:t>
            </w:r>
          </w:p>
          <w:p w14:paraId="0A782BDA" w14:textId="77777777" w:rsidR="008E67EA" w:rsidRDefault="008E67EA" w:rsidP="00B44A74">
            <w:pPr>
              <w:spacing w:line="280" w:lineRule="exact"/>
              <w:rPr>
                <w:rFonts w:cs="Arial"/>
                <w:sz w:val="20"/>
                <w:szCs w:val="20"/>
              </w:rPr>
            </w:pPr>
            <w:r w:rsidRPr="00AA75D8">
              <w:rPr>
                <w:rFonts w:cs="Arial"/>
                <w:sz w:val="20"/>
                <w:szCs w:val="20"/>
              </w:rPr>
              <w:t>DO NOT place bait stations outdoors around buildings for control of mice.</w:t>
            </w:r>
          </w:p>
          <w:p w14:paraId="3F36FBE0" w14:textId="77777777" w:rsidR="008E67EA" w:rsidRPr="00AA75D8" w:rsidRDefault="008E67EA" w:rsidP="00B44A74">
            <w:pPr>
              <w:spacing w:line="280" w:lineRule="exact"/>
              <w:rPr>
                <w:rFonts w:cs="Arial"/>
                <w:sz w:val="20"/>
                <w:szCs w:val="20"/>
              </w:rPr>
            </w:pPr>
            <w:r w:rsidRPr="00000B6E">
              <w:rPr>
                <w:rFonts w:cs="Arial"/>
                <w:sz w:val="20"/>
                <w:szCs w:val="20"/>
              </w:rPr>
              <w:t>DO NOT bait in areas where wildlife may be collected for human consumption</w:t>
            </w:r>
            <w:r>
              <w:rPr>
                <w:rFonts w:cs="Arial"/>
                <w:sz w:val="20"/>
                <w:szCs w:val="20"/>
              </w:rPr>
              <w:t>.</w:t>
            </w:r>
          </w:p>
          <w:p w14:paraId="3B698443" w14:textId="77777777" w:rsidR="008E67EA" w:rsidRPr="00AA75D8" w:rsidRDefault="008E67EA" w:rsidP="00B44A74">
            <w:pPr>
              <w:spacing w:line="280" w:lineRule="exact"/>
              <w:rPr>
                <w:rFonts w:cs="Arial"/>
                <w:sz w:val="20"/>
                <w:szCs w:val="20"/>
              </w:rPr>
            </w:pPr>
            <w:r w:rsidRPr="00AA75D8">
              <w:rPr>
                <w:rFonts w:cs="Arial"/>
                <w:sz w:val="20"/>
                <w:szCs w:val="20"/>
              </w:rPr>
              <w:t>DO NOT place baits in animal, livestock and poultry houses, associated equipment, and food and feed processing areas.</w:t>
            </w:r>
          </w:p>
          <w:p w14:paraId="5A03C78B" w14:textId="77777777" w:rsidR="008E67EA" w:rsidRPr="00612FBE" w:rsidRDefault="008E67EA" w:rsidP="00B44A74">
            <w:pPr>
              <w:spacing w:line="280" w:lineRule="exact"/>
              <w:rPr>
                <w:rFonts w:cs="Arial"/>
                <w:sz w:val="20"/>
                <w:szCs w:val="20"/>
                <w:highlight w:val="yellow"/>
              </w:rPr>
            </w:pPr>
            <w:r w:rsidRPr="00AA75D8">
              <w:rPr>
                <w:rFonts w:cs="Arial"/>
                <w:sz w:val="20"/>
                <w:szCs w:val="20"/>
              </w:rPr>
              <w:t>DO NOT use the product in pulsed baiting treatments.</w:t>
            </w:r>
          </w:p>
        </w:tc>
      </w:tr>
      <w:tr w:rsidR="008E67EA" w:rsidRPr="002B5B5B" w14:paraId="56B78A56" w14:textId="77777777" w:rsidTr="00B44A74">
        <w:trPr>
          <w:jc w:val="center"/>
        </w:trPr>
        <w:tc>
          <w:tcPr>
            <w:tcW w:w="2415" w:type="dxa"/>
            <w:tcBorders>
              <w:top w:val="single" w:sz="4" w:space="0" w:color="auto"/>
              <w:left w:val="nil"/>
              <w:bottom w:val="single" w:sz="4" w:space="0" w:color="auto"/>
              <w:right w:val="nil"/>
            </w:tcBorders>
          </w:tcPr>
          <w:p w14:paraId="68B56B43"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2E0D77D" w14:textId="77777777" w:rsidR="008E67EA" w:rsidRPr="00612FBE" w:rsidRDefault="008E67EA" w:rsidP="00B44A74">
            <w:pPr>
              <w:spacing w:line="280" w:lineRule="exact"/>
              <w:rPr>
                <w:rFonts w:cs="Arial"/>
                <w:sz w:val="20"/>
                <w:szCs w:val="20"/>
              </w:rPr>
            </w:pPr>
          </w:p>
        </w:tc>
      </w:tr>
      <w:tr w:rsidR="008E67EA" w:rsidRPr="002B5B5B" w14:paraId="495F264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A42DA5C" w14:textId="77777777" w:rsidR="008E67EA" w:rsidRPr="00F5215F" w:rsidRDefault="008E67EA" w:rsidP="00B44A74">
            <w:pPr>
              <w:spacing w:line="280" w:lineRule="exact"/>
              <w:rPr>
                <w:rFonts w:cs="Arial"/>
                <w:sz w:val="20"/>
                <w:szCs w:val="20"/>
              </w:rPr>
            </w:pPr>
            <w:r>
              <w:rPr>
                <w:rFonts w:cs="Arial"/>
                <w:sz w:val="20"/>
                <w:szCs w:val="20"/>
              </w:rPr>
              <w:t>How to Use</w:t>
            </w:r>
          </w:p>
        </w:tc>
        <w:tc>
          <w:tcPr>
            <w:tcW w:w="7755" w:type="dxa"/>
            <w:tcBorders>
              <w:top w:val="single" w:sz="4" w:space="0" w:color="auto"/>
              <w:left w:val="single" w:sz="4" w:space="0" w:color="auto"/>
              <w:bottom w:val="single" w:sz="4" w:space="0" w:color="auto"/>
              <w:right w:val="single" w:sz="4" w:space="0" w:color="auto"/>
            </w:tcBorders>
          </w:tcPr>
          <w:p w14:paraId="51BFE273" w14:textId="77777777" w:rsidR="008E67EA" w:rsidRPr="00612FBE" w:rsidRDefault="008E67EA" w:rsidP="00B44A74">
            <w:pPr>
              <w:spacing w:line="280" w:lineRule="exact"/>
              <w:rPr>
                <w:rFonts w:cs="Arial"/>
                <w:sz w:val="20"/>
                <w:szCs w:val="20"/>
              </w:rPr>
            </w:pPr>
            <w:r w:rsidRPr="00713087">
              <w:rPr>
                <w:rFonts w:cs="Arial"/>
                <w:sz w:val="20"/>
                <w:szCs w:val="20"/>
              </w:rPr>
              <w:t>[This section contains an attachment below]</w:t>
            </w:r>
          </w:p>
        </w:tc>
      </w:tr>
      <w:tr w:rsidR="008E67EA" w:rsidRPr="002B5B5B" w14:paraId="2D337057" w14:textId="77777777" w:rsidTr="00B44A74">
        <w:trPr>
          <w:jc w:val="center"/>
        </w:trPr>
        <w:tc>
          <w:tcPr>
            <w:tcW w:w="2415" w:type="dxa"/>
            <w:tcBorders>
              <w:top w:val="single" w:sz="4" w:space="0" w:color="auto"/>
              <w:left w:val="nil"/>
              <w:bottom w:val="single" w:sz="4" w:space="0" w:color="auto"/>
              <w:right w:val="nil"/>
            </w:tcBorders>
          </w:tcPr>
          <w:p w14:paraId="624B423C"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C38E198" w14:textId="77777777" w:rsidR="008E67EA" w:rsidRPr="00612FBE" w:rsidRDefault="008E67EA" w:rsidP="00B44A74">
            <w:pPr>
              <w:spacing w:line="280" w:lineRule="exact"/>
              <w:rPr>
                <w:rFonts w:cs="Arial"/>
                <w:sz w:val="20"/>
                <w:szCs w:val="20"/>
              </w:rPr>
            </w:pPr>
          </w:p>
        </w:tc>
      </w:tr>
      <w:tr w:rsidR="008E67EA" w:rsidRPr="002B5B5B" w14:paraId="2709A54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96997A4" w14:textId="77777777" w:rsidR="008E67EA" w:rsidRPr="00F5215F" w:rsidRDefault="008E67EA" w:rsidP="00B44A74">
            <w:pPr>
              <w:spacing w:line="280" w:lineRule="exact"/>
              <w:rPr>
                <w:rFonts w:cs="Arial"/>
                <w:sz w:val="20"/>
                <w:szCs w:val="20"/>
              </w:rPr>
            </w:pPr>
            <w:r w:rsidRPr="00F5215F">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52EB46D8" w14:textId="77777777" w:rsidR="008E67EA" w:rsidRPr="00612FBE" w:rsidRDefault="008E67EA" w:rsidP="00B44A74">
            <w:pPr>
              <w:spacing w:line="280" w:lineRule="exact"/>
              <w:rPr>
                <w:rFonts w:cs="Arial"/>
                <w:sz w:val="20"/>
                <w:szCs w:val="20"/>
              </w:rPr>
            </w:pPr>
          </w:p>
        </w:tc>
      </w:tr>
      <w:tr w:rsidR="008E67EA" w:rsidRPr="002B5B5B" w14:paraId="3C3BD04E" w14:textId="77777777" w:rsidTr="00B44A74">
        <w:trPr>
          <w:jc w:val="center"/>
        </w:trPr>
        <w:tc>
          <w:tcPr>
            <w:tcW w:w="2415" w:type="dxa"/>
            <w:tcBorders>
              <w:top w:val="single" w:sz="4" w:space="0" w:color="auto"/>
              <w:left w:val="nil"/>
              <w:bottom w:val="single" w:sz="4" w:space="0" w:color="auto"/>
              <w:right w:val="nil"/>
            </w:tcBorders>
          </w:tcPr>
          <w:p w14:paraId="3815B82F"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447A96F" w14:textId="77777777" w:rsidR="008E67EA" w:rsidRPr="00612FBE" w:rsidRDefault="008E67EA" w:rsidP="00B44A74">
            <w:pPr>
              <w:spacing w:line="280" w:lineRule="exact"/>
              <w:rPr>
                <w:rFonts w:cs="Arial"/>
                <w:sz w:val="20"/>
                <w:szCs w:val="20"/>
              </w:rPr>
            </w:pPr>
          </w:p>
        </w:tc>
      </w:tr>
      <w:tr w:rsidR="008E67EA" w:rsidRPr="002B5B5B" w14:paraId="72CCF3C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DB31707" w14:textId="77777777" w:rsidR="008E67EA" w:rsidRPr="00F5215F" w:rsidRDefault="008E67EA" w:rsidP="00B44A74">
            <w:pPr>
              <w:spacing w:line="280" w:lineRule="exact"/>
              <w:rPr>
                <w:rFonts w:cs="Arial"/>
                <w:sz w:val="20"/>
                <w:szCs w:val="20"/>
              </w:rPr>
            </w:pPr>
            <w:r>
              <w:rPr>
                <w:rFonts w:cs="Arial"/>
                <w:sz w:val="20"/>
                <w:szCs w:val="20"/>
              </w:rPr>
              <w:t>How to Prepare</w:t>
            </w:r>
          </w:p>
        </w:tc>
        <w:tc>
          <w:tcPr>
            <w:tcW w:w="7755" w:type="dxa"/>
            <w:tcBorders>
              <w:top w:val="single" w:sz="4" w:space="0" w:color="auto"/>
              <w:left w:val="single" w:sz="4" w:space="0" w:color="auto"/>
              <w:bottom w:val="single" w:sz="4" w:space="0" w:color="auto"/>
              <w:right w:val="single" w:sz="4" w:space="0" w:color="auto"/>
            </w:tcBorders>
          </w:tcPr>
          <w:p w14:paraId="3A874774" w14:textId="77777777" w:rsidR="008E67EA" w:rsidRPr="00612FBE" w:rsidRDefault="008E67EA" w:rsidP="00B44A74">
            <w:pPr>
              <w:spacing w:line="280" w:lineRule="exact"/>
              <w:rPr>
                <w:rFonts w:cs="Arial"/>
                <w:sz w:val="20"/>
                <w:szCs w:val="20"/>
              </w:rPr>
            </w:pPr>
          </w:p>
        </w:tc>
      </w:tr>
      <w:tr w:rsidR="008E67EA" w:rsidRPr="002B5B5B" w14:paraId="7A390255" w14:textId="77777777" w:rsidTr="00B44A74">
        <w:trPr>
          <w:jc w:val="center"/>
        </w:trPr>
        <w:tc>
          <w:tcPr>
            <w:tcW w:w="2415" w:type="dxa"/>
            <w:tcBorders>
              <w:top w:val="single" w:sz="4" w:space="0" w:color="auto"/>
              <w:left w:val="nil"/>
              <w:bottom w:val="single" w:sz="4" w:space="0" w:color="auto"/>
              <w:right w:val="nil"/>
            </w:tcBorders>
          </w:tcPr>
          <w:p w14:paraId="3BB1BDF7"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CD17317" w14:textId="77777777" w:rsidR="008E67EA" w:rsidRPr="00612FBE" w:rsidRDefault="008E67EA" w:rsidP="00B44A74">
            <w:pPr>
              <w:spacing w:line="280" w:lineRule="exact"/>
              <w:rPr>
                <w:rFonts w:cs="Arial"/>
                <w:sz w:val="20"/>
                <w:szCs w:val="20"/>
              </w:rPr>
            </w:pPr>
          </w:p>
        </w:tc>
      </w:tr>
      <w:tr w:rsidR="008E67EA" w:rsidRPr="002B5B5B" w14:paraId="14700DE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81B73EE" w14:textId="77777777" w:rsidR="008E67EA" w:rsidRPr="00F5215F" w:rsidRDefault="008E67EA" w:rsidP="00B44A74">
            <w:pPr>
              <w:spacing w:line="280" w:lineRule="exact"/>
              <w:rPr>
                <w:rFonts w:cs="Arial"/>
                <w:sz w:val="20"/>
                <w:szCs w:val="20"/>
              </w:rPr>
            </w:pPr>
            <w:r w:rsidRPr="00F5215F">
              <w:rPr>
                <w:rFonts w:cs="Arial"/>
                <w:sz w:val="20"/>
                <w:szCs w:val="20"/>
              </w:rPr>
              <w:t>Resistance Warning:</w:t>
            </w:r>
          </w:p>
        </w:tc>
        <w:tc>
          <w:tcPr>
            <w:tcW w:w="7755" w:type="dxa"/>
            <w:tcBorders>
              <w:top w:val="single" w:sz="4" w:space="0" w:color="auto"/>
              <w:left w:val="single" w:sz="4" w:space="0" w:color="auto"/>
              <w:bottom w:val="single" w:sz="4" w:space="0" w:color="auto"/>
              <w:right w:val="single" w:sz="4" w:space="0" w:color="auto"/>
            </w:tcBorders>
          </w:tcPr>
          <w:p w14:paraId="503B77CF" w14:textId="77777777" w:rsidR="008E67EA" w:rsidRPr="00612FBE" w:rsidRDefault="008E67EA" w:rsidP="00B44A74">
            <w:pPr>
              <w:spacing w:line="280" w:lineRule="exact"/>
              <w:rPr>
                <w:rFonts w:cs="Arial"/>
                <w:sz w:val="20"/>
                <w:szCs w:val="20"/>
              </w:rPr>
            </w:pPr>
          </w:p>
        </w:tc>
      </w:tr>
      <w:tr w:rsidR="008E67EA" w:rsidRPr="002B5B5B" w14:paraId="28A8CCF3" w14:textId="77777777" w:rsidTr="00B44A74">
        <w:trPr>
          <w:jc w:val="center"/>
        </w:trPr>
        <w:tc>
          <w:tcPr>
            <w:tcW w:w="2415" w:type="dxa"/>
            <w:tcBorders>
              <w:top w:val="single" w:sz="4" w:space="0" w:color="auto"/>
              <w:left w:val="nil"/>
              <w:bottom w:val="single" w:sz="4" w:space="0" w:color="auto"/>
              <w:right w:val="nil"/>
            </w:tcBorders>
          </w:tcPr>
          <w:p w14:paraId="29D21842"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BF95E6F" w14:textId="77777777" w:rsidR="008E67EA" w:rsidRPr="00612FBE" w:rsidRDefault="008E67EA" w:rsidP="00B44A74">
            <w:pPr>
              <w:spacing w:line="280" w:lineRule="exact"/>
              <w:rPr>
                <w:rFonts w:cs="Arial"/>
                <w:sz w:val="20"/>
                <w:szCs w:val="20"/>
              </w:rPr>
            </w:pPr>
          </w:p>
        </w:tc>
      </w:tr>
      <w:tr w:rsidR="008E67EA" w:rsidRPr="002B5B5B" w14:paraId="6FA1849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ECB4D3B" w14:textId="77777777" w:rsidR="008E67EA" w:rsidRPr="00F5215F" w:rsidRDefault="008E67EA" w:rsidP="00B44A74">
            <w:pPr>
              <w:spacing w:line="280" w:lineRule="exact"/>
              <w:rPr>
                <w:rFonts w:cs="Arial"/>
                <w:sz w:val="20"/>
                <w:szCs w:val="20"/>
              </w:rPr>
            </w:pPr>
            <w:r w:rsidRPr="00F5215F">
              <w:rPr>
                <w:rFonts w:cs="Arial"/>
                <w:sz w:val="20"/>
                <w:szCs w:val="20"/>
              </w:rPr>
              <w:t>Precautions:</w:t>
            </w:r>
          </w:p>
        </w:tc>
        <w:tc>
          <w:tcPr>
            <w:tcW w:w="7755" w:type="dxa"/>
            <w:tcBorders>
              <w:top w:val="single" w:sz="4" w:space="0" w:color="auto"/>
              <w:left w:val="single" w:sz="4" w:space="0" w:color="auto"/>
              <w:bottom w:val="single" w:sz="4" w:space="0" w:color="auto"/>
              <w:right w:val="single" w:sz="4" w:space="0" w:color="auto"/>
            </w:tcBorders>
          </w:tcPr>
          <w:p w14:paraId="085ED12A" w14:textId="77777777" w:rsidR="008E67EA" w:rsidRPr="00AA75D8" w:rsidRDefault="008E67EA" w:rsidP="00B44A74">
            <w:pPr>
              <w:spacing w:line="280" w:lineRule="exact"/>
              <w:rPr>
                <w:rFonts w:cs="Arial"/>
                <w:sz w:val="20"/>
                <w:szCs w:val="20"/>
              </w:rPr>
            </w:pPr>
            <w:r w:rsidRPr="00AA75D8">
              <w:rPr>
                <w:rFonts w:cs="Arial"/>
                <w:sz w:val="20"/>
                <w:szCs w:val="20"/>
              </w:rPr>
              <w:t>CAUTION</w:t>
            </w:r>
          </w:p>
          <w:p w14:paraId="388AEE22" w14:textId="77777777" w:rsidR="008E67EA" w:rsidRPr="00AA75D8" w:rsidRDefault="008E67EA" w:rsidP="00B44A74">
            <w:pPr>
              <w:spacing w:line="280" w:lineRule="exact"/>
              <w:rPr>
                <w:rFonts w:cs="Arial"/>
                <w:sz w:val="20"/>
                <w:szCs w:val="20"/>
              </w:rPr>
            </w:pPr>
            <w:r w:rsidRPr="00AA75D8">
              <w:rPr>
                <w:rFonts w:cs="Arial"/>
                <w:sz w:val="20"/>
                <w:szCs w:val="20"/>
              </w:rPr>
              <w:t>Caution should be used when baiting near areas where hunting of wildlife may occur. Careful consideration of bait placement is necessary to avoid secondary exposure from contaminated wildlife that may be consumed.</w:t>
            </w:r>
          </w:p>
          <w:p w14:paraId="44DE58D5" w14:textId="77777777" w:rsidR="008E67EA" w:rsidRDefault="008E67EA" w:rsidP="00B44A74">
            <w:pPr>
              <w:spacing w:line="280" w:lineRule="exact"/>
              <w:rPr>
                <w:rFonts w:cs="Arial"/>
                <w:sz w:val="20"/>
                <w:szCs w:val="20"/>
              </w:rPr>
            </w:pPr>
            <w:r w:rsidRPr="00AA75D8">
              <w:rPr>
                <w:rFonts w:cs="Arial"/>
                <w:sz w:val="20"/>
                <w:szCs w:val="20"/>
              </w:rPr>
              <w:t>DO NOT place bait in areas where there is a possibility of contaminating food, livestock feed or surfaces that come in direct contact with food or livestock feed.</w:t>
            </w:r>
          </w:p>
          <w:p w14:paraId="2102ABFD" w14:textId="77777777" w:rsidR="008E67EA" w:rsidRPr="00AA75D8" w:rsidRDefault="008E67EA" w:rsidP="00B44A74">
            <w:pPr>
              <w:spacing w:line="280" w:lineRule="exact"/>
              <w:rPr>
                <w:rFonts w:cs="Arial"/>
                <w:sz w:val="20"/>
                <w:szCs w:val="20"/>
              </w:rPr>
            </w:pPr>
          </w:p>
          <w:p w14:paraId="7E8CBCC2" w14:textId="77777777" w:rsidR="008E67EA" w:rsidRPr="00AA75D8" w:rsidRDefault="008E67EA" w:rsidP="00B44A74">
            <w:pPr>
              <w:spacing w:line="280" w:lineRule="exact"/>
              <w:rPr>
                <w:rFonts w:cs="Arial"/>
                <w:sz w:val="20"/>
                <w:szCs w:val="20"/>
              </w:rPr>
            </w:pPr>
            <w:r w:rsidRPr="00AA75D8">
              <w:rPr>
                <w:rFonts w:cs="Arial"/>
                <w:sz w:val="20"/>
                <w:szCs w:val="20"/>
              </w:rPr>
              <w:t>PROTECTION OF LIVESTOCK AND WILDLIFE</w:t>
            </w:r>
          </w:p>
          <w:p w14:paraId="783252FD" w14:textId="77777777" w:rsidR="008E67EA" w:rsidRPr="00AA75D8" w:rsidRDefault="008E67EA" w:rsidP="00B44A74">
            <w:pPr>
              <w:spacing w:line="280" w:lineRule="exact"/>
              <w:rPr>
                <w:rFonts w:cs="Arial"/>
                <w:sz w:val="20"/>
                <w:szCs w:val="20"/>
              </w:rPr>
            </w:pPr>
            <w:r w:rsidRPr="00AA75D8">
              <w:rPr>
                <w:rFonts w:cs="Arial"/>
                <w:sz w:val="20"/>
                <w:szCs w:val="20"/>
              </w:rPr>
              <w:t>Hazardous to livestock, poultry and wildlife. DO NOT place baits in locations that are accessible to domestic animals, livestock, non-target native animals or birds.</w:t>
            </w:r>
          </w:p>
          <w:p w14:paraId="3DA69F22" w14:textId="4942EB1F" w:rsidR="008E67EA" w:rsidRPr="00AA75D8" w:rsidRDefault="008E67EA" w:rsidP="00B44A74">
            <w:pPr>
              <w:spacing w:line="280" w:lineRule="exact"/>
              <w:rPr>
                <w:rFonts w:cs="Arial"/>
                <w:sz w:val="20"/>
                <w:szCs w:val="20"/>
              </w:rPr>
            </w:pPr>
            <w:r w:rsidRPr="00AA75D8">
              <w:rPr>
                <w:rFonts w:cs="Arial"/>
                <w:sz w:val="20"/>
                <w:szCs w:val="20"/>
              </w:rPr>
              <w:t>Search for and dispose of dead rodents and slugs/snails in the infested area at each visit to prevent secondary poisoning. In case slugs/snails are present, move bait station to another location within the rodent infested site, away from slugs/snails. Dispose of slugs/snails, dead rodents and uneaten bait by wrapping in paper, placing in plastic bag and putting in garbage.</w:t>
            </w:r>
          </w:p>
          <w:p w14:paraId="3C33B27E" w14:textId="77777777" w:rsidR="008E67EA" w:rsidRPr="00AA75D8" w:rsidRDefault="008E67EA" w:rsidP="00B44A74">
            <w:pPr>
              <w:spacing w:line="280" w:lineRule="exact"/>
              <w:rPr>
                <w:rFonts w:cs="Arial"/>
                <w:sz w:val="20"/>
                <w:szCs w:val="20"/>
              </w:rPr>
            </w:pPr>
            <w:r w:rsidRPr="00AA75D8">
              <w:rPr>
                <w:rFonts w:cs="Arial"/>
                <w:sz w:val="20"/>
                <w:szCs w:val="20"/>
              </w:rPr>
              <w:t>DO NOT allow livestock or poultry to consume dead or moribund mice</w:t>
            </w:r>
            <w:r>
              <w:rPr>
                <w:rFonts w:cs="Arial"/>
                <w:sz w:val="20"/>
                <w:szCs w:val="20"/>
              </w:rPr>
              <w:t xml:space="preserve"> and rats</w:t>
            </w:r>
            <w:r w:rsidRPr="00AA75D8">
              <w:rPr>
                <w:rFonts w:cs="Arial"/>
                <w:sz w:val="20"/>
                <w:szCs w:val="20"/>
              </w:rPr>
              <w:t>. All dead or moribund animals and rodent faeces from baited rodents MUST be removed from areas accessible to livestock or poultry.</w:t>
            </w:r>
          </w:p>
          <w:p w14:paraId="26536F21" w14:textId="2742E333" w:rsidR="008E67EA" w:rsidRDefault="008E67EA" w:rsidP="00B44A74">
            <w:pPr>
              <w:spacing w:line="280" w:lineRule="exact"/>
              <w:rPr>
                <w:rFonts w:cs="Arial"/>
                <w:sz w:val="20"/>
                <w:szCs w:val="20"/>
              </w:rPr>
            </w:pPr>
            <w:r w:rsidRPr="00AA75D8">
              <w:rPr>
                <w:rFonts w:cs="Arial"/>
                <w:sz w:val="20"/>
                <w:szCs w:val="20"/>
              </w:rPr>
              <w:lastRenderedPageBreak/>
              <w:t>DO NOT let cats, dogs or non-target animals eat poisoned mice.</w:t>
            </w:r>
          </w:p>
          <w:p w14:paraId="69DB1948" w14:textId="77777777" w:rsidR="008E67EA" w:rsidRDefault="008E67EA" w:rsidP="00B44A74">
            <w:pPr>
              <w:spacing w:line="280" w:lineRule="exact"/>
              <w:rPr>
                <w:rFonts w:cs="Arial"/>
                <w:sz w:val="20"/>
                <w:szCs w:val="20"/>
              </w:rPr>
            </w:pPr>
            <w:r w:rsidRPr="00AA75D8">
              <w:rPr>
                <w:rFonts w:cs="Arial"/>
                <w:sz w:val="20"/>
                <w:szCs w:val="20"/>
              </w:rPr>
              <w:t>DO NOT use this product to control native animals.</w:t>
            </w:r>
          </w:p>
          <w:p w14:paraId="1565C643" w14:textId="77777777" w:rsidR="008E67EA" w:rsidRPr="00AA75D8" w:rsidRDefault="008E67EA" w:rsidP="00B44A74">
            <w:pPr>
              <w:spacing w:line="280" w:lineRule="exact"/>
              <w:rPr>
                <w:rFonts w:cs="Arial"/>
                <w:sz w:val="20"/>
                <w:szCs w:val="20"/>
              </w:rPr>
            </w:pPr>
          </w:p>
          <w:p w14:paraId="7C73A96A" w14:textId="77777777" w:rsidR="008E67EA" w:rsidRPr="00AA75D8" w:rsidRDefault="008E67EA" w:rsidP="00B44A74">
            <w:pPr>
              <w:spacing w:line="280" w:lineRule="exact"/>
              <w:rPr>
                <w:rFonts w:cs="Arial"/>
                <w:sz w:val="20"/>
                <w:szCs w:val="20"/>
              </w:rPr>
            </w:pPr>
            <w:r w:rsidRPr="00AA75D8">
              <w:rPr>
                <w:rFonts w:cs="Arial"/>
                <w:sz w:val="20"/>
                <w:szCs w:val="20"/>
              </w:rPr>
              <w:t>PROTECTION OF FISH, CRUSTACEANS AND ENVIRONMENT</w:t>
            </w:r>
          </w:p>
          <w:p w14:paraId="7C3746BC" w14:textId="77777777" w:rsidR="008E67EA" w:rsidRPr="00612FBE" w:rsidRDefault="008E67EA" w:rsidP="00B44A74">
            <w:pPr>
              <w:spacing w:line="280" w:lineRule="exact"/>
              <w:rPr>
                <w:rFonts w:cs="Arial"/>
                <w:sz w:val="20"/>
                <w:szCs w:val="20"/>
              </w:rPr>
            </w:pPr>
            <w:r w:rsidRPr="00000B6E">
              <w:rPr>
                <w:rFonts w:cs="Arial"/>
                <w:sz w:val="20"/>
                <w:szCs w:val="20"/>
              </w:rPr>
              <w:t xml:space="preserve">Very toxic to aquatic life. </w:t>
            </w:r>
            <w:r w:rsidRPr="00AA75D8">
              <w:rPr>
                <w:rFonts w:cs="Arial"/>
                <w:sz w:val="20"/>
                <w:szCs w:val="20"/>
              </w:rPr>
              <w:t>DO NOT contaminate wetlands or watercourses with this product or used containers. Place the bait stations in areas not liable to flooding. When placing bait stations close to water drainage systems, ensure that bait contact with water is avoided</w:t>
            </w:r>
            <w:r>
              <w:rPr>
                <w:rFonts w:cs="Arial"/>
                <w:sz w:val="20"/>
                <w:szCs w:val="20"/>
              </w:rPr>
              <w:t>.</w:t>
            </w:r>
          </w:p>
        </w:tc>
      </w:tr>
      <w:tr w:rsidR="008E67EA" w:rsidRPr="002B5B5B" w14:paraId="47C70EA7" w14:textId="77777777" w:rsidTr="00B44A74">
        <w:trPr>
          <w:jc w:val="center"/>
        </w:trPr>
        <w:tc>
          <w:tcPr>
            <w:tcW w:w="2415" w:type="dxa"/>
            <w:tcBorders>
              <w:top w:val="single" w:sz="4" w:space="0" w:color="auto"/>
              <w:left w:val="nil"/>
              <w:bottom w:val="single" w:sz="4" w:space="0" w:color="auto"/>
              <w:right w:val="nil"/>
            </w:tcBorders>
          </w:tcPr>
          <w:p w14:paraId="22699803"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7F9733F" w14:textId="77777777" w:rsidR="008E67EA" w:rsidRPr="00612FBE" w:rsidRDefault="008E67EA" w:rsidP="00B44A74">
            <w:pPr>
              <w:spacing w:line="280" w:lineRule="exact"/>
              <w:rPr>
                <w:rFonts w:cs="Arial"/>
                <w:sz w:val="20"/>
                <w:szCs w:val="20"/>
              </w:rPr>
            </w:pPr>
          </w:p>
        </w:tc>
      </w:tr>
      <w:tr w:rsidR="008E67EA" w:rsidRPr="002B5B5B" w14:paraId="0FFF0BE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A8A038C" w14:textId="77777777" w:rsidR="008E67EA" w:rsidRPr="00F5215F" w:rsidRDefault="008E67EA" w:rsidP="00B44A74">
            <w:pPr>
              <w:spacing w:line="280" w:lineRule="exact"/>
              <w:rPr>
                <w:rFonts w:cs="Arial"/>
                <w:sz w:val="20"/>
                <w:szCs w:val="20"/>
              </w:rPr>
            </w:pPr>
            <w:r w:rsidRPr="00F5215F">
              <w:rPr>
                <w:rFonts w:cs="Arial"/>
                <w:sz w:val="20"/>
                <w:szCs w:val="20"/>
              </w:rPr>
              <w:t>Protectio</w:t>
            </w:r>
            <w:r>
              <w:rPr>
                <w:rFonts w:cs="Arial"/>
                <w:sz w:val="20"/>
                <w:szCs w:val="20"/>
              </w:rPr>
              <w:t>ns</w:t>
            </w:r>
            <w:r w:rsidRPr="00F5215F">
              <w:rPr>
                <w:rFonts w:cs="Arial"/>
                <w:sz w:val="20"/>
                <w:szCs w:val="20"/>
              </w:rPr>
              <w:t>:</w:t>
            </w:r>
          </w:p>
        </w:tc>
        <w:tc>
          <w:tcPr>
            <w:tcW w:w="7755" w:type="dxa"/>
            <w:tcBorders>
              <w:top w:val="single" w:sz="4" w:space="0" w:color="auto"/>
              <w:left w:val="single" w:sz="4" w:space="0" w:color="auto"/>
              <w:bottom w:val="single" w:sz="4" w:space="0" w:color="auto"/>
              <w:right w:val="single" w:sz="4" w:space="0" w:color="auto"/>
            </w:tcBorders>
          </w:tcPr>
          <w:p w14:paraId="5BB6D465" w14:textId="77777777" w:rsidR="008E67EA" w:rsidRPr="00612FBE" w:rsidRDefault="008E67EA" w:rsidP="00B44A74">
            <w:pPr>
              <w:spacing w:line="280" w:lineRule="exact"/>
              <w:rPr>
                <w:rFonts w:cs="Arial"/>
                <w:sz w:val="20"/>
                <w:szCs w:val="20"/>
              </w:rPr>
            </w:pPr>
          </w:p>
        </w:tc>
      </w:tr>
      <w:tr w:rsidR="008E67EA" w:rsidRPr="002B5B5B" w14:paraId="23FA1D14" w14:textId="77777777" w:rsidTr="00B44A74">
        <w:trPr>
          <w:jc w:val="center"/>
        </w:trPr>
        <w:tc>
          <w:tcPr>
            <w:tcW w:w="2415" w:type="dxa"/>
            <w:tcBorders>
              <w:top w:val="single" w:sz="4" w:space="0" w:color="auto"/>
              <w:left w:val="nil"/>
              <w:bottom w:val="single" w:sz="4" w:space="0" w:color="auto"/>
              <w:right w:val="nil"/>
            </w:tcBorders>
          </w:tcPr>
          <w:p w14:paraId="46791F6C"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FB73F0A" w14:textId="77777777" w:rsidR="008E67EA" w:rsidRPr="00612FBE" w:rsidRDefault="008E67EA" w:rsidP="00B44A74">
            <w:pPr>
              <w:spacing w:line="280" w:lineRule="exact"/>
              <w:rPr>
                <w:rFonts w:cs="Arial"/>
                <w:sz w:val="20"/>
                <w:szCs w:val="20"/>
              </w:rPr>
            </w:pPr>
          </w:p>
        </w:tc>
      </w:tr>
      <w:tr w:rsidR="008E67EA" w:rsidRPr="002B5B5B" w14:paraId="7853DCD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D3A55D1" w14:textId="77777777" w:rsidR="008E67EA" w:rsidRPr="00F5215F" w:rsidRDefault="008E67EA" w:rsidP="00B44A74">
            <w:pPr>
              <w:spacing w:line="280" w:lineRule="exact"/>
              <w:rPr>
                <w:rFonts w:cs="Arial"/>
                <w:sz w:val="20"/>
                <w:szCs w:val="20"/>
              </w:rPr>
            </w:pPr>
            <w:r w:rsidRPr="00F5215F">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51FB0CB0" w14:textId="77777777" w:rsidR="008E67EA" w:rsidRPr="00D96955" w:rsidRDefault="008E67EA" w:rsidP="00B44A74">
            <w:pPr>
              <w:spacing w:line="280" w:lineRule="exact"/>
              <w:rPr>
                <w:rFonts w:cs="Arial"/>
                <w:sz w:val="20"/>
                <w:szCs w:val="20"/>
                <w:bdr w:val="none" w:sz="0" w:space="0" w:color="auto" w:frame="1"/>
                <w:lang w:val="en-GB" w:eastAsia="en-AU"/>
              </w:rPr>
            </w:pPr>
            <w:r w:rsidRPr="00D96955">
              <w:rPr>
                <w:rFonts w:cs="Arial"/>
                <w:sz w:val="20"/>
                <w:szCs w:val="20"/>
                <w:bdr w:val="none" w:sz="0" w:space="0" w:color="auto" w:frame="1"/>
                <w:lang w:val="en-GB" w:eastAsia="en-AU"/>
              </w:rPr>
              <w:t>STORAGE AND DISPOSAL</w:t>
            </w:r>
          </w:p>
          <w:p w14:paraId="2722AD02" w14:textId="4C12D453" w:rsidR="008E67EA" w:rsidRPr="00612FBE" w:rsidRDefault="008E67EA" w:rsidP="00B44A74">
            <w:pPr>
              <w:spacing w:line="280" w:lineRule="exact"/>
              <w:rPr>
                <w:rFonts w:cs="Arial"/>
                <w:sz w:val="20"/>
                <w:szCs w:val="20"/>
              </w:rPr>
            </w:pPr>
            <w:r w:rsidRPr="00AA75D8">
              <w:rPr>
                <w:rFonts w:cs="Arial"/>
                <w:sz w:val="20"/>
                <w:szCs w:val="20"/>
              </w:rPr>
              <w:t xml:space="preserve">Store in the closed, original container in a cool, dry, place out of reach of children. Do not store in direct sunlight. Dispose of empty containers </w:t>
            </w:r>
            <w:r>
              <w:rPr>
                <w:rFonts w:cs="Arial"/>
                <w:sz w:val="20"/>
                <w:szCs w:val="20"/>
              </w:rPr>
              <w:t xml:space="preserve">and unused product </w:t>
            </w:r>
            <w:r w:rsidRPr="00AA75D8">
              <w:rPr>
                <w:rFonts w:cs="Arial"/>
                <w:sz w:val="20"/>
                <w:szCs w:val="20"/>
              </w:rPr>
              <w:t>by wrapping in paper placing in plastic bag and putting in garbage.</w:t>
            </w:r>
          </w:p>
        </w:tc>
      </w:tr>
      <w:tr w:rsidR="008E67EA" w:rsidRPr="002B5B5B" w14:paraId="48FB536C" w14:textId="77777777" w:rsidTr="00B44A74">
        <w:trPr>
          <w:jc w:val="center"/>
        </w:trPr>
        <w:tc>
          <w:tcPr>
            <w:tcW w:w="2415" w:type="dxa"/>
            <w:tcBorders>
              <w:top w:val="single" w:sz="4" w:space="0" w:color="auto"/>
              <w:left w:val="nil"/>
              <w:bottom w:val="single" w:sz="4" w:space="0" w:color="auto"/>
              <w:right w:val="nil"/>
            </w:tcBorders>
          </w:tcPr>
          <w:p w14:paraId="444D4B3A"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44BBF6B" w14:textId="77777777" w:rsidR="008E67EA" w:rsidRPr="00612FBE" w:rsidRDefault="008E67EA" w:rsidP="00B44A74">
            <w:pPr>
              <w:spacing w:line="280" w:lineRule="exact"/>
              <w:rPr>
                <w:rFonts w:cs="Arial"/>
                <w:sz w:val="20"/>
                <w:szCs w:val="20"/>
              </w:rPr>
            </w:pPr>
          </w:p>
        </w:tc>
      </w:tr>
      <w:tr w:rsidR="008E67EA" w:rsidRPr="002B5B5B" w14:paraId="4DFAFA6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CBC311F" w14:textId="77777777" w:rsidR="008E67EA" w:rsidRPr="00F5215F" w:rsidRDefault="008E67EA" w:rsidP="00B44A74">
            <w:pPr>
              <w:spacing w:line="280" w:lineRule="exact"/>
              <w:rPr>
                <w:rFonts w:cs="Arial"/>
                <w:sz w:val="20"/>
                <w:szCs w:val="20"/>
              </w:rPr>
            </w:pPr>
            <w:r w:rsidRPr="00F5215F">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0AB558C4" w14:textId="77777777" w:rsidR="008E67EA" w:rsidRPr="00D96955" w:rsidRDefault="008E67EA" w:rsidP="00B44A74">
            <w:pPr>
              <w:spacing w:line="280" w:lineRule="exact"/>
              <w:rPr>
                <w:rFonts w:cs="Arial"/>
                <w:sz w:val="20"/>
                <w:szCs w:val="20"/>
                <w:bdr w:val="none" w:sz="0" w:space="0" w:color="auto" w:frame="1"/>
                <w:lang w:val="en-GB" w:eastAsia="en-AU"/>
              </w:rPr>
            </w:pPr>
            <w:r w:rsidRPr="00D96955">
              <w:rPr>
                <w:rFonts w:cs="Arial"/>
                <w:sz w:val="20"/>
                <w:szCs w:val="20"/>
                <w:bdr w:val="none" w:sz="0" w:space="0" w:color="auto" w:frame="1"/>
                <w:lang w:val="en-GB" w:eastAsia="en-AU"/>
              </w:rPr>
              <w:t>SAFETY DIRECTIONS</w:t>
            </w:r>
          </w:p>
          <w:p w14:paraId="6A1B1D42" w14:textId="7FB32FE4" w:rsidR="008E67EA" w:rsidRDefault="008E67EA" w:rsidP="00B44A74">
            <w:pPr>
              <w:spacing w:line="280" w:lineRule="exact"/>
              <w:rPr>
                <w:rFonts w:cs="Arial"/>
                <w:sz w:val="20"/>
                <w:szCs w:val="20"/>
              </w:rPr>
            </w:pPr>
            <w:r w:rsidRPr="00AA75D8">
              <w:rPr>
                <w:rFonts w:cs="Arial"/>
                <w:sz w:val="20"/>
                <w:szCs w:val="20"/>
              </w:rPr>
              <w:t>Repeated minor exposure may have a cumulative poisoning effect. Will irritate the skin. May irritate eyes. Avoid contact with eyes and skin. Do not touch bait, use scoop or measure. When using the product wear disposable gloves. If on skin and after each baiting, wash thoroughly with soap and water.</w:t>
            </w:r>
          </w:p>
          <w:p w14:paraId="2D3E66D0" w14:textId="1AAC1424" w:rsidR="008E67EA" w:rsidRPr="00612FBE" w:rsidRDefault="008E67EA" w:rsidP="00B44A74">
            <w:pPr>
              <w:spacing w:line="280" w:lineRule="exact"/>
              <w:rPr>
                <w:rFonts w:cs="Arial"/>
                <w:sz w:val="20"/>
                <w:szCs w:val="20"/>
              </w:rPr>
            </w:pPr>
            <w:r w:rsidRPr="00AA75D8">
              <w:rPr>
                <w:rFonts w:cs="Arial"/>
                <w:sz w:val="20"/>
                <w:szCs w:val="20"/>
              </w:rPr>
              <w:t>During cleanup and disposal operations of bait and bait stations, wear a single layer of clothing and disposable gloves. Wear disposable gloves when handling rodent carcasses. Wash clothes after performing re-handling activities.</w:t>
            </w:r>
          </w:p>
        </w:tc>
      </w:tr>
      <w:tr w:rsidR="008E67EA" w:rsidRPr="002B5B5B" w14:paraId="079170E4" w14:textId="77777777" w:rsidTr="00B44A74">
        <w:trPr>
          <w:jc w:val="center"/>
        </w:trPr>
        <w:tc>
          <w:tcPr>
            <w:tcW w:w="2415" w:type="dxa"/>
            <w:tcBorders>
              <w:top w:val="single" w:sz="4" w:space="0" w:color="auto"/>
              <w:left w:val="nil"/>
              <w:bottom w:val="single" w:sz="4" w:space="0" w:color="auto"/>
              <w:right w:val="nil"/>
            </w:tcBorders>
          </w:tcPr>
          <w:p w14:paraId="30641349"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A44AC44" w14:textId="77777777" w:rsidR="008E67EA" w:rsidRPr="00612FBE" w:rsidRDefault="008E67EA" w:rsidP="00B44A74">
            <w:pPr>
              <w:spacing w:line="280" w:lineRule="exact"/>
              <w:rPr>
                <w:rFonts w:cs="Arial"/>
                <w:sz w:val="20"/>
                <w:szCs w:val="20"/>
              </w:rPr>
            </w:pPr>
          </w:p>
        </w:tc>
      </w:tr>
      <w:tr w:rsidR="008E67EA" w:rsidRPr="002B5B5B" w14:paraId="7E91F189"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1A4998A" w14:textId="77777777" w:rsidR="008E67EA" w:rsidRPr="00F5215F" w:rsidRDefault="008E67EA" w:rsidP="00B44A74">
            <w:pPr>
              <w:spacing w:line="280" w:lineRule="exact"/>
              <w:rPr>
                <w:rFonts w:cs="Arial"/>
                <w:sz w:val="20"/>
                <w:szCs w:val="20"/>
              </w:rPr>
            </w:pPr>
            <w:r w:rsidRPr="00F5215F">
              <w:rPr>
                <w:rFonts w:cs="Arial"/>
                <w:sz w:val="20"/>
                <w:szCs w:val="20"/>
              </w:rPr>
              <w:t>First Aid Instructions:</w:t>
            </w:r>
          </w:p>
        </w:tc>
        <w:tc>
          <w:tcPr>
            <w:tcW w:w="7755" w:type="dxa"/>
            <w:tcBorders>
              <w:top w:val="single" w:sz="4" w:space="0" w:color="auto"/>
              <w:left w:val="single" w:sz="4" w:space="0" w:color="auto"/>
              <w:bottom w:val="single" w:sz="4" w:space="0" w:color="auto"/>
              <w:right w:val="single" w:sz="4" w:space="0" w:color="auto"/>
            </w:tcBorders>
          </w:tcPr>
          <w:p w14:paraId="52A3449C" w14:textId="77777777" w:rsidR="008E67EA" w:rsidRPr="00D96955" w:rsidRDefault="008E67EA" w:rsidP="00B44A74">
            <w:pPr>
              <w:spacing w:line="280" w:lineRule="exact"/>
              <w:rPr>
                <w:rFonts w:cs="Arial"/>
                <w:sz w:val="20"/>
                <w:szCs w:val="20"/>
                <w:bdr w:val="none" w:sz="0" w:space="0" w:color="auto" w:frame="1"/>
                <w:lang w:val="en-GB" w:eastAsia="en-AU"/>
              </w:rPr>
            </w:pPr>
            <w:r w:rsidRPr="00D96955">
              <w:rPr>
                <w:rFonts w:cs="Arial"/>
                <w:sz w:val="20"/>
                <w:szCs w:val="20"/>
                <w:bdr w:val="none" w:sz="0" w:space="0" w:color="auto" w:frame="1"/>
                <w:lang w:val="en-GB" w:eastAsia="en-AU"/>
              </w:rPr>
              <w:t>FIRST AID</w:t>
            </w:r>
          </w:p>
          <w:p w14:paraId="5C8BE9B7" w14:textId="77777777" w:rsidR="008E67EA" w:rsidRPr="00612FBE" w:rsidRDefault="008E67EA" w:rsidP="00B44A74">
            <w:pPr>
              <w:spacing w:line="280" w:lineRule="exact"/>
              <w:rPr>
                <w:rFonts w:cs="Arial"/>
                <w:sz w:val="20"/>
                <w:szCs w:val="20"/>
              </w:rPr>
            </w:pPr>
            <w:r w:rsidRPr="00AA75D8">
              <w:rPr>
                <w:rFonts w:cs="Arial"/>
                <w:sz w:val="20"/>
                <w:szCs w:val="20"/>
              </w:rPr>
              <w:t>If poisoning occurs, contact a doctor or Poisons Information Centre. Phone Australia 13 11 26, New Zealand 0800 764 766. Vitamin K1 (Phytomenadione) is antidotal.</w:t>
            </w:r>
          </w:p>
        </w:tc>
      </w:tr>
      <w:tr w:rsidR="008E67EA" w:rsidRPr="002B5B5B" w14:paraId="2D35C4E7" w14:textId="77777777" w:rsidTr="00B44A74">
        <w:trPr>
          <w:jc w:val="center"/>
        </w:trPr>
        <w:tc>
          <w:tcPr>
            <w:tcW w:w="2415" w:type="dxa"/>
            <w:tcBorders>
              <w:top w:val="single" w:sz="4" w:space="0" w:color="auto"/>
              <w:left w:val="nil"/>
              <w:bottom w:val="single" w:sz="4" w:space="0" w:color="auto"/>
              <w:right w:val="nil"/>
            </w:tcBorders>
          </w:tcPr>
          <w:p w14:paraId="3FEC0FBA"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E242F41" w14:textId="77777777" w:rsidR="008E67EA" w:rsidRPr="00612FBE" w:rsidRDefault="008E67EA" w:rsidP="00B44A74">
            <w:pPr>
              <w:spacing w:line="280" w:lineRule="exact"/>
              <w:rPr>
                <w:rFonts w:cs="Arial"/>
                <w:sz w:val="20"/>
                <w:szCs w:val="20"/>
              </w:rPr>
            </w:pPr>
          </w:p>
        </w:tc>
      </w:tr>
      <w:tr w:rsidR="008E67EA" w:rsidRPr="002B5B5B" w14:paraId="1F3AC77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2CFA82A" w14:textId="77777777" w:rsidR="008E67EA" w:rsidRPr="00F5215F" w:rsidRDefault="008E67EA" w:rsidP="00B44A74">
            <w:pPr>
              <w:spacing w:line="280" w:lineRule="exact"/>
              <w:rPr>
                <w:rFonts w:cs="Arial"/>
                <w:sz w:val="20"/>
                <w:szCs w:val="20"/>
              </w:rPr>
            </w:pPr>
            <w:r w:rsidRPr="00F5215F">
              <w:rPr>
                <w:rFonts w:cs="Arial"/>
                <w:sz w:val="20"/>
                <w:szCs w:val="20"/>
              </w:rPr>
              <w:t>First Aid Warnings:</w:t>
            </w:r>
          </w:p>
        </w:tc>
        <w:tc>
          <w:tcPr>
            <w:tcW w:w="7755" w:type="dxa"/>
            <w:tcBorders>
              <w:top w:val="single" w:sz="4" w:space="0" w:color="auto"/>
              <w:left w:val="single" w:sz="4" w:space="0" w:color="auto"/>
              <w:bottom w:val="single" w:sz="4" w:space="0" w:color="auto"/>
              <w:right w:val="single" w:sz="4" w:space="0" w:color="auto"/>
            </w:tcBorders>
          </w:tcPr>
          <w:p w14:paraId="7373095A" w14:textId="77777777" w:rsidR="008E67EA" w:rsidRPr="00612FBE" w:rsidRDefault="008E67EA" w:rsidP="00B44A74">
            <w:pPr>
              <w:spacing w:line="280" w:lineRule="exact"/>
              <w:rPr>
                <w:rFonts w:cs="Arial"/>
                <w:sz w:val="20"/>
                <w:szCs w:val="20"/>
              </w:rPr>
            </w:pPr>
          </w:p>
        </w:tc>
      </w:tr>
    </w:tbl>
    <w:p w14:paraId="4884ACAA" w14:textId="77777777" w:rsidR="008E67EA" w:rsidRDefault="008E67EA" w:rsidP="008E67EA">
      <w:pPr>
        <w:spacing w:line="278" w:lineRule="auto"/>
        <w:rPr>
          <w:rFonts w:cs="Arial"/>
          <w:b/>
          <w:bCs/>
          <w:sz w:val="20"/>
          <w:szCs w:val="20"/>
        </w:rPr>
      </w:pPr>
      <w:r>
        <w:rPr>
          <w:rFonts w:cs="Arial"/>
          <w:b/>
          <w:bCs/>
          <w:sz w:val="20"/>
          <w:szCs w:val="20"/>
        </w:rPr>
        <w:br w:type="page"/>
      </w:r>
    </w:p>
    <w:p w14:paraId="24E0E088" w14:textId="77777777" w:rsidR="008E67EA" w:rsidRDefault="008E67EA" w:rsidP="008E67EA">
      <w:pPr>
        <w:rPr>
          <w:rFonts w:cs="Arial"/>
          <w:b/>
          <w:bCs/>
          <w:sz w:val="20"/>
          <w:szCs w:val="20"/>
        </w:rPr>
      </w:pPr>
      <w:r w:rsidRPr="00FF36BF">
        <w:rPr>
          <w:rFonts w:cs="Arial"/>
          <w:b/>
          <w:bCs/>
          <w:sz w:val="20"/>
          <w:szCs w:val="20"/>
        </w:rPr>
        <w:lastRenderedPageBreak/>
        <w:t>HOW TO USE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181"/>
        <w:gridCol w:w="1842"/>
        <w:gridCol w:w="3897"/>
      </w:tblGrid>
      <w:tr w:rsidR="008E67EA" w:rsidRPr="00FF36BF" w14:paraId="773B523E" w14:textId="77777777" w:rsidTr="00604F9D">
        <w:trPr>
          <w:trHeight w:val="340"/>
        </w:trPr>
        <w:tc>
          <w:tcPr>
            <w:tcW w:w="1080" w:type="dxa"/>
          </w:tcPr>
          <w:p w14:paraId="62129506" w14:textId="77777777" w:rsidR="008E67EA" w:rsidRPr="00246206" w:rsidRDefault="008E67EA" w:rsidP="00B44A74">
            <w:pPr>
              <w:pStyle w:val="TableParagraph"/>
              <w:widowControl/>
              <w:adjustRightInd w:val="0"/>
              <w:spacing w:before="61"/>
              <w:ind w:left="0"/>
              <w:rPr>
                <w:rFonts w:eastAsiaTheme="minorHAnsi"/>
                <w:b/>
                <w:bCs/>
                <w:sz w:val="20"/>
                <w:szCs w:val="20"/>
                <w:lang w:val="en-AU"/>
              </w:rPr>
            </w:pPr>
            <w:r w:rsidRPr="00246206">
              <w:rPr>
                <w:rFonts w:eastAsiaTheme="minorHAnsi"/>
                <w:b/>
                <w:bCs/>
                <w:sz w:val="20"/>
                <w:szCs w:val="20"/>
                <w:lang w:val="en-AU"/>
              </w:rPr>
              <w:t>PEST</w:t>
            </w:r>
          </w:p>
        </w:tc>
        <w:tc>
          <w:tcPr>
            <w:tcW w:w="2181" w:type="dxa"/>
          </w:tcPr>
          <w:p w14:paraId="7DEBFC4A" w14:textId="77777777" w:rsidR="008E67EA" w:rsidRPr="00246206" w:rsidRDefault="008E67EA" w:rsidP="00B44A74">
            <w:pPr>
              <w:pStyle w:val="TableParagraph"/>
              <w:widowControl/>
              <w:adjustRightInd w:val="0"/>
              <w:spacing w:before="61"/>
              <w:ind w:left="0"/>
              <w:rPr>
                <w:rFonts w:eastAsiaTheme="minorHAnsi"/>
                <w:b/>
                <w:bCs/>
                <w:sz w:val="20"/>
                <w:szCs w:val="20"/>
                <w:lang w:val="en-AU"/>
              </w:rPr>
            </w:pPr>
            <w:r w:rsidRPr="00246206">
              <w:rPr>
                <w:rFonts w:eastAsiaTheme="minorHAnsi"/>
                <w:b/>
                <w:bCs/>
                <w:sz w:val="20"/>
                <w:szCs w:val="20"/>
                <w:lang w:val="en-AU"/>
              </w:rPr>
              <w:t>SITUATION</w:t>
            </w:r>
          </w:p>
        </w:tc>
        <w:tc>
          <w:tcPr>
            <w:tcW w:w="1842" w:type="dxa"/>
          </w:tcPr>
          <w:p w14:paraId="613A9F69" w14:textId="77777777" w:rsidR="008E67EA" w:rsidRPr="00246206" w:rsidRDefault="008E67EA" w:rsidP="00B44A74">
            <w:pPr>
              <w:pStyle w:val="TableParagraph"/>
              <w:widowControl/>
              <w:adjustRightInd w:val="0"/>
              <w:spacing w:before="61"/>
              <w:ind w:left="0"/>
              <w:rPr>
                <w:rFonts w:eastAsiaTheme="minorHAnsi"/>
                <w:b/>
                <w:bCs/>
                <w:sz w:val="20"/>
                <w:szCs w:val="20"/>
                <w:lang w:val="en-AU"/>
              </w:rPr>
            </w:pPr>
            <w:r w:rsidRPr="00246206">
              <w:rPr>
                <w:rFonts w:eastAsiaTheme="minorHAnsi"/>
                <w:b/>
                <w:bCs/>
                <w:sz w:val="20"/>
                <w:szCs w:val="20"/>
                <w:lang w:val="en-AU"/>
              </w:rPr>
              <w:t>RATE</w:t>
            </w:r>
          </w:p>
        </w:tc>
        <w:tc>
          <w:tcPr>
            <w:tcW w:w="3897" w:type="dxa"/>
          </w:tcPr>
          <w:p w14:paraId="21027B27" w14:textId="77777777" w:rsidR="008E67EA" w:rsidRPr="00246206" w:rsidRDefault="008E67EA" w:rsidP="00B44A74">
            <w:pPr>
              <w:pStyle w:val="TableParagraph"/>
              <w:widowControl/>
              <w:adjustRightInd w:val="0"/>
              <w:spacing w:before="61"/>
              <w:ind w:left="0"/>
              <w:rPr>
                <w:rFonts w:eastAsiaTheme="minorHAnsi"/>
                <w:b/>
                <w:bCs/>
                <w:sz w:val="20"/>
                <w:szCs w:val="20"/>
                <w:lang w:val="en-AU"/>
              </w:rPr>
            </w:pPr>
            <w:r w:rsidRPr="00246206">
              <w:rPr>
                <w:rFonts w:eastAsiaTheme="minorHAnsi"/>
                <w:b/>
                <w:bCs/>
                <w:sz w:val="20"/>
                <w:szCs w:val="20"/>
                <w:lang w:val="en-AU"/>
              </w:rPr>
              <w:t>HOW TO APPLY</w:t>
            </w:r>
          </w:p>
        </w:tc>
      </w:tr>
      <w:tr w:rsidR="008E67EA" w:rsidRPr="00FF36BF" w14:paraId="18890F7E" w14:textId="77777777" w:rsidTr="00604F9D">
        <w:trPr>
          <w:trHeight w:val="421"/>
        </w:trPr>
        <w:tc>
          <w:tcPr>
            <w:tcW w:w="1080" w:type="dxa"/>
          </w:tcPr>
          <w:p w14:paraId="39CF14E0" w14:textId="77777777" w:rsidR="008E67EA" w:rsidRPr="005D3D45" w:rsidRDefault="008E67EA" w:rsidP="00B44A74">
            <w:pPr>
              <w:spacing w:line="280" w:lineRule="exact"/>
              <w:rPr>
                <w:rFonts w:cs="Arial"/>
                <w:sz w:val="20"/>
                <w:szCs w:val="20"/>
              </w:rPr>
            </w:pPr>
            <w:r w:rsidRPr="005D3D45">
              <w:rPr>
                <w:rFonts w:cs="Arial"/>
                <w:sz w:val="20"/>
                <w:szCs w:val="20"/>
              </w:rPr>
              <w:t>Mice</w:t>
            </w:r>
          </w:p>
        </w:tc>
        <w:tc>
          <w:tcPr>
            <w:tcW w:w="2181" w:type="dxa"/>
          </w:tcPr>
          <w:p w14:paraId="5860B50F" w14:textId="77777777" w:rsidR="008E67EA" w:rsidRPr="005D3D45" w:rsidRDefault="008E67EA" w:rsidP="00B44A74">
            <w:pPr>
              <w:spacing w:line="280" w:lineRule="exact"/>
              <w:rPr>
                <w:rFonts w:cs="Arial"/>
                <w:sz w:val="20"/>
                <w:szCs w:val="20"/>
              </w:rPr>
            </w:pPr>
            <w:r w:rsidRPr="005D3D45">
              <w:rPr>
                <w:rFonts w:cs="Arial"/>
                <w:sz w:val="20"/>
                <w:szCs w:val="20"/>
              </w:rPr>
              <w:t>In domestic buildings and commercial premises</w:t>
            </w:r>
          </w:p>
        </w:tc>
        <w:tc>
          <w:tcPr>
            <w:tcW w:w="1842" w:type="dxa"/>
          </w:tcPr>
          <w:p w14:paraId="110ED891" w14:textId="77777777" w:rsidR="008E67EA" w:rsidRPr="005D3D45" w:rsidRDefault="008E67EA" w:rsidP="00B44A74">
            <w:pPr>
              <w:spacing w:line="280" w:lineRule="exact"/>
              <w:rPr>
                <w:rFonts w:cs="Arial"/>
                <w:sz w:val="20"/>
                <w:szCs w:val="20"/>
              </w:rPr>
            </w:pPr>
            <w:r w:rsidRPr="005D3D45">
              <w:rPr>
                <w:rFonts w:cs="Arial"/>
                <w:sz w:val="20"/>
                <w:szCs w:val="20"/>
              </w:rPr>
              <w:t xml:space="preserve">Use one bait per bait </w:t>
            </w:r>
            <w:r>
              <w:rPr>
                <w:rFonts w:cs="Arial"/>
                <w:sz w:val="20"/>
                <w:szCs w:val="20"/>
              </w:rPr>
              <w:t>station</w:t>
            </w:r>
          </w:p>
        </w:tc>
        <w:tc>
          <w:tcPr>
            <w:tcW w:w="3897" w:type="dxa"/>
          </w:tcPr>
          <w:p w14:paraId="0196FD89" w14:textId="77777777" w:rsidR="008E67EA" w:rsidRPr="005D3D45" w:rsidRDefault="008E67EA" w:rsidP="00B44A74">
            <w:pPr>
              <w:spacing w:line="280" w:lineRule="exact"/>
              <w:rPr>
                <w:rFonts w:cs="Arial"/>
                <w:sz w:val="20"/>
                <w:szCs w:val="20"/>
              </w:rPr>
            </w:pPr>
            <w:r w:rsidRPr="005D3D45">
              <w:rPr>
                <w:rFonts w:cs="Arial"/>
                <w:sz w:val="20"/>
                <w:szCs w:val="20"/>
              </w:rPr>
              <w:t>Place bait stations in dry locations throughout the infested area, on runs, near burrows and where droppings are seen, not more than 3 m apart.</w:t>
            </w:r>
          </w:p>
        </w:tc>
      </w:tr>
      <w:tr w:rsidR="008E67EA" w:rsidRPr="00FF36BF" w14:paraId="11BCD2A8" w14:textId="77777777" w:rsidTr="00604F9D">
        <w:trPr>
          <w:trHeight w:val="421"/>
        </w:trPr>
        <w:tc>
          <w:tcPr>
            <w:tcW w:w="9000" w:type="dxa"/>
            <w:gridSpan w:val="4"/>
          </w:tcPr>
          <w:p w14:paraId="5D241A62" w14:textId="18414D05" w:rsidR="008E67EA" w:rsidRPr="001E6DA9" w:rsidRDefault="008E67EA" w:rsidP="00B44A74">
            <w:pPr>
              <w:spacing w:after="120" w:line="280" w:lineRule="exact"/>
              <w:rPr>
                <w:rFonts w:eastAsia="Calibri" w:cs="Arial"/>
                <w:b/>
                <w:bCs/>
                <w:sz w:val="20"/>
                <w:szCs w:val="20"/>
                <w:bdr w:val="none" w:sz="0" w:space="0" w:color="auto" w:frame="1"/>
                <w:lang w:val="en-GB"/>
              </w:rPr>
            </w:pPr>
            <w:r w:rsidRPr="001E6DA9">
              <w:rPr>
                <w:rFonts w:eastAsia="Calibri" w:cs="Arial"/>
                <w:b/>
                <w:bCs/>
                <w:sz w:val="20"/>
                <w:szCs w:val="20"/>
                <w:bdr w:val="none" w:sz="0" w:space="0" w:color="auto" w:frame="1"/>
                <w:lang w:val="en-GB"/>
              </w:rPr>
              <w:t>General Information and baiting strategy for mice:</w:t>
            </w:r>
          </w:p>
          <w:p w14:paraId="4D14FD20" w14:textId="1C3470CA" w:rsidR="008E67EA" w:rsidRDefault="008E67EA" w:rsidP="00B44A74">
            <w:pPr>
              <w:spacing w:after="120" w:line="280" w:lineRule="exact"/>
              <w:rPr>
                <w:rFonts w:eastAsia="Calibri" w:cs="Arial"/>
                <w:sz w:val="20"/>
                <w:szCs w:val="20"/>
                <w:bdr w:val="none" w:sz="0" w:space="0" w:color="auto" w:frame="1"/>
                <w:lang w:val="en-GB"/>
              </w:rPr>
            </w:pPr>
            <w:r w:rsidRPr="001E6DA9">
              <w:rPr>
                <w:rFonts w:eastAsia="Calibri" w:cs="Arial"/>
                <w:sz w:val="20"/>
                <w:szCs w:val="20"/>
                <w:bdr w:val="none" w:sz="0" w:space="0" w:color="auto" w:frame="1"/>
                <w:lang w:val="en-GB"/>
              </w:rPr>
              <w:t>Eliminate as far as practicable, all other food sources.</w:t>
            </w:r>
          </w:p>
          <w:p w14:paraId="393F9CC7" w14:textId="22D7C329" w:rsidR="008E67EA" w:rsidRPr="001E6DA9" w:rsidRDefault="008E67EA" w:rsidP="00B44A74">
            <w:pPr>
              <w:spacing w:after="120" w:line="280" w:lineRule="exact"/>
              <w:rPr>
                <w:rFonts w:eastAsia="Calibri" w:cs="Arial"/>
                <w:sz w:val="20"/>
                <w:szCs w:val="20"/>
                <w:bdr w:val="none" w:sz="0" w:space="0" w:color="auto" w:frame="1"/>
                <w:lang w:val="en-GB"/>
              </w:rPr>
            </w:pPr>
            <w:r w:rsidRPr="001E6DA9">
              <w:rPr>
                <w:rFonts w:eastAsia="Calibri" w:cs="Arial"/>
                <w:sz w:val="20"/>
                <w:szCs w:val="20"/>
                <w:bdr w:val="none" w:sz="0" w:space="0" w:color="auto" w:frame="1"/>
                <w:lang w:val="en-GB"/>
              </w:rPr>
              <w:t xml:space="preserve">Always place bait where it is inaccessible to children, animals and birds. Use in tamper resistant bait stations only. If bait can be dislodged from bait station, fix tamper-resistant bait stations to the ground or other structures. </w:t>
            </w:r>
            <w:r>
              <w:rPr>
                <w:rFonts w:eastAsia="Calibri" w:cs="Arial"/>
                <w:sz w:val="20"/>
                <w:szCs w:val="20"/>
                <w:bdr w:val="none" w:sz="0" w:space="0" w:color="auto" w:frame="1"/>
                <w:lang w:val="en-GB"/>
              </w:rPr>
              <w:t>DO NOT touch bait.</w:t>
            </w:r>
          </w:p>
          <w:p w14:paraId="586E4433" w14:textId="4A66C433" w:rsidR="008E67EA" w:rsidRPr="001E6DA9" w:rsidRDefault="008E67EA" w:rsidP="00B44A74">
            <w:pPr>
              <w:spacing w:after="120" w:line="280" w:lineRule="exact"/>
              <w:rPr>
                <w:rFonts w:eastAsia="Calibri" w:cs="Arial"/>
                <w:sz w:val="20"/>
                <w:szCs w:val="20"/>
                <w:bdr w:val="none" w:sz="0" w:space="0" w:color="auto" w:frame="1"/>
                <w:lang w:val="en-GB"/>
              </w:rPr>
            </w:pPr>
            <w:r w:rsidRPr="001E6DA9">
              <w:rPr>
                <w:rFonts w:eastAsia="Calibri" w:cs="Arial"/>
                <w:sz w:val="20"/>
                <w:szCs w:val="20"/>
                <w:bdr w:val="none" w:sz="0" w:space="0" w:color="auto" w:frame="1"/>
                <w:lang w:val="en-GB"/>
              </w:rPr>
              <w:t>Inspect baits frequently, particularly in the first ten days. Replace eaten bait. If bait is completely consumed, the number of bait stations should be increased. Continue replenishing bait until left untouched. Baiting for at least 2 weeks will be necessary to reduce mouse numbers. Most deaths occur 4 to 7 days after consumption of bait, but deaths may occur for up to 2 weeks.</w:t>
            </w:r>
          </w:p>
          <w:p w14:paraId="193B446D" w14:textId="77777777" w:rsidR="008E67EA" w:rsidRPr="00246206" w:rsidRDefault="008E67EA" w:rsidP="00B44A74">
            <w:pPr>
              <w:spacing w:after="120" w:line="280" w:lineRule="exact"/>
              <w:rPr>
                <w:rFonts w:eastAsia="Calibri" w:cs="Arial"/>
                <w:sz w:val="20"/>
                <w:szCs w:val="20"/>
                <w:bdr w:val="none" w:sz="0" w:space="0" w:color="auto" w:frame="1"/>
                <w:lang w:val="en-GB"/>
              </w:rPr>
            </w:pPr>
            <w:r w:rsidRPr="001E6DA9">
              <w:rPr>
                <w:rFonts w:eastAsia="Calibri" w:cs="Arial"/>
                <w:sz w:val="20"/>
                <w:szCs w:val="20"/>
                <w:bdr w:val="none" w:sz="0" w:space="0" w:color="auto" w:frame="1"/>
                <w:lang w:val="en-GB"/>
              </w:rPr>
              <w:t xml:space="preserve">Following treatment remove all remains of bait and bait stations. </w:t>
            </w:r>
            <w:r w:rsidRPr="003A1942">
              <w:rPr>
                <w:rFonts w:eastAsia="Calibri" w:cs="Arial"/>
                <w:sz w:val="20"/>
                <w:szCs w:val="20"/>
                <w:bdr w:val="none" w:sz="0" w:space="0" w:color="auto" w:frame="1"/>
                <w:lang w:val="en-GB"/>
              </w:rPr>
              <w:t>DO NOT use the product for longer than 35 days. If rodent activity is still observed after 35 days, seek advice from the product supplier or call a pest control service.</w:t>
            </w:r>
          </w:p>
        </w:tc>
      </w:tr>
    </w:tbl>
    <w:p w14:paraId="1316FF5F" w14:textId="03455F12" w:rsidR="008E67EA" w:rsidRDefault="008E67EA" w:rsidP="008E67EA">
      <w:pPr>
        <w:rPr>
          <w:rFonts w:ascii="Franklin Gothic Medium" w:eastAsia="Arial Unicode MS" w:hAnsi="Franklin Gothic Medium"/>
          <w:bCs/>
          <w:iCs/>
          <w:bdr w:val="none" w:sz="0" w:space="0" w:color="auto" w:frame="1"/>
          <w:lang w:val="en-GB" w:eastAsia="en-AU"/>
        </w:rPr>
      </w:pPr>
      <w:r w:rsidRPr="00FF36BF">
        <w:rPr>
          <w:rFonts w:cs="Arial"/>
          <w:b/>
          <w:bCs/>
          <w:sz w:val="20"/>
          <w:szCs w:val="20"/>
        </w:rPr>
        <w:t>NOT TO BE USED FOR ANY PURPOSE, OR IN ANY MANNER, CONTRARY TO THIS LABEL UNLESS AUTHORISED.</w:t>
      </w:r>
      <w:r>
        <w:rPr>
          <w:rFonts w:ascii="Franklin Gothic Medium" w:eastAsia="Arial Unicode MS" w:hAnsi="Franklin Gothic Medium"/>
          <w:bCs/>
          <w:iCs/>
          <w:bdr w:val="none" w:sz="0" w:space="0" w:color="auto" w:frame="1"/>
          <w:lang w:val="en-GB" w:eastAsia="en-AU"/>
        </w:rPr>
        <w:br w:type="page"/>
      </w:r>
    </w:p>
    <w:p w14:paraId="744F9A7A" w14:textId="77777777" w:rsidR="008E67EA" w:rsidRDefault="008E67EA" w:rsidP="008E67EA">
      <w:pPr>
        <w:keepNext/>
        <w:keepLines/>
        <w:spacing w:before="400" w:after="240" w:line="280" w:lineRule="exact"/>
        <w:outlineLvl w:val="1"/>
        <w:rPr>
          <w:rFonts w:ascii="Franklin Gothic Medium" w:eastAsia="Arial Unicode MS" w:hAnsi="Franklin Gothic Medium"/>
          <w:bCs/>
          <w:iCs/>
          <w:bdr w:val="none" w:sz="0" w:space="0" w:color="auto" w:frame="1"/>
          <w:lang w:val="en-GB" w:eastAsia="en-AU"/>
        </w:rPr>
      </w:pPr>
      <w:r>
        <w:rPr>
          <w:rFonts w:ascii="Franklin Gothic Medium" w:eastAsia="Arial Unicode MS" w:hAnsi="Franklin Gothic Medium"/>
          <w:bCs/>
          <w:iCs/>
          <w:bdr w:val="none" w:sz="0" w:space="0" w:color="auto" w:frame="1"/>
          <w:lang w:val="en-GB" w:eastAsia="en-AU"/>
        </w:rPr>
        <w:lastRenderedPageBreak/>
        <w:t>Domestic pest-control product:</w:t>
      </w:r>
      <w:r w:rsidRPr="00FF36BF">
        <w:rPr>
          <w:rFonts w:ascii="Franklin Gothic Medium" w:eastAsia="Arial Unicode MS" w:hAnsi="Franklin Gothic Medium"/>
          <w:bCs/>
          <w:iCs/>
          <w:bdr w:val="none" w:sz="0" w:space="0" w:color="auto" w:frame="1"/>
          <w:lang w:val="en-GB" w:eastAsia="en-AU"/>
        </w:rPr>
        <w:t xml:space="preserve"> </w:t>
      </w:r>
      <w:r w:rsidRPr="00DA343B">
        <w:rPr>
          <w:rFonts w:ascii="Franklin Gothic Medium" w:eastAsia="Arial Unicode MS" w:hAnsi="Franklin Gothic Medium"/>
          <w:bCs/>
          <w:iCs/>
          <w:bdr w:val="none" w:sz="0" w:space="0" w:color="auto" w:frame="1"/>
          <w:lang w:val="en-GB" w:eastAsia="en-AU"/>
        </w:rPr>
        <w:t>RB 0.05 g/kg or less in sachet or place pack</w:t>
      </w:r>
    </w:p>
    <w:p w14:paraId="2CE638A7" w14:textId="77777777" w:rsidR="008E67EA"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t xml:space="preserve">Template Label </w:t>
      </w:r>
      <w:r>
        <w:rPr>
          <w:rFonts w:cs="Arial"/>
          <w:b/>
          <w:bCs/>
          <w:sz w:val="20"/>
          <w:szCs w:val="20"/>
          <w:bdr w:val="none" w:sz="0" w:space="0" w:color="auto" w:frame="1"/>
          <w:lang w:val="en-GB" w:eastAsia="en-AU"/>
        </w:rPr>
        <w:t>23a</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2B5B5B" w14:paraId="22F00EE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7181BBD" w14:textId="77777777" w:rsidR="008E67EA" w:rsidRPr="00F5215F" w:rsidRDefault="008E67EA" w:rsidP="00B44A74">
            <w:pPr>
              <w:spacing w:line="280" w:lineRule="exact"/>
              <w:rPr>
                <w:rFonts w:cs="Arial"/>
                <w:sz w:val="20"/>
                <w:szCs w:val="20"/>
              </w:rPr>
            </w:pPr>
            <w:r w:rsidRPr="00F5215F">
              <w:rPr>
                <w:rFonts w:cs="Arial"/>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12ECD690" w14:textId="77777777" w:rsidR="008E67EA" w:rsidRPr="00830DFA" w:rsidRDefault="008E67EA" w:rsidP="00B44A74">
            <w:pPr>
              <w:spacing w:line="280" w:lineRule="exact"/>
              <w:rPr>
                <w:rFonts w:cs="Arial"/>
                <w:sz w:val="20"/>
                <w:szCs w:val="20"/>
              </w:rPr>
            </w:pPr>
            <w:r w:rsidRPr="00830DFA">
              <w:rPr>
                <w:rFonts w:cs="Arial"/>
                <w:sz w:val="20"/>
                <w:szCs w:val="20"/>
              </w:rPr>
              <w:t>[INSERT LABEL NAME]</w:t>
            </w:r>
            <w:r w:rsidRPr="00830DFA" w:rsidDel="00830DFA">
              <w:rPr>
                <w:rFonts w:cs="Arial"/>
                <w:sz w:val="20"/>
                <w:szCs w:val="20"/>
              </w:rPr>
              <w:t xml:space="preserve"> </w:t>
            </w:r>
          </w:p>
        </w:tc>
      </w:tr>
      <w:tr w:rsidR="008E67EA" w:rsidRPr="002B5B5B" w14:paraId="593F615B" w14:textId="77777777" w:rsidTr="00B44A74">
        <w:trPr>
          <w:jc w:val="center"/>
        </w:trPr>
        <w:tc>
          <w:tcPr>
            <w:tcW w:w="2415" w:type="dxa"/>
            <w:tcBorders>
              <w:top w:val="single" w:sz="4" w:space="0" w:color="auto"/>
              <w:left w:val="nil"/>
              <w:bottom w:val="single" w:sz="4" w:space="0" w:color="auto"/>
              <w:right w:val="nil"/>
            </w:tcBorders>
          </w:tcPr>
          <w:p w14:paraId="6E799846"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9D3B123" w14:textId="77777777" w:rsidR="008E67EA" w:rsidRPr="00830DFA" w:rsidRDefault="008E67EA" w:rsidP="00B44A74">
            <w:pPr>
              <w:spacing w:line="280" w:lineRule="exact"/>
              <w:rPr>
                <w:rFonts w:cs="Arial"/>
                <w:sz w:val="20"/>
                <w:szCs w:val="20"/>
              </w:rPr>
            </w:pPr>
          </w:p>
        </w:tc>
      </w:tr>
      <w:tr w:rsidR="008E67EA" w:rsidRPr="002B5B5B" w14:paraId="380D0899"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F86D17F" w14:textId="77777777" w:rsidR="008E67EA" w:rsidRPr="00F5215F" w:rsidRDefault="008E67EA" w:rsidP="00B44A74">
            <w:pPr>
              <w:spacing w:line="280" w:lineRule="exact"/>
              <w:rPr>
                <w:rFonts w:cs="Arial"/>
                <w:sz w:val="20"/>
                <w:szCs w:val="20"/>
              </w:rPr>
            </w:pPr>
            <w:r w:rsidRPr="00F5215F">
              <w:rPr>
                <w:rFonts w:cs="Arial"/>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221FF57E" w14:textId="77777777" w:rsidR="008E67EA" w:rsidRPr="00E03561" w:rsidRDefault="008E67EA" w:rsidP="00B44A74">
            <w:pPr>
              <w:spacing w:line="280" w:lineRule="exact"/>
              <w:rPr>
                <w:rFonts w:cs="Arial"/>
                <w:sz w:val="20"/>
                <w:szCs w:val="20"/>
              </w:rPr>
            </w:pPr>
            <w:r w:rsidRPr="00E03561">
              <w:rPr>
                <w:rFonts w:cs="Arial"/>
                <w:sz w:val="20"/>
                <w:szCs w:val="20"/>
              </w:rPr>
              <w:t>POISON</w:t>
            </w:r>
          </w:p>
          <w:p w14:paraId="3F199C18" w14:textId="77777777" w:rsidR="008E67EA" w:rsidRPr="00E03561" w:rsidRDefault="008E67EA" w:rsidP="00B44A74">
            <w:pPr>
              <w:spacing w:line="280" w:lineRule="exact"/>
              <w:rPr>
                <w:rFonts w:cs="Arial"/>
                <w:sz w:val="20"/>
                <w:szCs w:val="20"/>
              </w:rPr>
            </w:pPr>
            <w:r w:rsidRPr="00E03561">
              <w:rPr>
                <w:rFonts w:cs="Arial"/>
                <w:sz w:val="20"/>
                <w:szCs w:val="20"/>
              </w:rPr>
              <w:t>KEEP OUT OF REACH OF CHILDREN</w:t>
            </w:r>
          </w:p>
          <w:p w14:paraId="54861CD5" w14:textId="77777777" w:rsidR="008E67EA" w:rsidRPr="00830DFA" w:rsidRDefault="008E67EA" w:rsidP="00B44A74">
            <w:pPr>
              <w:spacing w:line="280" w:lineRule="exact"/>
              <w:rPr>
                <w:rFonts w:cs="Arial"/>
                <w:sz w:val="20"/>
                <w:szCs w:val="20"/>
              </w:rPr>
            </w:pPr>
            <w:r w:rsidRPr="00E03561">
              <w:rPr>
                <w:rFonts w:cs="Arial"/>
                <w:sz w:val="20"/>
                <w:szCs w:val="20"/>
              </w:rPr>
              <w:t>READ SAFETY DIRECTIONS</w:t>
            </w:r>
          </w:p>
        </w:tc>
      </w:tr>
      <w:tr w:rsidR="008E67EA" w:rsidRPr="002B5B5B" w14:paraId="010B70F6" w14:textId="77777777" w:rsidTr="00B44A74">
        <w:trPr>
          <w:jc w:val="center"/>
        </w:trPr>
        <w:tc>
          <w:tcPr>
            <w:tcW w:w="2415" w:type="dxa"/>
            <w:tcBorders>
              <w:top w:val="single" w:sz="4" w:space="0" w:color="auto"/>
              <w:left w:val="nil"/>
              <w:bottom w:val="single" w:sz="4" w:space="0" w:color="auto"/>
              <w:right w:val="nil"/>
            </w:tcBorders>
          </w:tcPr>
          <w:p w14:paraId="670F9AAA"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CAD57BA" w14:textId="77777777" w:rsidR="008E67EA" w:rsidRPr="00830DFA" w:rsidRDefault="008E67EA" w:rsidP="00B44A74">
            <w:pPr>
              <w:spacing w:line="280" w:lineRule="exact"/>
              <w:rPr>
                <w:rFonts w:cs="Arial"/>
                <w:sz w:val="20"/>
                <w:szCs w:val="20"/>
              </w:rPr>
            </w:pPr>
          </w:p>
        </w:tc>
      </w:tr>
      <w:tr w:rsidR="008E67EA" w:rsidRPr="002B5B5B" w14:paraId="1C765269"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EF9408B" w14:textId="77777777" w:rsidR="008E67EA" w:rsidRPr="00F5215F" w:rsidRDefault="008E67EA" w:rsidP="00B44A74">
            <w:pPr>
              <w:spacing w:line="280" w:lineRule="exact"/>
              <w:rPr>
                <w:rFonts w:cs="Arial"/>
                <w:sz w:val="20"/>
                <w:szCs w:val="20"/>
              </w:rPr>
            </w:pPr>
            <w:r w:rsidRPr="00F5215F">
              <w:rPr>
                <w:rFonts w:cs="Arial"/>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2B2DF0A9" w14:textId="77777777" w:rsidR="008E67EA" w:rsidRPr="00E03561" w:rsidRDefault="008E67EA" w:rsidP="00B44A74">
            <w:pPr>
              <w:spacing w:line="280" w:lineRule="exact"/>
              <w:rPr>
                <w:rFonts w:cs="Arial"/>
                <w:sz w:val="20"/>
                <w:szCs w:val="20"/>
              </w:rPr>
            </w:pPr>
            <w:r w:rsidRPr="00830DFA">
              <w:rPr>
                <w:rFonts w:cs="Arial"/>
                <w:sz w:val="20"/>
                <w:szCs w:val="20"/>
              </w:rPr>
              <w:t>ACTIVE CONSTITUENT: 0.05 g/kg DIFENACOUM</w:t>
            </w:r>
          </w:p>
        </w:tc>
      </w:tr>
      <w:tr w:rsidR="008E67EA" w:rsidRPr="002B5B5B" w14:paraId="6934A879" w14:textId="77777777" w:rsidTr="00B44A74">
        <w:trPr>
          <w:jc w:val="center"/>
        </w:trPr>
        <w:tc>
          <w:tcPr>
            <w:tcW w:w="2415" w:type="dxa"/>
            <w:tcBorders>
              <w:top w:val="single" w:sz="4" w:space="0" w:color="auto"/>
              <w:left w:val="nil"/>
              <w:bottom w:val="single" w:sz="4" w:space="0" w:color="auto"/>
              <w:right w:val="nil"/>
            </w:tcBorders>
          </w:tcPr>
          <w:p w14:paraId="02443B29"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E9E47C9" w14:textId="77777777" w:rsidR="008E67EA" w:rsidRPr="00830DFA" w:rsidRDefault="008E67EA" w:rsidP="00B44A74">
            <w:pPr>
              <w:pStyle w:val="ListParagraph"/>
              <w:spacing w:line="280" w:lineRule="exact"/>
              <w:ind w:left="420"/>
              <w:rPr>
                <w:rFonts w:cs="Arial"/>
                <w:sz w:val="20"/>
                <w:szCs w:val="20"/>
              </w:rPr>
            </w:pPr>
          </w:p>
        </w:tc>
      </w:tr>
      <w:tr w:rsidR="008E67EA" w:rsidRPr="002B5B5B" w14:paraId="2487F949"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43016DE" w14:textId="77777777" w:rsidR="008E67EA" w:rsidRPr="00F5215F" w:rsidRDefault="008E67EA" w:rsidP="00B44A74">
            <w:pPr>
              <w:spacing w:line="280" w:lineRule="exact"/>
              <w:rPr>
                <w:rFonts w:cs="Arial"/>
                <w:sz w:val="20"/>
                <w:szCs w:val="20"/>
              </w:rPr>
            </w:pPr>
            <w:r w:rsidRPr="00F5215F">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63EA09D4" w14:textId="77777777" w:rsidR="008E67EA" w:rsidRPr="00E03561" w:rsidRDefault="008E67EA" w:rsidP="00B44A74">
            <w:pPr>
              <w:spacing w:line="280" w:lineRule="exact"/>
              <w:rPr>
                <w:rFonts w:cs="Arial"/>
                <w:sz w:val="20"/>
                <w:szCs w:val="20"/>
              </w:rPr>
            </w:pPr>
            <w:r w:rsidRPr="00830DFA">
              <w:rPr>
                <w:rFonts w:cs="Arial"/>
                <w:sz w:val="20"/>
                <w:szCs w:val="20"/>
              </w:rPr>
              <w:t>For control of mice in domestic and commercial buildings and rats in and around domestic and commercial buildings.</w:t>
            </w:r>
          </w:p>
        </w:tc>
      </w:tr>
      <w:tr w:rsidR="008E67EA" w:rsidRPr="002B5B5B" w14:paraId="779A60DE" w14:textId="77777777" w:rsidTr="00B44A74">
        <w:trPr>
          <w:jc w:val="center"/>
        </w:trPr>
        <w:tc>
          <w:tcPr>
            <w:tcW w:w="2415" w:type="dxa"/>
            <w:tcBorders>
              <w:top w:val="single" w:sz="4" w:space="0" w:color="auto"/>
              <w:left w:val="nil"/>
              <w:bottom w:val="single" w:sz="4" w:space="0" w:color="auto"/>
              <w:right w:val="nil"/>
            </w:tcBorders>
          </w:tcPr>
          <w:p w14:paraId="0F73353F"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1CE6F8D" w14:textId="77777777" w:rsidR="008E67EA" w:rsidRPr="00830DFA" w:rsidRDefault="008E67EA" w:rsidP="00B44A74">
            <w:pPr>
              <w:spacing w:line="280" w:lineRule="exact"/>
              <w:rPr>
                <w:rFonts w:cs="Arial"/>
                <w:sz w:val="20"/>
                <w:szCs w:val="20"/>
              </w:rPr>
            </w:pPr>
          </w:p>
        </w:tc>
      </w:tr>
      <w:tr w:rsidR="008E67EA" w:rsidRPr="002B5B5B" w14:paraId="0C32C4C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8830D05" w14:textId="77777777" w:rsidR="008E67EA" w:rsidRPr="00F5215F" w:rsidRDefault="008E67EA" w:rsidP="00B44A74">
            <w:pPr>
              <w:spacing w:line="280" w:lineRule="exact"/>
              <w:rPr>
                <w:rFonts w:cs="Arial"/>
                <w:sz w:val="20"/>
                <w:szCs w:val="20"/>
              </w:rPr>
            </w:pPr>
            <w:r w:rsidRPr="00F5215F">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56977A11" w14:textId="77777777" w:rsidR="008E67EA" w:rsidRPr="00830DFA" w:rsidRDefault="008E67EA" w:rsidP="00B44A74">
            <w:pPr>
              <w:spacing w:line="280" w:lineRule="exact"/>
              <w:rPr>
                <w:rFonts w:cs="Arial"/>
                <w:sz w:val="20"/>
                <w:szCs w:val="20"/>
              </w:rPr>
            </w:pPr>
            <w:r w:rsidRPr="00830DFA">
              <w:rPr>
                <w:rFonts w:cs="Arial"/>
                <w:sz w:val="20"/>
                <w:szCs w:val="20"/>
              </w:rPr>
              <w:t>[INSERT NET CONTENTS</w:t>
            </w:r>
            <w:r>
              <w:rPr>
                <w:rFonts w:cs="Arial"/>
                <w:sz w:val="20"/>
                <w:szCs w:val="20"/>
              </w:rPr>
              <w:t xml:space="preserve"> – MAXIMUM 150 g</w:t>
            </w:r>
            <w:r w:rsidRPr="00830DFA">
              <w:rPr>
                <w:rFonts w:cs="Arial"/>
                <w:sz w:val="20"/>
                <w:szCs w:val="20"/>
              </w:rPr>
              <w:t>]</w:t>
            </w:r>
          </w:p>
        </w:tc>
      </w:tr>
      <w:tr w:rsidR="008E67EA" w:rsidRPr="002B5B5B" w14:paraId="3EE73626" w14:textId="77777777" w:rsidTr="00B44A74">
        <w:trPr>
          <w:jc w:val="center"/>
        </w:trPr>
        <w:tc>
          <w:tcPr>
            <w:tcW w:w="2415" w:type="dxa"/>
            <w:tcBorders>
              <w:top w:val="single" w:sz="4" w:space="0" w:color="auto"/>
              <w:left w:val="nil"/>
              <w:bottom w:val="single" w:sz="4" w:space="0" w:color="auto"/>
              <w:right w:val="nil"/>
            </w:tcBorders>
          </w:tcPr>
          <w:p w14:paraId="12B2ED25"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5404D6D" w14:textId="77777777" w:rsidR="008E67EA" w:rsidRPr="00830DFA" w:rsidRDefault="008E67EA" w:rsidP="00B44A74">
            <w:pPr>
              <w:spacing w:line="280" w:lineRule="exact"/>
              <w:rPr>
                <w:rFonts w:cs="Arial"/>
                <w:sz w:val="20"/>
                <w:szCs w:val="20"/>
              </w:rPr>
            </w:pPr>
          </w:p>
        </w:tc>
      </w:tr>
      <w:tr w:rsidR="008E67EA" w:rsidRPr="002B5B5B" w14:paraId="78AB69D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7152AD8" w14:textId="77777777" w:rsidR="008E67EA" w:rsidRPr="00F5215F" w:rsidRDefault="008E67EA" w:rsidP="00B44A74">
            <w:pPr>
              <w:spacing w:line="280" w:lineRule="exact"/>
              <w:rPr>
                <w:rFonts w:cs="Arial"/>
                <w:sz w:val="20"/>
                <w:szCs w:val="20"/>
              </w:rPr>
            </w:pPr>
            <w:r w:rsidRPr="00F5215F">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12196E8C" w14:textId="175CF8D4" w:rsidR="008E67EA" w:rsidRPr="00830DFA" w:rsidRDefault="008E67EA" w:rsidP="00B44A74">
            <w:pPr>
              <w:spacing w:line="280" w:lineRule="exact"/>
              <w:rPr>
                <w:rFonts w:cs="Arial"/>
                <w:sz w:val="20"/>
                <w:szCs w:val="20"/>
              </w:rPr>
            </w:pPr>
            <w:r w:rsidRPr="00830DFA">
              <w:rPr>
                <w:rFonts w:cs="Arial"/>
                <w:sz w:val="20"/>
                <w:szCs w:val="20"/>
              </w:rPr>
              <w:t>DO NOT place baits unless in tamper-resistant bait stations.</w:t>
            </w:r>
          </w:p>
          <w:p w14:paraId="74B2AEAC" w14:textId="77777777" w:rsidR="008E67EA" w:rsidRPr="00830DFA" w:rsidRDefault="008E67EA" w:rsidP="00B44A74">
            <w:pPr>
              <w:spacing w:line="280" w:lineRule="exact"/>
              <w:rPr>
                <w:rFonts w:cs="Arial"/>
                <w:sz w:val="20"/>
                <w:szCs w:val="20"/>
              </w:rPr>
            </w:pPr>
            <w:r w:rsidRPr="00830DFA">
              <w:rPr>
                <w:rFonts w:cs="Arial"/>
                <w:sz w:val="20"/>
                <w:szCs w:val="20"/>
              </w:rPr>
              <w:t>DO NOT place bait stations outdoors around buildings for control of mice.</w:t>
            </w:r>
          </w:p>
          <w:p w14:paraId="05E3F712" w14:textId="77777777" w:rsidR="008E67EA" w:rsidRPr="00830DFA" w:rsidRDefault="008E67EA" w:rsidP="00B44A74">
            <w:pPr>
              <w:spacing w:line="280" w:lineRule="exact"/>
              <w:rPr>
                <w:rFonts w:cs="Arial"/>
                <w:sz w:val="20"/>
                <w:szCs w:val="20"/>
              </w:rPr>
            </w:pPr>
            <w:r w:rsidRPr="00830DFA">
              <w:rPr>
                <w:rFonts w:cs="Arial"/>
                <w:sz w:val="20"/>
                <w:szCs w:val="20"/>
              </w:rPr>
              <w:t>DO NOT place bait stations more than 2 meters from buildings.</w:t>
            </w:r>
          </w:p>
          <w:p w14:paraId="158A2750" w14:textId="77777777" w:rsidR="008E67EA" w:rsidRPr="00830DFA" w:rsidRDefault="008E67EA" w:rsidP="00B44A74">
            <w:pPr>
              <w:spacing w:line="280" w:lineRule="exact"/>
              <w:rPr>
                <w:rFonts w:cs="Arial"/>
                <w:sz w:val="20"/>
                <w:szCs w:val="20"/>
              </w:rPr>
            </w:pPr>
            <w:r w:rsidRPr="00830DFA">
              <w:rPr>
                <w:rFonts w:cs="Arial"/>
                <w:sz w:val="20"/>
                <w:szCs w:val="20"/>
              </w:rPr>
              <w:t>DO NOT bait in areas where wildlife may be collected for human consumption.</w:t>
            </w:r>
          </w:p>
          <w:p w14:paraId="7012DD42" w14:textId="77777777" w:rsidR="008E67EA" w:rsidRPr="00830DFA" w:rsidRDefault="008E67EA" w:rsidP="00B44A74">
            <w:pPr>
              <w:spacing w:line="280" w:lineRule="exact"/>
              <w:rPr>
                <w:rFonts w:cs="Arial"/>
                <w:sz w:val="20"/>
                <w:szCs w:val="20"/>
              </w:rPr>
            </w:pPr>
            <w:r w:rsidRPr="00830DFA">
              <w:rPr>
                <w:rFonts w:cs="Arial"/>
                <w:sz w:val="20"/>
                <w:szCs w:val="20"/>
              </w:rPr>
              <w:t>DO NOT place baits in and around animal, livestock and poultry houses, associated equipment, and food and feed processing areas.</w:t>
            </w:r>
          </w:p>
          <w:p w14:paraId="1EBF2BD5" w14:textId="77777777" w:rsidR="008E67EA" w:rsidRPr="00830DFA" w:rsidRDefault="008E67EA" w:rsidP="00B44A74">
            <w:pPr>
              <w:spacing w:line="280" w:lineRule="exact"/>
              <w:rPr>
                <w:rFonts w:cs="Arial"/>
                <w:sz w:val="20"/>
                <w:szCs w:val="20"/>
              </w:rPr>
            </w:pPr>
            <w:r w:rsidRPr="00830DFA">
              <w:rPr>
                <w:rFonts w:cs="Arial"/>
                <w:sz w:val="20"/>
                <w:szCs w:val="20"/>
              </w:rPr>
              <w:t>DO NOT apply this product directly into burrows.</w:t>
            </w:r>
          </w:p>
          <w:p w14:paraId="270151CA" w14:textId="77777777" w:rsidR="008E67EA" w:rsidRPr="00830DFA" w:rsidRDefault="008E67EA" w:rsidP="00B44A74">
            <w:pPr>
              <w:spacing w:line="280" w:lineRule="exact"/>
              <w:rPr>
                <w:rFonts w:cs="Arial"/>
                <w:sz w:val="20"/>
                <w:szCs w:val="20"/>
              </w:rPr>
            </w:pPr>
            <w:r w:rsidRPr="00830DFA">
              <w:rPr>
                <w:rFonts w:cs="Arial"/>
                <w:sz w:val="20"/>
                <w:szCs w:val="20"/>
              </w:rPr>
              <w:t>DO NOT use the product in pulsed baiting treatments.</w:t>
            </w:r>
          </w:p>
        </w:tc>
      </w:tr>
      <w:tr w:rsidR="008E67EA" w:rsidRPr="002B5B5B" w14:paraId="0C3D9385" w14:textId="77777777" w:rsidTr="00B44A74">
        <w:trPr>
          <w:jc w:val="center"/>
        </w:trPr>
        <w:tc>
          <w:tcPr>
            <w:tcW w:w="2415" w:type="dxa"/>
            <w:tcBorders>
              <w:top w:val="single" w:sz="4" w:space="0" w:color="auto"/>
              <w:left w:val="nil"/>
              <w:bottom w:val="single" w:sz="4" w:space="0" w:color="auto"/>
              <w:right w:val="nil"/>
            </w:tcBorders>
          </w:tcPr>
          <w:p w14:paraId="6307D3BD"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E52DEE4" w14:textId="77777777" w:rsidR="008E67EA" w:rsidRPr="00830DFA" w:rsidRDefault="008E67EA" w:rsidP="00B44A74">
            <w:pPr>
              <w:spacing w:line="280" w:lineRule="exact"/>
              <w:rPr>
                <w:rFonts w:cs="Arial"/>
                <w:sz w:val="20"/>
                <w:szCs w:val="20"/>
              </w:rPr>
            </w:pPr>
          </w:p>
        </w:tc>
      </w:tr>
      <w:tr w:rsidR="008E67EA" w:rsidRPr="002B5B5B" w14:paraId="748B5A4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150FBC1" w14:textId="77777777" w:rsidR="008E67EA" w:rsidRPr="00F5215F" w:rsidRDefault="008E67EA" w:rsidP="00B44A74">
            <w:pPr>
              <w:spacing w:line="280" w:lineRule="exact"/>
              <w:rPr>
                <w:rFonts w:cs="Arial"/>
                <w:sz w:val="20"/>
                <w:szCs w:val="20"/>
              </w:rPr>
            </w:pPr>
            <w:r>
              <w:rPr>
                <w:rFonts w:cs="Arial"/>
                <w:sz w:val="20"/>
                <w:szCs w:val="20"/>
              </w:rPr>
              <w:t>How to Use</w:t>
            </w:r>
          </w:p>
        </w:tc>
        <w:tc>
          <w:tcPr>
            <w:tcW w:w="7755" w:type="dxa"/>
            <w:tcBorders>
              <w:top w:val="single" w:sz="4" w:space="0" w:color="auto"/>
              <w:left w:val="single" w:sz="4" w:space="0" w:color="auto"/>
              <w:bottom w:val="single" w:sz="4" w:space="0" w:color="auto"/>
              <w:right w:val="single" w:sz="4" w:space="0" w:color="auto"/>
            </w:tcBorders>
          </w:tcPr>
          <w:p w14:paraId="0AD6FBED" w14:textId="77777777" w:rsidR="008E67EA" w:rsidRPr="00830DFA" w:rsidRDefault="008E67EA" w:rsidP="00B44A74">
            <w:pPr>
              <w:spacing w:line="280" w:lineRule="exact"/>
              <w:rPr>
                <w:rFonts w:cs="Arial"/>
                <w:sz w:val="20"/>
                <w:szCs w:val="20"/>
              </w:rPr>
            </w:pPr>
            <w:r w:rsidRPr="00713087">
              <w:rPr>
                <w:rFonts w:cs="Arial"/>
                <w:sz w:val="20"/>
                <w:szCs w:val="20"/>
              </w:rPr>
              <w:t>[This section contains an attachment below]</w:t>
            </w:r>
          </w:p>
        </w:tc>
      </w:tr>
      <w:tr w:rsidR="008E67EA" w:rsidRPr="002B5B5B" w14:paraId="575472F5" w14:textId="77777777" w:rsidTr="00B44A74">
        <w:trPr>
          <w:jc w:val="center"/>
        </w:trPr>
        <w:tc>
          <w:tcPr>
            <w:tcW w:w="2415" w:type="dxa"/>
            <w:tcBorders>
              <w:top w:val="single" w:sz="4" w:space="0" w:color="auto"/>
              <w:left w:val="nil"/>
              <w:bottom w:val="single" w:sz="4" w:space="0" w:color="auto"/>
              <w:right w:val="nil"/>
            </w:tcBorders>
          </w:tcPr>
          <w:p w14:paraId="21137C49"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393C760" w14:textId="77777777" w:rsidR="008E67EA" w:rsidRPr="00830DFA" w:rsidRDefault="008E67EA" w:rsidP="00B44A74">
            <w:pPr>
              <w:spacing w:line="280" w:lineRule="exact"/>
              <w:rPr>
                <w:rFonts w:cs="Arial"/>
                <w:sz w:val="20"/>
                <w:szCs w:val="20"/>
              </w:rPr>
            </w:pPr>
          </w:p>
        </w:tc>
      </w:tr>
      <w:tr w:rsidR="008E67EA" w:rsidRPr="002B5B5B" w14:paraId="731D120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DCB0CF9" w14:textId="77777777" w:rsidR="008E67EA" w:rsidRPr="00F5215F" w:rsidRDefault="008E67EA" w:rsidP="00B44A74">
            <w:pPr>
              <w:spacing w:line="280" w:lineRule="exact"/>
              <w:rPr>
                <w:rFonts w:cs="Arial"/>
                <w:sz w:val="20"/>
                <w:szCs w:val="20"/>
              </w:rPr>
            </w:pPr>
            <w:r w:rsidRPr="00F5215F">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51BDA2D8" w14:textId="77777777" w:rsidR="008E67EA" w:rsidRPr="00830DFA" w:rsidRDefault="008E67EA" w:rsidP="00B44A74">
            <w:pPr>
              <w:spacing w:line="280" w:lineRule="exact"/>
              <w:rPr>
                <w:rFonts w:cs="Arial"/>
                <w:sz w:val="20"/>
                <w:szCs w:val="20"/>
              </w:rPr>
            </w:pPr>
          </w:p>
        </w:tc>
      </w:tr>
      <w:tr w:rsidR="008E67EA" w:rsidRPr="002B5B5B" w14:paraId="09FDCE14" w14:textId="77777777" w:rsidTr="00B44A74">
        <w:trPr>
          <w:jc w:val="center"/>
        </w:trPr>
        <w:tc>
          <w:tcPr>
            <w:tcW w:w="2415" w:type="dxa"/>
            <w:tcBorders>
              <w:top w:val="single" w:sz="4" w:space="0" w:color="auto"/>
              <w:left w:val="nil"/>
              <w:bottom w:val="single" w:sz="4" w:space="0" w:color="auto"/>
              <w:right w:val="nil"/>
            </w:tcBorders>
          </w:tcPr>
          <w:p w14:paraId="3D48B2E4"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903987D" w14:textId="77777777" w:rsidR="008E67EA" w:rsidRPr="00830DFA" w:rsidRDefault="008E67EA" w:rsidP="00B44A74">
            <w:pPr>
              <w:spacing w:line="280" w:lineRule="exact"/>
              <w:rPr>
                <w:rFonts w:cs="Arial"/>
                <w:sz w:val="20"/>
                <w:szCs w:val="20"/>
              </w:rPr>
            </w:pPr>
          </w:p>
        </w:tc>
      </w:tr>
      <w:tr w:rsidR="008E67EA" w:rsidRPr="002B5B5B" w14:paraId="7706E10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8D7807F" w14:textId="77777777" w:rsidR="008E67EA" w:rsidRPr="00F5215F" w:rsidRDefault="008E67EA" w:rsidP="00B44A74">
            <w:pPr>
              <w:spacing w:line="280" w:lineRule="exact"/>
              <w:rPr>
                <w:rFonts w:cs="Arial"/>
                <w:sz w:val="20"/>
                <w:szCs w:val="20"/>
              </w:rPr>
            </w:pPr>
            <w:r>
              <w:rPr>
                <w:rFonts w:cs="Arial"/>
                <w:sz w:val="20"/>
                <w:szCs w:val="20"/>
              </w:rPr>
              <w:t>How to Prepare</w:t>
            </w:r>
          </w:p>
        </w:tc>
        <w:tc>
          <w:tcPr>
            <w:tcW w:w="7755" w:type="dxa"/>
            <w:tcBorders>
              <w:top w:val="single" w:sz="4" w:space="0" w:color="auto"/>
              <w:left w:val="single" w:sz="4" w:space="0" w:color="auto"/>
              <w:bottom w:val="single" w:sz="4" w:space="0" w:color="auto"/>
              <w:right w:val="single" w:sz="4" w:space="0" w:color="auto"/>
            </w:tcBorders>
          </w:tcPr>
          <w:p w14:paraId="2E6980EC" w14:textId="77777777" w:rsidR="008E67EA" w:rsidRDefault="008E67EA" w:rsidP="00B44A74">
            <w:pPr>
              <w:spacing w:line="280" w:lineRule="exact"/>
              <w:rPr>
                <w:rFonts w:cs="Arial"/>
                <w:sz w:val="20"/>
                <w:szCs w:val="20"/>
              </w:rPr>
            </w:pPr>
            <w:r>
              <w:rPr>
                <w:rFonts w:cs="Arial"/>
                <w:sz w:val="20"/>
                <w:szCs w:val="20"/>
              </w:rPr>
              <w:t>GENERAL INSTRUCTIONS</w:t>
            </w:r>
          </w:p>
          <w:p w14:paraId="2083B015" w14:textId="3F88FB6B" w:rsidR="008E67EA" w:rsidRPr="00E03561" w:rsidRDefault="008E67EA" w:rsidP="00B44A74">
            <w:pPr>
              <w:spacing w:line="280" w:lineRule="exact"/>
              <w:rPr>
                <w:rFonts w:cs="Arial"/>
                <w:sz w:val="20"/>
                <w:szCs w:val="20"/>
              </w:rPr>
            </w:pPr>
            <w:r>
              <w:rPr>
                <w:rFonts w:cs="Arial"/>
                <w:sz w:val="20"/>
                <w:szCs w:val="20"/>
              </w:rPr>
              <w:t>These baits are ready to use – do not open individual baits. Rats and mice will chew through the wrapper.</w:t>
            </w:r>
          </w:p>
        </w:tc>
      </w:tr>
      <w:tr w:rsidR="008E67EA" w:rsidRPr="002B5B5B" w14:paraId="17C811AF" w14:textId="77777777" w:rsidTr="00B44A74">
        <w:trPr>
          <w:jc w:val="center"/>
        </w:trPr>
        <w:tc>
          <w:tcPr>
            <w:tcW w:w="2415" w:type="dxa"/>
            <w:tcBorders>
              <w:top w:val="single" w:sz="4" w:space="0" w:color="auto"/>
              <w:left w:val="nil"/>
              <w:bottom w:val="single" w:sz="4" w:space="0" w:color="auto"/>
              <w:right w:val="nil"/>
            </w:tcBorders>
          </w:tcPr>
          <w:p w14:paraId="5DF2D939"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8845545" w14:textId="77777777" w:rsidR="008E67EA" w:rsidRPr="00830DFA" w:rsidRDefault="008E67EA" w:rsidP="00B44A74">
            <w:pPr>
              <w:spacing w:line="280" w:lineRule="exact"/>
              <w:rPr>
                <w:rFonts w:cs="Arial"/>
                <w:sz w:val="20"/>
                <w:szCs w:val="20"/>
              </w:rPr>
            </w:pPr>
          </w:p>
        </w:tc>
      </w:tr>
      <w:tr w:rsidR="008E67EA" w:rsidRPr="002B5B5B" w14:paraId="3365E4A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15B2357" w14:textId="77777777" w:rsidR="008E67EA" w:rsidRPr="00F5215F" w:rsidRDefault="008E67EA" w:rsidP="00B44A74">
            <w:pPr>
              <w:spacing w:line="280" w:lineRule="exact"/>
              <w:rPr>
                <w:rFonts w:cs="Arial"/>
                <w:sz w:val="20"/>
                <w:szCs w:val="20"/>
              </w:rPr>
            </w:pPr>
            <w:r w:rsidRPr="00F5215F">
              <w:rPr>
                <w:rFonts w:cs="Arial"/>
                <w:sz w:val="20"/>
                <w:szCs w:val="20"/>
              </w:rPr>
              <w:t>Resistance Warning:</w:t>
            </w:r>
          </w:p>
        </w:tc>
        <w:tc>
          <w:tcPr>
            <w:tcW w:w="7755" w:type="dxa"/>
            <w:tcBorders>
              <w:top w:val="single" w:sz="4" w:space="0" w:color="auto"/>
              <w:left w:val="single" w:sz="4" w:space="0" w:color="auto"/>
              <w:bottom w:val="single" w:sz="4" w:space="0" w:color="auto"/>
              <w:right w:val="single" w:sz="4" w:space="0" w:color="auto"/>
            </w:tcBorders>
          </w:tcPr>
          <w:p w14:paraId="5067A65C" w14:textId="77777777" w:rsidR="008E67EA" w:rsidRPr="00830DFA" w:rsidRDefault="008E67EA" w:rsidP="00B44A74">
            <w:pPr>
              <w:spacing w:line="280" w:lineRule="exact"/>
              <w:rPr>
                <w:rFonts w:cs="Arial"/>
                <w:sz w:val="20"/>
                <w:szCs w:val="20"/>
              </w:rPr>
            </w:pPr>
          </w:p>
        </w:tc>
      </w:tr>
      <w:tr w:rsidR="008E67EA" w:rsidRPr="002B5B5B" w14:paraId="4FCBA7D8" w14:textId="77777777" w:rsidTr="00B44A74">
        <w:trPr>
          <w:jc w:val="center"/>
        </w:trPr>
        <w:tc>
          <w:tcPr>
            <w:tcW w:w="2415" w:type="dxa"/>
            <w:tcBorders>
              <w:top w:val="single" w:sz="4" w:space="0" w:color="auto"/>
              <w:left w:val="nil"/>
              <w:bottom w:val="single" w:sz="4" w:space="0" w:color="auto"/>
              <w:right w:val="nil"/>
            </w:tcBorders>
          </w:tcPr>
          <w:p w14:paraId="67027EBD"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5C4F3D9" w14:textId="77777777" w:rsidR="008E67EA" w:rsidRPr="00830DFA" w:rsidRDefault="008E67EA" w:rsidP="00B44A74">
            <w:pPr>
              <w:spacing w:line="280" w:lineRule="exact"/>
              <w:rPr>
                <w:rFonts w:cs="Arial"/>
                <w:sz w:val="20"/>
                <w:szCs w:val="20"/>
              </w:rPr>
            </w:pPr>
          </w:p>
        </w:tc>
      </w:tr>
      <w:tr w:rsidR="008E67EA" w:rsidRPr="002B5B5B" w14:paraId="499E269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2F2E568" w14:textId="77777777" w:rsidR="008E67EA" w:rsidRPr="00F5215F" w:rsidRDefault="008E67EA" w:rsidP="00B44A74">
            <w:pPr>
              <w:spacing w:line="280" w:lineRule="exact"/>
              <w:rPr>
                <w:rFonts w:cs="Arial"/>
                <w:sz w:val="20"/>
                <w:szCs w:val="20"/>
              </w:rPr>
            </w:pPr>
            <w:r w:rsidRPr="00F5215F">
              <w:rPr>
                <w:rFonts w:cs="Arial"/>
                <w:sz w:val="20"/>
                <w:szCs w:val="20"/>
              </w:rPr>
              <w:t>Precautions:</w:t>
            </w:r>
          </w:p>
        </w:tc>
        <w:tc>
          <w:tcPr>
            <w:tcW w:w="7755" w:type="dxa"/>
            <w:tcBorders>
              <w:top w:val="single" w:sz="4" w:space="0" w:color="auto"/>
              <w:left w:val="single" w:sz="4" w:space="0" w:color="auto"/>
              <w:bottom w:val="single" w:sz="4" w:space="0" w:color="auto"/>
              <w:right w:val="single" w:sz="4" w:space="0" w:color="auto"/>
            </w:tcBorders>
          </w:tcPr>
          <w:p w14:paraId="4B579BC0" w14:textId="77777777" w:rsidR="008E67EA" w:rsidRPr="00E03561" w:rsidRDefault="008E67EA" w:rsidP="00B44A74">
            <w:pPr>
              <w:spacing w:line="280" w:lineRule="exact"/>
              <w:rPr>
                <w:rFonts w:cs="Arial"/>
                <w:sz w:val="20"/>
                <w:szCs w:val="20"/>
              </w:rPr>
            </w:pPr>
            <w:r w:rsidRPr="00E03561">
              <w:rPr>
                <w:rFonts w:cs="Arial"/>
                <w:sz w:val="20"/>
                <w:szCs w:val="20"/>
              </w:rPr>
              <w:t>CAUTION</w:t>
            </w:r>
          </w:p>
          <w:p w14:paraId="7AFEEDD6" w14:textId="77777777" w:rsidR="008E67EA" w:rsidRPr="00E03561" w:rsidRDefault="008E67EA" w:rsidP="00B44A74">
            <w:pPr>
              <w:spacing w:line="280" w:lineRule="exact"/>
              <w:rPr>
                <w:rFonts w:cs="Arial"/>
                <w:sz w:val="20"/>
                <w:szCs w:val="20"/>
              </w:rPr>
            </w:pPr>
            <w:r w:rsidRPr="00E03561">
              <w:rPr>
                <w:rFonts w:cs="Arial"/>
                <w:sz w:val="20"/>
                <w:szCs w:val="20"/>
              </w:rPr>
              <w:t>Caution should be used when baiting near areas where hunting of wildlife may occur. Careful consideration of bait placement is necessary to avoid secondary exposure from contaminated wildlife that may be consumed.</w:t>
            </w:r>
          </w:p>
          <w:p w14:paraId="20F729D3" w14:textId="77777777" w:rsidR="008E67EA" w:rsidRDefault="008E67EA" w:rsidP="00B44A74">
            <w:pPr>
              <w:spacing w:line="280" w:lineRule="exact"/>
              <w:rPr>
                <w:rFonts w:cs="Arial"/>
                <w:sz w:val="20"/>
                <w:szCs w:val="20"/>
              </w:rPr>
            </w:pPr>
            <w:r w:rsidRPr="00E03561">
              <w:rPr>
                <w:rFonts w:cs="Arial"/>
                <w:sz w:val="20"/>
                <w:szCs w:val="20"/>
              </w:rPr>
              <w:t>DO NOT place bait in areas where there is a possibility of contaminating food, livestock feed or surfaces that come in direct contact with food or livestock feed.</w:t>
            </w:r>
          </w:p>
          <w:p w14:paraId="450C3987" w14:textId="77777777" w:rsidR="008E67EA" w:rsidRPr="00E03561" w:rsidRDefault="008E67EA" w:rsidP="00B44A74">
            <w:pPr>
              <w:spacing w:line="280" w:lineRule="exact"/>
              <w:rPr>
                <w:rFonts w:cs="Arial"/>
                <w:sz w:val="20"/>
                <w:szCs w:val="20"/>
              </w:rPr>
            </w:pPr>
          </w:p>
          <w:p w14:paraId="0107BA87" w14:textId="77777777" w:rsidR="008E67EA" w:rsidRPr="00E03561" w:rsidRDefault="008E67EA" w:rsidP="00B44A74">
            <w:pPr>
              <w:spacing w:line="280" w:lineRule="exact"/>
              <w:rPr>
                <w:rFonts w:cs="Arial"/>
                <w:sz w:val="20"/>
                <w:szCs w:val="20"/>
              </w:rPr>
            </w:pPr>
            <w:r w:rsidRPr="00E03561">
              <w:rPr>
                <w:rFonts w:cs="Arial"/>
                <w:sz w:val="20"/>
                <w:szCs w:val="20"/>
              </w:rPr>
              <w:t>PROTECTION OF LIVESTOCK AND WILDLIFE</w:t>
            </w:r>
          </w:p>
          <w:p w14:paraId="208B6F4A" w14:textId="77777777" w:rsidR="008E67EA" w:rsidRPr="00E03561" w:rsidRDefault="008E67EA" w:rsidP="00B44A74">
            <w:pPr>
              <w:spacing w:line="280" w:lineRule="exact"/>
              <w:rPr>
                <w:rFonts w:cs="Arial"/>
                <w:sz w:val="20"/>
                <w:szCs w:val="20"/>
              </w:rPr>
            </w:pPr>
            <w:r w:rsidRPr="00E03561">
              <w:rPr>
                <w:rFonts w:cs="Arial"/>
                <w:sz w:val="20"/>
                <w:szCs w:val="20"/>
              </w:rPr>
              <w:t>Hazardous to livestock, poultry and wildlife. DO NOT place baits in locations that are accessible to domestic animals, livestock, non-target native animals or birds.</w:t>
            </w:r>
          </w:p>
          <w:p w14:paraId="20391DBD" w14:textId="64C294D6" w:rsidR="008E67EA" w:rsidRPr="00E03561" w:rsidRDefault="008E67EA" w:rsidP="00B44A74">
            <w:pPr>
              <w:spacing w:line="280" w:lineRule="exact"/>
              <w:rPr>
                <w:rFonts w:cs="Arial"/>
                <w:sz w:val="20"/>
                <w:szCs w:val="20"/>
              </w:rPr>
            </w:pPr>
            <w:r w:rsidRPr="00E03561">
              <w:rPr>
                <w:rFonts w:cs="Arial"/>
                <w:sz w:val="20"/>
                <w:szCs w:val="20"/>
              </w:rPr>
              <w:t xml:space="preserve">Search for and dispose of dead rodents and slugs/snails in the infested area at each visit to prevent secondary poisoning. In case slugs/snails are present, move bait </w:t>
            </w:r>
            <w:r w:rsidRPr="00E03561">
              <w:rPr>
                <w:rFonts w:cs="Arial"/>
                <w:sz w:val="20"/>
                <w:szCs w:val="20"/>
              </w:rPr>
              <w:lastRenderedPageBreak/>
              <w:t>station to another location within the rodent infested site, away from slugs/snails. Dispose of slugs/snails, dead rodents and uneaten bait by wrapping in paper, placing in plastic bag and putting in garbage.</w:t>
            </w:r>
          </w:p>
          <w:p w14:paraId="4A368EF3" w14:textId="77777777" w:rsidR="008E67EA" w:rsidRPr="00E03561" w:rsidRDefault="008E67EA" w:rsidP="00B44A74">
            <w:pPr>
              <w:spacing w:line="280" w:lineRule="exact"/>
              <w:rPr>
                <w:rFonts w:cs="Arial"/>
                <w:sz w:val="20"/>
                <w:szCs w:val="20"/>
              </w:rPr>
            </w:pPr>
            <w:r w:rsidRPr="00E03561">
              <w:rPr>
                <w:rFonts w:cs="Arial"/>
                <w:sz w:val="20"/>
                <w:szCs w:val="20"/>
              </w:rPr>
              <w:t>DO NOT allow livestock or poultry to consume dead or moribund mice</w:t>
            </w:r>
            <w:r>
              <w:rPr>
                <w:rFonts w:cs="Arial"/>
                <w:sz w:val="20"/>
                <w:szCs w:val="20"/>
              </w:rPr>
              <w:t xml:space="preserve"> and rats</w:t>
            </w:r>
            <w:r w:rsidRPr="00E03561">
              <w:rPr>
                <w:rFonts w:cs="Arial"/>
                <w:sz w:val="20"/>
                <w:szCs w:val="20"/>
              </w:rPr>
              <w:t>. All dead or moribund animals and rodent faeces from baited rodents MUST be removed from areas accessible to livestock or poultry.</w:t>
            </w:r>
          </w:p>
          <w:p w14:paraId="2A16D3B6" w14:textId="17D4D2F3" w:rsidR="008E67EA" w:rsidRDefault="008E67EA" w:rsidP="00B44A74">
            <w:pPr>
              <w:spacing w:line="280" w:lineRule="exact"/>
              <w:rPr>
                <w:rFonts w:cs="Arial"/>
                <w:sz w:val="20"/>
                <w:szCs w:val="20"/>
              </w:rPr>
            </w:pPr>
            <w:r w:rsidRPr="00E03561">
              <w:rPr>
                <w:rFonts w:cs="Arial"/>
                <w:sz w:val="20"/>
                <w:szCs w:val="20"/>
              </w:rPr>
              <w:t>DO NOT let cats, dogs or non-target animals eat poisoned mice and rats.</w:t>
            </w:r>
          </w:p>
          <w:p w14:paraId="48C4BD97" w14:textId="77777777" w:rsidR="008E67EA" w:rsidRDefault="008E67EA" w:rsidP="00B44A74">
            <w:pPr>
              <w:spacing w:line="280" w:lineRule="exact"/>
              <w:rPr>
                <w:rFonts w:cs="Arial"/>
                <w:sz w:val="20"/>
                <w:szCs w:val="20"/>
              </w:rPr>
            </w:pPr>
            <w:r w:rsidRPr="00E03561">
              <w:rPr>
                <w:rFonts w:cs="Arial"/>
                <w:sz w:val="20"/>
                <w:szCs w:val="20"/>
              </w:rPr>
              <w:t xml:space="preserve">DO NOT use this product to control native animals. </w:t>
            </w:r>
          </w:p>
          <w:p w14:paraId="3EAA26D8" w14:textId="77777777" w:rsidR="008E67EA" w:rsidRPr="00E03561" w:rsidRDefault="008E67EA" w:rsidP="00B44A74">
            <w:pPr>
              <w:spacing w:line="280" w:lineRule="exact"/>
              <w:rPr>
                <w:rFonts w:cs="Arial"/>
                <w:sz w:val="20"/>
                <w:szCs w:val="20"/>
              </w:rPr>
            </w:pPr>
          </w:p>
          <w:p w14:paraId="20A0EFE8" w14:textId="77777777" w:rsidR="008E67EA" w:rsidRPr="00E03561" w:rsidRDefault="008E67EA" w:rsidP="00B44A74">
            <w:pPr>
              <w:spacing w:line="280" w:lineRule="exact"/>
              <w:rPr>
                <w:rFonts w:cs="Arial"/>
                <w:sz w:val="20"/>
                <w:szCs w:val="20"/>
              </w:rPr>
            </w:pPr>
            <w:r w:rsidRPr="00E03561">
              <w:rPr>
                <w:rFonts w:cs="Arial"/>
                <w:sz w:val="20"/>
                <w:szCs w:val="20"/>
              </w:rPr>
              <w:t>PROTECTION OF FISH, CRUSTACEANS AND ENVIRONMENT</w:t>
            </w:r>
          </w:p>
          <w:p w14:paraId="59205D0A" w14:textId="77777777" w:rsidR="008E67EA" w:rsidRPr="00E03561" w:rsidRDefault="008E67EA" w:rsidP="00B44A74">
            <w:pPr>
              <w:spacing w:line="280" w:lineRule="exact"/>
              <w:rPr>
                <w:rFonts w:cs="Arial"/>
                <w:sz w:val="20"/>
                <w:szCs w:val="20"/>
              </w:rPr>
            </w:pPr>
            <w:r w:rsidRPr="00E03561">
              <w:rPr>
                <w:rFonts w:cs="Arial"/>
                <w:sz w:val="20"/>
                <w:szCs w:val="20"/>
              </w:rPr>
              <w:t>Very toxic to aquatic life. DO NOT contaminate wetlands or watercourses with this product or used containers. Place the bait stations in areas not liable to flooding. When placing bait stations close to water drainage systems, ensure that bait contact with water is avoided.</w:t>
            </w:r>
          </w:p>
        </w:tc>
      </w:tr>
      <w:tr w:rsidR="008E67EA" w:rsidRPr="002B5B5B" w14:paraId="1C52AB1E" w14:textId="77777777" w:rsidTr="00B44A74">
        <w:trPr>
          <w:jc w:val="center"/>
        </w:trPr>
        <w:tc>
          <w:tcPr>
            <w:tcW w:w="2415" w:type="dxa"/>
            <w:tcBorders>
              <w:top w:val="single" w:sz="4" w:space="0" w:color="auto"/>
              <w:left w:val="nil"/>
              <w:bottom w:val="single" w:sz="4" w:space="0" w:color="auto"/>
              <w:right w:val="nil"/>
            </w:tcBorders>
          </w:tcPr>
          <w:p w14:paraId="533B6684"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8D8B2DE" w14:textId="77777777" w:rsidR="008E67EA" w:rsidRPr="00830DFA" w:rsidRDefault="008E67EA" w:rsidP="00B44A74">
            <w:pPr>
              <w:spacing w:line="280" w:lineRule="exact"/>
              <w:rPr>
                <w:rFonts w:cs="Arial"/>
                <w:sz w:val="20"/>
                <w:szCs w:val="20"/>
              </w:rPr>
            </w:pPr>
          </w:p>
        </w:tc>
      </w:tr>
      <w:tr w:rsidR="008E67EA" w:rsidRPr="002B5B5B" w14:paraId="1E98FE8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A7B67C8" w14:textId="77777777" w:rsidR="008E67EA" w:rsidRPr="00F5215F" w:rsidRDefault="008E67EA" w:rsidP="00B44A74">
            <w:pPr>
              <w:spacing w:line="280" w:lineRule="exact"/>
              <w:rPr>
                <w:rFonts w:cs="Arial"/>
                <w:sz w:val="20"/>
                <w:szCs w:val="20"/>
              </w:rPr>
            </w:pPr>
            <w:r w:rsidRPr="00F5215F">
              <w:rPr>
                <w:rFonts w:cs="Arial"/>
                <w:sz w:val="20"/>
                <w:szCs w:val="20"/>
              </w:rPr>
              <w:t>Protectio</w:t>
            </w:r>
            <w:r>
              <w:rPr>
                <w:rFonts w:cs="Arial"/>
                <w:sz w:val="20"/>
                <w:szCs w:val="20"/>
              </w:rPr>
              <w:t>ns</w:t>
            </w:r>
            <w:r w:rsidRPr="00F5215F">
              <w:rPr>
                <w:rFonts w:cs="Arial"/>
                <w:sz w:val="20"/>
                <w:szCs w:val="20"/>
              </w:rPr>
              <w:t>:</w:t>
            </w:r>
          </w:p>
        </w:tc>
        <w:tc>
          <w:tcPr>
            <w:tcW w:w="7755" w:type="dxa"/>
            <w:tcBorders>
              <w:top w:val="single" w:sz="4" w:space="0" w:color="auto"/>
              <w:left w:val="single" w:sz="4" w:space="0" w:color="auto"/>
              <w:bottom w:val="single" w:sz="4" w:space="0" w:color="auto"/>
              <w:right w:val="single" w:sz="4" w:space="0" w:color="auto"/>
            </w:tcBorders>
          </w:tcPr>
          <w:p w14:paraId="5B491AE1" w14:textId="77777777" w:rsidR="008E67EA" w:rsidRPr="00830DFA" w:rsidRDefault="008E67EA" w:rsidP="00B44A74">
            <w:pPr>
              <w:spacing w:line="280" w:lineRule="exact"/>
              <w:rPr>
                <w:rFonts w:cs="Arial"/>
                <w:sz w:val="20"/>
                <w:szCs w:val="20"/>
              </w:rPr>
            </w:pPr>
          </w:p>
        </w:tc>
      </w:tr>
      <w:tr w:rsidR="008E67EA" w:rsidRPr="002B5B5B" w14:paraId="7FF8F00D" w14:textId="77777777" w:rsidTr="00B44A74">
        <w:trPr>
          <w:jc w:val="center"/>
        </w:trPr>
        <w:tc>
          <w:tcPr>
            <w:tcW w:w="2415" w:type="dxa"/>
            <w:tcBorders>
              <w:top w:val="single" w:sz="4" w:space="0" w:color="auto"/>
              <w:left w:val="nil"/>
              <w:bottom w:val="single" w:sz="4" w:space="0" w:color="auto"/>
              <w:right w:val="nil"/>
            </w:tcBorders>
          </w:tcPr>
          <w:p w14:paraId="6E6A7F1A"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69AE968" w14:textId="77777777" w:rsidR="008E67EA" w:rsidRPr="00830DFA" w:rsidRDefault="008E67EA" w:rsidP="00B44A74">
            <w:pPr>
              <w:spacing w:line="280" w:lineRule="exact"/>
              <w:rPr>
                <w:rFonts w:cs="Arial"/>
                <w:sz w:val="20"/>
                <w:szCs w:val="20"/>
              </w:rPr>
            </w:pPr>
          </w:p>
        </w:tc>
      </w:tr>
      <w:tr w:rsidR="008E67EA" w:rsidRPr="002B5B5B" w14:paraId="574C655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C1E288C" w14:textId="77777777" w:rsidR="008E67EA" w:rsidRPr="00F5215F" w:rsidRDefault="008E67EA" w:rsidP="00B44A74">
            <w:pPr>
              <w:spacing w:line="280" w:lineRule="exact"/>
              <w:rPr>
                <w:rFonts w:cs="Arial"/>
                <w:sz w:val="20"/>
                <w:szCs w:val="20"/>
              </w:rPr>
            </w:pPr>
            <w:r w:rsidRPr="00F5215F">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7C064637" w14:textId="77777777" w:rsidR="008E67EA" w:rsidRDefault="008E67EA" w:rsidP="00B44A74">
            <w:pPr>
              <w:spacing w:line="280" w:lineRule="exact"/>
              <w:rPr>
                <w:rFonts w:cs="Arial"/>
                <w:sz w:val="20"/>
                <w:szCs w:val="20"/>
              </w:rPr>
            </w:pPr>
            <w:r w:rsidRPr="00830DFA">
              <w:rPr>
                <w:rFonts w:cs="Arial"/>
                <w:sz w:val="20"/>
                <w:szCs w:val="20"/>
              </w:rPr>
              <w:t>STORAGE AND DISPOSAL</w:t>
            </w:r>
          </w:p>
          <w:p w14:paraId="17C0B780" w14:textId="013BD7CC" w:rsidR="008E67EA" w:rsidRPr="00E03561" w:rsidRDefault="008E67EA" w:rsidP="00B44A74">
            <w:pPr>
              <w:spacing w:line="280" w:lineRule="exact"/>
              <w:rPr>
                <w:rFonts w:cs="Arial"/>
                <w:sz w:val="20"/>
                <w:szCs w:val="20"/>
              </w:rPr>
            </w:pPr>
            <w:r w:rsidRPr="00830DFA">
              <w:rPr>
                <w:rFonts w:cs="Arial"/>
                <w:sz w:val="20"/>
                <w:szCs w:val="20"/>
              </w:rPr>
              <w:t>Store in the closed, original container in a cool, dry, place out of reach of children. Do</w:t>
            </w:r>
            <w:r>
              <w:rPr>
                <w:rFonts w:cs="Arial"/>
                <w:sz w:val="20"/>
                <w:szCs w:val="20"/>
              </w:rPr>
              <w:t xml:space="preserve"> </w:t>
            </w:r>
            <w:r w:rsidRPr="00830DFA">
              <w:rPr>
                <w:rFonts w:cs="Arial"/>
                <w:sz w:val="20"/>
                <w:szCs w:val="20"/>
              </w:rPr>
              <w:t>not store in direct sunlight. Dispose of empty containers</w:t>
            </w:r>
            <w:r>
              <w:rPr>
                <w:rFonts w:cs="Arial"/>
                <w:sz w:val="20"/>
                <w:szCs w:val="20"/>
              </w:rPr>
              <w:t xml:space="preserve"> and unused product</w:t>
            </w:r>
            <w:r w:rsidRPr="00830DFA">
              <w:rPr>
                <w:rFonts w:cs="Arial"/>
                <w:sz w:val="20"/>
                <w:szCs w:val="20"/>
              </w:rPr>
              <w:t xml:space="preserve"> by wrapping in paper placing in plastic bag and putting in garbage.</w:t>
            </w:r>
          </w:p>
        </w:tc>
      </w:tr>
      <w:tr w:rsidR="008E67EA" w:rsidRPr="002B5B5B" w14:paraId="7EBF7330" w14:textId="77777777" w:rsidTr="00B44A74">
        <w:trPr>
          <w:jc w:val="center"/>
        </w:trPr>
        <w:tc>
          <w:tcPr>
            <w:tcW w:w="2415" w:type="dxa"/>
            <w:tcBorders>
              <w:top w:val="single" w:sz="4" w:space="0" w:color="auto"/>
              <w:left w:val="nil"/>
              <w:bottom w:val="single" w:sz="4" w:space="0" w:color="auto"/>
              <w:right w:val="nil"/>
            </w:tcBorders>
          </w:tcPr>
          <w:p w14:paraId="28D9A602"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0C272EB" w14:textId="77777777" w:rsidR="008E67EA" w:rsidRPr="00830DFA" w:rsidRDefault="008E67EA" w:rsidP="00B44A74">
            <w:pPr>
              <w:spacing w:line="280" w:lineRule="exact"/>
              <w:rPr>
                <w:rFonts w:cs="Arial"/>
                <w:sz w:val="20"/>
                <w:szCs w:val="20"/>
              </w:rPr>
            </w:pPr>
          </w:p>
        </w:tc>
      </w:tr>
      <w:tr w:rsidR="008E67EA" w:rsidRPr="002B5B5B" w14:paraId="6007053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1B30621" w14:textId="77777777" w:rsidR="008E67EA" w:rsidRPr="00F5215F" w:rsidRDefault="008E67EA" w:rsidP="00B44A74">
            <w:pPr>
              <w:spacing w:line="280" w:lineRule="exact"/>
              <w:rPr>
                <w:rFonts w:cs="Arial"/>
                <w:sz w:val="20"/>
                <w:szCs w:val="20"/>
              </w:rPr>
            </w:pPr>
            <w:r w:rsidRPr="00F5215F">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1BFEE60C" w14:textId="77777777" w:rsidR="008E67EA" w:rsidRDefault="008E67EA" w:rsidP="00B44A74">
            <w:pPr>
              <w:spacing w:line="280" w:lineRule="exact"/>
              <w:rPr>
                <w:rFonts w:cs="Arial"/>
                <w:sz w:val="20"/>
                <w:szCs w:val="20"/>
              </w:rPr>
            </w:pPr>
            <w:r w:rsidRPr="00830DFA">
              <w:rPr>
                <w:rFonts w:cs="Arial"/>
                <w:sz w:val="20"/>
                <w:szCs w:val="20"/>
              </w:rPr>
              <w:t>SAFETY DIRECTIONS</w:t>
            </w:r>
          </w:p>
          <w:p w14:paraId="1CCC2DD5" w14:textId="77777777" w:rsidR="008E67EA" w:rsidRPr="00830DFA" w:rsidRDefault="008E67EA" w:rsidP="00B44A74">
            <w:pPr>
              <w:spacing w:line="280" w:lineRule="exact"/>
              <w:rPr>
                <w:rFonts w:cs="Arial"/>
                <w:sz w:val="20"/>
                <w:szCs w:val="20"/>
              </w:rPr>
            </w:pPr>
            <w:r w:rsidRPr="00283672">
              <w:rPr>
                <w:rFonts w:cs="Arial"/>
                <w:sz w:val="20"/>
                <w:szCs w:val="20"/>
              </w:rPr>
              <w:t>Repeated minor exposure may have a cumulative poisoning effect. Will irritate the skin. May irritate eyes. Avoid contact with eyes and skin. When using the product wear disposable gloves. During cleanup, disposal operations of bait and bait stations and when handling rodent carcasses wear single layer clothing and disposable gloves. If on skin and after each baiting, wash thoroughly with soap and water. After each day’s use wash contaminated clothing.</w:t>
            </w:r>
            <w:r>
              <w:rPr>
                <w:rFonts w:cs="Arial"/>
                <w:sz w:val="20"/>
                <w:szCs w:val="20"/>
              </w:rPr>
              <w:t xml:space="preserve"> </w:t>
            </w:r>
            <w:r w:rsidRPr="00830DFA">
              <w:rPr>
                <w:rFonts w:cs="Arial"/>
                <w:sz w:val="20"/>
                <w:szCs w:val="20"/>
              </w:rPr>
              <w:t>Wash clothes after performing re-handling activities.</w:t>
            </w:r>
          </w:p>
        </w:tc>
      </w:tr>
      <w:tr w:rsidR="008E67EA" w:rsidRPr="002B5B5B" w14:paraId="0083EEF9" w14:textId="77777777" w:rsidTr="00B44A74">
        <w:trPr>
          <w:jc w:val="center"/>
        </w:trPr>
        <w:tc>
          <w:tcPr>
            <w:tcW w:w="2415" w:type="dxa"/>
            <w:tcBorders>
              <w:top w:val="single" w:sz="4" w:space="0" w:color="auto"/>
              <w:left w:val="nil"/>
              <w:bottom w:val="single" w:sz="4" w:space="0" w:color="auto"/>
              <w:right w:val="nil"/>
            </w:tcBorders>
          </w:tcPr>
          <w:p w14:paraId="085F0737"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0A4775D" w14:textId="77777777" w:rsidR="008E67EA" w:rsidRPr="00830DFA" w:rsidRDefault="008E67EA" w:rsidP="00B44A74">
            <w:pPr>
              <w:spacing w:line="280" w:lineRule="exact"/>
              <w:rPr>
                <w:rFonts w:cs="Arial"/>
                <w:sz w:val="20"/>
                <w:szCs w:val="20"/>
              </w:rPr>
            </w:pPr>
          </w:p>
        </w:tc>
      </w:tr>
      <w:tr w:rsidR="008E67EA" w:rsidRPr="002B5B5B" w14:paraId="141D1FE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073852C" w14:textId="77777777" w:rsidR="008E67EA" w:rsidRPr="00F5215F" w:rsidRDefault="008E67EA" w:rsidP="00B44A74">
            <w:pPr>
              <w:spacing w:line="280" w:lineRule="exact"/>
              <w:rPr>
                <w:rFonts w:cs="Arial"/>
                <w:sz w:val="20"/>
                <w:szCs w:val="20"/>
              </w:rPr>
            </w:pPr>
            <w:r w:rsidRPr="00F5215F">
              <w:rPr>
                <w:rFonts w:cs="Arial"/>
                <w:sz w:val="20"/>
                <w:szCs w:val="20"/>
              </w:rPr>
              <w:t>First Aid Instructions:</w:t>
            </w:r>
          </w:p>
        </w:tc>
        <w:tc>
          <w:tcPr>
            <w:tcW w:w="7755" w:type="dxa"/>
            <w:tcBorders>
              <w:top w:val="single" w:sz="4" w:space="0" w:color="auto"/>
              <w:left w:val="single" w:sz="4" w:space="0" w:color="auto"/>
              <w:bottom w:val="single" w:sz="4" w:space="0" w:color="auto"/>
              <w:right w:val="single" w:sz="4" w:space="0" w:color="auto"/>
            </w:tcBorders>
          </w:tcPr>
          <w:p w14:paraId="4AC8C419" w14:textId="77777777" w:rsidR="008E67EA" w:rsidRDefault="008E67EA" w:rsidP="00B44A74">
            <w:pPr>
              <w:spacing w:line="280" w:lineRule="exact"/>
              <w:rPr>
                <w:rFonts w:cs="Arial"/>
                <w:sz w:val="20"/>
                <w:szCs w:val="20"/>
              </w:rPr>
            </w:pPr>
            <w:r w:rsidRPr="00830DFA">
              <w:rPr>
                <w:rFonts w:cs="Arial"/>
                <w:sz w:val="20"/>
                <w:szCs w:val="20"/>
              </w:rPr>
              <w:t>FIRST AID</w:t>
            </w:r>
          </w:p>
          <w:p w14:paraId="1317D398" w14:textId="77777777" w:rsidR="008E67EA" w:rsidRPr="00830DFA" w:rsidRDefault="008E67EA" w:rsidP="00B44A74">
            <w:pPr>
              <w:spacing w:line="280" w:lineRule="exact"/>
              <w:rPr>
                <w:rFonts w:cs="Arial"/>
                <w:sz w:val="20"/>
                <w:szCs w:val="20"/>
              </w:rPr>
            </w:pPr>
            <w:r w:rsidRPr="00830DFA">
              <w:rPr>
                <w:rFonts w:cs="Arial"/>
                <w:sz w:val="20"/>
                <w:szCs w:val="20"/>
              </w:rPr>
              <w:t>If poisoning occurs, contact a doctor or Poisons Information Centre. Phone Australia 13 11 26, New Zealand 0800 764 766. Vitamin K1 (Phytomenadione) is antidotal.</w:t>
            </w:r>
          </w:p>
        </w:tc>
      </w:tr>
      <w:tr w:rsidR="008E67EA" w:rsidRPr="002B5B5B" w14:paraId="4BA06F36" w14:textId="77777777" w:rsidTr="00B44A74">
        <w:trPr>
          <w:jc w:val="center"/>
        </w:trPr>
        <w:tc>
          <w:tcPr>
            <w:tcW w:w="2415" w:type="dxa"/>
            <w:tcBorders>
              <w:top w:val="single" w:sz="4" w:space="0" w:color="auto"/>
              <w:left w:val="nil"/>
              <w:bottom w:val="single" w:sz="4" w:space="0" w:color="auto"/>
              <w:right w:val="nil"/>
            </w:tcBorders>
          </w:tcPr>
          <w:p w14:paraId="3C5D7E71"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9C87E41" w14:textId="77777777" w:rsidR="008E67EA" w:rsidRPr="00830DFA" w:rsidRDefault="008E67EA" w:rsidP="00B44A74">
            <w:pPr>
              <w:spacing w:line="280" w:lineRule="exact"/>
              <w:rPr>
                <w:rFonts w:cs="Arial"/>
                <w:sz w:val="20"/>
                <w:szCs w:val="20"/>
              </w:rPr>
            </w:pPr>
          </w:p>
        </w:tc>
      </w:tr>
      <w:tr w:rsidR="008E67EA" w:rsidRPr="002B5B5B" w14:paraId="1D93EEE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4D73E29" w14:textId="77777777" w:rsidR="008E67EA" w:rsidRPr="00F5215F" w:rsidRDefault="008E67EA" w:rsidP="00B44A74">
            <w:pPr>
              <w:spacing w:line="280" w:lineRule="exact"/>
              <w:rPr>
                <w:rFonts w:cs="Arial"/>
                <w:sz w:val="20"/>
                <w:szCs w:val="20"/>
              </w:rPr>
            </w:pPr>
            <w:r w:rsidRPr="00F5215F">
              <w:rPr>
                <w:rFonts w:cs="Arial"/>
                <w:sz w:val="20"/>
                <w:szCs w:val="20"/>
              </w:rPr>
              <w:t>First Aid Warnings:</w:t>
            </w:r>
          </w:p>
        </w:tc>
        <w:tc>
          <w:tcPr>
            <w:tcW w:w="7755" w:type="dxa"/>
            <w:tcBorders>
              <w:top w:val="single" w:sz="4" w:space="0" w:color="auto"/>
              <w:left w:val="single" w:sz="4" w:space="0" w:color="auto"/>
              <w:bottom w:val="single" w:sz="4" w:space="0" w:color="auto"/>
              <w:right w:val="single" w:sz="4" w:space="0" w:color="auto"/>
            </w:tcBorders>
          </w:tcPr>
          <w:p w14:paraId="3078990A" w14:textId="77777777" w:rsidR="008E67EA" w:rsidRPr="00E03561" w:rsidRDefault="008E67EA" w:rsidP="00B44A74">
            <w:pPr>
              <w:spacing w:line="280" w:lineRule="exact"/>
              <w:rPr>
                <w:rFonts w:cs="Arial"/>
                <w:sz w:val="20"/>
                <w:szCs w:val="20"/>
              </w:rPr>
            </w:pPr>
          </w:p>
        </w:tc>
      </w:tr>
    </w:tbl>
    <w:p w14:paraId="24F79A39" w14:textId="77777777" w:rsidR="008E67EA" w:rsidRDefault="008E67EA" w:rsidP="008E67EA">
      <w:pPr>
        <w:rPr>
          <w:rFonts w:cs="Arial"/>
          <w:b/>
          <w:bCs/>
          <w:sz w:val="20"/>
          <w:szCs w:val="20"/>
        </w:rPr>
      </w:pPr>
      <w:r>
        <w:rPr>
          <w:rFonts w:cs="Arial"/>
          <w:b/>
          <w:bCs/>
          <w:sz w:val="20"/>
          <w:szCs w:val="20"/>
        </w:rPr>
        <w:br w:type="page"/>
      </w:r>
    </w:p>
    <w:p w14:paraId="49E44D2E" w14:textId="77777777" w:rsidR="008E67EA" w:rsidRDefault="008E67EA" w:rsidP="008E67EA">
      <w:pPr>
        <w:rPr>
          <w:rFonts w:cs="Arial"/>
          <w:b/>
          <w:bCs/>
          <w:sz w:val="20"/>
          <w:szCs w:val="20"/>
        </w:rPr>
      </w:pPr>
      <w:r w:rsidRPr="00FF36BF">
        <w:rPr>
          <w:rFonts w:cs="Arial"/>
          <w:b/>
          <w:bCs/>
          <w:sz w:val="20"/>
          <w:szCs w:val="20"/>
        </w:rPr>
        <w:lastRenderedPageBreak/>
        <w:t>HOW TO USE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181"/>
        <w:gridCol w:w="1842"/>
        <w:gridCol w:w="3897"/>
      </w:tblGrid>
      <w:tr w:rsidR="008E67EA" w:rsidRPr="00FF36BF" w14:paraId="7A883975" w14:textId="77777777" w:rsidTr="00604F9D">
        <w:trPr>
          <w:trHeight w:val="340"/>
        </w:trPr>
        <w:tc>
          <w:tcPr>
            <w:tcW w:w="1080" w:type="dxa"/>
          </w:tcPr>
          <w:p w14:paraId="5671BAB2" w14:textId="77777777" w:rsidR="008E67EA" w:rsidRPr="00246206" w:rsidRDefault="008E67EA" w:rsidP="00B44A74">
            <w:pPr>
              <w:pStyle w:val="TableParagraph"/>
              <w:widowControl/>
              <w:adjustRightInd w:val="0"/>
              <w:spacing w:before="61"/>
              <w:ind w:left="0"/>
              <w:rPr>
                <w:rFonts w:eastAsiaTheme="minorHAnsi"/>
                <w:b/>
                <w:bCs/>
                <w:sz w:val="20"/>
                <w:szCs w:val="20"/>
                <w:lang w:val="en-AU"/>
              </w:rPr>
            </w:pPr>
            <w:r w:rsidRPr="00246206">
              <w:rPr>
                <w:rFonts w:eastAsiaTheme="minorHAnsi"/>
                <w:b/>
                <w:bCs/>
                <w:sz w:val="20"/>
                <w:szCs w:val="20"/>
                <w:lang w:val="en-AU"/>
              </w:rPr>
              <w:t>PEST</w:t>
            </w:r>
          </w:p>
        </w:tc>
        <w:tc>
          <w:tcPr>
            <w:tcW w:w="2181" w:type="dxa"/>
          </w:tcPr>
          <w:p w14:paraId="64142876" w14:textId="77777777" w:rsidR="008E67EA" w:rsidRPr="00246206" w:rsidRDefault="008E67EA" w:rsidP="00B44A74">
            <w:pPr>
              <w:pStyle w:val="TableParagraph"/>
              <w:widowControl/>
              <w:adjustRightInd w:val="0"/>
              <w:spacing w:before="61"/>
              <w:ind w:left="0"/>
              <w:rPr>
                <w:rFonts w:eastAsiaTheme="minorHAnsi"/>
                <w:b/>
                <w:bCs/>
                <w:sz w:val="20"/>
                <w:szCs w:val="20"/>
                <w:lang w:val="en-AU"/>
              </w:rPr>
            </w:pPr>
            <w:r w:rsidRPr="00246206">
              <w:rPr>
                <w:rFonts w:eastAsiaTheme="minorHAnsi"/>
                <w:b/>
                <w:bCs/>
                <w:sz w:val="20"/>
                <w:szCs w:val="20"/>
                <w:lang w:val="en-AU"/>
              </w:rPr>
              <w:t>SITUATION</w:t>
            </w:r>
          </w:p>
        </w:tc>
        <w:tc>
          <w:tcPr>
            <w:tcW w:w="1842" w:type="dxa"/>
          </w:tcPr>
          <w:p w14:paraId="746122FC" w14:textId="77777777" w:rsidR="008E67EA" w:rsidRPr="00246206" w:rsidRDefault="008E67EA" w:rsidP="00B44A74">
            <w:pPr>
              <w:pStyle w:val="TableParagraph"/>
              <w:widowControl/>
              <w:adjustRightInd w:val="0"/>
              <w:spacing w:before="61"/>
              <w:ind w:left="0"/>
              <w:rPr>
                <w:rFonts w:eastAsiaTheme="minorHAnsi"/>
                <w:b/>
                <w:bCs/>
                <w:sz w:val="20"/>
                <w:szCs w:val="20"/>
                <w:lang w:val="en-AU"/>
              </w:rPr>
            </w:pPr>
            <w:r w:rsidRPr="00246206">
              <w:rPr>
                <w:rFonts w:eastAsiaTheme="minorHAnsi"/>
                <w:b/>
                <w:bCs/>
                <w:sz w:val="20"/>
                <w:szCs w:val="20"/>
                <w:lang w:val="en-AU"/>
              </w:rPr>
              <w:t>RATE</w:t>
            </w:r>
          </w:p>
        </w:tc>
        <w:tc>
          <w:tcPr>
            <w:tcW w:w="3897" w:type="dxa"/>
          </w:tcPr>
          <w:p w14:paraId="4D8821DF" w14:textId="77777777" w:rsidR="008E67EA" w:rsidRPr="00246206" w:rsidRDefault="008E67EA" w:rsidP="00B44A74">
            <w:pPr>
              <w:pStyle w:val="TableParagraph"/>
              <w:widowControl/>
              <w:adjustRightInd w:val="0"/>
              <w:spacing w:before="61"/>
              <w:ind w:left="0"/>
              <w:rPr>
                <w:rFonts w:eastAsiaTheme="minorHAnsi"/>
                <w:b/>
                <w:bCs/>
                <w:sz w:val="20"/>
                <w:szCs w:val="20"/>
                <w:lang w:val="en-AU"/>
              </w:rPr>
            </w:pPr>
            <w:r w:rsidRPr="00246206">
              <w:rPr>
                <w:rFonts w:eastAsiaTheme="minorHAnsi"/>
                <w:b/>
                <w:bCs/>
                <w:sz w:val="20"/>
                <w:szCs w:val="20"/>
                <w:lang w:val="en-AU"/>
              </w:rPr>
              <w:t>HOW TO APPLY</w:t>
            </w:r>
          </w:p>
        </w:tc>
      </w:tr>
      <w:tr w:rsidR="008E67EA" w:rsidRPr="00FF36BF" w14:paraId="53E45EB5" w14:textId="77777777" w:rsidTr="00604F9D">
        <w:trPr>
          <w:trHeight w:val="421"/>
        </w:trPr>
        <w:tc>
          <w:tcPr>
            <w:tcW w:w="1080" w:type="dxa"/>
          </w:tcPr>
          <w:p w14:paraId="5711285A" w14:textId="77777777" w:rsidR="008E67EA" w:rsidRPr="005D3D45" w:rsidRDefault="008E67EA" w:rsidP="00B44A74">
            <w:pPr>
              <w:spacing w:line="280" w:lineRule="exact"/>
              <w:rPr>
                <w:rFonts w:cs="Arial"/>
                <w:sz w:val="20"/>
                <w:szCs w:val="20"/>
              </w:rPr>
            </w:pPr>
            <w:r w:rsidRPr="005D3D45">
              <w:rPr>
                <w:rFonts w:cs="Arial"/>
                <w:sz w:val="20"/>
                <w:szCs w:val="20"/>
              </w:rPr>
              <w:t>Mice</w:t>
            </w:r>
          </w:p>
        </w:tc>
        <w:tc>
          <w:tcPr>
            <w:tcW w:w="2181" w:type="dxa"/>
          </w:tcPr>
          <w:p w14:paraId="4845DF6F" w14:textId="77777777" w:rsidR="008E67EA" w:rsidRPr="005D3D45" w:rsidRDefault="008E67EA" w:rsidP="00B44A74">
            <w:pPr>
              <w:spacing w:line="280" w:lineRule="exact"/>
              <w:rPr>
                <w:rFonts w:cs="Arial"/>
                <w:sz w:val="20"/>
                <w:szCs w:val="20"/>
              </w:rPr>
            </w:pPr>
            <w:r w:rsidRPr="005D3D45">
              <w:rPr>
                <w:rFonts w:cs="Arial"/>
                <w:sz w:val="20"/>
                <w:szCs w:val="20"/>
              </w:rPr>
              <w:t>In domestic buildings and commercial premises</w:t>
            </w:r>
          </w:p>
        </w:tc>
        <w:tc>
          <w:tcPr>
            <w:tcW w:w="1842" w:type="dxa"/>
          </w:tcPr>
          <w:p w14:paraId="3B997DE4" w14:textId="77777777" w:rsidR="008E67EA" w:rsidRPr="005D3D45" w:rsidRDefault="008E67EA" w:rsidP="00B44A74">
            <w:pPr>
              <w:spacing w:line="280" w:lineRule="exact"/>
              <w:rPr>
                <w:rFonts w:cs="Arial"/>
                <w:sz w:val="20"/>
                <w:szCs w:val="20"/>
              </w:rPr>
            </w:pPr>
            <w:r>
              <w:rPr>
                <w:rFonts w:cs="Arial"/>
                <w:sz w:val="20"/>
                <w:szCs w:val="20"/>
              </w:rPr>
              <w:t>[</w:t>
            </w:r>
            <w:r w:rsidRPr="001019EA">
              <w:rPr>
                <w:rFonts w:cs="Arial"/>
                <w:sz w:val="20"/>
                <w:szCs w:val="20"/>
              </w:rPr>
              <w:t>as per current approved label</w:t>
            </w:r>
            <w:r>
              <w:rPr>
                <w:rFonts w:cs="Arial"/>
                <w:sz w:val="20"/>
                <w:szCs w:val="20"/>
              </w:rPr>
              <w:t>]</w:t>
            </w:r>
          </w:p>
        </w:tc>
        <w:tc>
          <w:tcPr>
            <w:tcW w:w="3897" w:type="dxa"/>
          </w:tcPr>
          <w:p w14:paraId="0A7F6222" w14:textId="77777777" w:rsidR="008E67EA" w:rsidRPr="005D3D45" w:rsidRDefault="008E67EA" w:rsidP="00B44A74">
            <w:pPr>
              <w:spacing w:line="280" w:lineRule="exact"/>
              <w:rPr>
                <w:rFonts w:cs="Arial"/>
                <w:sz w:val="20"/>
                <w:szCs w:val="20"/>
              </w:rPr>
            </w:pPr>
            <w:r w:rsidRPr="005D3D45">
              <w:rPr>
                <w:rFonts w:cs="Arial"/>
                <w:sz w:val="20"/>
                <w:szCs w:val="20"/>
              </w:rPr>
              <w:t xml:space="preserve">Place bait stations </w:t>
            </w:r>
            <w:r>
              <w:rPr>
                <w:rFonts w:cs="Arial"/>
                <w:sz w:val="20"/>
                <w:szCs w:val="20"/>
              </w:rPr>
              <w:t>wherever droppings, damage or other signs of activity are seen. Use multiple bait stations,</w:t>
            </w:r>
            <w:r w:rsidRPr="005D3D45">
              <w:rPr>
                <w:rFonts w:cs="Arial"/>
                <w:sz w:val="20"/>
                <w:szCs w:val="20"/>
              </w:rPr>
              <w:t xml:space="preserve"> not more than 3 m apart.</w:t>
            </w:r>
          </w:p>
        </w:tc>
      </w:tr>
      <w:tr w:rsidR="008E67EA" w:rsidRPr="00FF36BF" w14:paraId="4B47E9F0" w14:textId="77777777" w:rsidTr="00604F9D">
        <w:trPr>
          <w:trHeight w:val="421"/>
        </w:trPr>
        <w:tc>
          <w:tcPr>
            <w:tcW w:w="1080" w:type="dxa"/>
          </w:tcPr>
          <w:p w14:paraId="7B1233F8" w14:textId="77777777" w:rsidR="008E67EA" w:rsidRPr="005D3D45" w:rsidRDefault="008E67EA" w:rsidP="00B44A74">
            <w:pPr>
              <w:spacing w:line="280" w:lineRule="exact"/>
              <w:rPr>
                <w:rFonts w:cs="Arial"/>
                <w:sz w:val="20"/>
                <w:szCs w:val="20"/>
              </w:rPr>
            </w:pPr>
            <w:r>
              <w:rPr>
                <w:rFonts w:cs="Arial"/>
                <w:sz w:val="20"/>
                <w:szCs w:val="20"/>
              </w:rPr>
              <w:t>Rats</w:t>
            </w:r>
          </w:p>
        </w:tc>
        <w:tc>
          <w:tcPr>
            <w:tcW w:w="2181" w:type="dxa"/>
          </w:tcPr>
          <w:p w14:paraId="0460B8B8" w14:textId="77777777" w:rsidR="008E67EA" w:rsidRPr="005D3D45" w:rsidRDefault="008E67EA" w:rsidP="00B44A74">
            <w:pPr>
              <w:spacing w:line="280" w:lineRule="exact"/>
              <w:rPr>
                <w:rFonts w:cs="Arial"/>
                <w:sz w:val="20"/>
                <w:szCs w:val="20"/>
              </w:rPr>
            </w:pPr>
            <w:r w:rsidRPr="005D3D45">
              <w:rPr>
                <w:rFonts w:cs="Arial"/>
                <w:sz w:val="20"/>
                <w:szCs w:val="20"/>
              </w:rPr>
              <w:t>In</w:t>
            </w:r>
            <w:r>
              <w:rPr>
                <w:rFonts w:cs="Arial"/>
                <w:sz w:val="20"/>
                <w:szCs w:val="20"/>
              </w:rPr>
              <w:t xml:space="preserve"> and around</w:t>
            </w:r>
            <w:r w:rsidRPr="005D3D45">
              <w:rPr>
                <w:rFonts w:cs="Arial"/>
                <w:sz w:val="20"/>
                <w:szCs w:val="20"/>
              </w:rPr>
              <w:t xml:space="preserve"> </w:t>
            </w:r>
            <w:r>
              <w:rPr>
                <w:rFonts w:cs="Arial"/>
                <w:sz w:val="20"/>
                <w:szCs w:val="20"/>
              </w:rPr>
              <w:t xml:space="preserve">(within 2 meters) </w:t>
            </w:r>
            <w:r w:rsidRPr="005D3D45">
              <w:rPr>
                <w:rFonts w:cs="Arial"/>
                <w:sz w:val="20"/>
                <w:szCs w:val="20"/>
              </w:rPr>
              <w:t>domestic buildings and commercial premises</w:t>
            </w:r>
          </w:p>
        </w:tc>
        <w:tc>
          <w:tcPr>
            <w:tcW w:w="1842" w:type="dxa"/>
          </w:tcPr>
          <w:p w14:paraId="0D9B15A2" w14:textId="77777777" w:rsidR="008E67EA" w:rsidRPr="005D3D45" w:rsidRDefault="008E67EA" w:rsidP="00B44A74">
            <w:pPr>
              <w:spacing w:line="280" w:lineRule="exact"/>
              <w:rPr>
                <w:rFonts w:cs="Arial"/>
                <w:sz w:val="20"/>
                <w:szCs w:val="20"/>
              </w:rPr>
            </w:pPr>
            <w:r>
              <w:rPr>
                <w:rFonts w:cs="Arial"/>
                <w:sz w:val="20"/>
                <w:szCs w:val="20"/>
              </w:rPr>
              <w:t>[</w:t>
            </w:r>
            <w:r w:rsidRPr="001019EA">
              <w:rPr>
                <w:rFonts w:cs="Arial"/>
                <w:sz w:val="20"/>
                <w:szCs w:val="20"/>
              </w:rPr>
              <w:t>as per current approved label</w:t>
            </w:r>
            <w:r>
              <w:rPr>
                <w:rFonts w:cs="Arial"/>
                <w:sz w:val="20"/>
                <w:szCs w:val="20"/>
              </w:rPr>
              <w:t>]</w:t>
            </w:r>
          </w:p>
        </w:tc>
        <w:tc>
          <w:tcPr>
            <w:tcW w:w="3897" w:type="dxa"/>
          </w:tcPr>
          <w:p w14:paraId="11999077" w14:textId="77777777" w:rsidR="008E67EA" w:rsidRPr="005D3D45" w:rsidRDefault="008E67EA" w:rsidP="00B44A74">
            <w:pPr>
              <w:spacing w:line="280" w:lineRule="exact"/>
              <w:rPr>
                <w:rFonts w:cs="Arial"/>
                <w:sz w:val="20"/>
                <w:szCs w:val="20"/>
              </w:rPr>
            </w:pPr>
            <w:r w:rsidRPr="005D3D45">
              <w:rPr>
                <w:rFonts w:cs="Arial"/>
                <w:sz w:val="20"/>
                <w:szCs w:val="20"/>
              </w:rPr>
              <w:t xml:space="preserve">Place </w:t>
            </w:r>
            <w:r>
              <w:rPr>
                <w:rFonts w:cs="Arial"/>
                <w:sz w:val="20"/>
                <w:szCs w:val="20"/>
              </w:rPr>
              <w:t xml:space="preserve">a number of </w:t>
            </w:r>
            <w:r w:rsidRPr="005D3D45">
              <w:rPr>
                <w:rFonts w:cs="Arial"/>
                <w:sz w:val="20"/>
                <w:szCs w:val="20"/>
              </w:rPr>
              <w:t>bait stations</w:t>
            </w:r>
            <w:r>
              <w:rPr>
                <w:rFonts w:cs="Arial"/>
                <w:sz w:val="20"/>
                <w:szCs w:val="20"/>
              </w:rPr>
              <w:t xml:space="preserve"> in dry locations</w:t>
            </w:r>
            <w:r w:rsidRPr="005D3D45">
              <w:rPr>
                <w:rFonts w:cs="Arial"/>
                <w:sz w:val="20"/>
                <w:szCs w:val="20"/>
              </w:rPr>
              <w:t xml:space="preserve"> throughout the infested area, on runs, near burrows and where droppings are seen, not more than </w:t>
            </w:r>
            <w:r>
              <w:rPr>
                <w:rFonts w:cs="Arial"/>
                <w:sz w:val="20"/>
                <w:szCs w:val="20"/>
              </w:rPr>
              <w:t>9</w:t>
            </w:r>
            <w:r w:rsidRPr="005D3D45">
              <w:rPr>
                <w:rFonts w:cs="Arial"/>
                <w:sz w:val="20"/>
                <w:szCs w:val="20"/>
              </w:rPr>
              <w:t xml:space="preserve"> m apart.</w:t>
            </w:r>
          </w:p>
        </w:tc>
      </w:tr>
      <w:tr w:rsidR="008E67EA" w:rsidRPr="00FF36BF" w14:paraId="4C9AC551" w14:textId="77777777" w:rsidTr="00604F9D">
        <w:trPr>
          <w:trHeight w:val="421"/>
        </w:trPr>
        <w:tc>
          <w:tcPr>
            <w:tcW w:w="9000" w:type="dxa"/>
            <w:gridSpan w:val="4"/>
          </w:tcPr>
          <w:p w14:paraId="20E68BAF" w14:textId="5AAD7BC2" w:rsidR="008E67EA" w:rsidRPr="001E6DA9" w:rsidRDefault="008E67EA" w:rsidP="00B44A74">
            <w:pPr>
              <w:spacing w:after="120" w:line="280" w:lineRule="exact"/>
              <w:rPr>
                <w:rFonts w:eastAsia="Calibri" w:cs="Arial"/>
                <w:b/>
                <w:bCs/>
                <w:sz w:val="20"/>
                <w:szCs w:val="20"/>
                <w:bdr w:val="none" w:sz="0" w:space="0" w:color="auto" w:frame="1"/>
                <w:lang w:val="en-GB"/>
              </w:rPr>
            </w:pPr>
            <w:r w:rsidRPr="001E6DA9">
              <w:rPr>
                <w:rFonts w:eastAsia="Calibri" w:cs="Arial"/>
                <w:b/>
                <w:bCs/>
                <w:sz w:val="20"/>
                <w:szCs w:val="20"/>
                <w:bdr w:val="none" w:sz="0" w:space="0" w:color="auto" w:frame="1"/>
                <w:lang w:val="en-GB"/>
              </w:rPr>
              <w:t>General Information and baiting strategy for and mice:</w:t>
            </w:r>
          </w:p>
          <w:p w14:paraId="478976D7" w14:textId="77777777" w:rsidR="008E67EA" w:rsidRDefault="008E67EA" w:rsidP="00B44A74">
            <w:pPr>
              <w:spacing w:after="120" w:line="280" w:lineRule="exact"/>
              <w:rPr>
                <w:rFonts w:eastAsia="Calibri" w:cs="Arial"/>
                <w:sz w:val="20"/>
                <w:szCs w:val="20"/>
                <w:bdr w:val="none" w:sz="0" w:space="0" w:color="auto" w:frame="1"/>
                <w:lang w:val="en-GB"/>
              </w:rPr>
            </w:pPr>
            <w:r w:rsidRPr="001E6DA9">
              <w:rPr>
                <w:rFonts w:eastAsia="Calibri" w:cs="Arial"/>
                <w:sz w:val="20"/>
                <w:szCs w:val="20"/>
                <w:bdr w:val="none" w:sz="0" w:space="0" w:color="auto" w:frame="1"/>
                <w:lang w:val="en-GB"/>
              </w:rPr>
              <w:t xml:space="preserve">Eliminate as far as practicable, all other food sources. </w:t>
            </w:r>
          </w:p>
          <w:p w14:paraId="7FA0EDC5" w14:textId="77777777" w:rsidR="008E67EA" w:rsidRPr="001E6DA9" w:rsidRDefault="008E67EA" w:rsidP="00B44A74">
            <w:pPr>
              <w:spacing w:after="120" w:line="280" w:lineRule="exact"/>
              <w:rPr>
                <w:rFonts w:eastAsia="Calibri" w:cs="Arial"/>
                <w:sz w:val="20"/>
                <w:szCs w:val="20"/>
                <w:bdr w:val="none" w:sz="0" w:space="0" w:color="auto" w:frame="1"/>
                <w:lang w:val="en-GB"/>
              </w:rPr>
            </w:pPr>
            <w:r w:rsidRPr="001E6DA9">
              <w:rPr>
                <w:rFonts w:eastAsia="Calibri" w:cs="Arial"/>
                <w:sz w:val="20"/>
                <w:szCs w:val="20"/>
                <w:bdr w:val="none" w:sz="0" w:space="0" w:color="auto" w:frame="1"/>
                <w:lang w:val="en-GB"/>
              </w:rPr>
              <w:t>Always place bait where it is inaccessible to children, animals and birds. Use in tamper resistant bait stations only. If bait can be dislodged from bait station, fix tamper-resistant bait stations to the ground or other structures.</w:t>
            </w:r>
            <w:r>
              <w:t xml:space="preserve"> </w:t>
            </w:r>
            <w:r w:rsidRPr="00CD1FDD">
              <w:rPr>
                <w:rFonts w:eastAsia="Calibri" w:cs="Arial"/>
                <w:sz w:val="20"/>
                <w:szCs w:val="20"/>
                <w:bdr w:val="none" w:sz="0" w:space="0" w:color="auto" w:frame="1"/>
                <w:lang w:val="en-GB"/>
              </w:rPr>
              <w:t>When using outdoors, use weather resistant bait stations.</w:t>
            </w:r>
            <w:r>
              <w:rPr>
                <w:rFonts w:eastAsia="Calibri" w:cs="Arial"/>
                <w:sz w:val="20"/>
                <w:szCs w:val="20"/>
                <w:bdr w:val="none" w:sz="0" w:space="0" w:color="auto" w:frame="1"/>
                <w:lang w:val="en-GB"/>
              </w:rPr>
              <w:t xml:space="preserve"> DO NOT touch bait.</w:t>
            </w:r>
          </w:p>
          <w:p w14:paraId="5BCE8C56" w14:textId="4C71A641" w:rsidR="008E67EA" w:rsidRPr="001E6DA9" w:rsidRDefault="008E67EA" w:rsidP="00B44A74">
            <w:pPr>
              <w:spacing w:after="120" w:line="280" w:lineRule="exact"/>
              <w:rPr>
                <w:rFonts w:eastAsia="Calibri" w:cs="Arial"/>
                <w:sz w:val="20"/>
                <w:szCs w:val="20"/>
                <w:bdr w:val="none" w:sz="0" w:space="0" w:color="auto" w:frame="1"/>
                <w:lang w:val="en-GB"/>
              </w:rPr>
            </w:pPr>
            <w:r w:rsidRPr="001E6DA9">
              <w:rPr>
                <w:rFonts w:eastAsia="Calibri" w:cs="Arial"/>
                <w:sz w:val="20"/>
                <w:szCs w:val="20"/>
                <w:bdr w:val="none" w:sz="0" w:space="0" w:color="auto" w:frame="1"/>
                <w:lang w:val="en-GB"/>
              </w:rPr>
              <w:t xml:space="preserve">Inspect baits frequently, particularly in the first ten days. </w:t>
            </w:r>
            <w:r>
              <w:rPr>
                <w:rFonts w:eastAsia="Calibri" w:cs="Arial"/>
                <w:sz w:val="20"/>
                <w:szCs w:val="20"/>
                <w:bdr w:val="none" w:sz="0" w:space="0" w:color="auto" w:frame="1"/>
                <w:lang w:val="en-GB"/>
              </w:rPr>
              <w:t xml:space="preserve">Replace eaten bait. </w:t>
            </w:r>
            <w:r w:rsidRPr="001E6DA9">
              <w:rPr>
                <w:rFonts w:eastAsia="Calibri" w:cs="Arial"/>
                <w:sz w:val="20"/>
                <w:szCs w:val="20"/>
                <w:bdr w:val="none" w:sz="0" w:space="0" w:color="auto" w:frame="1"/>
                <w:lang w:val="en-GB"/>
              </w:rPr>
              <w:t>If bait is completely consumed, the number of bait stations should be increased. Continue replenishing bait until left untouched. Baiting for at least 2 weeks will be necessary to reduce mouse numbers. Most deaths occur 4 to 7 days after consumption of bait, but deaths may occur for up to 2 weeks.</w:t>
            </w:r>
          </w:p>
          <w:p w14:paraId="1DEA9D21" w14:textId="77777777" w:rsidR="008E67EA" w:rsidRPr="00246206" w:rsidRDefault="008E67EA" w:rsidP="00B44A74">
            <w:pPr>
              <w:spacing w:after="120" w:line="280" w:lineRule="exact"/>
              <w:rPr>
                <w:rFonts w:eastAsia="Calibri" w:cs="Arial"/>
                <w:sz w:val="20"/>
                <w:szCs w:val="20"/>
                <w:bdr w:val="none" w:sz="0" w:space="0" w:color="auto" w:frame="1"/>
                <w:lang w:val="en-GB"/>
              </w:rPr>
            </w:pPr>
            <w:r w:rsidRPr="001E6DA9">
              <w:rPr>
                <w:rFonts w:eastAsia="Calibri" w:cs="Arial"/>
                <w:sz w:val="20"/>
                <w:szCs w:val="20"/>
                <w:bdr w:val="none" w:sz="0" w:space="0" w:color="auto" w:frame="1"/>
                <w:lang w:val="en-GB"/>
              </w:rPr>
              <w:t xml:space="preserve">Following treatment remove all remains of bait and bait stations. </w:t>
            </w:r>
            <w:r w:rsidRPr="003A1942">
              <w:rPr>
                <w:rFonts w:eastAsia="Calibri" w:cs="Arial"/>
                <w:sz w:val="20"/>
                <w:szCs w:val="20"/>
                <w:bdr w:val="none" w:sz="0" w:space="0" w:color="auto" w:frame="1"/>
                <w:lang w:val="en-GB"/>
              </w:rPr>
              <w:t>DO NOT use the product for longer than 35 days. If rodent activity is still observed after 35 days, seek advice from the product supplier or call a pest control service.</w:t>
            </w:r>
          </w:p>
        </w:tc>
      </w:tr>
    </w:tbl>
    <w:p w14:paraId="7B8029C4" w14:textId="1549B083" w:rsidR="008E67EA" w:rsidRDefault="008E67EA" w:rsidP="008E67EA">
      <w:pPr>
        <w:rPr>
          <w:rFonts w:cs="Arial"/>
          <w:b/>
          <w:bCs/>
          <w:sz w:val="20"/>
          <w:szCs w:val="20"/>
          <w:bdr w:val="none" w:sz="0" w:space="0" w:color="auto" w:frame="1"/>
          <w:lang w:val="en-GB" w:eastAsia="en-AU"/>
        </w:rPr>
      </w:pPr>
      <w:r w:rsidRPr="00FF36BF">
        <w:rPr>
          <w:rFonts w:cs="Arial"/>
          <w:b/>
          <w:bCs/>
          <w:sz w:val="20"/>
          <w:szCs w:val="20"/>
        </w:rPr>
        <w:t>NOT TO BE USED FOR ANY PURPOSE, OR IN ANY MANNER, CONTRARY TO THIS LABEL UNLESS AUTHORISED.</w:t>
      </w:r>
      <w:r>
        <w:rPr>
          <w:rFonts w:cs="Arial"/>
          <w:b/>
          <w:bCs/>
          <w:sz w:val="20"/>
          <w:szCs w:val="20"/>
          <w:bdr w:val="none" w:sz="0" w:space="0" w:color="auto" w:frame="1"/>
          <w:lang w:val="en-GB" w:eastAsia="en-AU"/>
        </w:rPr>
        <w:br w:type="page"/>
      </w:r>
    </w:p>
    <w:p w14:paraId="7ECF3664" w14:textId="77777777" w:rsidR="008E67EA"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lastRenderedPageBreak/>
        <w:t xml:space="preserve">Template Label </w:t>
      </w:r>
      <w:r>
        <w:rPr>
          <w:rFonts w:cs="Arial"/>
          <w:b/>
          <w:bCs/>
          <w:sz w:val="20"/>
          <w:szCs w:val="20"/>
          <w:bdr w:val="none" w:sz="0" w:space="0" w:color="auto" w:frame="1"/>
          <w:lang w:val="en-GB" w:eastAsia="en-AU"/>
        </w:rPr>
        <w:t>23b</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2B5B5B" w14:paraId="16A71BA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E6693A2" w14:textId="77777777" w:rsidR="008E67EA" w:rsidRPr="00F5215F" w:rsidRDefault="008E67EA" w:rsidP="00B44A74">
            <w:pPr>
              <w:spacing w:line="280" w:lineRule="exact"/>
              <w:rPr>
                <w:rFonts w:cs="Arial"/>
                <w:sz w:val="20"/>
                <w:szCs w:val="20"/>
              </w:rPr>
            </w:pPr>
            <w:r w:rsidRPr="00F5215F">
              <w:rPr>
                <w:rFonts w:cs="Arial"/>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703AB10C" w14:textId="77777777" w:rsidR="008E67EA" w:rsidRPr="00830DFA" w:rsidRDefault="008E67EA" w:rsidP="00B44A74">
            <w:pPr>
              <w:spacing w:line="280" w:lineRule="exact"/>
              <w:rPr>
                <w:rFonts w:cs="Arial"/>
                <w:sz w:val="20"/>
                <w:szCs w:val="20"/>
              </w:rPr>
            </w:pPr>
            <w:r w:rsidRPr="00AF4D79">
              <w:rPr>
                <w:rFonts w:cs="Arial"/>
                <w:sz w:val="20"/>
                <w:szCs w:val="20"/>
              </w:rPr>
              <w:t>[INSERT LABEL NAME]</w:t>
            </w:r>
          </w:p>
        </w:tc>
      </w:tr>
      <w:tr w:rsidR="008E67EA" w:rsidRPr="002B5B5B" w14:paraId="6FB86AFA" w14:textId="77777777" w:rsidTr="00B44A74">
        <w:trPr>
          <w:jc w:val="center"/>
        </w:trPr>
        <w:tc>
          <w:tcPr>
            <w:tcW w:w="2415" w:type="dxa"/>
            <w:tcBorders>
              <w:top w:val="single" w:sz="4" w:space="0" w:color="auto"/>
              <w:left w:val="nil"/>
              <w:bottom w:val="single" w:sz="4" w:space="0" w:color="auto"/>
              <w:right w:val="nil"/>
            </w:tcBorders>
          </w:tcPr>
          <w:p w14:paraId="23DCF771"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F0D63BE" w14:textId="77777777" w:rsidR="008E67EA" w:rsidRPr="00830DFA" w:rsidRDefault="008E67EA" w:rsidP="00B44A74">
            <w:pPr>
              <w:spacing w:line="280" w:lineRule="exact"/>
              <w:rPr>
                <w:rFonts w:cs="Arial"/>
                <w:sz w:val="20"/>
                <w:szCs w:val="20"/>
              </w:rPr>
            </w:pPr>
          </w:p>
        </w:tc>
      </w:tr>
      <w:tr w:rsidR="008E67EA" w:rsidRPr="002B5B5B" w14:paraId="7CE94ED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0ECFBE0" w14:textId="77777777" w:rsidR="008E67EA" w:rsidRPr="00F5215F" w:rsidRDefault="008E67EA" w:rsidP="00B44A74">
            <w:pPr>
              <w:spacing w:line="280" w:lineRule="exact"/>
              <w:rPr>
                <w:rFonts w:cs="Arial"/>
                <w:sz w:val="20"/>
                <w:szCs w:val="20"/>
              </w:rPr>
            </w:pPr>
            <w:r w:rsidRPr="00F5215F">
              <w:rPr>
                <w:rFonts w:cs="Arial"/>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6E876802" w14:textId="77777777" w:rsidR="008E67EA" w:rsidRPr="00AF4D79" w:rsidRDefault="008E67EA" w:rsidP="00B44A74">
            <w:pPr>
              <w:spacing w:line="280" w:lineRule="exact"/>
              <w:rPr>
                <w:rFonts w:cs="Arial"/>
                <w:sz w:val="20"/>
                <w:szCs w:val="20"/>
              </w:rPr>
            </w:pPr>
            <w:r w:rsidRPr="00AF4D79">
              <w:rPr>
                <w:rFonts w:cs="Arial"/>
                <w:sz w:val="20"/>
                <w:szCs w:val="20"/>
              </w:rPr>
              <w:t>POISON</w:t>
            </w:r>
          </w:p>
          <w:p w14:paraId="5BAE184D" w14:textId="77777777" w:rsidR="008E67EA" w:rsidRPr="00AF4D79" w:rsidRDefault="008E67EA" w:rsidP="00B44A74">
            <w:pPr>
              <w:spacing w:line="280" w:lineRule="exact"/>
              <w:rPr>
                <w:rFonts w:cs="Arial"/>
                <w:sz w:val="20"/>
                <w:szCs w:val="20"/>
              </w:rPr>
            </w:pPr>
            <w:r w:rsidRPr="00AF4D79">
              <w:rPr>
                <w:rFonts w:cs="Arial"/>
                <w:sz w:val="20"/>
                <w:szCs w:val="20"/>
              </w:rPr>
              <w:t>KEEP OUT OF REACH OF CHILDREN</w:t>
            </w:r>
          </w:p>
          <w:p w14:paraId="40E71A50" w14:textId="77777777" w:rsidR="008E67EA" w:rsidRPr="00830DFA" w:rsidRDefault="008E67EA" w:rsidP="00B44A74">
            <w:pPr>
              <w:spacing w:line="280" w:lineRule="exact"/>
              <w:rPr>
                <w:rFonts w:cs="Arial"/>
                <w:sz w:val="20"/>
                <w:szCs w:val="20"/>
              </w:rPr>
            </w:pPr>
            <w:r w:rsidRPr="00AF4D79">
              <w:rPr>
                <w:rFonts w:cs="Arial"/>
                <w:sz w:val="20"/>
                <w:szCs w:val="20"/>
              </w:rPr>
              <w:t>READ SAFETY DIRECTIONS</w:t>
            </w:r>
          </w:p>
        </w:tc>
      </w:tr>
      <w:tr w:rsidR="008E67EA" w:rsidRPr="002B5B5B" w14:paraId="76A4C000" w14:textId="77777777" w:rsidTr="00B44A74">
        <w:trPr>
          <w:jc w:val="center"/>
        </w:trPr>
        <w:tc>
          <w:tcPr>
            <w:tcW w:w="2415" w:type="dxa"/>
            <w:tcBorders>
              <w:top w:val="single" w:sz="4" w:space="0" w:color="auto"/>
              <w:left w:val="nil"/>
              <w:bottom w:val="single" w:sz="4" w:space="0" w:color="auto"/>
              <w:right w:val="nil"/>
            </w:tcBorders>
          </w:tcPr>
          <w:p w14:paraId="1D81AD60"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2E502AF" w14:textId="77777777" w:rsidR="008E67EA" w:rsidRPr="00830DFA" w:rsidRDefault="008E67EA" w:rsidP="00B44A74">
            <w:pPr>
              <w:spacing w:line="280" w:lineRule="exact"/>
              <w:rPr>
                <w:rFonts w:cs="Arial"/>
                <w:sz w:val="20"/>
                <w:szCs w:val="20"/>
              </w:rPr>
            </w:pPr>
          </w:p>
        </w:tc>
      </w:tr>
      <w:tr w:rsidR="008E67EA" w:rsidRPr="002B5B5B" w14:paraId="5FE4DA3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966A455" w14:textId="77777777" w:rsidR="008E67EA" w:rsidRPr="00F5215F" w:rsidRDefault="008E67EA" w:rsidP="00B44A74">
            <w:pPr>
              <w:spacing w:line="280" w:lineRule="exact"/>
              <w:rPr>
                <w:rFonts w:cs="Arial"/>
                <w:sz w:val="20"/>
                <w:szCs w:val="20"/>
              </w:rPr>
            </w:pPr>
            <w:r w:rsidRPr="00F5215F">
              <w:rPr>
                <w:rFonts w:cs="Arial"/>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61BB0CBF" w14:textId="77777777" w:rsidR="008E67EA" w:rsidRPr="001D59CD" w:rsidRDefault="008E67EA" w:rsidP="00B44A74">
            <w:pPr>
              <w:spacing w:line="280" w:lineRule="exact"/>
              <w:rPr>
                <w:rFonts w:cs="Arial"/>
                <w:sz w:val="20"/>
                <w:szCs w:val="20"/>
              </w:rPr>
            </w:pPr>
            <w:r w:rsidRPr="00AF4D79">
              <w:rPr>
                <w:rFonts w:cs="Arial"/>
                <w:sz w:val="20"/>
                <w:szCs w:val="20"/>
              </w:rPr>
              <w:t>ACTIVE CONSTITUENT: 0.025 g/kg DIFENACOUM</w:t>
            </w:r>
          </w:p>
        </w:tc>
      </w:tr>
      <w:tr w:rsidR="008E67EA" w:rsidRPr="002B5B5B" w14:paraId="5001B351" w14:textId="77777777" w:rsidTr="00B44A74">
        <w:trPr>
          <w:jc w:val="center"/>
        </w:trPr>
        <w:tc>
          <w:tcPr>
            <w:tcW w:w="2415" w:type="dxa"/>
            <w:tcBorders>
              <w:top w:val="single" w:sz="4" w:space="0" w:color="auto"/>
              <w:left w:val="nil"/>
              <w:bottom w:val="single" w:sz="4" w:space="0" w:color="auto"/>
              <w:right w:val="nil"/>
            </w:tcBorders>
          </w:tcPr>
          <w:p w14:paraId="69957B13"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69F8017" w14:textId="77777777" w:rsidR="008E67EA" w:rsidRPr="00830DFA" w:rsidRDefault="008E67EA" w:rsidP="00B44A74">
            <w:pPr>
              <w:pStyle w:val="ListParagraph"/>
              <w:spacing w:line="280" w:lineRule="exact"/>
              <w:ind w:left="420"/>
              <w:rPr>
                <w:rFonts w:cs="Arial"/>
                <w:sz w:val="20"/>
                <w:szCs w:val="20"/>
              </w:rPr>
            </w:pPr>
          </w:p>
        </w:tc>
      </w:tr>
      <w:tr w:rsidR="008E67EA" w:rsidRPr="002B5B5B" w14:paraId="2BFB455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C4916C5" w14:textId="77777777" w:rsidR="008E67EA" w:rsidRPr="00F5215F" w:rsidRDefault="008E67EA" w:rsidP="00B44A74">
            <w:pPr>
              <w:spacing w:line="280" w:lineRule="exact"/>
              <w:rPr>
                <w:rFonts w:cs="Arial"/>
                <w:sz w:val="20"/>
                <w:szCs w:val="20"/>
              </w:rPr>
            </w:pPr>
            <w:r w:rsidRPr="00F5215F">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4AFB766E" w14:textId="77777777" w:rsidR="008E67EA" w:rsidRPr="001D59CD" w:rsidRDefault="008E67EA" w:rsidP="00B44A74">
            <w:pPr>
              <w:spacing w:line="280" w:lineRule="exact"/>
              <w:rPr>
                <w:rFonts w:cs="Arial"/>
                <w:sz w:val="20"/>
                <w:szCs w:val="20"/>
              </w:rPr>
            </w:pPr>
            <w:r w:rsidRPr="00AF4D79">
              <w:rPr>
                <w:rFonts w:cs="Arial"/>
                <w:sz w:val="20"/>
                <w:szCs w:val="20"/>
              </w:rPr>
              <w:t>For control of mice in domestic and commercial buildings and rats in and around domestic and commercial buildings.</w:t>
            </w:r>
          </w:p>
        </w:tc>
      </w:tr>
      <w:tr w:rsidR="008E67EA" w:rsidRPr="002B5B5B" w14:paraId="4445B60D" w14:textId="77777777" w:rsidTr="00B44A74">
        <w:trPr>
          <w:jc w:val="center"/>
        </w:trPr>
        <w:tc>
          <w:tcPr>
            <w:tcW w:w="2415" w:type="dxa"/>
            <w:tcBorders>
              <w:top w:val="single" w:sz="4" w:space="0" w:color="auto"/>
              <w:left w:val="nil"/>
              <w:bottom w:val="single" w:sz="4" w:space="0" w:color="auto"/>
              <w:right w:val="nil"/>
            </w:tcBorders>
          </w:tcPr>
          <w:p w14:paraId="619FB2E1"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69E5C3F" w14:textId="77777777" w:rsidR="008E67EA" w:rsidRPr="00830DFA" w:rsidRDefault="008E67EA" w:rsidP="00B44A74">
            <w:pPr>
              <w:spacing w:line="280" w:lineRule="exact"/>
              <w:rPr>
                <w:rFonts w:cs="Arial"/>
                <w:sz w:val="20"/>
                <w:szCs w:val="20"/>
              </w:rPr>
            </w:pPr>
          </w:p>
        </w:tc>
      </w:tr>
      <w:tr w:rsidR="008E67EA" w:rsidRPr="002B5B5B" w14:paraId="57EA4B6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165F068" w14:textId="77777777" w:rsidR="008E67EA" w:rsidRPr="00F5215F" w:rsidRDefault="008E67EA" w:rsidP="00B44A74">
            <w:pPr>
              <w:spacing w:line="280" w:lineRule="exact"/>
              <w:rPr>
                <w:rFonts w:cs="Arial"/>
                <w:sz w:val="20"/>
                <w:szCs w:val="20"/>
              </w:rPr>
            </w:pPr>
            <w:r w:rsidRPr="00F5215F">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7EC49DE5" w14:textId="77777777" w:rsidR="008E67EA" w:rsidRPr="00830DFA" w:rsidRDefault="008E67EA" w:rsidP="00B44A74">
            <w:pPr>
              <w:spacing w:line="280" w:lineRule="exact"/>
              <w:rPr>
                <w:rFonts w:cs="Arial"/>
                <w:sz w:val="20"/>
                <w:szCs w:val="20"/>
              </w:rPr>
            </w:pPr>
            <w:r w:rsidRPr="00AF4D79">
              <w:rPr>
                <w:rFonts w:cs="Arial"/>
                <w:sz w:val="20"/>
                <w:szCs w:val="20"/>
              </w:rPr>
              <w:t>[INSERT NET CONTENTS</w:t>
            </w:r>
            <w:r>
              <w:rPr>
                <w:rFonts w:cs="Arial"/>
                <w:sz w:val="20"/>
                <w:szCs w:val="20"/>
              </w:rPr>
              <w:t xml:space="preserve"> – MAXIMUM 150 g</w:t>
            </w:r>
            <w:r w:rsidRPr="00AF4D79">
              <w:rPr>
                <w:rFonts w:cs="Arial"/>
                <w:sz w:val="20"/>
                <w:szCs w:val="20"/>
              </w:rPr>
              <w:t>]</w:t>
            </w:r>
          </w:p>
        </w:tc>
      </w:tr>
      <w:tr w:rsidR="008E67EA" w:rsidRPr="002B5B5B" w14:paraId="3C46A8E9" w14:textId="77777777" w:rsidTr="00B44A74">
        <w:trPr>
          <w:jc w:val="center"/>
        </w:trPr>
        <w:tc>
          <w:tcPr>
            <w:tcW w:w="2415" w:type="dxa"/>
            <w:tcBorders>
              <w:top w:val="single" w:sz="4" w:space="0" w:color="auto"/>
              <w:left w:val="nil"/>
              <w:bottom w:val="single" w:sz="4" w:space="0" w:color="auto"/>
              <w:right w:val="nil"/>
            </w:tcBorders>
          </w:tcPr>
          <w:p w14:paraId="525BC04D"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4ED3CEA" w14:textId="77777777" w:rsidR="008E67EA" w:rsidRPr="00830DFA" w:rsidRDefault="008E67EA" w:rsidP="00B44A74">
            <w:pPr>
              <w:spacing w:line="280" w:lineRule="exact"/>
              <w:rPr>
                <w:rFonts w:cs="Arial"/>
                <w:sz w:val="20"/>
                <w:szCs w:val="20"/>
              </w:rPr>
            </w:pPr>
          </w:p>
        </w:tc>
      </w:tr>
      <w:tr w:rsidR="008E67EA" w:rsidRPr="002B5B5B" w14:paraId="55ABA45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DCACC8E" w14:textId="77777777" w:rsidR="008E67EA" w:rsidRPr="00F5215F" w:rsidRDefault="008E67EA" w:rsidP="00B44A74">
            <w:pPr>
              <w:spacing w:line="280" w:lineRule="exact"/>
              <w:rPr>
                <w:rFonts w:cs="Arial"/>
                <w:sz w:val="20"/>
                <w:szCs w:val="20"/>
              </w:rPr>
            </w:pPr>
            <w:r w:rsidRPr="00F5215F">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68166296" w14:textId="470549C9" w:rsidR="008E67EA" w:rsidRPr="00AF4D79" w:rsidRDefault="008E67EA" w:rsidP="00B44A74">
            <w:pPr>
              <w:spacing w:line="280" w:lineRule="exact"/>
              <w:rPr>
                <w:rFonts w:cs="Arial"/>
                <w:sz w:val="20"/>
                <w:szCs w:val="20"/>
              </w:rPr>
            </w:pPr>
            <w:r w:rsidRPr="00AF4D79">
              <w:rPr>
                <w:rFonts w:cs="Arial"/>
                <w:sz w:val="20"/>
                <w:szCs w:val="20"/>
              </w:rPr>
              <w:t>DO NOT place baits unless in tamper-resistant bait stations.</w:t>
            </w:r>
          </w:p>
          <w:p w14:paraId="3DD11033" w14:textId="77777777" w:rsidR="008E67EA" w:rsidRPr="00AF4D79" w:rsidRDefault="008E67EA" w:rsidP="00B44A74">
            <w:pPr>
              <w:spacing w:line="280" w:lineRule="exact"/>
              <w:rPr>
                <w:rFonts w:cs="Arial"/>
                <w:sz w:val="20"/>
                <w:szCs w:val="20"/>
              </w:rPr>
            </w:pPr>
            <w:r w:rsidRPr="00AF4D79">
              <w:rPr>
                <w:rFonts w:cs="Arial"/>
                <w:sz w:val="20"/>
                <w:szCs w:val="20"/>
              </w:rPr>
              <w:t>DO NOT place bait stations outdoors around buildings for control of mice.</w:t>
            </w:r>
          </w:p>
          <w:p w14:paraId="18674A19" w14:textId="77777777" w:rsidR="008E67EA" w:rsidRPr="00AF4D79" w:rsidRDefault="008E67EA" w:rsidP="00B44A74">
            <w:pPr>
              <w:spacing w:line="280" w:lineRule="exact"/>
              <w:rPr>
                <w:rFonts w:cs="Arial"/>
                <w:sz w:val="20"/>
                <w:szCs w:val="20"/>
              </w:rPr>
            </w:pPr>
            <w:r w:rsidRPr="00AF4D79">
              <w:rPr>
                <w:rFonts w:cs="Arial"/>
                <w:sz w:val="20"/>
                <w:szCs w:val="20"/>
              </w:rPr>
              <w:t>DO NOT place bait stations more than 2 meters from buildings.</w:t>
            </w:r>
          </w:p>
          <w:p w14:paraId="4D926531" w14:textId="77777777" w:rsidR="008E67EA" w:rsidRPr="00AF4D79" w:rsidRDefault="008E67EA" w:rsidP="00B44A74">
            <w:pPr>
              <w:spacing w:line="280" w:lineRule="exact"/>
              <w:rPr>
                <w:rFonts w:cs="Arial"/>
                <w:sz w:val="20"/>
                <w:szCs w:val="20"/>
              </w:rPr>
            </w:pPr>
            <w:r w:rsidRPr="00AF4D79">
              <w:rPr>
                <w:rFonts w:cs="Arial"/>
                <w:sz w:val="20"/>
                <w:szCs w:val="20"/>
              </w:rPr>
              <w:t>DO NOT bait in areas where wildlife may be collected for human consumption.</w:t>
            </w:r>
          </w:p>
          <w:p w14:paraId="0440E6EA" w14:textId="77777777" w:rsidR="008E67EA" w:rsidRPr="00AF4D79" w:rsidRDefault="008E67EA" w:rsidP="00B44A74">
            <w:pPr>
              <w:spacing w:line="280" w:lineRule="exact"/>
              <w:rPr>
                <w:rFonts w:cs="Arial"/>
                <w:sz w:val="20"/>
                <w:szCs w:val="20"/>
              </w:rPr>
            </w:pPr>
            <w:r w:rsidRPr="00AF4D79">
              <w:rPr>
                <w:rFonts w:cs="Arial"/>
                <w:sz w:val="20"/>
                <w:szCs w:val="20"/>
              </w:rPr>
              <w:t>DO NOT place baits in and around animal, livestock and poultry houses, associated equipment, and food and feed processing areas.</w:t>
            </w:r>
          </w:p>
          <w:p w14:paraId="48E757E1" w14:textId="77777777" w:rsidR="008E67EA" w:rsidRPr="00AF4D79" w:rsidRDefault="008E67EA" w:rsidP="00B44A74">
            <w:pPr>
              <w:spacing w:line="280" w:lineRule="exact"/>
              <w:rPr>
                <w:rFonts w:cs="Arial"/>
                <w:sz w:val="20"/>
                <w:szCs w:val="20"/>
              </w:rPr>
            </w:pPr>
            <w:r w:rsidRPr="00AF4D79">
              <w:rPr>
                <w:rFonts w:cs="Arial"/>
                <w:sz w:val="20"/>
                <w:szCs w:val="20"/>
              </w:rPr>
              <w:t>DO NOT apply this product directly into burrows.</w:t>
            </w:r>
          </w:p>
          <w:p w14:paraId="6E232768" w14:textId="77777777" w:rsidR="008E67EA" w:rsidRPr="00830DFA" w:rsidRDefault="008E67EA" w:rsidP="00B44A74">
            <w:pPr>
              <w:spacing w:line="280" w:lineRule="exact"/>
              <w:rPr>
                <w:rFonts w:cs="Arial"/>
                <w:sz w:val="20"/>
                <w:szCs w:val="20"/>
              </w:rPr>
            </w:pPr>
            <w:r w:rsidRPr="00AF4D79">
              <w:rPr>
                <w:rFonts w:cs="Arial"/>
                <w:sz w:val="20"/>
                <w:szCs w:val="20"/>
              </w:rPr>
              <w:t>DO NOT use the product in pulsed baiting treatments.</w:t>
            </w:r>
          </w:p>
        </w:tc>
      </w:tr>
      <w:tr w:rsidR="008E67EA" w:rsidRPr="002B5B5B" w14:paraId="13679CF5" w14:textId="77777777" w:rsidTr="00B44A74">
        <w:trPr>
          <w:jc w:val="center"/>
        </w:trPr>
        <w:tc>
          <w:tcPr>
            <w:tcW w:w="2415" w:type="dxa"/>
            <w:tcBorders>
              <w:top w:val="single" w:sz="4" w:space="0" w:color="auto"/>
              <w:left w:val="nil"/>
              <w:bottom w:val="single" w:sz="4" w:space="0" w:color="auto"/>
              <w:right w:val="nil"/>
            </w:tcBorders>
          </w:tcPr>
          <w:p w14:paraId="34CD46B2"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21DFC5F" w14:textId="77777777" w:rsidR="008E67EA" w:rsidRPr="00830DFA" w:rsidRDefault="008E67EA" w:rsidP="00B44A74">
            <w:pPr>
              <w:spacing w:line="280" w:lineRule="exact"/>
              <w:rPr>
                <w:rFonts w:cs="Arial"/>
                <w:sz w:val="20"/>
                <w:szCs w:val="20"/>
              </w:rPr>
            </w:pPr>
          </w:p>
        </w:tc>
      </w:tr>
      <w:tr w:rsidR="008E67EA" w:rsidRPr="002B5B5B" w14:paraId="48C128C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8FD31AF" w14:textId="77777777" w:rsidR="008E67EA" w:rsidRPr="00F5215F" w:rsidRDefault="008E67EA" w:rsidP="00B44A74">
            <w:pPr>
              <w:spacing w:line="280" w:lineRule="exact"/>
              <w:rPr>
                <w:rFonts w:cs="Arial"/>
                <w:sz w:val="20"/>
                <w:szCs w:val="20"/>
              </w:rPr>
            </w:pPr>
            <w:r>
              <w:rPr>
                <w:rFonts w:cs="Arial"/>
                <w:sz w:val="20"/>
                <w:szCs w:val="20"/>
              </w:rPr>
              <w:t>How to Use</w:t>
            </w:r>
          </w:p>
        </w:tc>
        <w:tc>
          <w:tcPr>
            <w:tcW w:w="7755" w:type="dxa"/>
            <w:tcBorders>
              <w:top w:val="single" w:sz="4" w:space="0" w:color="auto"/>
              <w:left w:val="single" w:sz="4" w:space="0" w:color="auto"/>
              <w:bottom w:val="single" w:sz="4" w:space="0" w:color="auto"/>
              <w:right w:val="single" w:sz="4" w:space="0" w:color="auto"/>
            </w:tcBorders>
          </w:tcPr>
          <w:p w14:paraId="7467AF68" w14:textId="77777777" w:rsidR="008E67EA" w:rsidRPr="00830DFA" w:rsidRDefault="008E67EA" w:rsidP="00B44A74">
            <w:pPr>
              <w:spacing w:line="280" w:lineRule="exact"/>
              <w:rPr>
                <w:rFonts w:cs="Arial"/>
                <w:sz w:val="20"/>
                <w:szCs w:val="20"/>
              </w:rPr>
            </w:pPr>
            <w:r w:rsidRPr="00713087">
              <w:rPr>
                <w:rFonts w:cs="Arial"/>
                <w:sz w:val="20"/>
                <w:szCs w:val="20"/>
              </w:rPr>
              <w:t>[This section contains an attachment below]</w:t>
            </w:r>
          </w:p>
        </w:tc>
      </w:tr>
      <w:tr w:rsidR="008E67EA" w:rsidRPr="002B5B5B" w14:paraId="37C6F7EA" w14:textId="77777777" w:rsidTr="00B44A74">
        <w:trPr>
          <w:jc w:val="center"/>
        </w:trPr>
        <w:tc>
          <w:tcPr>
            <w:tcW w:w="2415" w:type="dxa"/>
            <w:tcBorders>
              <w:top w:val="single" w:sz="4" w:space="0" w:color="auto"/>
              <w:left w:val="nil"/>
              <w:bottom w:val="single" w:sz="4" w:space="0" w:color="auto"/>
              <w:right w:val="nil"/>
            </w:tcBorders>
          </w:tcPr>
          <w:p w14:paraId="35457D9C"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5F08910" w14:textId="77777777" w:rsidR="008E67EA" w:rsidRPr="00830DFA" w:rsidRDefault="008E67EA" w:rsidP="00B44A74">
            <w:pPr>
              <w:spacing w:line="280" w:lineRule="exact"/>
              <w:rPr>
                <w:rFonts w:cs="Arial"/>
                <w:sz w:val="20"/>
                <w:szCs w:val="20"/>
              </w:rPr>
            </w:pPr>
          </w:p>
        </w:tc>
      </w:tr>
      <w:tr w:rsidR="008E67EA" w:rsidRPr="002B5B5B" w14:paraId="61AA886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721A253" w14:textId="77777777" w:rsidR="008E67EA" w:rsidRPr="00F5215F" w:rsidRDefault="008E67EA" w:rsidP="00B44A74">
            <w:pPr>
              <w:spacing w:line="280" w:lineRule="exact"/>
              <w:rPr>
                <w:rFonts w:cs="Arial"/>
                <w:sz w:val="20"/>
                <w:szCs w:val="20"/>
              </w:rPr>
            </w:pPr>
            <w:r w:rsidRPr="00F5215F">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105D2D96" w14:textId="77777777" w:rsidR="008E67EA" w:rsidRPr="00830DFA" w:rsidRDefault="008E67EA" w:rsidP="00B44A74">
            <w:pPr>
              <w:spacing w:line="280" w:lineRule="exact"/>
              <w:rPr>
                <w:rFonts w:cs="Arial"/>
                <w:sz w:val="20"/>
                <w:szCs w:val="20"/>
              </w:rPr>
            </w:pPr>
          </w:p>
        </w:tc>
      </w:tr>
      <w:tr w:rsidR="008E67EA" w:rsidRPr="002B5B5B" w14:paraId="1505924D" w14:textId="77777777" w:rsidTr="00B44A74">
        <w:trPr>
          <w:jc w:val="center"/>
        </w:trPr>
        <w:tc>
          <w:tcPr>
            <w:tcW w:w="2415" w:type="dxa"/>
            <w:tcBorders>
              <w:top w:val="single" w:sz="4" w:space="0" w:color="auto"/>
              <w:left w:val="nil"/>
              <w:bottom w:val="single" w:sz="4" w:space="0" w:color="auto"/>
              <w:right w:val="nil"/>
            </w:tcBorders>
          </w:tcPr>
          <w:p w14:paraId="663F474E"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49F7984" w14:textId="77777777" w:rsidR="008E67EA" w:rsidRPr="00830DFA" w:rsidRDefault="008E67EA" w:rsidP="00B44A74">
            <w:pPr>
              <w:spacing w:line="280" w:lineRule="exact"/>
              <w:rPr>
                <w:rFonts w:cs="Arial"/>
                <w:sz w:val="20"/>
                <w:szCs w:val="20"/>
              </w:rPr>
            </w:pPr>
          </w:p>
        </w:tc>
      </w:tr>
      <w:tr w:rsidR="008E67EA" w:rsidRPr="002B5B5B" w14:paraId="42BD9D4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1CA432E" w14:textId="77777777" w:rsidR="008E67EA" w:rsidRPr="00F5215F" w:rsidRDefault="008E67EA" w:rsidP="00B44A74">
            <w:pPr>
              <w:spacing w:line="280" w:lineRule="exact"/>
              <w:rPr>
                <w:rFonts w:cs="Arial"/>
                <w:sz w:val="20"/>
                <w:szCs w:val="20"/>
              </w:rPr>
            </w:pPr>
            <w:r>
              <w:rPr>
                <w:rFonts w:cs="Arial"/>
                <w:sz w:val="20"/>
                <w:szCs w:val="20"/>
              </w:rPr>
              <w:t>How to Prepare</w:t>
            </w:r>
          </w:p>
        </w:tc>
        <w:tc>
          <w:tcPr>
            <w:tcW w:w="7755" w:type="dxa"/>
            <w:tcBorders>
              <w:top w:val="single" w:sz="4" w:space="0" w:color="auto"/>
              <w:left w:val="single" w:sz="4" w:space="0" w:color="auto"/>
              <w:bottom w:val="single" w:sz="4" w:space="0" w:color="auto"/>
              <w:right w:val="single" w:sz="4" w:space="0" w:color="auto"/>
            </w:tcBorders>
          </w:tcPr>
          <w:p w14:paraId="177FFFD3" w14:textId="77777777" w:rsidR="008E67EA" w:rsidRDefault="008E67EA" w:rsidP="00B44A74">
            <w:pPr>
              <w:spacing w:line="280" w:lineRule="exact"/>
              <w:rPr>
                <w:rFonts w:cs="Arial"/>
                <w:sz w:val="20"/>
                <w:szCs w:val="20"/>
              </w:rPr>
            </w:pPr>
            <w:r>
              <w:rPr>
                <w:rFonts w:cs="Arial"/>
                <w:sz w:val="20"/>
                <w:szCs w:val="20"/>
              </w:rPr>
              <w:t>GENERAL INSTRUCTIONS</w:t>
            </w:r>
          </w:p>
          <w:p w14:paraId="2485F967" w14:textId="44FE4DBE" w:rsidR="008E67EA" w:rsidRPr="001D59CD" w:rsidRDefault="008E67EA" w:rsidP="00B44A74">
            <w:pPr>
              <w:spacing w:line="280" w:lineRule="exact"/>
              <w:rPr>
                <w:rFonts w:cs="Arial"/>
                <w:sz w:val="20"/>
                <w:szCs w:val="20"/>
              </w:rPr>
            </w:pPr>
            <w:r>
              <w:rPr>
                <w:rFonts w:cs="Arial"/>
                <w:sz w:val="20"/>
                <w:szCs w:val="20"/>
              </w:rPr>
              <w:t>Do not open sachets. Rats and mice will chew through the wrapper.</w:t>
            </w:r>
          </w:p>
        </w:tc>
      </w:tr>
      <w:tr w:rsidR="008E67EA" w:rsidRPr="002B5B5B" w14:paraId="1DC1A9C0" w14:textId="77777777" w:rsidTr="00B44A74">
        <w:trPr>
          <w:jc w:val="center"/>
        </w:trPr>
        <w:tc>
          <w:tcPr>
            <w:tcW w:w="2415" w:type="dxa"/>
            <w:tcBorders>
              <w:top w:val="single" w:sz="4" w:space="0" w:color="auto"/>
              <w:left w:val="nil"/>
              <w:bottom w:val="single" w:sz="4" w:space="0" w:color="auto"/>
              <w:right w:val="nil"/>
            </w:tcBorders>
          </w:tcPr>
          <w:p w14:paraId="7F47F48C"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67DA8CE" w14:textId="77777777" w:rsidR="008E67EA" w:rsidRPr="00830DFA" w:rsidRDefault="008E67EA" w:rsidP="00B44A74">
            <w:pPr>
              <w:spacing w:line="280" w:lineRule="exact"/>
              <w:rPr>
                <w:rFonts w:cs="Arial"/>
                <w:sz w:val="20"/>
                <w:szCs w:val="20"/>
              </w:rPr>
            </w:pPr>
          </w:p>
        </w:tc>
      </w:tr>
      <w:tr w:rsidR="008E67EA" w:rsidRPr="002B5B5B" w14:paraId="42DC48E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999E618" w14:textId="77777777" w:rsidR="008E67EA" w:rsidRPr="00F5215F" w:rsidRDefault="008E67EA" w:rsidP="00B44A74">
            <w:pPr>
              <w:spacing w:line="280" w:lineRule="exact"/>
              <w:rPr>
                <w:rFonts w:cs="Arial"/>
                <w:sz w:val="20"/>
                <w:szCs w:val="20"/>
              </w:rPr>
            </w:pPr>
            <w:r w:rsidRPr="00F5215F">
              <w:rPr>
                <w:rFonts w:cs="Arial"/>
                <w:sz w:val="20"/>
                <w:szCs w:val="20"/>
              </w:rPr>
              <w:t>Resistance Warning:</w:t>
            </w:r>
          </w:p>
        </w:tc>
        <w:tc>
          <w:tcPr>
            <w:tcW w:w="7755" w:type="dxa"/>
            <w:tcBorders>
              <w:top w:val="single" w:sz="4" w:space="0" w:color="auto"/>
              <w:left w:val="single" w:sz="4" w:space="0" w:color="auto"/>
              <w:bottom w:val="single" w:sz="4" w:space="0" w:color="auto"/>
              <w:right w:val="single" w:sz="4" w:space="0" w:color="auto"/>
            </w:tcBorders>
          </w:tcPr>
          <w:p w14:paraId="101CFB2B" w14:textId="77777777" w:rsidR="008E67EA" w:rsidRPr="00830DFA" w:rsidRDefault="008E67EA" w:rsidP="00B44A74">
            <w:pPr>
              <w:spacing w:line="280" w:lineRule="exact"/>
              <w:rPr>
                <w:rFonts w:cs="Arial"/>
                <w:sz w:val="20"/>
                <w:szCs w:val="20"/>
              </w:rPr>
            </w:pPr>
          </w:p>
        </w:tc>
      </w:tr>
      <w:tr w:rsidR="008E67EA" w:rsidRPr="002B5B5B" w14:paraId="575EB9E0" w14:textId="77777777" w:rsidTr="00B44A74">
        <w:trPr>
          <w:jc w:val="center"/>
        </w:trPr>
        <w:tc>
          <w:tcPr>
            <w:tcW w:w="2415" w:type="dxa"/>
            <w:tcBorders>
              <w:top w:val="single" w:sz="4" w:space="0" w:color="auto"/>
              <w:left w:val="nil"/>
              <w:bottom w:val="single" w:sz="4" w:space="0" w:color="auto"/>
              <w:right w:val="nil"/>
            </w:tcBorders>
          </w:tcPr>
          <w:p w14:paraId="17E6C807"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B9467CC" w14:textId="77777777" w:rsidR="008E67EA" w:rsidRPr="00830DFA" w:rsidRDefault="008E67EA" w:rsidP="00B44A74">
            <w:pPr>
              <w:spacing w:line="280" w:lineRule="exact"/>
              <w:rPr>
                <w:rFonts w:cs="Arial"/>
                <w:sz w:val="20"/>
                <w:szCs w:val="20"/>
              </w:rPr>
            </w:pPr>
          </w:p>
        </w:tc>
      </w:tr>
      <w:tr w:rsidR="008E67EA" w:rsidRPr="002B5B5B" w14:paraId="3F422DA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80DAC20" w14:textId="77777777" w:rsidR="008E67EA" w:rsidRPr="00F5215F" w:rsidRDefault="008E67EA" w:rsidP="00B44A74">
            <w:pPr>
              <w:spacing w:line="280" w:lineRule="exact"/>
              <w:rPr>
                <w:rFonts w:cs="Arial"/>
                <w:sz w:val="20"/>
                <w:szCs w:val="20"/>
              </w:rPr>
            </w:pPr>
            <w:r w:rsidRPr="00F5215F">
              <w:rPr>
                <w:rFonts w:cs="Arial"/>
                <w:sz w:val="20"/>
                <w:szCs w:val="20"/>
              </w:rPr>
              <w:t>Precautions:</w:t>
            </w:r>
          </w:p>
        </w:tc>
        <w:tc>
          <w:tcPr>
            <w:tcW w:w="7755" w:type="dxa"/>
            <w:tcBorders>
              <w:top w:val="single" w:sz="4" w:space="0" w:color="auto"/>
              <w:left w:val="single" w:sz="4" w:space="0" w:color="auto"/>
              <w:bottom w:val="single" w:sz="4" w:space="0" w:color="auto"/>
              <w:right w:val="single" w:sz="4" w:space="0" w:color="auto"/>
            </w:tcBorders>
          </w:tcPr>
          <w:p w14:paraId="6F913B16" w14:textId="77777777" w:rsidR="008E67EA" w:rsidRPr="00AF4D79" w:rsidRDefault="008E67EA" w:rsidP="00B44A74">
            <w:pPr>
              <w:spacing w:line="280" w:lineRule="exact"/>
              <w:rPr>
                <w:rFonts w:cs="Arial"/>
                <w:sz w:val="20"/>
                <w:szCs w:val="20"/>
              </w:rPr>
            </w:pPr>
            <w:r w:rsidRPr="00AF4D79">
              <w:rPr>
                <w:rFonts w:cs="Arial"/>
                <w:sz w:val="20"/>
                <w:szCs w:val="20"/>
              </w:rPr>
              <w:t>CAUTION</w:t>
            </w:r>
          </w:p>
          <w:p w14:paraId="3194B7AD" w14:textId="77777777" w:rsidR="008E67EA" w:rsidRPr="00AF4D79" w:rsidRDefault="008E67EA" w:rsidP="00B44A74">
            <w:pPr>
              <w:spacing w:line="280" w:lineRule="exact"/>
              <w:rPr>
                <w:rFonts w:cs="Arial"/>
                <w:sz w:val="20"/>
                <w:szCs w:val="20"/>
              </w:rPr>
            </w:pPr>
            <w:r w:rsidRPr="00AF4D79">
              <w:rPr>
                <w:rFonts w:cs="Arial"/>
                <w:sz w:val="20"/>
                <w:szCs w:val="20"/>
              </w:rPr>
              <w:t>Caution should be used when baiting near areas where hunting of wildlife may occur. Careful consideration of bait placement is necessary to avoid secondary exposure from contaminated wildlife that may be consumed.</w:t>
            </w:r>
          </w:p>
          <w:p w14:paraId="315724EA" w14:textId="77777777" w:rsidR="008E67EA" w:rsidRDefault="008E67EA" w:rsidP="00B44A74">
            <w:pPr>
              <w:spacing w:line="280" w:lineRule="exact"/>
              <w:rPr>
                <w:rFonts w:cs="Arial"/>
                <w:sz w:val="20"/>
                <w:szCs w:val="20"/>
              </w:rPr>
            </w:pPr>
            <w:r w:rsidRPr="00AF4D79">
              <w:rPr>
                <w:rFonts w:cs="Arial"/>
                <w:sz w:val="20"/>
                <w:szCs w:val="20"/>
              </w:rPr>
              <w:t>DO NOT place bait in areas where there is a possibility of contaminating food, livestock feed or surfaces that come in direct contact with food or livestock feed.</w:t>
            </w:r>
          </w:p>
          <w:p w14:paraId="77300044" w14:textId="77777777" w:rsidR="008E67EA" w:rsidRPr="00AF4D79" w:rsidRDefault="008E67EA" w:rsidP="00B44A74">
            <w:pPr>
              <w:spacing w:line="280" w:lineRule="exact"/>
              <w:rPr>
                <w:rFonts w:cs="Arial"/>
                <w:sz w:val="20"/>
                <w:szCs w:val="20"/>
              </w:rPr>
            </w:pPr>
          </w:p>
          <w:p w14:paraId="07873A0D" w14:textId="77777777" w:rsidR="008E67EA" w:rsidRPr="00AF4D79" w:rsidRDefault="008E67EA" w:rsidP="00B44A74">
            <w:pPr>
              <w:spacing w:line="280" w:lineRule="exact"/>
              <w:rPr>
                <w:rFonts w:cs="Arial"/>
                <w:sz w:val="20"/>
                <w:szCs w:val="20"/>
              </w:rPr>
            </w:pPr>
            <w:r w:rsidRPr="00AF4D79">
              <w:rPr>
                <w:rFonts w:cs="Arial"/>
                <w:sz w:val="20"/>
                <w:szCs w:val="20"/>
              </w:rPr>
              <w:t>PROTECTION OF LIVESTOCK AND WILDLIFE</w:t>
            </w:r>
          </w:p>
          <w:p w14:paraId="69CAB63F" w14:textId="77777777" w:rsidR="008E67EA" w:rsidRPr="00AF4D79" w:rsidRDefault="008E67EA" w:rsidP="00B44A74">
            <w:pPr>
              <w:spacing w:line="280" w:lineRule="exact"/>
              <w:rPr>
                <w:rFonts w:cs="Arial"/>
                <w:sz w:val="20"/>
                <w:szCs w:val="20"/>
              </w:rPr>
            </w:pPr>
            <w:r w:rsidRPr="00AF4D79">
              <w:rPr>
                <w:rFonts w:cs="Arial"/>
                <w:sz w:val="20"/>
                <w:szCs w:val="20"/>
              </w:rPr>
              <w:t>Hazardous to livestock, poultry and wildlife. DO NOT place baits in locations that are accessible to domestic animals, livestock, non-target native animals or birds.</w:t>
            </w:r>
          </w:p>
          <w:p w14:paraId="20BE9190" w14:textId="49AE20F2" w:rsidR="008E67EA" w:rsidRPr="00AF4D79" w:rsidRDefault="008E67EA" w:rsidP="00B44A74">
            <w:pPr>
              <w:spacing w:line="280" w:lineRule="exact"/>
              <w:rPr>
                <w:rFonts w:cs="Arial"/>
                <w:sz w:val="20"/>
                <w:szCs w:val="20"/>
              </w:rPr>
            </w:pPr>
            <w:r w:rsidRPr="00AF4D79">
              <w:rPr>
                <w:rFonts w:cs="Arial"/>
                <w:sz w:val="20"/>
                <w:szCs w:val="20"/>
              </w:rPr>
              <w:t>Search for and dispose of dead rodents and slugs/snails in the infested area at each visit to prevent secondary poisoning. In case slugs/snails are present, move bait station to another location within the rodent infested site, away from slugs/snails. Dispose of slugs/snails, dead rodents and uneaten bait by wrapping in paper, placing in plastic bag and putting in garbage.</w:t>
            </w:r>
          </w:p>
          <w:p w14:paraId="49E312C2" w14:textId="77777777" w:rsidR="008E67EA" w:rsidRPr="00AF4D79" w:rsidRDefault="008E67EA" w:rsidP="00B44A74">
            <w:pPr>
              <w:spacing w:line="280" w:lineRule="exact"/>
              <w:rPr>
                <w:rFonts w:cs="Arial"/>
                <w:sz w:val="20"/>
                <w:szCs w:val="20"/>
              </w:rPr>
            </w:pPr>
            <w:r w:rsidRPr="00AF4D79">
              <w:rPr>
                <w:rFonts w:cs="Arial"/>
                <w:sz w:val="20"/>
                <w:szCs w:val="20"/>
              </w:rPr>
              <w:lastRenderedPageBreak/>
              <w:t>DO NOT allow livestock or poultry to consume dead or moribund mice</w:t>
            </w:r>
            <w:r>
              <w:rPr>
                <w:rFonts w:cs="Arial"/>
                <w:sz w:val="20"/>
                <w:szCs w:val="20"/>
              </w:rPr>
              <w:t xml:space="preserve"> and rats</w:t>
            </w:r>
            <w:r w:rsidRPr="00AF4D79">
              <w:rPr>
                <w:rFonts w:cs="Arial"/>
                <w:sz w:val="20"/>
                <w:szCs w:val="20"/>
              </w:rPr>
              <w:t>. All dead or moribund animals and rodent faeces from baited rodents MUST be removed from areas accessible to livestock or poultry.</w:t>
            </w:r>
          </w:p>
          <w:p w14:paraId="27538753" w14:textId="0FB0B8B9" w:rsidR="008E67EA" w:rsidRDefault="008E67EA" w:rsidP="00B44A74">
            <w:pPr>
              <w:spacing w:line="280" w:lineRule="exact"/>
              <w:rPr>
                <w:rFonts w:cs="Arial"/>
                <w:sz w:val="20"/>
                <w:szCs w:val="20"/>
              </w:rPr>
            </w:pPr>
            <w:r w:rsidRPr="00AF4D79">
              <w:rPr>
                <w:rFonts w:cs="Arial"/>
                <w:sz w:val="20"/>
                <w:szCs w:val="20"/>
              </w:rPr>
              <w:t>DO NOT let cats, dogs or non-target animals eat poisoned mice and rats.</w:t>
            </w:r>
          </w:p>
          <w:p w14:paraId="4A7B55BE" w14:textId="7CF86354" w:rsidR="008E67EA" w:rsidRDefault="008E67EA" w:rsidP="00B44A74">
            <w:pPr>
              <w:spacing w:line="280" w:lineRule="exact"/>
              <w:rPr>
                <w:rFonts w:cs="Arial"/>
                <w:sz w:val="20"/>
                <w:szCs w:val="20"/>
              </w:rPr>
            </w:pPr>
            <w:r w:rsidRPr="00AF4D79">
              <w:rPr>
                <w:rFonts w:cs="Arial"/>
                <w:sz w:val="20"/>
                <w:szCs w:val="20"/>
              </w:rPr>
              <w:t>DO NOT use this product to control native animals.</w:t>
            </w:r>
          </w:p>
          <w:p w14:paraId="789524A6" w14:textId="77777777" w:rsidR="008E67EA" w:rsidRPr="00AF4D79" w:rsidRDefault="008E67EA" w:rsidP="00B44A74">
            <w:pPr>
              <w:spacing w:line="280" w:lineRule="exact"/>
              <w:rPr>
                <w:rFonts w:cs="Arial"/>
                <w:sz w:val="20"/>
                <w:szCs w:val="20"/>
              </w:rPr>
            </w:pPr>
          </w:p>
          <w:p w14:paraId="0CABF137" w14:textId="77777777" w:rsidR="008E67EA" w:rsidRPr="00AF4D79" w:rsidRDefault="008E67EA" w:rsidP="00B44A74">
            <w:pPr>
              <w:spacing w:line="280" w:lineRule="exact"/>
              <w:rPr>
                <w:rFonts w:cs="Arial"/>
                <w:sz w:val="20"/>
                <w:szCs w:val="20"/>
              </w:rPr>
            </w:pPr>
            <w:r w:rsidRPr="00AF4D79">
              <w:rPr>
                <w:rFonts w:cs="Arial"/>
                <w:sz w:val="20"/>
                <w:szCs w:val="20"/>
              </w:rPr>
              <w:t>PROTECTION OF FISH, CRUSTACEANS AND ENVIRONMENT</w:t>
            </w:r>
          </w:p>
          <w:p w14:paraId="3B5176AA" w14:textId="77777777" w:rsidR="008E67EA" w:rsidRPr="001D59CD" w:rsidRDefault="008E67EA" w:rsidP="00B44A74">
            <w:pPr>
              <w:spacing w:line="280" w:lineRule="exact"/>
              <w:rPr>
                <w:rFonts w:cs="Arial"/>
                <w:sz w:val="20"/>
                <w:szCs w:val="20"/>
              </w:rPr>
            </w:pPr>
            <w:r w:rsidRPr="00773C7A">
              <w:rPr>
                <w:rFonts w:cs="Arial"/>
                <w:sz w:val="20"/>
                <w:szCs w:val="20"/>
              </w:rPr>
              <w:t xml:space="preserve">Very toxic to aquatic life. </w:t>
            </w:r>
            <w:r w:rsidRPr="00AF4D79">
              <w:rPr>
                <w:rFonts w:cs="Arial"/>
                <w:sz w:val="20"/>
                <w:szCs w:val="20"/>
              </w:rPr>
              <w:t>DO NOT contaminate wetlands or watercourses with this product or used containers. Place the bait stations in areas not liable to flooding. When placing bait stations close to water drainage systems, ensure that bait contact with water is avoided</w:t>
            </w:r>
            <w:r>
              <w:rPr>
                <w:rFonts w:cs="Arial"/>
                <w:sz w:val="20"/>
                <w:szCs w:val="20"/>
              </w:rPr>
              <w:t>.</w:t>
            </w:r>
          </w:p>
        </w:tc>
      </w:tr>
      <w:tr w:rsidR="008E67EA" w:rsidRPr="002B5B5B" w14:paraId="278620D8" w14:textId="77777777" w:rsidTr="00B44A74">
        <w:trPr>
          <w:jc w:val="center"/>
        </w:trPr>
        <w:tc>
          <w:tcPr>
            <w:tcW w:w="2415" w:type="dxa"/>
            <w:tcBorders>
              <w:top w:val="single" w:sz="4" w:space="0" w:color="auto"/>
              <w:left w:val="nil"/>
              <w:bottom w:val="single" w:sz="4" w:space="0" w:color="auto"/>
              <w:right w:val="nil"/>
            </w:tcBorders>
          </w:tcPr>
          <w:p w14:paraId="68DD331B"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8FE86CD" w14:textId="77777777" w:rsidR="008E67EA" w:rsidRPr="00830DFA" w:rsidRDefault="008E67EA" w:rsidP="00B44A74">
            <w:pPr>
              <w:spacing w:line="280" w:lineRule="exact"/>
              <w:rPr>
                <w:rFonts w:cs="Arial"/>
                <w:sz w:val="20"/>
                <w:szCs w:val="20"/>
              </w:rPr>
            </w:pPr>
          </w:p>
        </w:tc>
      </w:tr>
      <w:tr w:rsidR="008E67EA" w:rsidRPr="002B5B5B" w14:paraId="56C7680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FA6C50D" w14:textId="77777777" w:rsidR="008E67EA" w:rsidRPr="00F5215F" w:rsidRDefault="008E67EA" w:rsidP="00B44A74">
            <w:pPr>
              <w:spacing w:line="280" w:lineRule="exact"/>
              <w:rPr>
                <w:rFonts w:cs="Arial"/>
                <w:sz w:val="20"/>
                <w:szCs w:val="20"/>
              </w:rPr>
            </w:pPr>
            <w:r w:rsidRPr="00F5215F">
              <w:rPr>
                <w:rFonts w:cs="Arial"/>
                <w:sz w:val="20"/>
                <w:szCs w:val="20"/>
              </w:rPr>
              <w:t>Protectio</w:t>
            </w:r>
            <w:r>
              <w:rPr>
                <w:rFonts w:cs="Arial"/>
                <w:sz w:val="20"/>
                <w:szCs w:val="20"/>
              </w:rPr>
              <w:t>ns</w:t>
            </w:r>
            <w:r w:rsidRPr="00F5215F">
              <w:rPr>
                <w:rFonts w:cs="Arial"/>
                <w:sz w:val="20"/>
                <w:szCs w:val="20"/>
              </w:rPr>
              <w:t>:</w:t>
            </w:r>
          </w:p>
        </w:tc>
        <w:tc>
          <w:tcPr>
            <w:tcW w:w="7755" w:type="dxa"/>
            <w:tcBorders>
              <w:top w:val="single" w:sz="4" w:space="0" w:color="auto"/>
              <w:left w:val="single" w:sz="4" w:space="0" w:color="auto"/>
              <w:bottom w:val="single" w:sz="4" w:space="0" w:color="auto"/>
              <w:right w:val="single" w:sz="4" w:space="0" w:color="auto"/>
            </w:tcBorders>
          </w:tcPr>
          <w:p w14:paraId="1BE2619C" w14:textId="77777777" w:rsidR="008E67EA" w:rsidRPr="00830DFA" w:rsidRDefault="008E67EA" w:rsidP="00B44A74">
            <w:pPr>
              <w:spacing w:line="280" w:lineRule="exact"/>
              <w:rPr>
                <w:rFonts w:cs="Arial"/>
                <w:sz w:val="20"/>
                <w:szCs w:val="20"/>
              </w:rPr>
            </w:pPr>
          </w:p>
        </w:tc>
      </w:tr>
      <w:tr w:rsidR="008E67EA" w:rsidRPr="002B5B5B" w14:paraId="57B50F2F" w14:textId="77777777" w:rsidTr="00B44A74">
        <w:trPr>
          <w:jc w:val="center"/>
        </w:trPr>
        <w:tc>
          <w:tcPr>
            <w:tcW w:w="2415" w:type="dxa"/>
            <w:tcBorders>
              <w:top w:val="single" w:sz="4" w:space="0" w:color="auto"/>
              <w:left w:val="nil"/>
              <w:bottom w:val="single" w:sz="4" w:space="0" w:color="auto"/>
              <w:right w:val="nil"/>
            </w:tcBorders>
          </w:tcPr>
          <w:p w14:paraId="3AEDA908"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A7A7A5D" w14:textId="77777777" w:rsidR="008E67EA" w:rsidRPr="00830DFA" w:rsidRDefault="008E67EA" w:rsidP="00B44A74">
            <w:pPr>
              <w:spacing w:line="280" w:lineRule="exact"/>
              <w:rPr>
                <w:rFonts w:cs="Arial"/>
                <w:sz w:val="20"/>
                <w:szCs w:val="20"/>
              </w:rPr>
            </w:pPr>
          </w:p>
        </w:tc>
      </w:tr>
      <w:tr w:rsidR="008E67EA" w:rsidRPr="002B5B5B" w14:paraId="1101951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8147044" w14:textId="77777777" w:rsidR="008E67EA" w:rsidRPr="00F5215F" w:rsidRDefault="008E67EA" w:rsidP="00B44A74">
            <w:pPr>
              <w:spacing w:line="280" w:lineRule="exact"/>
              <w:rPr>
                <w:rFonts w:cs="Arial"/>
                <w:sz w:val="20"/>
                <w:szCs w:val="20"/>
              </w:rPr>
            </w:pPr>
            <w:r w:rsidRPr="00F5215F">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2323B3A7" w14:textId="77777777" w:rsidR="008E67EA" w:rsidRPr="00AF4D79" w:rsidRDefault="008E67EA" w:rsidP="00B44A74">
            <w:pPr>
              <w:spacing w:line="280" w:lineRule="exact"/>
              <w:rPr>
                <w:rFonts w:cs="Arial"/>
                <w:sz w:val="20"/>
                <w:szCs w:val="20"/>
                <w:bdr w:val="none" w:sz="0" w:space="0" w:color="auto" w:frame="1"/>
                <w:lang w:val="en-GB" w:eastAsia="en-AU"/>
              </w:rPr>
            </w:pPr>
            <w:r w:rsidRPr="00D96955">
              <w:rPr>
                <w:rFonts w:cs="Arial"/>
                <w:sz w:val="20"/>
                <w:szCs w:val="20"/>
                <w:bdr w:val="none" w:sz="0" w:space="0" w:color="auto" w:frame="1"/>
                <w:lang w:val="en-GB" w:eastAsia="en-AU"/>
              </w:rPr>
              <w:t>STORAGE AND DISPOSAL</w:t>
            </w:r>
          </w:p>
          <w:p w14:paraId="2BAFC411" w14:textId="54990061" w:rsidR="008E67EA" w:rsidRPr="001D59CD" w:rsidRDefault="008E67EA" w:rsidP="00B44A74">
            <w:pPr>
              <w:spacing w:line="280" w:lineRule="exact"/>
              <w:rPr>
                <w:rFonts w:cs="Arial"/>
                <w:sz w:val="20"/>
                <w:szCs w:val="20"/>
              </w:rPr>
            </w:pPr>
            <w:r w:rsidRPr="00AF4D79">
              <w:rPr>
                <w:rFonts w:cs="Arial"/>
                <w:sz w:val="20"/>
                <w:szCs w:val="20"/>
              </w:rPr>
              <w:t>Store in the closed, original container in a cool, dry, place out of reach of children. Do not store in direct sunlight. Dispose of empty containers</w:t>
            </w:r>
            <w:r>
              <w:rPr>
                <w:rFonts w:cs="Arial"/>
                <w:sz w:val="20"/>
                <w:szCs w:val="20"/>
              </w:rPr>
              <w:t xml:space="preserve"> and unused product</w:t>
            </w:r>
            <w:r w:rsidRPr="00AF4D79">
              <w:rPr>
                <w:rFonts w:cs="Arial"/>
                <w:sz w:val="20"/>
                <w:szCs w:val="20"/>
              </w:rPr>
              <w:t xml:space="preserve"> by wrapping in paper placing in plastic bag and putting in garbage.</w:t>
            </w:r>
          </w:p>
        </w:tc>
      </w:tr>
      <w:tr w:rsidR="008E67EA" w:rsidRPr="002B5B5B" w14:paraId="3327B04C" w14:textId="77777777" w:rsidTr="00B44A74">
        <w:trPr>
          <w:jc w:val="center"/>
        </w:trPr>
        <w:tc>
          <w:tcPr>
            <w:tcW w:w="2415" w:type="dxa"/>
            <w:tcBorders>
              <w:top w:val="single" w:sz="4" w:space="0" w:color="auto"/>
              <w:left w:val="nil"/>
              <w:bottom w:val="single" w:sz="4" w:space="0" w:color="auto"/>
              <w:right w:val="nil"/>
            </w:tcBorders>
          </w:tcPr>
          <w:p w14:paraId="04C0A5AA"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DA0213A" w14:textId="77777777" w:rsidR="008E67EA" w:rsidRPr="00830DFA" w:rsidRDefault="008E67EA" w:rsidP="00B44A74">
            <w:pPr>
              <w:spacing w:line="280" w:lineRule="exact"/>
              <w:rPr>
                <w:rFonts w:cs="Arial"/>
                <w:sz w:val="20"/>
                <w:szCs w:val="20"/>
              </w:rPr>
            </w:pPr>
          </w:p>
        </w:tc>
      </w:tr>
      <w:tr w:rsidR="008E67EA" w:rsidRPr="002B5B5B" w14:paraId="1027173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4A321C3" w14:textId="77777777" w:rsidR="008E67EA" w:rsidRPr="00F5215F" w:rsidRDefault="008E67EA" w:rsidP="00B44A74">
            <w:pPr>
              <w:spacing w:line="280" w:lineRule="exact"/>
              <w:rPr>
                <w:rFonts w:cs="Arial"/>
                <w:sz w:val="20"/>
                <w:szCs w:val="20"/>
              </w:rPr>
            </w:pPr>
            <w:r w:rsidRPr="00F5215F">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5152FAA0" w14:textId="77777777" w:rsidR="008E67EA" w:rsidRPr="00AF4D79" w:rsidRDefault="008E67EA" w:rsidP="00B44A74">
            <w:pPr>
              <w:spacing w:line="280" w:lineRule="exact"/>
              <w:rPr>
                <w:rFonts w:cs="Arial"/>
                <w:sz w:val="20"/>
                <w:szCs w:val="20"/>
                <w:bdr w:val="none" w:sz="0" w:space="0" w:color="auto" w:frame="1"/>
                <w:lang w:val="en-GB" w:eastAsia="en-AU"/>
              </w:rPr>
            </w:pPr>
            <w:r w:rsidRPr="00D96955">
              <w:rPr>
                <w:rFonts w:cs="Arial"/>
                <w:sz w:val="20"/>
                <w:szCs w:val="20"/>
                <w:bdr w:val="none" w:sz="0" w:space="0" w:color="auto" w:frame="1"/>
                <w:lang w:val="en-GB" w:eastAsia="en-AU"/>
              </w:rPr>
              <w:t>SAFETY DIRECTIONS</w:t>
            </w:r>
          </w:p>
          <w:p w14:paraId="77659C38" w14:textId="77777777" w:rsidR="008E67EA" w:rsidRPr="00830DFA" w:rsidRDefault="008E67EA" w:rsidP="00B44A74">
            <w:pPr>
              <w:spacing w:line="280" w:lineRule="exact"/>
              <w:rPr>
                <w:rFonts w:cs="Arial"/>
                <w:sz w:val="20"/>
                <w:szCs w:val="20"/>
              </w:rPr>
            </w:pPr>
            <w:r w:rsidRPr="00786495">
              <w:rPr>
                <w:rFonts w:cs="Arial"/>
                <w:sz w:val="20"/>
                <w:szCs w:val="20"/>
              </w:rPr>
              <w:t>Repeated minor exposure may have a cumulative poisoning effect. Will irritate the skin. May irritate eyes. Avoid contact with eyes and skin. When using the product wear disposable gloves. During cleanup, disposal operations of bait and bait stations and when handling rodent carcasses wear single layer clothing and disposable gloves. If on skin and after each baiting, wash thoroughly with soap and water. After each day’s use wash contaminated clothing.</w:t>
            </w:r>
            <w:r>
              <w:rPr>
                <w:rFonts w:cs="Arial"/>
                <w:sz w:val="20"/>
                <w:szCs w:val="20"/>
              </w:rPr>
              <w:t xml:space="preserve"> </w:t>
            </w:r>
            <w:r w:rsidRPr="00AF4D79">
              <w:rPr>
                <w:rFonts w:cs="Arial"/>
                <w:sz w:val="20"/>
                <w:szCs w:val="20"/>
              </w:rPr>
              <w:t>Wash clothes after performing re-handling activities.</w:t>
            </w:r>
          </w:p>
        </w:tc>
      </w:tr>
      <w:tr w:rsidR="008E67EA" w:rsidRPr="002B5B5B" w14:paraId="04C9D062" w14:textId="77777777" w:rsidTr="00B44A74">
        <w:trPr>
          <w:jc w:val="center"/>
        </w:trPr>
        <w:tc>
          <w:tcPr>
            <w:tcW w:w="2415" w:type="dxa"/>
            <w:tcBorders>
              <w:top w:val="single" w:sz="4" w:space="0" w:color="auto"/>
              <w:left w:val="nil"/>
              <w:bottom w:val="single" w:sz="4" w:space="0" w:color="auto"/>
              <w:right w:val="nil"/>
            </w:tcBorders>
          </w:tcPr>
          <w:p w14:paraId="46B27105"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6A6B711" w14:textId="77777777" w:rsidR="008E67EA" w:rsidRPr="00830DFA" w:rsidRDefault="008E67EA" w:rsidP="00B44A74">
            <w:pPr>
              <w:spacing w:line="280" w:lineRule="exact"/>
              <w:rPr>
                <w:rFonts w:cs="Arial"/>
                <w:sz w:val="20"/>
                <w:szCs w:val="20"/>
              </w:rPr>
            </w:pPr>
          </w:p>
        </w:tc>
      </w:tr>
      <w:tr w:rsidR="008E67EA" w:rsidRPr="002B5B5B" w14:paraId="05B2DB3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D4C04D6" w14:textId="77777777" w:rsidR="008E67EA" w:rsidRPr="00F5215F" w:rsidRDefault="008E67EA" w:rsidP="00B44A74">
            <w:pPr>
              <w:spacing w:line="280" w:lineRule="exact"/>
              <w:rPr>
                <w:rFonts w:cs="Arial"/>
                <w:sz w:val="20"/>
                <w:szCs w:val="20"/>
              </w:rPr>
            </w:pPr>
            <w:r w:rsidRPr="00F5215F">
              <w:rPr>
                <w:rFonts w:cs="Arial"/>
                <w:sz w:val="20"/>
                <w:szCs w:val="20"/>
              </w:rPr>
              <w:t>First Aid Instructions:</w:t>
            </w:r>
          </w:p>
        </w:tc>
        <w:tc>
          <w:tcPr>
            <w:tcW w:w="7755" w:type="dxa"/>
            <w:tcBorders>
              <w:top w:val="single" w:sz="4" w:space="0" w:color="auto"/>
              <w:left w:val="single" w:sz="4" w:space="0" w:color="auto"/>
              <w:bottom w:val="single" w:sz="4" w:space="0" w:color="auto"/>
              <w:right w:val="single" w:sz="4" w:space="0" w:color="auto"/>
            </w:tcBorders>
          </w:tcPr>
          <w:p w14:paraId="78625949" w14:textId="77777777" w:rsidR="008E67EA" w:rsidRPr="00AF4D79" w:rsidRDefault="008E67EA" w:rsidP="00B44A74">
            <w:pPr>
              <w:spacing w:line="280" w:lineRule="exact"/>
              <w:rPr>
                <w:rFonts w:cs="Arial"/>
                <w:sz w:val="20"/>
                <w:szCs w:val="20"/>
                <w:bdr w:val="none" w:sz="0" w:space="0" w:color="auto" w:frame="1"/>
                <w:lang w:val="en-GB" w:eastAsia="en-AU"/>
              </w:rPr>
            </w:pPr>
            <w:r w:rsidRPr="00D96955">
              <w:rPr>
                <w:rFonts w:cs="Arial"/>
                <w:sz w:val="20"/>
                <w:szCs w:val="20"/>
                <w:bdr w:val="none" w:sz="0" w:space="0" w:color="auto" w:frame="1"/>
                <w:lang w:val="en-GB" w:eastAsia="en-AU"/>
              </w:rPr>
              <w:t>FIRST AID</w:t>
            </w:r>
          </w:p>
          <w:p w14:paraId="700833A9" w14:textId="77777777" w:rsidR="008E67EA" w:rsidRPr="00830DFA" w:rsidRDefault="008E67EA" w:rsidP="00B44A74">
            <w:pPr>
              <w:spacing w:line="280" w:lineRule="exact"/>
              <w:rPr>
                <w:rFonts w:cs="Arial"/>
                <w:sz w:val="20"/>
                <w:szCs w:val="20"/>
              </w:rPr>
            </w:pPr>
            <w:r w:rsidRPr="00AF4D79">
              <w:rPr>
                <w:rFonts w:cs="Arial"/>
                <w:sz w:val="20"/>
                <w:szCs w:val="20"/>
              </w:rPr>
              <w:t>If poisoning occurs, contact a doctor or Poisons Information Centre. Phone Australia 13 11 26, New Zealand 0800 764 766. Vitamin K1 (Phytomenadione) is antidotal.</w:t>
            </w:r>
          </w:p>
        </w:tc>
      </w:tr>
      <w:tr w:rsidR="008E67EA" w:rsidRPr="002B5B5B" w14:paraId="0E36F41B" w14:textId="77777777" w:rsidTr="00B44A74">
        <w:trPr>
          <w:jc w:val="center"/>
        </w:trPr>
        <w:tc>
          <w:tcPr>
            <w:tcW w:w="2415" w:type="dxa"/>
            <w:tcBorders>
              <w:top w:val="single" w:sz="4" w:space="0" w:color="auto"/>
              <w:left w:val="nil"/>
              <w:bottom w:val="single" w:sz="4" w:space="0" w:color="auto"/>
              <w:right w:val="nil"/>
            </w:tcBorders>
          </w:tcPr>
          <w:p w14:paraId="398FF04B"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20252FF" w14:textId="77777777" w:rsidR="008E67EA" w:rsidRPr="00830DFA" w:rsidRDefault="008E67EA" w:rsidP="00B44A74">
            <w:pPr>
              <w:spacing w:line="280" w:lineRule="exact"/>
              <w:rPr>
                <w:rFonts w:cs="Arial"/>
                <w:sz w:val="20"/>
                <w:szCs w:val="20"/>
              </w:rPr>
            </w:pPr>
          </w:p>
        </w:tc>
      </w:tr>
      <w:tr w:rsidR="008E67EA" w:rsidRPr="002B5B5B" w14:paraId="2A6FF56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D3F5FC3" w14:textId="77777777" w:rsidR="008E67EA" w:rsidRPr="00F5215F" w:rsidRDefault="008E67EA" w:rsidP="00B44A74">
            <w:pPr>
              <w:spacing w:line="280" w:lineRule="exact"/>
              <w:rPr>
                <w:rFonts w:cs="Arial"/>
                <w:sz w:val="20"/>
                <w:szCs w:val="20"/>
              </w:rPr>
            </w:pPr>
            <w:r w:rsidRPr="00F5215F">
              <w:rPr>
                <w:rFonts w:cs="Arial"/>
                <w:sz w:val="20"/>
                <w:szCs w:val="20"/>
              </w:rPr>
              <w:t>First Aid Warnings:</w:t>
            </w:r>
          </w:p>
        </w:tc>
        <w:tc>
          <w:tcPr>
            <w:tcW w:w="7755" w:type="dxa"/>
            <w:tcBorders>
              <w:top w:val="single" w:sz="4" w:space="0" w:color="auto"/>
              <w:left w:val="single" w:sz="4" w:space="0" w:color="auto"/>
              <w:bottom w:val="single" w:sz="4" w:space="0" w:color="auto"/>
              <w:right w:val="single" w:sz="4" w:space="0" w:color="auto"/>
            </w:tcBorders>
          </w:tcPr>
          <w:p w14:paraId="33499F45" w14:textId="77777777" w:rsidR="008E67EA" w:rsidRPr="001D59CD" w:rsidRDefault="008E67EA" w:rsidP="00B44A74">
            <w:pPr>
              <w:spacing w:line="280" w:lineRule="exact"/>
              <w:rPr>
                <w:rFonts w:cs="Arial"/>
                <w:sz w:val="20"/>
                <w:szCs w:val="20"/>
              </w:rPr>
            </w:pPr>
          </w:p>
        </w:tc>
      </w:tr>
    </w:tbl>
    <w:p w14:paraId="6E659BD7" w14:textId="77777777" w:rsidR="008E67EA" w:rsidRDefault="008E67EA" w:rsidP="008E67EA">
      <w:pPr>
        <w:spacing w:line="278" w:lineRule="auto"/>
        <w:rPr>
          <w:rFonts w:cs="Arial"/>
          <w:b/>
          <w:bCs/>
          <w:sz w:val="20"/>
          <w:szCs w:val="20"/>
        </w:rPr>
      </w:pPr>
      <w:r>
        <w:rPr>
          <w:rFonts w:cs="Arial"/>
          <w:b/>
          <w:bCs/>
          <w:sz w:val="20"/>
          <w:szCs w:val="20"/>
        </w:rPr>
        <w:br w:type="page"/>
      </w:r>
    </w:p>
    <w:p w14:paraId="4B188330" w14:textId="77777777" w:rsidR="008E67EA" w:rsidRDefault="008E67EA" w:rsidP="008E67EA">
      <w:pPr>
        <w:rPr>
          <w:rFonts w:cs="Arial"/>
          <w:b/>
          <w:bCs/>
          <w:sz w:val="20"/>
          <w:szCs w:val="20"/>
        </w:rPr>
      </w:pPr>
      <w:r w:rsidRPr="00FF36BF">
        <w:rPr>
          <w:rFonts w:cs="Arial"/>
          <w:b/>
          <w:bCs/>
          <w:sz w:val="20"/>
          <w:szCs w:val="20"/>
        </w:rPr>
        <w:lastRenderedPageBreak/>
        <w:t>HOW TO USE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181"/>
        <w:gridCol w:w="1842"/>
        <w:gridCol w:w="3897"/>
      </w:tblGrid>
      <w:tr w:rsidR="008E67EA" w:rsidRPr="00FF36BF" w14:paraId="5F28DD49" w14:textId="77777777" w:rsidTr="00604F9D">
        <w:trPr>
          <w:trHeight w:val="340"/>
        </w:trPr>
        <w:tc>
          <w:tcPr>
            <w:tcW w:w="1080" w:type="dxa"/>
          </w:tcPr>
          <w:p w14:paraId="066D9A7D" w14:textId="77777777" w:rsidR="008E67EA" w:rsidRPr="00246206" w:rsidRDefault="008E67EA" w:rsidP="00B44A74">
            <w:pPr>
              <w:pStyle w:val="TableParagraph"/>
              <w:widowControl/>
              <w:adjustRightInd w:val="0"/>
              <w:spacing w:before="61"/>
              <w:ind w:left="0"/>
              <w:rPr>
                <w:rFonts w:eastAsiaTheme="minorHAnsi"/>
                <w:b/>
                <w:bCs/>
                <w:sz w:val="20"/>
                <w:szCs w:val="20"/>
                <w:lang w:val="en-AU"/>
              </w:rPr>
            </w:pPr>
            <w:r w:rsidRPr="00246206">
              <w:rPr>
                <w:rFonts w:eastAsiaTheme="minorHAnsi"/>
                <w:b/>
                <w:bCs/>
                <w:sz w:val="20"/>
                <w:szCs w:val="20"/>
                <w:lang w:val="en-AU"/>
              </w:rPr>
              <w:t>PEST</w:t>
            </w:r>
          </w:p>
        </w:tc>
        <w:tc>
          <w:tcPr>
            <w:tcW w:w="2181" w:type="dxa"/>
          </w:tcPr>
          <w:p w14:paraId="35CC5CEA" w14:textId="77777777" w:rsidR="008E67EA" w:rsidRPr="00246206" w:rsidRDefault="008E67EA" w:rsidP="00B44A74">
            <w:pPr>
              <w:pStyle w:val="TableParagraph"/>
              <w:widowControl/>
              <w:adjustRightInd w:val="0"/>
              <w:spacing w:before="61"/>
              <w:ind w:left="0"/>
              <w:rPr>
                <w:rFonts w:eastAsiaTheme="minorHAnsi"/>
                <w:b/>
                <w:bCs/>
                <w:sz w:val="20"/>
                <w:szCs w:val="20"/>
                <w:lang w:val="en-AU"/>
              </w:rPr>
            </w:pPr>
            <w:r w:rsidRPr="00246206">
              <w:rPr>
                <w:rFonts w:eastAsiaTheme="minorHAnsi"/>
                <w:b/>
                <w:bCs/>
                <w:sz w:val="20"/>
                <w:szCs w:val="20"/>
                <w:lang w:val="en-AU"/>
              </w:rPr>
              <w:t>SITUATION</w:t>
            </w:r>
          </w:p>
        </w:tc>
        <w:tc>
          <w:tcPr>
            <w:tcW w:w="1842" w:type="dxa"/>
          </w:tcPr>
          <w:p w14:paraId="7C155CFD" w14:textId="77777777" w:rsidR="008E67EA" w:rsidRPr="00246206" w:rsidRDefault="008E67EA" w:rsidP="00B44A74">
            <w:pPr>
              <w:pStyle w:val="TableParagraph"/>
              <w:widowControl/>
              <w:adjustRightInd w:val="0"/>
              <w:spacing w:before="61"/>
              <w:ind w:left="0"/>
              <w:rPr>
                <w:rFonts w:eastAsiaTheme="minorHAnsi"/>
                <w:b/>
                <w:bCs/>
                <w:sz w:val="20"/>
                <w:szCs w:val="20"/>
                <w:lang w:val="en-AU"/>
              </w:rPr>
            </w:pPr>
            <w:r w:rsidRPr="00246206">
              <w:rPr>
                <w:rFonts w:eastAsiaTheme="minorHAnsi"/>
                <w:b/>
                <w:bCs/>
                <w:sz w:val="20"/>
                <w:szCs w:val="20"/>
                <w:lang w:val="en-AU"/>
              </w:rPr>
              <w:t>RATE</w:t>
            </w:r>
          </w:p>
        </w:tc>
        <w:tc>
          <w:tcPr>
            <w:tcW w:w="3897" w:type="dxa"/>
          </w:tcPr>
          <w:p w14:paraId="5A9D49E6" w14:textId="77777777" w:rsidR="008E67EA" w:rsidRPr="00246206" w:rsidRDefault="008E67EA" w:rsidP="00B44A74">
            <w:pPr>
              <w:pStyle w:val="TableParagraph"/>
              <w:widowControl/>
              <w:adjustRightInd w:val="0"/>
              <w:spacing w:before="61"/>
              <w:ind w:left="0"/>
              <w:rPr>
                <w:rFonts w:eastAsiaTheme="minorHAnsi"/>
                <w:b/>
                <w:bCs/>
                <w:sz w:val="20"/>
                <w:szCs w:val="20"/>
                <w:lang w:val="en-AU"/>
              </w:rPr>
            </w:pPr>
            <w:r w:rsidRPr="00246206">
              <w:rPr>
                <w:rFonts w:eastAsiaTheme="minorHAnsi"/>
                <w:b/>
                <w:bCs/>
                <w:sz w:val="20"/>
                <w:szCs w:val="20"/>
                <w:lang w:val="en-AU"/>
              </w:rPr>
              <w:t>HOW TO APPLY</w:t>
            </w:r>
          </w:p>
        </w:tc>
      </w:tr>
      <w:tr w:rsidR="008E67EA" w:rsidRPr="00FF36BF" w14:paraId="5602A7E6" w14:textId="77777777" w:rsidTr="00604F9D">
        <w:trPr>
          <w:trHeight w:val="421"/>
        </w:trPr>
        <w:tc>
          <w:tcPr>
            <w:tcW w:w="1080" w:type="dxa"/>
          </w:tcPr>
          <w:p w14:paraId="3DBE2677" w14:textId="77777777" w:rsidR="008E67EA" w:rsidRPr="005D3D45" w:rsidRDefault="008E67EA" w:rsidP="00B44A74">
            <w:pPr>
              <w:spacing w:line="280" w:lineRule="exact"/>
              <w:rPr>
                <w:rFonts w:cs="Arial"/>
                <w:sz w:val="20"/>
                <w:szCs w:val="20"/>
              </w:rPr>
            </w:pPr>
            <w:r w:rsidRPr="005D3D45">
              <w:rPr>
                <w:rFonts w:cs="Arial"/>
                <w:sz w:val="20"/>
                <w:szCs w:val="20"/>
              </w:rPr>
              <w:t>Mice</w:t>
            </w:r>
          </w:p>
        </w:tc>
        <w:tc>
          <w:tcPr>
            <w:tcW w:w="2181" w:type="dxa"/>
          </w:tcPr>
          <w:p w14:paraId="42D6811E" w14:textId="77777777" w:rsidR="008E67EA" w:rsidRPr="005D3D45" w:rsidRDefault="008E67EA" w:rsidP="00B44A74">
            <w:pPr>
              <w:spacing w:line="280" w:lineRule="exact"/>
              <w:rPr>
                <w:rFonts w:cs="Arial"/>
                <w:sz w:val="20"/>
                <w:szCs w:val="20"/>
              </w:rPr>
            </w:pPr>
            <w:r w:rsidRPr="005D3D45">
              <w:rPr>
                <w:rFonts w:cs="Arial"/>
                <w:sz w:val="20"/>
                <w:szCs w:val="20"/>
              </w:rPr>
              <w:t>In domestic buildings and commercial premises</w:t>
            </w:r>
          </w:p>
        </w:tc>
        <w:tc>
          <w:tcPr>
            <w:tcW w:w="1842" w:type="dxa"/>
          </w:tcPr>
          <w:p w14:paraId="3A24263A" w14:textId="77777777" w:rsidR="008E67EA" w:rsidRPr="005D3D45" w:rsidRDefault="008E67EA" w:rsidP="00B44A74">
            <w:pPr>
              <w:spacing w:line="280" w:lineRule="exact"/>
              <w:rPr>
                <w:rFonts w:cs="Arial"/>
                <w:sz w:val="20"/>
                <w:szCs w:val="20"/>
              </w:rPr>
            </w:pPr>
            <w:r>
              <w:rPr>
                <w:rFonts w:cs="Arial"/>
                <w:sz w:val="20"/>
                <w:szCs w:val="20"/>
              </w:rPr>
              <w:t>[</w:t>
            </w:r>
            <w:r w:rsidRPr="001019EA">
              <w:rPr>
                <w:rFonts w:cs="Arial"/>
                <w:sz w:val="20"/>
                <w:szCs w:val="20"/>
              </w:rPr>
              <w:t>as per current approved label</w:t>
            </w:r>
            <w:r>
              <w:rPr>
                <w:rFonts w:cs="Arial"/>
                <w:sz w:val="20"/>
                <w:szCs w:val="20"/>
              </w:rPr>
              <w:t>]</w:t>
            </w:r>
          </w:p>
        </w:tc>
        <w:tc>
          <w:tcPr>
            <w:tcW w:w="3897" w:type="dxa"/>
          </w:tcPr>
          <w:p w14:paraId="17DB601B" w14:textId="77777777" w:rsidR="008E67EA" w:rsidRPr="005D3D45" w:rsidRDefault="008E67EA" w:rsidP="00B44A74">
            <w:pPr>
              <w:spacing w:line="280" w:lineRule="exact"/>
              <w:rPr>
                <w:rFonts w:cs="Arial"/>
                <w:sz w:val="20"/>
                <w:szCs w:val="20"/>
              </w:rPr>
            </w:pPr>
            <w:r w:rsidRPr="005D3D45">
              <w:rPr>
                <w:rFonts w:cs="Arial"/>
                <w:sz w:val="20"/>
                <w:szCs w:val="20"/>
              </w:rPr>
              <w:t xml:space="preserve">Place bait stations </w:t>
            </w:r>
            <w:r>
              <w:rPr>
                <w:rFonts w:cs="Arial"/>
                <w:sz w:val="20"/>
                <w:szCs w:val="20"/>
              </w:rPr>
              <w:t>wherever droppings, damage or other signs of activity are seen. Use multiple bait stations,</w:t>
            </w:r>
            <w:r w:rsidRPr="005D3D45">
              <w:rPr>
                <w:rFonts w:cs="Arial"/>
                <w:sz w:val="20"/>
                <w:szCs w:val="20"/>
              </w:rPr>
              <w:t xml:space="preserve"> not more than 3 m apart.</w:t>
            </w:r>
          </w:p>
        </w:tc>
      </w:tr>
      <w:tr w:rsidR="008E67EA" w:rsidRPr="00FF36BF" w14:paraId="3D5115D4" w14:textId="77777777" w:rsidTr="00604F9D">
        <w:trPr>
          <w:trHeight w:val="421"/>
        </w:trPr>
        <w:tc>
          <w:tcPr>
            <w:tcW w:w="1080" w:type="dxa"/>
          </w:tcPr>
          <w:p w14:paraId="3EF01652" w14:textId="77777777" w:rsidR="008E67EA" w:rsidRPr="005D3D45" w:rsidRDefault="008E67EA" w:rsidP="00B44A74">
            <w:pPr>
              <w:spacing w:line="280" w:lineRule="exact"/>
              <w:rPr>
                <w:rFonts w:cs="Arial"/>
                <w:sz w:val="20"/>
                <w:szCs w:val="20"/>
              </w:rPr>
            </w:pPr>
            <w:r>
              <w:rPr>
                <w:rFonts w:cs="Arial"/>
                <w:sz w:val="20"/>
                <w:szCs w:val="20"/>
              </w:rPr>
              <w:t>Rats</w:t>
            </w:r>
          </w:p>
        </w:tc>
        <w:tc>
          <w:tcPr>
            <w:tcW w:w="2181" w:type="dxa"/>
          </w:tcPr>
          <w:p w14:paraId="1B95139E" w14:textId="77777777" w:rsidR="008E67EA" w:rsidRPr="005D3D45" w:rsidRDefault="008E67EA" w:rsidP="00B44A74">
            <w:pPr>
              <w:spacing w:line="280" w:lineRule="exact"/>
              <w:rPr>
                <w:rFonts w:cs="Arial"/>
                <w:sz w:val="20"/>
                <w:szCs w:val="20"/>
              </w:rPr>
            </w:pPr>
            <w:r w:rsidRPr="005D3D45">
              <w:rPr>
                <w:rFonts w:cs="Arial"/>
                <w:sz w:val="20"/>
                <w:szCs w:val="20"/>
              </w:rPr>
              <w:t>In</w:t>
            </w:r>
            <w:r>
              <w:rPr>
                <w:rFonts w:cs="Arial"/>
                <w:sz w:val="20"/>
                <w:szCs w:val="20"/>
              </w:rPr>
              <w:t xml:space="preserve"> and around</w:t>
            </w:r>
            <w:r w:rsidRPr="005D3D45">
              <w:rPr>
                <w:rFonts w:cs="Arial"/>
                <w:sz w:val="20"/>
                <w:szCs w:val="20"/>
              </w:rPr>
              <w:t xml:space="preserve"> </w:t>
            </w:r>
            <w:r>
              <w:rPr>
                <w:rFonts w:cs="Arial"/>
                <w:sz w:val="20"/>
                <w:szCs w:val="20"/>
              </w:rPr>
              <w:t xml:space="preserve">(within 2 meters) </w:t>
            </w:r>
            <w:r w:rsidRPr="005D3D45">
              <w:rPr>
                <w:rFonts w:cs="Arial"/>
                <w:sz w:val="20"/>
                <w:szCs w:val="20"/>
              </w:rPr>
              <w:t>domestic buildings and commercial premises</w:t>
            </w:r>
          </w:p>
        </w:tc>
        <w:tc>
          <w:tcPr>
            <w:tcW w:w="1842" w:type="dxa"/>
          </w:tcPr>
          <w:p w14:paraId="411E6758" w14:textId="77777777" w:rsidR="008E67EA" w:rsidRPr="005D3D45" w:rsidRDefault="008E67EA" w:rsidP="00B44A74">
            <w:pPr>
              <w:spacing w:line="280" w:lineRule="exact"/>
              <w:rPr>
                <w:rFonts w:cs="Arial"/>
                <w:sz w:val="20"/>
                <w:szCs w:val="20"/>
              </w:rPr>
            </w:pPr>
            <w:r>
              <w:rPr>
                <w:rFonts w:cs="Arial"/>
                <w:sz w:val="20"/>
                <w:szCs w:val="20"/>
              </w:rPr>
              <w:t>[</w:t>
            </w:r>
            <w:r w:rsidRPr="001019EA">
              <w:rPr>
                <w:rFonts w:cs="Arial"/>
                <w:sz w:val="20"/>
                <w:szCs w:val="20"/>
              </w:rPr>
              <w:t>as per current approved label</w:t>
            </w:r>
            <w:r>
              <w:rPr>
                <w:rFonts w:cs="Arial"/>
                <w:sz w:val="20"/>
                <w:szCs w:val="20"/>
              </w:rPr>
              <w:t>]</w:t>
            </w:r>
          </w:p>
        </w:tc>
        <w:tc>
          <w:tcPr>
            <w:tcW w:w="3897" w:type="dxa"/>
          </w:tcPr>
          <w:p w14:paraId="466F77BB" w14:textId="77777777" w:rsidR="008E67EA" w:rsidRPr="005D3D45" w:rsidRDefault="008E67EA" w:rsidP="00B44A74">
            <w:pPr>
              <w:spacing w:line="280" w:lineRule="exact"/>
              <w:rPr>
                <w:rFonts w:cs="Arial"/>
                <w:sz w:val="20"/>
                <w:szCs w:val="20"/>
              </w:rPr>
            </w:pPr>
            <w:r w:rsidRPr="005D3D45">
              <w:rPr>
                <w:rFonts w:cs="Arial"/>
                <w:sz w:val="20"/>
                <w:szCs w:val="20"/>
              </w:rPr>
              <w:t xml:space="preserve">Place </w:t>
            </w:r>
            <w:r>
              <w:rPr>
                <w:rFonts w:cs="Arial"/>
                <w:sz w:val="20"/>
                <w:szCs w:val="20"/>
              </w:rPr>
              <w:t xml:space="preserve">a number of </w:t>
            </w:r>
            <w:r w:rsidRPr="005D3D45">
              <w:rPr>
                <w:rFonts w:cs="Arial"/>
                <w:sz w:val="20"/>
                <w:szCs w:val="20"/>
              </w:rPr>
              <w:t>bait stations</w:t>
            </w:r>
            <w:r>
              <w:rPr>
                <w:rFonts w:cs="Arial"/>
                <w:sz w:val="20"/>
                <w:szCs w:val="20"/>
              </w:rPr>
              <w:t xml:space="preserve"> in dry locations</w:t>
            </w:r>
            <w:r w:rsidRPr="005D3D45">
              <w:rPr>
                <w:rFonts w:cs="Arial"/>
                <w:sz w:val="20"/>
                <w:szCs w:val="20"/>
              </w:rPr>
              <w:t xml:space="preserve"> throughout the infested area, on runs, near burrows and where droppings are seen, not more than </w:t>
            </w:r>
            <w:r>
              <w:rPr>
                <w:rFonts w:cs="Arial"/>
                <w:sz w:val="20"/>
                <w:szCs w:val="20"/>
              </w:rPr>
              <w:t>9</w:t>
            </w:r>
            <w:r w:rsidRPr="005D3D45">
              <w:rPr>
                <w:rFonts w:cs="Arial"/>
                <w:sz w:val="20"/>
                <w:szCs w:val="20"/>
              </w:rPr>
              <w:t xml:space="preserve"> m apart.</w:t>
            </w:r>
          </w:p>
        </w:tc>
      </w:tr>
      <w:tr w:rsidR="008E67EA" w:rsidRPr="00FF36BF" w14:paraId="0403FB64" w14:textId="77777777" w:rsidTr="00604F9D">
        <w:trPr>
          <w:trHeight w:val="421"/>
        </w:trPr>
        <w:tc>
          <w:tcPr>
            <w:tcW w:w="9000" w:type="dxa"/>
            <w:gridSpan w:val="4"/>
          </w:tcPr>
          <w:p w14:paraId="6ABF3822" w14:textId="09AB4A88" w:rsidR="008E67EA" w:rsidRPr="001E6DA9" w:rsidRDefault="008E67EA" w:rsidP="00B44A74">
            <w:pPr>
              <w:spacing w:after="120" w:line="280" w:lineRule="exact"/>
              <w:rPr>
                <w:rFonts w:eastAsia="Calibri" w:cs="Arial"/>
                <w:b/>
                <w:bCs/>
                <w:sz w:val="20"/>
                <w:szCs w:val="20"/>
                <w:bdr w:val="none" w:sz="0" w:space="0" w:color="auto" w:frame="1"/>
                <w:lang w:val="en-GB"/>
              </w:rPr>
            </w:pPr>
            <w:r w:rsidRPr="001E6DA9">
              <w:rPr>
                <w:rFonts w:eastAsia="Calibri" w:cs="Arial"/>
                <w:b/>
                <w:bCs/>
                <w:sz w:val="20"/>
                <w:szCs w:val="20"/>
                <w:bdr w:val="none" w:sz="0" w:space="0" w:color="auto" w:frame="1"/>
                <w:lang w:val="en-GB"/>
              </w:rPr>
              <w:t>General Information and baiting strategy for and mice:</w:t>
            </w:r>
          </w:p>
          <w:p w14:paraId="44D9738D" w14:textId="0B56F52A" w:rsidR="008E67EA" w:rsidRDefault="008E67EA" w:rsidP="00B44A74">
            <w:pPr>
              <w:spacing w:after="120" w:line="280" w:lineRule="exact"/>
              <w:rPr>
                <w:rFonts w:eastAsia="Calibri" w:cs="Arial"/>
                <w:sz w:val="20"/>
                <w:szCs w:val="20"/>
                <w:bdr w:val="none" w:sz="0" w:space="0" w:color="auto" w:frame="1"/>
                <w:lang w:val="en-GB"/>
              </w:rPr>
            </w:pPr>
            <w:r w:rsidRPr="001E6DA9">
              <w:rPr>
                <w:rFonts w:eastAsia="Calibri" w:cs="Arial"/>
                <w:sz w:val="20"/>
                <w:szCs w:val="20"/>
                <w:bdr w:val="none" w:sz="0" w:space="0" w:color="auto" w:frame="1"/>
                <w:lang w:val="en-GB"/>
              </w:rPr>
              <w:t>Eliminate as far as practicable, all other food sources.</w:t>
            </w:r>
          </w:p>
          <w:p w14:paraId="6532C415" w14:textId="77777777" w:rsidR="008E67EA" w:rsidRPr="001E6DA9" w:rsidRDefault="008E67EA" w:rsidP="00B44A74">
            <w:pPr>
              <w:spacing w:after="120" w:line="280" w:lineRule="exact"/>
              <w:rPr>
                <w:rFonts w:eastAsia="Calibri" w:cs="Arial"/>
                <w:sz w:val="20"/>
                <w:szCs w:val="20"/>
                <w:bdr w:val="none" w:sz="0" w:space="0" w:color="auto" w:frame="1"/>
                <w:lang w:val="en-GB"/>
              </w:rPr>
            </w:pPr>
            <w:r w:rsidRPr="001E6DA9">
              <w:rPr>
                <w:rFonts w:eastAsia="Calibri" w:cs="Arial"/>
                <w:sz w:val="20"/>
                <w:szCs w:val="20"/>
                <w:bdr w:val="none" w:sz="0" w:space="0" w:color="auto" w:frame="1"/>
                <w:lang w:val="en-GB"/>
              </w:rPr>
              <w:t>Always place bait where it is inaccessible to children, animals and birds. Use in tamper resistant bait stations only. If bait can be dislodged from bait station, fix tamper-resistant bait stations to the ground or other structures.</w:t>
            </w:r>
            <w:r>
              <w:t xml:space="preserve"> </w:t>
            </w:r>
            <w:r w:rsidRPr="00055BC6">
              <w:rPr>
                <w:rFonts w:eastAsia="Calibri" w:cs="Arial"/>
                <w:sz w:val="20"/>
                <w:szCs w:val="20"/>
                <w:bdr w:val="none" w:sz="0" w:space="0" w:color="auto" w:frame="1"/>
                <w:lang w:val="en-GB"/>
              </w:rPr>
              <w:t>When using outdoors, use weather resistant bait stations.</w:t>
            </w:r>
            <w:r>
              <w:rPr>
                <w:rFonts w:eastAsia="Calibri" w:cs="Arial"/>
                <w:sz w:val="20"/>
                <w:szCs w:val="20"/>
                <w:bdr w:val="none" w:sz="0" w:space="0" w:color="auto" w:frame="1"/>
                <w:lang w:val="en-GB"/>
              </w:rPr>
              <w:t xml:space="preserve"> DO NOT touch bait.</w:t>
            </w:r>
          </w:p>
          <w:p w14:paraId="67994DFE" w14:textId="2207F0C0" w:rsidR="008E67EA" w:rsidRPr="001E6DA9" w:rsidRDefault="008E67EA" w:rsidP="00B44A74">
            <w:pPr>
              <w:spacing w:after="120" w:line="280" w:lineRule="exact"/>
              <w:rPr>
                <w:rFonts w:eastAsia="Calibri" w:cs="Arial"/>
                <w:sz w:val="20"/>
                <w:szCs w:val="20"/>
                <w:bdr w:val="none" w:sz="0" w:space="0" w:color="auto" w:frame="1"/>
                <w:lang w:val="en-GB"/>
              </w:rPr>
            </w:pPr>
            <w:r w:rsidRPr="001E6DA9">
              <w:rPr>
                <w:rFonts w:eastAsia="Calibri" w:cs="Arial"/>
                <w:sz w:val="20"/>
                <w:szCs w:val="20"/>
                <w:bdr w:val="none" w:sz="0" w:space="0" w:color="auto" w:frame="1"/>
                <w:lang w:val="en-GB"/>
              </w:rPr>
              <w:t xml:space="preserve">Inspect baits frequently, particularly in the first ten days. </w:t>
            </w:r>
            <w:r>
              <w:rPr>
                <w:rFonts w:eastAsia="Calibri" w:cs="Arial"/>
                <w:sz w:val="20"/>
                <w:szCs w:val="20"/>
                <w:bdr w:val="none" w:sz="0" w:space="0" w:color="auto" w:frame="1"/>
                <w:lang w:val="en-GB"/>
              </w:rPr>
              <w:t xml:space="preserve">Replace eaten bait. </w:t>
            </w:r>
            <w:r w:rsidRPr="001E6DA9">
              <w:rPr>
                <w:rFonts w:eastAsia="Calibri" w:cs="Arial"/>
                <w:sz w:val="20"/>
                <w:szCs w:val="20"/>
                <w:bdr w:val="none" w:sz="0" w:space="0" w:color="auto" w:frame="1"/>
                <w:lang w:val="en-GB"/>
              </w:rPr>
              <w:t>If bait is completely consumed, the number of bait stations should be increased. Continue replenishing bait until left untouched. Baiting for at least 2 weeks will be necessary to reduce mouse numbers. Most deaths occur 4 to 7 days after consumption of bait, but deaths may occur for up to 2 weeks.</w:t>
            </w:r>
          </w:p>
          <w:p w14:paraId="7F51E67B" w14:textId="77777777" w:rsidR="008E67EA" w:rsidRPr="00246206" w:rsidRDefault="008E67EA" w:rsidP="00B44A74">
            <w:pPr>
              <w:spacing w:after="120" w:line="280" w:lineRule="exact"/>
              <w:rPr>
                <w:rFonts w:eastAsia="Calibri" w:cs="Arial"/>
                <w:sz w:val="20"/>
                <w:szCs w:val="20"/>
                <w:bdr w:val="none" w:sz="0" w:space="0" w:color="auto" w:frame="1"/>
                <w:lang w:val="en-GB"/>
              </w:rPr>
            </w:pPr>
            <w:r w:rsidRPr="001E6DA9">
              <w:rPr>
                <w:rFonts w:eastAsia="Calibri" w:cs="Arial"/>
                <w:sz w:val="20"/>
                <w:szCs w:val="20"/>
                <w:bdr w:val="none" w:sz="0" w:space="0" w:color="auto" w:frame="1"/>
                <w:lang w:val="en-GB"/>
              </w:rPr>
              <w:t xml:space="preserve">Following treatment remove all remains of bait and bait stations. </w:t>
            </w:r>
            <w:r w:rsidRPr="003A1942">
              <w:rPr>
                <w:rFonts w:eastAsia="Calibri" w:cs="Arial"/>
                <w:sz w:val="20"/>
                <w:szCs w:val="20"/>
                <w:bdr w:val="none" w:sz="0" w:space="0" w:color="auto" w:frame="1"/>
                <w:lang w:val="en-GB"/>
              </w:rPr>
              <w:t>DO NOT use the product for longer than 35 days. If rodent activity is still observed after 35 days, seek advice from the product supplier or call a pest control service.</w:t>
            </w:r>
          </w:p>
        </w:tc>
      </w:tr>
    </w:tbl>
    <w:p w14:paraId="6D894C29" w14:textId="25ABBAD6" w:rsidR="008E67EA" w:rsidRDefault="008E67EA" w:rsidP="008E67EA">
      <w:pPr>
        <w:rPr>
          <w:rFonts w:cs="Arial"/>
          <w:b/>
          <w:bCs/>
          <w:sz w:val="20"/>
          <w:szCs w:val="20"/>
          <w:bdr w:val="none" w:sz="0" w:space="0" w:color="auto" w:frame="1"/>
          <w:lang w:val="en-GB" w:eastAsia="en-AU"/>
        </w:rPr>
      </w:pPr>
      <w:r w:rsidRPr="00FF36BF">
        <w:rPr>
          <w:rFonts w:cs="Arial"/>
          <w:b/>
          <w:bCs/>
          <w:sz w:val="20"/>
          <w:szCs w:val="20"/>
        </w:rPr>
        <w:t>NOT TO BE USED FOR ANY PURPOSE, OR IN ANY MANNER, CONTRARY TO THIS LABEL UNLESS AUTHORISED.</w:t>
      </w:r>
      <w:r>
        <w:rPr>
          <w:rFonts w:cs="Arial"/>
          <w:b/>
          <w:bCs/>
          <w:sz w:val="20"/>
          <w:szCs w:val="20"/>
          <w:bdr w:val="none" w:sz="0" w:space="0" w:color="auto" w:frame="1"/>
          <w:lang w:val="en-GB" w:eastAsia="en-AU"/>
        </w:rPr>
        <w:br w:type="page"/>
      </w:r>
    </w:p>
    <w:p w14:paraId="473BA9DE" w14:textId="77777777" w:rsidR="008E67EA" w:rsidRPr="00DA343B" w:rsidRDefault="008E67EA" w:rsidP="008E67EA">
      <w:pPr>
        <w:pStyle w:val="Heading1"/>
        <w:rPr>
          <w:rFonts w:ascii="Franklin Gothic Medium" w:eastAsia="Arial Unicode MS" w:hAnsi="Franklin Gothic Medium"/>
          <w:color w:val="000000" w:themeColor="text1"/>
          <w:sz w:val="28"/>
          <w:szCs w:val="28"/>
          <w:bdr w:val="none" w:sz="0" w:space="0" w:color="auto" w:frame="1"/>
          <w:lang w:val="en-GB" w:eastAsia="en-AU"/>
        </w:rPr>
      </w:pPr>
      <w:r>
        <w:rPr>
          <w:rFonts w:ascii="Franklin Gothic Medium" w:eastAsia="Arial Unicode MS" w:hAnsi="Franklin Gothic Medium"/>
          <w:color w:val="000000" w:themeColor="text1"/>
          <w:sz w:val="28"/>
          <w:szCs w:val="28"/>
          <w:bdr w:val="none" w:sz="0" w:space="0" w:color="auto" w:frame="1"/>
          <w:lang w:val="en-GB" w:eastAsia="en-AU"/>
        </w:rPr>
        <w:lastRenderedPageBreak/>
        <w:t>Difethialone</w:t>
      </w:r>
    </w:p>
    <w:p w14:paraId="56F095EB" w14:textId="77777777" w:rsidR="008E67EA" w:rsidRDefault="008E67EA" w:rsidP="008E67EA">
      <w:pPr>
        <w:keepNext/>
        <w:keepLines/>
        <w:spacing w:before="400" w:after="240" w:line="280" w:lineRule="exact"/>
        <w:outlineLvl w:val="1"/>
        <w:rPr>
          <w:rFonts w:ascii="Franklin Gothic Medium" w:eastAsia="Arial Unicode MS" w:hAnsi="Franklin Gothic Medium"/>
          <w:bCs/>
          <w:iCs/>
          <w:bdr w:val="none" w:sz="0" w:space="0" w:color="auto" w:frame="1"/>
          <w:lang w:val="en-GB" w:eastAsia="en-AU"/>
        </w:rPr>
      </w:pPr>
      <w:r w:rsidRPr="00FF36BF">
        <w:rPr>
          <w:rFonts w:ascii="Franklin Gothic Medium" w:eastAsia="Arial Unicode MS" w:hAnsi="Franklin Gothic Medium"/>
          <w:bCs/>
          <w:iCs/>
          <w:bdr w:val="none" w:sz="0" w:space="0" w:color="auto" w:frame="1"/>
          <w:lang w:val="en-GB" w:eastAsia="en-AU"/>
        </w:rPr>
        <w:t>Commercial</w:t>
      </w:r>
      <w:r>
        <w:rPr>
          <w:rFonts w:ascii="Franklin Gothic Medium" w:eastAsia="Arial Unicode MS" w:hAnsi="Franklin Gothic Medium"/>
          <w:bCs/>
          <w:iCs/>
          <w:bdr w:val="none" w:sz="0" w:space="0" w:color="auto" w:frame="1"/>
          <w:lang w:val="en-GB" w:eastAsia="en-AU"/>
        </w:rPr>
        <w:t xml:space="preserve"> pest-control product:</w:t>
      </w:r>
      <w:r w:rsidRPr="00FF36BF">
        <w:rPr>
          <w:rFonts w:ascii="Franklin Gothic Medium" w:eastAsia="Arial Unicode MS" w:hAnsi="Franklin Gothic Medium"/>
          <w:bCs/>
          <w:iCs/>
          <w:bdr w:val="none" w:sz="0" w:space="0" w:color="auto" w:frame="1"/>
          <w:lang w:val="en-GB" w:eastAsia="en-AU"/>
        </w:rPr>
        <w:t xml:space="preserve"> </w:t>
      </w:r>
      <w:r w:rsidRPr="00DA343B">
        <w:rPr>
          <w:rFonts w:ascii="Franklin Gothic Medium" w:eastAsia="Arial Unicode MS" w:hAnsi="Franklin Gothic Medium"/>
          <w:bCs/>
          <w:iCs/>
          <w:bdr w:val="none" w:sz="0" w:space="0" w:color="auto" w:frame="1"/>
          <w:lang w:val="en-GB" w:eastAsia="en-AU"/>
        </w:rPr>
        <w:t>RB 0.025 g/kg or less in block formulation</w:t>
      </w:r>
    </w:p>
    <w:p w14:paraId="66B44444" w14:textId="77777777" w:rsidR="008E67EA"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t xml:space="preserve">Template Label </w:t>
      </w:r>
      <w:r>
        <w:rPr>
          <w:rFonts w:cs="Arial"/>
          <w:b/>
          <w:bCs/>
          <w:sz w:val="20"/>
          <w:szCs w:val="20"/>
          <w:bdr w:val="none" w:sz="0" w:space="0" w:color="auto" w:frame="1"/>
          <w:lang w:val="en-GB" w:eastAsia="en-AU"/>
        </w:rPr>
        <w:t>24</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2B5B5B" w14:paraId="2445E78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CABD41F" w14:textId="77777777" w:rsidR="008E67EA" w:rsidRPr="00F5215F" w:rsidRDefault="008E67EA" w:rsidP="00B44A74">
            <w:pPr>
              <w:spacing w:line="280" w:lineRule="exact"/>
              <w:rPr>
                <w:rFonts w:cs="Arial"/>
                <w:sz w:val="20"/>
                <w:szCs w:val="20"/>
              </w:rPr>
            </w:pPr>
            <w:r w:rsidRPr="00F5215F">
              <w:rPr>
                <w:rFonts w:cs="Arial"/>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56F586EC" w14:textId="77777777" w:rsidR="008E67EA" w:rsidRPr="0015462A" w:rsidRDefault="008E67EA" w:rsidP="00B44A74">
            <w:pPr>
              <w:spacing w:line="280" w:lineRule="exact"/>
              <w:rPr>
                <w:rFonts w:cs="Arial"/>
                <w:sz w:val="20"/>
                <w:szCs w:val="20"/>
              </w:rPr>
            </w:pPr>
            <w:r w:rsidRPr="0015462A">
              <w:rPr>
                <w:rFonts w:cs="Arial"/>
                <w:sz w:val="20"/>
                <w:szCs w:val="20"/>
              </w:rPr>
              <w:t>[INSERT LABEL NAME]</w:t>
            </w:r>
          </w:p>
        </w:tc>
      </w:tr>
      <w:tr w:rsidR="008E67EA" w:rsidRPr="002B5B5B" w14:paraId="18CEB4BF" w14:textId="77777777" w:rsidTr="00B44A74">
        <w:trPr>
          <w:jc w:val="center"/>
        </w:trPr>
        <w:tc>
          <w:tcPr>
            <w:tcW w:w="2415" w:type="dxa"/>
            <w:tcBorders>
              <w:top w:val="single" w:sz="4" w:space="0" w:color="auto"/>
              <w:left w:val="nil"/>
              <w:bottom w:val="single" w:sz="4" w:space="0" w:color="auto"/>
              <w:right w:val="nil"/>
            </w:tcBorders>
          </w:tcPr>
          <w:p w14:paraId="28CFC6B7"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6071573" w14:textId="77777777" w:rsidR="008E67EA" w:rsidRPr="0015462A" w:rsidRDefault="008E67EA" w:rsidP="00B44A74">
            <w:pPr>
              <w:spacing w:line="280" w:lineRule="exact"/>
              <w:rPr>
                <w:rFonts w:cs="Arial"/>
                <w:sz w:val="20"/>
                <w:szCs w:val="20"/>
              </w:rPr>
            </w:pPr>
          </w:p>
        </w:tc>
      </w:tr>
      <w:tr w:rsidR="008E67EA" w:rsidRPr="002B5B5B" w14:paraId="4E41647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CF8C04E" w14:textId="77777777" w:rsidR="008E67EA" w:rsidRPr="00F5215F" w:rsidRDefault="008E67EA" w:rsidP="00B44A74">
            <w:pPr>
              <w:spacing w:line="280" w:lineRule="exact"/>
              <w:rPr>
                <w:rFonts w:cs="Arial"/>
                <w:sz w:val="20"/>
                <w:szCs w:val="20"/>
              </w:rPr>
            </w:pPr>
            <w:r w:rsidRPr="00F5215F">
              <w:rPr>
                <w:rFonts w:cs="Arial"/>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7DF63DA9" w14:textId="77777777" w:rsidR="008E67EA" w:rsidRPr="00793D7B" w:rsidRDefault="008E67EA" w:rsidP="00B44A74">
            <w:pPr>
              <w:spacing w:line="280" w:lineRule="exact"/>
              <w:rPr>
                <w:rFonts w:cs="Arial"/>
                <w:sz w:val="20"/>
                <w:szCs w:val="20"/>
              </w:rPr>
            </w:pPr>
            <w:r w:rsidRPr="00793D7B">
              <w:rPr>
                <w:rFonts w:cs="Arial"/>
                <w:sz w:val="20"/>
                <w:szCs w:val="20"/>
              </w:rPr>
              <w:t>POISON</w:t>
            </w:r>
          </w:p>
          <w:p w14:paraId="6AA8679D" w14:textId="77777777" w:rsidR="008E67EA" w:rsidRPr="00793D7B" w:rsidRDefault="008E67EA" w:rsidP="00B44A74">
            <w:pPr>
              <w:spacing w:line="280" w:lineRule="exact"/>
              <w:rPr>
                <w:rFonts w:cs="Arial"/>
                <w:sz w:val="20"/>
                <w:szCs w:val="20"/>
              </w:rPr>
            </w:pPr>
            <w:r w:rsidRPr="00793D7B">
              <w:rPr>
                <w:rFonts w:cs="Arial"/>
                <w:sz w:val="20"/>
                <w:szCs w:val="20"/>
              </w:rPr>
              <w:t>KEEP OUT OF REACH OF CHILDREN</w:t>
            </w:r>
          </w:p>
          <w:p w14:paraId="599BEF8A" w14:textId="77777777" w:rsidR="008E67EA" w:rsidRPr="00E5016C" w:rsidRDefault="008E67EA" w:rsidP="00B44A74">
            <w:pPr>
              <w:spacing w:line="280" w:lineRule="exact"/>
              <w:rPr>
                <w:rFonts w:cs="Arial"/>
                <w:sz w:val="20"/>
                <w:szCs w:val="20"/>
              </w:rPr>
            </w:pPr>
            <w:r w:rsidRPr="00793D7B">
              <w:rPr>
                <w:rFonts w:cs="Arial"/>
                <w:sz w:val="20"/>
                <w:szCs w:val="20"/>
              </w:rPr>
              <w:t>READ SAFETY DIRECIONS BEFORE OPENING OR USING</w:t>
            </w:r>
          </w:p>
        </w:tc>
      </w:tr>
      <w:tr w:rsidR="008E67EA" w:rsidRPr="002B5B5B" w14:paraId="369D5437" w14:textId="77777777" w:rsidTr="00B44A74">
        <w:trPr>
          <w:jc w:val="center"/>
        </w:trPr>
        <w:tc>
          <w:tcPr>
            <w:tcW w:w="2415" w:type="dxa"/>
            <w:tcBorders>
              <w:top w:val="single" w:sz="4" w:space="0" w:color="auto"/>
              <w:left w:val="nil"/>
              <w:bottom w:val="single" w:sz="4" w:space="0" w:color="auto"/>
              <w:right w:val="nil"/>
            </w:tcBorders>
          </w:tcPr>
          <w:p w14:paraId="3DB8E3B4"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904577D" w14:textId="77777777" w:rsidR="008E67EA" w:rsidRPr="0015462A" w:rsidRDefault="008E67EA" w:rsidP="00B44A74">
            <w:pPr>
              <w:spacing w:line="280" w:lineRule="exact"/>
              <w:rPr>
                <w:rFonts w:cs="Arial"/>
                <w:sz w:val="20"/>
                <w:szCs w:val="20"/>
              </w:rPr>
            </w:pPr>
          </w:p>
        </w:tc>
      </w:tr>
      <w:tr w:rsidR="008E67EA" w:rsidRPr="002B5B5B" w14:paraId="170DF81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CB49AEB" w14:textId="77777777" w:rsidR="008E67EA" w:rsidRPr="00F5215F" w:rsidRDefault="008E67EA" w:rsidP="00B44A74">
            <w:pPr>
              <w:spacing w:line="280" w:lineRule="exact"/>
              <w:rPr>
                <w:rFonts w:cs="Arial"/>
                <w:sz w:val="20"/>
                <w:szCs w:val="20"/>
              </w:rPr>
            </w:pPr>
            <w:r w:rsidRPr="00F5215F">
              <w:rPr>
                <w:rFonts w:cs="Arial"/>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47A81A83" w14:textId="77777777" w:rsidR="008E67EA" w:rsidRPr="00793D7B" w:rsidRDefault="008E67EA" w:rsidP="00B44A74">
            <w:pPr>
              <w:spacing w:line="280" w:lineRule="exact"/>
              <w:rPr>
                <w:rFonts w:cs="Arial"/>
                <w:sz w:val="20"/>
                <w:szCs w:val="20"/>
              </w:rPr>
            </w:pPr>
            <w:r w:rsidRPr="00793D7B">
              <w:rPr>
                <w:rFonts w:cs="Arial"/>
                <w:sz w:val="20"/>
                <w:szCs w:val="20"/>
              </w:rPr>
              <w:t>ACTIVE CONSTITUENT: 0.025 g/kg DIFETHIALONE</w:t>
            </w:r>
          </w:p>
        </w:tc>
      </w:tr>
      <w:tr w:rsidR="008E67EA" w:rsidRPr="002B5B5B" w14:paraId="58EF4B8A" w14:textId="77777777" w:rsidTr="00B44A74">
        <w:trPr>
          <w:jc w:val="center"/>
        </w:trPr>
        <w:tc>
          <w:tcPr>
            <w:tcW w:w="2415" w:type="dxa"/>
            <w:tcBorders>
              <w:top w:val="single" w:sz="4" w:space="0" w:color="auto"/>
              <w:left w:val="nil"/>
              <w:bottom w:val="single" w:sz="4" w:space="0" w:color="auto"/>
              <w:right w:val="nil"/>
            </w:tcBorders>
          </w:tcPr>
          <w:p w14:paraId="0DF29446"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E2EEAB7" w14:textId="77777777" w:rsidR="008E67EA" w:rsidRPr="0015462A" w:rsidRDefault="008E67EA" w:rsidP="00B44A74">
            <w:pPr>
              <w:spacing w:line="280" w:lineRule="exact"/>
              <w:rPr>
                <w:rFonts w:cs="Arial"/>
                <w:sz w:val="20"/>
                <w:szCs w:val="20"/>
              </w:rPr>
            </w:pPr>
          </w:p>
        </w:tc>
      </w:tr>
      <w:tr w:rsidR="008E67EA" w:rsidRPr="00994236" w14:paraId="04C12DE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F31DDE6" w14:textId="77777777" w:rsidR="008E67EA" w:rsidRPr="00F5215F" w:rsidRDefault="008E67EA" w:rsidP="00B44A74">
            <w:pPr>
              <w:spacing w:line="280" w:lineRule="exact"/>
              <w:rPr>
                <w:rFonts w:cs="Arial"/>
                <w:sz w:val="20"/>
                <w:szCs w:val="20"/>
              </w:rPr>
            </w:pPr>
            <w:r w:rsidRPr="00F5215F">
              <w:rPr>
                <w:rFonts w:cs="Arial"/>
                <w:sz w:val="20"/>
                <w:szCs w:val="20"/>
              </w:rPr>
              <w:t>Mode of Action:</w:t>
            </w:r>
          </w:p>
        </w:tc>
        <w:tc>
          <w:tcPr>
            <w:tcW w:w="7755" w:type="dxa"/>
            <w:tcBorders>
              <w:top w:val="single" w:sz="4" w:space="0" w:color="auto"/>
              <w:left w:val="single" w:sz="4" w:space="0" w:color="auto"/>
              <w:bottom w:val="single" w:sz="4" w:space="0" w:color="auto"/>
              <w:right w:val="single" w:sz="4" w:space="0" w:color="auto"/>
            </w:tcBorders>
          </w:tcPr>
          <w:p w14:paraId="671AA88E" w14:textId="77777777" w:rsidR="008E67EA" w:rsidRPr="0015462A" w:rsidRDefault="008E67EA" w:rsidP="00B44A74">
            <w:pPr>
              <w:spacing w:line="280" w:lineRule="exact"/>
              <w:jc w:val="both"/>
              <w:rPr>
                <w:rFonts w:cs="Arial"/>
                <w:sz w:val="20"/>
                <w:szCs w:val="20"/>
              </w:rPr>
            </w:pPr>
          </w:p>
        </w:tc>
      </w:tr>
      <w:tr w:rsidR="008E67EA" w:rsidRPr="002B5B5B" w14:paraId="5D09FEE5" w14:textId="77777777" w:rsidTr="00B44A74">
        <w:trPr>
          <w:jc w:val="center"/>
        </w:trPr>
        <w:tc>
          <w:tcPr>
            <w:tcW w:w="2415" w:type="dxa"/>
            <w:tcBorders>
              <w:top w:val="single" w:sz="4" w:space="0" w:color="auto"/>
              <w:left w:val="nil"/>
              <w:bottom w:val="single" w:sz="4" w:space="0" w:color="auto"/>
              <w:right w:val="nil"/>
            </w:tcBorders>
          </w:tcPr>
          <w:p w14:paraId="020B8484"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EE75DE6" w14:textId="77777777" w:rsidR="008E67EA" w:rsidRPr="0015462A" w:rsidRDefault="008E67EA" w:rsidP="00B44A74">
            <w:pPr>
              <w:spacing w:line="280" w:lineRule="exact"/>
              <w:rPr>
                <w:rFonts w:cs="Arial"/>
                <w:sz w:val="20"/>
                <w:szCs w:val="20"/>
              </w:rPr>
            </w:pPr>
          </w:p>
        </w:tc>
      </w:tr>
      <w:tr w:rsidR="008E67EA" w:rsidRPr="002B5B5B" w14:paraId="0D47A99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3848CD4" w14:textId="77777777" w:rsidR="008E67EA" w:rsidRPr="00F5215F" w:rsidRDefault="008E67EA" w:rsidP="00B44A74">
            <w:pPr>
              <w:spacing w:line="280" w:lineRule="exact"/>
              <w:rPr>
                <w:rFonts w:cs="Arial"/>
                <w:sz w:val="20"/>
                <w:szCs w:val="20"/>
              </w:rPr>
            </w:pPr>
            <w:r w:rsidRPr="00F5215F">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6F1B8198" w14:textId="77777777" w:rsidR="008E67EA" w:rsidRPr="00793D7B" w:rsidRDefault="008E67EA" w:rsidP="00B44A74">
            <w:pPr>
              <w:spacing w:line="280" w:lineRule="exact"/>
              <w:rPr>
                <w:rFonts w:cs="Arial"/>
                <w:sz w:val="20"/>
                <w:szCs w:val="20"/>
              </w:rPr>
            </w:pPr>
            <w:r>
              <w:rPr>
                <w:rFonts w:cs="Arial"/>
                <w:sz w:val="20"/>
                <w:szCs w:val="20"/>
              </w:rPr>
              <w:t>For c</w:t>
            </w:r>
            <w:r w:rsidRPr="00793D7B">
              <w:rPr>
                <w:rFonts w:cs="Arial"/>
                <w:sz w:val="20"/>
                <w:szCs w:val="20"/>
              </w:rPr>
              <w:t>ontrol</w:t>
            </w:r>
            <w:r>
              <w:rPr>
                <w:rFonts w:cs="Arial"/>
                <w:sz w:val="20"/>
                <w:szCs w:val="20"/>
              </w:rPr>
              <w:t xml:space="preserve"> of</w:t>
            </w:r>
            <w:r w:rsidRPr="00793D7B">
              <w:rPr>
                <w:rFonts w:cs="Arial"/>
                <w:sz w:val="20"/>
                <w:szCs w:val="20"/>
              </w:rPr>
              <w:t xml:space="preserve"> mice in industrial, commercial, agricultural and domestic buildings and rats in and around industrial, commercial, agricultural and domestic buildings.</w:t>
            </w:r>
          </w:p>
        </w:tc>
      </w:tr>
      <w:tr w:rsidR="008E67EA" w:rsidRPr="002B5B5B" w14:paraId="099D6FB4" w14:textId="77777777" w:rsidTr="00B44A74">
        <w:trPr>
          <w:jc w:val="center"/>
        </w:trPr>
        <w:tc>
          <w:tcPr>
            <w:tcW w:w="2415" w:type="dxa"/>
            <w:tcBorders>
              <w:top w:val="single" w:sz="4" w:space="0" w:color="auto"/>
              <w:left w:val="nil"/>
              <w:bottom w:val="single" w:sz="4" w:space="0" w:color="auto"/>
              <w:right w:val="nil"/>
            </w:tcBorders>
          </w:tcPr>
          <w:p w14:paraId="1141EBFC"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906EC21" w14:textId="77777777" w:rsidR="008E67EA" w:rsidRPr="0015462A" w:rsidRDefault="008E67EA" w:rsidP="00B44A74">
            <w:pPr>
              <w:spacing w:line="280" w:lineRule="exact"/>
              <w:rPr>
                <w:rFonts w:cs="Arial"/>
                <w:sz w:val="20"/>
                <w:szCs w:val="20"/>
              </w:rPr>
            </w:pPr>
          </w:p>
        </w:tc>
      </w:tr>
      <w:tr w:rsidR="008E67EA" w:rsidRPr="002B5B5B" w14:paraId="561DA18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7D30B54" w14:textId="77777777" w:rsidR="008E67EA" w:rsidRPr="00F5215F" w:rsidRDefault="008E67EA" w:rsidP="00B44A74">
            <w:pPr>
              <w:spacing w:line="280" w:lineRule="exact"/>
              <w:rPr>
                <w:rFonts w:cs="Arial"/>
                <w:sz w:val="20"/>
                <w:szCs w:val="20"/>
              </w:rPr>
            </w:pPr>
            <w:r w:rsidRPr="00F5215F">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76668588" w14:textId="77777777" w:rsidR="008E67EA" w:rsidRPr="0015462A" w:rsidRDefault="008E67EA" w:rsidP="00B44A74">
            <w:pPr>
              <w:spacing w:line="280" w:lineRule="exact"/>
              <w:rPr>
                <w:rFonts w:cs="Arial"/>
                <w:sz w:val="20"/>
                <w:szCs w:val="20"/>
              </w:rPr>
            </w:pPr>
            <w:r w:rsidRPr="0015462A">
              <w:rPr>
                <w:rFonts w:cs="Arial"/>
                <w:sz w:val="20"/>
                <w:szCs w:val="20"/>
              </w:rPr>
              <w:t xml:space="preserve">[INSERT </w:t>
            </w:r>
            <w:r>
              <w:rPr>
                <w:rFonts w:cs="Arial"/>
                <w:sz w:val="20"/>
                <w:szCs w:val="20"/>
              </w:rPr>
              <w:t>NET CONTENTS</w:t>
            </w:r>
            <w:r w:rsidRPr="0015462A">
              <w:rPr>
                <w:rFonts w:cs="Arial"/>
                <w:sz w:val="20"/>
                <w:szCs w:val="20"/>
              </w:rPr>
              <w:t>]</w:t>
            </w:r>
          </w:p>
        </w:tc>
      </w:tr>
      <w:tr w:rsidR="008E67EA" w:rsidRPr="002B5B5B" w14:paraId="3D2E944F" w14:textId="77777777" w:rsidTr="00B44A74">
        <w:trPr>
          <w:jc w:val="center"/>
        </w:trPr>
        <w:tc>
          <w:tcPr>
            <w:tcW w:w="2415" w:type="dxa"/>
            <w:tcBorders>
              <w:top w:val="single" w:sz="4" w:space="0" w:color="auto"/>
              <w:left w:val="nil"/>
              <w:bottom w:val="single" w:sz="4" w:space="0" w:color="auto"/>
              <w:right w:val="nil"/>
            </w:tcBorders>
          </w:tcPr>
          <w:p w14:paraId="49CA79E8"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7B38628" w14:textId="77777777" w:rsidR="008E67EA" w:rsidRPr="002B5B5B" w:rsidRDefault="008E67EA" w:rsidP="00B44A74">
            <w:pPr>
              <w:spacing w:line="280" w:lineRule="exact"/>
              <w:rPr>
                <w:rFonts w:cs="Arial"/>
                <w:sz w:val="20"/>
                <w:szCs w:val="20"/>
              </w:rPr>
            </w:pPr>
          </w:p>
        </w:tc>
      </w:tr>
      <w:tr w:rsidR="008E67EA" w:rsidRPr="002B5B5B" w14:paraId="699AAC3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EFC6434" w14:textId="77777777" w:rsidR="008E67EA" w:rsidRPr="00F5215F" w:rsidRDefault="008E67EA" w:rsidP="00B44A74">
            <w:pPr>
              <w:spacing w:line="280" w:lineRule="exact"/>
              <w:rPr>
                <w:rFonts w:cs="Arial"/>
                <w:sz w:val="20"/>
                <w:szCs w:val="20"/>
              </w:rPr>
            </w:pPr>
            <w:r w:rsidRPr="00F5215F">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739CFFFF" w14:textId="77777777" w:rsidR="008E67EA" w:rsidRDefault="008E67EA" w:rsidP="00B44A74">
            <w:pPr>
              <w:spacing w:line="280" w:lineRule="exact"/>
              <w:rPr>
                <w:rFonts w:cs="Arial"/>
                <w:sz w:val="20"/>
                <w:szCs w:val="20"/>
              </w:rPr>
            </w:pPr>
            <w:r>
              <w:rPr>
                <w:rFonts w:cs="Arial"/>
                <w:sz w:val="20"/>
                <w:szCs w:val="20"/>
              </w:rPr>
              <w:t>RESTRAINTS</w:t>
            </w:r>
          </w:p>
          <w:p w14:paraId="6915C30F" w14:textId="77777777" w:rsidR="008E67EA" w:rsidRPr="00793D7B" w:rsidRDefault="008E67EA" w:rsidP="00B44A74">
            <w:pPr>
              <w:spacing w:line="280" w:lineRule="exact"/>
              <w:rPr>
                <w:rFonts w:cs="Arial"/>
                <w:sz w:val="20"/>
                <w:szCs w:val="20"/>
              </w:rPr>
            </w:pPr>
            <w:r w:rsidRPr="00793D7B">
              <w:rPr>
                <w:rFonts w:cs="Arial"/>
                <w:sz w:val="20"/>
                <w:szCs w:val="20"/>
              </w:rPr>
              <w:t>DO NOT use this product unless you have a current qualification in the nationally recognised training course for rodent pest management CPPUPM3006 - Manage pests by applying pesticides, or an equivalent unit of competency.</w:t>
            </w:r>
          </w:p>
          <w:p w14:paraId="02E9062C" w14:textId="482B695A" w:rsidR="008E67EA" w:rsidRPr="00793D7B" w:rsidRDefault="008E67EA" w:rsidP="00B44A74">
            <w:pPr>
              <w:spacing w:line="280" w:lineRule="exact"/>
              <w:rPr>
                <w:rFonts w:cs="Arial"/>
                <w:sz w:val="20"/>
                <w:szCs w:val="20"/>
              </w:rPr>
            </w:pPr>
            <w:r w:rsidRPr="00793D7B">
              <w:rPr>
                <w:rFonts w:cs="Arial"/>
                <w:sz w:val="20"/>
                <w:szCs w:val="20"/>
              </w:rPr>
              <w:t>DO NOT place baits in areas that are accessible to children. In child-accessible areas baits must be placed in tamper-</w:t>
            </w:r>
            <w:r>
              <w:rPr>
                <w:rFonts w:cs="Arial"/>
                <w:sz w:val="20"/>
                <w:szCs w:val="20"/>
              </w:rPr>
              <w:t>resistant</w:t>
            </w:r>
            <w:r w:rsidRPr="00793D7B">
              <w:rPr>
                <w:rFonts w:cs="Arial"/>
                <w:sz w:val="20"/>
                <w:szCs w:val="20"/>
              </w:rPr>
              <w:t xml:space="preserve"> bait stations. If bait can be dislodged from bait station, bait station must be secured in place.</w:t>
            </w:r>
          </w:p>
          <w:p w14:paraId="409E72CB" w14:textId="77777777" w:rsidR="008E67EA" w:rsidRPr="00793D7B" w:rsidRDefault="008E67EA" w:rsidP="00B44A74">
            <w:pPr>
              <w:spacing w:line="280" w:lineRule="exact"/>
              <w:rPr>
                <w:rFonts w:cs="Arial"/>
                <w:sz w:val="20"/>
                <w:szCs w:val="20"/>
              </w:rPr>
            </w:pPr>
            <w:r w:rsidRPr="00793D7B">
              <w:rPr>
                <w:rFonts w:cs="Arial"/>
                <w:sz w:val="20"/>
                <w:szCs w:val="20"/>
              </w:rPr>
              <w:t>DO NOT place bait outdoors unless it is in a tamper-</w:t>
            </w:r>
            <w:r>
              <w:rPr>
                <w:rFonts w:cs="Arial"/>
                <w:sz w:val="20"/>
                <w:szCs w:val="20"/>
              </w:rPr>
              <w:t>resistant</w:t>
            </w:r>
            <w:r w:rsidRPr="00793D7B">
              <w:rPr>
                <w:rFonts w:cs="Arial"/>
                <w:sz w:val="20"/>
                <w:szCs w:val="20"/>
              </w:rPr>
              <w:t xml:space="preserve"> bait station which is secured in place.</w:t>
            </w:r>
          </w:p>
          <w:p w14:paraId="19A6A10E" w14:textId="77777777" w:rsidR="008E67EA" w:rsidRPr="00793D7B" w:rsidRDefault="008E67EA" w:rsidP="00B44A74">
            <w:pPr>
              <w:spacing w:line="280" w:lineRule="exact"/>
              <w:rPr>
                <w:rFonts w:cs="Arial"/>
                <w:sz w:val="20"/>
                <w:szCs w:val="20"/>
              </w:rPr>
            </w:pPr>
            <w:r w:rsidRPr="00793D7B">
              <w:rPr>
                <w:rFonts w:cs="Arial"/>
                <w:sz w:val="20"/>
                <w:szCs w:val="20"/>
              </w:rPr>
              <w:t>DO NOT place bait stations more than 2 meters from buildings.</w:t>
            </w:r>
          </w:p>
          <w:p w14:paraId="287D4F42" w14:textId="77777777" w:rsidR="008E67EA" w:rsidRPr="00793D7B" w:rsidRDefault="008E67EA" w:rsidP="00B44A74">
            <w:pPr>
              <w:spacing w:line="280" w:lineRule="exact"/>
              <w:rPr>
                <w:rFonts w:cs="Arial"/>
                <w:sz w:val="20"/>
                <w:szCs w:val="20"/>
              </w:rPr>
            </w:pPr>
            <w:r w:rsidRPr="00793D7B">
              <w:rPr>
                <w:rFonts w:cs="Arial"/>
                <w:sz w:val="20"/>
                <w:szCs w:val="20"/>
              </w:rPr>
              <w:t>DO NOT place bait stations outdoors around buildings for control of mice.</w:t>
            </w:r>
          </w:p>
          <w:p w14:paraId="6A566127" w14:textId="77777777" w:rsidR="008E67EA" w:rsidRPr="00793D7B" w:rsidRDefault="008E67EA" w:rsidP="00B44A74">
            <w:pPr>
              <w:spacing w:line="280" w:lineRule="exact"/>
              <w:rPr>
                <w:rFonts w:cs="Arial"/>
                <w:sz w:val="20"/>
                <w:szCs w:val="20"/>
              </w:rPr>
            </w:pPr>
            <w:r w:rsidRPr="00793D7B">
              <w:rPr>
                <w:rFonts w:cs="Arial"/>
                <w:sz w:val="20"/>
                <w:szCs w:val="20"/>
              </w:rPr>
              <w:t>DO NOT bait in areas where wildlife may be collected for human consumption.</w:t>
            </w:r>
          </w:p>
          <w:p w14:paraId="0EDA0EA1" w14:textId="77777777" w:rsidR="008E67EA" w:rsidRPr="00793D7B" w:rsidRDefault="008E67EA" w:rsidP="00B44A74">
            <w:pPr>
              <w:spacing w:line="280" w:lineRule="exact"/>
              <w:rPr>
                <w:rFonts w:cs="Arial"/>
                <w:sz w:val="20"/>
                <w:szCs w:val="20"/>
              </w:rPr>
            </w:pPr>
            <w:r w:rsidRPr="00793D7B">
              <w:rPr>
                <w:rFonts w:cs="Arial"/>
                <w:sz w:val="20"/>
                <w:szCs w:val="20"/>
              </w:rPr>
              <w:t>DO NOT place in animal or livestock housing unless used in tamper-</w:t>
            </w:r>
            <w:r>
              <w:rPr>
                <w:rFonts w:cs="Arial"/>
                <w:sz w:val="20"/>
                <w:szCs w:val="20"/>
              </w:rPr>
              <w:t>resistant</w:t>
            </w:r>
            <w:r w:rsidRPr="00793D7B">
              <w:rPr>
                <w:rFonts w:cs="Arial"/>
                <w:sz w:val="20"/>
                <w:szCs w:val="20"/>
              </w:rPr>
              <w:t xml:space="preserve"> and weather</w:t>
            </w:r>
            <w:r>
              <w:rPr>
                <w:rFonts w:cs="Arial"/>
                <w:sz w:val="20"/>
                <w:szCs w:val="20"/>
              </w:rPr>
              <w:t>-</w:t>
            </w:r>
            <w:r w:rsidRPr="00793D7B">
              <w:rPr>
                <w:rFonts w:cs="Arial"/>
                <w:sz w:val="20"/>
                <w:szCs w:val="20"/>
              </w:rPr>
              <w:t>resistant bait stations fixed to the ground or other structures.</w:t>
            </w:r>
          </w:p>
          <w:p w14:paraId="5E6FFAD2" w14:textId="77777777" w:rsidR="008E67EA" w:rsidRPr="00793D7B" w:rsidRDefault="008E67EA" w:rsidP="00B44A74">
            <w:pPr>
              <w:spacing w:line="280" w:lineRule="exact"/>
              <w:rPr>
                <w:rFonts w:cs="Arial"/>
                <w:sz w:val="20"/>
                <w:szCs w:val="20"/>
              </w:rPr>
            </w:pPr>
            <w:r w:rsidRPr="00793D7B">
              <w:rPr>
                <w:rFonts w:cs="Arial"/>
                <w:sz w:val="20"/>
                <w:szCs w:val="20"/>
              </w:rPr>
              <w:t>DO NOT place bait or bait stations above areas which would allow them to contaminate pig and poultry food or drinking water.</w:t>
            </w:r>
          </w:p>
          <w:p w14:paraId="08F63D4F" w14:textId="77777777" w:rsidR="008E67EA" w:rsidRPr="002B5B5B" w:rsidRDefault="008E67EA" w:rsidP="00B44A74">
            <w:pPr>
              <w:spacing w:line="280" w:lineRule="exact"/>
              <w:rPr>
                <w:rFonts w:cs="Arial"/>
                <w:sz w:val="20"/>
                <w:szCs w:val="20"/>
              </w:rPr>
            </w:pPr>
            <w:r w:rsidRPr="00793D7B">
              <w:rPr>
                <w:rFonts w:cs="Arial"/>
                <w:sz w:val="20"/>
                <w:szCs w:val="20"/>
              </w:rPr>
              <w:t>DO NOT apply this product directly into burrows.</w:t>
            </w:r>
          </w:p>
        </w:tc>
      </w:tr>
      <w:tr w:rsidR="008E67EA" w:rsidRPr="002B5B5B" w14:paraId="598BC09F" w14:textId="77777777" w:rsidTr="00B44A74">
        <w:trPr>
          <w:jc w:val="center"/>
        </w:trPr>
        <w:tc>
          <w:tcPr>
            <w:tcW w:w="2415" w:type="dxa"/>
            <w:tcBorders>
              <w:top w:val="single" w:sz="4" w:space="0" w:color="auto"/>
              <w:left w:val="nil"/>
              <w:bottom w:val="single" w:sz="4" w:space="0" w:color="auto"/>
              <w:right w:val="nil"/>
            </w:tcBorders>
          </w:tcPr>
          <w:p w14:paraId="6DCD430B"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691FC5F" w14:textId="77777777" w:rsidR="008E67EA" w:rsidRPr="002B5B5B" w:rsidRDefault="008E67EA" w:rsidP="00B44A74">
            <w:pPr>
              <w:spacing w:line="280" w:lineRule="exact"/>
              <w:rPr>
                <w:rFonts w:cs="Arial"/>
                <w:sz w:val="20"/>
                <w:szCs w:val="20"/>
              </w:rPr>
            </w:pPr>
          </w:p>
        </w:tc>
      </w:tr>
      <w:tr w:rsidR="008E67EA" w:rsidRPr="002B5B5B" w14:paraId="57A0B32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1697431" w14:textId="77777777" w:rsidR="008E67EA" w:rsidRPr="00F5215F" w:rsidRDefault="008E67EA" w:rsidP="00B44A74">
            <w:pPr>
              <w:spacing w:line="280" w:lineRule="exact"/>
              <w:rPr>
                <w:rFonts w:cs="Arial"/>
                <w:sz w:val="20"/>
                <w:szCs w:val="20"/>
              </w:rPr>
            </w:pPr>
            <w:r w:rsidRPr="00F5215F">
              <w:rPr>
                <w:rFonts w:cs="Arial"/>
                <w:sz w:val="20"/>
                <w:szCs w:val="20"/>
              </w:rPr>
              <w:t>Directions for Use:</w:t>
            </w:r>
          </w:p>
        </w:tc>
        <w:tc>
          <w:tcPr>
            <w:tcW w:w="7755" w:type="dxa"/>
            <w:tcBorders>
              <w:top w:val="single" w:sz="4" w:space="0" w:color="auto"/>
              <w:left w:val="single" w:sz="4" w:space="0" w:color="auto"/>
              <w:bottom w:val="single" w:sz="4" w:space="0" w:color="auto"/>
              <w:right w:val="single" w:sz="4" w:space="0" w:color="auto"/>
            </w:tcBorders>
          </w:tcPr>
          <w:p w14:paraId="259B733D" w14:textId="77777777" w:rsidR="008E67EA" w:rsidRPr="00EB4816" w:rsidRDefault="008E67EA" w:rsidP="00B44A74">
            <w:pPr>
              <w:spacing w:line="280" w:lineRule="exact"/>
              <w:rPr>
                <w:rFonts w:cs="Arial"/>
                <w:sz w:val="20"/>
                <w:szCs w:val="20"/>
              </w:rPr>
            </w:pPr>
            <w:r w:rsidRPr="00B832BB">
              <w:rPr>
                <w:rFonts w:cs="Arial"/>
                <w:sz w:val="20"/>
                <w:szCs w:val="20"/>
              </w:rPr>
              <w:t>[This section contains an attachment below]</w:t>
            </w:r>
          </w:p>
        </w:tc>
      </w:tr>
      <w:tr w:rsidR="008E67EA" w:rsidRPr="002B5B5B" w14:paraId="74468457" w14:textId="77777777" w:rsidTr="00B44A74">
        <w:trPr>
          <w:jc w:val="center"/>
        </w:trPr>
        <w:tc>
          <w:tcPr>
            <w:tcW w:w="2415" w:type="dxa"/>
            <w:tcBorders>
              <w:top w:val="single" w:sz="4" w:space="0" w:color="auto"/>
              <w:left w:val="nil"/>
              <w:bottom w:val="single" w:sz="4" w:space="0" w:color="auto"/>
              <w:right w:val="nil"/>
            </w:tcBorders>
          </w:tcPr>
          <w:p w14:paraId="4B064173"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A09C7E5" w14:textId="77777777" w:rsidR="008E67EA" w:rsidRPr="002B5B5B" w:rsidRDefault="008E67EA" w:rsidP="00B44A74">
            <w:pPr>
              <w:spacing w:line="280" w:lineRule="exact"/>
              <w:rPr>
                <w:rFonts w:cs="Arial"/>
                <w:sz w:val="20"/>
                <w:szCs w:val="20"/>
              </w:rPr>
            </w:pPr>
          </w:p>
        </w:tc>
      </w:tr>
      <w:tr w:rsidR="008E67EA" w:rsidRPr="002B5B5B" w14:paraId="464E805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04FE9E0" w14:textId="77777777" w:rsidR="008E67EA" w:rsidRPr="00F5215F" w:rsidRDefault="008E67EA" w:rsidP="00B44A74">
            <w:pPr>
              <w:spacing w:line="280" w:lineRule="exact"/>
              <w:rPr>
                <w:rFonts w:cs="Arial"/>
                <w:sz w:val="20"/>
                <w:szCs w:val="20"/>
              </w:rPr>
            </w:pPr>
            <w:r w:rsidRPr="00F5215F">
              <w:rPr>
                <w:rFonts w:cs="Arial"/>
                <w:sz w:val="20"/>
                <w:szCs w:val="20"/>
              </w:rPr>
              <w:t>Other Limitations:</w:t>
            </w:r>
          </w:p>
        </w:tc>
        <w:tc>
          <w:tcPr>
            <w:tcW w:w="7755" w:type="dxa"/>
            <w:tcBorders>
              <w:top w:val="single" w:sz="4" w:space="0" w:color="auto"/>
              <w:left w:val="single" w:sz="4" w:space="0" w:color="auto"/>
              <w:bottom w:val="single" w:sz="4" w:space="0" w:color="auto"/>
              <w:right w:val="single" w:sz="4" w:space="0" w:color="auto"/>
            </w:tcBorders>
          </w:tcPr>
          <w:p w14:paraId="24CC2259" w14:textId="77777777" w:rsidR="008E67EA" w:rsidRPr="002B5B5B" w:rsidRDefault="008E67EA" w:rsidP="00B44A74">
            <w:pPr>
              <w:spacing w:line="280" w:lineRule="exact"/>
              <w:rPr>
                <w:rFonts w:cs="Arial"/>
                <w:sz w:val="20"/>
                <w:szCs w:val="20"/>
              </w:rPr>
            </w:pPr>
          </w:p>
        </w:tc>
      </w:tr>
      <w:tr w:rsidR="008E67EA" w:rsidRPr="002B5B5B" w14:paraId="53DF43E5" w14:textId="77777777" w:rsidTr="00B44A74">
        <w:trPr>
          <w:jc w:val="center"/>
        </w:trPr>
        <w:tc>
          <w:tcPr>
            <w:tcW w:w="2415" w:type="dxa"/>
            <w:tcBorders>
              <w:top w:val="single" w:sz="4" w:space="0" w:color="auto"/>
              <w:left w:val="nil"/>
              <w:bottom w:val="single" w:sz="4" w:space="0" w:color="auto"/>
              <w:right w:val="nil"/>
            </w:tcBorders>
          </w:tcPr>
          <w:p w14:paraId="4C9EFC99"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A4D55BF" w14:textId="77777777" w:rsidR="008E67EA" w:rsidRPr="002B5B5B" w:rsidRDefault="008E67EA" w:rsidP="00B44A74">
            <w:pPr>
              <w:spacing w:line="280" w:lineRule="exact"/>
              <w:rPr>
                <w:rFonts w:cs="Arial"/>
                <w:sz w:val="20"/>
                <w:szCs w:val="20"/>
              </w:rPr>
            </w:pPr>
          </w:p>
        </w:tc>
      </w:tr>
      <w:tr w:rsidR="008E67EA" w:rsidRPr="002B5B5B" w14:paraId="36FFF24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73C9B48" w14:textId="77777777" w:rsidR="008E67EA" w:rsidRPr="00F5215F" w:rsidRDefault="008E67EA" w:rsidP="00B44A74">
            <w:pPr>
              <w:spacing w:line="280" w:lineRule="exact"/>
              <w:rPr>
                <w:rFonts w:cs="Arial"/>
                <w:sz w:val="20"/>
                <w:szCs w:val="20"/>
              </w:rPr>
            </w:pPr>
            <w:r w:rsidRPr="00F5215F">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2B1DF2FF" w14:textId="77777777" w:rsidR="008E67EA" w:rsidRPr="002B5B5B" w:rsidRDefault="008E67EA" w:rsidP="00B44A74">
            <w:pPr>
              <w:spacing w:line="280" w:lineRule="exact"/>
              <w:rPr>
                <w:rFonts w:cs="Arial"/>
                <w:sz w:val="20"/>
                <w:szCs w:val="20"/>
              </w:rPr>
            </w:pPr>
          </w:p>
        </w:tc>
      </w:tr>
      <w:tr w:rsidR="008E67EA" w:rsidRPr="002B5B5B" w14:paraId="27EC49E2" w14:textId="77777777" w:rsidTr="00B44A74">
        <w:trPr>
          <w:jc w:val="center"/>
        </w:trPr>
        <w:tc>
          <w:tcPr>
            <w:tcW w:w="2415" w:type="dxa"/>
            <w:tcBorders>
              <w:top w:val="single" w:sz="4" w:space="0" w:color="auto"/>
              <w:left w:val="nil"/>
              <w:bottom w:val="single" w:sz="4" w:space="0" w:color="auto"/>
              <w:right w:val="nil"/>
            </w:tcBorders>
          </w:tcPr>
          <w:p w14:paraId="13FF9A17"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FC73294" w14:textId="77777777" w:rsidR="008E67EA" w:rsidRPr="002B5B5B" w:rsidRDefault="008E67EA" w:rsidP="00B44A74">
            <w:pPr>
              <w:spacing w:line="280" w:lineRule="exact"/>
              <w:rPr>
                <w:rFonts w:cs="Arial"/>
                <w:sz w:val="20"/>
                <w:szCs w:val="20"/>
              </w:rPr>
            </w:pPr>
          </w:p>
        </w:tc>
      </w:tr>
      <w:tr w:rsidR="008E67EA" w:rsidRPr="002B5B5B" w14:paraId="77E1CD5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EDB2F15" w14:textId="77777777" w:rsidR="008E67EA" w:rsidRPr="00F5215F" w:rsidRDefault="008E67EA" w:rsidP="00B44A74">
            <w:pPr>
              <w:spacing w:line="280" w:lineRule="exact"/>
              <w:rPr>
                <w:rFonts w:cs="Arial"/>
                <w:sz w:val="20"/>
                <w:szCs w:val="20"/>
              </w:rPr>
            </w:pPr>
            <w:r w:rsidRPr="00F5215F">
              <w:rPr>
                <w:rFonts w:cs="Arial"/>
                <w:sz w:val="20"/>
                <w:szCs w:val="20"/>
              </w:rPr>
              <w:t>Trade Advice:</w:t>
            </w:r>
          </w:p>
        </w:tc>
        <w:tc>
          <w:tcPr>
            <w:tcW w:w="7755" w:type="dxa"/>
            <w:tcBorders>
              <w:top w:val="single" w:sz="4" w:space="0" w:color="auto"/>
              <w:left w:val="single" w:sz="4" w:space="0" w:color="auto"/>
              <w:bottom w:val="single" w:sz="4" w:space="0" w:color="auto"/>
              <w:right w:val="single" w:sz="4" w:space="0" w:color="auto"/>
            </w:tcBorders>
          </w:tcPr>
          <w:p w14:paraId="29A9F326" w14:textId="77777777" w:rsidR="008E67EA" w:rsidRPr="002B5B5B" w:rsidRDefault="008E67EA" w:rsidP="00B44A74">
            <w:pPr>
              <w:spacing w:line="280" w:lineRule="exact"/>
              <w:rPr>
                <w:rFonts w:cs="Arial"/>
                <w:sz w:val="20"/>
                <w:szCs w:val="20"/>
              </w:rPr>
            </w:pPr>
          </w:p>
        </w:tc>
      </w:tr>
      <w:tr w:rsidR="008E67EA" w:rsidRPr="002B5B5B" w14:paraId="09FEE24D" w14:textId="77777777" w:rsidTr="00B44A74">
        <w:trPr>
          <w:jc w:val="center"/>
        </w:trPr>
        <w:tc>
          <w:tcPr>
            <w:tcW w:w="2415" w:type="dxa"/>
            <w:tcBorders>
              <w:top w:val="single" w:sz="4" w:space="0" w:color="auto"/>
              <w:left w:val="nil"/>
              <w:bottom w:val="single" w:sz="4" w:space="0" w:color="auto"/>
              <w:right w:val="nil"/>
            </w:tcBorders>
          </w:tcPr>
          <w:p w14:paraId="2C8EBECC"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B3A6342" w14:textId="77777777" w:rsidR="008E67EA" w:rsidRPr="002B5B5B" w:rsidRDefault="008E67EA" w:rsidP="00B44A74">
            <w:pPr>
              <w:spacing w:line="280" w:lineRule="exact"/>
              <w:rPr>
                <w:rFonts w:cs="Arial"/>
                <w:sz w:val="20"/>
                <w:szCs w:val="20"/>
              </w:rPr>
            </w:pPr>
          </w:p>
        </w:tc>
      </w:tr>
      <w:tr w:rsidR="008E67EA" w:rsidRPr="002B5B5B" w14:paraId="59BB297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23C5940" w14:textId="77777777" w:rsidR="008E67EA" w:rsidRPr="00F5215F" w:rsidRDefault="008E67EA" w:rsidP="00B44A74">
            <w:pPr>
              <w:spacing w:line="280" w:lineRule="exact"/>
              <w:rPr>
                <w:rFonts w:cs="Arial"/>
                <w:sz w:val="20"/>
                <w:szCs w:val="20"/>
              </w:rPr>
            </w:pPr>
            <w:r w:rsidRPr="00F5215F">
              <w:rPr>
                <w:rFonts w:cs="Arial"/>
                <w:sz w:val="20"/>
                <w:szCs w:val="20"/>
              </w:rPr>
              <w:lastRenderedPageBreak/>
              <w:t>General Directions:</w:t>
            </w:r>
          </w:p>
        </w:tc>
        <w:tc>
          <w:tcPr>
            <w:tcW w:w="7755" w:type="dxa"/>
            <w:tcBorders>
              <w:top w:val="single" w:sz="4" w:space="0" w:color="auto"/>
              <w:left w:val="single" w:sz="4" w:space="0" w:color="auto"/>
              <w:bottom w:val="single" w:sz="4" w:space="0" w:color="auto"/>
              <w:right w:val="single" w:sz="4" w:space="0" w:color="auto"/>
            </w:tcBorders>
          </w:tcPr>
          <w:p w14:paraId="3038A559" w14:textId="77777777" w:rsidR="008E67EA" w:rsidRPr="00132BFD" w:rsidRDefault="008E67EA" w:rsidP="00B44A74">
            <w:pPr>
              <w:spacing w:line="280" w:lineRule="exact"/>
              <w:rPr>
                <w:rFonts w:cs="Arial"/>
                <w:sz w:val="20"/>
                <w:szCs w:val="20"/>
              </w:rPr>
            </w:pPr>
            <w:r w:rsidRPr="00132BFD">
              <w:rPr>
                <w:rFonts w:cs="Arial"/>
                <w:sz w:val="20"/>
                <w:szCs w:val="20"/>
              </w:rPr>
              <w:t>GENERAL INSTRUCTIONS</w:t>
            </w:r>
          </w:p>
          <w:p w14:paraId="082C0A8C" w14:textId="77777777" w:rsidR="008E67EA" w:rsidRPr="00132BFD" w:rsidRDefault="008E67EA" w:rsidP="00B44A74">
            <w:pPr>
              <w:spacing w:line="280" w:lineRule="exact"/>
              <w:rPr>
                <w:rFonts w:cs="Arial"/>
                <w:sz w:val="20"/>
                <w:szCs w:val="20"/>
              </w:rPr>
            </w:pPr>
            <w:r w:rsidRPr="00132BFD">
              <w:rPr>
                <w:rFonts w:cs="Arial"/>
                <w:sz w:val="20"/>
                <w:szCs w:val="20"/>
              </w:rPr>
              <w:t>Blocks are intended for use within an integrated rodent management program as the initial "clean out" bait treatment for rodent infestations. Usually, rodents die within 3 to 5 days after eating the bait.</w:t>
            </w:r>
          </w:p>
          <w:p w14:paraId="1C9D4DB7" w14:textId="77777777" w:rsidR="008E67EA" w:rsidRPr="00132BFD" w:rsidRDefault="008E67EA" w:rsidP="00B44A74">
            <w:pPr>
              <w:spacing w:line="280" w:lineRule="exact"/>
              <w:rPr>
                <w:rFonts w:cs="Arial"/>
                <w:color w:val="7030A0"/>
                <w:sz w:val="20"/>
                <w:szCs w:val="20"/>
              </w:rPr>
            </w:pPr>
            <w:r w:rsidRPr="00132BFD">
              <w:rPr>
                <w:rFonts w:cs="Arial"/>
                <w:sz w:val="20"/>
                <w:szCs w:val="20"/>
              </w:rPr>
              <w:t>Implement rodent proofing measures to limit or restrict rodent access to indoor areas or other areas where infestation is identified as a problem. Manage weeds and other vegetation around buildings to minimise the number of available or potential rodent harbourages.</w:t>
            </w:r>
            <w:r w:rsidRPr="00523B2D">
              <w:rPr>
                <w:rFonts w:cs="Arial"/>
                <w:color w:val="7030A0"/>
                <w:sz w:val="20"/>
                <w:szCs w:val="20"/>
              </w:rPr>
              <w:t xml:space="preserve"> </w:t>
            </w:r>
          </w:p>
        </w:tc>
      </w:tr>
      <w:tr w:rsidR="008E67EA" w:rsidRPr="002B5B5B" w14:paraId="25D80D12" w14:textId="77777777" w:rsidTr="00B44A74">
        <w:trPr>
          <w:jc w:val="center"/>
        </w:trPr>
        <w:tc>
          <w:tcPr>
            <w:tcW w:w="2415" w:type="dxa"/>
            <w:tcBorders>
              <w:top w:val="single" w:sz="4" w:space="0" w:color="auto"/>
              <w:left w:val="nil"/>
              <w:bottom w:val="single" w:sz="4" w:space="0" w:color="auto"/>
              <w:right w:val="nil"/>
            </w:tcBorders>
          </w:tcPr>
          <w:p w14:paraId="7C31A439"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7760630" w14:textId="77777777" w:rsidR="008E67EA" w:rsidRPr="002B5B5B" w:rsidRDefault="008E67EA" w:rsidP="00B44A74">
            <w:pPr>
              <w:spacing w:line="280" w:lineRule="exact"/>
              <w:rPr>
                <w:rFonts w:cs="Arial"/>
                <w:sz w:val="20"/>
                <w:szCs w:val="20"/>
              </w:rPr>
            </w:pPr>
          </w:p>
        </w:tc>
      </w:tr>
      <w:tr w:rsidR="008E67EA" w:rsidRPr="002B5B5B" w14:paraId="6FC9FA6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C7A36C4" w14:textId="77777777" w:rsidR="008E67EA" w:rsidRPr="00F5215F" w:rsidRDefault="008E67EA" w:rsidP="00B44A74">
            <w:pPr>
              <w:spacing w:line="280" w:lineRule="exact"/>
              <w:rPr>
                <w:rFonts w:cs="Arial"/>
                <w:sz w:val="20"/>
                <w:szCs w:val="20"/>
              </w:rPr>
            </w:pPr>
            <w:r w:rsidRPr="00F5215F">
              <w:rPr>
                <w:rFonts w:cs="Arial"/>
                <w:sz w:val="20"/>
                <w:szCs w:val="20"/>
              </w:rPr>
              <w:t>Resistance Warning:</w:t>
            </w:r>
          </w:p>
        </w:tc>
        <w:tc>
          <w:tcPr>
            <w:tcW w:w="7755" w:type="dxa"/>
            <w:tcBorders>
              <w:top w:val="single" w:sz="4" w:space="0" w:color="auto"/>
              <w:left w:val="single" w:sz="4" w:space="0" w:color="auto"/>
              <w:bottom w:val="single" w:sz="4" w:space="0" w:color="auto"/>
              <w:right w:val="single" w:sz="4" w:space="0" w:color="auto"/>
            </w:tcBorders>
          </w:tcPr>
          <w:p w14:paraId="2793E521" w14:textId="77777777" w:rsidR="008E67EA" w:rsidRPr="002B5B5B" w:rsidRDefault="008E67EA" w:rsidP="00B44A74">
            <w:pPr>
              <w:spacing w:line="280" w:lineRule="exact"/>
              <w:rPr>
                <w:rFonts w:cs="Arial"/>
                <w:sz w:val="20"/>
                <w:szCs w:val="20"/>
              </w:rPr>
            </w:pPr>
          </w:p>
        </w:tc>
      </w:tr>
      <w:tr w:rsidR="008E67EA" w:rsidRPr="002B5B5B" w14:paraId="3BDC84FF" w14:textId="77777777" w:rsidTr="00B44A74">
        <w:trPr>
          <w:jc w:val="center"/>
        </w:trPr>
        <w:tc>
          <w:tcPr>
            <w:tcW w:w="2415" w:type="dxa"/>
            <w:tcBorders>
              <w:top w:val="single" w:sz="4" w:space="0" w:color="auto"/>
              <w:left w:val="nil"/>
              <w:bottom w:val="single" w:sz="4" w:space="0" w:color="auto"/>
              <w:right w:val="nil"/>
            </w:tcBorders>
          </w:tcPr>
          <w:p w14:paraId="329926D4"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87356FA" w14:textId="77777777" w:rsidR="008E67EA" w:rsidRPr="002B5B5B" w:rsidRDefault="008E67EA" w:rsidP="00B44A74">
            <w:pPr>
              <w:spacing w:line="280" w:lineRule="exact"/>
              <w:rPr>
                <w:rFonts w:cs="Arial"/>
                <w:sz w:val="20"/>
                <w:szCs w:val="20"/>
              </w:rPr>
            </w:pPr>
          </w:p>
        </w:tc>
      </w:tr>
      <w:tr w:rsidR="008E67EA" w:rsidRPr="002B5B5B" w14:paraId="25A66C8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5E6EBC1" w14:textId="77777777" w:rsidR="008E67EA" w:rsidRPr="00F5215F" w:rsidRDefault="008E67EA" w:rsidP="00B44A74">
            <w:pPr>
              <w:spacing w:line="280" w:lineRule="exact"/>
              <w:rPr>
                <w:rFonts w:cs="Arial"/>
                <w:sz w:val="20"/>
                <w:szCs w:val="20"/>
              </w:rPr>
            </w:pPr>
            <w:r w:rsidRPr="00F5215F">
              <w:rPr>
                <w:rFonts w:cs="Arial"/>
                <w:sz w:val="20"/>
                <w:szCs w:val="20"/>
              </w:rPr>
              <w:t>Precautions:</w:t>
            </w:r>
          </w:p>
        </w:tc>
        <w:tc>
          <w:tcPr>
            <w:tcW w:w="7755" w:type="dxa"/>
            <w:tcBorders>
              <w:top w:val="single" w:sz="4" w:space="0" w:color="auto"/>
              <w:left w:val="single" w:sz="4" w:space="0" w:color="auto"/>
              <w:bottom w:val="single" w:sz="4" w:space="0" w:color="auto"/>
              <w:right w:val="single" w:sz="4" w:space="0" w:color="auto"/>
            </w:tcBorders>
          </w:tcPr>
          <w:p w14:paraId="56EEF8AB" w14:textId="77777777" w:rsidR="008E67EA" w:rsidRDefault="008E67EA" w:rsidP="00B44A74">
            <w:pPr>
              <w:spacing w:line="280" w:lineRule="exact"/>
              <w:rPr>
                <w:rFonts w:cs="Arial"/>
                <w:sz w:val="20"/>
                <w:szCs w:val="20"/>
              </w:rPr>
            </w:pPr>
            <w:r>
              <w:rPr>
                <w:rFonts w:cs="Arial"/>
                <w:sz w:val="20"/>
                <w:szCs w:val="20"/>
              </w:rPr>
              <w:t>PRECAUTIONS</w:t>
            </w:r>
          </w:p>
          <w:p w14:paraId="28C6A2BF" w14:textId="77777777" w:rsidR="008E67EA" w:rsidRDefault="008E67EA" w:rsidP="00B44A74">
            <w:pPr>
              <w:spacing w:line="280" w:lineRule="exact"/>
              <w:rPr>
                <w:rFonts w:cs="Arial"/>
                <w:sz w:val="20"/>
                <w:szCs w:val="20"/>
              </w:rPr>
            </w:pPr>
            <w:r w:rsidRPr="00793D7B">
              <w:rPr>
                <w:rFonts w:cs="Arial"/>
                <w:sz w:val="20"/>
                <w:szCs w:val="20"/>
              </w:rPr>
              <w:t>Caution should be used when baiting near areas where hunting of wildlife may occur. Careful consideration of bait placement is necessary to avoid secondary exposure from contaminated wildlife that may be consumed.</w:t>
            </w:r>
          </w:p>
          <w:p w14:paraId="675E3F11" w14:textId="77777777" w:rsidR="008E67EA" w:rsidRPr="002B5B5B" w:rsidRDefault="008E67EA" w:rsidP="00B44A74">
            <w:pPr>
              <w:spacing w:line="280" w:lineRule="exact"/>
              <w:rPr>
                <w:rFonts w:cs="Arial"/>
                <w:sz w:val="20"/>
                <w:szCs w:val="20"/>
                <w:highlight w:val="yellow"/>
              </w:rPr>
            </w:pPr>
            <w:r w:rsidRPr="00793D7B">
              <w:rPr>
                <w:rFonts w:cs="Arial"/>
                <w:sz w:val="20"/>
                <w:szCs w:val="20"/>
              </w:rPr>
              <w:t>DO NOT place bait in areas where there is a possibility of contaminating food, livestock feed or surfaces that come in direct contact with food or livestock feed.</w:t>
            </w:r>
          </w:p>
        </w:tc>
      </w:tr>
      <w:tr w:rsidR="008E67EA" w:rsidRPr="002B5B5B" w14:paraId="751048DD" w14:textId="77777777" w:rsidTr="00B44A74">
        <w:trPr>
          <w:jc w:val="center"/>
        </w:trPr>
        <w:tc>
          <w:tcPr>
            <w:tcW w:w="2415" w:type="dxa"/>
            <w:tcBorders>
              <w:top w:val="single" w:sz="4" w:space="0" w:color="auto"/>
              <w:left w:val="nil"/>
              <w:bottom w:val="single" w:sz="4" w:space="0" w:color="auto"/>
              <w:right w:val="nil"/>
            </w:tcBorders>
          </w:tcPr>
          <w:p w14:paraId="7C9E72D2"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5A7E530" w14:textId="77777777" w:rsidR="008E67EA" w:rsidRPr="002B5B5B" w:rsidRDefault="008E67EA" w:rsidP="00B44A74">
            <w:pPr>
              <w:spacing w:line="280" w:lineRule="exact"/>
              <w:rPr>
                <w:rFonts w:cs="Arial"/>
                <w:sz w:val="20"/>
                <w:szCs w:val="20"/>
              </w:rPr>
            </w:pPr>
          </w:p>
        </w:tc>
      </w:tr>
      <w:tr w:rsidR="008E67EA" w:rsidRPr="002B5B5B" w14:paraId="7DA760C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CC82BBE" w14:textId="77777777" w:rsidR="008E67EA" w:rsidRPr="00F5215F" w:rsidRDefault="008E67EA" w:rsidP="00B44A74">
            <w:pPr>
              <w:spacing w:line="280" w:lineRule="exact"/>
              <w:rPr>
                <w:rFonts w:cs="Arial"/>
                <w:sz w:val="20"/>
                <w:szCs w:val="20"/>
              </w:rPr>
            </w:pPr>
            <w:r w:rsidRPr="00F5215F">
              <w:rPr>
                <w:rFonts w:cs="Arial"/>
                <w:sz w:val="20"/>
                <w:szCs w:val="20"/>
              </w:rPr>
              <w:t>Protection Statements:</w:t>
            </w:r>
          </w:p>
        </w:tc>
        <w:tc>
          <w:tcPr>
            <w:tcW w:w="7755" w:type="dxa"/>
            <w:tcBorders>
              <w:top w:val="single" w:sz="4" w:space="0" w:color="auto"/>
              <w:left w:val="single" w:sz="4" w:space="0" w:color="auto"/>
              <w:bottom w:val="single" w:sz="4" w:space="0" w:color="auto"/>
              <w:right w:val="single" w:sz="4" w:space="0" w:color="auto"/>
            </w:tcBorders>
          </w:tcPr>
          <w:p w14:paraId="7642C966" w14:textId="77777777" w:rsidR="008E67EA" w:rsidRPr="00793D7B" w:rsidRDefault="008E67EA" w:rsidP="00B44A74">
            <w:pPr>
              <w:spacing w:line="280" w:lineRule="exact"/>
              <w:rPr>
                <w:rFonts w:cs="Arial"/>
                <w:sz w:val="20"/>
                <w:szCs w:val="20"/>
              </w:rPr>
            </w:pPr>
            <w:r w:rsidRPr="00793D7B">
              <w:rPr>
                <w:rFonts w:cs="Arial"/>
                <w:sz w:val="20"/>
                <w:szCs w:val="20"/>
              </w:rPr>
              <w:t>PROTECTION OF LIVESTOCK AND WILDLIFE</w:t>
            </w:r>
          </w:p>
          <w:p w14:paraId="7B3542CA" w14:textId="77777777" w:rsidR="008E67EA" w:rsidRPr="00793D7B" w:rsidRDefault="008E67EA" w:rsidP="00B44A74">
            <w:pPr>
              <w:spacing w:line="280" w:lineRule="exact"/>
              <w:rPr>
                <w:rFonts w:cs="Arial"/>
                <w:sz w:val="20"/>
                <w:szCs w:val="20"/>
              </w:rPr>
            </w:pPr>
            <w:r w:rsidRPr="00793D7B">
              <w:rPr>
                <w:rFonts w:cs="Arial"/>
                <w:sz w:val="20"/>
                <w:szCs w:val="20"/>
              </w:rPr>
              <w:t>Hazardous to livestock, poultry and wildlife. DO NOT place baits in locations that are accessible to domestic animals, livestock, non-target native animals or birds.</w:t>
            </w:r>
          </w:p>
          <w:p w14:paraId="45503F96" w14:textId="77777777" w:rsidR="008E67EA" w:rsidRPr="00793D7B" w:rsidRDefault="008E67EA" w:rsidP="00B44A74">
            <w:pPr>
              <w:spacing w:line="280" w:lineRule="exact"/>
              <w:rPr>
                <w:rFonts w:cs="Arial"/>
                <w:sz w:val="20"/>
                <w:szCs w:val="20"/>
              </w:rPr>
            </w:pPr>
            <w:r w:rsidRPr="00793D7B">
              <w:rPr>
                <w:rFonts w:cs="Arial"/>
                <w:sz w:val="20"/>
                <w:szCs w:val="20"/>
              </w:rPr>
              <w:t xml:space="preserve">Search for and dispose of dead rodents and slugs/snails in the infested area at each visit to prevent secondary poisoning. In case slugs/snails are present, move bait station to another location within the rodent infested site, away from slugs/snails. Dispose of slugs/snails in a way non-target animals are not exposed. Dispose of dead rodents and uneaten bait in compliance with local, state or territory government regulations. </w:t>
            </w:r>
          </w:p>
          <w:p w14:paraId="32A42F3D" w14:textId="77777777" w:rsidR="008E67EA" w:rsidRDefault="008E67EA" w:rsidP="00B44A74">
            <w:pPr>
              <w:spacing w:line="280" w:lineRule="exact"/>
              <w:rPr>
                <w:rFonts w:cs="Arial"/>
                <w:sz w:val="20"/>
                <w:szCs w:val="20"/>
              </w:rPr>
            </w:pPr>
            <w:r w:rsidRPr="00793D7B">
              <w:rPr>
                <w:rFonts w:cs="Arial"/>
                <w:sz w:val="20"/>
                <w:szCs w:val="20"/>
              </w:rPr>
              <w:t>DO NOT allow livestock or poultry to consume dead or moribund mice and rats. All dead or moribund animals and rodent faeces from baited rodents MUST be removed from areas accessible to livestock or poultry.</w:t>
            </w:r>
          </w:p>
          <w:p w14:paraId="5FB51784" w14:textId="72441334" w:rsidR="008E67EA" w:rsidRPr="00793D7B" w:rsidRDefault="008E67EA" w:rsidP="00B44A74">
            <w:pPr>
              <w:spacing w:line="280" w:lineRule="exact"/>
              <w:rPr>
                <w:rFonts w:cs="Arial"/>
                <w:sz w:val="20"/>
                <w:szCs w:val="20"/>
              </w:rPr>
            </w:pPr>
            <w:r w:rsidRPr="001F54FB">
              <w:rPr>
                <w:rFonts w:cs="Arial"/>
                <w:sz w:val="20"/>
                <w:szCs w:val="20"/>
              </w:rPr>
              <w:t>DO NOT use this product to control native animals</w:t>
            </w:r>
            <w:r w:rsidR="00604F9D">
              <w:rPr>
                <w:rFonts w:cs="Arial"/>
                <w:sz w:val="20"/>
                <w:szCs w:val="20"/>
              </w:rPr>
              <w:t>.</w:t>
            </w:r>
          </w:p>
          <w:p w14:paraId="4154136C" w14:textId="77777777" w:rsidR="008E67EA" w:rsidRPr="00793D7B" w:rsidRDefault="008E67EA" w:rsidP="00B44A74">
            <w:pPr>
              <w:spacing w:line="280" w:lineRule="exact"/>
              <w:rPr>
                <w:rFonts w:cs="Arial"/>
                <w:sz w:val="20"/>
                <w:szCs w:val="20"/>
              </w:rPr>
            </w:pPr>
          </w:p>
          <w:p w14:paraId="5179E25C" w14:textId="77777777" w:rsidR="008E67EA" w:rsidRPr="00793D7B" w:rsidRDefault="008E67EA" w:rsidP="00B44A74">
            <w:pPr>
              <w:spacing w:line="280" w:lineRule="exact"/>
              <w:rPr>
                <w:rFonts w:cs="Arial"/>
                <w:sz w:val="20"/>
                <w:szCs w:val="20"/>
              </w:rPr>
            </w:pPr>
            <w:r w:rsidRPr="00793D7B">
              <w:rPr>
                <w:rFonts w:cs="Arial"/>
                <w:sz w:val="20"/>
                <w:szCs w:val="20"/>
              </w:rPr>
              <w:t>PROTECTION OF FISH, CRUSTACEANS AND ENVIRONMENT</w:t>
            </w:r>
          </w:p>
          <w:p w14:paraId="4BEDD23E" w14:textId="174F15E0" w:rsidR="008E67EA" w:rsidRPr="00523B2D" w:rsidRDefault="008E67EA" w:rsidP="00B44A74">
            <w:pPr>
              <w:spacing w:line="280" w:lineRule="exact"/>
              <w:rPr>
                <w:rFonts w:cs="Arial"/>
                <w:color w:val="7030A0"/>
                <w:sz w:val="20"/>
                <w:szCs w:val="20"/>
              </w:rPr>
            </w:pPr>
            <w:r w:rsidRPr="00793D7B">
              <w:rPr>
                <w:rFonts w:cs="Arial"/>
                <w:sz w:val="20"/>
                <w:szCs w:val="20"/>
              </w:rPr>
              <w:t>Very toxic to aquatic life. DO NOT contaminate wetlands or watercourses with this product or used containers. Place the bait stations in areas not liable to flooding. When placing bait stations close to water drainage systems, ensure that bait contact with water is avoided.</w:t>
            </w:r>
          </w:p>
        </w:tc>
      </w:tr>
      <w:tr w:rsidR="008E67EA" w:rsidRPr="002B5B5B" w14:paraId="16603697" w14:textId="77777777" w:rsidTr="00B44A74">
        <w:trPr>
          <w:jc w:val="center"/>
        </w:trPr>
        <w:tc>
          <w:tcPr>
            <w:tcW w:w="2415" w:type="dxa"/>
            <w:tcBorders>
              <w:top w:val="single" w:sz="4" w:space="0" w:color="auto"/>
              <w:left w:val="nil"/>
              <w:bottom w:val="single" w:sz="4" w:space="0" w:color="auto"/>
              <w:right w:val="nil"/>
            </w:tcBorders>
          </w:tcPr>
          <w:p w14:paraId="19396EDE"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B5EFEC2" w14:textId="77777777" w:rsidR="008E67EA" w:rsidRPr="002B5B5B" w:rsidRDefault="008E67EA" w:rsidP="00B44A74">
            <w:pPr>
              <w:spacing w:line="280" w:lineRule="exact"/>
              <w:rPr>
                <w:rFonts w:cs="Arial"/>
                <w:sz w:val="20"/>
                <w:szCs w:val="20"/>
              </w:rPr>
            </w:pPr>
          </w:p>
        </w:tc>
      </w:tr>
      <w:tr w:rsidR="008E67EA" w:rsidRPr="002B5B5B" w14:paraId="1D8BEDD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41AF7BB" w14:textId="77777777" w:rsidR="008E67EA" w:rsidRPr="00F5215F" w:rsidRDefault="008E67EA" w:rsidP="00B44A74">
            <w:pPr>
              <w:spacing w:line="280" w:lineRule="exact"/>
              <w:rPr>
                <w:rFonts w:cs="Arial"/>
                <w:sz w:val="20"/>
                <w:szCs w:val="20"/>
              </w:rPr>
            </w:pPr>
            <w:r w:rsidRPr="00F5215F">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199E6F3E" w14:textId="77777777" w:rsidR="008E67EA" w:rsidRDefault="008E67EA" w:rsidP="00B44A74">
            <w:pPr>
              <w:spacing w:line="280" w:lineRule="exact"/>
              <w:rPr>
                <w:rFonts w:cs="Arial"/>
                <w:sz w:val="20"/>
                <w:szCs w:val="20"/>
              </w:rPr>
            </w:pPr>
            <w:r>
              <w:rPr>
                <w:rFonts w:cs="Arial"/>
                <w:sz w:val="20"/>
                <w:szCs w:val="20"/>
              </w:rPr>
              <w:t>STORAGE AND DISPOSAL</w:t>
            </w:r>
          </w:p>
          <w:p w14:paraId="6E1E5ABD" w14:textId="77777777" w:rsidR="008E67EA" w:rsidRPr="002B5B5B" w:rsidRDefault="008E67EA" w:rsidP="00B44A74">
            <w:pPr>
              <w:spacing w:line="280" w:lineRule="exact"/>
              <w:rPr>
                <w:rFonts w:cs="Arial"/>
                <w:sz w:val="20"/>
                <w:szCs w:val="20"/>
              </w:rPr>
            </w:pPr>
            <w:r w:rsidRPr="00793D7B">
              <w:rPr>
                <w:rFonts w:cs="Arial"/>
                <w:sz w:val="20"/>
                <w:szCs w:val="20"/>
              </w:rPr>
              <w:t xml:space="preserve">Store in the closed, original container in a dry, cool, well-ventilated area out of direct sunlight. Triple rinse containers before disposal. Break, crush or puncture and deliver empty packaging to an approved waste management facility. If an approved waste management facility is not available, dispose of empty packaging in compliance with relevant local, state or territory government regulations. </w:t>
            </w:r>
            <w:r w:rsidRPr="005E538D">
              <w:rPr>
                <w:rFonts w:cs="Arial"/>
                <w:sz w:val="20"/>
                <w:szCs w:val="20"/>
                <w:bdr w:val="none" w:sz="0" w:space="0" w:color="auto" w:frame="1"/>
                <w:lang w:val="en-GB" w:eastAsia="en-AU"/>
              </w:rPr>
              <w:t>Dispose of unused product in compliance with relevant local, state or territory government regulations.</w:t>
            </w:r>
            <w:r>
              <w:rPr>
                <w:rFonts w:cs="Arial"/>
                <w:sz w:val="20"/>
                <w:szCs w:val="20"/>
                <w:bdr w:val="none" w:sz="0" w:space="0" w:color="auto" w:frame="1"/>
                <w:lang w:val="en-GB" w:eastAsia="en-AU"/>
              </w:rPr>
              <w:t xml:space="preserve"> </w:t>
            </w:r>
            <w:r w:rsidRPr="00793D7B">
              <w:rPr>
                <w:rFonts w:cs="Arial"/>
                <w:sz w:val="20"/>
                <w:szCs w:val="20"/>
              </w:rPr>
              <w:t>DO NOT burn empty containers or product.</w:t>
            </w:r>
          </w:p>
        </w:tc>
      </w:tr>
      <w:tr w:rsidR="008E67EA" w:rsidRPr="002B5B5B" w14:paraId="3758CDAB" w14:textId="77777777" w:rsidTr="00B44A74">
        <w:trPr>
          <w:jc w:val="center"/>
        </w:trPr>
        <w:tc>
          <w:tcPr>
            <w:tcW w:w="2415" w:type="dxa"/>
            <w:tcBorders>
              <w:top w:val="single" w:sz="4" w:space="0" w:color="auto"/>
              <w:left w:val="nil"/>
              <w:bottom w:val="single" w:sz="4" w:space="0" w:color="auto"/>
              <w:right w:val="nil"/>
            </w:tcBorders>
          </w:tcPr>
          <w:p w14:paraId="1C30EBAA"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BCD8AF6" w14:textId="77777777" w:rsidR="008E67EA" w:rsidRPr="002B5B5B" w:rsidRDefault="008E67EA" w:rsidP="00B44A74">
            <w:pPr>
              <w:spacing w:line="280" w:lineRule="exact"/>
              <w:rPr>
                <w:rFonts w:cs="Arial"/>
                <w:sz w:val="20"/>
                <w:szCs w:val="20"/>
              </w:rPr>
            </w:pPr>
          </w:p>
        </w:tc>
      </w:tr>
      <w:tr w:rsidR="008E67EA" w:rsidRPr="002B5B5B" w14:paraId="4E08B6A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4D6EBD7" w14:textId="77777777" w:rsidR="008E67EA" w:rsidRPr="00F5215F" w:rsidRDefault="008E67EA" w:rsidP="00B44A74">
            <w:pPr>
              <w:spacing w:line="280" w:lineRule="exact"/>
              <w:rPr>
                <w:rFonts w:cs="Arial"/>
                <w:sz w:val="20"/>
                <w:szCs w:val="20"/>
              </w:rPr>
            </w:pPr>
            <w:r w:rsidRPr="00F5215F">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24228554" w14:textId="77777777" w:rsidR="008E67EA" w:rsidRDefault="008E67EA" w:rsidP="00B44A74">
            <w:pPr>
              <w:spacing w:line="280" w:lineRule="exact"/>
              <w:rPr>
                <w:rFonts w:cs="Arial"/>
                <w:sz w:val="20"/>
                <w:szCs w:val="20"/>
              </w:rPr>
            </w:pPr>
            <w:r>
              <w:rPr>
                <w:rFonts w:cs="Arial"/>
                <w:sz w:val="20"/>
                <w:szCs w:val="20"/>
              </w:rPr>
              <w:t>SAFETY DIRECTIONS</w:t>
            </w:r>
          </w:p>
          <w:p w14:paraId="5B61A268" w14:textId="77777777" w:rsidR="008E67EA" w:rsidRPr="00793D7B" w:rsidRDefault="008E67EA" w:rsidP="00B44A74">
            <w:pPr>
              <w:spacing w:line="280" w:lineRule="exact"/>
              <w:rPr>
                <w:rFonts w:cs="Arial"/>
                <w:sz w:val="20"/>
                <w:szCs w:val="20"/>
              </w:rPr>
            </w:pPr>
            <w:r w:rsidRPr="00793D7B">
              <w:rPr>
                <w:rFonts w:cs="Arial"/>
                <w:sz w:val="20"/>
                <w:szCs w:val="20"/>
              </w:rPr>
              <w:t>Repeated minor exposure may have a cumulative poisoning effect.</w:t>
            </w:r>
            <w:r>
              <w:rPr>
                <w:rFonts w:cs="Arial"/>
                <w:sz w:val="20"/>
                <w:szCs w:val="20"/>
              </w:rPr>
              <w:t xml:space="preserve"> </w:t>
            </w:r>
            <w:r w:rsidRPr="00793D7B">
              <w:rPr>
                <w:rFonts w:cs="Arial"/>
                <w:sz w:val="20"/>
                <w:szCs w:val="20"/>
              </w:rPr>
              <w:t>May irritate eyes.</w:t>
            </w:r>
          </w:p>
          <w:p w14:paraId="4BA06724" w14:textId="2FCE1D45" w:rsidR="008E67EA" w:rsidRDefault="008E67EA" w:rsidP="00B44A74">
            <w:pPr>
              <w:spacing w:line="280" w:lineRule="exact"/>
              <w:rPr>
                <w:rFonts w:cs="Arial"/>
                <w:sz w:val="20"/>
                <w:szCs w:val="20"/>
              </w:rPr>
            </w:pPr>
            <w:r w:rsidRPr="00793D7B">
              <w:rPr>
                <w:rFonts w:cs="Arial"/>
                <w:sz w:val="20"/>
                <w:szCs w:val="20"/>
              </w:rPr>
              <w:lastRenderedPageBreak/>
              <w:t>Avoid contact with eyes.</w:t>
            </w:r>
            <w:r>
              <w:rPr>
                <w:rFonts w:cs="Arial"/>
                <w:sz w:val="20"/>
                <w:szCs w:val="20"/>
              </w:rPr>
              <w:t xml:space="preserve"> </w:t>
            </w:r>
            <w:r w:rsidRPr="00793D7B">
              <w:rPr>
                <w:rFonts w:cs="Arial"/>
                <w:sz w:val="20"/>
                <w:szCs w:val="20"/>
              </w:rPr>
              <w:t>Do not touch bait, use scoop or measure.</w:t>
            </w:r>
            <w:r>
              <w:rPr>
                <w:rFonts w:cs="Arial"/>
                <w:sz w:val="20"/>
                <w:szCs w:val="20"/>
              </w:rPr>
              <w:t xml:space="preserve"> </w:t>
            </w:r>
            <w:r w:rsidRPr="00793D7B">
              <w:rPr>
                <w:rFonts w:cs="Arial"/>
                <w:sz w:val="20"/>
                <w:szCs w:val="20"/>
              </w:rPr>
              <w:t>When using the product wear disposable gloves.</w:t>
            </w:r>
            <w:r>
              <w:rPr>
                <w:rFonts w:cs="Arial"/>
                <w:sz w:val="20"/>
                <w:szCs w:val="20"/>
              </w:rPr>
              <w:t xml:space="preserve"> </w:t>
            </w:r>
            <w:r w:rsidRPr="00793D7B">
              <w:rPr>
                <w:rFonts w:cs="Arial"/>
                <w:sz w:val="20"/>
                <w:szCs w:val="20"/>
              </w:rPr>
              <w:t>If on skin and after each baiting, wash thoroughly with soap and water</w:t>
            </w:r>
            <w:r>
              <w:rPr>
                <w:rFonts w:cs="Arial"/>
                <w:sz w:val="20"/>
                <w:szCs w:val="20"/>
              </w:rPr>
              <w:t>.</w:t>
            </w:r>
          </w:p>
          <w:p w14:paraId="63A1B77A" w14:textId="7664E79E" w:rsidR="008E67EA" w:rsidRPr="002B5B5B" w:rsidRDefault="008E67EA" w:rsidP="00B44A74">
            <w:pPr>
              <w:spacing w:line="280" w:lineRule="exact"/>
              <w:rPr>
                <w:rFonts w:cs="Arial"/>
                <w:sz w:val="20"/>
                <w:szCs w:val="20"/>
              </w:rPr>
            </w:pPr>
            <w:r w:rsidRPr="00793D7B">
              <w:rPr>
                <w:rFonts w:cs="Arial"/>
                <w:sz w:val="20"/>
                <w:szCs w:val="20"/>
              </w:rPr>
              <w:t xml:space="preserve">During cleanup and disposal operations of bait and bait stations, wear a single layer of clothing and disposable gloves. Wear disposable gloves when handling rodent carcasses. Wash clothes after performing re-handling activities. </w:t>
            </w:r>
          </w:p>
        </w:tc>
      </w:tr>
      <w:tr w:rsidR="008E67EA" w:rsidRPr="002B5B5B" w14:paraId="6D45DA57" w14:textId="77777777" w:rsidTr="00B44A74">
        <w:trPr>
          <w:jc w:val="center"/>
        </w:trPr>
        <w:tc>
          <w:tcPr>
            <w:tcW w:w="2415" w:type="dxa"/>
            <w:tcBorders>
              <w:top w:val="single" w:sz="4" w:space="0" w:color="auto"/>
              <w:left w:val="nil"/>
              <w:bottom w:val="single" w:sz="4" w:space="0" w:color="auto"/>
              <w:right w:val="nil"/>
            </w:tcBorders>
          </w:tcPr>
          <w:p w14:paraId="3F535399"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ABAD9E3" w14:textId="77777777" w:rsidR="008E67EA" w:rsidRPr="002B5B5B" w:rsidRDefault="008E67EA" w:rsidP="00B44A74">
            <w:pPr>
              <w:spacing w:line="280" w:lineRule="exact"/>
              <w:rPr>
                <w:rFonts w:cs="Arial"/>
                <w:sz w:val="20"/>
                <w:szCs w:val="20"/>
              </w:rPr>
            </w:pPr>
          </w:p>
        </w:tc>
      </w:tr>
      <w:tr w:rsidR="008E67EA" w:rsidRPr="002B5B5B" w14:paraId="2DBCCC8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BD625A1" w14:textId="77777777" w:rsidR="008E67EA" w:rsidRPr="00F5215F" w:rsidRDefault="008E67EA" w:rsidP="00B44A74">
            <w:pPr>
              <w:spacing w:line="280" w:lineRule="exact"/>
              <w:rPr>
                <w:rFonts w:cs="Arial"/>
                <w:sz w:val="20"/>
                <w:szCs w:val="20"/>
              </w:rPr>
            </w:pPr>
            <w:r w:rsidRPr="00F5215F">
              <w:rPr>
                <w:rFonts w:cs="Arial"/>
                <w:sz w:val="20"/>
                <w:szCs w:val="20"/>
              </w:rPr>
              <w:t>First Aid Instructions:</w:t>
            </w:r>
          </w:p>
        </w:tc>
        <w:tc>
          <w:tcPr>
            <w:tcW w:w="7755" w:type="dxa"/>
            <w:tcBorders>
              <w:top w:val="single" w:sz="4" w:space="0" w:color="auto"/>
              <w:left w:val="single" w:sz="4" w:space="0" w:color="auto"/>
              <w:bottom w:val="single" w:sz="4" w:space="0" w:color="auto"/>
              <w:right w:val="single" w:sz="4" w:space="0" w:color="auto"/>
            </w:tcBorders>
          </w:tcPr>
          <w:p w14:paraId="516E6C3A" w14:textId="77777777" w:rsidR="008E67EA" w:rsidRDefault="008E67EA" w:rsidP="00B44A74">
            <w:pPr>
              <w:spacing w:line="280" w:lineRule="exact"/>
              <w:rPr>
                <w:rFonts w:cs="Arial"/>
                <w:sz w:val="20"/>
                <w:szCs w:val="20"/>
              </w:rPr>
            </w:pPr>
            <w:r>
              <w:rPr>
                <w:rFonts w:cs="Arial"/>
                <w:sz w:val="20"/>
                <w:szCs w:val="20"/>
              </w:rPr>
              <w:t>FIRST AID</w:t>
            </w:r>
          </w:p>
          <w:p w14:paraId="143AC5A3" w14:textId="120F4DFA" w:rsidR="008E67EA" w:rsidRPr="002B5B5B" w:rsidRDefault="008E67EA" w:rsidP="00B44A74">
            <w:pPr>
              <w:spacing w:line="280" w:lineRule="exact"/>
              <w:rPr>
                <w:rFonts w:cs="Arial"/>
                <w:sz w:val="20"/>
                <w:szCs w:val="20"/>
              </w:rPr>
            </w:pPr>
            <w:r w:rsidRPr="00793D7B">
              <w:rPr>
                <w:rFonts w:cs="Arial"/>
                <w:sz w:val="20"/>
                <w:szCs w:val="20"/>
              </w:rPr>
              <w:t>If poisoning occurs, contact a doctor or Poisons Information Centre. Phone Australia 13 11 26, New Zealand 0800 764 766. Vitamin K1 (Phytomenadione) is antidotal.</w:t>
            </w:r>
          </w:p>
        </w:tc>
      </w:tr>
      <w:tr w:rsidR="008E67EA" w:rsidRPr="002B5B5B" w14:paraId="034A24A7" w14:textId="77777777" w:rsidTr="00B44A74">
        <w:trPr>
          <w:jc w:val="center"/>
        </w:trPr>
        <w:tc>
          <w:tcPr>
            <w:tcW w:w="2415" w:type="dxa"/>
            <w:tcBorders>
              <w:top w:val="single" w:sz="4" w:space="0" w:color="auto"/>
              <w:left w:val="nil"/>
              <w:bottom w:val="single" w:sz="4" w:space="0" w:color="auto"/>
              <w:right w:val="nil"/>
            </w:tcBorders>
          </w:tcPr>
          <w:p w14:paraId="3EFEB6AD"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CB2D2B4" w14:textId="77777777" w:rsidR="008E67EA" w:rsidRPr="002B5B5B" w:rsidRDefault="008E67EA" w:rsidP="00B44A74">
            <w:pPr>
              <w:spacing w:line="280" w:lineRule="exact"/>
              <w:rPr>
                <w:rFonts w:cs="Arial"/>
                <w:sz w:val="20"/>
                <w:szCs w:val="20"/>
              </w:rPr>
            </w:pPr>
          </w:p>
        </w:tc>
      </w:tr>
      <w:tr w:rsidR="008E67EA" w:rsidRPr="002B5B5B" w14:paraId="6F9A00D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E6CC54D" w14:textId="77777777" w:rsidR="008E67EA" w:rsidRPr="00F5215F" w:rsidRDefault="008E67EA" w:rsidP="00B44A74">
            <w:pPr>
              <w:spacing w:line="280" w:lineRule="exact"/>
              <w:rPr>
                <w:rFonts w:cs="Arial"/>
                <w:sz w:val="20"/>
                <w:szCs w:val="20"/>
              </w:rPr>
            </w:pPr>
            <w:r w:rsidRPr="00F5215F">
              <w:rPr>
                <w:rFonts w:cs="Arial"/>
                <w:sz w:val="20"/>
                <w:szCs w:val="20"/>
              </w:rPr>
              <w:t>First Aid Warnings:</w:t>
            </w:r>
          </w:p>
        </w:tc>
        <w:tc>
          <w:tcPr>
            <w:tcW w:w="7755" w:type="dxa"/>
            <w:tcBorders>
              <w:top w:val="single" w:sz="4" w:space="0" w:color="auto"/>
              <w:left w:val="single" w:sz="4" w:space="0" w:color="auto"/>
              <w:bottom w:val="single" w:sz="4" w:space="0" w:color="auto"/>
              <w:right w:val="single" w:sz="4" w:space="0" w:color="auto"/>
            </w:tcBorders>
          </w:tcPr>
          <w:p w14:paraId="3DDA0260" w14:textId="77777777" w:rsidR="008E67EA" w:rsidRPr="002B5B5B" w:rsidRDefault="008E67EA" w:rsidP="00B44A74">
            <w:pPr>
              <w:spacing w:line="280" w:lineRule="exact"/>
              <w:rPr>
                <w:rFonts w:cs="Arial"/>
                <w:sz w:val="20"/>
                <w:szCs w:val="20"/>
              </w:rPr>
            </w:pPr>
          </w:p>
        </w:tc>
      </w:tr>
    </w:tbl>
    <w:p w14:paraId="021EAAB3" w14:textId="77777777" w:rsidR="008E67EA" w:rsidRDefault="008E67EA" w:rsidP="008E67EA"/>
    <w:p w14:paraId="6D8734DF" w14:textId="77777777" w:rsidR="008E67EA" w:rsidRDefault="008E67EA" w:rsidP="008E67EA">
      <w:pPr>
        <w:spacing w:line="280" w:lineRule="exact"/>
        <w:rPr>
          <w:rFonts w:cs="Arial"/>
          <w:b/>
          <w:bCs/>
          <w:sz w:val="20"/>
          <w:szCs w:val="20"/>
        </w:rPr>
      </w:pPr>
      <w:r w:rsidRPr="00FF36BF">
        <w:rPr>
          <w:rFonts w:cs="Arial"/>
          <w:b/>
          <w:bCs/>
          <w:sz w:val="20"/>
          <w:szCs w:val="20"/>
        </w:rPr>
        <w:t>DIRECTIONS FOR USE</w:t>
      </w:r>
    </w:p>
    <w:p w14:paraId="7704306B" w14:textId="77777777" w:rsidR="008E67EA" w:rsidRPr="00392579" w:rsidRDefault="008E67EA" w:rsidP="008E67EA">
      <w:pPr>
        <w:spacing w:line="280" w:lineRule="exact"/>
        <w:rPr>
          <w:rFonts w:cs="Arial"/>
          <w:b/>
          <w:bCs/>
          <w:sz w:val="20"/>
          <w:szCs w:val="20"/>
        </w:rPr>
      </w:pPr>
      <w:r w:rsidRPr="00392579">
        <w:rPr>
          <w:rFonts w:cs="Arial"/>
          <w:b/>
          <w:bCs/>
          <w:sz w:val="20"/>
          <w:szCs w:val="20"/>
        </w:rPr>
        <w:t>Blocks and sachets: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276"/>
        <w:gridCol w:w="1134"/>
        <w:gridCol w:w="4786"/>
      </w:tblGrid>
      <w:tr w:rsidR="008E67EA" w:rsidRPr="00FF36BF" w14:paraId="33D01C1F" w14:textId="77777777" w:rsidTr="00604F9D">
        <w:trPr>
          <w:trHeight w:val="340"/>
        </w:trPr>
        <w:tc>
          <w:tcPr>
            <w:tcW w:w="1857" w:type="dxa"/>
          </w:tcPr>
          <w:p w14:paraId="76C26EE1" w14:textId="77777777" w:rsidR="008E67EA" w:rsidRPr="00DB6BC4" w:rsidRDefault="008E67EA" w:rsidP="00B44A74">
            <w:pPr>
              <w:spacing w:line="280" w:lineRule="exact"/>
              <w:rPr>
                <w:rFonts w:cs="Arial"/>
                <w:b/>
                <w:bCs/>
                <w:szCs w:val="18"/>
              </w:rPr>
            </w:pPr>
            <w:r w:rsidRPr="00DB6BC4">
              <w:rPr>
                <w:rFonts w:cs="Arial"/>
                <w:b/>
                <w:bCs/>
                <w:szCs w:val="18"/>
              </w:rPr>
              <w:t>SITUATION</w:t>
            </w:r>
          </w:p>
        </w:tc>
        <w:tc>
          <w:tcPr>
            <w:tcW w:w="1276" w:type="dxa"/>
          </w:tcPr>
          <w:p w14:paraId="1C24B13D" w14:textId="77777777" w:rsidR="008E67EA" w:rsidRPr="00DB6BC4" w:rsidRDefault="008E67EA" w:rsidP="00B44A74">
            <w:pPr>
              <w:spacing w:line="280" w:lineRule="exact"/>
              <w:rPr>
                <w:rFonts w:cs="Arial"/>
                <w:b/>
                <w:bCs/>
                <w:szCs w:val="18"/>
              </w:rPr>
            </w:pPr>
            <w:r w:rsidRPr="00DB6BC4">
              <w:rPr>
                <w:rFonts w:cs="Arial"/>
                <w:b/>
                <w:bCs/>
                <w:szCs w:val="18"/>
              </w:rPr>
              <w:t>PEST</w:t>
            </w:r>
          </w:p>
        </w:tc>
        <w:tc>
          <w:tcPr>
            <w:tcW w:w="1134" w:type="dxa"/>
          </w:tcPr>
          <w:p w14:paraId="46B0429B" w14:textId="77777777" w:rsidR="008E67EA" w:rsidRPr="00DB6BC4" w:rsidRDefault="008E67EA" w:rsidP="00B44A74">
            <w:pPr>
              <w:spacing w:line="280" w:lineRule="exact"/>
              <w:rPr>
                <w:rFonts w:cs="Arial"/>
                <w:b/>
                <w:bCs/>
                <w:szCs w:val="18"/>
              </w:rPr>
            </w:pPr>
            <w:r w:rsidRPr="00DB6BC4">
              <w:rPr>
                <w:rFonts w:cs="Arial"/>
                <w:b/>
                <w:bCs/>
                <w:szCs w:val="18"/>
              </w:rPr>
              <w:t>RATE</w:t>
            </w:r>
          </w:p>
        </w:tc>
        <w:tc>
          <w:tcPr>
            <w:tcW w:w="4786" w:type="dxa"/>
          </w:tcPr>
          <w:p w14:paraId="72F81F27" w14:textId="77777777" w:rsidR="008E67EA" w:rsidRPr="00DB6BC4" w:rsidRDefault="008E67EA" w:rsidP="00B44A74">
            <w:pPr>
              <w:spacing w:line="280" w:lineRule="exact"/>
              <w:rPr>
                <w:rFonts w:cs="Arial"/>
                <w:b/>
                <w:bCs/>
                <w:szCs w:val="18"/>
              </w:rPr>
            </w:pPr>
            <w:r w:rsidRPr="00DB6BC4">
              <w:rPr>
                <w:rFonts w:cs="Arial"/>
                <w:b/>
                <w:bCs/>
                <w:szCs w:val="18"/>
              </w:rPr>
              <w:t>CRITICAL COMMENTS</w:t>
            </w:r>
          </w:p>
        </w:tc>
      </w:tr>
      <w:tr w:rsidR="008E67EA" w:rsidRPr="00FF36BF" w14:paraId="2463CA8A" w14:textId="77777777" w:rsidTr="00604F9D">
        <w:trPr>
          <w:trHeight w:val="841"/>
        </w:trPr>
        <w:tc>
          <w:tcPr>
            <w:tcW w:w="1857" w:type="dxa"/>
          </w:tcPr>
          <w:p w14:paraId="51D39BF7" w14:textId="77777777" w:rsidR="008E67EA" w:rsidRPr="00DB6BC4" w:rsidRDefault="008E67EA" w:rsidP="00B44A74">
            <w:pPr>
              <w:spacing w:after="120" w:line="240" w:lineRule="exact"/>
              <w:rPr>
                <w:rFonts w:cs="Arial"/>
                <w:bCs/>
                <w:spacing w:val="-2"/>
                <w:w w:val="105"/>
                <w:szCs w:val="18"/>
              </w:rPr>
            </w:pPr>
            <w:r w:rsidRPr="00DB6BC4">
              <w:rPr>
                <w:rFonts w:cs="Arial"/>
                <w:bCs/>
                <w:spacing w:val="-2"/>
                <w:w w:val="105"/>
                <w:szCs w:val="18"/>
              </w:rPr>
              <w:t xml:space="preserve">In and around </w:t>
            </w:r>
            <w:r>
              <w:rPr>
                <w:rFonts w:cs="Arial"/>
                <w:bCs/>
                <w:spacing w:val="-2"/>
                <w:w w:val="105"/>
                <w:szCs w:val="18"/>
              </w:rPr>
              <w:t xml:space="preserve">(within 2 m) </w:t>
            </w:r>
            <w:r w:rsidRPr="00132BFD">
              <w:rPr>
                <w:rFonts w:cs="Arial"/>
                <w:bCs/>
                <w:spacing w:val="-2"/>
                <w:w w:val="105"/>
                <w:szCs w:val="18"/>
              </w:rPr>
              <w:t>agricultural, commercial, domestic and industrial buildings</w:t>
            </w:r>
          </w:p>
        </w:tc>
        <w:tc>
          <w:tcPr>
            <w:tcW w:w="1276" w:type="dxa"/>
          </w:tcPr>
          <w:p w14:paraId="3E13303E" w14:textId="77777777" w:rsidR="008E67EA" w:rsidRPr="00DB6BC4" w:rsidRDefault="008E67EA" w:rsidP="00B44A74">
            <w:pPr>
              <w:spacing w:after="120" w:line="240" w:lineRule="exact"/>
              <w:rPr>
                <w:rFonts w:cs="Arial"/>
                <w:bCs/>
                <w:spacing w:val="-2"/>
                <w:w w:val="105"/>
                <w:szCs w:val="18"/>
              </w:rPr>
            </w:pPr>
            <w:r w:rsidRPr="004F544F">
              <w:rPr>
                <w:rFonts w:cs="Arial"/>
                <w:bCs/>
                <w:spacing w:val="-2"/>
                <w:w w:val="105"/>
                <w:szCs w:val="18"/>
              </w:rPr>
              <w:t xml:space="preserve">Rats </w:t>
            </w:r>
            <w:r w:rsidRPr="004F544F">
              <w:rPr>
                <w:rFonts w:cs="Arial"/>
                <w:bCs/>
                <w:i/>
                <w:iCs/>
                <w:spacing w:val="-2"/>
                <w:w w:val="105"/>
                <w:szCs w:val="18"/>
              </w:rPr>
              <w:t>(Rattus rattus, Rattus norvegicus)</w:t>
            </w:r>
          </w:p>
        </w:tc>
        <w:tc>
          <w:tcPr>
            <w:tcW w:w="1134" w:type="dxa"/>
          </w:tcPr>
          <w:p w14:paraId="012E8861" w14:textId="77777777" w:rsidR="008E67EA" w:rsidRPr="00DB6BC4" w:rsidRDefault="008E67EA" w:rsidP="00B44A74">
            <w:pPr>
              <w:spacing w:after="120" w:line="240" w:lineRule="exact"/>
              <w:rPr>
                <w:rFonts w:cs="Arial"/>
                <w:bCs/>
                <w:spacing w:val="-2"/>
                <w:w w:val="105"/>
                <w:szCs w:val="18"/>
              </w:rPr>
            </w:pPr>
            <w:r>
              <w:rPr>
                <w:rFonts w:cs="Arial"/>
                <w:bCs/>
                <w:spacing w:val="-2"/>
                <w:w w:val="105"/>
                <w:szCs w:val="18"/>
              </w:rPr>
              <w:t>[as per current approved label]</w:t>
            </w:r>
          </w:p>
        </w:tc>
        <w:tc>
          <w:tcPr>
            <w:tcW w:w="4786" w:type="dxa"/>
            <w:vMerge w:val="restart"/>
          </w:tcPr>
          <w:p w14:paraId="71329A25" w14:textId="77777777" w:rsidR="008E67EA" w:rsidRDefault="008E67EA" w:rsidP="00B44A74">
            <w:pPr>
              <w:spacing w:after="120" w:line="240" w:lineRule="exact"/>
              <w:rPr>
                <w:rFonts w:cs="Arial"/>
                <w:bCs/>
                <w:spacing w:val="-2"/>
                <w:w w:val="105"/>
                <w:szCs w:val="18"/>
              </w:rPr>
            </w:pPr>
            <w:r>
              <w:rPr>
                <w:rFonts w:cs="Arial"/>
                <w:bCs/>
                <w:spacing w:val="-2"/>
                <w:w w:val="105"/>
                <w:szCs w:val="18"/>
              </w:rPr>
              <w:t xml:space="preserve">Place bait stations in the infested area. </w:t>
            </w:r>
            <w:r w:rsidRPr="00132BFD">
              <w:rPr>
                <w:rFonts w:cs="Arial"/>
                <w:bCs/>
                <w:spacing w:val="-2"/>
                <w:w w:val="105"/>
                <w:szCs w:val="18"/>
              </w:rPr>
              <w:t>Where droppings are seen, inside ceiling cavities, along runs are locations more probably frequented by rodents.</w:t>
            </w:r>
            <w:r>
              <w:rPr>
                <w:rFonts w:cs="Arial"/>
                <w:bCs/>
                <w:spacing w:val="-2"/>
                <w:w w:val="105"/>
                <w:szCs w:val="18"/>
              </w:rPr>
              <w:t xml:space="preserve"> </w:t>
            </w:r>
            <w:r w:rsidRPr="0062097B">
              <w:rPr>
                <w:rFonts w:cs="Arial"/>
                <w:bCs/>
                <w:spacing w:val="-2"/>
                <w:w w:val="105"/>
                <w:szCs w:val="18"/>
              </w:rPr>
              <w:t>DO NOT touch bait.</w:t>
            </w:r>
          </w:p>
          <w:p w14:paraId="3D508464" w14:textId="77777777" w:rsidR="008E67EA" w:rsidRPr="00EC163C" w:rsidRDefault="008E67EA" w:rsidP="00B44A74">
            <w:pPr>
              <w:spacing w:after="120" w:line="240" w:lineRule="exact"/>
              <w:rPr>
                <w:rFonts w:cs="Arial"/>
                <w:bCs/>
                <w:spacing w:val="-2"/>
                <w:w w:val="105"/>
                <w:szCs w:val="18"/>
              </w:rPr>
            </w:pPr>
            <w:r w:rsidRPr="00EC163C">
              <w:rPr>
                <w:rFonts w:cs="Arial"/>
                <w:bCs/>
                <w:spacing w:val="-2"/>
                <w:w w:val="105"/>
                <w:szCs w:val="18"/>
              </w:rPr>
              <w:t>The feeding behaviour of rats and mice is slightly different. Rats feed in large quantities in few locations whereas mice are more erratic and tend to feed in different places at different times.</w:t>
            </w:r>
          </w:p>
          <w:p w14:paraId="54F3B496" w14:textId="77777777" w:rsidR="008E67EA" w:rsidRPr="00AF79D7" w:rsidRDefault="008E67EA" w:rsidP="00B44A74">
            <w:pPr>
              <w:spacing w:after="120" w:line="240" w:lineRule="exact"/>
              <w:rPr>
                <w:rFonts w:cs="Arial"/>
                <w:bCs/>
                <w:spacing w:val="-2"/>
                <w:w w:val="105"/>
                <w:szCs w:val="18"/>
              </w:rPr>
            </w:pPr>
            <w:r w:rsidRPr="00EC163C">
              <w:rPr>
                <w:rFonts w:cs="Arial"/>
                <w:bCs/>
                <w:spacing w:val="-2"/>
                <w:w w:val="105"/>
                <w:szCs w:val="18"/>
              </w:rPr>
              <w:t>DO NOT exceed 9 m between bait stations for rats and 3 m for mice.</w:t>
            </w:r>
          </w:p>
        </w:tc>
      </w:tr>
      <w:tr w:rsidR="008E67EA" w:rsidRPr="00FF36BF" w14:paraId="60E38A1C" w14:textId="77777777" w:rsidTr="00604F9D">
        <w:trPr>
          <w:trHeight w:val="1140"/>
        </w:trPr>
        <w:tc>
          <w:tcPr>
            <w:tcW w:w="1857" w:type="dxa"/>
          </w:tcPr>
          <w:p w14:paraId="235DE720" w14:textId="77777777" w:rsidR="008E67EA" w:rsidRPr="00DB6BC4" w:rsidRDefault="008E67EA" w:rsidP="00B44A74">
            <w:pPr>
              <w:spacing w:after="120" w:line="240" w:lineRule="exact"/>
              <w:rPr>
                <w:rFonts w:cs="Arial"/>
                <w:bCs/>
                <w:spacing w:val="-2"/>
                <w:w w:val="105"/>
                <w:szCs w:val="18"/>
              </w:rPr>
            </w:pPr>
            <w:r w:rsidRPr="007053EC">
              <w:rPr>
                <w:rFonts w:cs="Arial"/>
                <w:bCs/>
                <w:spacing w:val="-2"/>
                <w:w w:val="105"/>
                <w:szCs w:val="18"/>
              </w:rPr>
              <w:t xml:space="preserve">In </w:t>
            </w:r>
            <w:r w:rsidRPr="00132BFD">
              <w:rPr>
                <w:rFonts w:cs="Arial"/>
                <w:bCs/>
                <w:spacing w:val="-2"/>
                <w:w w:val="105"/>
                <w:szCs w:val="18"/>
              </w:rPr>
              <w:t>agricultural, commercial, domestic and industrial buildings</w:t>
            </w:r>
            <w:r>
              <w:rPr>
                <w:rFonts w:cs="Arial"/>
                <w:bCs/>
                <w:spacing w:val="-2"/>
                <w:w w:val="105"/>
                <w:szCs w:val="18"/>
              </w:rPr>
              <w:t>.</w:t>
            </w:r>
          </w:p>
        </w:tc>
        <w:tc>
          <w:tcPr>
            <w:tcW w:w="1276" w:type="dxa"/>
          </w:tcPr>
          <w:p w14:paraId="64788C0B" w14:textId="77777777" w:rsidR="008E67EA" w:rsidRPr="00DB6BC4" w:rsidRDefault="008E67EA" w:rsidP="00B44A74">
            <w:pPr>
              <w:spacing w:after="120" w:line="240" w:lineRule="exact"/>
              <w:rPr>
                <w:rFonts w:cs="Arial"/>
                <w:bCs/>
                <w:spacing w:val="-2"/>
                <w:w w:val="105"/>
                <w:szCs w:val="18"/>
              </w:rPr>
            </w:pPr>
            <w:r w:rsidRPr="004F544F">
              <w:rPr>
                <w:rFonts w:cs="Arial"/>
                <w:bCs/>
                <w:spacing w:val="-2"/>
                <w:w w:val="105"/>
                <w:szCs w:val="18"/>
              </w:rPr>
              <w:t xml:space="preserve">Mice </w:t>
            </w:r>
            <w:r w:rsidRPr="004F544F">
              <w:rPr>
                <w:rFonts w:cs="Arial"/>
                <w:bCs/>
                <w:i/>
                <w:iCs/>
                <w:spacing w:val="-2"/>
                <w:w w:val="105"/>
                <w:szCs w:val="18"/>
              </w:rPr>
              <w:t>(Mus musculus)</w:t>
            </w:r>
          </w:p>
        </w:tc>
        <w:tc>
          <w:tcPr>
            <w:tcW w:w="1134" w:type="dxa"/>
          </w:tcPr>
          <w:p w14:paraId="7FA15E87" w14:textId="77777777" w:rsidR="008E67EA" w:rsidRPr="00DB6BC4" w:rsidRDefault="008E67EA" w:rsidP="00B44A74">
            <w:pPr>
              <w:spacing w:after="120" w:line="240" w:lineRule="exact"/>
              <w:rPr>
                <w:rFonts w:cs="Arial"/>
                <w:bCs/>
                <w:spacing w:val="-2"/>
                <w:w w:val="105"/>
                <w:szCs w:val="18"/>
              </w:rPr>
            </w:pPr>
            <w:r>
              <w:rPr>
                <w:rFonts w:cs="Arial"/>
                <w:bCs/>
                <w:spacing w:val="-2"/>
                <w:w w:val="105"/>
                <w:szCs w:val="18"/>
              </w:rPr>
              <w:t>[as per current approved label]</w:t>
            </w:r>
          </w:p>
        </w:tc>
        <w:tc>
          <w:tcPr>
            <w:tcW w:w="4786" w:type="dxa"/>
            <w:vMerge/>
          </w:tcPr>
          <w:p w14:paraId="6CB46DC2" w14:textId="77777777" w:rsidR="008E67EA" w:rsidRPr="00AF79D7" w:rsidRDefault="008E67EA" w:rsidP="00B44A74">
            <w:pPr>
              <w:spacing w:after="120" w:line="240" w:lineRule="exact"/>
              <w:rPr>
                <w:rFonts w:cs="Arial"/>
                <w:bCs/>
                <w:spacing w:val="-2"/>
                <w:w w:val="105"/>
                <w:szCs w:val="18"/>
              </w:rPr>
            </w:pPr>
          </w:p>
        </w:tc>
      </w:tr>
    </w:tbl>
    <w:p w14:paraId="14363DE6" w14:textId="77777777" w:rsidR="008E67EA" w:rsidRPr="00392579" w:rsidRDefault="008E67EA" w:rsidP="008E67EA">
      <w:pPr>
        <w:spacing w:before="240" w:line="280" w:lineRule="exact"/>
        <w:rPr>
          <w:rFonts w:cs="Arial"/>
          <w:b/>
          <w:bCs/>
          <w:sz w:val="20"/>
          <w:szCs w:val="20"/>
        </w:rPr>
      </w:pPr>
      <w:r w:rsidRPr="00392579">
        <w:rPr>
          <w:rFonts w:cs="Arial"/>
          <w:b/>
          <w:bCs/>
          <w:sz w:val="20"/>
          <w:szCs w:val="20"/>
        </w:rPr>
        <w:t>Ready-to-use bait stations: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1322"/>
        <w:gridCol w:w="992"/>
        <w:gridCol w:w="4928"/>
      </w:tblGrid>
      <w:tr w:rsidR="008E67EA" w:rsidRPr="00FF36BF" w14:paraId="494E93D6" w14:textId="77777777" w:rsidTr="00604F9D">
        <w:trPr>
          <w:trHeight w:val="340"/>
        </w:trPr>
        <w:tc>
          <w:tcPr>
            <w:tcW w:w="1811" w:type="dxa"/>
          </w:tcPr>
          <w:p w14:paraId="7FF15F57" w14:textId="77777777" w:rsidR="008E67EA" w:rsidRPr="00DB6BC4" w:rsidRDefault="008E67EA" w:rsidP="00B44A74">
            <w:pPr>
              <w:spacing w:line="280" w:lineRule="exact"/>
              <w:rPr>
                <w:rFonts w:cs="Arial"/>
                <w:b/>
                <w:bCs/>
                <w:szCs w:val="18"/>
              </w:rPr>
            </w:pPr>
            <w:r w:rsidRPr="00DB6BC4">
              <w:rPr>
                <w:rFonts w:cs="Arial"/>
                <w:b/>
                <w:bCs/>
                <w:szCs w:val="18"/>
              </w:rPr>
              <w:t>SITUATION</w:t>
            </w:r>
          </w:p>
        </w:tc>
        <w:tc>
          <w:tcPr>
            <w:tcW w:w="1322" w:type="dxa"/>
          </w:tcPr>
          <w:p w14:paraId="69E3950C" w14:textId="77777777" w:rsidR="008E67EA" w:rsidRPr="00DB6BC4" w:rsidRDefault="008E67EA" w:rsidP="00B44A74">
            <w:pPr>
              <w:spacing w:line="280" w:lineRule="exact"/>
              <w:rPr>
                <w:rFonts w:cs="Arial"/>
                <w:b/>
                <w:bCs/>
                <w:szCs w:val="18"/>
              </w:rPr>
            </w:pPr>
            <w:r w:rsidRPr="00DB6BC4">
              <w:rPr>
                <w:rFonts w:cs="Arial"/>
                <w:b/>
                <w:bCs/>
                <w:szCs w:val="18"/>
              </w:rPr>
              <w:t>PEST</w:t>
            </w:r>
          </w:p>
        </w:tc>
        <w:tc>
          <w:tcPr>
            <w:tcW w:w="992" w:type="dxa"/>
          </w:tcPr>
          <w:p w14:paraId="5AD9E4B8" w14:textId="77777777" w:rsidR="008E67EA" w:rsidRPr="00DB6BC4" w:rsidRDefault="008E67EA" w:rsidP="00B44A74">
            <w:pPr>
              <w:spacing w:line="280" w:lineRule="exact"/>
              <w:rPr>
                <w:rFonts w:cs="Arial"/>
                <w:b/>
                <w:bCs/>
                <w:szCs w:val="18"/>
              </w:rPr>
            </w:pPr>
            <w:r w:rsidRPr="00DB6BC4">
              <w:rPr>
                <w:rFonts w:cs="Arial"/>
                <w:b/>
                <w:bCs/>
                <w:szCs w:val="18"/>
              </w:rPr>
              <w:t>RATE</w:t>
            </w:r>
          </w:p>
        </w:tc>
        <w:tc>
          <w:tcPr>
            <w:tcW w:w="4928" w:type="dxa"/>
          </w:tcPr>
          <w:p w14:paraId="74284E3E" w14:textId="77777777" w:rsidR="008E67EA" w:rsidRPr="00DB6BC4" w:rsidRDefault="008E67EA" w:rsidP="00B44A74">
            <w:pPr>
              <w:spacing w:line="280" w:lineRule="exact"/>
              <w:rPr>
                <w:rFonts w:cs="Arial"/>
                <w:b/>
                <w:bCs/>
                <w:szCs w:val="18"/>
              </w:rPr>
            </w:pPr>
            <w:r w:rsidRPr="00DB6BC4">
              <w:rPr>
                <w:rFonts w:cs="Arial"/>
                <w:b/>
                <w:bCs/>
                <w:szCs w:val="18"/>
              </w:rPr>
              <w:t>CRITICAL COMMENTS</w:t>
            </w:r>
          </w:p>
        </w:tc>
      </w:tr>
      <w:tr w:rsidR="008E67EA" w:rsidRPr="00FF36BF" w14:paraId="062F02C1" w14:textId="77777777" w:rsidTr="00604F9D">
        <w:trPr>
          <w:trHeight w:val="841"/>
        </w:trPr>
        <w:tc>
          <w:tcPr>
            <w:tcW w:w="1811" w:type="dxa"/>
          </w:tcPr>
          <w:p w14:paraId="668A678F" w14:textId="77777777" w:rsidR="008E67EA" w:rsidRPr="00DB6BC4" w:rsidRDefault="008E67EA" w:rsidP="00B44A74">
            <w:pPr>
              <w:spacing w:after="120" w:line="240" w:lineRule="exact"/>
              <w:rPr>
                <w:rFonts w:cs="Arial"/>
                <w:bCs/>
                <w:spacing w:val="-2"/>
                <w:w w:val="105"/>
                <w:szCs w:val="18"/>
              </w:rPr>
            </w:pPr>
            <w:r w:rsidRPr="007053EC">
              <w:rPr>
                <w:rFonts w:cs="Arial"/>
                <w:bCs/>
                <w:spacing w:val="-2"/>
                <w:w w:val="105"/>
                <w:szCs w:val="18"/>
              </w:rPr>
              <w:t xml:space="preserve">In </w:t>
            </w:r>
            <w:r w:rsidRPr="00132BFD">
              <w:rPr>
                <w:rFonts w:cs="Arial"/>
                <w:bCs/>
                <w:spacing w:val="-2"/>
                <w:w w:val="105"/>
                <w:szCs w:val="18"/>
              </w:rPr>
              <w:t>agricultural, commercial, domestic and industrial buildings</w:t>
            </w:r>
            <w:r>
              <w:rPr>
                <w:rFonts w:cs="Arial"/>
                <w:bCs/>
                <w:spacing w:val="-2"/>
                <w:w w:val="105"/>
                <w:szCs w:val="18"/>
              </w:rPr>
              <w:t>.</w:t>
            </w:r>
          </w:p>
        </w:tc>
        <w:tc>
          <w:tcPr>
            <w:tcW w:w="1322" w:type="dxa"/>
          </w:tcPr>
          <w:p w14:paraId="66B3CB96" w14:textId="77777777" w:rsidR="008E67EA" w:rsidRPr="00DB6BC4" w:rsidRDefault="008E67EA" w:rsidP="00B44A74">
            <w:pPr>
              <w:spacing w:after="120" w:line="240" w:lineRule="exact"/>
              <w:rPr>
                <w:rFonts w:cs="Arial"/>
                <w:bCs/>
                <w:spacing w:val="-2"/>
                <w:w w:val="105"/>
                <w:szCs w:val="18"/>
              </w:rPr>
            </w:pPr>
            <w:r w:rsidRPr="004F544F">
              <w:rPr>
                <w:rFonts w:cs="Arial"/>
                <w:bCs/>
                <w:spacing w:val="-2"/>
                <w:w w:val="105"/>
                <w:szCs w:val="18"/>
              </w:rPr>
              <w:t xml:space="preserve">Mice </w:t>
            </w:r>
            <w:r w:rsidRPr="004F544F">
              <w:rPr>
                <w:rFonts w:cs="Arial"/>
                <w:bCs/>
                <w:i/>
                <w:iCs/>
                <w:spacing w:val="-2"/>
                <w:w w:val="105"/>
                <w:szCs w:val="18"/>
              </w:rPr>
              <w:t>(Mus musculus)</w:t>
            </w:r>
          </w:p>
        </w:tc>
        <w:tc>
          <w:tcPr>
            <w:tcW w:w="992" w:type="dxa"/>
          </w:tcPr>
          <w:p w14:paraId="1A963640" w14:textId="77777777" w:rsidR="008E67EA" w:rsidRPr="00DB6BC4" w:rsidRDefault="008E67EA" w:rsidP="00B44A74">
            <w:pPr>
              <w:spacing w:after="120" w:line="240" w:lineRule="exact"/>
              <w:rPr>
                <w:rFonts w:cs="Arial"/>
                <w:bCs/>
                <w:spacing w:val="-2"/>
                <w:w w:val="105"/>
                <w:szCs w:val="18"/>
              </w:rPr>
            </w:pPr>
            <w:r>
              <w:rPr>
                <w:rFonts w:cs="Arial"/>
                <w:bCs/>
                <w:spacing w:val="-2"/>
                <w:w w:val="105"/>
                <w:szCs w:val="18"/>
              </w:rPr>
              <w:t>[as per current approved label]</w:t>
            </w:r>
          </w:p>
        </w:tc>
        <w:tc>
          <w:tcPr>
            <w:tcW w:w="4928" w:type="dxa"/>
          </w:tcPr>
          <w:p w14:paraId="0FABF94A" w14:textId="77777777" w:rsidR="008E67EA" w:rsidRDefault="008E67EA" w:rsidP="00B44A74">
            <w:pPr>
              <w:spacing w:after="120" w:line="240" w:lineRule="exact"/>
              <w:rPr>
                <w:rFonts w:cs="Arial"/>
                <w:bCs/>
                <w:spacing w:val="-2"/>
                <w:w w:val="105"/>
                <w:szCs w:val="18"/>
              </w:rPr>
            </w:pPr>
            <w:r>
              <w:rPr>
                <w:rFonts w:cs="Arial"/>
                <w:bCs/>
                <w:spacing w:val="-2"/>
                <w:w w:val="105"/>
                <w:szCs w:val="18"/>
              </w:rPr>
              <w:t xml:space="preserve">Place pre-baited bait stations in the infested area. </w:t>
            </w:r>
            <w:r w:rsidRPr="00132BFD">
              <w:rPr>
                <w:rFonts w:cs="Arial"/>
                <w:bCs/>
                <w:spacing w:val="-2"/>
                <w:w w:val="105"/>
                <w:szCs w:val="18"/>
              </w:rPr>
              <w:t>Where droppings are seen, inside ceiling cavities, along runs are locations more probably frequented by rodents.</w:t>
            </w:r>
            <w:r w:rsidRPr="00EC163C">
              <w:rPr>
                <w:rFonts w:eastAsia="Calibri" w:cs="Arial"/>
                <w:sz w:val="20"/>
                <w:szCs w:val="20"/>
                <w:bdr w:val="none" w:sz="0" w:space="0" w:color="auto" w:frame="1"/>
                <w:lang w:val="en-GB"/>
              </w:rPr>
              <w:t xml:space="preserve"> </w:t>
            </w:r>
            <w:r w:rsidRPr="0062097B">
              <w:rPr>
                <w:rFonts w:cs="Arial"/>
                <w:bCs/>
                <w:spacing w:val="-2"/>
                <w:w w:val="105"/>
                <w:szCs w:val="18"/>
              </w:rPr>
              <w:t>DO NOT touch bait.</w:t>
            </w:r>
          </w:p>
          <w:p w14:paraId="53873CA9" w14:textId="77777777" w:rsidR="008E67EA" w:rsidRPr="00AF79D7" w:rsidRDefault="008E67EA" w:rsidP="00B44A74">
            <w:pPr>
              <w:spacing w:after="120" w:line="240" w:lineRule="exact"/>
              <w:rPr>
                <w:rFonts w:cs="Arial"/>
                <w:bCs/>
                <w:spacing w:val="-2"/>
                <w:w w:val="105"/>
                <w:szCs w:val="18"/>
              </w:rPr>
            </w:pPr>
            <w:r w:rsidRPr="00EC163C">
              <w:rPr>
                <w:rFonts w:cs="Arial"/>
                <w:bCs/>
                <w:spacing w:val="-2"/>
                <w:w w:val="105"/>
                <w:szCs w:val="18"/>
              </w:rPr>
              <w:t>DO NOT exceed 3 m between bait stations for mice.</w:t>
            </w:r>
          </w:p>
        </w:tc>
      </w:tr>
    </w:tbl>
    <w:p w14:paraId="5489540B" w14:textId="77777777" w:rsidR="008E67EA" w:rsidRDefault="008E67EA" w:rsidP="008E67EA">
      <w:pPr>
        <w:spacing w:before="240" w:line="280" w:lineRule="exact"/>
        <w:rPr>
          <w:rFonts w:cs="Arial"/>
          <w:b/>
          <w:bCs/>
          <w:sz w:val="20"/>
          <w:szCs w:val="20"/>
        </w:rPr>
      </w:pPr>
      <w:r>
        <w:rPr>
          <w:rFonts w:cs="Arial"/>
          <w:b/>
          <w:bCs/>
          <w:sz w:val="20"/>
          <w:szCs w:val="20"/>
        </w:rPr>
        <w:t>Baiting strategy</w:t>
      </w:r>
    </w:p>
    <w:p w14:paraId="336A1119" w14:textId="39C358EC" w:rsidR="008E67EA" w:rsidRDefault="008E67EA" w:rsidP="008E67EA">
      <w:pPr>
        <w:spacing w:line="280" w:lineRule="exact"/>
        <w:rPr>
          <w:rFonts w:cs="Arial"/>
          <w:sz w:val="20"/>
          <w:szCs w:val="20"/>
        </w:rPr>
      </w:pPr>
      <w:r w:rsidRPr="00EC163C">
        <w:rPr>
          <w:rFonts w:cs="Arial"/>
          <w:sz w:val="20"/>
          <w:szCs w:val="20"/>
        </w:rPr>
        <w:t>Eliminate as far as practicable all alternative food sources.</w:t>
      </w:r>
    </w:p>
    <w:p w14:paraId="071EC387" w14:textId="5BCD473B" w:rsidR="008E67EA" w:rsidRDefault="008E67EA" w:rsidP="008E67EA">
      <w:pPr>
        <w:spacing w:line="280" w:lineRule="exact"/>
        <w:rPr>
          <w:rFonts w:eastAsia="Calibri" w:cs="Arial"/>
          <w:sz w:val="20"/>
          <w:szCs w:val="20"/>
          <w:bdr w:val="none" w:sz="0" w:space="0" w:color="auto" w:frame="1"/>
          <w:lang w:val="en-GB" w:eastAsia="en-AU"/>
        </w:rPr>
      </w:pPr>
      <w:r w:rsidRPr="00D42DB3">
        <w:rPr>
          <w:rFonts w:eastAsia="Calibri" w:cs="Arial"/>
          <w:sz w:val="20"/>
          <w:szCs w:val="20"/>
          <w:bdr w:val="none" w:sz="0" w:space="0" w:color="auto" w:frame="1"/>
          <w:lang w:val="en-GB" w:eastAsia="en-AU"/>
        </w:rPr>
        <w:t>Survey site prior to treatment, including assessment of the extent of infestation and identification of any indications of the presence of non-target animals.</w:t>
      </w:r>
    </w:p>
    <w:p w14:paraId="423FC48B" w14:textId="16371FD7" w:rsidR="008E67EA" w:rsidRPr="00D42DB3" w:rsidRDefault="008E67EA" w:rsidP="008E67EA">
      <w:pPr>
        <w:spacing w:line="280" w:lineRule="exact"/>
        <w:rPr>
          <w:rFonts w:eastAsia="Calibri" w:cs="Arial"/>
          <w:sz w:val="20"/>
          <w:szCs w:val="20"/>
          <w:bdr w:val="none" w:sz="0" w:space="0" w:color="auto" w:frame="1"/>
          <w:lang w:val="en-GB" w:eastAsia="en-AU"/>
        </w:rPr>
      </w:pPr>
      <w:r w:rsidRPr="00A85631">
        <w:rPr>
          <w:rFonts w:eastAsia="Calibri" w:cs="Arial"/>
          <w:sz w:val="20"/>
          <w:szCs w:val="20"/>
          <w:bdr w:val="none" w:sz="0" w:space="0" w:color="auto" w:frame="1"/>
          <w:lang w:val="en-GB" w:eastAsia="en-AU"/>
        </w:rPr>
        <w:t>Record the number and locations of bait stations for the purpose of inspection, replacement and later removal.</w:t>
      </w:r>
      <w:r>
        <w:rPr>
          <w:rFonts w:eastAsia="Calibri" w:cs="Arial"/>
          <w:sz w:val="20"/>
          <w:szCs w:val="20"/>
          <w:bdr w:val="none" w:sz="0" w:space="0" w:color="auto" w:frame="1"/>
          <w:lang w:val="en-GB" w:eastAsia="en-AU"/>
        </w:rPr>
        <w:t xml:space="preserve"> </w:t>
      </w:r>
      <w:r w:rsidRPr="00982477">
        <w:rPr>
          <w:rFonts w:eastAsia="Calibri" w:cs="Arial"/>
          <w:sz w:val="20"/>
          <w:szCs w:val="20"/>
          <w:bdr w:val="none" w:sz="0" w:space="0" w:color="auto" w:frame="1"/>
          <w:lang w:val="en-GB" w:eastAsia="en-AU"/>
        </w:rPr>
        <w:t>Always use tamper-resistant bait stations that are secured in place in child accessible areas, outdoors and in animal or livestock housing</w:t>
      </w:r>
      <w:r>
        <w:rPr>
          <w:rFonts w:eastAsia="Calibri" w:cs="Arial"/>
          <w:sz w:val="20"/>
          <w:szCs w:val="20"/>
          <w:bdr w:val="none" w:sz="0" w:space="0" w:color="auto" w:frame="1"/>
          <w:lang w:val="en-GB" w:eastAsia="en-AU"/>
        </w:rPr>
        <w:t xml:space="preserve">. </w:t>
      </w:r>
      <w:r w:rsidRPr="005C7493">
        <w:rPr>
          <w:rFonts w:eastAsia="Calibri" w:cs="Arial"/>
          <w:sz w:val="20"/>
          <w:szCs w:val="20"/>
          <w:bdr w:val="none" w:sz="0" w:space="0" w:color="auto" w:frame="1"/>
          <w:lang w:val="en-GB" w:eastAsia="en-AU"/>
        </w:rPr>
        <w:t>When used in food producing animal housing situations careful consideration is necessary regarding the placement of bait stations to ensure any rodenticide contamination of water, feed or livestock is prevented.</w:t>
      </w:r>
    </w:p>
    <w:p w14:paraId="2363F2AC" w14:textId="77777777" w:rsidR="008E67EA" w:rsidRPr="00EC163C" w:rsidRDefault="008E67EA" w:rsidP="008E67EA">
      <w:pPr>
        <w:spacing w:line="280" w:lineRule="exact"/>
        <w:rPr>
          <w:rFonts w:cs="Arial"/>
          <w:sz w:val="20"/>
          <w:szCs w:val="20"/>
        </w:rPr>
      </w:pPr>
      <w:r w:rsidRPr="00EC163C">
        <w:rPr>
          <w:rFonts w:cs="Arial"/>
          <w:sz w:val="20"/>
          <w:szCs w:val="20"/>
        </w:rPr>
        <w:t>Inspect bait stations after 3 days. Replace eaten baits. Where a high level of consumption is noticed, place more baits. Remove baits in new locations where there has been no take. Inspect again 3 days later and then once a week until feeding ceases. Normally treatment takes 2 to 3 weeks.</w:t>
      </w:r>
    </w:p>
    <w:p w14:paraId="4C6172B8" w14:textId="77777777" w:rsidR="008E67EA" w:rsidRPr="00EC163C" w:rsidRDefault="008E67EA" w:rsidP="008E67EA">
      <w:pPr>
        <w:spacing w:line="280" w:lineRule="exact"/>
        <w:rPr>
          <w:rFonts w:eastAsia="Calibri" w:cs="Arial"/>
          <w:sz w:val="20"/>
          <w:szCs w:val="20"/>
          <w:bdr w:val="none" w:sz="0" w:space="0" w:color="auto" w:frame="1"/>
          <w:lang w:val="en-GB" w:eastAsia="en-AU"/>
        </w:rPr>
      </w:pPr>
      <w:r w:rsidRPr="00EC163C">
        <w:rPr>
          <w:rFonts w:eastAsia="Calibri" w:cs="Arial"/>
          <w:sz w:val="20"/>
          <w:szCs w:val="20"/>
          <w:bdr w:val="none" w:sz="0" w:space="0" w:color="auto" w:frame="1"/>
          <w:lang w:val="en-GB" w:eastAsia="en-AU"/>
        </w:rPr>
        <w:t xml:space="preserve">DO NOT use the product beyond 35 days without an evaluation of the state of the infestation and of the efficacy of the treatment. </w:t>
      </w:r>
      <w:r w:rsidRPr="00EC163C">
        <w:rPr>
          <w:rFonts w:cs="Arial"/>
          <w:sz w:val="20"/>
          <w:szCs w:val="20"/>
        </w:rPr>
        <w:t xml:space="preserve">Extended use should not be necessary and is not recommended because of </w:t>
      </w:r>
      <w:r w:rsidRPr="00EC163C">
        <w:rPr>
          <w:rFonts w:cs="Arial"/>
          <w:sz w:val="20"/>
          <w:szCs w:val="20"/>
        </w:rPr>
        <w:lastRenderedPageBreak/>
        <w:t xml:space="preserve">possible resistance development and secondary poisoning of rodent predators such as owls. </w:t>
      </w:r>
      <w:r w:rsidRPr="00EC163C">
        <w:rPr>
          <w:rFonts w:eastAsia="Calibri" w:cs="Arial"/>
          <w:sz w:val="20"/>
          <w:szCs w:val="20"/>
          <w:bdr w:val="none" w:sz="0" w:space="0" w:color="auto" w:frame="1"/>
          <w:lang w:val="en-GB" w:eastAsia="en-AU"/>
        </w:rPr>
        <w:t>Remove all uneaten bait at the end of treatment.</w:t>
      </w:r>
    </w:p>
    <w:p w14:paraId="517AEC90" w14:textId="77777777" w:rsidR="008E67EA" w:rsidRDefault="008E67EA" w:rsidP="008E67EA">
      <w:pPr>
        <w:spacing w:line="280" w:lineRule="exact"/>
        <w:rPr>
          <w:rFonts w:cs="Arial"/>
          <w:sz w:val="20"/>
          <w:szCs w:val="20"/>
        </w:rPr>
      </w:pPr>
      <w:r w:rsidRPr="00EC163C">
        <w:rPr>
          <w:rFonts w:cs="Arial"/>
          <w:sz w:val="20"/>
          <w:szCs w:val="20"/>
        </w:rPr>
        <w:t>If reinfestation should occur, you can repeat treatment once. For further treatments, it is strongly advised to alternate with a product containing a different active constituent to avoid the development of genetic resistance.</w:t>
      </w:r>
    </w:p>
    <w:p w14:paraId="4E94A04D" w14:textId="47FB36E4" w:rsidR="008E67EA" w:rsidRDefault="008E67EA" w:rsidP="00604F9D">
      <w:pPr>
        <w:spacing w:line="280" w:lineRule="exact"/>
        <w:rPr>
          <w:rFonts w:ascii="Franklin Gothic Medium" w:eastAsia="Arial Unicode MS" w:hAnsi="Franklin Gothic Medium"/>
          <w:bCs/>
          <w:iCs/>
          <w:bdr w:val="none" w:sz="0" w:space="0" w:color="auto" w:frame="1"/>
          <w:lang w:val="en-GB" w:eastAsia="en-AU"/>
        </w:rPr>
      </w:pPr>
      <w:r w:rsidRPr="00FF36BF">
        <w:rPr>
          <w:rFonts w:cs="Arial"/>
          <w:b/>
          <w:bCs/>
          <w:sz w:val="20"/>
          <w:szCs w:val="20"/>
        </w:rPr>
        <w:t>NOT TO BE USED FOR ANY PURPOSE, OR IN ANY MANNER, CONTRARY TO THIS LABEL UNLESS AUTHORISED UNDER APPROPRIATE LEGISLATION.</w:t>
      </w:r>
      <w:r>
        <w:rPr>
          <w:rFonts w:ascii="Franklin Gothic Medium" w:eastAsia="Arial Unicode MS" w:hAnsi="Franklin Gothic Medium"/>
          <w:bCs/>
          <w:iCs/>
          <w:bdr w:val="none" w:sz="0" w:space="0" w:color="auto" w:frame="1"/>
          <w:lang w:val="en-GB" w:eastAsia="en-AU"/>
        </w:rPr>
        <w:br w:type="page"/>
      </w:r>
    </w:p>
    <w:p w14:paraId="36D68430" w14:textId="77777777" w:rsidR="008E67EA" w:rsidRDefault="008E67EA" w:rsidP="008E67EA">
      <w:pPr>
        <w:keepNext/>
        <w:keepLines/>
        <w:spacing w:before="400" w:after="240" w:line="280" w:lineRule="exact"/>
        <w:outlineLvl w:val="1"/>
        <w:rPr>
          <w:rFonts w:ascii="Franklin Gothic Medium" w:eastAsia="Arial Unicode MS" w:hAnsi="Franklin Gothic Medium"/>
          <w:bCs/>
          <w:iCs/>
          <w:bdr w:val="none" w:sz="0" w:space="0" w:color="auto" w:frame="1"/>
          <w:lang w:val="en-GB" w:eastAsia="en-AU"/>
        </w:rPr>
      </w:pPr>
      <w:r w:rsidRPr="00FF36BF">
        <w:rPr>
          <w:rFonts w:ascii="Franklin Gothic Medium" w:eastAsia="Arial Unicode MS" w:hAnsi="Franklin Gothic Medium"/>
          <w:bCs/>
          <w:iCs/>
          <w:bdr w:val="none" w:sz="0" w:space="0" w:color="auto" w:frame="1"/>
          <w:lang w:val="en-GB" w:eastAsia="en-AU"/>
        </w:rPr>
        <w:lastRenderedPageBreak/>
        <w:t>Commercial</w:t>
      </w:r>
      <w:r>
        <w:rPr>
          <w:rFonts w:ascii="Franklin Gothic Medium" w:eastAsia="Arial Unicode MS" w:hAnsi="Franklin Gothic Medium"/>
          <w:bCs/>
          <w:iCs/>
          <w:bdr w:val="none" w:sz="0" w:space="0" w:color="auto" w:frame="1"/>
          <w:lang w:val="en-GB" w:eastAsia="en-AU"/>
        </w:rPr>
        <w:t xml:space="preserve"> pest-control product:</w:t>
      </w:r>
      <w:r w:rsidRPr="00FF36BF">
        <w:rPr>
          <w:rFonts w:ascii="Franklin Gothic Medium" w:eastAsia="Arial Unicode MS" w:hAnsi="Franklin Gothic Medium"/>
          <w:bCs/>
          <w:iCs/>
          <w:bdr w:val="none" w:sz="0" w:space="0" w:color="auto" w:frame="1"/>
          <w:lang w:val="en-GB" w:eastAsia="en-AU"/>
        </w:rPr>
        <w:t xml:space="preserve"> </w:t>
      </w:r>
      <w:r w:rsidRPr="00DA343B">
        <w:rPr>
          <w:rFonts w:ascii="Franklin Gothic Medium" w:eastAsia="Arial Unicode MS" w:hAnsi="Franklin Gothic Medium"/>
          <w:bCs/>
          <w:iCs/>
          <w:bdr w:val="none" w:sz="0" w:space="0" w:color="auto" w:frame="1"/>
          <w:lang w:val="en-GB" w:eastAsia="en-AU"/>
        </w:rPr>
        <w:t>RB 0.025 g/kg or less in pellet formulation</w:t>
      </w:r>
    </w:p>
    <w:p w14:paraId="5E99F396" w14:textId="77777777" w:rsidR="008E67EA"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t xml:space="preserve">Template Label </w:t>
      </w:r>
      <w:r>
        <w:rPr>
          <w:rFonts w:cs="Arial"/>
          <w:b/>
          <w:bCs/>
          <w:sz w:val="20"/>
          <w:szCs w:val="20"/>
          <w:bdr w:val="none" w:sz="0" w:space="0" w:color="auto" w:frame="1"/>
          <w:lang w:val="en-GB" w:eastAsia="en-AU"/>
        </w:rPr>
        <w:t>25</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2B5B5B" w14:paraId="37A2D05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322ACA4" w14:textId="77777777" w:rsidR="008E67EA" w:rsidRPr="00F5215F" w:rsidRDefault="008E67EA" w:rsidP="00B44A74">
            <w:pPr>
              <w:spacing w:line="280" w:lineRule="exact"/>
              <w:rPr>
                <w:rFonts w:cs="Arial"/>
                <w:sz w:val="20"/>
                <w:szCs w:val="20"/>
              </w:rPr>
            </w:pPr>
            <w:r w:rsidRPr="00F5215F">
              <w:rPr>
                <w:rFonts w:cs="Arial"/>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7445DFAC" w14:textId="77777777" w:rsidR="008E67EA" w:rsidRPr="0015462A" w:rsidRDefault="008E67EA" w:rsidP="00B44A74">
            <w:pPr>
              <w:spacing w:line="280" w:lineRule="exact"/>
              <w:rPr>
                <w:rFonts w:cs="Arial"/>
                <w:sz w:val="20"/>
                <w:szCs w:val="20"/>
              </w:rPr>
            </w:pPr>
            <w:r w:rsidRPr="0015462A">
              <w:rPr>
                <w:rFonts w:cs="Arial"/>
                <w:sz w:val="20"/>
                <w:szCs w:val="20"/>
              </w:rPr>
              <w:t>[INSERT LABEL NAME]</w:t>
            </w:r>
          </w:p>
        </w:tc>
      </w:tr>
      <w:tr w:rsidR="008E67EA" w:rsidRPr="002B5B5B" w14:paraId="3B848E3C" w14:textId="77777777" w:rsidTr="00B44A74">
        <w:trPr>
          <w:jc w:val="center"/>
        </w:trPr>
        <w:tc>
          <w:tcPr>
            <w:tcW w:w="2415" w:type="dxa"/>
            <w:tcBorders>
              <w:top w:val="single" w:sz="4" w:space="0" w:color="auto"/>
              <w:left w:val="nil"/>
              <w:bottom w:val="single" w:sz="4" w:space="0" w:color="auto"/>
              <w:right w:val="nil"/>
            </w:tcBorders>
          </w:tcPr>
          <w:p w14:paraId="7C200B19"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456A854" w14:textId="77777777" w:rsidR="008E67EA" w:rsidRPr="0015462A" w:rsidRDefault="008E67EA" w:rsidP="00B44A74">
            <w:pPr>
              <w:spacing w:line="280" w:lineRule="exact"/>
              <w:rPr>
                <w:rFonts w:cs="Arial"/>
                <w:sz w:val="20"/>
                <w:szCs w:val="20"/>
              </w:rPr>
            </w:pPr>
          </w:p>
        </w:tc>
      </w:tr>
      <w:tr w:rsidR="008E67EA" w:rsidRPr="002B5B5B" w14:paraId="43815D4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751670A" w14:textId="77777777" w:rsidR="008E67EA" w:rsidRPr="00F5215F" w:rsidRDefault="008E67EA" w:rsidP="00B44A74">
            <w:pPr>
              <w:spacing w:line="280" w:lineRule="exact"/>
              <w:rPr>
                <w:rFonts w:cs="Arial"/>
                <w:sz w:val="20"/>
                <w:szCs w:val="20"/>
              </w:rPr>
            </w:pPr>
            <w:r w:rsidRPr="00F5215F">
              <w:rPr>
                <w:rFonts w:cs="Arial"/>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38EAE345" w14:textId="77777777" w:rsidR="008E67EA" w:rsidRPr="00C93C20" w:rsidRDefault="008E67EA" w:rsidP="00B44A74">
            <w:pPr>
              <w:spacing w:line="280" w:lineRule="exact"/>
              <w:rPr>
                <w:rFonts w:cs="Arial"/>
                <w:sz w:val="20"/>
                <w:szCs w:val="20"/>
              </w:rPr>
            </w:pPr>
            <w:r w:rsidRPr="00C93C20">
              <w:rPr>
                <w:rFonts w:cs="Arial"/>
                <w:sz w:val="20"/>
                <w:szCs w:val="20"/>
              </w:rPr>
              <w:t>POISON</w:t>
            </w:r>
          </w:p>
          <w:p w14:paraId="261D927A" w14:textId="77777777" w:rsidR="008E67EA" w:rsidRPr="00C93C20" w:rsidRDefault="008E67EA" w:rsidP="00B44A74">
            <w:pPr>
              <w:spacing w:line="280" w:lineRule="exact"/>
              <w:rPr>
                <w:rFonts w:cs="Arial"/>
                <w:sz w:val="20"/>
                <w:szCs w:val="20"/>
              </w:rPr>
            </w:pPr>
            <w:r w:rsidRPr="00C93C20">
              <w:rPr>
                <w:rFonts w:cs="Arial"/>
                <w:sz w:val="20"/>
                <w:szCs w:val="20"/>
              </w:rPr>
              <w:t>KEEP OUT OF REACH OF CHILDREN</w:t>
            </w:r>
          </w:p>
          <w:p w14:paraId="578925F0" w14:textId="77777777" w:rsidR="008E67EA" w:rsidRPr="0015462A" w:rsidRDefault="008E67EA" w:rsidP="00B44A74">
            <w:pPr>
              <w:spacing w:line="280" w:lineRule="exact"/>
              <w:rPr>
                <w:rFonts w:cs="Arial"/>
                <w:sz w:val="20"/>
                <w:szCs w:val="20"/>
              </w:rPr>
            </w:pPr>
            <w:r w:rsidRPr="00C93C20">
              <w:rPr>
                <w:rFonts w:cs="Arial"/>
                <w:sz w:val="20"/>
                <w:szCs w:val="20"/>
              </w:rPr>
              <w:t>READ SAFETY DIRECIONS BEFORE OPENING OR USING</w:t>
            </w:r>
          </w:p>
        </w:tc>
      </w:tr>
      <w:tr w:rsidR="008E67EA" w:rsidRPr="002B5B5B" w14:paraId="1390078C" w14:textId="77777777" w:rsidTr="00B44A74">
        <w:trPr>
          <w:jc w:val="center"/>
        </w:trPr>
        <w:tc>
          <w:tcPr>
            <w:tcW w:w="2415" w:type="dxa"/>
            <w:tcBorders>
              <w:top w:val="single" w:sz="4" w:space="0" w:color="auto"/>
              <w:left w:val="nil"/>
              <w:bottom w:val="single" w:sz="4" w:space="0" w:color="auto"/>
              <w:right w:val="nil"/>
            </w:tcBorders>
          </w:tcPr>
          <w:p w14:paraId="54E52924"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6681F91" w14:textId="77777777" w:rsidR="008E67EA" w:rsidRPr="0015462A" w:rsidRDefault="008E67EA" w:rsidP="00B44A74">
            <w:pPr>
              <w:spacing w:line="280" w:lineRule="exact"/>
              <w:rPr>
                <w:rFonts w:cs="Arial"/>
                <w:sz w:val="20"/>
                <w:szCs w:val="20"/>
              </w:rPr>
            </w:pPr>
          </w:p>
        </w:tc>
      </w:tr>
      <w:tr w:rsidR="008E67EA" w:rsidRPr="002B5B5B" w14:paraId="2C3C632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77E41BB" w14:textId="77777777" w:rsidR="008E67EA" w:rsidRPr="00F5215F" w:rsidRDefault="008E67EA" w:rsidP="00B44A74">
            <w:pPr>
              <w:spacing w:line="280" w:lineRule="exact"/>
              <w:rPr>
                <w:rFonts w:cs="Arial"/>
                <w:sz w:val="20"/>
                <w:szCs w:val="20"/>
              </w:rPr>
            </w:pPr>
            <w:r w:rsidRPr="00F5215F">
              <w:rPr>
                <w:rFonts w:cs="Arial"/>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61AC5B6E" w14:textId="77777777" w:rsidR="008E67EA" w:rsidRPr="0015462A" w:rsidRDefault="008E67EA" w:rsidP="00B44A74">
            <w:pPr>
              <w:spacing w:line="280" w:lineRule="exact"/>
              <w:rPr>
                <w:rFonts w:cs="Arial"/>
                <w:sz w:val="20"/>
                <w:szCs w:val="20"/>
              </w:rPr>
            </w:pPr>
            <w:r w:rsidRPr="0015462A">
              <w:rPr>
                <w:rFonts w:cs="Arial"/>
                <w:sz w:val="20"/>
                <w:szCs w:val="20"/>
              </w:rPr>
              <w:t xml:space="preserve">ACTIVE CONSTITUENT: </w:t>
            </w:r>
            <w:r w:rsidRPr="00C93C20">
              <w:rPr>
                <w:rFonts w:cs="Arial"/>
                <w:sz w:val="20"/>
                <w:szCs w:val="20"/>
              </w:rPr>
              <w:t>0.025 g/kg DIFETHIALONE</w:t>
            </w:r>
          </w:p>
        </w:tc>
      </w:tr>
      <w:tr w:rsidR="008E67EA" w:rsidRPr="002B5B5B" w14:paraId="4A837725" w14:textId="77777777" w:rsidTr="00B44A74">
        <w:trPr>
          <w:jc w:val="center"/>
        </w:trPr>
        <w:tc>
          <w:tcPr>
            <w:tcW w:w="2415" w:type="dxa"/>
            <w:tcBorders>
              <w:top w:val="single" w:sz="4" w:space="0" w:color="auto"/>
              <w:left w:val="nil"/>
              <w:bottom w:val="single" w:sz="4" w:space="0" w:color="auto"/>
              <w:right w:val="nil"/>
            </w:tcBorders>
          </w:tcPr>
          <w:p w14:paraId="23B4A0FE"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390F13C" w14:textId="77777777" w:rsidR="008E67EA" w:rsidRPr="0015462A" w:rsidRDefault="008E67EA" w:rsidP="00B44A74">
            <w:pPr>
              <w:spacing w:line="280" w:lineRule="exact"/>
              <w:rPr>
                <w:rFonts w:cs="Arial"/>
                <w:sz w:val="20"/>
                <w:szCs w:val="20"/>
              </w:rPr>
            </w:pPr>
          </w:p>
        </w:tc>
      </w:tr>
      <w:tr w:rsidR="008E67EA" w:rsidRPr="00994236" w14:paraId="3657ECD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07E92F2" w14:textId="77777777" w:rsidR="008E67EA" w:rsidRPr="00F5215F" w:rsidRDefault="008E67EA" w:rsidP="00B44A74">
            <w:pPr>
              <w:spacing w:line="280" w:lineRule="exact"/>
              <w:rPr>
                <w:rFonts w:cs="Arial"/>
                <w:sz w:val="20"/>
                <w:szCs w:val="20"/>
              </w:rPr>
            </w:pPr>
            <w:r w:rsidRPr="00F5215F">
              <w:rPr>
                <w:rFonts w:cs="Arial"/>
                <w:sz w:val="20"/>
                <w:szCs w:val="20"/>
              </w:rPr>
              <w:t>Mode of Action:</w:t>
            </w:r>
          </w:p>
        </w:tc>
        <w:tc>
          <w:tcPr>
            <w:tcW w:w="7755" w:type="dxa"/>
            <w:tcBorders>
              <w:top w:val="single" w:sz="4" w:space="0" w:color="auto"/>
              <w:left w:val="single" w:sz="4" w:space="0" w:color="auto"/>
              <w:bottom w:val="single" w:sz="4" w:space="0" w:color="auto"/>
              <w:right w:val="single" w:sz="4" w:space="0" w:color="auto"/>
            </w:tcBorders>
          </w:tcPr>
          <w:p w14:paraId="02D812DA" w14:textId="77777777" w:rsidR="008E67EA" w:rsidRPr="0015462A" w:rsidRDefault="008E67EA" w:rsidP="00B44A74">
            <w:pPr>
              <w:spacing w:line="280" w:lineRule="exact"/>
              <w:jc w:val="both"/>
              <w:rPr>
                <w:rFonts w:cs="Arial"/>
                <w:sz w:val="20"/>
                <w:szCs w:val="20"/>
              </w:rPr>
            </w:pPr>
          </w:p>
        </w:tc>
      </w:tr>
      <w:tr w:rsidR="008E67EA" w:rsidRPr="002B5B5B" w14:paraId="25932A9D" w14:textId="77777777" w:rsidTr="00B44A74">
        <w:trPr>
          <w:jc w:val="center"/>
        </w:trPr>
        <w:tc>
          <w:tcPr>
            <w:tcW w:w="2415" w:type="dxa"/>
            <w:tcBorders>
              <w:top w:val="single" w:sz="4" w:space="0" w:color="auto"/>
              <w:left w:val="nil"/>
              <w:bottom w:val="single" w:sz="4" w:space="0" w:color="auto"/>
              <w:right w:val="nil"/>
            </w:tcBorders>
          </w:tcPr>
          <w:p w14:paraId="6626D8EA"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B5C78CC" w14:textId="77777777" w:rsidR="008E67EA" w:rsidRPr="0015462A" w:rsidRDefault="008E67EA" w:rsidP="00B44A74">
            <w:pPr>
              <w:spacing w:line="280" w:lineRule="exact"/>
              <w:rPr>
                <w:rFonts w:cs="Arial"/>
                <w:sz w:val="20"/>
                <w:szCs w:val="20"/>
              </w:rPr>
            </w:pPr>
          </w:p>
        </w:tc>
      </w:tr>
      <w:tr w:rsidR="008E67EA" w:rsidRPr="002B5B5B" w14:paraId="268339D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9D6904B" w14:textId="77777777" w:rsidR="008E67EA" w:rsidRPr="00F5215F" w:rsidRDefault="008E67EA" w:rsidP="00B44A74">
            <w:pPr>
              <w:spacing w:line="280" w:lineRule="exact"/>
              <w:rPr>
                <w:rFonts w:cs="Arial"/>
                <w:sz w:val="20"/>
                <w:szCs w:val="20"/>
              </w:rPr>
            </w:pPr>
            <w:r w:rsidRPr="00F5215F">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576A5D1E" w14:textId="77777777" w:rsidR="008E67EA" w:rsidRPr="0015462A" w:rsidRDefault="008E67EA" w:rsidP="00B44A74">
            <w:pPr>
              <w:spacing w:line="280" w:lineRule="exact"/>
              <w:rPr>
                <w:rFonts w:cs="Arial"/>
                <w:sz w:val="20"/>
                <w:szCs w:val="20"/>
              </w:rPr>
            </w:pPr>
            <w:r>
              <w:rPr>
                <w:rFonts w:cs="Arial"/>
                <w:sz w:val="20"/>
                <w:szCs w:val="20"/>
              </w:rPr>
              <w:t>For c</w:t>
            </w:r>
            <w:r w:rsidRPr="006B6598">
              <w:rPr>
                <w:rFonts w:cs="Arial"/>
                <w:sz w:val="20"/>
                <w:szCs w:val="20"/>
              </w:rPr>
              <w:t>ontrol</w:t>
            </w:r>
            <w:r>
              <w:rPr>
                <w:rFonts w:cs="Arial"/>
                <w:sz w:val="20"/>
                <w:szCs w:val="20"/>
              </w:rPr>
              <w:t xml:space="preserve"> of</w:t>
            </w:r>
            <w:r w:rsidRPr="006B6598">
              <w:rPr>
                <w:rFonts w:cs="Arial"/>
                <w:sz w:val="20"/>
                <w:szCs w:val="20"/>
              </w:rPr>
              <w:t xml:space="preserve"> mice in industrial, commercial, agricultural and domestic buildings and rats in and around industrial, commercial, agricultural and domestic buildings.</w:t>
            </w:r>
          </w:p>
        </w:tc>
      </w:tr>
      <w:tr w:rsidR="008E67EA" w:rsidRPr="002B5B5B" w14:paraId="59DC6D95" w14:textId="77777777" w:rsidTr="00B44A74">
        <w:trPr>
          <w:jc w:val="center"/>
        </w:trPr>
        <w:tc>
          <w:tcPr>
            <w:tcW w:w="2415" w:type="dxa"/>
            <w:tcBorders>
              <w:top w:val="single" w:sz="4" w:space="0" w:color="auto"/>
              <w:left w:val="nil"/>
              <w:bottom w:val="single" w:sz="4" w:space="0" w:color="auto"/>
              <w:right w:val="nil"/>
            </w:tcBorders>
          </w:tcPr>
          <w:p w14:paraId="134FB7B1"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446C40F" w14:textId="77777777" w:rsidR="008E67EA" w:rsidRPr="0015462A" w:rsidRDefault="008E67EA" w:rsidP="00B44A74">
            <w:pPr>
              <w:spacing w:line="280" w:lineRule="exact"/>
              <w:rPr>
                <w:rFonts w:cs="Arial"/>
                <w:sz w:val="20"/>
                <w:szCs w:val="20"/>
              </w:rPr>
            </w:pPr>
          </w:p>
        </w:tc>
      </w:tr>
      <w:tr w:rsidR="008E67EA" w:rsidRPr="002B5B5B" w14:paraId="49E2695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864C9F6" w14:textId="77777777" w:rsidR="008E67EA" w:rsidRPr="00F5215F" w:rsidRDefault="008E67EA" w:rsidP="00B44A74">
            <w:pPr>
              <w:spacing w:line="280" w:lineRule="exact"/>
              <w:rPr>
                <w:rFonts w:cs="Arial"/>
                <w:sz w:val="20"/>
                <w:szCs w:val="20"/>
              </w:rPr>
            </w:pPr>
            <w:r w:rsidRPr="00F5215F">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4DA4E498" w14:textId="77777777" w:rsidR="008E67EA" w:rsidRPr="00414F85" w:rsidRDefault="008E67EA" w:rsidP="00B44A74">
            <w:pPr>
              <w:spacing w:line="280" w:lineRule="exact"/>
              <w:rPr>
                <w:rFonts w:cs="Arial"/>
                <w:color w:val="7030A0"/>
                <w:sz w:val="20"/>
                <w:szCs w:val="20"/>
              </w:rPr>
            </w:pPr>
            <w:r w:rsidRPr="0015462A">
              <w:rPr>
                <w:rFonts w:cs="Arial"/>
                <w:sz w:val="20"/>
                <w:szCs w:val="20"/>
              </w:rPr>
              <w:t xml:space="preserve">[INSERT </w:t>
            </w:r>
            <w:r>
              <w:rPr>
                <w:rFonts w:cs="Arial"/>
                <w:sz w:val="20"/>
                <w:szCs w:val="20"/>
              </w:rPr>
              <w:t>NET CONTENTS</w:t>
            </w:r>
            <w:r w:rsidRPr="0015462A">
              <w:rPr>
                <w:rFonts w:cs="Arial"/>
                <w:sz w:val="20"/>
                <w:szCs w:val="20"/>
              </w:rPr>
              <w:t>]</w:t>
            </w:r>
          </w:p>
        </w:tc>
      </w:tr>
      <w:tr w:rsidR="008E67EA" w:rsidRPr="002B5B5B" w14:paraId="5FE95D43" w14:textId="77777777" w:rsidTr="00B44A74">
        <w:trPr>
          <w:jc w:val="center"/>
        </w:trPr>
        <w:tc>
          <w:tcPr>
            <w:tcW w:w="2415" w:type="dxa"/>
            <w:tcBorders>
              <w:top w:val="single" w:sz="4" w:space="0" w:color="auto"/>
              <w:left w:val="nil"/>
              <w:bottom w:val="single" w:sz="4" w:space="0" w:color="auto"/>
              <w:right w:val="nil"/>
            </w:tcBorders>
          </w:tcPr>
          <w:p w14:paraId="0DF1264D"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75701B4" w14:textId="77777777" w:rsidR="008E67EA" w:rsidRPr="002B5B5B" w:rsidRDefault="008E67EA" w:rsidP="00B44A74">
            <w:pPr>
              <w:spacing w:line="280" w:lineRule="exact"/>
              <w:rPr>
                <w:rFonts w:cs="Arial"/>
                <w:sz w:val="20"/>
                <w:szCs w:val="20"/>
              </w:rPr>
            </w:pPr>
          </w:p>
        </w:tc>
      </w:tr>
      <w:tr w:rsidR="008E67EA" w:rsidRPr="002B5B5B" w14:paraId="5D9C515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6ABAB62" w14:textId="77777777" w:rsidR="008E67EA" w:rsidRPr="00F5215F" w:rsidRDefault="008E67EA" w:rsidP="00B44A74">
            <w:pPr>
              <w:spacing w:line="280" w:lineRule="exact"/>
              <w:rPr>
                <w:rFonts w:cs="Arial"/>
                <w:sz w:val="20"/>
                <w:szCs w:val="20"/>
              </w:rPr>
            </w:pPr>
            <w:r w:rsidRPr="00F5215F">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52DA927C" w14:textId="77777777" w:rsidR="008E67EA" w:rsidRDefault="008E67EA" w:rsidP="00B44A74">
            <w:pPr>
              <w:spacing w:line="280" w:lineRule="exact"/>
              <w:rPr>
                <w:rFonts w:cs="Arial"/>
                <w:sz w:val="20"/>
                <w:szCs w:val="20"/>
              </w:rPr>
            </w:pPr>
            <w:r>
              <w:rPr>
                <w:rFonts w:cs="Arial"/>
                <w:sz w:val="20"/>
                <w:szCs w:val="20"/>
              </w:rPr>
              <w:t>RESTRAINTS</w:t>
            </w:r>
          </w:p>
          <w:p w14:paraId="26328E9E" w14:textId="77777777" w:rsidR="008E67EA" w:rsidRPr="009E76A8" w:rsidRDefault="008E67EA" w:rsidP="00B44A74">
            <w:pPr>
              <w:spacing w:line="280" w:lineRule="exact"/>
              <w:rPr>
                <w:rFonts w:cs="Arial"/>
                <w:sz w:val="20"/>
                <w:szCs w:val="20"/>
              </w:rPr>
            </w:pPr>
            <w:r w:rsidRPr="009E76A8">
              <w:rPr>
                <w:rFonts w:cs="Arial"/>
                <w:sz w:val="20"/>
                <w:szCs w:val="20"/>
              </w:rPr>
              <w:t>DO NOT use this product unless you have a current qualification in the nationally recognised training course for rodent pest management CPPUPM3006 - Manage pests by applying pesticides, or an equivalent unit of competency.</w:t>
            </w:r>
          </w:p>
          <w:p w14:paraId="7C9608A1" w14:textId="0B759F60" w:rsidR="008E67EA" w:rsidRPr="009E76A8" w:rsidRDefault="008E67EA" w:rsidP="00B44A74">
            <w:pPr>
              <w:spacing w:line="280" w:lineRule="exact"/>
              <w:rPr>
                <w:rFonts w:cs="Arial"/>
                <w:sz w:val="20"/>
                <w:szCs w:val="20"/>
              </w:rPr>
            </w:pPr>
            <w:r w:rsidRPr="009E76A8">
              <w:rPr>
                <w:rFonts w:cs="Arial"/>
                <w:sz w:val="20"/>
                <w:szCs w:val="20"/>
              </w:rPr>
              <w:t>DO NOT place baits in areas that are accessible to children. In child-accessible areas baits must be placed in tamper-</w:t>
            </w:r>
            <w:r>
              <w:rPr>
                <w:rFonts w:cs="Arial"/>
                <w:sz w:val="20"/>
                <w:szCs w:val="20"/>
              </w:rPr>
              <w:t>resistant</w:t>
            </w:r>
            <w:r w:rsidRPr="009E76A8">
              <w:rPr>
                <w:rFonts w:cs="Arial"/>
                <w:sz w:val="20"/>
                <w:szCs w:val="20"/>
              </w:rPr>
              <w:t xml:space="preserve"> bait stations. If bait can be dislodged from bait station, bait station must be secured in place.</w:t>
            </w:r>
          </w:p>
          <w:p w14:paraId="22D60266" w14:textId="77777777" w:rsidR="008E67EA" w:rsidRPr="009E76A8" w:rsidRDefault="008E67EA" w:rsidP="00B44A74">
            <w:pPr>
              <w:spacing w:line="280" w:lineRule="exact"/>
              <w:rPr>
                <w:rFonts w:cs="Arial"/>
                <w:sz w:val="20"/>
                <w:szCs w:val="20"/>
              </w:rPr>
            </w:pPr>
            <w:r w:rsidRPr="009E76A8">
              <w:rPr>
                <w:rFonts w:cs="Arial"/>
                <w:sz w:val="20"/>
                <w:szCs w:val="20"/>
              </w:rPr>
              <w:t>DO NOT place bait outdoors unless it is in a tamper-</w:t>
            </w:r>
            <w:r>
              <w:rPr>
                <w:rFonts w:cs="Arial"/>
                <w:sz w:val="20"/>
                <w:szCs w:val="20"/>
              </w:rPr>
              <w:t>resistant</w:t>
            </w:r>
            <w:r w:rsidRPr="009E76A8">
              <w:rPr>
                <w:rFonts w:cs="Arial"/>
                <w:sz w:val="20"/>
                <w:szCs w:val="20"/>
              </w:rPr>
              <w:t xml:space="preserve"> bait station which is secured in place.</w:t>
            </w:r>
          </w:p>
          <w:p w14:paraId="0726CAEA" w14:textId="77777777" w:rsidR="008E67EA" w:rsidRPr="009E76A8" w:rsidRDefault="008E67EA" w:rsidP="00B44A74">
            <w:pPr>
              <w:spacing w:line="280" w:lineRule="exact"/>
              <w:rPr>
                <w:rFonts w:cs="Arial"/>
                <w:sz w:val="20"/>
                <w:szCs w:val="20"/>
              </w:rPr>
            </w:pPr>
            <w:r w:rsidRPr="009E76A8">
              <w:rPr>
                <w:rFonts w:cs="Arial"/>
                <w:sz w:val="20"/>
                <w:szCs w:val="20"/>
              </w:rPr>
              <w:t>DO NOT place bait stations more than 2 meters from buildings.</w:t>
            </w:r>
          </w:p>
          <w:p w14:paraId="76432DE6" w14:textId="77777777" w:rsidR="008E67EA" w:rsidRPr="009E76A8" w:rsidRDefault="008E67EA" w:rsidP="00B44A74">
            <w:pPr>
              <w:spacing w:line="280" w:lineRule="exact"/>
              <w:rPr>
                <w:rFonts w:cs="Arial"/>
                <w:sz w:val="20"/>
                <w:szCs w:val="20"/>
              </w:rPr>
            </w:pPr>
            <w:r w:rsidRPr="009E76A8">
              <w:rPr>
                <w:rFonts w:cs="Arial"/>
                <w:sz w:val="20"/>
                <w:szCs w:val="20"/>
              </w:rPr>
              <w:t>DO NOT place bait stations outdoors around buildings for control of mice.</w:t>
            </w:r>
          </w:p>
          <w:p w14:paraId="0A44C7EB" w14:textId="77777777" w:rsidR="008E67EA" w:rsidRPr="009E76A8" w:rsidRDefault="008E67EA" w:rsidP="00B44A74">
            <w:pPr>
              <w:spacing w:line="280" w:lineRule="exact"/>
              <w:rPr>
                <w:rFonts w:cs="Arial"/>
                <w:sz w:val="20"/>
                <w:szCs w:val="20"/>
              </w:rPr>
            </w:pPr>
            <w:r w:rsidRPr="009E76A8">
              <w:rPr>
                <w:rFonts w:cs="Arial"/>
                <w:sz w:val="20"/>
                <w:szCs w:val="20"/>
              </w:rPr>
              <w:t>DO NOT bait in areas where wildlife may be collected for human consumption.</w:t>
            </w:r>
          </w:p>
          <w:p w14:paraId="0BB6437D" w14:textId="77777777" w:rsidR="008E67EA" w:rsidRPr="009E76A8" w:rsidRDefault="008E67EA" w:rsidP="00B44A74">
            <w:pPr>
              <w:spacing w:line="280" w:lineRule="exact"/>
              <w:rPr>
                <w:rFonts w:cs="Arial"/>
                <w:sz w:val="20"/>
                <w:szCs w:val="20"/>
              </w:rPr>
            </w:pPr>
            <w:r w:rsidRPr="009E76A8">
              <w:rPr>
                <w:rFonts w:cs="Arial"/>
                <w:sz w:val="20"/>
                <w:szCs w:val="20"/>
              </w:rPr>
              <w:t>DO NOT place baits in and around animal, livestock and poultry houses, associated equipment, and food and feed processing areas.</w:t>
            </w:r>
          </w:p>
          <w:p w14:paraId="6A47BFF7" w14:textId="77777777" w:rsidR="008E67EA" w:rsidRPr="002B5B5B" w:rsidRDefault="008E67EA" w:rsidP="00B44A74">
            <w:pPr>
              <w:spacing w:line="280" w:lineRule="exact"/>
              <w:rPr>
                <w:rFonts w:cs="Arial"/>
                <w:sz w:val="20"/>
                <w:szCs w:val="20"/>
              </w:rPr>
            </w:pPr>
            <w:r w:rsidRPr="009E76A8">
              <w:rPr>
                <w:rFonts w:cs="Arial"/>
                <w:sz w:val="20"/>
                <w:szCs w:val="20"/>
              </w:rPr>
              <w:t>DO NOT apply this product directly into burrows.</w:t>
            </w:r>
          </w:p>
        </w:tc>
      </w:tr>
      <w:tr w:rsidR="008E67EA" w:rsidRPr="002B5B5B" w14:paraId="2FC8BBDF" w14:textId="77777777" w:rsidTr="00B44A74">
        <w:trPr>
          <w:jc w:val="center"/>
        </w:trPr>
        <w:tc>
          <w:tcPr>
            <w:tcW w:w="2415" w:type="dxa"/>
            <w:tcBorders>
              <w:top w:val="single" w:sz="4" w:space="0" w:color="auto"/>
              <w:left w:val="nil"/>
              <w:bottom w:val="single" w:sz="4" w:space="0" w:color="auto"/>
              <w:right w:val="nil"/>
            </w:tcBorders>
          </w:tcPr>
          <w:p w14:paraId="50E9D5BE"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5B9B104" w14:textId="77777777" w:rsidR="008E67EA" w:rsidRPr="002B5B5B" w:rsidRDefault="008E67EA" w:rsidP="00B44A74">
            <w:pPr>
              <w:spacing w:line="280" w:lineRule="exact"/>
              <w:rPr>
                <w:rFonts w:cs="Arial"/>
                <w:sz w:val="20"/>
                <w:szCs w:val="20"/>
              </w:rPr>
            </w:pPr>
          </w:p>
        </w:tc>
      </w:tr>
      <w:tr w:rsidR="008E67EA" w:rsidRPr="002B5B5B" w14:paraId="5A8E191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2DC368C" w14:textId="77777777" w:rsidR="008E67EA" w:rsidRPr="00F5215F" w:rsidRDefault="008E67EA" w:rsidP="00B44A74">
            <w:pPr>
              <w:spacing w:line="280" w:lineRule="exact"/>
              <w:rPr>
                <w:rFonts w:cs="Arial"/>
                <w:sz w:val="20"/>
                <w:szCs w:val="20"/>
              </w:rPr>
            </w:pPr>
            <w:r w:rsidRPr="00F5215F">
              <w:rPr>
                <w:rFonts w:cs="Arial"/>
                <w:sz w:val="20"/>
                <w:szCs w:val="20"/>
              </w:rPr>
              <w:t>Directions for Use:</w:t>
            </w:r>
          </w:p>
        </w:tc>
        <w:tc>
          <w:tcPr>
            <w:tcW w:w="7755" w:type="dxa"/>
            <w:tcBorders>
              <w:top w:val="single" w:sz="4" w:space="0" w:color="auto"/>
              <w:left w:val="single" w:sz="4" w:space="0" w:color="auto"/>
              <w:bottom w:val="single" w:sz="4" w:space="0" w:color="auto"/>
              <w:right w:val="single" w:sz="4" w:space="0" w:color="auto"/>
            </w:tcBorders>
          </w:tcPr>
          <w:p w14:paraId="15257F37" w14:textId="77777777" w:rsidR="008E67EA" w:rsidRPr="00EB4816" w:rsidRDefault="008E67EA" w:rsidP="00B44A74">
            <w:pPr>
              <w:spacing w:line="280" w:lineRule="exact"/>
              <w:rPr>
                <w:rFonts w:cs="Arial"/>
                <w:sz w:val="20"/>
                <w:szCs w:val="20"/>
              </w:rPr>
            </w:pPr>
            <w:r w:rsidRPr="00B832BB">
              <w:rPr>
                <w:rFonts w:cs="Arial"/>
                <w:sz w:val="20"/>
                <w:szCs w:val="20"/>
              </w:rPr>
              <w:t>[This section contains an attachment below]</w:t>
            </w:r>
          </w:p>
        </w:tc>
      </w:tr>
      <w:tr w:rsidR="008E67EA" w:rsidRPr="002B5B5B" w14:paraId="3FD97675" w14:textId="77777777" w:rsidTr="00B44A74">
        <w:trPr>
          <w:jc w:val="center"/>
        </w:trPr>
        <w:tc>
          <w:tcPr>
            <w:tcW w:w="2415" w:type="dxa"/>
            <w:tcBorders>
              <w:top w:val="single" w:sz="4" w:space="0" w:color="auto"/>
              <w:left w:val="nil"/>
              <w:bottom w:val="single" w:sz="4" w:space="0" w:color="auto"/>
              <w:right w:val="nil"/>
            </w:tcBorders>
          </w:tcPr>
          <w:p w14:paraId="1865D629"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5D5A2F6" w14:textId="77777777" w:rsidR="008E67EA" w:rsidRPr="002B5B5B" w:rsidRDefault="008E67EA" w:rsidP="00B44A74">
            <w:pPr>
              <w:spacing w:line="280" w:lineRule="exact"/>
              <w:rPr>
                <w:rFonts w:cs="Arial"/>
                <w:sz w:val="20"/>
                <w:szCs w:val="20"/>
              </w:rPr>
            </w:pPr>
          </w:p>
        </w:tc>
      </w:tr>
      <w:tr w:rsidR="008E67EA" w:rsidRPr="002B5B5B" w14:paraId="2021A14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4A23E19" w14:textId="77777777" w:rsidR="008E67EA" w:rsidRPr="00F5215F" w:rsidRDefault="008E67EA" w:rsidP="00B44A74">
            <w:pPr>
              <w:spacing w:line="280" w:lineRule="exact"/>
              <w:rPr>
                <w:rFonts w:cs="Arial"/>
                <w:sz w:val="20"/>
                <w:szCs w:val="20"/>
              </w:rPr>
            </w:pPr>
            <w:r w:rsidRPr="00F5215F">
              <w:rPr>
                <w:rFonts w:cs="Arial"/>
                <w:sz w:val="20"/>
                <w:szCs w:val="20"/>
              </w:rPr>
              <w:t>Other Limitations:</w:t>
            </w:r>
          </w:p>
        </w:tc>
        <w:tc>
          <w:tcPr>
            <w:tcW w:w="7755" w:type="dxa"/>
            <w:tcBorders>
              <w:top w:val="single" w:sz="4" w:space="0" w:color="auto"/>
              <w:left w:val="single" w:sz="4" w:space="0" w:color="auto"/>
              <w:bottom w:val="single" w:sz="4" w:space="0" w:color="auto"/>
              <w:right w:val="single" w:sz="4" w:space="0" w:color="auto"/>
            </w:tcBorders>
          </w:tcPr>
          <w:p w14:paraId="2F350586" w14:textId="77777777" w:rsidR="008E67EA" w:rsidRPr="002B5B5B" w:rsidRDefault="008E67EA" w:rsidP="00B44A74">
            <w:pPr>
              <w:spacing w:line="280" w:lineRule="exact"/>
              <w:rPr>
                <w:rFonts w:cs="Arial"/>
                <w:sz w:val="20"/>
                <w:szCs w:val="20"/>
              </w:rPr>
            </w:pPr>
          </w:p>
        </w:tc>
      </w:tr>
      <w:tr w:rsidR="008E67EA" w:rsidRPr="002B5B5B" w14:paraId="36A64F48" w14:textId="77777777" w:rsidTr="00B44A74">
        <w:trPr>
          <w:jc w:val="center"/>
        </w:trPr>
        <w:tc>
          <w:tcPr>
            <w:tcW w:w="2415" w:type="dxa"/>
            <w:tcBorders>
              <w:top w:val="single" w:sz="4" w:space="0" w:color="auto"/>
              <w:left w:val="nil"/>
              <w:bottom w:val="single" w:sz="4" w:space="0" w:color="auto"/>
              <w:right w:val="nil"/>
            </w:tcBorders>
          </w:tcPr>
          <w:p w14:paraId="4533D73C"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0D50178" w14:textId="77777777" w:rsidR="008E67EA" w:rsidRPr="002B5B5B" w:rsidRDefault="008E67EA" w:rsidP="00B44A74">
            <w:pPr>
              <w:spacing w:line="280" w:lineRule="exact"/>
              <w:rPr>
                <w:rFonts w:cs="Arial"/>
                <w:sz w:val="20"/>
                <w:szCs w:val="20"/>
              </w:rPr>
            </w:pPr>
          </w:p>
        </w:tc>
      </w:tr>
      <w:tr w:rsidR="008E67EA" w:rsidRPr="002B5B5B" w14:paraId="7A148DD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53C4C35" w14:textId="77777777" w:rsidR="008E67EA" w:rsidRPr="00F5215F" w:rsidRDefault="008E67EA" w:rsidP="00B44A74">
            <w:pPr>
              <w:spacing w:line="280" w:lineRule="exact"/>
              <w:rPr>
                <w:rFonts w:cs="Arial"/>
                <w:sz w:val="20"/>
                <w:szCs w:val="20"/>
              </w:rPr>
            </w:pPr>
            <w:r w:rsidRPr="00F5215F">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154458EF" w14:textId="77777777" w:rsidR="008E67EA" w:rsidRPr="002B5B5B" w:rsidRDefault="008E67EA" w:rsidP="00B44A74">
            <w:pPr>
              <w:spacing w:line="280" w:lineRule="exact"/>
              <w:rPr>
                <w:rFonts w:cs="Arial"/>
                <w:sz w:val="20"/>
                <w:szCs w:val="20"/>
              </w:rPr>
            </w:pPr>
          </w:p>
        </w:tc>
      </w:tr>
      <w:tr w:rsidR="008E67EA" w:rsidRPr="002B5B5B" w14:paraId="4CE8208D" w14:textId="77777777" w:rsidTr="00B44A74">
        <w:trPr>
          <w:jc w:val="center"/>
        </w:trPr>
        <w:tc>
          <w:tcPr>
            <w:tcW w:w="2415" w:type="dxa"/>
            <w:tcBorders>
              <w:top w:val="single" w:sz="4" w:space="0" w:color="auto"/>
              <w:left w:val="nil"/>
              <w:bottom w:val="single" w:sz="4" w:space="0" w:color="auto"/>
              <w:right w:val="nil"/>
            </w:tcBorders>
          </w:tcPr>
          <w:p w14:paraId="01920963"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A7EC8BF" w14:textId="77777777" w:rsidR="008E67EA" w:rsidRPr="002B5B5B" w:rsidRDefault="008E67EA" w:rsidP="00B44A74">
            <w:pPr>
              <w:spacing w:line="280" w:lineRule="exact"/>
              <w:rPr>
                <w:rFonts w:cs="Arial"/>
                <w:sz w:val="20"/>
                <w:szCs w:val="20"/>
              </w:rPr>
            </w:pPr>
          </w:p>
        </w:tc>
      </w:tr>
      <w:tr w:rsidR="008E67EA" w:rsidRPr="002B5B5B" w14:paraId="15DFA92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035AC60" w14:textId="77777777" w:rsidR="008E67EA" w:rsidRPr="00F5215F" w:rsidRDefault="008E67EA" w:rsidP="00B44A74">
            <w:pPr>
              <w:spacing w:line="280" w:lineRule="exact"/>
              <w:rPr>
                <w:rFonts w:cs="Arial"/>
                <w:sz w:val="20"/>
                <w:szCs w:val="20"/>
              </w:rPr>
            </w:pPr>
            <w:r w:rsidRPr="00F5215F">
              <w:rPr>
                <w:rFonts w:cs="Arial"/>
                <w:sz w:val="20"/>
                <w:szCs w:val="20"/>
              </w:rPr>
              <w:t>Trade Advice:</w:t>
            </w:r>
          </w:p>
        </w:tc>
        <w:tc>
          <w:tcPr>
            <w:tcW w:w="7755" w:type="dxa"/>
            <w:tcBorders>
              <w:top w:val="single" w:sz="4" w:space="0" w:color="auto"/>
              <w:left w:val="single" w:sz="4" w:space="0" w:color="auto"/>
              <w:bottom w:val="single" w:sz="4" w:space="0" w:color="auto"/>
              <w:right w:val="single" w:sz="4" w:space="0" w:color="auto"/>
            </w:tcBorders>
          </w:tcPr>
          <w:p w14:paraId="2622889D" w14:textId="77777777" w:rsidR="008E67EA" w:rsidRPr="002B5B5B" w:rsidRDefault="008E67EA" w:rsidP="00B44A74">
            <w:pPr>
              <w:spacing w:line="280" w:lineRule="exact"/>
              <w:rPr>
                <w:rFonts w:cs="Arial"/>
                <w:sz w:val="20"/>
                <w:szCs w:val="20"/>
              </w:rPr>
            </w:pPr>
          </w:p>
        </w:tc>
      </w:tr>
      <w:tr w:rsidR="008E67EA" w:rsidRPr="002B5B5B" w14:paraId="6AD20D36" w14:textId="77777777" w:rsidTr="00B44A74">
        <w:trPr>
          <w:jc w:val="center"/>
        </w:trPr>
        <w:tc>
          <w:tcPr>
            <w:tcW w:w="2415" w:type="dxa"/>
            <w:tcBorders>
              <w:top w:val="single" w:sz="4" w:space="0" w:color="auto"/>
              <w:left w:val="nil"/>
              <w:bottom w:val="single" w:sz="4" w:space="0" w:color="auto"/>
              <w:right w:val="nil"/>
            </w:tcBorders>
          </w:tcPr>
          <w:p w14:paraId="406A3023"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4C5942B" w14:textId="77777777" w:rsidR="008E67EA" w:rsidRPr="002B5B5B" w:rsidRDefault="008E67EA" w:rsidP="00B44A74">
            <w:pPr>
              <w:spacing w:line="280" w:lineRule="exact"/>
              <w:rPr>
                <w:rFonts w:cs="Arial"/>
                <w:sz w:val="20"/>
                <w:szCs w:val="20"/>
              </w:rPr>
            </w:pPr>
          </w:p>
        </w:tc>
      </w:tr>
      <w:tr w:rsidR="008E67EA" w:rsidRPr="002B5B5B" w14:paraId="0167162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751B76C" w14:textId="77777777" w:rsidR="008E67EA" w:rsidRPr="00F5215F" w:rsidRDefault="008E67EA" w:rsidP="00B44A74">
            <w:pPr>
              <w:spacing w:line="280" w:lineRule="exact"/>
              <w:rPr>
                <w:rFonts w:cs="Arial"/>
                <w:sz w:val="20"/>
                <w:szCs w:val="20"/>
              </w:rPr>
            </w:pPr>
            <w:r w:rsidRPr="00F5215F">
              <w:rPr>
                <w:rFonts w:cs="Arial"/>
                <w:sz w:val="20"/>
                <w:szCs w:val="20"/>
              </w:rPr>
              <w:t>General Directions:</w:t>
            </w:r>
          </w:p>
        </w:tc>
        <w:tc>
          <w:tcPr>
            <w:tcW w:w="7755" w:type="dxa"/>
            <w:tcBorders>
              <w:top w:val="single" w:sz="4" w:space="0" w:color="auto"/>
              <w:left w:val="single" w:sz="4" w:space="0" w:color="auto"/>
              <w:bottom w:val="single" w:sz="4" w:space="0" w:color="auto"/>
              <w:right w:val="single" w:sz="4" w:space="0" w:color="auto"/>
            </w:tcBorders>
          </w:tcPr>
          <w:p w14:paraId="34F665CE" w14:textId="77777777" w:rsidR="008E67EA" w:rsidRPr="000037AD" w:rsidRDefault="008E67EA" w:rsidP="00B44A74">
            <w:pPr>
              <w:spacing w:line="280" w:lineRule="exact"/>
              <w:rPr>
                <w:rFonts w:cs="Arial"/>
                <w:sz w:val="20"/>
                <w:szCs w:val="20"/>
              </w:rPr>
            </w:pPr>
            <w:r w:rsidRPr="000037AD">
              <w:rPr>
                <w:rFonts w:cs="Arial"/>
                <w:sz w:val="20"/>
                <w:szCs w:val="20"/>
              </w:rPr>
              <w:t>GENERAL INSTRUCTIONS</w:t>
            </w:r>
          </w:p>
          <w:p w14:paraId="6BAC52D2" w14:textId="3A6FD17C" w:rsidR="008E67EA" w:rsidRPr="000037AD" w:rsidRDefault="008E67EA" w:rsidP="00B44A74">
            <w:pPr>
              <w:spacing w:line="280" w:lineRule="exact"/>
              <w:rPr>
                <w:rFonts w:cs="Arial"/>
                <w:sz w:val="20"/>
                <w:szCs w:val="20"/>
              </w:rPr>
            </w:pPr>
            <w:r w:rsidRPr="000037AD">
              <w:rPr>
                <w:rFonts w:cs="Arial"/>
                <w:sz w:val="20"/>
                <w:szCs w:val="20"/>
              </w:rPr>
              <w:t>Pellets are intended for use within an integrated rodent management program as the initial "clean out" bait treatment for rodent infestations. Usually, rats die within 3 to 5 days after eating the bait.</w:t>
            </w:r>
          </w:p>
          <w:p w14:paraId="4CF22AF7" w14:textId="77777777" w:rsidR="008E67EA" w:rsidRPr="00414F85" w:rsidRDefault="008E67EA" w:rsidP="00B44A74">
            <w:pPr>
              <w:spacing w:line="280" w:lineRule="exact"/>
              <w:rPr>
                <w:rFonts w:cs="Arial"/>
                <w:color w:val="7030A0"/>
                <w:sz w:val="20"/>
                <w:szCs w:val="20"/>
              </w:rPr>
            </w:pPr>
            <w:r w:rsidRPr="000037AD">
              <w:rPr>
                <w:rFonts w:cs="Arial"/>
                <w:sz w:val="20"/>
                <w:szCs w:val="20"/>
              </w:rPr>
              <w:lastRenderedPageBreak/>
              <w:t>Implement rodent proofing measures to limit or restrict rodent access to indoor areas or other areas where infestation is identified as a problem. Manage weeds and other vegetation around buildings to minimise the number of available or potential rodent harbourages.</w:t>
            </w:r>
          </w:p>
        </w:tc>
      </w:tr>
      <w:tr w:rsidR="008E67EA" w:rsidRPr="002B5B5B" w14:paraId="2BA17B85" w14:textId="77777777" w:rsidTr="00B44A74">
        <w:trPr>
          <w:jc w:val="center"/>
        </w:trPr>
        <w:tc>
          <w:tcPr>
            <w:tcW w:w="2415" w:type="dxa"/>
            <w:tcBorders>
              <w:top w:val="single" w:sz="4" w:space="0" w:color="auto"/>
              <w:left w:val="nil"/>
              <w:bottom w:val="single" w:sz="4" w:space="0" w:color="auto"/>
              <w:right w:val="nil"/>
            </w:tcBorders>
          </w:tcPr>
          <w:p w14:paraId="6AC8C601"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3610249" w14:textId="77777777" w:rsidR="008E67EA" w:rsidRPr="002B5B5B" w:rsidRDefault="008E67EA" w:rsidP="00B44A74">
            <w:pPr>
              <w:spacing w:line="280" w:lineRule="exact"/>
              <w:rPr>
                <w:rFonts w:cs="Arial"/>
                <w:sz w:val="20"/>
                <w:szCs w:val="20"/>
              </w:rPr>
            </w:pPr>
          </w:p>
        </w:tc>
      </w:tr>
      <w:tr w:rsidR="008E67EA" w:rsidRPr="002B5B5B" w14:paraId="4263B98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D0C5E5A" w14:textId="77777777" w:rsidR="008E67EA" w:rsidRPr="00F5215F" w:rsidRDefault="008E67EA" w:rsidP="00B44A74">
            <w:pPr>
              <w:spacing w:line="280" w:lineRule="exact"/>
              <w:rPr>
                <w:rFonts w:cs="Arial"/>
                <w:sz w:val="20"/>
                <w:szCs w:val="20"/>
              </w:rPr>
            </w:pPr>
            <w:r w:rsidRPr="00F5215F">
              <w:rPr>
                <w:rFonts w:cs="Arial"/>
                <w:sz w:val="20"/>
                <w:szCs w:val="20"/>
              </w:rPr>
              <w:t>Resistance Warning:</w:t>
            </w:r>
          </w:p>
        </w:tc>
        <w:tc>
          <w:tcPr>
            <w:tcW w:w="7755" w:type="dxa"/>
            <w:tcBorders>
              <w:top w:val="single" w:sz="4" w:space="0" w:color="auto"/>
              <w:left w:val="single" w:sz="4" w:space="0" w:color="auto"/>
              <w:bottom w:val="single" w:sz="4" w:space="0" w:color="auto"/>
              <w:right w:val="single" w:sz="4" w:space="0" w:color="auto"/>
            </w:tcBorders>
          </w:tcPr>
          <w:p w14:paraId="0E8C9603" w14:textId="77777777" w:rsidR="008E67EA" w:rsidRPr="002B5B5B" w:rsidRDefault="008E67EA" w:rsidP="00B44A74">
            <w:pPr>
              <w:spacing w:line="280" w:lineRule="exact"/>
              <w:rPr>
                <w:rFonts w:cs="Arial"/>
                <w:sz w:val="20"/>
                <w:szCs w:val="20"/>
              </w:rPr>
            </w:pPr>
          </w:p>
        </w:tc>
      </w:tr>
      <w:tr w:rsidR="008E67EA" w:rsidRPr="002B5B5B" w14:paraId="05AB7336" w14:textId="77777777" w:rsidTr="00B44A74">
        <w:trPr>
          <w:jc w:val="center"/>
        </w:trPr>
        <w:tc>
          <w:tcPr>
            <w:tcW w:w="2415" w:type="dxa"/>
            <w:tcBorders>
              <w:top w:val="single" w:sz="4" w:space="0" w:color="auto"/>
              <w:left w:val="nil"/>
              <w:bottom w:val="single" w:sz="4" w:space="0" w:color="auto"/>
              <w:right w:val="nil"/>
            </w:tcBorders>
          </w:tcPr>
          <w:p w14:paraId="06D1FC24"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0C2A11C" w14:textId="77777777" w:rsidR="008E67EA" w:rsidRPr="002B5B5B" w:rsidRDefault="008E67EA" w:rsidP="00B44A74">
            <w:pPr>
              <w:spacing w:line="280" w:lineRule="exact"/>
              <w:rPr>
                <w:rFonts w:cs="Arial"/>
                <w:sz w:val="20"/>
                <w:szCs w:val="20"/>
              </w:rPr>
            </w:pPr>
          </w:p>
        </w:tc>
      </w:tr>
      <w:tr w:rsidR="008E67EA" w:rsidRPr="002B5B5B" w14:paraId="2C93F30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D6F8F66" w14:textId="77777777" w:rsidR="008E67EA" w:rsidRPr="00F5215F" w:rsidRDefault="008E67EA" w:rsidP="00B44A74">
            <w:pPr>
              <w:spacing w:line="280" w:lineRule="exact"/>
              <w:rPr>
                <w:rFonts w:cs="Arial"/>
                <w:sz w:val="20"/>
                <w:szCs w:val="20"/>
              </w:rPr>
            </w:pPr>
            <w:r w:rsidRPr="00F5215F">
              <w:rPr>
                <w:rFonts w:cs="Arial"/>
                <w:sz w:val="20"/>
                <w:szCs w:val="20"/>
              </w:rPr>
              <w:t>Precautions:</w:t>
            </w:r>
          </w:p>
        </w:tc>
        <w:tc>
          <w:tcPr>
            <w:tcW w:w="7755" w:type="dxa"/>
            <w:tcBorders>
              <w:top w:val="single" w:sz="4" w:space="0" w:color="auto"/>
              <w:left w:val="single" w:sz="4" w:space="0" w:color="auto"/>
              <w:bottom w:val="single" w:sz="4" w:space="0" w:color="auto"/>
              <w:right w:val="single" w:sz="4" w:space="0" w:color="auto"/>
            </w:tcBorders>
          </w:tcPr>
          <w:p w14:paraId="5BDCF90C" w14:textId="77777777" w:rsidR="008E67EA" w:rsidRDefault="008E67EA" w:rsidP="00B44A74">
            <w:pPr>
              <w:spacing w:line="280" w:lineRule="exact"/>
              <w:rPr>
                <w:rFonts w:cs="Arial"/>
                <w:sz w:val="20"/>
                <w:szCs w:val="20"/>
              </w:rPr>
            </w:pPr>
            <w:r>
              <w:rPr>
                <w:rFonts w:cs="Arial"/>
                <w:sz w:val="20"/>
                <w:szCs w:val="20"/>
              </w:rPr>
              <w:t>PRECUATIONS</w:t>
            </w:r>
          </w:p>
          <w:p w14:paraId="474B15A7" w14:textId="77777777" w:rsidR="008E67EA" w:rsidRDefault="008E67EA" w:rsidP="00B44A74">
            <w:pPr>
              <w:spacing w:line="280" w:lineRule="exact"/>
              <w:rPr>
                <w:rFonts w:cs="Arial"/>
                <w:sz w:val="20"/>
                <w:szCs w:val="20"/>
              </w:rPr>
            </w:pPr>
            <w:r w:rsidRPr="009E76A8">
              <w:rPr>
                <w:rFonts w:cs="Arial"/>
                <w:sz w:val="20"/>
                <w:szCs w:val="20"/>
              </w:rPr>
              <w:t>Caution should be used when baiting near areas where hunting of wildlife may occur. Careful consideration of bait placement is necessary to avoid secondary exposure from contaminated wildlife that may be consumed.</w:t>
            </w:r>
          </w:p>
          <w:p w14:paraId="268A8EC5" w14:textId="77777777" w:rsidR="008E67EA" w:rsidRPr="002B5B5B" w:rsidRDefault="008E67EA" w:rsidP="00B44A74">
            <w:pPr>
              <w:spacing w:line="280" w:lineRule="exact"/>
              <w:rPr>
                <w:rFonts w:cs="Arial"/>
                <w:sz w:val="20"/>
                <w:szCs w:val="20"/>
                <w:highlight w:val="yellow"/>
              </w:rPr>
            </w:pPr>
            <w:r w:rsidRPr="009E76A8">
              <w:rPr>
                <w:rFonts w:cs="Arial"/>
                <w:sz w:val="20"/>
                <w:szCs w:val="20"/>
              </w:rPr>
              <w:t>DO NOT place bait in areas where there is a possibility of contaminating food, livestock feed or surfaces that come in direct contact with food or livestock feed.</w:t>
            </w:r>
          </w:p>
        </w:tc>
      </w:tr>
      <w:tr w:rsidR="008E67EA" w:rsidRPr="002B5B5B" w14:paraId="07F84026" w14:textId="77777777" w:rsidTr="00B44A74">
        <w:trPr>
          <w:jc w:val="center"/>
        </w:trPr>
        <w:tc>
          <w:tcPr>
            <w:tcW w:w="2415" w:type="dxa"/>
            <w:tcBorders>
              <w:top w:val="single" w:sz="4" w:space="0" w:color="auto"/>
              <w:left w:val="nil"/>
              <w:bottom w:val="single" w:sz="4" w:space="0" w:color="auto"/>
              <w:right w:val="nil"/>
            </w:tcBorders>
          </w:tcPr>
          <w:p w14:paraId="42DE6C97"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9F8C707" w14:textId="77777777" w:rsidR="008E67EA" w:rsidRPr="002B5B5B" w:rsidRDefault="008E67EA" w:rsidP="00B44A74">
            <w:pPr>
              <w:spacing w:line="280" w:lineRule="exact"/>
              <w:rPr>
                <w:rFonts w:cs="Arial"/>
                <w:sz w:val="20"/>
                <w:szCs w:val="20"/>
              </w:rPr>
            </w:pPr>
          </w:p>
        </w:tc>
      </w:tr>
      <w:tr w:rsidR="008E67EA" w:rsidRPr="002B5B5B" w14:paraId="403FB79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9C194CC" w14:textId="77777777" w:rsidR="008E67EA" w:rsidRPr="00F5215F" w:rsidRDefault="008E67EA" w:rsidP="00B44A74">
            <w:pPr>
              <w:spacing w:line="280" w:lineRule="exact"/>
              <w:rPr>
                <w:rFonts w:cs="Arial"/>
                <w:sz w:val="20"/>
                <w:szCs w:val="20"/>
              </w:rPr>
            </w:pPr>
            <w:r w:rsidRPr="00F5215F">
              <w:rPr>
                <w:rFonts w:cs="Arial"/>
                <w:sz w:val="20"/>
                <w:szCs w:val="20"/>
              </w:rPr>
              <w:t>Protection Statements:</w:t>
            </w:r>
          </w:p>
        </w:tc>
        <w:tc>
          <w:tcPr>
            <w:tcW w:w="7755" w:type="dxa"/>
            <w:tcBorders>
              <w:top w:val="single" w:sz="4" w:space="0" w:color="auto"/>
              <w:left w:val="single" w:sz="4" w:space="0" w:color="auto"/>
              <w:bottom w:val="single" w:sz="4" w:space="0" w:color="auto"/>
              <w:right w:val="single" w:sz="4" w:space="0" w:color="auto"/>
            </w:tcBorders>
          </w:tcPr>
          <w:p w14:paraId="72762947" w14:textId="77777777" w:rsidR="008E67EA" w:rsidRPr="009E76A8" w:rsidRDefault="008E67EA" w:rsidP="00B44A74">
            <w:pPr>
              <w:spacing w:line="280" w:lineRule="exact"/>
              <w:rPr>
                <w:rFonts w:cs="Arial"/>
                <w:sz w:val="20"/>
                <w:szCs w:val="20"/>
              </w:rPr>
            </w:pPr>
            <w:r w:rsidRPr="009E76A8">
              <w:rPr>
                <w:rFonts w:cs="Arial"/>
                <w:sz w:val="20"/>
                <w:szCs w:val="20"/>
              </w:rPr>
              <w:t>PROTECTION OF LIVESTOCK AND WILDLIFE</w:t>
            </w:r>
          </w:p>
          <w:p w14:paraId="3A1A7A76" w14:textId="77777777" w:rsidR="008E67EA" w:rsidRPr="009E76A8" w:rsidRDefault="008E67EA" w:rsidP="00B44A74">
            <w:pPr>
              <w:spacing w:line="280" w:lineRule="exact"/>
              <w:rPr>
                <w:rFonts w:cs="Arial"/>
                <w:sz w:val="20"/>
                <w:szCs w:val="20"/>
              </w:rPr>
            </w:pPr>
            <w:r w:rsidRPr="009E76A8">
              <w:rPr>
                <w:rFonts w:cs="Arial"/>
                <w:sz w:val="20"/>
                <w:szCs w:val="20"/>
              </w:rPr>
              <w:t>Hazardous to livestock, poultry and wildlife. DO NOT place baits in locations that are accessible to domestic animals, livestock, non-target native animals or birds.</w:t>
            </w:r>
          </w:p>
          <w:p w14:paraId="24D8C97A" w14:textId="6EC450F2" w:rsidR="008E67EA" w:rsidRPr="009E76A8" w:rsidRDefault="008E67EA" w:rsidP="00B44A74">
            <w:pPr>
              <w:spacing w:line="280" w:lineRule="exact"/>
              <w:rPr>
                <w:rFonts w:cs="Arial"/>
                <w:sz w:val="20"/>
                <w:szCs w:val="20"/>
              </w:rPr>
            </w:pPr>
            <w:r w:rsidRPr="009E76A8">
              <w:rPr>
                <w:rFonts w:cs="Arial"/>
                <w:sz w:val="20"/>
                <w:szCs w:val="20"/>
              </w:rPr>
              <w:t>Search for and dispose of dead rodents and slugs/snails in the infested area at each visit to prevent secondary poisoning. In case slugs/snails are present, move bait station to another location within the rodent infested site, away from slugs/snails. Dispose of slugs/snails in a way non-target animals are not exposed. Dispose of dead rodents and uneaten bait in compliance with local, state or territory government regulations.</w:t>
            </w:r>
          </w:p>
          <w:p w14:paraId="2BB6012C" w14:textId="77777777" w:rsidR="008E67EA" w:rsidRDefault="008E67EA" w:rsidP="00B44A74">
            <w:pPr>
              <w:spacing w:line="280" w:lineRule="exact"/>
              <w:rPr>
                <w:rFonts w:cs="Arial"/>
                <w:sz w:val="20"/>
                <w:szCs w:val="20"/>
              </w:rPr>
            </w:pPr>
            <w:r w:rsidRPr="009E76A8">
              <w:rPr>
                <w:rFonts w:cs="Arial"/>
                <w:sz w:val="20"/>
                <w:szCs w:val="20"/>
              </w:rPr>
              <w:t>DO NOT allow livestock or poultry to consume dead or moribund mice and rats. All dead or moribund animals and rodent faeces from baited rodents MUST be removed from areas accessible to livestock or poultry.</w:t>
            </w:r>
          </w:p>
          <w:p w14:paraId="0057C324" w14:textId="665FA181" w:rsidR="008E67EA" w:rsidRPr="00604F9D" w:rsidRDefault="008E67EA" w:rsidP="00B44A74">
            <w:pPr>
              <w:spacing w:line="280" w:lineRule="exact"/>
              <w:rPr>
                <w:rFonts w:cs="Arial"/>
                <w:sz w:val="20"/>
                <w:szCs w:val="20"/>
              </w:rPr>
            </w:pPr>
            <w:r w:rsidRPr="007B5FED">
              <w:rPr>
                <w:rFonts w:cs="Arial"/>
                <w:sz w:val="20"/>
                <w:szCs w:val="20"/>
              </w:rPr>
              <w:t>DO NOT use this product to control native animals.</w:t>
            </w:r>
          </w:p>
          <w:p w14:paraId="41E5DA80" w14:textId="77777777" w:rsidR="008E67EA" w:rsidRPr="009E76A8" w:rsidRDefault="008E67EA" w:rsidP="00B44A74">
            <w:pPr>
              <w:spacing w:line="280" w:lineRule="exact"/>
              <w:rPr>
                <w:rFonts w:cs="Arial"/>
                <w:sz w:val="20"/>
                <w:szCs w:val="20"/>
              </w:rPr>
            </w:pPr>
          </w:p>
          <w:p w14:paraId="29FC309A" w14:textId="77777777" w:rsidR="008E67EA" w:rsidRPr="009E76A8" w:rsidRDefault="008E67EA" w:rsidP="00B44A74">
            <w:pPr>
              <w:spacing w:line="280" w:lineRule="exact"/>
              <w:rPr>
                <w:rFonts w:cs="Arial"/>
                <w:sz w:val="20"/>
                <w:szCs w:val="20"/>
              </w:rPr>
            </w:pPr>
            <w:r w:rsidRPr="009E76A8">
              <w:rPr>
                <w:rFonts w:cs="Arial"/>
                <w:sz w:val="20"/>
                <w:szCs w:val="20"/>
              </w:rPr>
              <w:t>PROTECTION OF FISH, CRUSTACEANS AND ENVIRONMENT</w:t>
            </w:r>
          </w:p>
          <w:p w14:paraId="4AE14C7A" w14:textId="06A7F36B" w:rsidR="008E67EA" w:rsidRPr="007D7354" w:rsidRDefault="008E67EA" w:rsidP="00B44A74">
            <w:pPr>
              <w:spacing w:line="280" w:lineRule="exact"/>
              <w:rPr>
                <w:rFonts w:cs="Arial"/>
                <w:sz w:val="20"/>
                <w:szCs w:val="20"/>
              </w:rPr>
            </w:pPr>
            <w:r w:rsidRPr="009E76A8">
              <w:rPr>
                <w:rFonts w:cs="Arial"/>
                <w:sz w:val="20"/>
                <w:szCs w:val="20"/>
              </w:rPr>
              <w:t>Very toxic to aquatic life. DO NOT contaminate wetlands or watercourses with this product or used containers. Place the bait stations in areas not liable to flooding. When placing bait stations close to water drainage systems, ensure that bait contact with water is avoided.</w:t>
            </w:r>
          </w:p>
        </w:tc>
      </w:tr>
      <w:tr w:rsidR="008E67EA" w:rsidRPr="002B5B5B" w14:paraId="698B688E" w14:textId="77777777" w:rsidTr="00B44A74">
        <w:trPr>
          <w:jc w:val="center"/>
        </w:trPr>
        <w:tc>
          <w:tcPr>
            <w:tcW w:w="2415" w:type="dxa"/>
            <w:tcBorders>
              <w:top w:val="single" w:sz="4" w:space="0" w:color="auto"/>
              <w:left w:val="nil"/>
              <w:bottom w:val="single" w:sz="4" w:space="0" w:color="auto"/>
              <w:right w:val="nil"/>
            </w:tcBorders>
          </w:tcPr>
          <w:p w14:paraId="677207F2"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CA7B9B0" w14:textId="77777777" w:rsidR="008E67EA" w:rsidRPr="007D7354" w:rsidRDefault="008E67EA" w:rsidP="00B44A74">
            <w:pPr>
              <w:spacing w:line="280" w:lineRule="exact"/>
              <w:rPr>
                <w:rFonts w:cs="Arial"/>
                <w:sz w:val="20"/>
                <w:szCs w:val="20"/>
              </w:rPr>
            </w:pPr>
          </w:p>
        </w:tc>
      </w:tr>
      <w:tr w:rsidR="008E67EA" w:rsidRPr="002B5B5B" w14:paraId="22F5FC9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43704B3" w14:textId="77777777" w:rsidR="008E67EA" w:rsidRPr="00F5215F" w:rsidRDefault="008E67EA" w:rsidP="00B44A74">
            <w:pPr>
              <w:spacing w:line="280" w:lineRule="exact"/>
              <w:rPr>
                <w:rFonts w:cs="Arial"/>
                <w:sz w:val="20"/>
                <w:szCs w:val="20"/>
              </w:rPr>
            </w:pPr>
            <w:r w:rsidRPr="00F5215F">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6DBC1D31" w14:textId="77777777" w:rsidR="008E67EA" w:rsidRDefault="008E67EA" w:rsidP="00B44A74">
            <w:pPr>
              <w:spacing w:line="280" w:lineRule="exact"/>
              <w:rPr>
                <w:rFonts w:cs="Arial"/>
                <w:sz w:val="20"/>
                <w:szCs w:val="20"/>
              </w:rPr>
            </w:pPr>
            <w:r>
              <w:rPr>
                <w:rFonts w:cs="Arial"/>
                <w:sz w:val="20"/>
                <w:szCs w:val="20"/>
              </w:rPr>
              <w:t>STORAGE AND DISPOSAL</w:t>
            </w:r>
          </w:p>
          <w:p w14:paraId="64B8DCA8" w14:textId="77777777" w:rsidR="008E67EA" w:rsidRPr="002B5B5B" w:rsidRDefault="008E67EA" w:rsidP="00B44A74">
            <w:pPr>
              <w:spacing w:line="280" w:lineRule="exact"/>
              <w:rPr>
                <w:rFonts w:cs="Arial"/>
                <w:sz w:val="20"/>
                <w:szCs w:val="20"/>
              </w:rPr>
            </w:pPr>
            <w:r w:rsidRPr="009E76A8">
              <w:rPr>
                <w:rFonts w:cs="Arial"/>
                <w:sz w:val="20"/>
                <w:szCs w:val="20"/>
              </w:rPr>
              <w:t>Store in the closed, original container in a dry, cool, well-ventilated area out of direct sunlight</w:t>
            </w:r>
            <w:r>
              <w:rPr>
                <w:rFonts w:cs="Arial"/>
                <w:sz w:val="20"/>
                <w:szCs w:val="20"/>
              </w:rPr>
              <w:t xml:space="preserve">. </w:t>
            </w:r>
            <w:r w:rsidRPr="009E76A8">
              <w:rPr>
                <w:rFonts w:cs="Arial"/>
                <w:sz w:val="20"/>
                <w:szCs w:val="20"/>
              </w:rPr>
              <w:t xml:space="preserve">Triple rinse containers before disposal. Break, crush or puncture and deliver empty packaging to an approved waste management facility. If an approved waste management facility is not available, dispose of empty packaging in compliance with relevant local, state or territory government regulations. </w:t>
            </w:r>
            <w:r w:rsidRPr="005E538D">
              <w:rPr>
                <w:rFonts w:cs="Arial"/>
                <w:sz w:val="20"/>
                <w:szCs w:val="20"/>
                <w:bdr w:val="none" w:sz="0" w:space="0" w:color="auto" w:frame="1"/>
                <w:lang w:val="en-GB" w:eastAsia="en-AU"/>
              </w:rPr>
              <w:t>Dispose of unused product in compliance with relevant local, state or territory government regulations.</w:t>
            </w:r>
            <w:r>
              <w:rPr>
                <w:rFonts w:cs="Arial"/>
                <w:sz w:val="20"/>
                <w:szCs w:val="20"/>
                <w:bdr w:val="none" w:sz="0" w:space="0" w:color="auto" w:frame="1"/>
                <w:lang w:val="en-GB" w:eastAsia="en-AU"/>
              </w:rPr>
              <w:t xml:space="preserve"> </w:t>
            </w:r>
            <w:r w:rsidRPr="009E76A8">
              <w:rPr>
                <w:rFonts w:cs="Arial"/>
                <w:sz w:val="20"/>
                <w:szCs w:val="20"/>
              </w:rPr>
              <w:t>DO NOT burn empty containers or product.</w:t>
            </w:r>
          </w:p>
        </w:tc>
      </w:tr>
      <w:tr w:rsidR="008E67EA" w:rsidRPr="002B5B5B" w14:paraId="7946EC50" w14:textId="77777777" w:rsidTr="00B44A74">
        <w:trPr>
          <w:jc w:val="center"/>
        </w:trPr>
        <w:tc>
          <w:tcPr>
            <w:tcW w:w="2415" w:type="dxa"/>
            <w:tcBorders>
              <w:top w:val="single" w:sz="4" w:space="0" w:color="auto"/>
              <w:left w:val="nil"/>
              <w:bottom w:val="single" w:sz="4" w:space="0" w:color="auto"/>
              <w:right w:val="nil"/>
            </w:tcBorders>
          </w:tcPr>
          <w:p w14:paraId="51E8D5DF"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C61A6BF" w14:textId="77777777" w:rsidR="008E67EA" w:rsidRPr="002B5B5B" w:rsidRDefault="008E67EA" w:rsidP="00B44A74">
            <w:pPr>
              <w:spacing w:line="280" w:lineRule="exact"/>
              <w:rPr>
                <w:rFonts w:cs="Arial"/>
                <w:sz w:val="20"/>
                <w:szCs w:val="20"/>
              </w:rPr>
            </w:pPr>
          </w:p>
        </w:tc>
      </w:tr>
      <w:tr w:rsidR="008E67EA" w:rsidRPr="002B5B5B" w14:paraId="4FE65B5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0E4ADE1" w14:textId="77777777" w:rsidR="008E67EA" w:rsidRPr="00F5215F" w:rsidRDefault="008E67EA" w:rsidP="00B44A74">
            <w:pPr>
              <w:spacing w:line="280" w:lineRule="exact"/>
              <w:rPr>
                <w:rFonts w:cs="Arial"/>
                <w:sz w:val="20"/>
                <w:szCs w:val="20"/>
              </w:rPr>
            </w:pPr>
            <w:r w:rsidRPr="00F5215F">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4FEF4B1B" w14:textId="77777777" w:rsidR="008E67EA" w:rsidRDefault="008E67EA" w:rsidP="00B44A74">
            <w:pPr>
              <w:spacing w:line="280" w:lineRule="exact"/>
              <w:rPr>
                <w:rFonts w:cs="Arial"/>
                <w:sz w:val="20"/>
                <w:szCs w:val="20"/>
              </w:rPr>
            </w:pPr>
            <w:r>
              <w:rPr>
                <w:rFonts w:cs="Arial"/>
                <w:sz w:val="20"/>
                <w:szCs w:val="20"/>
              </w:rPr>
              <w:t>SAFETY DIRECTIONS</w:t>
            </w:r>
          </w:p>
          <w:p w14:paraId="2A2137C2" w14:textId="77777777" w:rsidR="008E67EA" w:rsidRDefault="008E67EA" w:rsidP="00B44A74">
            <w:pPr>
              <w:spacing w:line="280" w:lineRule="exact"/>
              <w:rPr>
                <w:rFonts w:cs="Arial"/>
                <w:sz w:val="20"/>
                <w:szCs w:val="20"/>
              </w:rPr>
            </w:pPr>
            <w:r w:rsidRPr="009E76A8">
              <w:rPr>
                <w:rFonts w:cs="Arial"/>
                <w:sz w:val="20"/>
                <w:szCs w:val="20"/>
              </w:rPr>
              <w:t>Repeated minor exposure may have a cumulative poisoning effect.</w:t>
            </w:r>
            <w:r>
              <w:rPr>
                <w:rFonts w:cs="Arial"/>
                <w:sz w:val="20"/>
                <w:szCs w:val="20"/>
              </w:rPr>
              <w:t xml:space="preserve"> </w:t>
            </w:r>
            <w:r w:rsidRPr="009E76A8">
              <w:rPr>
                <w:rFonts w:cs="Arial"/>
                <w:sz w:val="20"/>
                <w:szCs w:val="20"/>
              </w:rPr>
              <w:t>May irritate the eyes.</w:t>
            </w:r>
            <w:r>
              <w:rPr>
                <w:rFonts w:cs="Arial"/>
                <w:sz w:val="20"/>
                <w:szCs w:val="20"/>
              </w:rPr>
              <w:t xml:space="preserve"> </w:t>
            </w:r>
            <w:r w:rsidRPr="009E76A8">
              <w:rPr>
                <w:rFonts w:cs="Arial"/>
                <w:sz w:val="20"/>
                <w:szCs w:val="20"/>
              </w:rPr>
              <w:t>Avoid contact with eyes and skin.</w:t>
            </w:r>
            <w:r>
              <w:rPr>
                <w:rFonts w:cs="Arial"/>
                <w:sz w:val="20"/>
                <w:szCs w:val="20"/>
              </w:rPr>
              <w:t xml:space="preserve"> </w:t>
            </w:r>
            <w:r w:rsidRPr="009E76A8">
              <w:rPr>
                <w:rFonts w:cs="Arial"/>
                <w:sz w:val="20"/>
                <w:szCs w:val="20"/>
              </w:rPr>
              <w:t>Do not inhale dust.</w:t>
            </w:r>
            <w:r>
              <w:rPr>
                <w:rFonts w:cs="Arial"/>
                <w:sz w:val="20"/>
                <w:szCs w:val="20"/>
              </w:rPr>
              <w:t xml:space="preserve"> </w:t>
            </w:r>
            <w:r w:rsidRPr="009E76A8">
              <w:rPr>
                <w:rFonts w:cs="Arial"/>
                <w:sz w:val="20"/>
                <w:szCs w:val="20"/>
              </w:rPr>
              <w:t>Do not touch bait, use scoop or measure.</w:t>
            </w:r>
            <w:r>
              <w:rPr>
                <w:rFonts w:cs="Arial"/>
                <w:sz w:val="20"/>
                <w:szCs w:val="20"/>
              </w:rPr>
              <w:t xml:space="preserve"> </w:t>
            </w:r>
            <w:r w:rsidRPr="009E76A8">
              <w:rPr>
                <w:rFonts w:cs="Arial"/>
                <w:sz w:val="20"/>
                <w:szCs w:val="20"/>
              </w:rPr>
              <w:t>When using the product wear disposable gloves.</w:t>
            </w:r>
            <w:r>
              <w:rPr>
                <w:rFonts w:cs="Arial"/>
                <w:sz w:val="20"/>
                <w:szCs w:val="20"/>
              </w:rPr>
              <w:t xml:space="preserve"> </w:t>
            </w:r>
            <w:r w:rsidRPr="009E76A8">
              <w:rPr>
                <w:rFonts w:cs="Arial"/>
                <w:sz w:val="20"/>
                <w:szCs w:val="20"/>
              </w:rPr>
              <w:t>If on skin and after each baiting, wash thoroughly with soap and water.</w:t>
            </w:r>
          </w:p>
          <w:p w14:paraId="5764C4FF" w14:textId="1E664DE9" w:rsidR="008E67EA" w:rsidRPr="002B5B5B" w:rsidRDefault="008E67EA" w:rsidP="00B44A74">
            <w:pPr>
              <w:spacing w:line="280" w:lineRule="exact"/>
              <w:rPr>
                <w:rFonts w:cs="Arial"/>
                <w:sz w:val="20"/>
                <w:szCs w:val="20"/>
              </w:rPr>
            </w:pPr>
            <w:r w:rsidRPr="009E76A8">
              <w:rPr>
                <w:rFonts w:cs="Arial"/>
                <w:sz w:val="20"/>
                <w:szCs w:val="20"/>
              </w:rPr>
              <w:lastRenderedPageBreak/>
              <w:t>During cleanup and disposal operations of bait and bait stations, wear a single layer of clothing and disposable gloves. Wear disposable gloves when handling rodent carcasses. Wash clothes after performing re-handling activities</w:t>
            </w:r>
            <w:r>
              <w:rPr>
                <w:rFonts w:cs="Arial"/>
                <w:sz w:val="20"/>
                <w:szCs w:val="20"/>
              </w:rPr>
              <w:t>.</w:t>
            </w:r>
          </w:p>
        </w:tc>
      </w:tr>
      <w:tr w:rsidR="008E67EA" w:rsidRPr="002B5B5B" w14:paraId="61A56FD3" w14:textId="77777777" w:rsidTr="00B44A74">
        <w:trPr>
          <w:jc w:val="center"/>
        </w:trPr>
        <w:tc>
          <w:tcPr>
            <w:tcW w:w="2415" w:type="dxa"/>
            <w:tcBorders>
              <w:top w:val="single" w:sz="4" w:space="0" w:color="auto"/>
              <w:left w:val="nil"/>
              <w:bottom w:val="single" w:sz="4" w:space="0" w:color="auto"/>
              <w:right w:val="nil"/>
            </w:tcBorders>
          </w:tcPr>
          <w:p w14:paraId="534A868C"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D188B50" w14:textId="77777777" w:rsidR="008E67EA" w:rsidRPr="002B5B5B" w:rsidRDefault="008E67EA" w:rsidP="00B44A74">
            <w:pPr>
              <w:spacing w:line="280" w:lineRule="exact"/>
              <w:rPr>
                <w:rFonts w:cs="Arial"/>
                <w:sz w:val="20"/>
                <w:szCs w:val="20"/>
              </w:rPr>
            </w:pPr>
          </w:p>
        </w:tc>
      </w:tr>
      <w:tr w:rsidR="008E67EA" w:rsidRPr="002B5B5B" w14:paraId="2EEEC72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2BFE3EC" w14:textId="77777777" w:rsidR="008E67EA" w:rsidRPr="00F5215F" w:rsidRDefault="008E67EA" w:rsidP="00B44A74">
            <w:pPr>
              <w:spacing w:line="280" w:lineRule="exact"/>
              <w:rPr>
                <w:rFonts w:cs="Arial"/>
                <w:sz w:val="20"/>
                <w:szCs w:val="20"/>
              </w:rPr>
            </w:pPr>
            <w:r w:rsidRPr="00F5215F">
              <w:rPr>
                <w:rFonts w:cs="Arial"/>
                <w:sz w:val="20"/>
                <w:szCs w:val="20"/>
              </w:rPr>
              <w:t>First Aid Instructions:</w:t>
            </w:r>
          </w:p>
        </w:tc>
        <w:tc>
          <w:tcPr>
            <w:tcW w:w="7755" w:type="dxa"/>
            <w:tcBorders>
              <w:top w:val="single" w:sz="4" w:space="0" w:color="auto"/>
              <w:left w:val="single" w:sz="4" w:space="0" w:color="auto"/>
              <w:bottom w:val="single" w:sz="4" w:space="0" w:color="auto"/>
              <w:right w:val="single" w:sz="4" w:space="0" w:color="auto"/>
            </w:tcBorders>
          </w:tcPr>
          <w:p w14:paraId="36978849" w14:textId="77777777" w:rsidR="008E67EA" w:rsidRPr="00D90668" w:rsidRDefault="008E67EA" w:rsidP="00B44A74">
            <w:pPr>
              <w:spacing w:line="280" w:lineRule="exact"/>
              <w:rPr>
                <w:rFonts w:cs="Arial"/>
                <w:color w:val="000000" w:themeColor="text1"/>
                <w:sz w:val="20"/>
                <w:szCs w:val="20"/>
              </w:rPr>
            </w:pPr>
            <w:r w:rsidRPr="00D90668">
              <w:rPr>
                <w:rFonts w:cs="Arial"/>
                <w:color w:val="000000" w:themeColor="text1"/>
                <w:sz w:val="20"/>
                <w:szCs w:val="20"/>
              </w:rPr>
              <w:t xml:space="preserve">FIRST AID </w:t>
            </w:r>
          </w:p>
          <w:p w14:paraId="6E543128" w14:textId="1B7C2A85" w:rsidR="008E67EA" w:rsidRPr="00D90668" w:rsidRDefault="008E67EA" w:rsidP="00B44A74">
            <w:pPr>
              <w:spacing w:line="280" w:lineRule="exact"/>
              <w:rPr>
                <w:rFonts w:cs="Arial"/>
                <w:color w:val="000000" w:themeColor="text1"/>
                <w:sz w:val="20"/>
                <w:szCs w:val="20"/>
              </w:rPr>
            </w:pPr>
            <w:r w:rsidRPr="00D90668">
              <w:rPr>
                <w:rFonts w:cs="Arial"/>
                <w:color w:val="000000" w:themeColor="text1"/>
                <w:sz w:val="20"/>
                <w:szCs w:val="20"/>
              </w:rPr>
              <w:t>If poisoning occurs, contact a doctor or Poisons Information Centre. Phone Australia 13 11 26, New Zealand 0800 764 766. Vitamin K1 (Phytomenadione) is antidotal.</w:t>
            </w:r>
          </w:p>
        </w:tc>
      </w:tr>
      <w:tr w:rsidR="008E67EA" w:rsidRPr="002B5B5B" w14:paraId="1F53CDB0" w14:textId="77777777" w:rsidTr="00B44A74">
        <w:trPr>
          <w:jc w:val="center"/>
        </w:trPr>
        <w:tc>
          <w:tcPr>
            <w:tcW w:w="2415" w:type="dxa"/>
            <w:tcBorders>
              <w:top w:val="single" w:sz="4" w:space="0" w:color="auto"/>
              <w:left w:val="nil"/>
              <w:bottom w:val="single" w:sz="4" w:space="0" w:color="auto"/>
              <w:right w:val="nil"/>
            </w:tcBorders>
          </w:tcPr>
          <w:p w14:paraId="195B6503"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23ED3E4" w14:textId="77777777" w:rsidR="008E67EA" w:rsidRPr="002B5B5B" w:rsidRDefault="008E67EA" w:rsidP="00B44A74">
            <w:pPr>
              <w:spacing w:line="280" w:lineRule="exact"/>
              <w:rPr>
                <w:rFonts w:cs="Arial"/>
                <w:sz w:val="20"/>
                <w:szCs w:val="20"/>
              </w:rPr>
            </w:pPr>
          </w:p>
        </w:tc>
      </w:tr>
      <w:tr w:rsidR="008E67EA" w:rsidRPr="002B5B5B" w14:paraId="2C346A1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D069614" w14:textId="77777777" w:rsidR="008E67EA" w:rsidRPr="00F5215F" w:rsidRDefault="008E67EA" w:rsidP="00B44A74">
            <w:pPr>
              <w:spacing w:line="280" w:lineRule="exact"/>
              <w:rPr>
                <w:rFonts w:cs="Arial"/>
                <w:sz w:val="20"/>
                <w:szCs w:val="20"/>
              </w:rPr>
            </w:pPr>
            <w:r w:rsidRPr="00F5215F">
              <w:rPr>
                <w:rFonts w:cs="Arial"/>
                <w:sz w:val="20"/>
                <w:szCs w:val="20"/>
              </w:rPr>
              <w:t>First Aid Warnings:</w:t>
            </w:r>
          </w:p>
        </w:tc>
        <w:tc>
          <w:tcPr>
            <w:tcW w:w="7755" w:type="dxa"/>
            <w:tcBorders>
              <w:top w:val="single" w:sz="4" w:space="0" w:color="auto"/>
              <w:left w:val="single" w:sz="4" w:space="0" w:color="auto"/>
              <w:bottom w:val="single" w:sz="4" w:space="0" w:color="auto"/>
              <w:right w:val="single" w:sz="4" w:space="0" w:color="auto"/>
            </w:tcBorders>
          </w:tcPr>
          <w:p w14:paraId="30B85F7F" w14:textId="77777777" w:rsidR="008E67EA" w:rsidRPr="002B5B5B" w:rsidRDefault="008E67EA" w:rsidP="00B44A74">
            <w:pPr>
              <w:spacing w:line="280" w:lineRule="exact"/>
              <w:rPr>
                <w:rFonts w:cs="Arial"/>
                <w:sz w:val="20"/>
                <w:szCs w:val="20"/>
              </w:rPr>
            </w:pPr>
          </w:p>
        </w:tc>
      </w:tr>
    </w:tbl>
    <w:p w14:paraId="71D613B2" w14:textId="77777777" w:rsidR="008E67EA" w:rsidRDefault="008E67EA" w:rsidP="008E67EA"/>
    <w:p w14:paraId="3CBE87BB" w14:textId="77777777" w:rsidR="008E67EA" w:rsidRDefault="008E67EA" w:rsidP="008E67EA">
      <w:pPr>
        <w:spacing w:line="280" w:lineRule="exact"/>
        <w:rPr>
          <w:rFonts w:cs="Arial"/>
          <w:b/>
          <w:bCs/>
          <w:sz w:val="20"/>
          <w:szCs w:val="20"/>
        </w:rPr>
      </w:pPr>
      <w:r w:rsidRPr="00FF36BF">
        <w:rPr>
          <w:rFonts w:cs="Arial"/>
          <w:b/>
          <w:bCs/>
          <w:sz w:val="20"/>
          <w:szCs w:val="20"/>
        </w:rPr>
        <w:t>DIRECTIONS FOR USE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276"/>
        <w:gridCol w:w="1134"/>
        <w:gridCol w:w="4786"/>
      </w:tblGrid>
      <w:tr w:rsidR="008E67EA" w:rsidRPr="00FF36BF" w14:paraId="2330620E" w14:textId="77777777" w:rsidTr="00604F9D">
        <w:trPr>
          <w:trHeight w:val="340"/>
        </w:trPr>
        <w:tc>
          <w:tcPr>
            <w:tcW w:w="1857" w:type="dxa"/>
          </w:tcPr>
          <w:p w14:paraId="7469D258" w14:textId="77777777" w:rsidR="008E67EA" w:rsidRPr="00DB6BC4" w:rsidRDefault="008E67EA" w:rsidP="00B44A74">
            <w:pPr>
              <w:spacing w:line="280" w:lineRule="exact"/>
              <w:rPr>
                <w:rFonts w:cs="Arial"/>
                <w:b/>
                <w:bCs/>
                <w:szCs w:val="18"/>
              </w:rPr>
            </w:pPr>
            <w:r w:rsidRPr="00DB6BC4">
              <w:rPr>
                <w:rFonts w:cs="Arial"/>
                <w:b/>
                <w:bCs/>
                <w:szCs w:val="18"/>
              </w:rPr>
              <w:t>SITUATION</w:t>
            </w:r>
          </w:p>
        </w:tc>
        <w:tc>
          <w:tcPr>
            <w:tcW w:w="1276" w:type="dxa"/>
          </w:tcPr>
          <w:p w14:paraId="1AB769C4" w14:textId="77777777" w:rsidR="008E67EA" w:rsidRPr="00DB6BC4" w:rsidRDefault="008E67EA" w:rsidP="00B44A74">
            <w:pPr>
              <w:spacing w:line="280" w:lineRule="exact"/>
              <w:rPr>
                <w:rFonts w:cs="Arial"/>
                <w:b/>
                <w:bCs/>
                <w:szCs w:val="18"/>
              </w:rPr>
            </w:pPr>
            <w:r w:rsidRPr="00DB6BC4">
              <w:rPr>
                <w:rFonts w:cs="Arial"/>
                <w:b/>
                <w:bCs/>
                <w:szCs w:val="18"/>
              </w:rPr>
              <w:t>PEST</w:t>
            </w:r>
          </w:p>
        </w:tc>
        <w:tc>
          <w:tcPr>
            <w:tcW w:w="1134" w:type="dxa"/>
          </w:tcPr>
          <w:p w14:paraId="096137FB" w14:textId="77777777" w:rsidR="008E67EA" w:rsidRPr="00DB6BC4" w:rsidRDefault="008E67EA" w:rsidP="00B44A74">
            <w:pPr>
              <w:spacing w:line="280" w:lineRule="exact"/>
              <w:rPr>
                <w:rFonts w:cs="Arial"/>
                <w:b/>
                <w:bCs/>
                <w:szCs w:val="18"/>
              </w:rPr>
            </w:pPr>
            <w:r w:rsidRPr="00DB6BC4">
              <w:rPr>
                <w:rFonts w:cs="Arial"/>
                <w:b/>
                <w:bCs/>
                <w:szCs w:val="18"/>
              </w:rPr>
              <w:t>RATE</w:t>
            </w:r>
          </w:p>
        </w:tc>
        <w:tc>
          <w:tcPr>
            <w:tcW w:w="4786" w:type="dxa"/>
          </w:tcPr>
          <w:p w14:paraId="71AD5F5D" w14:textId="77777777" w:rsidR="008E67EA" w:rsidRPr="00DB6BC4" w:rsidRDefault="008E67EA" w:rsidP="00B44A74">
            <w:pPr>
              <w:spacing w:line="280" w:lineRule="exact"/>
              <w:rPr>
                <w:rFonts w:cs="Arial"/>
                <w:b/>
                <w:bCs/>
                <w:szCs w:val="18"/>
              </w:rPr>
            </w:pPr>
            <w:r w:rsidRPr="00DB6BC4">
              <w:rPr>
                <w:rFonts w:cs="Arial"/>
                <w:b/>
                <w:bCs/>
                <w:szCs w:val="18"/>
              </w:rPr>
              <w:t>CRITICAL COMMENTS</w:t>
            </w:r>
          </w:p>
        </w:tc>
      </w:tr>
      <w:tr w:rsidR="008E67EA" w:rsidRPr="00FF36BF" w14:paraId="6B23C6B1" w14:textId="77777777" w:rsidTr="00604F9D">
        <w:trPr>
          <w:trHeight w:val="841"/>
        </w:trPr>
        <w:tc>
          <w:tcPr>
            <w:tcW w:w="1857" w:type="dxa"/>
          </w:tcPr>
          <w:p w14:paraId="122E82E3" w14:textId="77777777" w:rsidR="008E67EA" w:rsidRPr="00DB6BC4" w:rsidRDefault="008E67EA" w:rsidP="00B44A74">
            <w:pPr>
              <w:spacing w:after="120" w:line="240" w:lineRule="exact"/>
              <w:rPr>
                <w:rFonts w:cs="Arial"/>
                <w:bCs/>
                <w:spacing w:val="-2"/>
                <w:w w:val="105"/>
                <w:szCs w:val="18"/>
              </w:rPr>
            </w:pPr>
            <w:r w:rsidRPr="00DB6BC4">
              <w:rPr>
                <w:rFonts w:cs="Arial"/>
                <w:bCs/>
                <w:spacing w:val="-2"/>
                <w:w w:val="105"/>
                <w:szCs w:val="18"/>
              </w:rPr>
              <w:t xml:space="preserve">In and around </w:t>
            </w:r>
            <w:r>
              <w:rPr>
                <w:rFonts w:cs="Arial"/>
                <w:bCs/>
                <w:spacing w:val="-2"/>
                <w:w w:val="105"/>
                <w:szCs w:val="18"/>
              </w:rPr>
              <w:t xml:space="preserve">(within 2 m) </w:t>
            </w:r>
            <w:r w:rsidRPr="00132BFD">
              <w:rPr>
                <w:rFonts w:cs="Arial"/>
                <w:bCs/>
                <w:spacing w:val="-2"/>
                <w:w w:val="105"/>
                <w:szCs w:val="18"/>
              </w:rPr>
              <w:t>agricultural, commercial, domestic and industrial buildings</w:t>
            </w:r>
          </w:p>
        </w:tc>
        <w:tc>
          <w:tcPr>
            <w:tcW w:w="1276" w:type="dxa"/>
          </w:tcPr>
          <w:p w14:paraId="1D60031A" w14:textId="77777777" w:rsidR="008E67EA" w:rsidRPr="00DB6BC4" w:rsidRDefault="008E67EA" w:rsidP="00B44A74">
            <w:pPr>
              <w:spacing w:after="120" w:line="240" w:lineRule="exact"/>
              <w:rPr>
                <w:rFonts w:cs="Arial"/>
                <w:bCs/>
                <w:spacing w:val="-2"/>
                <w:w w:val="105"/>
                <w:szCs w:val="18"/>
              </w:rPr>
            </w:pPr>
            <w:r w:rsidRPr="004F544F">
              <w:rPr>
                <w:rFonts w:cs="Arial"/>
                <w:bCs/>
                <w:spacing w:val="-2"/>
                <w:w w:val="105"/>
                <w:szCs w:val="18"/>
              </w:rPr>
              <w:t xml:space="preserve">Rats </w:t>
            </w:r>
            <w:r w:rsidRPr="004F544F">
              <w:rPr>
                <w:rFonts w:cs="Arial"/>
                <w:bCs/>
                <w:i/>
                <w:iCs/>
                <w:spacing w:val="-2"/>
                <w:w w:val="105"/>
                <w:szCs w:val="18"/>
              </w:rPr>
              <w:t>(Rattus rattus, Rattus norvegicus)</w:t>
            </w:r>
          </w:p>
        </w:tc>
        <w:tc>
          <w:tcPr>
            <w:tcW w:w="1134" w:type="dxa"/>
          </w:tcPr>
          <w:p w14:paraId="0763BE9C" w14:textId="77777777" w:rsidR="008E67EA" w:rsidRPr="00DB6BC4" w:rsidRDefault="008E67EA" w:rsidP="00B44A74">
            <w:pPr>
              <w:spacing w:after="120" w:line="240" w:lineRule="exact"/>
              <w:rPr>
                <w:rFonts w:cs="Arial"/>
                <w:bCs/>
                <w:spacing w:val="-2"/>
                <w:w w:val="105"/>
                <w:szCs w:val="18"/>
              </w:rPr>
            </w:pPr>
            <w:r>
              <w:rPr>
                <w:rFonts w:cs="Arial"/>
                <w:bCs/>
                <w:spacing w:val="-2"/>
                <w:w w:val="105"/>
                <w:szCs w:val="18"/>
              </w:rPr>
              <w:t>[as per current approved label]</w:t>
            </w:r>
          </w:p>
        </w:tc>
        <w:tc>
          <w:tcPr>
            <w:tcW w:w="4786" w:type="dxa"/>
            <w:vMerge w:val="restart"/>
          </w:tcPr>
          <w:p w14:paraId="18942910" w14:textId="77777777" w:rsidR="008E67EA" w:rsidRDefault="008E67EA" w:rsidP="00B44A74">
            <w:pPr>
              <w:spacing w:after="120" w:line="240" w:lineRule="exact"/>
              <w:rPr>
                <w:rFonts w:cs="Arial"/>
                <w:bCs/>
                <w:spacing w:val="-2"/>
                <w:w w:val="105"/>
                <w:szCs w:val="18"/>
              </w:rPr>
            </w:pPr>
            <w:r>
              <w:rPr>
                <w:rFonts w:cs="Arial"/>
                <w:bCs/>
                <w:spacing w:val="-2"/>
                <w:w w:val="105"/>
                <w:szCs w:val="18"/>
              </w:rPr>
              <w:t xml:space="preserve">Place bait stations with measured quantity of bait in the infested area. </w:t>
            </w:r>
            <w:r w:rsidRPr="00132BFD">
              <w:rPr>
                <w:rFonts w:cs="Arial"/>
                <w:bCs/>
                <w:spacing w:val="-2"/>
                <w:w w:val="105"/>
                <w:szCs w:val="18"/>
              </w:rPr>
              <w:t>Where droppings are seen, inside ceiling cavities, along runs are locations more probably frequented by rodents.</w:t>
            </w:r>
            <w:r>
              <w:rPr>
                <w:rFonts w:cs="Arial"/>
                <w:bCs/>
                <w:spacing w:val="-2"/>
                <w:w w:val="105"/>
                <w:szCs w:val="18"/>
              </w:rPr>
              <w:t xml:space="preserve"> </w:t>
            </w:r>
            <w:r w:rsidRPr="0062097B">
              <w:rPr>
                <w:rFonts w:cs="Arial"/>
                <w:bCs/>
                <w:spacing w:val="-2"/>
                <w:w w:val="105"/>
                <w:szCs w:val="18"/>
              </w:rPr>
              <w:t>DO NOT touch bait.</w:t>
            </w:r>
          </w:p>
          <w:p w14:paraId="06F7FBBF" w14:textId="77777777" w:rsidR="008E67EA" w:rsidRPr="00EC163C" w:rsidRDefault="008E67EA" w:rsidP="00B44A74">
            <w:pPr>
              <w:spacing w:after="120" w:line="240" w:lineRule="exact"/>
              <w:rPr>
                <w:rFonts w:cs="Arial"/>
                <w:bCs/>
                <w:spacing w:val="-2"/>
                <w:w w:val="105"/>
                <w:szCs w:val="18"/>
              </w:rPr>
            </w:pPr>
            <w:r w:rsidRPr="00EC163C">
              <w:rPr>
                <w:rFonts w:cs="Arial"/>
                <w:bCs/>
                <w:spacing w:val="-2"/>
                <w:w w:val="105"/>
                <w:szCs w:val="18"/>
              </w:rPr>
              <w:t>The feeding behaviour of rats and mice is slightly different. Rats feed in large quantities in few locations whereas mice are more erratic and tend to feed in different places at different times.</w:t>
            </w:r>
          </w:p>
          <w:p w14:paraId="728172F3" w14:textId="77777777" w:rsidR="008E67EA" w:rsidRPr="00AF79D7" w:rsidRDefault="008E67EA" w:rsidP="00B44A74">
            <w:pPr>
              <w:spacing w:after="120" w:line="240" w:lineRule="exact"/>
              <w:rPr>
                <w:rFonts w:cs="Arial"/>
                <w:bCs/>
                <w:spacing w:val="-2"/>
                <w:w w:val="105"/>
                <w:szCs w:val="18"/>
              </w:rPr>
            </w:pPr>
            <w:r w:rsidRPr="00EC163C">
              <w:rPr>
                <w:rFonts w:cs="Arial"/>
                <w:bCs/>
                <w:spacing w:val="-2"/>
                <w:w w:val="105"/>
                <w:szCs w:val="18"/>
              </w:rPr>
              <w:t>DO NOT exceed 9 m between bait stations for rats and 3 m for mice.</w:t>
            </w:r>
          </w:p>
        </w:tc>
      </w:tr>
      <w:tr w:rsidR="008E67EA" w:rsidRPr="00FF36BF" w14:paraId="04990FAB" w14:textId="77777777" w:rsidTr="00604F9D">
        <w:trPr>
          <w:trHeight w:val="1140"/>
        </w:trPr>
        <w:tc>
          <w:tcPr>
            <w:tcW w:w="1857" w:type="dxa"/>
          </w:tcPr>
          <w:p w14:paraId="568A5C3A" w14:textId="77777777" w:rsidR="008E67EA" w:rsidRPr="00DB6BC4" w:rsidRDefault="008E67EA" w:rsidP="00B44A74">
            <w:pPr>
              <w:spacing w:after="120" w:line="240" w:lineRule="exact"/>
              <w:rPr>
                <w:rFonts w:cs="Arial"/>
                <w:bCs/>
                <w:spacing w:val="-2"/>
                <w:w w:val="105"/>
                <w:szCs w:val="18"/>
              </w:rPr>
            </w:pPr>
            <w:r w:rsidRPr="007053EC">
              <w:rPr>
                <w:rFonts w:cs="Arial"/>
                <w:bCs/>
                <w:spacing w:val="-2"/>
                <w:w w:val="105"/>
                <w:szCs w:val="18"/>
              </w:rPr>
              <w:t xml:space="preserve">In </w:t>
            </w:r>
            <w:r w:rsidRPr="00132BFD">
              <w:rPr>
                <w:rFonts w:cs="Arial"/>
                <w:bCs/>
                <w:spacing w:val="-2"/>
                <w:w w:val="105"/>
                <w:szCs w:val="18"/>
              </w:rPr>
              <w:t>agricultural, commercial, domestic and industrial buildings</w:t>
            </w:r>
            <w:r>
              <w:rPr>
                <w:rFonts w:cs="Arial"/>
                <w:bCs/>
                <w:spacing w:val="-2"/>
                <w:w w:val="105"/>
                <w:szCs w:val="18"/>
              </w:rPr>
              <w:t>.</w:t>
            </w:r>
          </w:p>
        </w:tc>
        <w:tc>
          <w:tcPr>
            <w:tcW w:w="1276" w:type="dxa"/>
          </w:tcPr>
          <w:p w14:paraId="1500F484" w14:textId="77777777" w:rsidR="008E67EA" w:rsidRPr="00DB6BC4" w:rsidRDefault="008E67EA" w:rsidP="00B44A74">
            <w:pPr>
              <w:spacing w:after="120" w:line="240" w:lineRule="exact"/>
              <w:rPr>
                <w:rFonts w:cs="Arial"/>
                <w:bCs/>
                <w:spacing w:val="-2"/>
                <w:w w:val="105"/>
                <w:szCs w:val="18"/>
              </w:rPr>
            </w:pPr>
            <w:r w:rsidRPr="004F544F">
              <w:rPr>
                <w:rFonts w:cs="Arial"/>
                <w:bCs/>
                <w:spacing w:val="-2"/>
                <w:w w:val="105"/>
                <w:szCs w:val="18"/>
              </w:rPr>
              <w:t xml:space="preserve">Mice </w:t>
            </w:r>
            <w:r w:rsidRPr="004F544F">
              <w:rPr>
                <w:rFonts w:cs="Arial"/>
                <w:bCs/>
                <w:i/>
                <w:iCs/>
                <w:spacing w:val="-2"/>
                <w:w w:val="105"/>
                <w:szCs w:val="18"/>
              </w:rPr>
              <w:t>(Mus musculus)</w:t>
            </w:r>
          </w:p>
        </w:tc>
        <w:tc>
          <w:tcPr>
            <w:tcW w:w="1134" w:type="dxa"/>
          </w:tcPr>
          <w:p w14:paraId="60B11E74" w14:textId="77777777" w:rsidR="008E67EA" w:rsidRPr="00DB6BC4" w:rsidRDefault="008E67EA" w:rsidP="00B44A74">
            <w:pPr>
              <w:spacing w:after="120" w:line="240" w:lineRule="exact"/>
              <w:rPr>
                <w:rFonts w:cs="Arial"/>
                <w:bCs/>
                <w:spacing w:val="-2"/>
                <w:w w:val="105"/>
                <w:szCs w:val="18"/>
              </w:rPr>
            </w:pPr>
            <w:r>
              <w:rPr>
                <w:rFonts w:cs="Arial"/>
                <w:bCs/>
                <w:spacing w:val="-2"/>
                <w:w w:val="105"/>
                <w:szCs w:val="18"/>
              </w:rPr>
              <w:t>[as per current approved label]</w:t>
            </w:r>
          </w:p>
        </w:tc>
        <w:tc>
          <w:tcPr>
            <w:tcW w:w="4786" w:type="dxa"/>
            <w:vMerge/>
          </w:tcPr>
          <w:p w14:paraId="05EA3251" w14:textId="77777777" w:rsidR="008E67EA" w:rsidRPr="00AF79D7" w:rsidRDefault="008E67EA" w:rsidP="00B44A74">
            <w:pPr>
              <w:spacing w:after="120" w:line="240" w:lineRule="exact"/>
              <w:rPr>
                <w:rFonts w:cs="Arial"/>
                <w:bCs/>
                <w:spacing w:val="-2"/>
                <w:w w:val="105"/>
                <w:szCs w:val="18"/>
              </w:rPr>
            </w:pPr>
          </w:p>
        </w:tc>
      </w:tr>
    </w:tbl>
    <w:p w14:paraId="7EFAB61C" w14:textId="77777777" w:rsidR="008E67EA" w:rsidRDefault="008E67EA" w:rsidP="008E67EA">
      <w:pPr>
        <w:spacing w:before="240" w:line="280" w:lineRule="exact"/>
        <w:rPr>
          <w:rFonts w:cs="Arial"/>
          <w:b/>
          <w:bCs/>
          <w:sz w:val="20"/>
          <w:szCs w:val="20"/>
        </w:rPr>
      </w:pPr>
      <w:r>
        <w:rPr>
          <w:rFonts w:cs="Arial"/>
          <w:b/>
          <w:bCs/>
          <w:sz w:val="20"/>
          <w:szCs w:val="20"/>
        </w:rPr>
        <w:t>Baiting strategy</w:t>
      </w:r>
    </w:p>
    <w:p w14:paraId="732949B4" w14:textId="57DDFBB5" w:rsidR="008E67EA" w:rsidRDefault="008E67EA" w:rsidP="008E67EA">
      <w:pPr>
        <w:spacing w:line="280" w:lineRule="exact"/>
        <w:rPr>
          <w:rFonts w:cs="Arial"/>
          <w:sz w:val="20"/>
          <w:szCs w:val="20"/>
        </w:rPr>
      </w:pPr>
      <w:r w:rsidRPr="00EC163C">
        <w:rPr>
          <w:rFonts w:cs="Arial"/>
          <w:sz w:val="20"/>
          <w:szCs w:val="20"/>
        </w:rPr>
        <w:t>Eliminate as far as practicable all alternative food sources.</w:t>
      </w:r>
    </w:p>
    <w:p w14:paraId="11FD7036" w14:textId="77777777" w:rsidR="008E67EA" w:rsidRPr="00D42DB3" w:rsidRDefault="008E67EA" w:rsidP="008E67EA">
      <w:pPr>
        <w:spacing w:line="280" w:lineRule="exact"/>
        <w:rPr>
          <w:rFonts w:eastAsia="Calibri" w:cs="Arial"/>
          <w:sz w:val="20"/>
          <w:szCs w:val="20"/>
          <w:bdr w:val="none" w:sz="0" w:space="0" w:color="auto" w:frame="1"/>
          <w:lang w:val="en-GB" w:eastAsia="en-AU"/>
        </w:rPr>
      </w:pPr>
      <w:r w:rsidRPr="00D42DB3">
        <w:rPr>
          <w:rFonts w:eastAsia="Calibri" w:cs="Arial"/>
          <w:sz w:val="20"/>
          <w:szCs w:val="20"/>
          <w:bdr w:val="none" w:sz="0" w:space="0" w:color="auto" w:frame="1"/>
          <w:lang w:val="en-GB" w:eastAsia="en-AU"/>
        </w:rPr>
        <w:t>Survey site prior to treatment, including assessment of the extent of infestation and identification of any indications of the presence of non-target animals.</w:t>
      </w:r>
      <w:r w:rsidRPr="005C7493">
        <w:rPr>
          <w:rFonts w:eastAsia="Calibri" w:cs="Arial"/>
          <w:sz w:val="20"/>
          <w:szCs w:val="20"/>
          <w:bdr w:val="none" w:sz="0" w:space="0" w:color="auto" w:frame="1"/>
          <w:lang w:val="en-GB" w:eastAsia="en-AU"/>
        </w:rPr>
        <w:t xml:space="preserve"> </w:t>
      </w:r>
      <w:r w:rsidRPr="00F900AC">
        <w:rPr>
          <w:rFonts w:cs="Arial"/>
          <w:sz w:val="20"/>
          <w:szCs w:val="20"/>
        </w:rPr>
        <w:t>Record the number and locations of bait stations for the purpose of inspection, replacement and later removal.</w:t>
      </w:r>
    </w:p>
    <w:p w14:paraId="42C677CC" w14:textId="77777777" w:rsidR="008E67EA" w:rsidRPr="00EC163C" w:rsidRDefault="008E67EA" w:rsidP="008E67EA">
      <w:pPr>
        <w:spacing w:line="280" w:lineRule="exact"/>
        <w:rPr>
          <w:rFonts w:cs="Arial"/>
          <w:sz w:val="20"/>
          <w:szCs w:val="20"/>
        </w:rPr>
      </w:pPr>
      <w:r w:rsidRPr="00EC163C">
        <w:rPr>
          <w:rFonts w:cs="Arial"/>
          <w:sz w:val="20"/>
          <w:szCs w:val="20"/>
        </w:rPr>
        <w:t>Inspect bait stations after 3 days. Replace eaten baits. Where a high level of consumption is noticed, place more baits. Remove baits in new locations where there has been no take. Inspect again 3 days later and then once a week until feeding ceases. Normally treatment takes 2 to 3 weeks.</w:t>
      </w:r>
    </w:p>
    <w:p w14:paraId="52EE9F15" w14:textId="77777777" w:rsidR="008E67EA" w:rsidRPr="00EC163C" w:rsidRDefault="008E67EA" w:rsidP="008E67EA">
      <w:pPr>
        <w:spacing w:line="280" w:lineRule="exact"/>
        <w:rPr>
          <w:rFonts w:eastAsia="Calibri" w:cs="Arial"/>
          <w:sz w:val="20"/>
          <w:szCs w:val="20"/>
          <w:bdr w:val="none" w:sz="0" w:space="0" w:color="auto" w:frame="1"/>
          <w:lang w:val="en-GB" w:eastAsia="en-AU"/>
        </w:rPr>
      </w:pPr>
      <w:r w:rsidRPr="00EC163C">
        <w:rPr>
          <w:rFonts w:eastAsia="Calibri" w:cs="Arial"/>
          <w:sz w:val="20"/>
          <w:szCs w:val="20"/>
          <w:bdr w:val="none" w:sz="0" w:space="0" w:color="auto" w:frame="1"/>
          <w:lang w:val="en-GB" w:eastAsia="en-AU"/>
        </w:rPr>
        <w:t xml:space="preserve">DO NOT use the product beyond 35 days without an evaluation of the state of the infestation and of the efficacy of the treatment. </w:t>
      </w:r>
      <w:r w:rsidRPr="00EC163C">
        <w:rPr>
          <w:rFonts w:cs="Arial"/>
          <w:sz w:val="20"/>
          <w:szCs w:val="20"/>
        </w:rPr>
        <w:t xml:space="preserve">Extended use should not be necessary and is not recommended because of possible resistance development and secondary poisoning of rodent predators such as owls. </w:t>
      </w:r>
      <w:r w:rsidRPr="00EC163C">
        <w:rPr>
          <w:rFonts w:eastAsia="Calibri" w:cs="Arial"/>
          <w:sz w:val="20"/>
          <w:szCs w:val="20"/>
          <w:bdr w:val="none" w:sz="0" w:space="0" w:color="auto" w:frame="1"/>
          <w:lang w:val="en-GB" w:eastAsia="en-AU"/>
        </w:rPr>
        <w:t>Remove all uneaten bait at the end of treatment.</w:t>
      </w:r>
    </w:p>
    <w:p w14:paraId="2759B788" w14:textId="77777777" w:rsidR="008E67EA" w:rsidRDefault="008E67EA" w:rsidP="008E67EA">
      <w:pPr>
        <w:spacing w:line="280" w:lineRule="exact"/>
        <w:rPr>
          <w:rFonts w:cs="Arial"/>
          <w:sz w:val="20"/>
          <w:szCs w:val="20"/>
        </w:rPr>
      </w:pPr>
      <w:r w:rsidRPr="00EC163C">
        <w:rPr>
          <w:rFonts w:cs="Arial"/>
          <w:sz w:val="20"/>
          <w:szCs w:val="20"/>
        </w:rPr>
        <w:t>If reinfestation should occur, you can repeat treatment once. For further treatments, it is strongly advised to alternate with a product containing a different active constituent to avoid the development of genetic resistance.</w:t>
      </w:r>
    </w:p>
    <w:p w14:paraId="78953556" w14:textId="77777777" w:rsidR="00604F9D" w:rsidRDefault="008E67EA" w:rsidP="00604F9D">
      <w:pPr>
        <w:spacing w:line="280" w:lineRule="exact"/>
        <w:rPr>
          <w:rFonts w:cs="Arial"/>
          <w:b/>
          <w:bCs/>
          <w:sz w:val="20"/>
          <w:szCs w:val="20"/>
        </w:rPr>
      </w:pPr>
      <w:r w:rsidRPr="00FF36BF">
        <w:rPr>
          <w:rFonts w:cs="Arial"/>
          <w:b/>
          <w:bCs/>
          <w:sz w:val="20"/>
          <w:szCs w:val="20"/>
        </w:rPr>
        <w:t>NOT TO BE USED FOR ANY PURPOSE, OR IN ANY MANNER, CONTRARY TO THIS LABEL UNLESS AUTHORISED UNDER APPROPRIATE LEGISLATION.</w:t>
      </w:r>
      <w:r w:rsidR="00604F9D">
        <w:rPr>
          <w:rFonts w:cs="Arial"/>
          <w:b/>
          <w:bCs/>
          <w:sz w:val="20"/>
          <w:szCs w:val="20"/>
        </w:rPr>
        <w:br w:type="page"/>
      </w:r>
    </w:p>
    <w:p w14:paraId="423E0A57" w14:textId="4D956D76" w:rsidR="008E67EA" w:rsidRDefault="008E67EA" w:rsidP="00604F9D">
      <w:pPr>
        <w:spacing w:line="280" w:lineRule="exact"/>
        <w:rPr>
          <w:rFonts w:ascii="Franklin Gothic Medium" w:eastAsia="Arial Unicode MS" w:hAnsi="Franklin Gothic Medium"/>
          <w:bCs/>
          <w:iCs/>
          <w:bdr w:val="none" w:sz="0" w:space="0" w:color="auto" w:frame="1"/>
          <w:lang w:val="en-GB" w:eastAsia="en-AU"/>
        </w:rPr>
      </w:pPr>
      <w:r w:rsidRPr="00FF36BF">
        <w:rPr>
          <w:rFonts w:ascii="Franklin Gothic Medium" w:eastAsia="Arial Unicode MS" w:hAnsi="Franklin Gothic Medium"/>
          <w:bCs/>
          <w:iCs/>
          <w:bdr w:val="none" w:sz="0" w:space="0" w:color="auto" w:frame="1"/>
          <w:lang w:val="en-GB" w:eastAsia="en-AU"/>
        </w:rPr>
        <w:lastRenderedPageBreak/>
        <w:t>Commercial</w:t>
      </w:r>
      <w:r>
        <w:rPr>
          <w:rFonts w:ascii="Franklin Gothic Medium" w:eastAsia="Arial Unicode MS" w:hAnsi="Franklin Gothic Medium"/>
          <w:bCs/>
          <w:iCs/>
          <w:bdr w:val="none" w:sz="0" w:space="0" w:color="auto" w:frame="1"/>
          <w:lang w:val="en-GB" w:eastAsia="en-AU"/>
        </w:rPr>
        <w:t xml:space="preserve"> pest-control product:</w:t>
      </w:r>
      <w:r w:rsidRPr="00FF36BF">
        <w:rPr>
          <w:rFonts w:ascii="Franklin Gothic Medium" w:eastAsia="Arial Unicode MS" w:hAnsi="Franklin Gothic Medium"/>
          <w:bCs/>
          <w:iCs/>
          <w:bdr w:val="none" w:sz="0" w:space="0" w:color="auto" w:frame="1"/>
          <w:lang w:val="en-GB" w:eastAsia="en-AU"/>
        </w:rPr>
        <w:t xml:space="preserve"> </w:t>
      </w:r>
      <w:r w:rsidRPr="00DA343B">
        <w:rPr>
          <w:rFonts w:ascii="Franklin Gothic Medium" w:eastAsia="Arial Unicode MS" w:hAnsi="Franklin Gothic Medium"/>
          <w:bCs/>
          <w:iCs/>
          <w:bdr w:val="none" w:sz="0" w:space="0" w:color="auto" w:frame="1"/>
          <w:lang w:val="en-GB" w:eastAsia="en-AU"/>
        </w:rPr>
        <w:t>RB 0.025 g/kg or less in sachet or place pack</w:t>
      </w:r>
    </w:p>
    <w:p w14:paraId="611F86CB" w14:textId="77777777" w:rsidR="008E67EA" w:rsidRPr="00FE2E3F"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t xml:space="preserve">Template Label </w:t>
      </w:r>
      <w:r>
        <w:rPr>
          <w:rFonts w:cs="Arial"/>
          <w:b/>
          <w:bCs/>
          <w:sz w:val="20"/>
          <w:szCs w:val="20"/>
          <w:bdr w:val="none" w:sz="0" w:space="0" w:color="auto" w:frame="1"/>
          <w:lang w:val="en-GB" w:eastAsia="en-AU"/>
        </w:rPr>
        <w:t>26</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2B5B5B" w14:paraId="6C5F8A79"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182F5C3" w14:textId="77777777" w:rsidR="008E67EA" w:rsidRPr="00F5215F" w:rsidRDefault="008E67EA" w:rsidP="00B44A74">
            <w:pPr>
              <w:spacing w:line="280" w:lineRule="exact"/>
              <w:rPr>
                <w:rFonts w:cs="Arial"/>
                <w:sz w:val="20"/>
                <w:szCs w:val="20"/>
              </w:rPr>
            </w:pPr>
            <w:r w:rsidRPr="00F5215F">
              <w:rPr>
                <w:rFonts w:cs="Arial"/>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681AEF69" w14:textId="77777777" w:rsidR="008E67EA" w:rsidRPr="0015462A" w:rsidRDefault="008E67EA" w:rsidP="00B44A74">
            <w:pPr>
              <w:spacing w:line="280" w:lineRule="exact"/>
              <w:rPr>
                <w:rFonts w:cs="Arial"/>
                <w:sz w:val="20"/>
                <w:szCs w:val="20"/>
              </w:rPr>
            </w:pPr>
            <w:r w:rsidRPr="0015462A">
              <w:rPr>
                <w:rFonts w:cs="Arial"/>
                <w:sz w:val="20"/>
                <w:szCs w:val="20"/>
              </w:rPr>
              <w:t>[INSERT LABEL NAME]</w:t>
            </w:r>
          </w:p>
        </w:tc>
      </w:tr>
      <w:tr w:rsidR="008E67EA" w:rsidRPr="002B5B5B" w14:paraId="18061308" w14:textId="77777777" w:rsidTr="00B44A74">
        <w:trPr>
          <w:jc w:val="center"/>
        </w:trPr>
        <w:tc>
          <w:tcPr>
            <w:tcW w:w="2415" w:type="dxa"/>
            <w:tcBorders>
              <w:top w:val="single" w:sz="4" w:space="0" w:color="auto"/>
              <w:left w:val="nil"/>
              <w:bottom w:val="single" w:sz="4" w:space="0" w:color="auto"/>
              <w:right w:val="nil"/>
            </w:tcBorders>
          </w:tcPr>
          <w:p w14:paraId="28504369"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A36EBF0" w14:textId="77777777" w:rsidR="008E67EA" w:rsidRPr="0015462A" w:rsidRDefault="008E67EA" w:rsidP="00B44A74">
            <w:pPr>
              <w:spacing w:line="280" w:lineRule="exact"/>
              <w:rPr>
                <w:rFonts w:cs="Arial"/>
                <w:sz w:val="20"/>
                <w:szCs w:val="20"/>
              </w:rPr>
            </w:pPr>
          </w:p>
        </w:tc>
      </w:tr>
      <w:tr w:rsidR="008E67EA" w:rsidRPr="002B5B5B" w14:paraId="1F866AB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C14E044" w14:textId="77777777" w:rsidR="008E67EA" w:rsidRPr="00F5215F" w:rsidRDefault="008E67EA" w:rsidP="00B44A74">
            <w:pPr>
              <w:spacing w:line="280" w:lineRule="exact"/>
              <w:rPr>
                <w:rFonts w:cs="Arial"/>
                <w:sz w:val="20"/>
                <w:szCs w:val="20"/>
              </w:rPr>
            </w:pPr>
            <w:r w:rsidRPr="00F5215F">
              <w:rPr>
                <w:rFonts w:cs="Arial"/>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07EC59B0" w14:textId="77777777" w:rsidR="008E67EA" w:rsidRPr="00397786" w:rsidRDefault="008E67EA" w:rsidP="00B44A74">
            <w:pPr>
              <w:spacing w:line="280" w:lineRule="exact"/>
              <w:rPr>
                <w:rFonts w:cs="Arial"/>
                <w:sz w:val="20"/>
                <w:szCs w:val="20"/>
              </w:rPr>
            </w:pPr>
            <w:r w:rsidRPr="00397786">
              <w:rPr>
                <w:rFonts w:cs="Arial"/>
                <w:sz w:val="20"/>
                <w:szCs w:val="20"/>
              </w:rPr>
              <w:t>POISON</w:t>
            </w:r>
          </w:p>
          <w:p w14:paraId="11396545" w14:textId="77777777" w:rsidR="008E67EA" w:rsidRPr="00397786" w:rsidRDefault="008E67EA" w:rsidP="00B44A74">
            <w:pPr>
              <w:spacing w:line="280" w:lineRule="exact"/>
              <w:rPr>
                <w:rFonts w:cs="Arial"/>
                <w:sz w:val="20"/>
                <w:szCs w:val="20"/>
              </w:rPr>
            </w:pPr>
            <w:r w:rsidRPr="00397786">
              <w:rPr>
                <w:rFonts w:cs="Arial"/>
                <w:sz w:val="20"/>
                <w:szCs w:val="20"/>
              </w:rPr>
              <w:t>KEEP OUT OF REACH OF CHILDREN</w:t>
            </w:r>
          </w:p>
          <w:p w14:paraId="61EEC19C" w14:textId="77777777" w:rsidR="008E67EA" w:rsidRPr="0015462A" w:rsidRDefault="008E67EA" w:rsidP="00B44A74">
            <w:pPr>
              <w:spacing w:line="280" w:lineRule="exact"/>
              <w:rPr>
                <w:rFonts w:cs="Arial"/>
                <w:sz w:val="20"/>
                <w:szCs w:val="20"/>
              </w:rPr>
            </w:pPr>
            <w:r w:rsidRPr="00397786">
              <w:rPr>
                <w:rFonts w:cs="Arial"/>
                <w:sz w:val="20"/>
                <w:szCs w:val="20"/>
              </w:rPr>
              <w:t>READ SAFETY DIRECIONS BEFORE OPENING OR USING</w:t>
            </w:r>
          </w:p>
        </w:tc>
      </w:tr>
      <w:tr w:rsidR="008E67EA" w:rsidRPr="002B5B5B" w14:paraId="79747D11" w14:textId="77777777" w:rsidTr="00B44A74">
        <w:trPr>
          <w:jc w:val="center"/>
        </w:trPr>
        <w:tc>
          <w:tcPr>
            <w:tcW w:w="2415" w:type="dxa"/>
            <w:tcBorders>
              <w:top w:val="single" w:sz="4" w:space="0" w:color="auto"/>
              <w:left w:val="nil"/>
              <w:bottom w:val="single" w:sz="4" w:space="0" w:color="auto"/>
              <w:right w:val="nil"/>
            </w:tcBorders>
          </w:tcPr>
          <w:p w14:paraId="02B7ED29"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511DDBD" w14:textId="77777777" w:rsidR="008E67EA" w:rsidRPr="0015462A" w:rsidRDefault="008E67EA" w:rsidP="00B44A74">
            <w:pPr>
              <w:spacing w:line="280" w:lineRule="exact"/>
              <w:rPr>
                <w:rFonts w:cs="Arial"/>
                <w:sz w:val="20"/>
                <w:szCs w:val="20"/>
              </w:rPr>
            </w:pPr>
          </w:p>
        </w:tc>
      </w:tr>
      <w:tr w:rsidR="008E67EA" w:rsidRPr="002B5B5B" w14:paraId="1551E7C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4EEEB1E" w14:textId="77777777" w:rsidR="008E67EA" w:rsidRPr="00F5215F" w:rsidRDefault="008E67EA" w:rsidP="00B44A74">
            <w:pPr>
              <w:spacing w:line="280" w:lineRule="exact"/>
              <w:rPr>
                <w:rFonts w:cs="Arial"/>
                <w:sz w:val="20"/>
                <w:szCs w:val="20"/>
              </w:rPr>
            </w:pPr>
            <w:r w:rsidRPr="00F5215F">
              <w:rPr>
                <w:rFonts w:cs="Arial"/>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5CBE8DC7" w14:textId="77777777" w:rsidR="008E67EA" w:rsidRPr="00397786" w:rsidRDefault="008E67EA" w:rsidP="00B44A74">
            <w:pPr>
              <w:spacing w:line="280" w:lineRule="exact"/>
              <w:rPr>
                <w:rFonts w:cs="Arial"/>
                <w:sz w:val="20"/>
                <w:szCs w:val="20"/>
              </w:rPr>
            </w:pPr>
            <w:r w:rsidRPr="00397786">
              <w:rPr>
                <w:rFonts w:cs="Arial"/>
                <w:sz w:val="20"/>
                <w:szCs w:val="20"/>
              </w:rPr>
              <w:t>ACTIVE CONSTITUENT: 0.025 g/kg DIFETHIALONE</w:t>
            </w:r>
          </w:p>
        </w:tc>
      </w:tr>
      <w:tr w:rsidR="008E67EA" w:rsidRPr="002B5B5B" w14:paraId="223E3C5E" w14:textId="77777777" w:rsidTr="00B44A74">
        <w:trPr>
          <w:jc w:val="center"/>
        </w:trPr>
        <w:tc>
          <w:tcPr>
            <w:tcW w:w="2415" w:type="dxa"/>
            <w:tcBorders>
              <w:top w:val="single" w:sz="4" w:space="0" w:color="auto"/>
              <w:left w:val="nil"/>
              <w:bottom w:val="single" w:sz="4" w:space="0" w:color="auto"/>
              <w:right w:val="nil"/>
            </w:tcBorders>
          </w:tcPr>
          <w:p w14:paraId="0234B680"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B4A08BE" w14:textId="77777777" w:rsidR="008E67EA" w:rsidRPr="0015462A" w:rsidRDefault="008E67EA" w:rsidP="00B44A74">
            <w:pPr>
              <w:spacing w:line="280" w:lineRule="exact"/>
              <w:rPr>
                <w:rFonts w:cs="Arial"/>
                <w:sz w:val="20"/>
                <w:szCs w:val="20"/>
              </w:rPr>
            </w:pPr>
          </w:p>
        </w:tc>
      </w:tr>
      <w:tr w:rsidR="008E67EA" w:rsidRPr="00994236" w14:paraId="7FEF4A6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89E9660" w14:textId="77777777" w:rsidR="008E67EA" w:rsidRPr="00F5215F" w:rsidRDefault="008E67EA" w:rsidP="00B44A74">
            <w:pPr>
              <w:spacing w:line="280" w:lineRule="exact"/>
              <w:rPr>
                <w:rFonts w:cs="Arial"/>
                <w:sz w:val="20"/>
                <w:szCs w:val="20"/>
              </w:rPr>
            </w:pPr>
            <w:r w:rsidRPr="00F5215F">
              <w:rPr>
                <w:rFonts w:cs="Arial"/>
                <w:sz w:val="20"/>
                <w:szCs w:val="20"/>
              </w:rPr>
              <w:t>Mode of Action:</w:t>
            </w:r>
          </w:p>
        </w:tc>
        <w:tc>
          <w:tcPr>
            <w:tcW w:w="7755" w:type="dxa"/>
            <w:tcBorders>
              <w:top w:val="single" w:sz="4" w:space="0" w:color="auto"/>
              <w:left w:val="single" w:sz="4" w:space="0" w:color="auto"/>
              <w:bottom w:val="single" w:sz="4" w:space="0" w:color="auto"/>
              <w:right w:val="single" w:sz="4" w:space="0" w:color="auto"/>
            </w:tcBorders>
          </w:tcPr>
          <w:p w14:paraId="06FBAB82" w14:textId="77777777" w:rsidR="008E67EA" w:rsidRPr="0015462A" w:rsidRDefault="008E67EA" w:rsidP="00B44A74">
            <w:pPr>
              <w:spacing w:line="280" w:lineRule="exact"/>
              <w:jc w:val="both"/>
              <w:rPr>
                <w:rFonts w:cs="Arial"/>
                <w:sz w:val="20"/>
                <w:szCs w:val="20"/>
              </w:rPr>
            </w:pPr>
          </w:p>
        </w:tc>
      </w:tr>
      <w:tr w:rsidR="008E67EA" w:rsidRPr="002B5B5B" w14:paraId="34D256F0" w14:textId="77777777" w:rsidTr="00B44A74">
        <w:trPr>
          <w:jc w:val="center"/>
        </w:trPr>
        <w:tc>
          <w:tcPr>
            <w:tcW w:w="2415" w:type="dxa"/>
            <w:tcBorders>
              <w:top w:val="single" w:sz="4" w:space="0" w:color="auto"/>
              <w:left w:val="nil"/>
              <w:bottom w:val="single" w:sz="4" w:space="0" w:color="auto"/>
              <w:right w:val="nil"/>
            </w:tcBorders>
          </w:tcPr>
          <w:p w14:paraId="1A0649C1"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E484029" w14:textId="77777777" w:rsidR="008E67EA" w:rsidRPr="0015462A" w:rsidRDefault="008E67EA" w:rsidP="00B44A74">
            <w:pPr>
              <w:spacing w:line="280" w:lineRule="exact"/>
              <w:rPr>
                <w:rFonts w:cs="Arial"/>
                <w:sz w:val="20"/>
                <w:szCs w:val="20"/>
              </w:rPr>
            </w:pPr>
          </w:p>
        </w:tc>
      </w:tr>
      <w:tr w:rsidR="008E67EA" w:rsidRPr="002B5B5B" w14:paraId="2A155A8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45DFA5A" w14:textId="77777777" w:rsidR="008E67EA" w:rsidRPr="00F5215F" w:rsidRDefault="008E67EA" w:rsidP="00B44A74">
            <w:pPr>
              <w:spacing w:line="280" w:lineRule="exact"/>
              <w:rPr>
                <w:rFonts w:cs="Arial"/>
                <w:sz w:val="20"/>
                <w:szCs w:val="20"/>
              </w:rPr>
            </w:pPr>
            <w:r w:rsidRPr="00F5215F">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2459F4E9" w14:textId="77777777" w:rsidR="008E67EA" w:rsidRPr="00397786" w:rsidRDefault="008E67EA" w:rsidP="00B44A74">
            <w:pPr>
              <w:spacing w:line="280" w:lineRule="exact"/>
              <w:rPr>
                <w:rFonts w:cs="Arial"/>
                <w:sz w:val="20"/>
                <w:szCs w:val="20"/>
              </w:rPr>
            </w:pPr>
            <w:r w:rsidRPr="00397786">
              <w:rPr>
                <w:rFonts w:cs="Arial"/>
                <w:sz w:val="20"/>
                <w:szCs w:val="20"/>
              </w:rPr>
              <w:t>For control of mice in industrial, commercial, agricultural and domestic buildings and for control of rats in and around industrial, commercial, agricultural and domestic buildings and</w:t>
            </w:r>
            <w:r>
              <w:rPr>
                <w:rFonts w:cs="Arial"/>
                <w:sz w:val="20"/>
                <w:szCs w:val="20"/>
              </w:rPr>
              <w:t xml:space="preserve"> control of mice and rats</w:t>
            </w:r>
            <w:r w:rsidRPr="00397786">
              <w:rPr>
                <w:rFonts w:cs="Arial"/>
                <w:sz w:val="20"/>
                <w:szCs w:val="20"/>
              </w:rPr>
              <w:t xml:space="preserve"> in sewers.</w:t>
            </w:r>
          </w:p>
        </w:tc>
      </w:tr>
      <w:tr w:rsidR="008E67EA" w:rsidRPr="002B5B5B" w14:paraId="6AFAE04E" w14:textId="77777777" w:rsidTr="00B44A74">
        <w:trPr>
          <w:jc w:val="center"/>
        </w:trPr>
        <w:tc>
          <w:tcPr>
            <w:tcW w:w="2415" w:type="dxa"/>
            <w:tcBorders>
              <w:top w:val="single" w:sz="4" w:space="0" w:color="auto"/>
              <w:left w:val="nil"/>
              <w:bottom w:val="single" w:sz="4" w:space="0" w:color="auto"/>
              <w:right w:val="nil"/>
            </w:tcBorders>
          </w:tcPr>
          <w:p w14:paraId="103F86C7"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0223291" w14:textId="77777777" w:rsidR="008E67EA" w:rsidRPr="0015462A" w:rsidRDefault="008E67EA" w:rsidP="00B44A74">
            <w:pPr>
              <w:spacing w:line="280" w:lineRule="exact"/>
              <w:rPr>
                <w:rFonts w:cs="Arial"/>
                <w:sz w:val="20"/>
                <w:szCs w:val="20"/>
              </w:rPr>
            </w:pPr>
          </w:p>
        </w:tc>
      </w:tr>
      <w:tr w:rsidR="008E67EA" w:rsidRPr="002B5B5B" w14:paraId="34B7134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57C0573" w14:textId="77777777" w:rsidR="008E67EA" w:rsidRPr="00F5215F" w:rsidRDefault="008E67EA" w:rsidP="00B44A74">
            <w:pPr>
              <w:spacing w:line="280" w:lineRule="exact"/>
              <w:rPr>
                <w:rFonts w:cs="Arial"/>
                <w:sz w:val="20"/>
                <w:szCs w:val="20"/>
              </w:rPr>
            </w:pPr>
            <w:r w:rsidRPr="00F5215F">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71E9E304" w14:textId="77777777" w:rsidR="008E67EA" w:rsidRPr="00FC1834" w:rsidRDefault="008E67EA" w:rsidP="00B44A74">
            <w:pPr>
              <w:spacing w:line="280" w:lineRule="exact"/>
              <w:rPr>
                <w:rFonts w:cs="Arial"/>
                <w:sz w:val="20"/>
                <w:szCs w:val="20"/>
              </w:rPr>
            </w:pPr>
            <w:r w:rsidRPr="0015462A">
              <w:rPr>
                <w:rFonts w:cs="Arial"/>
                <w:sz w:val="20"/>
                <w:szCs w:val="20"/>
              </w:rPr>
              <w:t xml:space="preserve">[INSERT </w:t>
            </w:r>
            <w:r>
              <w:rPr>
                <w:rFonts w:cs="Arial"/>
                <w:sz w:val="20"/>
                <w:szCs w:val="20"/>
              </w:rPr>
              <w:t>NET CONTENTS</w:t>
            </w:r>
            <w:r w:rsidRPr="0015462A">
              <w:rPr>
                <w:rFonts w:cs="Arial"/>
                <w:sz w:val="20"/>
                <w:szCs w:val="20"/>
              </w:rPr>
              <w:t>]</w:t>
            </w:r>
          </w:p>
        </w:tc>
      </w:tr>
      <w:tr w:rsidR="008E67EA" w:rsidRPr="002B5B5B" w14:paraId="4D3799E9" w14:textId="77777777" w:rsidTr="00B44A74">
        <w:trPr>
          <w:jc w:val="center"/>
        </w:trPr>
        <w:tc>
          <w:tcPr>
            <w:tcW w:w="2415" w:type="dxa"/>
            <w:tcBorders>
              <w:top w:val="single" w:sz="4" w:space="0" w:color="auto"/>
              <w:left w:val="nil"/>
              <w:bottom w:val="single" w:sz="4" w:space="0" w:color="auto"/>
              <w:right w:val="nil"/>
            </w:tcBorders>
          </w:tcPr>
          <w:p w14:paraId="6E6B6A53"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9DAE2B2" w14:textId="77777777" w:rsidR="008E67EA" w:rsidRPr="002B5B5B" w:rsidRDefault="008E67EA" w:rsidP="00B44A74">
            <w:pPr>
              <w:spacing w:line="280" w:lineRule="exact"/>
              <w:rPr>
                <w:rFonts w:cs="Arial"/>
                <w:sz w:val="20"/>
                <w:szCs w:val="20"/>
              </w:rPr>
            </w:pPr>
          </w:p>
        </w:tc>
      </w:tr>
      <w:tr w:rsidR="008E67EA" w:rsidRPr="002B5B5B" w14:paraId="1654F10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91851EA" w14:textId="77777777" w:rsidR="008E67EA" w:rsidRPr="00F5215F" w:rsidRDefault="008E67EA" w:rsidP="00B44A74">
            <w:pPr>
              <w:spacing w:line="280" w:lineRule="exact"/>
              <w:rPr>
                <w:rFonts w:cs="Arial"/>
                <w:sz w:val="20"/>
                <w:szCs w:val="20"/>
              </w:rPr>
            </w:pPr>
            <w:r w:rsidRPr="00F5215F">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650B68C7" w14:textId="77777777" w:rsidR="008E67EA" w:rsidRDefault="008E67EA" w:rsidP="00B44A74">
            <w:pPr>
              <w:spacing w:line="280" w:lineRule="exact"/>
              <w:rPr>
                <w:rFonts w:cs="Arial"/>
                <w:sz w:val="20"/>
                <w:szCs w:val="20"/>
              </w:rPr>
            </w:pPr>
            <w:r>
              <w:rPr>
                <w:rFonts w:cs="Arial"/>
                <w:sz w:val="20"/>
                <w:szCs w:val="20"/>
              </w:rPr>
              <w:t>RESTRAINTS</w:t>
            </w:r>
          </w:p>
          <w:p w14:paraId="01BF9448" w14:textId="77777777" w:rsidR="008E67EA" w:rsidRPr="00397786" w:rsidRDefault="008E67EA" w:rsidP="00B44A74">
            <w:pPr>
              <w:spacing w:line="280" w:lineRule="exact"/>
              <w:rPr>
                <w:rFonts w:cs="Arial"/>
                <w:sz w:val="20"/>
                <w:szCs w:val="20"/>
              </w:rPr>
            </w:pPr>
            <w:r w:rsidRPr="00397786">
              <w:rPr>
                <w:rFonts w:cs="Arial"/>
                <w:sz w:val="20"/>
                <w:szCs w:val="20"/>
              </w:rPr>
              <w:t>DO NOT use this product unless you have a current qualification in the nationally recognised training course for rodent pest management CPPUPM3006 - Manage pests by applying pesticides, or an equivalent unit of competency.</w:t>
            </w:r>
          </w:p>
          <w:p w14:paraId="2DA8368B" w14:textId="77777777" w:rsidR="008E67EA" w:rsidRPr="00397786" w:rsidRDefault="008E67EA" w:rsidP="00B44A74">
            <w:pPr>
              <w:spacing w:line="280" w:lineRule="exact"/>
              <w:rPr>
                <w:rFonts w:cs="Arial"/>
                <w:sz w:val="20"/>
                <w:szCs w:val="20"/>
              </w:rPr>
            </w:pPr>
            <w:r w:rsidRPr="00397786">
              <w:rPr>
                <w:rFonts w:cs="Arial"/>
                <w:sz w:val="20"/>
                <w:szCs w:val="20"/>
              </w:rPr>
              <w:t>DO NOT place baits in areas that are accessible to children. In child-accessible areas baits must be placed in tamper-</w:t>
            </w:r>
            <w:r>
              <w:rPr>
                <w:rFonts w:cs="Arial"/>
                <w:sz w:val="20"/>
                <w:szCs w:val="20"/>
              </w:rPr>
              <w:t>resistant</w:t>
            </w:r>
            <w:r w:rsidRPr="00397786">
              <w:rPr>
                <w:rFonts w:cs="Arial"/>
                <w:sz w:val="20"/>
                <w:szCs w:val="20"/>
              </w:rPr>
              <w:t xml:space="preserve"> bait stations. If bait can be dislodged from bait station, bait station must be secured in place. </w:t>
            </w:r>
          </w:p>
          <w:p w14:paraId="294148AB" w14:textId="77777777" w:rsidR="008E67EA" w:rsidRPr="00397786" w:rsidRDefault="008E67EA" w:rsidP="00B44A74">
            <w:pPr>
              <w:spacing w:line="280" w:lineRule="exact"/>
              <w:rPr>
                <w:rFonts w:cs="Arial"/>
                <w:sz w:val="20"/>
                <w:szCs w:val="20"/>
              </w:rPr>
            </w:pPr>
            <w:r w:rsidRPr="00397786">
              <w:rPr>
                <w:rFonts w:cs="Arial"/>
                <w:sz w:val="20"/>
                <w:szCs w:val="20"/>
              </w:rPr>
              <w:t>DO NOT place bait outdoors unless it is in a tamper-</w:t>
            </w:r>
            <w:r>
              <w:rPr>
                <w:rFonts w:cs="Arial"/>
                <w:sz w:val="20"/>
                <w:szCs w:val="20"/>
              </w:rPr>
              <w:t>resistant</w:t>
            </w:r>
            <w:r w:rsidRPr="00397786">
              <w:rPr>
                <w:rFonts w:cs="Arial"/>
                <w:sz w:val="20"/>
                <w:szCs w:val="20"/>
              </w:rPr>
              <w:t xml:space="preserve"> bait station which is secured in place.</w:t>
            </w:r>
          </w:p>
          <w:p w14:paraId="488D8E41" w14:textId="77777777" w:rsidR="008E67EA" w:rsidRPr="00397786" w:rsidRDefault="008E67EA" w:rsidP="00B44A74">
            <w:pPr>
              <w:spacing w:line="280" w:lineRule="exact"/>
              <w:rPr>
                <w:rFonts w:cs="Arial"/>
                <w:sz w:val="20"/>
                <w:szCs w:val="20"/>
              </w:rPr>
            </w:pPr>
            <w:r w:rsidRPr="00397786">
              <w:rPr>
                <w:rFonts w:cs="Arial"/>
                <w:sz w:val="20"/>
                <w:szCs w:val="20"/>
              </w:rPr>
              <w:t>DO NOT place bait stations more than 2 meters from buildings.</w:t>
            </w:r>
          </w:p>
          <w:p w14:paraId="79972E0C" w14:textId="77777777" w:rsidR="008E67EA" w:rsidRPr="00397786" w:rsidRDefault="008E67EA" w:rsidP="00B44A74">
            <w:pPr>
              <w:spacing w:line="280" w:lineRule="exact"/>
              <w:rPr>
                <w:rFonts w:cs="Arial"/>
                <w:sz w:val="20"/>
                <w:szCs w:val="20"/>
              </w:rPr>
            </w:pPr>
            <w:r w:rsidRPr="00397786">
              <w:rPr>
                <w:rFonts w:cs="Arial"/>
                <w:sz w:val="20"/>
                <w:szCs w:val="20"/>
              </w:rPr>
              <w:t>DO NOT place bait stations outdoors around buildings for control of mice.</w:t>
            </w:r>
          </w:p>
          <w:p w14:paraId="37CE8BC7" w14:textId="77777777" w:rsidR="008E67EA" w:rsidRPr="00397786" w:rsidRDefault="008E67EA" w:rsidP="00B44A74">
            <w:pPr>
              <w:spacing w:line="280" w:lineRule="exact"/>
              <w:rPr>
                <w:rFonts w:cs="Arial"/>
                <w:sz w:val="20"/>
                <w:szCs w:val="20"/>
              </w:rPr>
            </w:pPr>
            <w:r w:rsidRPr="00397786">
              <w:rPr>
                <w:rFonts w:cs="Arial"/>
                <w:sz w:val="20"/>
                <w:szCs w:val="20"/>
              </w:rPr>
              <w:t>DO NOT bait in areas where wildlife may be collected for human consumption.</w:t>
            </w:r>
          </w:p>
          <w:p w14:paraId="09D5303B" w14:textId="77777777" w:rsidR="008E67EA" w:rsidRPr="00397786" w:rsidRDefault="008E67EA" w:rsidP="00B44A74">
            <w:pPr>
              <w:spacing w:line="280" w:lineRule="exact"/>
              <w:rPr>
                <w:rFonts w:cs="Arial"/>
                <w:sz w:val="20"/>
                <w:szCs w:val="20"/>
              </w:rPr>
            </w:pPr>
            <w:r w:rsidRPr="00397786">
              <w:rPr>
                <w:rFonts w:cs="Arial"/>
                <w:sz w:val="20"/>
                <w:szCs w:val="20"/>
              </w:rPr>
              <w:t>DO NOT place in animal or livestock housing unless used in tamper-</w:t>
            </w:r>
            <w:r>
              <w:rPr>
                <w:rFonts w:cs="Arial"/>
                <w:sz w:val="20"/>
                <w:szCs w:val="20"/>
              </w:rPr>
              <w:t>resistant</w:t>
            </w:r>
            <w:r w:rsidRPr="00397786">
              <w:rPr>
                <w:rFonts w:cs="Arial"/>
                <w:sz w:val="20"/>
                <w:szCs w:val="20"/>
              </w:rPr>
              <w:t xml:space="preserve"> and weather</w:t>
            </w:r>
            <w:r>
              <w:rPr>
                <w:rFonts w:cs="Arial"/>
                <w:sz w:val="20"/>
                <w:szCs w:val="20"/>
              </w:rPr>
              <w:t>-</w:t>
            </w:r>
            <w:r w:rsidRPr="00397786">
              <w:rPr>
                <w:rFonts w:cs="Arial"/>
                <w:sz w:val="20"/>
                <w:szCs w:val="20"/>
              </w:rPr>
              <w:t>resistant bait stations fixed to the ground or other structures.</w:t>
            </w:r>
          </w:p>
          <w:p w14:paraId="52A8003A" w14:textId="77777777" w:rsidR="008E67EA" w:rsidRPr="00397786" w:rsidRDefault="008E67EA" w:rsidP="00B44A74">
            <w:pPr>
              <w:spacing w:line="280" w:lineRule="exact"/>
              <w:rPr>
                <w:rFonts w:cs="Arial"/>
                <w:sz w:val="20"/>
                <w:szCs w:val="20"/>
              </w:rPr>
            </w:pPr>
            <w:r w:rsidRPr="00397786">
              <w:rPr>
                <w:rFonts w:cs="Arial"/>
                <w:sz w:val="20"/>
                <w:szCs w:val="20"/>
              </w:rPr>
              <w:t>DO NOT place bait or bait stations above areas which would allow them to contaminate pig and poultry food or drinking water.</w:t>
            </w:r>
          </w:p>
          <w:p w14:paraId="121DA523" w14:textId="77777777" w:rsidR="008E67EA" w:rsidRPr="00AC23B8" w:rsidRDefault="008E67EA" w:rsidP="00B44A74">
            <w:pPr>
              <w:spacing w:line="280" w:lineRule="exact"/>
              <w:rPr>
                <w:rFonts w:cs="Arial"/>
                <w:color w:val="7030A0"/>
                <w:sz w:val="20"/>
                <w:szCs w:val="20"/>
              </w:rPr>
            </w:pPr>
            <w:r w:rsidRPr="00397786">
              <w:rPr>
                <w:rFonts w:cs="Arial"/>
                <w:sz w:val="20"/>
                <w:szCs w:val="20"/>
              </w:rPr>
              <w:t>DO NOT apply this product directly into burrows.</w:t>
            </w:r>
          </w:p>
        </w:tc>
      </w:tr>
      <w:tr w:rsidR="008E67EA" w:rsidRPr="002B5B5B" w14:paraId="06DCE913" w14:textId="77777777" w:rsidTr="00B44A74">
        <w:trPr>
          <w:jc w:val="center"/>
        </w:trPr>
        <w:tc>
          <w:tcPr>
            <w:tcW w:w="2415" w:type="dxa"/>
            <w:tcBorders>
              <w:top w:val="single" w:sz="4" w:space="0" w:color="auto"/>
              <w:left w:val="nil"/>
              <w:bottom w:val="single" w:sz="4" w:space="0" w:color="auto"/>
              <w:right w:val="nil"/>
            </w:tcBorders>
          </w:tcPr>
          <w:p w14:paraId="53B0688C"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1A7A11F" w14:textId="77777777" w:rsidR="008E67EA" w:rsidRPr="002B5B5B" w:rsidRDefault="008E67EA" w:rsidP="00B44A74">
            <w:pPr>
              <w:spacing w:line="280" w:lineRule="exact"/>
              <w:rPr>
                <w:rFonts w:cs="Arial"/>
                <w:sz w:val="20"/>
                <w:szCs w:val="20"/>
              </w:rPr>
            </w:pPr>
          </w:p>
        </w:tc>
      </w:tr>
      <w:tr w:rsidR="008E67EA" w:rsidRPr="002B5B5B" w14:paraId="5928E49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3E623F7" w14:textId="77777777" w:rsidR="008E67EA" w:rsidRPr="00F5215F" w:rsidRDefault="008E67EA" w:rsidP="00B44A74">
            <w:pPr>
              <w:spacing w:line="280" w:lineRule="exact"/>
              <w:rPr>
                <w:rFonts w:cs="Arial"/>
                <w:sz w:val="20"/>
                <w:szCs w:val="20"/>
              </w:rPr>
            </w:pPr>
            <w:r w:rsidRPr="00F5215F">
              <w:rPr>
                <w:rFonts w:cs="Arial"/>
                <w:sz w:val="20"/>
                <w:szCs w:val="20"/>
              </w:rPr>
              <w:t>Directions for Use:</w:t>
            </w:r>
          </w:p>
        </w:tc>
        <w:tc>
          <w:tcPr>
            <w:tcW w:w="7755" w:type="dxa"/>
            <w:tcBorders>
              <w:top w:val="single" w:sz="4" w:space="0" w:color="auto"/>
              <w:left w:val="single" w:sz="4" w:space="0" w:color="auto"/>
              <w:bottom w:val="single" w:sz="4" w:space="0" w:color="auto"/>
              <w:right w:val="single" w:sz="4" w:space="0" w:color="auto"/>
            </w:tcBorders>
          </w:tcPr>
          <w:p w14:paraId="0EFE9F10" w14:textId="77777777" w:rsidR="008E67EA" w:rsidRPr="00EB4816" w:rsidRDefault="008E67EA" w:rsidP="00B44A74">
            <w:pPr>
              <w:spacing w:line="280" w:lineRule="exact"/>
              <w:rPr>
                <w:rFonts w:cs="Arial"/>
                <w:sz w:val="20"/>
                <w:szCs w:val="20"/>
              </w:rPr>
            </w:pPr>
            <w:r w:rsidRPr="00B832BB">
              <w:rPr>
                <w:rFonts w:cs="Arial"/>
                <w:sz w:val="20"/>
                <w:szCs w:val="20"/>
              </w:rPr>
              <w:t>[This section contains an attachment below]</w:t>
            </w:r>
          </w:p>
        </w:tc>
      </w:tr>
      <w:tr w:rsidR="008E67EA" w:rsidRPr="002B5B5B" w14:paraId="77281F8D" w14:textId="77777777" w:rsidTr="00B44A74">
        <w:trPr>
          <w:jc w:val="center"/>
        </w:trPr>
        <w:tc>
          <w:tcPr>
            <w:tcW w:w="2415" w:type="dxa"/>
            <w:tcBorders>
              <w:top w:val="single" w:sz="4" w:space="0" w:color="auto"/>
              <w:left w:val="nil"/>
              <w:bottom w:val="single" w:sz="4" w:space="0" w:color="auto"/>
              <w:right w:val="nil"/>
            </w:tcBorders>
          </w:tcPr>
          <w:p w14:paraId="10D6E634"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F4A0ED7" w14:textId="77777777" w:rsidR="008E67EA" w:rsidRPr="002B5B5B" w:rsidRDefault="008E67EA" w:rsidP="00B44A74">
            <w:pPr>
              <w:spacing w:line="280" w:lineRule="exact"/>
              <w:rPr>
                <w:rFonts w:cs="Arial"/>
                <w:sz w:val="20"/>
                <w:szCs w:val="20"/>
              </w:rPr>
            </w:pPr>
          </w:p>
        </w:tc>
      </w:tr>
      <w:tr w:rsidR="008E67EA" w:rsidRPr="002B5B5B" w14:paraId="5C43BC5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94F4F12" w14:textId="77777777" w:rsidR="008E67EA" w:rsidRPr="00F5215F" w:rsidRDefault="008E67EA" w:rsidP="00B44A74">
            <w:pPr>
              <w:spacing w:line="280" w:lineRule="exact"/>
              <w:rPr>
                <w:rFonts w:cs="Arial"/>
                <w:sz w:val="20"/>
                <w:szCs w:val="20"/>
              </w:rPr>
            </w:pPr>
            <w:r w:rsidRPr="00F5215F">
              <w:rPr>
                <w:rFonts w:cs="Arial"/>
                <w:sz w:val="20"/>
                <w:szCs w:val="20"/>
              </w:rPr>
              <w:t>Other Limitations:</w:t>
            </w:r>
          </w:p>
        </w:tc>
        <w:tc>
          <w:tcPr>
            <w:tcW w:w="7755" w:type="dxa"/>
            <w:tcBorders>
              <w:top w:val="single" w:sz="4" w:space="0" w:color="auto"/>
              <w:left w:val="single" w:sz="4" w:space="0" w:color="auto"/>
              <w:bottom w:val="single" w:sz="4" w:space="0" w:color="auto"/>
              <w:right w:val="single" w:sz="4" w:space="0" w:color="auto"/>
            </w:tcBorders>
          </w:tcPr>
          <w:p w14:paraId="52994047" w14:textId="77777777" w:rsidR="008E67EA" w:rsidRPr="002B5B5B" w:rsidRDefault="008E67EA" w:rsidP="00B44A74">
            <w:pPr>
              <w:spacing w:line="280" w:lineRule="exact"/>
              <w:rPr>
                <w:rFonts w:cs="Arial"/>
                <w:sz w:val="20"/>
                <w:szCs w:val="20"/>
              </w:rPr>
            </w:pPr>
          </w:p>
        </w:tc>
      </w:tr>
      <w:tr w:rsidR="008E67EA" w:rsidRPr="002B5B5B" w14:paraId="3C1B2C51" w14:textId="77777777" w:rsidTr="00B44A74">
        <w:trPr>
          <w:jc w:val="center"/>
        </w:trPr>
        <w:tc>
          <w:tcPr>
            <w:tcW w:w="2415" w:type="dxa"/>
            <w:tcBorders>
              <w:top w:val="single" w:sz="4" w:space="0" w:color="auto"/>
              <w:left w:val="nil"/>
              <w:bottom w:val="single" w:sz="4" w:space="0" w:color="auto"/>
              <w:right w:val="nil"/>
            </w:tcBorders>
          </w:tcPr>
          <w:p w14:paraId="2D9DE3B9"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D3602EE" w14:textId="77777777" w:rsidR="008E67EA" w:rsidRPr="002B5B5B" w:rsidRDefault="008E67EA" w:rsidP="00B44A74">
            <w:pPr>
              <w:spacing w:line="280" w:lineRule="exact"/>
              <w:rPr>
                <w:rFonts w:cs="Arial"/>
                <w:sz w:val="20"/>
                <w:szCs w:val="20"/>
              </w:rPr>
            </w:pPr>
          </w:p>
        </w:tc>
      </w:tr>
      <w:tr w:rsidR="008E67EA" w:rsidRPr="002B5B5B" w14:paraId="294D6A8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98000AE" w14:textId="77777777" w:rsidR="008E67EA" w:rsidRPr="00F5215F" w:rsidRDefault="008E67EA" w:rsidP="00B44A74">
            <w:pPr>
              <w:spacing w:line="280" w:lineRule="exact"/>
              <w:rPr>
                <w:rFonts w:cs="Arial"/>
                <w:sz w:val="20"/>
                <w:szCs w:val="20"/>
              </w:rPr>
            </w:pPr>
            <w:r w:rsidRPr="00F5215F">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3EA70A92" w14:textId="77777777" w:rsidR="008E67EA" w:rsidRPr="002B5B5B" w:rsidRDefault="008E67EA" w:rsidP="00B44A74">
            <w:pPr>
              <w:spacing w:line="280" w:lineRule="exact"/>
              <w:rPr>
                <w:rFonts w:cs="Arial"/>
                <w:sz w:val="20"/>
                <w:szCs w:val="20"/>
              </w:rPr>
            </w:pPr>
          </w:p>
        </w:tc>
      </w:tr>
      <w:tr w:rsidR="008E67EA" w:rsidRPr="002B5B5B" w14:paraId="06F3D8E7" w14:textId="77777777" w:rsidTr="00B44A74">
        <w:trPr>
          <w:jc w:val="center"/>
        </w:trPr>
        <w:tc>
          <w:tcPr>
            <w:tcW w:w="2415" w:type="dxa"/>
            <w:tcBorders>
              <w:top w:val="single" w:sz="4" w:space="0" w:color="auto"/>
              <w:left w:val="nil"/>
              <w:bottom w:val="single" w:sz="4" w:space="0" w:color="auto"/>
              <w:right w:val="nil"/>
            </w:tcBorders>
          </w:tcPr>
          <w:p w14:paraId="19FC1DE0"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812DEA2" w14:textId="77777777" w:rsidR="008E67EA" w:rsidRPr="002B5B5B" w:rsidRDefault="008E67EA" w:rsidP="00B44A74">
            <w:pPr>
              <w:spacing w:line="280" w:lineRule="exact"/>
              <w:rPr>
                <w:rFonts w:cs="Arial"/>
                <w:sz w:val="20"/>
                <w:szCs w:val="20"/>
              </w:rPr>
            </w:pPr>
          </w:p>
        </w:tc>
      </w:tr>
      <w:tr w:rsidR="008E67EA" w:rsidRPr="002B5B5B" w14:paraId="7A0A5A1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3D4C6B2" w14:textId="77777777" w:rsidR="008E67EA" w:rsidRPr="00F5215F" w:rsidRDefault="008E67EA" w:rsidP="00B44A74">
            <w:pPr>
              <w:spacing w:line="280" w:lineRule="exact"/>
              <w:rPr>
                <w:rFonts w:cs="Arial"/>
                <w:sz w:val="20"/>
                <w:szCs w:val="20"/>
              </w:rPr>
            </w:pPr>
            <w:r w:rsidRPr="00F5215F">
              <w:rPr>
                <w:rFonts w:cs="Arial"/>
                <w:sz w:val="20"/>
                <w:szCs w:val="20"/>
              </w:rPr>
              <w:t>Trade Advice:</w:t>
            </w:r>
          </w:p>
        </w:tc>
        <w:tc>
          <w:tcPr>
            <w:tcW w:w="7755" w:type="dxa"/>
            <w:tcBorders>
              <w:top w:val="single" w:sz="4" w:space="0" w:color="auto"/>
              <w:left w:val="single" w:sz="4" w:space="0" w:color="auto"/>
              <w:bottom w:val="single" w:sz="4" w:space="0" w:color="auto"/>
              <w:right w:val="single" w:sz="4" w:space="0" w:color="auto"/>
            </w:tcBorders>
          </w:tcPr>
          <w:p w14:paraId="24D77E05" w14:textId="77777777" w:rsidR="008E67EA" w:rsidRPr="002B5B5B" w:rsidRDefault="008E67EA" w:rsidP="00B44A74">
            <w:pPr>
              <w:spacing w:line="280" w:lineRule="exact"/>
              <w:rPr>
                <w:rFonts w:cs="Arial"/>
                <w:sz w:val="20"/>
                <w:szCs w:val="20"/>
              </w:rPr>
            </w:pPr>
          </w:p>
        </w:tc>
      </w:tr>
      <w:tr w:rsidR="008E67EA" w:rsidRPr="002B5B5B" w14:paraId="16852AF4" w14:textId="77777777" w:rsidTr="00B44A74">
        <w:trPr>
          <w:jc w:val="center"/>
        </w:trPr>
        <w:tc>
          <w:tcPr>
            <w:tcW w:w="2415" w:type="dxa"/>
            <w:tcBorders>
              <w:top w:val="single" w:sz="4" w:space="0" w:color="auto"/>
              <w:left w:val="nil"/>
              <w:bottom w:val="single" w:sz="4" w:space="0" w:color="auto"/>
              <w:right w:val="nil"/>
            </w:tcBorders>
          </w:tcPr>
          <w:p w14:paraId="7A2FCB45"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69613E0" w14:textId="77777777" w:rsidR="008E67EA" w:rsidRPr="002B5B5B" w:rsidRDefault="008E67EA" w:rsidP="00B44A74">
            <w:pPr>
              <w:spacing w:line="280" w:lineRule="exact"/>
              <w:rPr>
                <w:rFonts w:cs="Arial"/>
                <w:sz w:val="20"/>
                <w:szCs w:val="20"/>
              </w:rPr>
            </w:pPr>
          </w:p>
        </w:tc>
      </w:tr>
      <w:tr w:rsidR="008E67EA" w:rsidRPr="002B5B5B" w14:paraId="4DBE6EA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DCD9D6C" w14:textId="77777777" w:rsidR="008E67EA" w:rsidRPr="00F5215F" w:rsidRDefault="008E67EA" w:rsidP="00B44A74">
            <w:pPr>
              <w:spacing w:line="280" w:lineRule="exact"/>
              <w:rPr>
                <w:rFonts w:cs="Arial"/>
                <w:sz w:val="20"/>
                <w:szCs w:val="20"/>
              </w:rPr>
            </w:pPr>
            <w:r w:rsidRPr="00F5215F">
              <w:rPr>
                <w:rFonts w:cs="Arial"/>
                <w:sz w:val="20"/>
                <w:szCs w:val="20"/>
              </w:rPr>
              <w:t>General Directions:</w:t>
            </w:r>
          </w:p>
        </w:tc>
        <w:tc>
          <w:tcPr>
            <w:tcW w:w="7755" w:type="dxa"/>
            <w:tcBorders>
              <w:top w:val="single" w:sz="4" w:space="0" w:color="auto"/>
              <w:left w:val="single" w:sz="4" w:space="0" w:color="auto"/>
              <w:bottom w:val="single" w:sz="4" w:space="0" w:color="auto"/>
              <w:right w:val="single" w:sz="4" w:space="0" w:color="auto"/>
            </w:tcBorders>
          </w:tcPr>
          <w:p w14:paraId="241CF65A" w14:textId="77777777" w:rsidR="008E67EA" w:rsidRPr="00472E1F" w:rsidRDefault="008E67EA" w:rsidP="00B44A74">
            <w:pPr>
              <w:spacing w:line="280" w:lineRule="exact"/>
              <w:rPr>
                <w:rFonts w:cs="Arial"/>
                <w:sz w:val="20"/>
                <w:szCs w:val="20"/>
              </w:rPr>
            </w:pPr>
            <w:r w:rsidRPr="00472E1F">
              <w:rPr>
                <w:rFonts w:cs="Arial"/>
                <w:sz w:val="20"/>
                <w:szCs w:val="20"/>
              </w:rPr>
              <w:t>GENERAL INSTRUCTIONS</w:t>
            </w:r>
          </w:p>
          <w:p w14:paraId="0623A46E" w14:textId="77777777" w:rsidR="008E67EA" w:rsidRPr="00472E1F" w:rsidRDefault="008E67EA" w:rsidP="00B44A74">
            <w:pPr>
              <w:spacing w:line="280" w:lineRule="exact"/>
              <w:rPr>
                <w:rFonts w:cs="Arial"/>
                <w:sz w:val="20"/>
                <w:szCs w:val="20"/>
              </w:rPr>
            </w:pPr>
            <w:r w:rsidRPr="00472E1F">
              <w:rPr>
                <w:rFonts w:cs="Arial"/>
                <w:sz w:val="20"/>
                <w:szCs w:val="20"/>
              </w:rPr>
              <w:lastRenderedPageBreak/>
              <w:t>The soft-blocks within the paper sachets are ready to use — DO NOT attempt to open the sachets. This product is intended for use within an integrated rodent management program as the initial "clean out" bait treatment for rodent infestations.</w:t>
            </w:r>
          </w:p>
          <w:p w14:paraId="2067B940" w14:textId="77777777" w:rsidR="008E67EA" w:rsidRPr="00472E1F" w:rsidRDefault="008E67EA" w:rsidP="00B44A74">
            <w:pPr>
              <w:spacing w:line="280" w:lineRule="exact"/>
              <w:rPr>
                <w:rFonts w:cs="Arial"/>
                <w:sz w:val="20"/>
                <w:szCs w:val="20"/>
              </w:rPr>
            </w:pPr>
            <w:r w:rsidRPr="00472E1F">
              <w:rPr>
                <w:rFonts w:cs="Arial"/>
                <w:sz w:val="20"/>
                <w:szCs w:val="20"/>
              </w:rPr>
              <w:t>Rodents usually die within 3 to 5 days after eating the bait.</w:t>
            </w:r>
          </w:p>
          <w:p w14:paraId="463A82F3" w14:textId="77777777" w:rsidR="008E67EA" w:rsidRPr="00414F85" w:rsidRDefault="008E67EA" w:rsidP="00B44A74">
            <w:pPr>
              <w:spacing w:line="280" w:lineRule="exact"/>
              <w:rPr>
                <w:rFonts w:cs="Arial"/>
                <w:color w:val="7030A0"/>
                <w:sz w:val="20"/>
                <w:szCs w:val="20"/>
              </w:rPr>
            </w:pPr>
            <w:r w:rsidRPr="00472E1F">
              <w:rPr>
                <w:rFonts w:cs="Arial"/>
                <w:sz w:val="20"/>
                <w:szCs w:val="20"/>
              </w:rPr>
              <w:t>Implement rodent proofing measures to limit or restrict rodent access to indoor areas or other areas where infestation is identified as a problem. Manage weeds and other vegetation around buildings to minimise the number of available or potential rodent harbourages.</w:t>
            </w:r>
          </w:p>
        </w:tc>
      </w:tr>
      <w:tr w:rsidR="008E67EA" w:rsidRPr="002B5B5B" w14:paraId="60BE986A" w14:textId="77777777" w:rsidTr="00B44A74">
        <w:trPr>
          <w:jc w:val="center"/>
        </w:trPr>
        <w:tc>
          <w:tcPr>
            <w:tcW w:w="2415" w:type="dxa"/>
            <w:tcBorders>
              <w:top w:val="single" w:sz="4" w:space="0" w:color="auto"/>
              <w:left w:val="nil"/>
              <w:bottom w:val="single" w:sz="4" w:space="0" w:color="auto"/>
              <w:right w:val="nil"/>
            </w:tcBorders>
          </w:tcPr>
          <w:p w14:paraId="1DA8F137"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53A82F3" w14:textId="77777777" w:rsidR="008E67EA" w:rsidRPr="002B5B5B" w:rsidRDefault="008E67EA" w:rsidP="00B44A74">
            <w:pPr>
              <w:spacing w:line="280" w:lineRule="exact"/>
              <w:rPr>
                <w:rFonts w:cs="Arial"/>
                <w:sz w:val="20"/>
                <w:szCs w:val="20"/>
              </w:rPr>
            </w:pPr>
          </w:p>
        </w:tc>
      </w:tr>
      <w:tr w:rsidR="008E67EA" w:rsidRPr="002B5B5B" w14:paraId="4955ED2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AEA0955" w14:textId="77777777" w:rsidR="008E67EA" w:rsidRPr="00F5215F" w:rsidRDefault="008E67EA" w:rsidP="00B44A74">
            <w:pPr>
              <w:spacing w:line="280" w:lineRule="exact"/>
              <w:rPr>
                <w:rFonts w:cs="Arial"/>
                <w:sz w:val="20"/>
                <w:szCs w:val="20"/>
              </w:rPr>
            </w:pPr>
            <w:r w:rsidRPr="00F5215F">
              <w:rPr>
                <w:rFonts w:cs="Arial"/>
                <w:sz w:val="20"/>
                <w:szCs w:val="20"/>
              </w:rPr>
              <w:t>Resistance Warning:</w:t>
            </w:r>
          </w:p>
        </w:tc>
        <w:tc>
          <w:tcPr>
            <w:tcW w:w="7755" w:type="dxa"/>
            <w:tcBorders>
              <w:top w:val="single" w:sz="4" w:space="0" w:color="auto"/>
              <w:left w:val="single" w:sz="4" w:space="0" w:color="auto"/>
              <w:bottom w:val="single" w:sz="4" w:space="0" w:color="auto"/>
              <w:right w:val="single" w:sz="4" w:space="0" w:color="auto"/>
            </w:tcBorders>
          </w:tcPr>
          <w:p w14:paraId="4F74A7CB" w14:textId="77777777" w:rsidR="008E67EA" w:rsidRPr="002B5B5B" w:rsidRDefault="008E67EA" w:rsidP="00B44A74">
            <w:pPr>
              <w:spacing w:line="280" w:lineRule="exact"/>
              <w:rPr>
                <w:rFonts w:cs="Arial"/>
                <w:sz w:val="20"/>
                <w:szCs w:val="20"/>
              </w:rPr>
            </w:pPr>
          </w:p>
        </w:tc>
      </w:tr>
      <w:tr w:rsidR="008E67EA" w:rsidRPr="002B5B5B" w14:paraId="24BBB535" w14:textId="77777777" w:rsidTr="00B44A74">
        <w:trPr>
          <w:jc w:val="center"/>
        </w:trPr>
        <w:tc>
          <w:tcPr>
            <w:tcW w:w="2415" w:type="dxa"/>
            <w:tcBorders>
              <w:top w:val="single" w:sz="4" w:space="0" w:color="auto"/>
              <w:left w:val="nil"/>
              <w:bottom w:val="single" w:sz="4" w:space="0" w:color="auto"/>
              <w:right w:val="nil"/>
            </w:tcBorders>
          </w:tcPr>
          <w:p w14:paraId="0077421E"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A3029AC" w14:textId="77777777" w:rsidR="008E67EA" w:rsidRPr="002B5B5B" w:rsidRDefault="008E67EA" w:rsidP="00B44A74">
            <w:pPr>
              <w:spacing w:line="280" w:lineRule="exact"/>
              <w:rPr>
                <w:rFonts w:cs="Arial"/>
                <w:sz w:val="20"/>
                <w:szCs w:val="20"/>
              </w:rPr>
            </w:pPr>
          </w:p>
        </w:tc>
      </w:tr>
      <w:tr w:rsidR="008E67EA" w:rsidRPr="002B5B5B" w14:paraId="7A4EC6C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0236BB9" w14:textId="77777777" w:rsidR="008E67EA" w:rsidRPr="00F5215F" w:rsidRDefault="008E67EA" w:rsidP="00B44A74">
            <w:pPr>
              <w:spacing w:line="280" w:lineRule="exact"/>
              <w:rPr>
                <w:rFonts w:cs="Arial"/>
                <w:sz w:val="20"/>
                <w:szCs w:val="20"/>
              </w:rPr>
            </w:pPr>
            <w:r w:rsidRPr="00F5215F">
              <w:rPr>
                <w:rFonts w:cs="Arial"/>
                <w:sz w:val="20"/>
                <w:szCs w:val="20"/>
              </w:rPr>
              <w:t>Precautions:</w:t>
            </w:r>
          </w:p>
        </w:tc>
        <w:tc>
          <w:tcPr>
            <w:tcW w:w="7755" w:type="dxa"/>
            <w:tcBorders>
              <w:top w:val="single" w:sz="4" w:space="0" w:color="auto"/>
              <w:left w:val="single" w:sz="4" w:space="0" w:color="auto"/>
              <w:bottom w:val="single" w:sz="4" w:space="0" w:color="auto"/>
              <w:right w:val="single" w:sz="4" w:space="0" w:color="auto"/>
            </w:tcBorders>
          </w:tcPr>
          <w:p w14:paraId="79E87E42" w14:textId="77777777" w:rsidR="008E67EA" w:rsidRDefault="008E67EA" w:rsidP="00B44A74">
            <w:pPr>
              <w:spacing w:line="280" w:lineRule="exact"/>
              <w:rPr>
                <w:rFonts w:cs="Arial"/>
                <w:sz w:val="20"/>
                <w:szCs w:val="20"/>
              </w:rPr>
            </w:pPr>
            <w:r>
              <w:rPr>
                <w:rFonts w:cs="Arial"/>
                <w:sz w:val="20"/>
                <w:szCs w:val="20"/>
              </w:rPr>
              <w:t>PRECAUTIONS</w:t>
            </w:r>
          </w:p>
          <w:p w14:paraId="674092F3" w14:textId="77777777" w:rsidR="008E67EA" w:rsidRPr="00397786" w:rsidRDefault="008E67EA" w:rsidP="00B44A74">
            <w:pPr>
              <w:spacing w:line="280" w:lineRule="exact"/>
              <w:rPr>
                <w:rFonts w:cs="Arial"/>
                <w:position w:val="12"/>
                <w:sz w:val="20"/>
                <w:szCs w:val="20"/>
              </w:rPr>
            </w:pPr>
            <w:r w:rsidRPr="00397786">
              <w:rPr>
                <w:rFonts w:cs="Arial"/>
                <w:sz w:val="20"/>
                <w:szCs w:val="20"/>
              </w:rPr>
              <w:t>Caution should be used when baiting near areas where hunting of wildlife may occur. Careful consideration of bait placement is necessary to avoid secondary exposure from contaminated wildlife that may be consumed.</w:t>
            </w:r>
          </w:p>
          <w:p w14:paraId="3352608D" w14:textId="77777777" w:rsidR="008E67EA" w:rsidRPr="002B5B5B" w:rsidRDefault="008E67EA" w:rsidP="00B44A74">
            <w:pPr>
              <w:spacing w:line="280" w:lineRule="exact"/>
              <w:rPr>
                <w:rFonts w:cs="Arial"/>
                <w:sz w:val="20"/>
                <w:szCs w:val="20"/>
                <w:highlight w:val="yellow"/>
              </w:rPr>
            </w:pPr>
            <w:r w:rsidRPr="00397786">
              <w:rPr>
                <w:rFonts w:cs="Arial"/>
                <w:sz w:val="20"/>
                <w:szCs w:val="20"/>
              </w:rPr>
              <w:t>DO NOT place bait in areas where there is a possibility of contaminating food, livestock feed or surfaces that come in direct contact with food or livestock feed.</w:t>
            </w:r>
          </w:p>
        </w:tc>
      </w:tr>
      <w:tr w:rsidR="008E67EA" w:rsidRPr="002B5B5B" w14:paraId="2545FBD6" w14:textId="77777777" w:rsidTr="00B44A74">
        <w:trPr>
          <w:jc w:val="center"/>
        </w:trPr>
        <w:tc>
          <w:tcPr>
            <w:tcW w:w="2415" w:type="dxa"/>
            <w:tcBorders>
              <w:top w:val="single" w:sz="4" w:space="0" w:color="auto"/>
              <w:left w:val="nil"/>
              <w:bottom w:val="single" w:sz="4" w:space="0" w:color="auto"/>
              <w:right w:val="nil"/>
            </w:tcBorders>
          </w:tcPr>
          <w:p w14:paraId="3B2BC988"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9DF4425" w14:textId="77777777" w:rsidR="008E67EA" w:rsidRPr="002B5B5B" w:rsidRDefault="008E67EA" w:rsidP="00B44A74">
            <w:pPr>
              <w:spacing w:line="280" w:lineRule="exact"/>
              <w:rPr>
                <w:rFonts w:cs="Arial"/>
                <w:sz w:val="20"/>
                <w:szCs w:val="20"/>
              </w:rPr>
            </w:pPr>
          </w:p>
        </w:tc>
      </w:tr>
      <w:tr w:rsidR="008E67EA" w:rsidRPr="002B5B5B" w14:paraId="0E1BE3C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8DB03A8" w14:textId="77777777" w:rsidR="008E67EA" w:rsidRPr="00F5215F" w:rsidRDefault="008E67EA" w:rsidP="00B44A74">
            <w:pPr>
              <w:spacing w:line="280" w:lineRule="exact"/>
              <w:rPr>
                <w:rFonts w:cs="Arial"/>
                <w:sz w:val="20"/>
                <w:szCs w:val="20"/>
              </w:rPr>
            </w:pPr>
            <w:r w:rsidRPr="00F5215F">
              <w:rPr>
                <w:rFonts w:cs="Arial"/>
                <w:sz w:val="20"/>
                <w:szCs w:val="20"/>
              </w:rPr>
              <w:t>Protection Statements:</w:t>
            </w:r>
          </w:p>
        </w:tc>
        <w:tc>
          <w:tcPr>
            <w:tcW w:w="7755" w:type="dxa"/>
            <w:tcBorders>
              <w:top w:val="single" w:sz="4" w:space="0" w:color="auto"/>
              <w:left w:val="single" w:sz="4" w:space="0" w:color="auto"/>
              <w:bottom w:val="single" w:sz="4" w:space="0" w:color="auto"/>
              <w:right w:val="single" w:sz="4" w:space="0" w:color="auto"/>
            </w:tcBorders>
          </w:tcPr>
          <w:p w14:paraId="5527FF60" w14:textId="77777777" w:rsidR="008E67EA" w:rsidRPr="00397786" w:rsidRDefault="008E67EA" w:rsidP="00B44A74">
            <w:pPr>
              <w:spacing w:line="280" w:lineRule="exact"/>
              <w:rPr>
                <w:rFonts w:cs="Arial"/>
                <w:sz w:val="20"/>
                <w:szCs w:val="20"/>
              </w:rPr>
            </w:pPr>
            <w:r w:rsidRPr="00397786">
              <w:rPr>
                <w:rFonts w:cs="Arial"/>
                <w:sz w:val="20"/>
                <w:szCs w:val="20"/>
              </w:rPr>
              <w:t>PROTECTION OF LIVESTOCK AND WILDLIFE</w:t>
            </w:r>
          </w:p>
          <w:p w14:paraId="7A7CDA51" w14:textId="77777777" w:rsidR="008E67EA" w:rsidRPr="00397786" w:rsidRDefault="008E67EA" w:rsidP="00B44A74">
            <w:pPr>
              <w:spacing w:line="280" w:lineRule="exact"/>
              <w:rPr>
                <w:rFonts w:cs="Arial"/>
                <w:sz w:val="20"/>
                <w:szCs w:val="20"/>
              </w:rPr>
            </w:pPr>
            <w:r w:rsidRPr="00397786">
              <w:rPr>
                <w:rFonts w:cs="Arial"/>
                <w:sz w:val="20"/>
                <w:szCs w:val="20"/>
              </w:rPr>
              <w:t>Hazardous to livestock, poultry and wildlife. DO NOT place baits in locations that are accessible to domestic animals, livestock, non-target native animals or birds.</w:t>
            </w:r>
          </w:p>
          <w:p w14:paraId="22D04A77" w14:textId="0F2C0C8C" w:rsidR="008E67EA" w:rsidRPr="00397786" w:rsidRDefault="008E67EA" w:rsidP="00B44A74">
            <w:pPr>
              <w:spacing w:line="280" w:lineRule="exact"/>
              <w:rPr>
                <w:rFonts w:cs="Arial"/>
                <w:sz w:val="20"/>
                <w:szCs w:val="20"/>
              </w:rPr>
            </w:pPr>
            <w:r w:rsidRPr="00397786">
              <w:rPr>
                <w:rFonts w:cs="Arial"/>
                <w:sz w:val="20"/>
                <w:szCs w:val="20"/>
              </w:rPr>
              <w:t>Search for and dispose of dead rodents and slugs/snails in the infested area at each visit to prevent secondary poisoning. In case slugs/snails are present, move bait station to another location within the rodent infested site, away from slugs/snails. Dispose of slugs/snails in a way non-target animals are not exposed. Dispose of dead rodents and uneaten bait in compliance with local, state or territory government regulations.</w:t>
            </w:r>
          </w:p>
          <w:p w14:paraId="2BC58695" w14:textId="77777777" w:rsidR="008E67EA" w:rsidRDefault="008E67EA" w:rsidP="00B44A74">
            <w:pPr>
              <w:spacing w:line="280" w:lineRule="exact"/>
              <w:rPr>
                <w:rFonts w:cs="Arial"/>
                <w:sz w:val="20"/>
                <w:szCs w:val="20"/>
              </w:rPr>
            </w:pPr>
            <w:r w:rsidRPr="00397786">
              <w:rPr>
                <w:rFonts w:cs="Arial"/>
                <w:sz w:val="20"/>
                <w:szCs w:val="20"/>
              </w:rPr>
              <w:t>DO NOT allow livestock or poultry to consume dead or moribund mice and rats. All dead or moribund animals and rodent faeces from baited rodents MUST be removed from areas accessible to livestock or poultry.</w:t>
            </w:r>
          </w:p>
          <w:p w14:paraId="53C8C351" w14:textId="77777777" w:rsidR="008E67EA" w:rsidRPr="00397786" w:rsidRDefault="008E67EA" w:rsidP="00B44A74">
            <w:pPr>
              <w:spacing w:line="280" w:lineRule="exact"/>
              <w:rPr>
                <w:rFonts w:cs="Arial"/>
                <w:sz w:val="20"/>
                <w:szCs w:val="20"/>
              </w:rPr>
            </w:pPr>
            <w:r w:rsidRPr="00FC1834">
              <w:rPr>
                <w:rFonts w:cs="Arial"/>
                <w:sz w:val="20"/>
                <w:szCs w:val="20"/>
              </w:rPr>
              <w:t>DO NOT use this product to control native animals.</w:t>
            </w:r>
          </w:p>
          <w:p w14:paraId="57F9D550" w14:textId="77777777" w:rsidR="008E67EA" w:rsidRPr="00604F9D" w:rsidRDefault="008E67EA" w:rsidP="00B44A74">
            <w:pPr>
              <w:spacing w:line="280" w:lineRule="exact"/>
              <w:rPr>
                <w:rFonts w:cs="Arial"/>
                <w:sz w:val="20"/>
                <w:szCs w:val="20"/>
              </w:rPr>
            </w:pPr>
          </w:p>
          <w:p w14:paraId="26794491" w14:textId="77777777" w:rsidR="008E67EA" w:rsidRPr="00397786" w:rsidRDefault="008E67EA" w:rsidP="00B44A74">
            <w:pPr>
              <w:spacing w:line="280" w:lineRule="exact"/>
              <w:rPr>
                <w:rFonts w:cs="Arial"/>
                <w:sz w:val="20"/>
                <w:szCs w:val="20"/>
              </w:rPr>
            </w:pPr>
            <w:r w:rsidRPr="00397786">
              <w:rPr>
                <w:rFonts w:cs="Arial"/>
                <w:sz w:val="20"/>
                <w:szCs w:val="20"/>
              </w:rPr>
              <w:t>PROTECTION OF FISH, CRUSTACEANS AND ENVIRONMENT</w:t>
            </w:r>
          </w:p>
          <w:p w14:paraId="154834BD" w14:textId="7F8F99CE" w:rsidR="008E67EA" w:rsidRPr="00397786" w:rsidRDefault="008E67EA" w:rsidP="00B44A74">
            <w:pPr>
              <w:spacing w:line="280" w:lineRule="exact"/>
              <w:rPr>
                <w:rFonts w:cs="Arial"/>
                <w:sz w:val="20"/>
                <w:szCs w:val="20"/>
              </w:rPr>
            </w:pPr>
            <w:r w:rsidRPr="00397786">
              <w:rPr>
                <w:rFonts w:cs="Arial"/>
                <w:sz w:val="20"/>
                <w:szCs w:val="20"/>
              </w:rPr>
              <w:t>Very toxic to aquatic life. DO NOT contaminate wetlands or watercourses with this product or used containers. Place the bait stations in areas not liable to flooding. When placing bait stations close to water drainage systems, ensure that bait contact with water is avoided.</w:t>
            </w:r>
          </w:p>
        </w:tc>
      </w:tr>
      <w:tr w:rsidR="008E67EA" w:rsidRPr="002B5B5B" w14:paraId="7226850C" w14:textId="77777777" w:rsidTr="00B44A74">
        <w:trPr>
          <w:jc w:val="center"/>
        </w:trPr>
        <w:tc>
          <w:tcPr>
            <w:tcW w:w="2415" w:type="dxa"/>
            <w:tcBorders>
              <w:top w:val="single" w:sz="4" w:space="0" w:color="auto"/>
              <w:left w:val="nil"/>
              <w:bottom w:val="single" w:sz="4" w:space="0" w:color="auto"/>
              <w:right w:val="nil"/>
            </w:tcBorders>
          </w:tcPr>
          <w:p w14:paraId="5EFDBD61"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75710A6" w14:textId="77777777" w:rsidR="008E67EA" w:rsidRPr="002B5B5B" w:rsidRDefault="008E67EA" w:rsidP="00B44A74">
            <w:pPr>
              <w:spacing w:line="280" w:lineRule="exact"/>
              <w:rPr>
                <w:rFonts w:cs="Arial"/>
                <w:sz w:val="20"/>
                <w:szCs w:val="20"/>
              </w:rPr>
            </w:pPr>
          </w:p>
        </w:tc>
      </w:tr>
      <w:tr w:rsidR="008E67EA" w:rsidRPr="002B5B5B" w14:paraId="3C53989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ACB07E8" w14:textId="77777777" w:rsidR="008E67EA" w:rsidRPr="00F5215F" w:rsidRDefault="008E67EA" w:rsidP="00B44A74">
            <w:pPr>
              <w:spacing w:line="280" w:lineRule="exact"/>
              <w:rPr>
                <w:rFonts w:cs="Arial"/>
                <w:sz w:val="20"/>
                <w:szCs w:val="20"/>
              </w:rPr>
            </w:pPr>
            <w:r w:rsidRPr="00F5215F">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69FB3482" w14:textId="77777777" w:rsidR="008E67EA" w:rsidRDefault="008E67EA" w:rsidP="00B44A74">
            <w:pPr>
              <w:spacing w:line="280" w:lineRule="exact"/>
              <w:rPr>
                <w:rFonts w:cs="Arial"/>
                <w:sz w:val="20"/>
                <w:szCs w:val="20"/>
              </w:rPr>
            </w:pPr>
            <w:r>
              <w:rPr>
                <w:rFonts w:cs="Arial"/>
                <w:sz w:val="20"/>
                <w:szCs w:val="20"/>
              </w:rPr>
              <w:t>STORAGE AND DISPOSAL</w:t>
            </w:r>
          </w:p>
          <w:p w14:paraId="651A4846" w14:textId="77777777" w:rsidR="008E67EA" w:rsidRPr="002B5B5B" w:rsidRDefault="008E67EA" w:rsidP="00B44A74">
            <w:pPr>
              <w:spacing w:line="280" w:lineRule="exact"/>
              <w:rPr>
                <w:rFonts w:cs="Arial"/>
                <w:sz w:val="20"/>
                <w:szCs w:val="20"/>
              </w:rPr>
            </w:pPr>
            <w:r w:rsidRPr="00397786">
              <w:rPr>
                <w:rFonts w:cs="Arial"/>
                <w:sz w:val="20"/>
                <w:szCs w:val="20"/>
              </w:rPr>
              <w:t xml:space="preserve">Store in the closed, original container in a dry, cool, well-ventilated area out of direct sunlight. Triple rinse containers before disposal. Break, crush or puncture and deliver empty packaging to an approved waste management facility. If an approved waste management facility is not available, dispose of empty packaging in compliance with relevant local, state or territory government regulations. </w:t>
            </w:r>
            <w:r w:rsidRPr="005E538D">
              <w:rPr>
                <w:rFonts w:cs="Arial"/>
                <w:sz w:val="20"/>
                <w:szCs w:val="20"/>
                <w:bdr w:val="none" w:sz="0" w:space="0" w:color="auto" w:frame="1"/>
                <w:lang w:val="en-GB" w:eastAsia="en-AU"/>
              </w:rPr>
              <w:t>Dispose of unused product in compliance with relevant local, state or territory government regulations.</w:t>
            </w:r>
            <w:r>
              <w:rPr>
                <w:rFonts w:cs="Arial"/>
                <w:sz w:val="20"/>
                <w:szCs w:val="20"/>
                <w:bdr w:val="none" w:sz="0" w:space="0" w:color="auto" w:frame="1"/>
                <w:lang w:val="en-GB" w:eastAsia="en-AU"/>
              </w:rPr>
              <w:t xml:space="preserve"> </w:t>
            </w:r>
            <w:r w:rsidRPr="00397786">
              <w:rPr>
                <w:rFonts w:cs="Arial"/>
                <w:sz w:val="20"/>
                <w:szCs w:val="20"/>
              </w:rPr>
              <w:t>DO NOT burn empty containers or product.</w:t>
            </w:r>
          </w:p>
        </w:tc>
      </w:tr>
      <w:tr w:rsidR="008E67EA" w:rsidRPr="002B5B5B" w14:paraId="3BDD848F" w14:textId="77777777" w:rsidTr="00B44A74">
        <w:trPr>
          <w:jc w:val="center"/>
        </w:trPr>
        <w:tc>
          <w:tcPr>
            <w:tcW w:w="2415" w:type="dxa"/>
            <w:tcBorders>
              <w:top w:val="single" w:sz="4" w:space="0" w:color="auto"/>
              <w:left w:val="nil"/>
              <w:bottom w:val="single" w:sz="4" w:space="0" w:color="auto"/>
              <w:right w:val="nil"/>
            </w:tcBorders>
          </w:tcPr>
          <w:p w14:paraId="6E11E006"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ECC3A18" w14:textId="77777777" w:rsidR="008E67EA" w:rsidRPr="002B5B5B" w:rsidRDefault="008E67EA" w:rsidP="00B44A74">
            <w:pPr>
              <w:spacing w:line="280" w:lineRule="exact"/>
              <w:rPr>
                <w:rFonts w:cs="Arial"/>
                <w:sz w:val="20"/>
                <w:szCs w:val="20"/>
              </w:rPr>
            </w:pPr>
          </w:p>
        </w:tc>
      </w:tr>
      <w:tr w:rsidR="008E67EA" w:rsidRPr="002B5B5B" w14:paraId="61E3107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C33339F" w14:textId="77777777" w:rsidR="008E67EA" w:rsidRPr="00F5215F" w:rsidRDefault="008E67EA" w:rsidP="00B44A74">
            <w:pPr>
              <w:spacing w:line="280" w:lineRule="exact"/>
              <w:rPr>
                <w:rFonts w:cs="Arial"/>
                <w:sz w:val="20"/>
                <w:szCs w:val="20"/>
              </w:rPr>
            </w:pPr>
            <w:r w:rsidRPr="00F5215F">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13503427" w14:textId="77777777" w:rsidR="008E67EA" w:rsidRDefault="008E67EA" w:rsidP="00B44A74">
            <w:pPr>
              <w:spacing w:line="280" w:lineRule="exact"/>
              <w:rPr>
                <w:rFonts w:cs="Arial"/>
                <w:color w:val="000000" w:themeColor="text1"/>
                <w:sz w:val="20"/>
                <w:szCs w:val="20"/>
              </w:rPr>
            </w:pPr>
            <w:r>
              <w:rPr>
                <w:rFonts w:cs="Arial"/>
                <w:color w:val="000000" w:themeColor="text1"/>
                <w:sz w:val="20"/>
                <w:szCs w:val="20"/>
              </w:rPr>
              <w:t>SAFETY DIRECTIONS</w:t>
            </w:r>
          </w:p>
          <w:p w14:paraId="06ED8A66" w14:textId="77777777" w:rsidR="008E67EA" w:rsidRPr="007C67EB" w:rsidRDefault="008E67EA" w:rsidP="00B44A74">
            <w:pPr>
              <w:spacing w:line="280" w:lineRule="exact"/>
              <w:rPr>
                <w:rFonts w:cs="Arial"/>
                <w:color w:val="000000" w:themeColor="text1"/>
                <w:sz w:val="20"/>
                <w:szCs w:val="20"/>
              </w:rPr>
            </w:pPr>
            <w:r w:rsidRPr="00581757">
              <w:rPr>
                <w:rFonts w:cs="Arial"/>
                <w:color w:val="000000" w:themeColor="text1"/>
                <w:sz w:val="20"/>
                <w:szCs w:val="20"/>
              </w:rPr>
              <w:lastRenderedPageBreak/>
              <w:t>Repeated minor exposure may have a cumulative poisoning effect. May irritate eyes. Avoid contact with eyes. When using the product wear disposable gloves. During cleanup, disposal operations of bait and bait stations and when handling rodent carcasses wear single layer clothing and disposable gloves. If on skin and after each baiting, wash thoroughly with soap and water. After each day’s use wash contaminated clothing.</w:t>
            </w:r>
            <w:r w:rsidRPr="00112FEC">
              <w:rPr>
                <w:rFonts w:cs="Arial"/>
                <w:color w:val="000000" w:themeColor="text1"/>
                <w:sz w:val="20"/>
                <w:szCs w:val="20"/>
              </w:rPr>
              <w:t xml:space="preserve"> Wash clothes after performing re-handling activities.</w:t>
            </w:r>
          </w:p>
        </w:tc>
      </w:tr>
      <w:tr w:rsidR="008E67EA" w:rsidRPr="002B5B5B" w14:paraId="4D842E23" w14:textId="77777777" w:rsidTr="00B44A74">
        <w:trPr>
          <w:jc w:val="center"/>
        </w:trPr>
        <w:tc>
          <w:tcPr>
            <w:tcW w:w="2415" w:type="dxa"/>
            <w:tcBorders>
              <w:top w:val="single" w:sz="4" w:space="0" w:color="auto"/>
              <w:left w:val="nil"/>
              <w:bottom w:val="single" w:sz="4" w:space="0" w:color="auto"/>
              <w:right w:val="nil"/>
            </w:tcBorders>
          </w:tcPr>
          <w:p w14:paraId="5EFAB164"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2742A36" w14:textId="77777777" w:rsidR="008E67EA" w:rsidRPr="002B5B5B" w:rsidRDefault="008E67EA" w:rsidP="00B44A74">
            <w:pPr>
              <w:spacing w:line="280" w:lineRule="exact"/>
              <w:rPr>
                <w:rFonts w:cs="Arial"/>
                <w:sz w:val="20"/>
                <w:szCs w:val="20"/>
              </w:rPr>
            </w:pPr>
          </w:p>
        </w:tc>
      </w:tr>
      <w:tr w:rsidR="008E67EA" w:rsidRPr="002B5B5B" w14:paraId="647AA90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2EACA5B" w14:textId="77777777" w:rsidR="008E67EA" w:rsidRPr="00F5215F" w:rsidRDefault="008E67EA" w:rsidP="00B44A74">
            <w:pPr>
              <w:spacing w:line="280" w:lineRule="exact"/>
              <w:rPr>
                <w:rFonts w:cs="Arial"/>
                <w:sz w:val="20"/>
                <w:szCs w:val="20"/>
              </w:rPr>
            </w:pPr>
            <w:r w:rsidRPr="00F5215F">
              <w:rPr>
                <w:rFonts w:cs="Arial"/>
                <w:sz w:val="20"/>
                <w:szCs w:val="20"/>
              </w:rPr>
              <w:t>First Aid Instructions:</w:t>
            </w:r>
          </w:p>
        </w:tc>
        <w:tc>
          <w:tcPr>
            <w:tcW w:w="7755" w:type="dxa"/>
            <w:tcBorders>
              <w:top w:val="single" w:sz="4" w:space="0" w:color="auto"/>
              <w:left w:val="single" w:sz="4" w:space="0" w:color="auto"/>
              <w:bottom w:val="single" w:sz="4" w:space="0" w:color="auto"/>
              <w:right w:val="single" w:sz="4" w:space="0" w:color="auto"/>
            </w:tcBorders>
          </w:tcPr>
          <w:p w14:paraId="6461F680" w14:textId="77777777" w:rsidR="008E67EA" w:rsidRPr="00112FEC" w:rsidRDefault="008E67EA" w:rsidP="00B44A74">
            <w:pPr>
              <w:spacing w:line="280" w:lineRule="exact"/>
              <w:rPr>
                <w:rFonts w:cs="Arial"/>
                <w:sz w:val="20"/>
                <w:szCs w:val="20"/>
              </w:rPr>
            </w:pPr>
            <w:r w:rsidRPr="00112FEC">
              <w:rPr>
                <w:rFonts w:cs="Arial"/>
                <w:sz w:val="20"/>
                <w:szCs w:val="20"/>
              </w:rPr>
              <w:t>FIRST AID</w:t>
            </w:r>
          </w:p>
          <w:p w14:paraId="1D3A667E" w14:textId="77777777" w:rsidR="008E67EA" w:rsidRPr="00112FEC" w:rsidRDefault="008E67EA" w:rsidP="00B44A74">
            <w:pPr>
              <w:spacing w:line="280" w:lineRule="exact"/>
              <w:rPr>
                <w:rFonts w:cs="Arial"/>
                <w:sz w:val="20"/>
                <w:szCs w:val="20"/>
              </w:rPr>
            </w:pPr>
            <w:r w:rsidRPr="00112FEC">
              <w:rPr>
                <w:rFonts w:cs="Arial"/>
                <w:sz w:val="20"/>
                <w:szCs w:val="20"/>
              </w:rPr>
              <w:t>If poisoning occurs, contact a doctor or Poisons Information Centre. Phone Australia 13 11 26, New Zealand 0800 764 766. Vitamin K1 (Phytomenadione) is antidotal</w:t>
            </w:r>
          </w:p>
        </w:tc>
      </w:tr>
      <w:tr w:rsidR="008E67EA" w:rsidRPr="002B5B5B" w14:paraId="27D08B77" w14:textId="77777777" w:rsidTr="00B44A74">
        <w:trPr>
          <w:jc w:val="center"/>
        </w:trPr>
        <w:tc>
          <w:tcPr>
            <w:tcW w:w="2415" w:type="dxa"/>
            <w:tcBorders>
              <w:top w:val="single" w:sz="4" w:space="0" w:color="auto"/>
              <w:left w:val="nil"/>
              <w:bottom w:val="single" w:sz="4" w:space="0" w:color="auto"/>
              <w:right w:val="nil"/>
            </w:tcBorders>
          </w:tcPr>
          <w:p w14:paraId="50B2F5F7"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C92D3B4" w14:textId="77777777" w:rsidR="008E67EA" w:rsidRPr="002B5B5B" w:rsidRDefault="008E67EA" w:rsidP="00B44A74">
            <w:pPr>
              <w:spacing w:line="280" w:lineRule="exact"/>
              <w:rPr>
                <w:rFonts w:cs="Arial"/>
                <w:sz w:val="20"/>
                <w:szCs w:val="20"/>
              </w:rPr>
            </w:pPr>
          </w:p>
        </w:tc>
      </w:tr>
      <w:tr w:rsidR="008E67EA" w:rsidRPr="002B5B5B" w14:paraId="64352F47"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6831D70" w14:textId="77777777" w:rsidR="008E67EA" w:rsidRPr="00F5215F" w:rsidRDefault="008E67EA" w:rsidP="00B44A74">
            <w:pPr>
              <w:spacing w:line="280" w:lineRule="exact"/>
              <w:rPr>
                <w:rFonts w:cs="Arial"/>
                <w:sz w:val="20"/>
                <w:szCs w:val="20"/>
              </w:rPr>
            </w:pPr>
            <w:r w:rsidRPr="00F5215F">
              <w:rPr>
                <w:rFonts w:cs="Arial"/>
                <w:sz w:val="20"/>
                <w:szCs w:val="20"/>
              </w:rPr>
              <w:t>First Aid Warnings:</w:t>
            </w:r>
          </w:p>
        </w:tc>
        <w:tc>
          <w:tcPr>
            <w:tcW w:w="7755" w:type="dxa"/>
            <w:tcBorders>
              <w:top w:val="single" w:sz="4" w:space="0" w:color="auto"/>
              <w:left w:val="single" w:sz="4" w:space="0" w:color="auto"/>
              <w:bottom w:val="single" w:sz="4" w:space="0" w:color="auto"/>
              <w:right w:val="single" w:sz="4" w:space="0" w:color="auto"/>
            </w:tcBorders>
          </w:tcPr>
          <w:p w14:paraId="6F0D16EB" w14:textId="77777777" w:rsidR="008E67EA" w:rsidRPr="002B5B5B" w:rsidRDefault="008E67EA" w:rsidP="00B44A74">
            <w:pPr>
              <w:spacing w:line="280" w:lineRule="exact"/>
              <w:rPr>
                <w:rFonts w:cs="Arial"/>
                <w:sz w:val="20"/>
                <w:szCs w:val="20"/>
              </w:rPr>
            </w:pPr>
          </w:p>
        </w:tc>
      </w:tr>
    </w:tbl>
    <w:p w14:paraId="6763A503" w14:textId="77777777" w:rsidR="008E67EA" w:rsidRDefault="008E67EA" w:rsidP="008E67EA">
      <w:pPr>
        <w:spacing w:line="280" w:lineRule="exact"/>
        <w:rPr>
          <w:rFonts w:cs="Arial"/>
          <w:b/>
          <w:bCs/>
          <w:sz w:val="20"/>
          <w:szCs w:val="20"/>
        </w:rPr>
      </w:pPr>
    </w:p>
    <w:p w14:paraId="74BE4558" w14:textId="77777777" w:rsidR="008E67EA" w:rsidRDefault="008E67EA" w:rsidP="008E67EA">
      <w:pPr>
        <w:spacing w:line="280" w:lineRule="exact"/>
        <w:rPr>
          <w:rFonts w:cs="Arial"/>
          <w:b/>
          <w:bCs/>
          <w:sz w:val="20"/>
          <w:szCs w:val="20"/>
        </w:rPr>
      </w:pPr>
      <w:r w:rsidRPr="00FF36BF">
        <w:rPr>
          <w:rFonts w:cs="Arial"/>
          <w:b/>
          <w:bCs/>
          <w:sz w:val="20"/>
          <w:szCs w:val="20"/>
        </w:rPr>
        <w:t>DIRECTIONS FOR USE</w:t>
      </w:r>
    </w:p>
    <w:p w14:paraId="42773854" w14:textId="77777777" w:rsidR="008E67EA" w:rsidRPr="00392579" w:rsidRDefault="008E67EA" w:rsidP="008E67EA">
      <w:pPr>
        <w:spacing w:line="280" w:lineRule="exact"/>
        <w:rPr>
          <w:rFonts w:cs="Arial"/>
          <w:b/>
          <w:bCs/>
          <w:sz w:val="20"/>
          <w:szCs w:val="20"/>
        </w:rPr>
      </w:pPr>
      <w:r>
        <w:rPr>
          <w:rFonts w:cs="Arial"/>
          <w:b/>
          <w:bCs/>
          <w:sz w:val="20"/>
          <w:szCs w:val="20"/>
        </w:rPr>
        <w:t>S</w:t>
      </w:r>
      <w:r w:rsidRPr="00392579">
        <w:rPr>
          <w:rFonts w:cs="Arial"/>
          <w:b/>
          <w:bCs/>
          <w:sz w:val="20"/>
          <w:szCs w:val="20"/>
        </w:rPr>
        <w:t>achets: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260"/>
        <w:gridCol w:w="1080"/>
        <w:gridCol w:w="5080"/>
      </w:tblGrid>
      <w:tr w:rsidR="008E67EA" w:rsidRPr="00FF36BF" w14:paraId="19059B4D" w14:textId="77777777" w:rsidTr="00604F9D">
        <w:trPr>
          <w:trHeight w:val="340"/>
        </w:trPr>
        <w:tc>
          <w:tcPr>
            <w:tcW w:w="1620" w:type="dxa"/>
          </w:tcPr>
          <w:p w14:paraId="72B8D5FD" w14:textId="77777777" w:rsidR="008E67EA" w:rsidRPr="00DB6BC4" w:rsidRDefault="008E67EA" w:rsidP="00B44A74">
            <w:pPr>
              <w:spacing w:line="280" w:lineRule="exact"/>
              <w:rPr>
                <w:rFonts w:cs="Arial"/>
                <w:b/>
                <w:bCs/>
                <w:szCs w:val="18"/>
              </w:rPr>
            </w:pPr>
            <w:r w:rsidRPr="00DB6BC4">
              <w:rPr>
                <w:rFonts w:cs="Arial"/>
                <w:b/>
                <w:bCs/>
                <w:szCs w:val="18"/>
              </w:rPr>
              <w:t>SITUATION</w:t>
            </w:r>
          </w:p>
        </w:tc>
        <w:tc>
          <w:tcPr>
            <w:tcW w:w="1260" w:type="dxa"/>
          </w:tcPr>
          <w:p w14:paraId="37F64532" w14:textId="77777777" w:rsidR="008E67EA" w:rsidRPr="00DB6BC4" w:rsidRDefault="008E67EA" w:rsidP="00B44A74">
            <w:pPr>
              <w:spacing w:line="280" w:lineRule="exact"/>
              <w:rPr>
                <w:rFonts w:cs="Arial"/>
                <w:b/>
                <w:bCs/>
                <w:szCs w:val="18"/>
              </w:rPr>
            </w:pPr>
            <w:r w:rsidRPr="00DB6BC4">
              <w:rPr>
                <w:rFonts w:cs="Arial"/>
                <w:b/>
                <w:bCs/>
                <w:szCs w:val="18"/>
              </w:rPr>
              <w:t>PEST</w:t>
            </w:r>
          </w:p>
        </w:tc>
        <w:tc>
          <w:tcPr>
            <w:tcW w:w="1080" w:type="dxa"/>
          </w:tcPr>
          <w:p w14:paraId="7DC9536C" w14:textId="77777777" w:rsidR="008E67EA" w:rsidRPr="00DB6BC4" w:rsidRDefault="008E67EA" w:rsidP="00B44A74">
            <w:pPr>
              <w:spacing w:line="280" w:lineRule="exact"/>
              <w:rPr>
                <w:rFonts w:cs="Arial"/>
                <w:b/>
                <w:bCs/>
                <w:szCs w:val="18"/>
              </w:rPr>
            </w:pPr>
            <w:r w:rsidRPr="00DB6BC4">
              <w:rPr>
                <w:rFonts w:cs="Arial"/>
                <w:b/>
                <w:bCs/>
                <w:szCs w:val="18"/>
              </w:rPr>
              <w:t>RATE</w:t>
            </w:r>
          </w:p>
        </w:tc>
        <w:tc>
          <w:tcPr>
            <w:tcW w:w="5080" w:type="dxa"/>
          </w:tcPr>
          <w:p w14:paraId="2F924248" w14:textId="77777777" w:rsidR="008E67EA" w:rsidRPr="00DB6BC4" w:rsidRDefault="008E67EA" w:rsidP="00B44A74">
            <w:pPr>
              <w:spacing w:line="280" w:lineRule="exact"/>
              <w:rPr>
                <w:rFonts w:cs="Arial"/>
                <w:b/>
                <w:bCs/>
                <w:szCs w:val="18"/>
              </w:rPr>
            </w:pPr>
            <w:r w:rsidRPr="00DB6BC4">
              <w:rPr>
                <w:rFonts w:cs="Arial"/>
                <w:b/>
                <w:bCs/>
                <w:szCs w:val="18"/>
              </w:rPr>
              <w:t>CRITICAL COMMENTS</w:t>
            </w:r>
          </w:p>
        </w:tc>
      </w:tr>
      <w:tr w:rsidR="008E67EA" w:rsidRPr="00FF36BF" w14:paraId="4CC54947" w14:textId="77777777" w:rsidTr="00604F9D">
        <w:trPr>
          <w:trHeight w:val="2304"/>
        </w:trPr>
        <w:tc>
          <w:tcPr>
            <w:tcW w:w="1620" w:type="dxa"/>
          </w:tcPr>
          <w:p w14:paraId="072395F8" w14:textId="77777777" w:rsidR="008E67EA" w:rsidRPr="00DB6BC4" w:rsidRDefault="008E67EA" w:rsidP="00B44A74">
            <w:pPr>
              <w:spacing w:after="120" w:line="240" w:lineRule="exact"/>
              <w:rPr>
                <w:rFonts w:cs="Arial"/>
                <w:bCs/>
                <w:spacing w:val="-2"/>
                <w:w w:val="105"/>
                <w:szCs w:val="18"/>
              </w:rPr>
            </w:pPr>
            <w:r w:rsidRPr="00472E1F">
              <w:rPr>
                <w:rFonts w:cs="Arial"/>
                <w:bCs/>
                <w:spacing w:val="-2"/>
                <w:w w:val="105"/>
                <w:szCs w:val="18"/>
              </w:rPr>
              <w:t>In and around</w:t>
            </w:r>
            <w:r>
              <w:rPr>
                <w:rFonts w:cs="Arial"/>
                <w:bCs/>
                <w:spacing w:val="-2"/>
                <w:w w:val="105"/>
                <w:szCs w:val="18"/>
              </w:rPr>
              <w:t xml:space="preserve"> (within 2 m) </w:t>
            </w:r>
            <w:r w:rsidRPr="00472E1F">
              <w:rPr>
                <w:rFonts w:cs="Arial"/>
                <w:bCs/>
                <w:spacing w:val="-2"/>
                <w:w w:val="105"/>
                <w:szCs w:val="18"/>
              </w:rPr>
              <w:t>agricultural,</w:t>
            </w:r>
            <w:r>
              <w:rPr>
                <w:rFonts w:cs="Arial"/>
                <w:bCs/>
                <w:spacing w:val="-2"/>
                <w:w w:val="105"/>
                <w:szCs w:val="18"/>
              </w:rPr>
              <w:t xml:space="preserve"> </w:t>
            </w:r>
            <w:r w:rsidRPr="00472E1F">
              <w:rPr>
                <w:rFonts w:cs="Arial"/>
                <w:bCs/>
                <w:spacing w:val="-2"/>
                <w:w w:val="105"/>
                <w:szCs w:val="18"/>
              </w:rPr>
              <w:t>commercial,</w:t>
            </w:r>
            <w:r>
              <w:rPr>
                <w:rFonts w:cs="Arial"/>
                <w:bCs/>
                <w:spacing w:val="-2"/>
                <w:w w:val="105"/>
                <w:szCs w:val="18"/>
              </w:rPr>
              <w:t xml:space="preserve"> </w:t>
            </w:r>
            <w:r w:rsidRPr="00472E1F">
              <w:rPr>
                <w:rFonts w:cs="Arial"/>
                <w:bCs/>
                <w:spacing w:val="-2"/>
                <w:w w:val="105"/>
                <w:szCs w:val="18"/>
              </w:rPr>
              <w:t>domestic,</w:t>
            </w:r>
            <w:r>
              <w:rPr>
                <w:rFonts w:cs="Arial"/>
                <w:bCs/>
                <w:spacing w:val="-2"/>
                <w:w w:val="105"/>
                <w:szCs w:val="18"/>
              </w:rPr>
              <w:t xml:space="preserve"> </w:t>
            </w:r>
            <w:r w:rsidRPr="00472E1F">
              <w:rPr>
                <w:rFonts w:cs="Arial"/>
                <w:bCs/>
                <w:spacing w:val="-2"/>
                <w:w w:val="105"/>
                <w:szCs w:val="18"/>
              </w:rPr>
              <w:t>industrial and</w:t>
            </w:r>
            <w:r>
              <w:rPr>
                <w:rFonts w:cs="Arial"/>
                <w:bCs/>
                <w:spacing w:val="-2"/>
                <w:w w:val="105"/>
                <w:szCs w:val="18"/>
              </w:rPr>
              <w:t xml:space="preserve"> </w:t>
            </w:r>
            <w:r w:rsidRPr="00472E1F">
              <w:rPr>
                <w:rFonts w:cs="Arial"/>
                <w:bCs/>
                <w:spacing w:val="-2"/>
                <w:w w:val="105"/>
                <w:szCs w:val="18"/>
              </w:rPr>
              <w:t>public services</w:t>
            </w:r>
            <w:r>
              <w:rPr>
                <w:rFonts w:cs="Arial"/>
                <w:bCs/>
                <w:spacing w:val="-2"/>
                <w:w w:val="105"/>
                <w:szCs w:val="18"/>
              </w:rPr>
              <w:t xml:space="preserve"> </w:t>
            </w:r>
            <w:r w:rsidRPr="00472E1F">
              <w:rPr>
                <w:rFonts w:cs="Arial"/>
                <w:bCs/>
                <w:spacing w:val="-2"/>
                <w:w w:val="105"/>
                <w:szCs w:val="18"/>
              </w:rPr>
              <w:t>buildings</w:t>
            </w:r>
            <w:r>
              <w:rPr>
                <w:rFonts w:cs="Arial"/>
                <w:bCs/>
                <w:spacing w:val="-2"/>
                <w:w w:val="105"/>
                <w:szCs w:val="18"/>
              </w:rPr>
              <w:t>. I</w:t>
            </w:r>
            <w:r w:rsidRPr="00472E1F">
              <w:rPr>
                <w:rFonts w:cs="Arial"/>
                <w:bCs/>
                <w:spacing w:val="-2"/>
                <w:w w:val="105"/>
                <w:szCs w:val="18"/>
              </w:rPr>
              <w:t>n</w:t>
            </w:r>
            <w:r>
              <w:rPr>
                <w:rFonts w:cs="Arial"/>
                <w:bCs/>
                <w:spacing w:val="-2"/>
                <w:w w:val="105"/>
                <w:szCs w:val="18"/>
              </w:rPr>
              <w:t xml:space="preserve"> </w:t>
            </w:r>
            <w:r w:rsidRPr="00472E1F">
              <w:rPr>
                <w:rFonts w:cs="Arial"/>
                <w:bCs/>
                <w:spacing w:val="-2"/>
                <w:w w:val="105"/>
                <w:szCs w:val="18"/>
              </w:rPr>
              <w:t>sewers.</w:t>
            </w:r>
          </w:p>
        </w:tc>
        <w:tc>
          <w:tcPr>
            <w:tcW w:w="1260" w:type="dxa"/>
          </w:tcPr>
          <w:p w14:paraId="7B3CF906" w14:textId="77777777" w:rsidR="008E67EA" w:rsidRPr="00DB6BC4" w:rsidRDefault="008E67EA" w:rsidP="00B44A74">
            <w:pPr>
              <w:spacing w:after="120" w:line="240" w:lineRule="exact"/>
              <w:rPr>
                <w:rFonts w:cs="Arial"/>
                <w:bCs/>
                <w:spacing w:val="-2"/>
                <w:w w:val="105"/>
                <w:szCs w:val="18"/>
              </w:rPr>
            </w:pPr>
            <w:r w:rsidRPr="004F544F">
              <w:rPr>
                <w:rFonts w:cs="Arial"/>
                <w:bCs/>
                <w:spacing w:val="-2"/>
                <w:w w:val="105"/>
                <w:szCs w:val="18"/>
              </w:rPr>
              <w:t xml:space="preserve">Rats </w:t>
            </w:r>
            <w:r w:rsidRPr="004F544F">
              <w:rPr>
                <w:rFonts w:cs="Arial"/>
                <w:bCs/>
                <w:i/>
                <w:iCs/>
                <w:spacing w:val="-2"/>
                <w:w w:val="105"/>
                <w:szCs w:val="18"/>
              </w:rPr>
              <w:t>(Rattus rattus, Rattus norvegicus)</w:t>
            </w:r>
          </w:p>
        </w:tc>
        <w:tc>
          <w:tcPr>
            <w:tcW w:w="1080" w:type="dxa"/>
          </w:tcPr>
          <w:p w14:paraId="6D2A4247" w14:textId="77777777" w:rsidR="008E67EA" w:rsidRPr="00DB6BC4" w:rsidRDefault="008E67EA" w:rsidP="00B44A74">
            <w:pPr>
              <w:spacing w:after="120" w:line="240" w:lineRule="exact"/>
              <w:rPr>
                <w:rFonts w:cs="Arial"/>
                <w:bCs/>
                <w:spacing w:val="-2"/>
                <w:w w:val="105"/>
                <w:szCs w:val="18"/>
              </w:rPr>
            </w:pPr>
            <w:r>
              <w:rPr>
                <w:rFonts w:cs="Arial"/>
                <w:bCs/>
                <w:spacing w:val="-2"/>
                <w:w w:val="105"/>
                <w:szCs w:val="18"/>
              </w:rPr>
              <w:t>[as per current approved label]</w:t>
            </w:r>
          </w:p>
        </w:tc>
        <w:tc>
          <w:tcPr>
            <w:tcW w:w="5080" w:type="dxa"/>
            <w:vMerge w:val="restart"/>
          </w:tcPr>
          <w:p w14:paraId="093D9B9A" w14:textId="77777777" w:rsidR="008E67EA" w:rsidRDefault="008E67EA" w:rsidP="00B44A74">
            <w:pPr>
              <w:spacing w:after="120" w:line="240" w:lineRule="exact"/>
              <w:rPr>
                <w:rFonts w:cs="Arial"/>
                <w:bCs/>
                <w:spacing w:val="-2"/>
                <w:w w:val="105"/>
                <w:szCs w:val="18"/>
              </w:rPr>
            </w:pPr>
            <w:r>
              <w:rPr>
                <w:rFonts w:cs="Arial"/>
                <w:bCs/>
                <w:spacing w:val="-2"/>
                <w:w w:val="105"/>
                <w:szCs w:val="18"/>
              </w:rPr>
              <w:t>Place bait stations in the infested area. DO NOT touch bait.</w:t>
            </w:r>
            <w:r w:rsidRPr="00084269">
              <w:rPr>
                <w:rFonts w:cs="Arial"/>
                <w:bCs/>
                <w:spacing w:val="-2"/>
                <w:w w:val="105"/>
                <w:szCs w:val="18"/>
              </w:rPr>
              <w:t xml:space="preserve"> DO NOT exceed 9 m between bait stations for rats and 3 m for mice</w:t>
            </w:r>
            <w:r>
              <w:rPr>
                <w:rFonts w:cs="Arial"/>
                <w:bCs/>
                <w:spacing w:val="-2"/>
                <w:w w:val="105"/>
                <w:szCs w:val="18"/>
              </w:rPr>
              <w:t>.</w:t>
            </w:r>
          </w:p>
          <w:p w14:paraId="1B871586" w14:textId="27EA0458" w:rsidR="008E67EA" w:rsidRDefault="008E67EA" w:rsidP="00B44A74">
            <w:pPr>
              <w:spacing w:after="120" w:line="240" w:lineRule="exact"/>
              <w:rPr>
                <w:rFonts w:cs="Arial"/>
                <w:bCs/>
                <w:spacing w:val="-2"/>
                <w:w w:val="105"/>
                <w:szCs w:val="18"/>
              </w:rPr>
            </w:pPr>
            <w:r w:rsidRPr="00084269">
              <w:rPr>
                <w:rFonts w:cs="Arial"/>
                <w:bCs/>
                <w:spacing w:val="-2"/>
                <w:w w:val="105"/>
                <w:szCs w:val="18"/>
              </w:rPr>
              <w:t>The quantity of bait depends on the estimated pest population. For low activity, place 1 to 2 baits per bait station at regular intervals. For high activity, place more baits per bait station at more frequent intervals.</w:t>
            </w:r>
          </w:p>
          <w:p w14:paraId="28518076" w14:textId="77777777" w:rsidR="008E67EA" w:rsidRDefault="008E67EA" w:rsidP="00B44A74">
            <w:pPr>
              <w:spacing w:after="120" w:line="240" w:lineRule="exact"/>
              <w:rPr>
                <w:rFonts w:cs="Arial"/>
                <w:bCs/>
                <w:spacing w:val="-2"/>
                <w:w w:val="105"/>
                <w:szCs w:val="18"/>
              </w:rPr>
            </w:pPr>
            <w:r w:rsidRPr="00084269">
              <w:rPr>
                <w:rFonts w:cs="Arial"/>
                <w:bCs/>
                <w:spacing w:val="-2"/>
                <w:w w:val="105"/>
                <w:szCs w:val="18"/>
              </w:rPr>
              <w:t>It is essential to locate the baits close to where the rodents nest and feed, and also along their pathways. Generally mice will nest close to their feeding source, so place the baits in various locations near the nest. Rats are more likely to nest further away from their food source which means it is also important to bait on their pathways.</w:t>
            </w:r>
          </w:p>
          <w:p w14:paraId="59B9ECFB" w14:textId="77777777" w:rsidR="008E67EA" w:rsidRPr="00AF79D7" w:rsidRDefault="008E67EA" w:rsidP="00B44A74">
            <w:pPr>
              <w:spacing w:after="120" w:line="240" w:lineRule="exact"/>
              <w:rPr>
                <w:rFonts w:cs="Arial"/>
                <w:bCs/>
                <w:spacing w:val="-2"/>
                <w:w w:val="105"/>
                <w:szCs w:val="18"/>
              </w:rPr>
            </w:pPr>
            <w:r w:rsidRPr="00084269">
              <w:rPr>
                <w:rFonts w:cs="Arial"/>
                <w:bCs/>
                <w:spacing w:val="-2"/>
                <w:w w:val="105"/>
                <w:szCs w:val="18"/>
              </w:rPr>
              <w:t>In sewers and storm-water drains, suspend</w:t>
            </w:r>
            <w:r>
              <w:rPr>
                <w:rFonts w:cs="Arial"/>
                <w:bCs/>
                <w:spacing w:val="-2"/>
                <w:w w:val="105"/>
                <w:szCs w:val="18"/>
              </w:rPr>
              <w:t xml:space="preserve"> </w:t>
            </w:r>
            <w:r w:rsidRPr="00084269">
              <w:rPr>
                <w:rFonts w:cs="Arial"/>
                <w:bCs/>
                <w:spacing w:val="-2"/>
                <w:w w:val="105"/>
                <w:szCs w:val="18"/>
              </w:rPr>
              <w:t>baits from manholes by wire or place in</w:t>
            </w:r>
            <w:r>
              <w:rPr>
                <w:rFonts w:cs="Arial"/>
                <w:bCs/>
                <w:spacing w:val="-2"/>
                <w:w w:val="105"/>
                <w:szCs w:val="18"/>
              </w:rPr>
              <w:t xml:space="preserve"> </w:t>
            </w:r>
            <w:r w:rsidRPr="00084269">
              <w:rPr>
                <w:rFonts w:cs="Arial"/>
                <w:bCs/>
                <w:spacing w:val="-2"/>
                <w:w w:val="105"/>
                <w:szCs w:val="18"/>
              </w:rPr>
              <w:t>such a manner so that baits will not be</w:t>
            </w:r>
            <w:r>
              <w:rPr>
                <w:rFonts w:cs="Arial"/>
                <w:bCs/>
                <w:spacing w:val="-2"/>
                <w:w w:val="105"/>
                <w:szCs w:val="18"/>
              </w:rPr>
              <w:t xml:space="preserve"> </w:t>
            </w:r>
            <w:r w:rsidRPr="00084269">
              <w:rPr>
                <w:rFonts w:cs="Arial"/>
                <w:bCs/>
                <w:spacing w:val="-2"/>
                <w:w w:val="105"/>
                <w:szCs w:val="18"/>
              </w:rPr>
              <w:t>washed into water supplies</w:t>
            </w:r>
            <w:r>
              <w:rPr>
                <w:rFonts w:cs="Arial"/>
                <w:bCs/>
                <w:spacing w:val="-2"/>
                <w:w w:val="105"/>
                <w:szCs w:val="18"/>
              </w:rPr>
              <w:t>.</w:t>
            </w:r>
          </w:p>
        </w:tc>
      </w:tr>
      <w:tr w:rsidR="008E67EA" w:rsidRPr="00FF36BF" w14:paraId="741C38C5" w14:textId="77777777" w:rsidTr="00604F9D">
        <w:trPr>
          <w:trHeight w:val="1140"/>
        </w:trPr>
        <w:tc>
          <w:tcPr>
            <w:tcW w:w="1620" w:type="dxa"/>
          </w:tcPr>
          <w:p w14:paraId="4798F871" w14:textId="77777777" w:rsidR="008E67EA" w:rsidRPr="00DB6BC4" w:rsidRDefault="008E67EA" w:rsidP="00B44A74">
            <w:pPr>
              <w:spacing w:after="120" w:line="240" w:lineRule="exact"/>
              <w:rPr>
                <w:rFonts w:cs="Arial"/>
                <w:bCs/>
                <w:spacing w:val="-2"/>
                <w:w w:val="105"/>
                <w:szCs w:val="18"/>
              </w:rPr>
            </w:pPr>
            <w:r w:rsidRPr="00472E1F">
              <w:rPr>
                <w:rFonts w:cs="Arial"/>
                <w:bCs/>
                <w:spacing w:val="-2"/>
                <w:w w:val="105"/>
                <w:szCs w:val="18"/>
              </w:rPr>
              <w:t>In agricultural,</w:t>
            </w:r>
            <w:r>
              <w:rPr>
                <w:rFonts w:cs="Arial"/>
                <w:bCs/>
                <w:spacing w:val="-2"/>
                <w:w w:val="105"/>
                <w:szCs w:val="18"/>
              </w:rPr>
              <w:t xml:space="preserve"> </w:t>
            </w:r>
            <w:r w:rsidRPr="00472E1F">
              <w:rPr>
                <w:rFonts w:cs="Arial"/>
                <w:bCs/>
                <w:spacing w:val="-2"/>
                <w:w w:val="105"/>
                <w:szCs w:val="18"/>
              </w:rPr>
              <w:t>commercial,</w:t>
            </w:r>
            <w:r>
              <w:rPr>
                <w:rFonts w:cs="Arial"/>
                <w:bCs/>
                <w:spacing w:val="-2"/>
                <w:w w:val="105"/>
                <w:szCs w:val="18"/>
              </w:rPr>
              <w:t xml:space="preserve"> </w:t>
            </w:r>
            <w:r w:rsidRPr="00472E1F">
              <w:rPr>
                <w:rFonts w:cs="Arial"/>
                <w:bCs/>
                <w:spacing w:val="-2"/>
                <w:w w:val="105"/>
                <w:szCs w:val="18"/>
              </w:rPr>
              <w:t>domestic,</w:t>
            </w:r>
            <w:r>
              <w:rPr>
                <w:rFonts w:cs="Arial"/>
                <w:bCs/>
                <w:spacing w:val="-2"/>
                <w:w w:val="105"/>
                <w:szCs w:val="18"/>
              </w:rPr>
              <w:t xml:space="preserve"> </w:t>
            </w:r>
            <w:r w:rsidRPr="00472E1F">
              <w:rPr>
                <w:rFonts w:cs="Arial"/>
                <w:bCs/>
                <w:spacing w:val="-2"/>
                <w:w w:val="105"/>
                <w:szCs w:val="18"/>
              </w:rPr>
              <w:t>industrial and</w:t>
            </w:r>
            <w:r>
              <w:rPr>
                <w:rFonts w:cs="Arial"/>
                <w:bCs/>
                <w:spacing w:val="-2"/>
                <w:w w:val="105"/>
                <w:szCs w:val="18"/>
              </w:rPr>
              <w:t xml:space="preserve"> </w:t>
            </w:r>
            <w:r w:rsidRPr="00472E1F">
              <w:rPr>
                <w:rFonts w:cs="Arial"/>
                <w:bCs/>
                <w:spacing w:val="-2"/>
                <w:w w:val="105"/>
                <w:szCs w:val="18"/>
              </w:rPr>
              <w:t>public services</w:t>
            </w:r>
            <w:r>
              <w:rPr>
                <w:rFonts w:cs="Arial"/>
                <w:bCs/>
                <w:spacing w:val="-2"/>
                <w:w w:val="105"/>
                <w:szCs w:val="18"/>
              </w:rPr>
              <w:t xml:space="preserve"> </w:t>
            </w:r>
            <w:r w:rsidRPr="00472E1F">
              <w:rPr>
                <w:rFonts w:cs="Arial"/>
                <w:bCs/>
                <w:spacing w:val="-2"/>
                <w:w w:val="105"/>
                <w:szCs w:val="18"/>
              </w:rPr>
              <w:t>buildings</w:t>
            </w:r>
            <w:r>
              <w:rPr>
                <w:rFonts w:cs="Arial"/>
                <w:bCs/>
                <w:spacing w:val="-2"/>
                <w:w w:val="105"/>
                <w:szCs w:val="18"/>
              </w:rPr>
              <w:t xml:space="preserve"> and in </w:t>
            </w:r>
            <w:r w:rsidRPr="00472E1F">
              <w:rPr>
                <w:rFonts w:cs="Arial"/>
                <w:bCs/>
                <w:spacing w:val="-2"/>
                <w:w w:val="105"/>
                <w:szCs w:val="18"/>
              </w:rPr>
              <w:t>sewers.</w:t>
            </w:r>
          </w:p>
        </w:tc>
        <w:tc>
          <w:tcPr>
            <w:tcW w:w="1260" w:type="dxa"/>
          </w:tcPr>
          <w:p w14:paraId="527FE41C" w14:textId="77777777" w:rsidR="008E67EA" w:rsidRPr="00DB6BC4" w:rsidRDefault="008E67EA" w:rsidP="00B44A74">
            <w:pPr>
              <w:spacing w:after="120" w:line="240" w:lineRule="exact"/>
              <w:rPr>
                <w:rFonts w:cs="Arial"/>
                <w:bCs/>
                <w:spacing w:val="-2"/>
                <w:w w:val="105"/>
                <w:szCs w:val="18"/>
              </w:rPr>
            </w:pPr>
            <w:r w:rsidRPr="004F544F">
              <w:rPr>
                <w:rFonts w:cs="Arial"/>
                <w:bCs/>
                <w:spacing w:val="-2"/>
                <w:w w:val="105"/>
                <w:szCs w:val="18"/>
              </w:rPr>
              <w:t xml:space="preserve">Mice </w:t>
            </w:r>
            <w:r w:rsidRPr="004F544F">
              <w:rPr>
                <w:rFonts w:cs="Arial"/>
                <w:bCs/>
                <w:i/>
                <w:iCs/>
                <w:spacing w:val="-2"/>
                <w:w w:val="105"/>
                <w:szCs w:val="18"/>
              </w:rPr>
              <w:t>(Mus musculus)</w:t>
            </w:r>
          </w:p>
        </w:tc>
        <w:tc>
          <w:tcPr>
            <w:tcW w:w="1080" w:type="dxa"/>
          </w:tcPr>
          <w:p w14:paraId="0F5EF6F1" w14:textId="77777777" w:rsidR="008E67EA" w:rsidRPr="00DB6BC4" w:rsidRDefault="008E67EA" w:rsidP="00B44A74">
            <w:pPr>
              <w:spacing w:after="120" w:line="240" w:lineRule="exact"/>
              <w:rPr>
                <w:rFonts w:cs="Arial"/>
                <w:bCs/>
                <w:spacing w:val="-2"/>
                <w:w w:val="105"/>
                <w:szCs w:val="18"/>
              </w:rPr>
            </w:pPr>
            <w:r>
              <w:rPr>
                <w:rFonts w:cs="Arial"/>
                <w:bCs/>
                <w:spacing w:val="-2"/>
                <w:w w:val="105"/>
                <w:szCs w:val="18"/>
              </w:rPr>
              <w:t>[as per current approved label]</w:t>
            </w:r>
          </w:p>
        </w:tc>
        <w:tc>
          <w:tcPr>
            <w:tcW w:w="5080" w:type="dxa"/>
            <w:vMerge/>
          </w:tcPr>
          <w:p w14:paraId="49343D30" w14:textId="77777777" w:rsidR="008E67EA" w:rsidRPr="00AF79D7" w:rsidRDefault="008E67EA" w:rsidP="00B44A74">
            <w:pPr>
              <w:spacing w:after="120" w:line="240" w:lineRule="exact"/>
              <w:rPr>
                <w:rFonts w:cs="Arial"/>
                <w:bCs/>
                <w:spacing w:val="-2"/>
                <w:w w:val="105"/>
                <w:szCs w:val="18"/>
              </w:rPr>
            </w:pPr>
          </w:p>
        </w:tc>
      </w:tr>
    </w:tbl>
    <w:p w14:paraId="0F0BD536" w14:textId="57B56142" w:rsidR="008E67EA" w:rsidRDefault="008E67EA" w:rsidP="008E67EA">
      <w:pPr>
        <w:rPr>
          <w:rFonts w:cs="Arial"/>
          <w:b/>
          <w:bCs/>
          <w:sz w:val="20"/>
          <w:szCs w:val="20"/>
        </w:rPr>
      </w:pPr>
    </w:p>
    <w:p w14:paraId="53FF44F8" w14:textId="77777777" w:rsidR="008E67EA" w:rsidRPr="00392579" w:rsidRDefault="008E67EA" w:rsidP="008E67EA">
      <w:pPr>
        <w:spacing w:before="240" w:line="280" w:lineRule="exact"/>
        <w:rPr>
          <w:rFonts w:cs="Arial"/>
          <w:b/>
          <w:bCs/>
          <w:sz w:val="20"/>
          <w:szCs w:val="20"/>
        </w:rPr>
      </w:pPr>
      <w:r w:rsidRPr="00392579">
        <w:rPr>
          <w:rFonts w:cs="Arial"/>
          <w:b/>
          <w:bCs/>
          <w:sz w:val="20"/>
          <w:szCs w:val="20"/>
        </w:rPr>
        <w:t>Ready-to-use bait stations</w:t>
      </w:r>
      <w:r>
        <w:rPr>
          <w:rFonts w:cs="Arial"/>
          <w:b/>
          <w:bCs/>
          <w:sz w:val="20"/>
          <w:szCs w:val="20"/>
        </w:rPr>
        <w:t xml:space="preserve"> for mice</w:t>
      </w:r>
      <w:r w:rsidRPr="00392579">
        <w:rPr>
          <w:rFonts w:cs="Arial"/>
          <w:b/>
          <w:bCs/>
          <w:sz w:val="20"/>
          <w:szCs w:val="20"/>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260"/>
        <w:gridCol w:w="1080"/>
        <w:gridCol w:w="5079"/>
      </w:tblGrid>
      <w:tr w:rsidR="008E67EA" w:rsidRPr="00FF36BF" w14:paraId="7D5AA475" w14:textId="77777777" w:rsidTr="00604F9D">
        <w:trPr>
          <w:trHeight w:val="340"/>
        </w:trPr>
        <w:tc>
          <w:tcPr>
            <w:tcW w:w="1620" w:type="dxa"/>
          </w:tcPr>
          <w:p w14:paraId="0305BB75" w14:textId="77777777" w:rsidR="008E67EA" w:rsidRPr="00DB6BC4" w:rsidRDefault="008E67EA" w:rsidP="00B44A74">
            <w:pPr>
              <w:spacing w:line="280" w:lineRule="exact"/>
              <w:rPr>
                <w:rFonts w:cs="Arial"/>
                <w:b/>
                <w:bCs/>
                <w:szCs w:val="18"/>
              </w:rPr>
            </w:pPr>
            <w:r w:rsidRPr="00DB6BC4">
              <w:rPr>
                <w:rFonts w:cs="Arial"/>
                <w:b/>
                <w:bCs/>
                <w:szCs w:val="18"/>
              </w:rPr>
              <w:t>SITUATION</w:t>
            </w:r>
          </w:p>
        </w:tc>
        <w:tc>
          <w:tcPr>
            <w:tcW w:w="1260" w:type="dxa"/>
          </w:tcPr>
          <w:p w14:paraId="0DF5376C" w14:textId="77777777" w:rsidR="008E67EA" w:rsidRPr="00DB6BC4" w:rsidRDefault="008E67EA" w:rsidP="00B44A74">
            <w:pPr>
              <w:spacing w:line="280" w:lineRule="exact"/>
              <w:rPr>
                <w:rFonts w:cs="Arial"/>
                <w:b/>
                <w:bCs/>
                <w:szCs w:val="18"/>
              </w:rPr>
            </w:pPr>
            <w:r w:rsidRPr="00DB6BC4">
              <w:rPr>
                <w:rFonts w:cs="Arial"/>
                <w:b/>
                <w:bCs/>
                <w:szCs w:val="18"/>
              </w:rPr>
              <w:t>PEST</w:t>
            </w:r>
          </w:p>
        </w:tc>
        <w:tc>
          <w:tcPr>
            <w:tcW w:w="1080" w:type="dxa"/>
          </w:tcPr>
          <w:p w14:paraId="135BDB65" w14:textId="77777777" w:rsidR="008E67EA" w:rsidRPr="00DB6BC4" w:rsidRDefault="008E67EA" w:rsidP="00B44A74">
            <w:pPr>
              <w:spacing w:line="280" w:lineRule="exact"/>
              <w:rPr>
                <w:rFonts w:cs="Arial"/>
                <w:b/>
                <w:bCs/>
                <w:szCs w:val="18"/>
              </w:rPr>
            </w:pPr>
            <w:r w:rsidRPr="00DB6BC4">
              <w:rPr>
                <w:rFonts w:cs="Arial"/>
                <w:b/>
                <w:bCs/>
                <w:szCs w:val="18"/>
              </w:rPr>
              <w:t>RATE</w:t>
            </w:r>
          </w:p>
        </w:tc>
        <w:tc>
          <w:tcPr>
            <w:tcW w:w="5079" w:type="dxa"/>
          </w:tcPr>
          <w:p w14:paraId="45FC5BCD" w14:textId="77777777" w:rsidR="008E67EA" w:rsidRPr="00DB6BC4" w:rsidRDefault="008E67EA" w:rsidP="00B44A74">
            <w:pPr>
              <w:spacing w:line="280" w:lineRule="exact"/>
              <w:rPr>
                <w:rFonts w:cs="Arial"/>
                <w:b/>
                <w:bCs/>
                <w:szCs w:val="18"/>
              </w:rPr>
            </w:pPr>
            <w:r w:rsidRPr="00DB6BC4">
              <w:rPr>
                <w:rFonts w:cs="Arial"/>
                <w:b/>
                <w:bCs/>
                <w:szCs w:val="18"/>
              </w:rPr>
              <w:t>CRITICAL COMMENTS</w:t>
            </w:r>
          </w:p>
        </w:tc>
      </w:tr>
      <w:tr w:rsidR="008E67EA" w:rsidRPr="00FF36BF" w14:paraId="00336B40" w14:textId="77777777" w:rsidTr="00604F9D">
        <w:trPr>
          <w:trHeight w:val="841"/>
        </w:trPr>
        <w:tc>
          <w:tcPr>
            <w:tcW w:w="1620" w:type="dxa"/>
          </w:tcPr>
          <w:p w14:paraId="1964064E" w14:textId="77777777" w:rsidR="008E67EA" w:rsidRPr="00DB6BC4" w:rsidRDefault="008E67EA" w:rsidP="00B44A74">
            <w:pPr>
              <w:spacing w:after="120" w:line="240" w:lineRule="exact"/>
              <w:rPr>
                <w:rFonts w:cs="Arial"/>
                <w:bCs/>
                <w:spacing w:val="-2"/>
                <w:w w:val="105"/>
                <w:szCs w:val="18"/>
              </w:rPr>
            </w:pPr>
            <w:r w:rsidRPr="00472E1F">
              <w:rPr>
                <w:rFonts w:cs="Arial"/>
                <w:bCs/>
                <w:spacing w:val="-2"/>
                <w:w w:val="105"/>
                <w:szCs w:val="18"/>
              </w:rPr>
              <w:t>In agricultural,</w:t>
            </w:r>
            <w:r>
              <w:rPr>
                <w:rFonts w:cs="Arial"/>
                <w:bCs/>
                <w:spacing w:val="-2"/>
                <w:w w:val="105"/>
                <w:szCs w:val="18"/>
              </w:rPr>
              <w:t xml:space="preserve"> </w:t>
            </w:r>
            <w:r w:rsidRPr="00472E1F">
              <w:rPr>
                <w:rFonts w:cs="Arial"/>
                <w:bCs/>
                <w:spacing w:val="-2"/>
                <w:w w:val="105"/>
                <w:szCs w:val="18"/>
              </w:rPr>
              <w:t>commercial,</w:t>
            </w:r>
            <w:r>
              <w:rPr>
                <w:rFonts w:cs="Arial"/>
                <w:bCs/>
                <w:spacing w:val="-2"/>
                <w:w w:val="105"/>
                <w:szCs w:val="18"/>
              </w:rPr>
              <w:t xml:space="preserve"> </w:t>
            </w:r>
            <w:r w:rsidRPr="00472E1F">
              <w:rPr>
                <w:rFonts w:cs="Arial"/>
                <w:bCs/>
                <w:spacing w:val="-2"/>
                <w:w w:val="105"/>
                <w:szCs w:val="18"/>
              </w:rPr>
              <w:t>domestic,</w:t>
            </w:r>
            <w:r>
              <w:rPr>
                <w:rFonts w:cs="Arial"/>
                <w:bCs/>
                <w:spacing w:val="-2"/>
                <w:w w:val="105"/>
                <w:szCs w:val="18"/>
              </w:rPr>
              <w:t xml:space="preserve"> </w:t>
            </w:r>
            <w:r w:rsidRPr="00472E1F">
              <w:rPr>
                <w:rFonts w:cs="Arial"/>
                <w:bCs/>
                <w:spacing w:val="-2"/>
                <w:w w:val="105"/>
                <w:szCs w:val="18"/>
              </w:rPr>
              <w:t>industrial and</w:t>
            </w:r>
            <w:r>
              <w:rPr>
                <w:rFonts w:cs="Arial"/>
                <w:bCs/>
                <w:spacing w:val="-2"/>
                <w:w w:val="105"/>
                <w:szCs w:val="18"/>
              </w:rPr>
              <w:t xml:space="preserve"> </w:t>
            </w:r>
            <w:r w:rsidRPr="00472E1F">
              <w:rPr>
                <w:rFonts w:cs="Arial"/>
                <w:bCs/>
                <w:spacing w:val="-2"/>
                <w:w w:val="105"/>
                <w:szCs w:val="18"/>
              </w:rPr>
              <w:t>public services</w:t>
            </w:r>
            <w:r>
              <w:rPr>
                <w:rFonts w:cs="Arial"/>
                <w:bCs/>
                <w:spacing w:val="-2"/>
                <w:w w:val="105"/>
                <w:szCs w:val="18"/>
              </w:rPr>
              <w:t xml:space="preserve"> </w:t>
            </w:r>
            <w:r w:rsidRPr="00472E1F">
              <w:rPr>
                <w:rFonts w:cs="Arial"/>
                <w:bCs/>
                <w:spacing w:val="-2"/>
                <w:w w:val="105"/>
                <w:szCs w:val="18"/>
              </w:rPr>
              <w:t>buildings</w:t>
            </w:r>
            <w:r>
              <w:rPr>
                <w:rFonts w:cs="Arial"/>
                <w:bCs/>
                <w:spacing w:val="-2"/>
                <w:w w:val="105"/>
                <w:szCs w:val="18"/>
              </w:rPr>
              <w:t xml:space="preserve"> and in </w:t>
            </w:r>
            <w:r w:rsidRPr="00472E1F">
              <w:rPr>
                <w:rFonts w:cs="Arial"/>
                <w:bCs/>
                <w:spacing w:val="-2"/>
                <w:w w:val="105"/>
                <w:szCs w:val="18"/>
              </w:rPr>
              <w:t>sewers.</w:t>
            </w:r>
          </w:p>
        </w:tc>
        <w:tc>
          <w:tcPr>
            <w:tcW w:w="1260" w:type="dxa"/>
          </w:tcPr>
          <w:p w14:paraId="2D52A418" w14:textId="77777777" w:rsidR="008E67EA" w:rsidRPr="00DB6BC4" w:rsidRDefault="008E67EA" w:rsidP="00B44A74">
            <w:pPr>
              <w:spacing w:after="120" w:line="240" w:lineRule="exact"/>
              <w:rPr>
                <w:rFonts w:cs="Arial"/>
                <w:bCs/>
                <w:spacing w:val="-2"/>
                <w:w w:val="105"/>
                <w:szCs w:val="18"/>
              </w:rPr>
            </w:pPr>
            <w:r w:rsidRPr="004F544F">
              <w:rPr>
                <w:rFonts w:cs="Arial"/>
                <w:bCs/>
                <w:spacing w:val="-2"/>
                <w:w w:val="105"/>
                <w:szCs w:val="18"/>
              </w:rPr>
              <w:t xml:space="preserve">Mice </w:t>
            </w:r>
            <w:r w:rsidRPr="004F544F">
              <w:rPr>
                <w:rFonts w:cs="Arial"/>
                <w:bCs/>
                <w:i/>
                <w:iCs/>
                <w:spacing w:val="-2"/>
                <w:w w:val="105"/>
                <w:szCs w:val="18"/>
              </w:rPr>
              <w:t>(Mus musculus)</w:t>
            </w:r>
          </w:p>
        </w:tc>
        <w:tc>
          <w:tcPr>
            <w:tcW w:w="1080" w:type="dxa"/>
          </w:tcPr>
          <w:p w14:paraId="566E0AAE" w14:textId="77777777" w:rsidR="008E67EA" w:rsidRPr="00DB6BC4" w:rsidRDefault="008E67EA" w:rsidP="00B44A74">
            <w:pPr>
              <w:spacing w:after="120" w:line="240" w:lineRule="exact"/>
              <w:rPr>
                <w:rFonts w:cs="Arial"/>
                <w:bCs/>
                <w:spacing w:val="-2"/>
                <w:w w:val="105"/>
                <w:szCs w:val="18"/>
              </w:rPr>
            </w:pPr>
            <w:r>
              <w:rPr>
                <w:rFonts w:cs="Arial"/>
                <w:bCs/>
                <w:spacing w:val="-2"/>
                <w:w w:val="105"/>
                <w:szCs w:val="18"/>
              </w:rPr>
              <w:t>[as per current approved label]</w:t>
            </w:r>
          </w:p>
        </w:tc>
        <w:tc>
          <w:tcPr>
            <w:tcW w:w="5079" w:type="dxa"/>
          </w:tcPr>
          <w:p w14:paraId="569C8682" w14:textId="77777777" w:rsidR="008E67EA" w:rsidRDefault="008E67EA" w:rsidP="00B44A74">
            <w:pPr>
              <w:spacing w:after="120" w:line="240" w:lineRule="exact"/>
              <w:rPr>
                <w:rFonts w:cs="Arial"/>
                <w:bCs/>
                <w:spacing w:val="-2"/>
                <w:w w:val="105"/>
                <w:szCs w:val="18"/>
              </w:rPr>
            </w:pPr>
            <w:r>
              <w:rPr>
                <w:rFonts w:cs="Arial"/>
                <w:bCs/>
                <w:spacing w:val="-2"/>
                <w:w w:val="105"/>
                <w:szCs w:val="18"/>
              </w:rPr>
              <w:t xml:space="preserve">Place pre-baited bait stations in the infested area. </w:t>
            </w:r>
            <w:r w:rsidRPr="00EC163C">
              <w:rPr>
                <w:rFonts w:cs="Arial"/>
                <w:bCs/>
                <w:spacing w:val="-2"/>
                <w:w w:val="105"/>
                <w:szCs w:val="18"/>
              </w:rPr>
              <w:t>DO NOT exceed 3 m between bait stations for mice.</w:t>
            </w:r>
          </w:p>
          <w:p w14:paraId="4DE10623" w14:textId="64611124" w:rsidR="008E67EA" w:rsidRDefault="008E67EA" w:rsidP="00B44A74">
            <w:pPr>
              <w:spacing w:after="120" w:line="240" w:lineRule="exact"/>
              <w:rPr>
                <w:rFonts w:cs="Arial"/>
                <w:bCs/>
                <w:spacing w:val="-2"/>
                <w:w w:val="105"/>
                <w:szCs w:val="18"/>
              </w:rPr>
            </w:pPr>
            <w:r w:rsidRPr="004249AB">
              <w:rPr>
                <w:rFonts w:cs="Arial"/>
                <w:bCs/>
                <w:spacing w:val="-2"/>
                <w:w w:val="105"/>
                <w:szCs w:val="18"/>
              </w:rPr>
              <w:t>The quantity of bait depends on the</w:t>
            </w:r>
            <w:r>
              <w:rPr>
                <w:rFonts w:cs="Arial"/>
                <w:bCs/>
                <w:spacing w:val="-2"/>
                <w:w w:val="105"/>
                <w:szCs w:val="18"/>
              </w:rPr>
              <w:t xml:space="preserve"> </w:t>
            </w:r>
            <w:r w:rsidRPr="004249AB">
              <w:rPr>
                <w:rFonts w:cs="Arial"/>
                <w:bCs/>
                <w:spacing w:val="-2"/>
                <w:w w:val="105"/>
                <w:szCs w:val="18"/>
              </w:rPr>
              <w:t>estimated pest population. For low activity,</w:t>
            </w:r>
            <w:r>
              <w:rPr>
                <w:rFonts w:cs="Arial"/>
                <w:bCs/>
                <w:spacing w:val="-2"/>
                <w:w w:val="105"/>
                <w:szCs w:val="18"/>
              </w:rPr>
              <w:t xml:space="preserve"> </w:t>
            </w:r>
            <w:r w:rsidRPr="004249AB">
              <w:rPr>
                <w:rFonts w:cs="Arial"/>
                <w:bCs/>
                <w:spacing w:val="-2"/>
                <w:w w:val="105"/>
                <w:szCs w:val="18"/>
              </w:rPr>
              <w:t>place 1 to 2 pre-baited stations around the</w:t>
            </w:r>
            <w:r>
              <w:rPr>
                <w:rFonts w:cs="Arial"/>
                <w:bCs/>
                <w:spacing w:val="-2"/>
                <w:w w:val="105"/>
                <w:szCs w:val="18"/>
              </w:rPr>
              <w:t xml:space="preserve"> </w:t>
            </w:r>
            <w:r w:rsidRPr="004249AB">
              <w:rPr>
                <w:rFonts w:cs="Arial"/>
                <w:bCs/>
                <w:spacing w:val="-2"/>
                <w:w w:val="105"/>
                <w:szCs w:val="18"/>
              </w:rPr>
              <w:t>nest. For high activity, place more pre</w:t>
            </w:r>
            <w:r>
              <w:rPr>
                <w:rFonts w:cs="Arial"/>
                <w:bCs/>
                <w:spacing w:val="-2"/>
                <w:w w:val="105"/>
                <w:szCs w:val="18"/>
              </w:rPr>
              <w:t>-</w:t>
            </w:r>
            <w:r w:rsidRPr="004249AB">
              <w:rPr>
                <w:rFonts w:cs="Arial"/>
                <w:bCs/>
                <w:spacing w:val="-2"/>
                <w:w w:val="105"/>
                <w:szCs w:val="18"/>
              </w:rPr>
              <w:t>baited stations at more frequent intervals.</w:t>
            </w:r>
          </w:p>
          <w:p w14:paraId="4CB54F8B" w14:textId="77777777" w:rsidR="008E67EA" w:rsidRDefault="008E67EA" w:rsidP="00B44A74">
            <w:pPr>
              <w:spacing w:after="120" w:line="240" w:lineRule="exact"/>
              <w:rPr>
                <w:rFonts w:cs="Arial"/>
                <w:bCs/>
                <w:spacing w:val="-2"/>
                <w:w w:val="105"/>
                <w:szCs w:val="18"/>
              </w:rPr>
            </w:pPr>
            <w:r w:rsidRPr="00ED2E87">
              <w:rPr>
                <w:rFonts w:cs="Arial"/>
                <w:bCs/>
                <w:spacing w:val="-2"/>
                <w:w w:val="105"/>
                <w:szCs w:val="18"/>
              </w:rPr>
              <w:t>It is essential to locate the baits close to</w:t>
            </w:r>
            <w:r>
              <w:rPr>
                <w:rFonts w:cs="Arial"/>
                <w:bCs/>
                <w:spacing w:val="-2"/>
                <w:w w:val="105"/>
                <w:szCs w:val="18"/>
              </w:rPr>
              <w:t xml:space="preserve"> </w:t>
            </w:r>
            <w:r w:rsidRPr="00ED2E87">
              <w:rPr>
                <w:rFonts w:cs="Arial"/>
                <w:bCs/>
                <w:spacing w:val="-2"/>
                <w:w w:val="105"/>
                <w:szCs w:val="18"/>
              </w:rPr>
              <w:t>where the mice nest and feed, and also</w:t>
            </w:r>
            <w:r>
              <w:rPr>
                <w:rFonts w:cs="Arial"/>
                <w:bCs/>
                <w:spacing w:val="-2"/>
                <w:w w:val="105"/>
                <w:szCs w:val="18"/>
              </w:rPr>
              <w:t xml:space="preserve"> </w:t>
            </w:r>
            <w:r w:rsidRPr="00ED2E87">
              <w:rPr>
                <w:rFonts w:cs="Arial"/>
                <w:bCs/>
                <w:spacing w:val="-2"/>
                <w:w w:val="105"/>
                <w:szCs w:val="18"/>
              </w:rPr>
              <w:t>along their pathways.</w:t>
            </w:r>
            <w:r>
              <w:rPr>
                <w:rFonts w:cs="Arial"/>
                <w:bCs/>
                <w:spacing w:val="-2"/>
                <w:w w:val="105"/>
                <w:szCs w:val="18"/>
              </w:rPr>
              <w:t xml:space="preserve"> </w:t>
            </w:r>
            <w:r w:rsidRPr="00ED2E87">
              <w:rPr>
                <w:rFonts w:cs="Arial"/>
                <w:bCs/>
                <w:spacing w:val="-2"/>
                <w:w w:val="105"/>
                <w:szCs w:val="18"/>
              </w:rPr>
              <w:t>Generally mice will nest close to their</w:t>
            </w:r>
            <w:r>
              <w:rPr>
                <w:rFonts w:cs="Arial"/>
                <w:bCs/>
                <w:spacing w:val="-2"/>
                <w:w w:val="105"/>
                <w:szCs w:val="18"/>
              </w:rPr>
              <w:t xml:space="preserve"> </w:t>
            </w:r>
            <w:r w:rsidRPr="00ED2E87">
              <w:rPr>
                <w:rFonts w:cs="Arial"/>
                <w:bCs/>
                <w:spacing w:val="-2"/>
                <w:w w:val="105"/>
                <w:szCs w:val="18"/>
              </w:rPr>
              <w:t>feeding source, so place the baits in</w:t>
            </w:r>
            <w:r>
              <w:rPr>
                <w:rFonts w:cs="Arial"/>
                <w:bCs/>
                <w:spacing w:val="-2"/>
                <w:w w:val="105"/>
                <w:szCs w:val="18"/>
              </w:rPr>
              <w:t xml:space="preserve"> </w:t>
            </w:r>
            <w:r w:rsidRPr="00ED2E87">
              <w:rPr>
                <w:rFonts w:cs="Arial"/>
                <w:bCs/>
                <w:spacing w:val="-2"/>
                <w:w w:val="105"/>
                <w:szCs w:val="18"/>
              </w:rPr>
              <w:t>various locations near the nest.</w:t>
            </w:r>
          </w:p>
          <w:p w14:paraId="62B977BD" w14:textId="77777777" w:rsidR="008E67EA" w:rsidRPr="00AF79D7" w:rsidRDefault="008E67EA" w:rsidP="00B44A74">
            <w:pPr>
              <w:spacing w:after="120" w:line="240" w:lineRule="exact"/>
              <w:rPr>
                <w:rFonts w:cs="Arial"/>
                <w:bCs/>
                <w:spacing w:val="-2"/>
                <w:w w:val="105"/>
                <w:szCs w:val="18"/>
              </w:rPr>
            </w:pPr>
            <w:r w:rsidRPr="00ED2E87">
              <w:rPr>
                <w:rFonts w:cs="Arial"/>
                <w:bCs/>
                <w:spacing w:val="-2"/>
                <w:w w:val="105"/>
                <w:szCs w:val="18"/>
              </w:rPr>
              <w:t>In sewers and storm-water drains, suspend pre-baited stations from manholes by wire or place in such a manner so that baits will not be washed into water supplies.</w:t>
            </w:r>
          </w:p>
        </w:tc>
      </w:tr>
    </w:tbl>
    <w:p w14:paraId="4FA624B4" w14:textId="77777777" w:rsidR="008E67EA" w:rsidRPr="00392579" w:rsidRDefault="008E67EA" w:rsidP="008E67EA">
      <w:pPr>
        <w:spacing w:before="240" w:line="280" w:lineRule="exact"/>
        <w:rPr>
          <w:rFonts w:cs="Arial"/>
          <w:b/>
          <w:bCs/>
          <w:sz w:val="20"/>
          <w:szCs w:val="20"/>
        </w:rPr>
      </w:pPr>
      <w:r w:rsidRPr="00392579">
        <w:rPr>
          <w:rFonts w:cs="Arial"/>
          <w:b/>
          <w:bCs/>
          <w:sz w:val="20"/>
          <w:szCs w:val="20"/>
        </w:rPr>
        <w:lastRenderedPageBreak/>
        <w:t>Ready-to-use bait stations</w:t>
      </w:r>
      <w:r>
        <w:rPr>
          <w:rFonts w:cs="Arial"/>
          <w:b/>
          <w:bCs/>
          <w:sz w:val="20"/>
          <w:szCs w:val="20"/>
        </w:rPr>
        <w:t xml:space="preserve"> for rats</w:t>
      </w:r>
      <w:r w:rsidRPr="00392579">
        <w:rPr>
          <w:rFonts w:cs="Arial"/>
          <w:b/>
          <w:bCs/>
          <w:sz w:val="20"/>
          <w:szCs w:val="20"/>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1260"/>
        <w:gridCol w:w="1125"/>
        <w:gridCol w:w="4936"/>
      </w:tblGrid>
      <w:tr w:rsidR="008E67EA" w:rsidRPr="00FF36BF" w14:paraId="3DBCB258" w14:textId="77777777" w:rsidTr="00604F9D">
        <w:trPr>
          <w:trHeight w:val="340"/>
        </w:trPr>
        <w:tc>
          <w:tcPr>
            <w:tcW w:w="1679" w:type="dxa"/>
          </w:tcPr>
          <w:p w14:paraId="33DAFEE9" w14:textId="77777777" w:rsidR="008E67EA" w:rsidRPr="00DB6BC4" w:rsidRDefault="008E67EA" w:rsidP="00B44A74">
            <w:pPr>
              <w:spacing w:line="280" w:lineRule="exact"/>
              <w:rPr>
                <w:rFonts w:cs="Arial"/>
                <w:b/>
                <w:bCs/>
                <w:szCs w:val="18"/>
              </w:rPr>
            </w:pPr>
            <w:r w:rsidRPr="00DB6BC4">
              <w:rPr>
                <w:rFonts w:cs="Arial"/>
                <w:b/>
                <w:bCs/>
                <w:szCs w:val="18"/>
              </w:rPr>
              <w:t>SITUATION</w:t>
            </w:r>
          </w:p>
        </w:tc>
        <w:tc>
          <w:tcPr>
            <w:tcW w:w="1260" w:type="dxa"/>
          </w:tcPr>
          <w:p w14:paraId="7371F99F" w14:textId="77777777" w:rsidR="008E67EA" w:rsidRPr="00DB6BC4" w:rsidRDefault="008E67EA" w:rsidP="00B44A74">
            <w:pPr>
              <w:spacing w:line="280" w:lineRule="exact"/>
              <w:rPr>
                <w:rFonts w:cs="Arial"/>
                <w:b/>
                <w:bCs/>
                <w:szCs w:val="18"/>
              </w:rPr>
            </w:pPr>
            <w:r w:rsidRPr="00DB6BC4">
              <w:rPr>
                <w:rFonts w:cs="Arial"/>
                <w:b/>
                <w:bCs/>
                <w:szCs w:val="18"/>
              </w:rPr>
              <w:t>PEST</w:t>
            </w:r>
          </w:p>
        </w:tc>
        <w:tc>
          <w:tcPr>
            <w:tcW w:w="1125" w:type="dxa"/>
          </w:tcPr>
          <w:p w14:paraId="768245D0" w14:textId="77777777" w:rsidR="008E67EA" w:rsidRPr="00DB6BC4" w:rsidRDefault="008E67EA" w:rsidP="00B44A74">
            <w:pPr>
              <w:spacing w:line="280" w:lineRule="exact"/>
              <w:rPr>
                <w:rFonts w:cs="Arial"/>
                <w:b/>
                <w:bCs/>
                <w:szCs w:val="18"/>
              </w:rPr>
            </w:pPr>
            <w:r w:rsidRPr="00DB6BC4">
              <w:rPr>
                <w:rFonts w:cs="Arial"/>
                <w:b/>
                <w:bCs/>
                <w:szCs w:val="18"/>
              </w:rPr>
              <w:t>RATE</w:t>
            </w:r>
          </w:p>
        </w:tc>
        <w:tc>
          <w:tcPr>
            <w:tcW w:w="4936" w:type="dxa"/>
          </w:tcPr>
          <w:p w14:paraId="7EBD42E8" w14:textId="77777777" w:rsidR="008E67EA" w:rsidRPr="00DB6BC4" w:rsidRDefault="008E67EA" w:rsidP="00B44A74">
            <w:pPr>
              <w:spacing w:line="280" w:lineRule="exact"/>
              <w:rPr>
                <w:rFonts w:cs="Arial"/>
                <w:b/>
                <w:bCs/>
                <w:szCs w:val="18"/>
              </w:rPr>
            </w:pPr>
            <w:r w:rsidRPr="00DB6BC4">
              <w:rPr>
                <w:rFonts w:cs="Arial"/>
                <w:b/>
                <w:bCs/>
                <w:szCs w:val="18"/>
              </w:rPr>
              <w:t>CRITICAL COMMENTS</w:t>
            </w:r>
          </w:p>
        </w:tc>
      </w:tr>
      <w:tr w:rsidR="008E67EA" w:rsidRPr="00FF36BF" w14:paraId="0E1FDBFA" w14:textId="77777777" w:rsidTr="00604F9D">
        <w:trPr>
          <w:trHeight w:val="841"/>
        </w:trPr>
        <w:tc>
          <w:tcPr>
            <w:tcW w:w="1679" w:type="dxa"/>
          </w:tcPr>
          <w:p w14:paraId="0B12C1BF" w14:textId="77777777" w:rsidR="008E67EA" w:rsidRPr="00DB6BC4" w:rsidRDefault="008E67EA" w:rsidP="00B44A74">
            <w:pPr>
              <w:spacing w:after="120" w:line="240" w:lineRule="exact"/>
              <w:rPr>
                <w:rFonts w:cs="Arial"/>
                <w:bCs/>
                <w:spacing w:val="-2"/>
                <w:w w:val="105"/>
                <w:szCs w:val="18"/>
              </w:rPr>
            </w:pPr>
            <w:r w:rsidRPr="00472E1F">
              <w:rPr>
                <w:rFonts w:cs="Arial"/>
                <w:bCs/>
                <w:spacing w:val="-2"/>
                <w:w w:val="105"/>
                <w:szCs w:val="18"/>
              </w:rPr>
              <w:t>In and around</w:t>
            </w:r>
            <w:r>
              <w:rPr>
                <w:rFonts w:cs="Arial"/>
                <w:bCs/>
                <w:spacing w:val="-2"/>
                <w:w w:val="105"/>
                <w:szCs w:val="18"/>
              </w:rPr>
              <w:t xml:space="preserve"> (within 2 m) </w:t>
            </w:r>
            <w:r w:rsidRPr="00472E1F">
              <w:rPr>
                <w:rFonts w:cs="Arial"/>
                <w:bCs/>
                <w:spacing w:val="-2"/>
                <w:w w:val="105"/>
                <w:szCs w:val="18"/>
              </w:rPr>
              <w:t>agricultural,</w:t>
            </w:r>
            <w:r>
              <w:rPr>
                <w:rFonts w:cs="Arial"/>
                <w:bCs/>
                <w:spacing w:val="-2"/>
                <w:w w:val="105"/>
                <w:szCs w:val="18"/>
              </w:rPr>
              <w:t xml:space="preserve"> </w:t>
            </w:r>
            <w:r w:rsidRPr="00472E1F">
              <w:rPr>
                <w:rFonts w:cs="Arial"/>
                <w:bCs/>
                <w:spacing w:val="-2"/>
                <w:w w:val="105"/>
                <w:szCs w:val="18"/>
              </w:rPr>
              <w:t>commercial,</w:t>
            </w:r>
            <w:r>
              <w:rPr>
                <w:rFonts w:cs="Arial"/>
                <w:bCs/>
                <w:spacing w:val="-2"/>
                <w:w w:val="105"/>
                <w:szCs w:val="18"/>
              </w:rPr>
              <w:t xml:space="preserve"> </w:t>
            </w:r>
            <w:r w:rsidRPr="00472E1F">
              <w:rPr>
                <w:rFonts w:cs="Arial"/>
                <w:bCs/>
                <w:spacing w:val="-2"/>
                <w:w w:val="105"/>
                <w:szCs w:val="18"/>
              </w:rPr>
              <w:t>domestic,</w:t>
            </w:r>
            <w:r>
              <w:rPr>
                <w:rFonts w:cs="Arial"/>
                <w:bCs/>
                <w:spacing w:val="-2"/>
                <w:w w:val="105"/>
                <w:szCs w:val="18"/>
              </w:rPr>
              <w:t xml:space="preserve"> </w:t>
            </w:r>
            <w:r w:rsidRPr="00472E1F">
              <w:rPr>
                <w:rFonts w:cs="Arial"/>
                <w:bCs/>
                <w:spacing w:val="-2"/>
                <w:w w:val="105"/>
                <w:szCs w:val="18"/>
              </w:rPr>
              <w:t>industrial and</w:t>
            </w:r>
            <w:r>
              <w:rPr>
                <w:rFonts w:cs="Arial"/>
                <w:bCs/>
                <w:spacing w:val="-2"/>
                <w:w w:val="105"/>
                <w:szCs w:val="18"/>
              </w:rPr>
              <w:t xml:space="preserve"> </w:t>
            </w:r>
            <w:r w:rsidRPr="00472E1F">
              <w:rPr>
                <w:rFonts w:cs="Arial"/>
                <w:bCs/>
                <w:spacing w:val="-2"/>
                <w:w w:val="105"/>
                <w:szCs w:val="18"/>
              </w:rPr>
              <w:t>public services</w:t>
            </w:r>
            <w:r>
              <w:rPr>
                <w:rFonts w:cs="Arial"/>
                <w:bCs/>
                <w:spacing w:val="-2"/>
                <w:w w:val="105"/>
                <w:szCs w:val="18"/>
              </w:rPr>
              <w:t xml:space="preserve"> </w:t>
            </w:r>
            <w:r w:rsidRPr="00472E1F">
              <w:rPr>
                <w:rFonts w:cs="Arial"/>
                <w:bCs/>
                <w:spacing w:val="-2"/>
                <w:w w:val="105"/>
                <w:szCs w:val="18"/>
              </w:rPr>
              <w:t>buildings</w:t>
            </w:r>
            <w:r>
              <w:rPr>
                <w:rFonts w:cs="Arial"/>
                <w:bCs/>
                <w:spacing w:val="-2"/>
                <w:w w:val="105"/>
                <w:szCs w:val="18"/>
              </w:rPr>
              <w:t>. I</w:t>
            </w:r>
            <w:r w:rsidRPr="00472E1F">
              <w:rPr>
                <w:rFonts w:cs="Arial"/>
                <w:bCs/>
                <w:spacing w:val="-2"/>
                <w:w w:val="105"/>
                <w:szCs w:val="18"/>
              </w:rPr>
              <w:t>n</w:t>
            </w:r>
            <w:r>
              <w:rPr>
                <w:rFonts w:cs="Arial"/>
                <w:bCs/>
                <w:spacing w:val="-2"/>
                <w:w w:val="105"/>
                <w:szCs w:val="18"/>
              </w:rPr>
              <w:t xml:space="preserve"> </w:t>
            </w:r>
            <w:r w:rsidRPr="00472E1F">
              <w:rPr>
                <w:rFonts w:cs="Arial"/>
                <w:bCs/>
                <w:spacing w:val="-2"/>
                <w:w w:val="105"/>
                <w:szCs w:val="18"/>
              </w:rPr>
              <w:t>sewers.</w:t>
            </w:r>
          </w:p>
        </w:tc>
        <w:tc>
          <w:tcPr>
            <w:tcW w:w="1260" w:type="dxa"/>
          </w:tcPr>
          <w:p w14:paraId="699F85D0" w14:textId="77777777" w:rsidR="008E67EA" w:rsidRPr="00DB6BC4" w:rsidRDefault="008E67EA" w:rsidP="00B44A74">
            <w:pPr>
              <w:spacing w:after="120" w:line="240" w:lineRule="exact"/>
              <w:rPr>
                <w:rFonts w:cs="Arial"/>
                <w:bCs/>
                <w:spacing w:val="-2"/>
                <w:w w:val="105"/>
                <w:szCs w:val="18"/>
              </w:rPr>
            </w:pPr>
            <w:r w:rsidRPr="004F544F">
              <w:rPr>
                <w:rFonts w:cs="Arial"/>
                <w:bCs/>
                <w:spacing w:val="-2"/>
                <w:w w:val="105"/>
                <w:szCs w:val="18"/>
              </w:rPr>
              <w:t xml:space="preserve">Rats </w:t>
            </w:r>
            <w:r w:rsidRPr="004F544F">
              <w:rPr>
                <w:rFonts w:cs="Arial"/>
                <w:bCs/>
                <w:i/>
                <w:iCs/>
                <w:spacing w:val="-2"/>
                <w:w w:val="105"/>
                <w:szCs w:val="18"/>
              </w:rPr>
              <w:t>(Rattus rattus, Rattus norvegicus))</w:t>
            </w:r>
          </w:p>
        </w:tc>
        <w:tc>
          <w:tcPr>
            <w:tcW w:w="1125" w:type="dxa"/>
          </w:tcPr>
          <w:p w14:paraId="27DD7D11" w14:textId="77777777" w:rsidR="008E67EA" w:rsidRPr="00DB6BC4" w:rsidRDefault="008E67EA" w:rsidP="00B44A74">
            <w:pPr>
              <w:spacing w:after="120" w:line="240" w:lineRule="exact"/>
              <w:rPr>
                <w:rFonts w:cs="Arial"/>
                <w:bCs/>
                <w:spacing w:val="-2"/>
                <w:w w:val="105"/>
                <w:szCs w:val="18"/>
              </w:rPr>
            </w:pPr>
            <w:r>
              <w:rPr>
                <w:rFonts w:cs="Arial"/>
                <w:bCs/>
                <w:spacing w:val="-2"/>
                <w:w w:val="105"/>
                <w:szCs w:val="18"/>
              </w:rPr>
              <w:t>[as per current approved label]</w:t>
            </w:r>
          </w:p>
        </w:tc>
        <w:tc>
          <w:tcPr>
            <w:tcW w:w="4936" w:type="dxa"/>
          </w:tcPr>
          <w:p w14:paraId="7713BC5B" w14:textId="77777777" w:rsidR="008E67EA" w:rsidRDefault="008E67EA" w:rsidP="00B44A74">
            <w:pPr>
              <w:spacing w:after="120" w:line="240" w:lineRule="exact"/>
              <w:rPr>
                <w:rFonts w:cs="Arial"/>
                <w:bCs/>
                <w:spacing w:val="-2"/>
                <w:w w:val="105"/>
                <w:szCs w:val="18"/>
              </w:rPr>
            </w:pPr>
            <w:r>
              <w:rPr>
                <w:rFonts w:cs="Arial"/>
                <w:bCs/>
                <w:spacing w:val="-2"/>
                <w:w w:val="105"/>
                <w:szCs w:val="18"/>
              </w:rPr>
              <w:t xml:space="preserve">Place pre-baited bait stations in the infested area. </w:t>
            </w:r>
            <w:r w:rsidRPr="00EC163C">
              <w:rPr>
                <w:rFonts w:cs="Arial"/>
                <w:bCs/>
                <w:spacing w:val="-2"/>
                <w:w w:val="105"/>
                <w:szCs w:val="18"/>
              </w:rPr>
              <w:t>DO NOT exceed</w:t>
            </w:r>
            <w:r>
              <w:rPr>
                <w:rFonts w:cs="Arial"/>
                <w:bCs/>
                <w:spacing w:val="-2"/>
                <w:w w:val="105"/>
                <w:szCs w:val="18"/>
              </w:rPr>
              <w:t xml:space="preserve"> 9</w:t>
            </w:r>
            <w:r w:rsidRPr="00EC163C">
              <w:rPr>
                <w:rFonts w:cs="Arial"/>
                <w:bCs/>
                <w:spacing w:val="-2"/>
                <w:w w:val="105"/>
                <w:szCs w:val="18"/>
              </w:rPr>
              <w:t xml:space="preserve"> m between bait stations for </w:t>
            </w:r>
            <w:r>
              <w:rPr>
                <w:rFonts w:cs="Arial"/>
                <w:bCs/>
                <w:spacing w:val="-2"/>
                <w:w w:val="105"/>
                <w:szCs w:val="18"/>
              </w:rPr>
              <w:t>rats</w:t>
            </w:r>
            <w:r w:rsidRPr="00EC163C">
              <w:rPr>
                <w:rFonts w:cs="Arial"/>
                <w:bCs/>
                <w:spacing w:val="-2"/>
                <w:w w:val="105"/>
                <w:szCs w:val="18"/>
              </w:rPr>
              <w:t>.</w:t>
            </w:r>
          </w:p>
          <w:p w14:paraId="4B2DDE54" w14:textId="6D1DC62E" w:rsidR="008E67EA" w:rsidRDefault="008E67EA" w:rsidP="00B44A74">
            <w:pPr>
              <w:spacing w:after="120" w:line="240" w:lineRule="exact"/>
              <w:rPr>
                <w:rFonts w:cs="Arial"/>
                <w:bCs/>
                <w:spacing w:val="-2"/>
                <w:w w:val="105"/>
                <w:szCs w:val="18"/>
              </w:rPr>
            </w:pPr>
            <w:r w:rsidRPr="004249AB">
              <w:rPr>
                <w:rFonts w:cs="Arial"/>
                <w:bCs/>
                <w:spacing w:val="-2"/>
                <w:w w:val="105"/>
                <w:szCs w:val="18"/>
              </w:rPr>
              <w:t>The quantity of bait depends on the</w:t>
            </w:r>
            <w:r>
              <w:rPr>
                <w:rFonts w:cs="Arial"/>
                <w:bCs/>
                <w:spacing w:val="-2"/>
                <w:w w:val="105"/>
                <w:szCs w:val="18"/>
              </w:rPr>
              <w:t xml:space="preserve"> </w:t>
            </w:r>
            <w:r w:rsidRPr="004249AB">
              <w:rPr>
                <w:rFonts w:cs="Arial"/>
                <w:bCs/>
                <w:spacing w:val="-2"/>
                <w:w w:val="105"/>
                <w:szCs w:val="18"/>
              </w:rPr>
              <w:t>estimated pest population. For low activity,</w:t>
            </w:r>
            <w:r>
              <w:rPr>
                <w:rFonts w:cs="Arial"/>
                <w:bCs/>
                <w:spacing w:val="-2"/>
                <w:w w:val="105"/>
                <w:szCs w:val="18"/>
              </w:rPr>
              <w:t xml:space="preserve"> </w:t>
            </w:r>
            <w:r w:rsidRPr="004249AB">
              <w:rPr>
                <w:rFonts w:cs="Arial"/>
                <w:bCs/>
                <w:spacing w:val="-2"/>
                <w:w w:val="105"/>
                <w:szCs w:val="18"/>
              </w:rPr>
              <w:t>place 1 to 2 pre-baited stations around the</w:t>
            </w:r>
            <w:r>
              <w:rPr>
                <w:rFonts w:cs="Arial"/>
                <w:bCs/>
                <w:spacing w:val="-2"/>
                <w:w w:val="105"/>
                <w:szCs w:val="18"/>
              </w:rPr>
              <w:t xml:space="preserve"> </w:t>
            </w:r>
            <w:r w:rsidRPr="004249AB">
              <w:rPr>
                <w:rFonts w:cs="Arial"/>
                <w:bCs/>
                <w:spacing w:val="-2"/>
                <w:w w:val="105"/>
                <w:szCs w:val="18"/>
              </w:rPr>
              <w:t>nest. For high activity, place more pre</w:t>
            </w:r>
            <w:r>
              <w:rPr>
                <w:rFonts w:cs="Arial"/>
                <w:bCs/>
                <w:spacing w:val="-2"/>
                <w:w w:val="105"/>
                <w:szCs w:val="18"/>
              </w:rPr>
              <w:t>-</w:t>
            </w:r>
            <w:r w:rsidRPr="004249AB">
              <w:rPr>
                <w:rFonts w:cs="Arial"/>
                <w:bCs/>
                <w:spacing w:val="-2"/>
                <w:w w:val="105"/>
                <w:szCs w:val="18"/>
              </w:rPr>
              <w:t>baited stations at more frequent intervals.</w:t>
            </w:r>
          </w:p>
          <w:p w14:paraId="39B70C51" w14:textId="540C0B63" w:rsidR="008E67EA" w:rsidRDefault="008E67EA" w:rsidP="00B44A74">
            <w:pPr>
              <w:spacing w:after="120" w:line="240" w:lineRule="exact"/>
              <w:rPr>
                <w:rFonts w:cs="Arial"/>
                <w:bCs/>
                <w:spacing w:val="-2"/>
                <w:w w:val="105"/>
                <w:szCs w:val="18"/>
              </w:rPr>
            </w:pPr>
            <w:r w:rsidRPr="00ED2E87">
              <w:rPr>
                <w:rFonts w:cs="Arial"/>
                <w:bCs/>
                <w:spacing w:val="-2"/>
                <w:w w:val="105"/>
                <w:szCs w:val="18"/>
              </w:rPr>
              <w:t>It is essential to locate the baits close to</w:t>
            </w:r>
            <w:r>
              <w:rPr>
                <w:rFonts w:cs="Arial"/>
                <w:bCs/>
                <w:spacing w:val="-2"/>
                <w:w w:val="105"/>
                <w:szCs w:val="18"/>
              </w:rPr>
              <w:t xml:space="preserve"> </w:t>
            </w:r>
            <w:r w:rsidRPr="00ED2E87">
              <w:rPr>
                <w:rFonts w:cs="Arial"/>
                <w:bCs/>
                <w:spacing w:val="-2"/>
                <w:w w:val="105"/>
                <w:szCs w:val="18"/>
              </w:rPr>
              <w:t>where the rodents nest and feed, and also</w:t>
            </w:r>
            <w:r>
              <w:rPr>
                <w:rFonts w:cs="Arial"/>
                <w:bCs/>
                <w:spacing w:val="-2"/>
                <w:w w:val="105"/>
                <w:szCs w:val="18"/>
              </w:rPr>
              <w:t xml:space="preserve"> </w:t>
            </w:r>
            <w:r w:rsidRPr="00ED2E87">
              <w:rPr>
                <w:rFonts w:cs="Arial"/>
                <w:bCs/>
                <w:spacing w:val="-2"/>
                <w:w w:val="105"/>
                <w:szCs w:val="18"/>
              </w:rPr>
              <w:t>along their pathways.</w:t>
            </w:r>
          </w:p>
          <w:p w14:paraId="3E60440F" w14:textId="77777777" w:rsidR="008E67EA" w:rsidRPr="00AF79D7" w:rsidRDefault="008E67EA" w:rsidP="00B44A74">
            <w:pPr>
              <w:spacing w:after="120" w:line="240" w:lineRule="exact"/>
              <w:rPr>
                <w:rFonts w:cs="Arial"/>
                <w:bCs/>
                <w:spacing w:val="-2"/>
                <w:w w:val="105"/>
                <w:szCs w:val="18"/>
              </w:rPr>
            </w:pPr>
            <w:r w:rsidRPr="00ED2E87">
              <w:rPr>
                <w:rFonts w:cs="Arial"/>
                <w:bCs/>
                <w:spacing w:val="-2"/>
                <w:w w:val="105"/>
                <w:szCs w:val="18"/>
              </w:rPr>
              <w:t>In sewers and storm-water drains, suspend pre-baited stations from manholes by wire or place in such a manner so that baits will not be washed into water supplies.</w:t>
            </w:r>
          </w:p>
        </w:tc>
      </w:tr>
    </w:tbl>
    <w:p w14:paraId="7746C834" w14:textId="77777777" w:rsidR="008E67EA" w:rsidRDefault="008E67EA" w:rsidP="008E67EA">
      <w:pPr>
        <w:rPr>
          <w:rFonts w:eastAsia="Calibri" w:cs="Arial"/>
          <w:b/>
          <w:bCs/>
          <w:i/>
          <w:iCs/>
          <w:sz w:val="20"/>
          <w:szCs w:val="20"/>
          <w:bdr w:val="none" w:sz="0" w:space="0" w:color="auto" w:frame="1"/>
          <w:lang w:val="en-GB" w:eastAsia="en-AU"/>
        </w:rPr>
      </w:pPr>
    </w:p>
    <w:p w14:paraId="717B708B" w14:textId="77777777" w:rsidR="008E67EA" w:rsidRPr="00ED2E87" w:rsidRDefault="008E67EA" w:rsidP="008E67EA">
      <w:pPr>
        <w:spacing w:line="280" w:lineRule="exact"/>
        <w:rPr>
          <w:rFonts w:eastAsia="Calibri" w:cs="Arial"/>
          <w:b/>
          <w:bCs/>
          <w:i/>
          <w:iCs/>
          <w:sz w:val="20"/>
          <w:szCs w:val="20"/>
          <w:bdr w:val="none" w:sz="0" w:space="0" w:color="auto" w:frame="1"/>
          <w:lang w:val="en-GB" w:eastAsia="en-AU"/>
        </w:rPr>
      </w:pPr>
      <w:r w:rsidRPr="00ED2E87">
        <w:rPr>
          <w:rFonts w:eastAsia="Calibri" w:cs="Arial"/>
          <w:b/>
          <w:bCs/>
          <w:i/>
          <w:iCs/>
          <w:sz w:val="20"/>
          <w:szCs w:val="20"/>
          <w:bdr w:val="none" w:sz="0" w:space="0" w:color="auto" w:frame="1"/>
          <w:lang w:val="en-GB" w:eastAsia="en-AU"/>
        </w:rPr>
        <w:t>Inspection</w:t>
      </w:r>
    </w:p>
    <w:p w14:paraId="279975DD" w14:textId="7ADB8F0E" w:rsidR="008E67EA" w:rsidRPr="00ED2E87" w:rsidRDefault="008E67EA" w:rsidP="008E67EA">
      <w:pPr>
        <w:spacing w:line="280" w:lineRule="exact"/>
        <w:rPr>
          <w:rFonts w:eastAsia="Calibri" w:cs="Arial"/>
          <w:sz w:val="20"/>
          <w:szCs w:val="20"/>
          <w:bdr w:val="none" w:sz="0" w:space="0" w:color="auto" w:frame="1"/>
          <w:lang w:val="en-GB" w:eastAsia="en-AU"/>
        </w:rPr>
      </w:pPr>
      <w:r w:rsidRPr="00ED2E87">
        <w:rPr>
          <w:rFonts w:eastAsia="Calibri" w:cs="Arial"/>
          <w:sz w:val="20"/>
          <w:szCs w:val="20"/>
          <w:bdr w:val="none" w:sz="0" w:space="0" w:color="auto" w:frame="1"/>
          <w:lang w:val="en-GB" w:eastAsia="en-AU"/>
        </w:rPr>
        <w:t>Survey site prior to treatment, including assessment of the extent of infestation and identification of any indications of the presence of non-target animals. Signs of rodent activity need to be looked for to determine the pest species and the size of the population. Their identification is essential to ensure control methods are placed in relevant places (see below ‘Baiting strategy’).</w:t>
      </w:r>
    </w:p>
    <w:p w14:paraId="454B7261" w14:textId="77777777" w:rsidR="008E67EA" w:rsidRPr="00ED2E87" w:rsidRDefault="008E67EA" w:rsidP="008E67EA">
      <w:pPr>
        <w:spacing w:line="280" w:lineRule="exact"/>
        <w:rPr>
          <w:rFonts w:eastAsia="Calibri" w:cs="Arial"/>
          <w:sz w:val="20"/>
          <w:szCs w:val="20"/>
          <w:bdr w:val="none" w:sz="0" w:space="0" w:color="auto" w:frame="1"/>
          <w:lang w:val="en-GB" w:eastAsia="en-AU"/>
        </w:rPr>
      </w:pPr>
      <w:r w:rsidRPr="00ED2E87">
        <w:rPr>
          <w:rFonts w:eastAsia="Calibri" w:cs="Arial"/>
          <w:sz w:val="20"/>
          <w:szCs w:val="20"/>
          <w:bdr w:val="none" w:sz="0" w:space="0" w:color="auto" w:frame="1"/>
          <w:lang w:val="en-GB" w:eastAsia="en-AU"/>
        </w:rPr>
        <w:t>Those signs include: droppings, rub marks (eg against walls), gnawing marks (eg. on cables), tracks, burrows, odours, sightings of rodents, etc. This is an important step since Black rats, Norway rats and mice have some behavioural differences which will affect how the treatment is done.</w:t>
      </w:r>
    </w:p>
    <w:p w14:paraId="30A20CD7" w14:textId="43B3F0A7" w:rsidR="008E67EA" w:rsidRDefault="008E67EA" w:rsidP="00604F9D">
      <w:pPr>
        <w:spacing w:line="280" w:lineRule="exact"/>
        <w:rPr>
          <w:rFonts w:eastAsia="Calibri" w:cs="Arial"/>
          <w:sz w:val="20"/>
          <w:szCs w:val="20"/>
          <w:bdr w:val="none" w:sz="0" w:space="0" w:color="auto" w:frame="1"/>
          <w:lang w:val="en-GB" w:eastAsia="en-AU"/>
        </w:rPr>
      </w:pPr>
      <w:r w:rsidRPr="00ED2E87">
        <w:rPr>
          <w:rFonts w:eastAsia="Calibri" w:cs="Arial"/>
          <w:sz w:val="20"/>
          <w:szCs w:val="20"/>
          <w:bdr w:val="none" w:sz="0" w:space="0" w:color="auto" w:frame="1"/>
          <w:lang w:val="en-GB" w:eastAsia="en-AU"/>
        </w:rPr>
        <w:t>It is also important to know the history and geography of the building and its neighbourhood. A building with frequent rodent infestations will for instance be quite likely to be re-infested in the future. The structure of the building and its location can also give an indication of the potential for rodent problems (likely points of entry, proximity of waterways, vegetation, etc.)</w:t>
      </w:r>
    </w:p>
    <w:p w14:paraId="283835CA" w14:textId="77777777" w:rsidR="00604F9D" w:rsidRDefault="00604F9D" w:rsidP="00604F9D">
      <w:pPr>
        <w:spacing w:line="280" w:lineRule="exact"/>
        <w:rPr>
          <w:rFonts w:eastAsia="Calibri" w:cs="Arial"/>
          <w:b/>
          <w:bCs/>
          <w:i/>
          <w:iCs/>
          <w:sz w:val="20"/>
          <w:szCs w:val="20"/>
          <w:bdr w:val="none" w:sz="0" w:space="0" w:color="auto" w:frame="1"/>
          <w:lang w:val="en-GB" w:eastAsia="en-AU"/>
        </w:rPr>
      </w:pPr>
    </w:p>
    <w:p w14:paraId="53D3670D" w14:textId="77777777" w:rsidR="008E67EA" w:rsidRPr="00ED2E87" w:rsidRDefault="008E67EA" w:rsidP="008E67EA">
      <w:pPr>
        <w:spacing w:line="280" w:lineRule="exact"/>
        <w:rPr>
          <w:rFonts w:eastAsia="Calibri" w:cs="Arial"/>
          <w:b/>
          <w:bCs/>
          <w:i/>
          <w:iCs/>
          <w:sz w:val="20"/>
          <w:szCs w:val="20"/>
          <w:bdr w:val="none" w:sz="0" w:space="0" w:color="auto" w:frame="1"/>
          <w:lang w:val="en-GB" w:eastAsia="en-AU"/>
        </w:rPr>
      </w:pPr>
      <w:r w:rsidRPr="00ED2E87">
        <w:rPr>
          <w:rFonts w:eastAsia="Calibri" w:cs="Arial"/>
          <w:b/>
          <w:bCs/>
          <w:i/>
          <w:iCs/>
          <w:sz w:val="20"/>
          <w:szCs w:val="20"/>
          <w:bdr w:val="none" w:sz="0" w:space="0" w:color="auto" w:frame="1"/>
          <w:lang w:val="en-GB" w:eastAsia="en-AU"/>
        </w:rPr>
        <w:t>Baiting strategy</w:t>
      </w:r>
    </w:p>
    <w:p w14:paraId="70253A7B" w14:textId="77777777" w:rsidR="008E67EA" w:rsidRPr="00ED2E87" w:rsidRDefault="008E67EA" w:rsidP="008E67EA">
      <w:pPr>
        <w:spacing w:line="280" w:lineRule="exact"/>
        <w:rPr>
          <w:rFonts w:eastAsia="Calibri" w:cs="Arial"/>
          <w:sz w:val="20"/>
          <w:szCs w:val="20"/>
          <w:bdr w:val="none" w:sz="0" w:space="0" w:color="auto" w:frame="1"/>
          <w:lang w:val="en-GB" w:eastAsia="en-AU"/>
        </w:rPr>
      </w:pPr>
      <w:r w:rsidRPr="00ED2E87">
        <w:rPr>
          <w:rFonts w:eastAsia="Calibri" w:cs="Arial"/>
          <w:sz w:val="20"/>
          <w:szCs w:val="20"/>
          <w:bdr w:val="none" w:sz="0" w:space="0" w:color="auto" w:frame="1"/>
          <w:lang w:val="en-GB" w:eastAsia="en-AU"/>
        </w:rPr>
        <w:t>Eliminate as far as practicable all alternative food sources.</w:t>
      </w:r>
    </w:p>
    <w:p w14:paraId="5F417BF0" w14:textId="77777777" w:rsidR="008E67EA" w:rsidRPr="00ED2E87" w:rsidRDefault="008E67EA" w:rsidP="008E67EA">
      <w:pPr>
        <w:spacing w:line="280" w:lineRule="exact"/>
        <w:rPr>
          <w:rFonts w:eastAsia="Calibri" w:cs="Arial"/>
          <w:sz w:val="20"/>
          <w:szCs w:val="20"/>
          <w:bdr w:val="none" w:sz="0" w:space="0" w:color="auto" w:frame="1"/>
          <w:lang w:val="en-GB" w:eastAsia="en-AU"/>
        </w:rPr>
      </w:pPr>
      <w:r w:rsidRPr="00497770">
        <w:rPr>
          <w:rFonts w:eastAsia="Calibri" w:cs="Arial"/>
          <w:sz w:val="20"/>
          <w:szCs w:val="20"/>
          <w:bdr w:val="none" w:sz="0" w:space="0" w:color="auto" w:frame="1"/>
          <w:lang w:val="en-GB" w:eastAsia="en-AU"/>
        </w:rPr>
        <w:t>Record the number and locations of bait stations for the purpose of inspection, replacement and later removal.</w:t>
      </w:r>
      <w:r>
        <w:rPr>
          <w:rFonts w:eastAsia="Calibri" w:cs="Arial"/>
          <w:sz w:val="20"/>
          <w:szCs w:val="20"/>
          <w:bdr w:val="none" w:sz="0" w:space="0" w:color="auto" w:frame="1"/>
          <w:lang w:val="en-GB" w:eastAsia="en-AU"/>
        </w:rPr>
        <w:t xml:space="preserve"> </w:t>
      </w:r>
      <w:r w:rsidRPr="00ED2E87">
        <w:rPr>
          <w:rFonts w:eastAsia="Calibri" w:cs="Arial"/>
          <w:sz w:val="20"/>
          <w:szCs w:val="20"/>
          <w:bdr w:val="none" w:sz="0" w:space="0" w:color="auto" w:frame="1"/>
          <w:lang w:val="en-GB" w:eastAsia="en-AU"/>
        </w:rPr>
        <w:t>Always use tamper-resistant bait stations that are secured in place in child accessible areas, outdoors and in animal or livestock housing. When used in food producing animal housing situations careful consideration is necessary regarding the placement of bait stations to ensure any rodenticide contamination of water, feed or livestock is prevented.</w:t>
      </w:r>
    </w:p>
    <w:p w14:paraId="6E3C9EBF" w14:textId="77777777" w:rsidR="008E67EA" w:rsidRDefault="008E67EA" w:rsidP="008E67EA">
      <w:pPr>
        <w:spacing w:line="280" w:lineRule="exact"/>
        <w:rPr>
          <w:rFonts w:eastAsia="Calibri" w:cs="Arial"/>
          <w:sz w:val="20"/>
          <w:szCs w:val="20"/>
          <w:bdr w:val="none" w:sz="0" w:space="0" w:color="auto" w:frame="1"/>
          <w:lang w:val="en-GB" w:eastAsia="en-AU"/>
        </w:rPr>
      </w:pPr>
      <w:r w:rsidRPr="00ED2E87">
        <w:rPr>
          <w:rFonts w:eastAsia="Calibri" w:cs="Arial"/>
          <w:sz w:val="20"/>
          <w:szCs w:val="20"/>
          <w:bdr w:val="none" w:sz="0" w:space="0" w:color="auto" w:frame="1"/>
          <w:lang w:val="en-GB" w:eastAsia="en-AU"/>
        </w:rPr>
        <w:t>Check bait consumption after 3 days. Replace eaten baits. Where a high level of consumption is noticed, place more baits (up to double the quantity of the first application). Remove baits in new locations where there has been no take. Inspect again 3 days later and then once a week until feeding ceases. Normally treatment takes 2 to 3 weeks.</w:t>
      </w:r>
    </w:p>
    <w:p w14:paraId="26A2E931" w14:textId="77777777" w:rsidR="008E67EA" w:rsidRPr="00EC163C" w:rsidRDefault="008E67EA" w:rsidP="008E67EA">
      <w:pPr>
        <w:spacing w:line="280" w:lineRule="exact"/>
        <w:rPr>
          <w:rFonts w:eastAsia="Calibri" w:cs="Arial"/>
          <w:sz w:val="20"/>
          <w:szCs w:val="20"/>
          <w:bdr w:val="none" w:sz="0" w:space="0" w:color="auto" w:frame="1"/>
          <w:lang w:val="en-GB" w:eastAsia="en-AU"/>
        </w:rPr>
      </w:pPr>
      <w:r w:rsidRPr="00EC163C">
        <w:rPr>
          <w:rFonts w:eastAsia="Calibri" w:cs="Arial"/>
          <w:sz w:val="20"/>
          <w:szCs w:val="20"/>
          <w:bdr w:val="none" w:sz="0" w:space="0" w:color="auto" w:frame="1"/>
          <w:lang w:val="en-GB" w:eastAsia="en-AU"/>
        </w:rPr>
        <w:t xml:space="preserve">DO NOT use the product beyond 35 days without an evaluation of the state of the infestation and of the efficacy of the treatment. </w:t>
      </w:r>
      <w:r w:rsidRPr="00EC163C">
        <w:rPr>
          <w:rFonts w:cs="Arial"/>
          <w:sz w:val="20"/>
          <w:szCs w:val="20"/>
        </w:rPr>
        <w:t xml:space="preserve">Extended use should not be necessary and is not recommended because of possible resistance development and secondary poisoning of rodent predators such as owls. </w:t>
      </w:r>
      <w:r w:rsidRPr="00EC163C">
        <w:rPr>
          <w:rFonts w:eastAsia="Calibri" w:cs="Arial"/>
          <w:sz w:val="20"/>
          <w:szCs w:val="20"/>
          <w:bdr w:val="none" w:sz="0" w:space="0" w:color="auto" w:frame="1"/>
          <w:lang w:val="en-GB" w:eastAsia="en-AU"/>
        </w:rPr>
        <w:t>Remove all uneaten bait at the end of treatment.</w:t>
      </w:r>
    </w:p>
    <w:p w14:paraId="52D8D48A" w14:textId="77777777" w:rsidR="008E67EA" w:rsidRDefault="008E67EA" w:rsidP="008E67EA">
      <w:pPr>
        <w:spacing w:line="280" w:lineRule="exact"/>
        <w:rPr>
          <w:rFonts w:cs="Arial"/>
          <w:sz w:val="20"/>
          <w:szCs w:val="20"/>
        </w:rPr>
      </w:pPr>
      <w:r w:rsidRPr="00EC163C">
        <w:rPr>
          <w:rFonts w:cs="Arial"/>
          <w:sz w:val="20"/>
          <w:szCs w:val="20"/>
        </w:rPr>
        <w:t>If reinfestation should occur, you can repeat treatment once. For further treatments, it is strongly advised to alternate with a product containing a different active constituent to avoid the development of genetic resistance.</w:t>
      </w:r>
    </w:p>
    <w:p w14:paraId="67385C20" w14:textId="77777777" w:rsidR="00604F9D" w:rsidRDefault="008E67EA" w:rsidP="00604F9D">
      <w:pPr>
        <w:spacing w:line="280" w:lineRule="exact"/>
        <w:rPr>
          <w:rFonts w:cs="Arial"/>
          <w:b/>
          <w:bCs/>
          <w:sz w:val="20"/>
          <w:szCs w:val="20"/>
        </w:rPr>
        <w:sectPr w:rsidR="00604F9D" w:rsidSect="00CB73E0">
          <w:pgSz w:w="11906" w:h="16838"/>
          <w:pgMar w:top="1440" w:right="1134" w:bottom="1440" w:left="1134" w:header="794" w:footer="737" w:gutter="0"/>
          <w:cols w:space="708"/>
          <w:docGrid w:linePitch="360"/>
        </w:sectPr>
      </w:pPr>
      <w:r w:rsidRPr="00FF36BF">
        <w:rPr>
          <w:rFonts w:cs="Arial"/>
          <w:b/>
          <w:bCs/>
          <w:sz w:val="20"/>
          <w:szCs w:val="20"/>
        </w:rPr>
        <w:t>NOT TO BE USED FOR ANY PURPOSE, OR IN ANY MANNER, CONTRARY TO THIS LABEL UNLESS AUTHORISED UNDER APPROPRIATE LEGISLATION.</w:t>
      </w:r>
    </w:p>
    <w:p w14:paraId="18ECC721" w14:textId="77777777" w:rsidR="008E67EA" w:rsidRDefault="008E67EA" w:rsidP="008E67EA">
      <w:pPr>
        <w:pStyle w:val="Heading1"/>
        <w:rPr>
          <w:rFonts w:ascii="Franklin Gothic Medium" w:eastAsia="Arial Unicode MS" w:hAnsi="Franklin Gothic Medium"/>
          <w:color w:val="000000" w:themeColor="text1"/>
          <w:sz w:val="28"/>
          <w:szCs w:val="28"/>
          <w:bdr w:val="none" w:sz="0" w:space="0" w:color="auto" w:frame="1"/>
          <w:lang w:val="en-GB" w:eastAsia="en-AU"/>
        </w:rPr>
      </w:pPr>
      <w:r w:rsidRPr="00DA343B">
        <w:rPr>
          <w:rFonts w:ascii="Franklin Gothic Medium" w:eastAsia="Arial Unicode MS" w:hAnsi="Franklin Gothic Medium"/>
          <w:color w:val="000000" w:themeColor="text1"/>
          <w:sz w:val="28"/>
          <w:szCs w:val="28"/>
          <w:bdr w:val="none" w:sz="0" w:space="0" w:color="auto" w:frame="1"/>
          <w:lang w:val="en-GB" w:eastAsia="en-AU"/>
        </w:rPr>
        <w:lastRenderedPageBreak/>
        <w:t xml:space="preserve">Diphacinone </w:t>
      </w:r>
    </w:p>
    <w:p w14:paraId="4E9FF842" w14:textId="77777777" w:rsidR="008E67EA" w:rsidRDefault="008E67EA" w:rsidP="008E67EA">
      <w:pPr>
        <w:keepNext/>
        <w:keepLines/>
        <w:spacing w:before="400" w:after="240" w:line="280" w:lineRule="exact"/>
        <w:outlineLvl w:val="1"/>
        <w:rPr>
          <w:rFonts w:ascii="Franklin Gothic Medium" w:eastAsia="Arial Unicode MS" w:hAnsi="Franklin Gothic Medium"/>
          <w:bCs/>
          <w:iCs/>
          <w:bdr w:val="none" w:sz="0" w:space="0" w:color="auto" w:frame="1"/>
          <w:lang w:val="en-GB" w:eastAsia="en-AU"/>
        </w:rPr>
      </w:pPr>
      <w:r w:rsidRPr="00FF36BF">
        <w:rPr>
          <w:rFonts w:ascii="Franklin Gothic Medium" w:eastAsia="Arial Unicode MS" w:hAnsi="Franklin Gothic Medium"/>
          <w:bCs/>
          <w:iCs/>
          <w:bdr w:val="none" w:sz="0" w:space="0" w:color="auto" w:frame="1"/>
          <w:lang w:val="en-GB" w:eastAsia="en-AU"/>
        </w:rPr>
        <w:t>Commercial</w:t>
      </w:r>
      <w:r>
        <w:rPr>
          <w:rFonts w:ascii="Franklin Gothic Medium" w:eastAsia="Arial Unicode MS" w:hAnsi="Franklin Gothic Medium"/>
          <w:bCs/>
          <w:iCs/>
          <w:bdr w:val="none" w:sz="0" w:space="0" w:color="auto" w:frame="1"/>
          <w:lang w:val="en-GB" w:eastAsia="en-AU"/>
        </w:rPr>
        <w:t xml:space="preserve"> pest-control product:</w:t>
      </w:r>
      <w:r w:rsidRPr="00FF36BF">
        <w:rPr>
          <w:rFonts w:ascii="Franklin Gothic Medium" w:eastAsia="Arial Unicode MS" w:hAnsi="Franklin Gothic Medium"/>
          <w:bCs/>
          <w:iCs/>
          <w:bdr w:val="none" w:sz="0" w:space="0" w:color="auto" w:frame="1"/>
          <w:lang w:val="en-GB" w:eastAsia="en-AU"/>
        </w:rPr>
        <w:t xml:space="preserve"> </w:t>
      </w:r>
      <w:r w:rsidRPr="00DA343B">
        <w:rPr>
          <w:rFonts w:ascii="Franklin Gothic Medium" w:eastAsia="Arial Unicode MS" w:hAnsi="Franklin Gothic Medium"/>
          <w:bCs/>
          <w:iCs/>
          <w:bdr w:val="none" w:sz="0" w:space="0" w:color="auto" w:frame="1"/>
          <w:lang w:val="en-GB" w:eastAsia="en-AU"/>
        </w:rPr>
        <w:t>RB 0.05 g/kg or less in block formulation</w:t>
      </w:r>
    </w:p>
    <w:p w14:paraId="6A03C973" w14:textId="77777777" w:rsidR="008E67EA" w:rsidRPr="00FE2E3F"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t xml:space="preserve">Template Label </w:t>
      </w:r>
      <w:r>
        <w:rPr>
          <w:rFonts w:cs="Arial"/>
          <w:b/>
          <w:bCs/>
          <w:sz w:val="20"/>
          <w:szCs w:val="20"/>
          <w:bdr w:val="none" w:sz="0" w:space="0" w:color="auto" w:frame="1"/>
          <w:lang w:val="en-GB" w:eastAsia="en-AU"/>
        </w:rPr>
        <w:t>27</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2B5B5B" w14:paraId="4E5EFF3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E5439F0" w14:textId="77777777" w:rsidR="008E67EA" w:rsidRPr="00F5215F" w:rsidRDefault="008E67EA" w:rsidP="00B44A74">
            <w:pPr>
              <w:spacing w:line="280" w:lineRule="exact"/>
              <w:rPr>
                <w:rFonts w:cs="Arial"/>
                <w:sz w:val="20"/>
                <w:szCs w:val="20"/>
              </w:rPr>
            </w:pPr>
            <w:r w:rsidRPr="00F5215F">
              <w:rPr>
                <w:rFonts w:cs="Arial"/>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703F7B02" w14:textId="77777777" w:rsidR="008E67EA" w:rsidRPr="0015462A" w:rsidRDefault="008E67EA" w:rsidP="00B44A74">
            <w:pPr>
              <w:spacing w:line="280" w:lineRule="exact"/>
              <w:rPr>
                <w:rFonts w:cs="Arial"/>
                <w:sz w:val="20"/>
                <w:szCs w:val="20"/>
              </w:rPr>
            </w:pPr>
            <w:r w:rsidRPr="0015462A">
              <w:rPr>
                <w:rFonts w:cs="Arial"/>
                <w:sz w:val="20"/>
                <w:szCs w:val="20"/>
              </w:rPr>
              <w:t>[INSERT LABEL NAME]</w:t>
            </w:r>
          </w:p>
        </w:tc>
      </w:tr>
      <w:tr w:rsidR="008E67EA" w:rsidRPr="002B5B5B" w14:paraId="5F684A0F" w14:textId="77777777" w:rsidTr="00B44A74">
        <w:trPr>
          <w:jc w:val="center"/>
        </w:trPr>
        <w:tc>
          <w:tcPr>
            <w:tcW w:w="2415" w:type="dxa"/>
            <w:tcBorders>
              <w:top w:val="single" w:sz="4" w:space="0" w:color="auto"/>
              <w:left w:val="nil"/>
              <w:bottom w:val="single" w:sz="4" w:space="0" w:color="auto"/>
              <w:right w:val="nil"/>
            </w:tcBorders>
          </w:tcPr>
          <w:p w14:paraId="2D722585"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F1623CE" w14:textId="77777777" w:rsidR="008E67EA" w:rsidRPr="0015462A" w:rsidRDefault="008E67EA" w:rsidP="00B44A74">
            <w:pPr>
              <w:spacing w:line="280" w:lineRule="exact"/>
              <w:rPr>
                <w:rFonts w:cs="Arial"/>
                <w:sz w:val="20"/>
                <w:szCs w:val="20"/>
              </w:rPr>
            </w:pPr>
          </w:p>
        </w:tc>
      </w:tr>
      <w:tr w:rsidR="008E67EA" w:rsidRPr="002B5B5B" w14:paraId="3F1D313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EEE1271" w14:textId="77777777" w:rsidR="008E67EA" w:rsidRPr="00F5215F" w:rsidRDefault="008E67EA" w:rsidP="00B44A74">
            <w:pPr>
              <w:spacing w:line="280" w:lineRule="exact"/>
              <w:rPr>
                <w:rFonts w:cs="Arial"/>
                <w:sz w:val="20"/>
                <w:szCs w:val="20"/>
              </w:rPr>
            </w:pPr>
            <w:r w:rsidRPr="00F5215F">
              <w:rPr>
                <w:rFonts w:cs="Arial"/>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4E464F98" w14:textId="77777777" w:rsidR="008E67EA" w:rsidRPr="0015462A" w:rsidRDefault="008E67EA" w:rsidP="00B44A74">
            <w:pPr>
              <w:spacing w:line="280" w:lineRule="exact"/>
              <w:rPr>
                <w:rFonts w:cs="Arial"/>
                <w:sz w:val="20"/>
                <w:szCs w:val="20"/>
              </w:rPr>
            </w:pPr>
            <w:r w:rsidRPr="0007658B">
              <w:rPr>
                <w:rFonts w:cs="Arial"/>
                <w:sz w:val="20"/>
                <w:szCs w:val="20"/>
              </w:rPr>
              <w:t>POISON</w:t>
            </w:r>
          </w:p>
          <w:p w14:paraId="7A684C30" w14:textId="77777777" w:rsidR="008E67EA" w:rsidRPr="0015462A" w:rsidRDefault="008E67EA" w:rsidP="00B44A74">
            <w:pPr>
              <w:spacing w:line="280" w:lineRule="exact"/>
              <w:jc w:val="both"/>
              <w:rPr>
                <w:rFonts w:cs="Arial"/>
                <w:sz w:val="20"/>
                <w:szCs w:val="20"/>
              </w:rPr>
            </w:pPr>
            <w:r w:rsidRPr="0015462A">
              <w:rPr>
                <w:rFonts w:cs="Arial"/>
                <w:sz w:val="20"/>
                <w:szCs w:val="20"/>
              </w:rPr>
              <w:t>KEEP OUT OF REACH OF CHILDREN</w:t>
            </w:r>
          </w:p>
          <w:p w14:paraId="0E3FC2B4" w14:textId="77777777" w:rsidR="008E67EA" w:rsidRPr="0015462A" w:rsidRDefault="008E67EA" w:rsidP="00B44A74">
            <w:pPr>
              <w:spacing w:line="280" w:lineRule="exact"/>
              <w:rPr>
                <w:rFonts w:cs="Arial"/>
                <w:sz w:val="20"/>
                <w:szCs w:val="20"/>
              </w:rPr>
            </w:pPr>
            <w:r w:rsidRPr="0015462A">
              <w:rPr>
                <w:rFonts w:cs="Arial"/>
                <w:sz w:val="20"/>
                <w:szCs w:val="20"/>
              </w:rPr>
              <w:t>READ SAFETY DIRECIONS BEFORE OPENING OR USING</w:t>
            </w:r>
          </w:p>
        </w:tc>
      </w:tr>
      <w:tr w:rsidR="008E67EA" w:rsidRPr="002B5B5B" w14:paraId="1039A9EC" w14:textId="77777777" w:rsidTr="00B44A74">
        <w:trPr>
          <w:jc w:val="center"/>
        </w:trPr>
        <w:tc>
          <w:tcPr>
            <w:tcW w:w="2415" w:type="dxa"/>
            <w:tcBorders>
              <w:top w:val="single" w:sz="4" w:space="0" w:color="auto"/>
              <w:left w:val="nil"/>
              <w:bottom w:val="single" w:sz="4" w:space="0" w:color="auto"/>
              <w:right w:val="nil"/>
            </w:tcBorders>
          </w:tcPr>
          <w:p w14:paraId="5DF59279"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1010C17" w14:textId="77777777" w:rsidR="008E67EA" w:rsidRPr="0015462A" w:rsidRDefault="008E67EA" w:rsidP="00B44A74">
            <w:pPr>
              <w:spacing w:line="280" w:lineRule="exact"/>
              <w:rPr>
                <w:rFonts w:cs="Arial"/>
                <w:sz w:val="20"/>
                <w:szCs w:val="20"/>
              </w:rPr>
            </w:pPr>
          </w:p>
        </w:tc>
      </w:tr>
      <w:tr w:rsidR="008E67EA" w:rsidRPr="002B5B5B" w14:paraId="77C5C93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F3874DD" w14:textId="77777777" w:rsidR="008E67EA" w:rsidRPr="00F5215F" w:rsidRDefault="008E67EA" w:rsidP="00B44A74">
            <w:pPr>
              <w:spacing w:line="280" w:lineRule="exact"/>
              <w:rPr>
                <w:rFonts w:cs="Arial"/>
                <w:sz w:val="20"/>
                <w:szCs w:val="20"/>
              </w:rPr>
            </w:pPr>
            <w:r w:rsidRPr="00F5215F">
              <w:rPr>
                <w:rFonts w:cs="Arial"/>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03E8099F" w14:textId="77777777" w:rsidR="008E67EA" w:rsidRPr="006C724F" w:rsidRDefault="008E67EA" w:rsidP="00B44A74">
            <w:pPr>
              <w:spacing w:line="280" w:lineRule="exact"/>
              <w:rPr>
                <w:rFonts w:cs="Arial"/>
                <w:sz w:val="20"/>
                <w:szCs w:val="20"/>
              </w:rPr>
            </w:pPr>
            <w:r w:rsidRPr="006C724F">
              <w:rPr>
                <w:rFonts w:cs="Arial"/>
                <w:sz w:val="20"/>
                <w:szCs w:val="20"/>
              </w:rPr>
              <w:t>ACTIVE CONSTITUENT:</w:t>
            </w:r>
            <w:r w:rsidRPr="006C724F">
              <w:t xml:space="preserve"> </w:t>
            </w:r>
            <w:r>
              <w:rPr>
                <w:rFonts w:cs="Arial"/>
                <w:sz w:val="20"/>
                <w:szCs w:val="20"/>
              </w:rPr>
              <w:t>0.05 g/kg</w:t>
            </w:r>
            <w:r w:rsidRPr="006C724F">
              <w:rPr>
                <w:rFonts w:cs="Arial"/>
                <w:sz w:val="20"/>
                <w:szCs w:val="20"/>
              </w:rPr>
              <w:t xml:space="preserve"> DIPHACINONE</w:t>
            </w:r>
          </w:p>
        </w:tc>
      </w:tr>
      <w:tr w:rsidR="008E67EA" w:rsidRPr="002B5B5B" w14:paraId="62FA187F" w14:textId="77777777" w:rsidTr="00B44A74">
        <w:trPr>
          <w:jc w:val="center"/>
        </w:trPr>
        <w:tc>
          <w:tcPr>
            <w:tcW w:w="2415" w:type="dxa"/>
            <w:tcBorders>
              <w:top w:val="single" w:sz="4" w:space="0" w:color="auto"/>
              <w:left w:val="nil"/>
              <w:bottom w:val="single" w:sz="4" w:space="0" w:color="auto"/>
              <w:right w:val="nil"/>
            </w:tcBorders>
          </w:tcPr>
          <w:p w14:paraId="79C61700"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F6D664B" w14:textId="77777777" w:rsidR="008E67EA" w:rsidRPr="0015462A" w:rsidRDefault="008E67EA" w:rsidP="00B44A74">
            <w:pPr>
              <w:spacing w:line="280" w:lineRule="exact"/>
              <w:rPr>
                <w:rFonts w:cs="Arial"/>
                <w:sz w:val="20"/>
                <w:szCs w:val="20"/>
              </w:rPr>
            </w:pPr>
          </w:p>
        </w:tc>
      </w:tr>
      <w:tr w:rsidR="008E67EA" w:rsidRPr="00994236" w14:paraId="211682F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F8AA464" w14:textId="77777777" w:rsidR="008E67EA" w:rsidRPr="00F5215F" w:rsidRDefault="008E67EA" w:rsidP="00B44A74">
            <w:pPr>
              <w:spacing w:line="280" w:lineRule="exact"/>
              <w:rPr>
                <w:rFonts w:cs="Arial"/>
                <w:sz w:val="20"/>
                <w:szCs w:val="20"/>
              </w:rPr>
            </w:pPr>
            <w:r w:rsidRPr="00F5215F">
              <w:rPr>
                <w:rFonts w:cs="Arial"/>
                <w:sz w:val="20"/>
                <w:szCs w:val="20"/>
              </w:rPr>
              <w:t>Mode of Action:</w:t>
            </w:r>
          </w:p>
        </w:tc>
        <w:tc>
          <w:tcPr>
            <w:tcW w:w="7755" w:type="dxa"/>
            <w:tcBorders>
              <w:top w:val="single" w:sz="4" w:space="0" w:color="auto"/>
              <w:left w:val="single" w:sz="4" w:space="0" w:color="auto"/>
              <w:bottom w:val="single" w:sz="4" w:space="0" w:color="auto"/>
              <w:right w:val="single" w:sz="4" w:space="0" w:color="auto"/>
            </w:tcBorders>
          </w:tcPr>
          <w:p w14:paraId="74D16B83" w14:textId="77777777" w:rsidR="008E67EA" w:rsidRPr="0015462A" w:rsidRDefault="008E67EA" w:rsidP="00B44A74">
            <w:pPr>
              <w:spacing w:line="280" w:lineRule="exact"/>
              <w:jc w:val="both"/>
              <w:rPr>
                <w:rFonts w:cs="Arial"/>
                <w:sz w:val="20"/>
                <w:szCs w:val="20"/>
              </w:rPr>
            </w:pPr>
          </w:p>
        </w:tc>
      </w:tr>
      <w:tr w:rsidR="008E67EA" w:rsidRPr="002B5B5B" w14:paraId="1B326D99" w14:textId="77777777" w:rsidTr="00B44A74">
        <w:trPr>
          <w:jc w:val="center"/>
        </w:trPr>
        <w:tc>
          <w:tcPr>
            <w:tcW w:w="2415" w:type="dxa"/>
            <w:tcBorders>
              <w:top w:val="single" w:sz="4" w:space="0" w:color="auto"/>
              <w:left w:val="nil"/>
              <w:bottom w:val="single" w:sz="4" w:space="0" w:color="auto"/>
              <w:right w:val="nil"/>
            </w:tcBorders>
          </w:tcPr>
          <w:p w14:paraId="77AB19AA"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A048A16" w14:textId="77777777" w:rsidR="008E67EA" w:rsidRPr="0015462A" w:rsidRDefault="008E67EA" w:rsidP="00B44A74">
            <w:pPr>
              <w:spacing w:line="280" w:lineRule="exact"/>
              <w:rPr>
                <w:rFonts w:cs="Arial"/>
                <w:sz w:val="20"/>
                <w:szCs w:val="20"/>
              </w:rPr>
            </w:pPr>
          </w:p>
        </w:tc>
      </w:tr>
      <w:tr w:rsidR="008E67EA" w:rsidRPr="002B5B5B" w14:paraId="435A5AF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8A346F1" w14:textId="77777777" w:rsidR="008E67EA" w:rsidRPr="00F5215F" w:rsidRDefault="008E67EA" w:rsidP="00B44A74">
            <w:pPr>
              <w:spacing w:line="280" w:lineRule="exact"/>
              <w:rPr>
                <w:rFonts w:cs="Arial"/>
                <w:sz w:val="20"/>
                <w:szCs w:val="20"/>
              </w:rPr>
            </w:pPr>
            <w:r w:rsidRPr="00F5215F">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2AE58CE1" w14:textId="77777777" w:rsidR="008E67EA" w:rsidRPr="0015462A" w:rsidRDefault="008E67EA" w:rsidP="00B44A74">
            <w:pPr>
              <w:spacing w:line="280" w:lineRule="exact"/>
              <w:rPr>
                <w:rFonts w:cs="Arial"/>
                <w:sz w:val="20"/>
                <w:szCs w:val="20"/>
              </w:rPr>
            </w:pPr>
            <w:r>
              <w:rPr>
                <w:rFonts w:cs="Arial"/>
                <w:sz w:val="20"/>
                <w:szCs w:val="20"/>
              </w:rPr>
              <w:t>For c</w:t>
            </w:r>
            <w:r w:rsidRPr="0051159C">
              <w:rPr>
                <w:rFonts w:cs="Arial"/>
                <w:sz w:val="20"/>
                <w:szCs w:val="20"/>
              </w:rPr>
              <w:t>ontrol</w:t>
            </w:r>
            <w:r>
              <w:rPr>
                <w:rFonts w:cs="Arial"/>
                <w:sz w:val="20"/>
                <w:szCs w:val="20"/>
              </w:rPr>
              <w:t xml:space="preserve"> of</w:t>
            </w:r>
            <w:r w:rsidRPr="0051159C">
              <w:rPr>
                <w:rFonts w:cs="Arial"/>
                <w:sz w:val="20"/>
                <w:szCs w:val="20"/>
              </w:rPr>
              <w:t xml:space="preserve"> mice in industrial, commercial, agricultural and domestic buildings and rats in and around industrial, commercial, agricultural and domestic buildings.</w:t>
            </w:r>
          </w:p>
        </w:tc>
      </w:tr>
      <w:tr w:rsidR="008E67EA" w:rsidRPr="002B5B5B" w14:paraId="5B9B4D47" w14:textId="77777777" w:rsidTr="00B44A74">
        <w:trPr>
          <w:jc w:val="center"/>
        </w:trPr>
        <w:tc>
          <w:tcPr>
            <w:tcW w:w="2415" w:type="dxa"/>
            <w:tcBorders>
              <w:top w:val="single" w:sz="4" w:space="0" w:color="auto"/>
              <w:left w:val="nil"/>
              <w:bottom w:val="single" w:sz="4" w:space="0" w:color="auto"/>
              <w:right w:val="nil"/>
            </w:tcBorders>
          </w:tcPr>
          <w:p w14:paraId="7C61B882"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BF04531" w14:textId="77777777" w:rsidR="008E67EA" w:rsidRPr="0015462A" w:rsidRDefault="008E67EA" w:rsidP="00B44A74">
            <w:pPr>
              <w:spacing w:line="280" w:lineRule="exact"/>
              <w:rPr>
                <w:rFonts w:cs="Arial"/>
                <w:sz w:val="20"/>
                <w:szCs w:val="20"/>
              </w:rPr>
            </w:pPr>
          </w:p>
        </w:tc>
      </w:tr>
      <w:tr w:rsidR="008E67EA" w:rsidRPr="002B5B5B" w14:paraId="5DC625A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FF08CE2" w14:textId="77777777" w:rsidR="008E67EA" w:rsidRPr="00F5215F" w:rsidRDefault="008E67EA" w:rsidP="00B44A74">
            <w:pPr>
              <w:spacing w:line="280" w:lineRule="exact"/>
              <w:rPr>
                <w:rFonts w:cs="Arial"/>
                <w:sz w:val="20"/>
                <w:szCs w:val="20"/>
              </w:rPr>
            </w:pPr>
            <w:r w:rsidRPr="00F5215F">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7A59B01C" w14:textId="77777777" w:rsidR="008E67EA" w:rsidRPr="00D576C9" w:rsidRDefault="008E67EA" w:rsidP="00B44A74">
            <w:pPr>
              <w:spacing w:line="280" w:lineRule="exact"/>
              <w:rPr>
                <w:rFonts w:cs="Arial"/>
                <w:color w:val="7030A0"/>
                <w:sz w:val="20"/>
                <w:szCs w:val="20"/>
              </w:rPr>
            </w:pPr>
            <w:r>
              <w:rPr>
                <w:rFonts w:cs="Arial"/>
                <w:color w:val="7030A0"/>
                <w:sz w:val="20"/>
                <w:szCs w:val="20"/>
              </w:rPr>
              <w:t>[</w:t>
            </w:r>
            <w:r w:rsidRPr="004F544F">
              <w:rPr>
                <w:rFonts w:cs="Arial"/>
                <w:sz w:val="20"/>
                <w:szCs w:val="20"/>
              </w:rPr>
              <w:t>INSERT LABEL CONTENT]</w:t>
            </w:r>
          </w:p>
        </w:tc>
      </w:tr>
      <w:tr w:rsidR="008E67EA" w:rsidRPr="002B5B5B" w14:paraId="4A6B1A4A" w14:textId="77777777" w:rsidTr="00B44A74">
        <w:trPr>
          <w:jc w:val="center"/>
        </w:trPr>
        <w:tc>
          <w:tcPr>
            <w:tcW w:w="2415" w:type="dxa"/>
            <w:tcBorders>
              <w:top w:val="single" w:sz="4" w:space="0" w:color="auto"/>
              <w:left w:val="nil"/>
              <w:bottom w:val="single" w:sz="4" w:space="0" w:color="auto"/>
              <w:right w:val="nil"/>
            </w:tcBorders>
          </w:tcPr>
          <w:p w14:paraId="15A008EF"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7837D4F" w14:textId="77777777" w:rsidR="008E67EA" w:rsidRPr="002B5B5B" w:rsidRDefault="008E67EA" w:rsidP="00B44A74">
            <w:pPr>
              <w:spacing w:line="280" w:lineRule="exact"/>
              <w:rPr>
                <w:rFonts w:cs="Arial"/>
                <w:sz w:val="20"/>
                <w:szCs w:val="20"/>
              </w:rPr>
            </w:pPr>
          </w:p>
        </w:tc>
      </w:tr>
      <w:tr w:rsidR="008E67EA" w:rsidRPr="002B5B5B" w14:paraId="3FED54B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9DC5384" w14:textId="77777777" w:rsidR="008E67EA" w:rsidRPr="00F5215F" w:rsidRDefault="008E67EA" w:rsidP="00B44A74">
            <w:pPr>
              <w:spacing w:line="280" w:lineRule="exact"/>
              <w:rPr>
                <w:rFonts w:cs="Arial"/>
                <w:sz w:val="20"/>
                <w:szCs w:val="20"/>
              </w:rPr>
            </w:pPr>
            <w:r w:rsidRPr="00F5215F">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647C9F21" w14:textId="77777777" w:rsidR="008E67EA" w:rsidRDefault="008E67EA" w:rsidP="00B44A74">
            <w:pPr>
              <w:spacing w:line="280" w:lineRule="exact"/>
              <w:rPr>
                <w:rFonts w:cs="Arial"/>
                <w:sz w:val="20"/>
                <w:szCs w:val="20"/>
              </w:rPr>
            </w:pPr>
            <w:r>
              <w:rPr>
                <w:rFonts w:cs="Arial"/>
                <w:sz w:val="20"/>
                <w:szCs w:val="20"/>
              </w:rPr>
              <w:t>RESTRAINTS</w:t>
            </w:r>
          </w:p>
          <w:p w14:paraId="1BF1AD53" w14:textId="77777777" w:rsidR="008E67EA" w:rsidRPr="00391202" w:rsidRDefault="008E67EA" w:rsidP="00B44A74">
            <w:pPr>
              <w:spacing w:line="280" w:lineRule="exact"/>
              <w:rPr>
                <w:rFonts w:cs="Arial"/>
                <w:sz w:val="20"/>
                <w:szCs w:val="20"/>
              </w:rPr>
            </w:pPr>
            <w:r w:rsidRPr="00391202">
              <w:rPr>
                <w:rFonts w:cs="Arial"/>
                <w:sz w:val="20"/>
                <w:szCs w:val="20"/>
              </w:rPr>
              <w:t>DO NOT use this product unless you have a current qualification in the nationally recognised training course for rodent pest management CPPUPM3006 - Manage pests by applying pesticides, or an equivalent unit of competency.</w:t>
            </w:r>
          </w:p>
          <w:p w14:paraId="2193180E" w14:textId="77777777" w:rsidR="008E67EA" w:rsidRPr="00391202" w:rsidRDefault="008E67EA" w:rsidP="00B44A74">
            <w:pPr>
              <w:spacing w:line="280" w:lineRule="exact"/>
              <w:rPr>
                <w:rFonts w:cs="Arial"/>
                <w:sz w:val="20"/>
                <w:szCs w:val="20"/>
              </w:rPr>
            </w:pPr>
            <w:r w:rsidRPr="00391202">
              <w:rPr>
                <w:rFonts w:cs="Arial"/>
                <w:sz w:val="20"/>
                <w:szCs w:val="20"/>
              </w:rPr>
              <w:t>DO NOT place baits in areas that are accessible to children. In child-accessible areas baits must be placed in tamper-</w:t>
            </w:r>
            <w:r>
              <w:rPr>
                <w:rFonts w:cs="Arial"/>
                <w:sz w:val="20"/>
                <w:szCs w:val="20"/>
              </w:rPr>
              <w:t>resistant</w:t>
            </w:r>
            <w:r w:rsidRPr="00391202">
              <w:rPr>
                <w:rFonts w:cs="Arial"/>
                <w:sz w:val="20"/>
                <w:szCs w:val="20"/>
              </w:rPr>
              <w:t xml:space="preserve"> bait stations. If bait can be dislodged from bait station, bait station must be secured in place. </w:t>
            </w:r>
          </w:p>
          <w:p w14:paraId="230E8ED4" w14:textId="77777777" w:rsidR="008E67EA" w:rsidRPr="00391202" w:rsidRDefault="008E67EA" w:rsidP="00B44A74">
            <w:pPr>
              <w:spacing w:line="280" w:lineRule="exact"/>
              <w:rPr>
                <w:rFonts w:cs="Arial"/>
                <w:sz w:val="20"/>
                <w:szCs w:val="20"/>
              </w:rPr>
            </w:pPr>
            <w:r w:rsidRPr="00391202">
              <w:rPr>
                <w:rFonts w:cs="Arial"/>
                <w:sz w:val="20"/>
                <w:szCs w:val="20"/>
              </w:rPr>
              <w:t>DO NOT place bait outdoors unless it is in a tamper</w:t>
            </w:r>
            <w:r>
              <w:rPr>
                <w:rFonts w:cs="Arial"/>
                <w:sz w:val="20"/>
                <w:szCs w:val="20"/>
              </w:rPr>
              <w:t>-resistant</w:t>
            </w:r>
            <w:r w:rsidRPr="00391202">
              <w:rPr>
                <w:rFonts w:cs="Arial"/>
                <w:sz w:val="20"/>
                <w:szCs w:val="20"/>
              </w:rPr>
              <w:t xml:space="preserve"> bait station which is secured in place.</w:t>
            </w:r>
          </w:p>
          <w:p w14:paraId="008A2845" w14:textId="77777777" w:rsidR="008E67EA" w:rsidRPr="00391202" w:rsidRDefault="008E67EA" w:rsidP="00B44A74">
            <w:pPr>
              <w:spacing w:line="280" w:lineRule="exact"/>
              <w:rPr>
                <w:rFonts w:cs="Arial"/>
                <w:sz w:val="20"/>
                <w:szCs w:val="20"/>
              </w:rPr>
            </w:pPr>
            <w:r w:rsidRPr="00391202">
              <w:rPr>
                <w:rFonts w:cs="Arial"/>
                <w:sz w:val="20"/>
                <w:szCs w:val="20"/>
              </w:rPr>
              <w:t>DO NOT place bait stations more than 2 meters from buildings.</w:t>
            </w:r>
          </w:p>
          <w:p w14:paraId="4F379CF5" w14:textId="77777777" w:rsidR="008E67EA" w:rsidRPr="00391202" w:rsidRDefault="008E67EA" w:rsidP="00B44A74">
            <w:pPr>
              <w:spacing w:line="280" w:lineRule="exact"/>
              <w:rPr>
                <w:rFonts w:cs="Arial"/>
                <w:sz w:val="20"/>
                <w:szCs w:val="20"/>
              </w:rPr>
            </w:pPr>
            <w:r w:rsidRPr="00391202">
              <w:rPr>
                <w:rFonts w:cs="Arial"/>
                <w:sz w:val="20"/>
                <w:szCs w:val="20"/>
              </w:rPr>
              <w:t>DO NOT place bait stations outdoors around buildings for control of mice.</w:t>
            </w:r>
          </w:p>
          <w:p w14:paraId="238D3E32" w14:textId="77777777" w:rsidR="008E67EA" w:rsidRPr="00391202" w:rsidRDefault="008E67EA" w:rsidP="00B44A74">
            <w:pPr>
              <w:spacing w:line="280" w:lineRule="exact"/>
              <w:rPr>
                <w:rFonts w:cs="Arial"/>
                <w:sz w:val="20"/>
                <w:szCs w:val="20"/>
              </w:rPr>
            </w:pPr>
            <w:r w:rsidRPr="00391202">
              <w:rPr>
                <w:rFonts w:cs="Arial"/>
                <w:sz w:val="20"/>
                <w:szCs w:val="20"/>
              </w:rPr>
              <w:t>DO NOT bait in areas where wildlife may be collected for human consumption.</w:t>
            </w:r>
          </w:p>
          <w:p w14:paraId="7C97C546" w14:textId="77777777" w:rsidR="008E67EA" w:rsidRPr="00391202" w:rsidRDefault="008E67EA" w:rsidP="00B44A74">
            <w:pPr>
              <w:spacing w:line="280" w:lineRule="exact"/>
              <w:rPr>
                <w:rFonts w:cs="Arial"/>
                <w:sz w:val="20"/>
                <w:szCs w:val="20"/>
              </w:rPr>
            </w:pPr>
            <w:r w:rsidRPr="00391202">
              <w:rPr>
                <w:rFonts w:cs="Arial"/>
                <w:sz w:val="20"/>
                <w:szCs w:val="20"/>
              </w:rPr>
              <w:t>DO NOT place in animal or livestock housing unless used in tamper</w:t>
            </w:r>
            <w:r>
              <w:rPr>
                <w:rFonts w:cs="Arial"/>
                <w:sz w:val="20"/>
                <w:szCs w:val="20"/>
              </w:rPr>
              <w:t>-resistant</w:t>
            </w:r>
            <w:r w:rsidRPr="00391202">
              <w:rPr>
                <w:rFonts w:cs="Arial"/>
                <w:sz w:val="20"/>
                <w:szCs w:val="20"/>
              </w:rPr>
              <w:t xml:space="preserve"> and weather</w:t>
            </w:r>
            <w:r>
              <w:rPr>
                <w:rFonts w:cs="Arial"/>
                <w:sz w:val="20"/>
                <w:szCs w:val="20"/>
              </w:rPr>
              <w:t>-</w:t>
            </w:r>
            <w:r w:rsidRPr="00391202">
              <w:rPr>
                <w:rFonts w:cs="Arial"/>
                <w:sz w:val="20"/>
                <w:szCs w:val="20"/>
              </w:rPr>
              <w:t>resistant bait stations fixed to the ground or other structures.</w:t>
            </w:r>
          </w:p>
          <w:p w14:paraId="657808B6" w14:textId="77777777" w:rsidR="008E67EA" w:rsidRPr="00391202" w:rsidRDefault="008E67EA" w:rsidP="00B44A74">
            <w:pPr>
              <w:spacing w:line="280" w:lineRule="exact"/>
              <w:rPr>
                <w:rFonts w:cs="Arial"/>
                <w:sz w:val="20"/>
                <w:szCs w:val="20"/>
              </w:rPr>
            </w:pPr>
            <w:r w:rsidRPr="00391202">
              <w:rPr>
                <w:rFonts w:cs="Arial"/>
                <w:sz w:val="20"/>
                <w:szCs w:val="20"/>
              </w:rPr>
              <w:t>DO NOT place bait or bait stations above areas which would allow them to contaminate pig and poultry food or drinking water.</w:t>
            </w:r>
          </w:p>
          <w:p w14:paraId="48F318BD" w14:textId="77777777" w:rsidR="008E67EA" w:rsidRPr="00391202" w:rsidRDefault="008E67EA" w:rsidP="00B44A74">
            <w:pPr>
              <w:spacing w:line="280" w:lineRule="exact"/>
              <w:rPr>
                <w:rFonts w:cs="Arial"/>
                <w:sz w:val="20"/>
                <w:szCs w:val="20"/>
              </w:rPr>
            </w:pPr>
            <w:r w:rsidRPr="00391202">
              <w:rPr>
                <w:rFonts w:cs="Arial"/>
                <w:sz w:val="20"/>
                <w:szCs w:val="20"/>
              </w:rPr>
              <w:t>DO NOT apply this product directly into burrows.</w:t>
            </w:r>
          </w:p>
          <w:p w14:paraId="3108F6B5" w14:textId="77777777" w:rsidR="008E67EA" w:rsidRPr="002B5B5B" w:rsidRDefault="008E67EA" w:rsidP="00B44A74">
            <w:pPr>
              <w:spacing w:line="280" w:lineRule="exact"/>
              <w:rPr>
                <w:rFonts w:cs="Arial"/>
                <w:sz w:val="20"/>
                <w:szCs w:val="20"/>
              </w:rPr>
            </w:pPr>
            <w:r w:rsidRPr="00391202">
              <w:rPr>
                <w:rFonts w:cs="Arial"/>
                <w:sz w:val="20"/>
                <w:szCs w:val="20"/>
              </w:rPr>
              <w:t>DO NOT use product in pulse baiting treatments</w:t>
            </w:r>
          </w:p>
        </w:tc>
      </w:tr>
      <w:tr w:rsidR="008E67EA" w:rsidRPr="002B5B5B" w14:paraId="5732C9DD" w14:textId="77777777" w:rsidTr="00B44A74">
        <w:trPr>
          <w:jc w:val="center"/>
        </w:trPr>
        <w:tc>
          <w:tcPr>
            <w:tcW w:w="2415" w:type="dxa"/>
            <w:tcBorders>
              <w:top w:val="single" w:sz="4" w:space="0" w:color="auto"/>
              <w:left w:val="nil"/>
              <w:bottom w:val="single" w:sz="4" w:space="0" w:color="auto"/>
              <w:right w:val="nil"/>
            </w:tcBorders>
          </w:tcPr>
          <w:p w14:paraId="0ED8F8CF"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4CDD360" w14:textId="77777777" w:rsidR="008E67EA" w:rsidRPr="002B5B5B" w:rsidRDefault="008E67EA" w:rsidP="00B44A74">
            <w:pPr>
              <w:spacing w:line="280" w:lineRule="exact"/>
              <w:rPr>
                <w:rFonts w:cs="Arial"/>
                <w:sz w:val="20"/>
                <w:szCs w:val="20"/>
              </w:rPr>
            </w:pPr>
          </w:p>
        </w:tc>
      </w:tr>
      <w:tr w:rsidR="008E67EA" w:rsidRPr="002B5B5B" w14:paraId="1E0F9039"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27701C5" w14:textId="77777777" w:rsidR="008E67EA" w:rsidRPr="00F5215F" w:rsidRDefault="008E67EA" w:rsidP="00B44A74">
            <w:pPr>
              <w:spacing w:line="280" w:lineRule="exact"/>
              <w:rPr>
                <w:rFonts w:cs="Arial"/>
                <w:sz w:val="20"/>
                <w:szCs w:val="20"/>
              </w:rPr>
            </w:pPr>
            <w:r w:rsidRPr="00F5215F">
              <w:rPr>
                <w:rFonts w:cs="Arial"/>
                <w:sz w:val="20"/>
                <w:szCs w:val="20"/>
              </w:rPr>
              <w:t>Directions for Use:</w:t>
            </w:r>
          </w:p>
        </w:tc>
        <w:tc>
          <w:tcPr>
            <w:tcW w:w="7755" w:type="dxa"/>
            <w:tcBorders>
              <w:top w:val="single" w:sz="4" w:space="0" w:color="auto"/>
              <w:left w:val="single" w:sz="4" w:space="0" w:color="auto"/>
              <w:bottom w:val="single" w:sz="4" w:space="0" w:color="auto"/>
              <w:right w:val="single" w:sz="4" w:space="0" w:color="auto"/>
            </w:tcBorders>
          </w:tcPr>
          <w:p w14:paraId="3A8BBE47" w14:textId="77777777" w:rsidR="008E67EA" w:rsidRPr="00EB4816" w:rsidRDefault="008E67EA" w:rsidP="00B44A74">
            <w:pPr>
              <w:spacing w:line="280" w:lineRule="exact"/>
              <w:rPr>
                <w:rFonts w:cs="Arial"/>
                <w:sz w:val="20"/>
                <w:szCs w:val="20"/>
              </w:rPr>
            </w:pPr>
            <w:r w:rsidRPr="00B832BB">
              <w:rPr>
                <w:rFonts w:cs="Arial"/>
                <w:sz w:val="20"/>
                <w:szCs w:val="20"/>
              </w:rPr>
              <w:t>[This section contains an attachment below]</w:t>
            </w:r>
          </w:p>
        </w:tc>
      </w:tr>
      <w:tr w:rsidR="008E67EA" w:rsidRPr="002B5B5B" w14:paraId="4BEBFFD4" w14:textId="77777777" w:rsidTr="00B44A74">
        <w:trPr>
          <w:jc w:val="center"/>
        </w:trPr>
        <w:tc>
          <w:tcPr>
            <w:tcW w:w="2415" w:type="dxa"/>
            <w:tcBorders>
              <w:top w:val="single" w:sz="4" w:space="0" w:color="auto"/>
              <w:left w:val="nil"/>
              <w:bottom w:val="single" w:sz="4" w:space="0" w:color="auto"/>
              <w:right w:val="nil"/>
            </w:tcBorders>
          </w:tcPr>
          <w:p w14:paraId="561C99CC"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244FEB4" w14:textId="77777777" w:rsidR="008E67EA" w:rsidRPr="002B5B5B" w:rsidRDefault="008E67EA" w:rsidP="00B44A74">
            <w:pPr>
              <w:spacing w:line="280" w:lineRule="exact"/>
              <w:rPr>
                <w:rFonts w:cs="Arial"/>
                <w:sz w:val="20"/>
                <w:szCs w:val="20"/>
              </w:rPr>
            </w:pPr>
          </w:p>
        </w:tc>
      </w:tr>
      <w:tr w:rsidR="008E67EA" w:rsidRPr="002B5B5B" w14:paraId="77129D0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7C249F3" w14:textId="77777777" w:rsidR="008E67EA" w:rsidRPr="00F5215F" w:rsidRDefault="008E67EA" w:rsidP="00B44A74">
            <w:pPr>
              <w:spacing w:line="280" w:lineRule="exact"/>
              <w:rPr>
                <w:rFonts w:cs="Arial"/>
                <w:sz w:val="20"/>
                <w:szCs w:val="20"/>
              </w:rPr>
            </w:pPr>
            <w:r w:rsidRPr="00F5215F">
              <w:rPr>
                <w:rFonts w:cs="Arial"/>
                <w:sz w:val="20"/>
                <w:szCs w:val="20"/>
              </w:rPr>
              <w:t>Other Limitations:</w:t>
            </w:r>
          </w:p>
        </w:tc>
        <w:tc>
          <w:tcPr>
            <w:tcW w:w="7755" w:type="dxa"/>
            <w:tcBorders>
              <w:top w:val="single" w:sz="4" w:space="0" w:color="auto"/>
              <w:left w:val="single" w:sz="4" w:space="0" w:color="auto"/>
              <w:bottom w:val="single" w:sz="4" w:space="0" w:color="auto"/>
              <w:right w:val="single" w:sz="4" w:space="0" w:color="auto"/>
            </w:tcBorders>
          </w:tcPr>
          <w:p w14:paraId="339BB244" w14:textId="77777777" w:rsidR="008E67EA" w:rsidRPr="002B5B5B" w:rsidRDefault="008E67EA" w:rsidP="00B44A74">
            <w:pPr>
              <w:spacing w:line="280" w:lineRule="exact"/>
              <w:rPr>
                <w:rFonts w:cs="Arial"/>
                <w:sz w:val="20"/>
                <w:szCs w:val="20"/>
              </w:rPr>
            </w:pPr>
          </w:p>
        </w:tc>
      </w:tr>
      <w:tr w:rsidR="008E67EA" w:rsidRPr="002B5B5B" w14:paraId="0D8DFAA6" w14:textId="77777777" w:rsidTr="00B44A74">
        <w:trPr>
          <w:jc w:val="center"/>
        </w:trPr>
        <w:tc>
          <w:tcPr>
            <w:tcW w:w="2415" w:type="dxa"/>
            <w:tcBorders>
              <w:top w:val="single" w:sz="4" w:space="0" w:color="auto"/>
              <w:left w:val="nil"/>
              <w:bottom w:val="single" w:sz="4" w:space="0" w:color="auto"/>
              <w:right w:val="nil"/>
            </w:tcBorders>
          </w:tcPr>
          <w:p w14:paraId="201E72C7"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B260B58" w14:textId="77777777" w:rsidR="008E67EA" w:rsidRPr="002B5B5B" w:rsidRDefault="008E67EA" w:rsidP="00B44A74">
            <w:pPr>
              <w:spacing w:line="280" w:lineRule="exact"/>
              <w:rPr>
                <w:rFonts w:cs="Arial"/>
                <w:sz w:val="20"/>
                <w:szCs w:val="20"/>
              </w:rPr>
            </w:pPr>
          </w:p>
        </w:tc>
      </w:tr>
      <w:tr w:rsidR="008E67EA" w:rsidRPr="002B5B5B" w14:paraId="181AE95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AD57751" w14:textId="77777777" w:rsidR="008E67EA" w:rsidRPr="00F5215F" w:rsidRDefault="008E67EA" w:rsidP="00B44A74">
            <w:pPr>
              <w:spacing w:line="280" w:lineRule="exact"/>
              <w:rPr>
                <w:rFonts w:cs="Arial"/>
                <w:sz w:val="20"/>
                <w:szCs w:val="20"/>
              </w:rPr>
            </w:pPr>
            <w:r w:rsidRPr="00F5215F">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0A4F1D12" w14:textId="77777777" w:rsidR="008E67EA" w:rsidRPr="002B5B5B" w:rsidRDefault="008E67EA" w:rsidP="00B44A74">
            <w:pPr>
              <w:spacing w:line="280" w:lineRule="exact"/>
              <w:rPr>
                <w:rFonts w:cs="Arial"/>
                <w:sz w:val="20"/>
                <w:szCs w:val="20"/>
              </w:rPr>
            </w:pPr>
          </w:p>
        </w:tc>
      </w:tr>
      <w:tr w:rsidR="008E67EA" w:rsidRPr="002B5B5B" w14:paraId="0F133745" w14:textId="77777777" w:rsidTr="00B44A74">
        <w:trPr>
          <w:jc w:val="center"/>
        </w:trPr>
        <w:tc>
          <w:tcPr>
            <w:tcW w:w="2415" w:type="dxa"/>
            <w:tcBorders>
              <w:top w:val="single" w:sz="4" w:space="0" w:color="auto"/>
              <w:left w:val="nil"/>
              <w:bottom w:val="single" w:sz="4" w:space="0" w:color="auto"/>
              <w:right w:val="nil"/>
            </w:tcBorders>
          </w:tcPr>
          <w:p w14:paraId="5B75C7F4"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084BB53" w14:textId="77777777" w:rsidR="008E67EA" w:rsidRPr="002B5B5B" w:rsidRDefault="008E67EA" w:rsidP="00B44A74">
            <w:pPr>
              <w:spacing w:line="280" w:lineRule="exact"/>
              <w:rPr>
                <w:rFonts w:cs="Arial"/>
                <w:sz w:val="20"/>
                <w:szCs w:val="20"/>
              </w:rPr>
            </w:pPr>
          </w:p>
        </w:tc>
      </w:tr>
      <w:tr w:rsidR="008E67EA" w:rsidRPr="002B5B5B" w14:paraId="3B92940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F3C1CEB" w14:textId="77777777" w:rsidR="008E67EA" w:rsidRPr="00F5215F" w:rsidRDefault="008E67EA" w:rsidP="00B44A74">
            <w:pPr>
              <w:spacing w:line="280" w:lineRule="exact"/>
              <w:rPr>
                <w:rFonts w:cs="Arial"/>
                <w:sz w:val="20"/>
                <w:szCs w:val="20"/>
              </w:rPr>
            </w:pPr>
            <w:r w:rsidRPr="00F5215F">
              <w:rPr>
                <w:rFonts w:cs="Arial"/>
                <w:sz w:val="20"/>
                <w:szCs w:val="20"/>
              </w:rPr>
              <w:lastRenderedPageBreak/>
              <w:t>Trade Advice:</w:t>
            </w:r>
          </w:p>
        </w:tc>
        <w:tc>
          <w:tcPr>
            <w:tcW w:w="7755" w:type="dxa"/>
            <w:tcBorders>
              <w:top w:val="single" w:sz="4" w:space="0" w:color="auto"/>
              <w:left w:val="single" w:sz="4" w:space="0" w:color="auto"/>
              <w:bottom w:val="single" w:sz="4" w:space="0" w:color="auto"/>
              <w:right w:val="single" w:sz="4" w:space="0" w:color="auto"/>
            </w:tcBorders>
          </w:tcPr>
          <w:p w14:paraId="702E4ED1" w14:textId="77777777" w:rsidR="008E67EA" w:rsidRPr="002B5B5B" w:rsidRDefault="008E67EA" w:rsidP="00B44A74">
            <w:pPr>
              <w:spacing w:line="280" w:lineRule="exact"/>
              <w:rPr>
                <w:rFonts w:cs="Arial"/>
                <w:sz w:val="20"/>
                <w:szCs w:val="20"/>
              </w:rPr>
            </w:pPr>
          </w:p>
        </w:tc>
      </w:tr>
      <w:tr w:rsidR="008E67EA" w:rsidRPr="002B5B5B" w14:paraId="2CF9BFCC" w14:textId="77777777" w:rsidTr="00B44A74">
        <w:trPr>
          <w:jc w:val="center"/>
        </w:trPr>
        <w:tc>
          <w:tcPr>
            <w:tcW w:w="2415" w:type="dxa"/>
            <w:tcBorders>
              <w:top w:val="single" w:sz="4" w:space="0" w:color="auto"/>
              <w:left w:val="nil"/>
              <w:bottom w:val="single" w:sz="4" w:space="0" w:color="auto"/>
              <w:right w:val="nil"/>
            </w:tcBorders>
          </w:tcPr>
          <w:p w14:paraId="01466E66"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605F0F6" w14:textId="77777777" w:rsidR="008E67EA" w:rsidRPr="002B5B5B" w:rsidRDefault="008E67EA" w:rsidP="00B44A74">
            <w:pPr>
              <w:spacing w:line="280" w:lineRule="exact"/>
              <w:rPr>
                <w:rFonts w:cs="Arial"/>
                <w:sz w:val="20"/>
                <w:szCs w:val="20"/>
              </w:rPr>
            </w:pPr>
          </w:p>
        </w:tc>
      </w:tr>
      <w:tr w:rsidR="008E67EA" w:rsidRPr="002B5B5B" w14:paraId="51E5EA9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43FBD74" w14:textId="77777777" w:rsidR="008E67EA" w:rsidRPr="00F5215F" w:rsidRDefault="008E67EA" w:rsidP="00B44A74">
            <w:pPr>
              <w:spacing w:line="280" w:lineRule="exact"/>
              <w:rPr>
                <w:rFonts w:cs="Arial"/>
                <w:sz w:val="20"/>
                <w:szCs w:val="20"/>
              </w:rPr>
            </w:pPr>
            <w:r w:rsidRPr="00F5215F">
              <w:rPr>
                <w:rFonts w:cs="Arial"/>
                <w:sz w:val="20"/>
                <w:szCs w:val="20"/>
              </w:rPr>
              <w:t>General Directions:</w:t>
            </w:r>
          </w:p>
        </w:tc>
        <w:tc>
          <w:tcPr>
            <w:tcW w:w="7755" w:type="dxa"/>
            <w:tcBorders>
              <w:top w:val="single" w:sz="4" w:space="0" w:color="auto"/>
              <w:left w:val="single" w:sz="4" w:space="0" w:color="auto"/>
              <w:bottom w:val="single" w:sz="4" w:space="0" w:color="auto"/>
              <w:right w:val="single" w:sz="4" w:space="0" w:color="auto"/>
            </w:tcBorders>
          </w:tcPr>
          <w:p w14:paraId="1C53B225" w14:textId="77777777" w:rsidR="008E67EA" w:rsidRPr="000577A3" w:rsidRDefault="008E67EA" w:rsidP="00B44A74">
            <w:pPr>
              <w:spacing w:line="280" w:lineRule="exact"/>
              <w:rPr>
                <w:rFonts w:cs="Arial"/>
                <w:color w:val="7030A0"/>
                <w:sz w:val="20"/>
                <w:szCs w:val="20"/>
                <w:highlight w:val="yellow"/>
              </w:rPr>
            </w:pPr>
          </w:p>
        </w:tc>
      </w:tr>
      <w:tr w:rsidR="008E67EA" w:rsidRPr="002B5B5B" w14:paraId="1589DCB1" w14:textId="77777777" w:rsidTr="00B44A74">
        <w:trPr>
          <w:jc w:val="center"/>
        </w:trPr>
        <w:tc>
          <w:tcPr>
            <w:tcW w:w="2415" w:type="dxa"/>
            <w:tcBorders>
              <w:top w:val="single" w:sz="4" w:space="0" w:color="auto"/>
              <w:left w:val="nil"/>
              <w:bottom w:val="single" w:sz="4" w:space="0" w:color="auto"/>
              <w:right w:val="nil"/>
            </w:tcBorders>
          </w:tcPr>
          <w:p w14:paraId="7C65FE21"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FD33AF6" w14:textId="77777777" w:rsidR="008E67EA" w:rsidRPr="002B5B5B" w:rsidRDefault="008E67EA" w:rsidP="00B44A74">
            <w:pPr>
              <w:spacing w:line="280" w:lineRule="exact"/>
              <w:rPr>
                <w:rFonts w:cs="Arial"/>
                <w:sz w:val="20"/>
                <w:szCs w:val="20"/>
              </w:rPr>
            </w:pPr>
          </w:p>
        </w:tc>
      </w:tr>
      <w:tr w:rsidR="008E67EA" w:rsidRPr="002B5B5B" w14:paraId="0186704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4E42660" w14:textId="77777777" w:rsidR="008E67EA" w:rsidRPr="00F5215F" w:rsidRDefault="008E67EA" w:rsidP="00B44A74">
            <w:pPr>
              <w:spacing w:line="280" w:lineRule="exact"/>
              <w:rPr>
                <w:rFonts w:cs="Arial"/>
                <w:sz w:val="20"/>
                <w:szCs w:val="20"/>
              </w:rPr>
            </w:pPr>
            <w:r w:rsidRPr="00F5215F">
              <w:rPr>
                <w:rFonts w:cs="Arial"/>
                <w:sz w:val="20"/>
                <w:szCs w:val="20"/>
              </w:rPr>
              <w:t>Resistance Warning:</w:t>
            </w:r>
          </w:p>
        </w:tc>
        <w:tc>
          <w:tcPr>
            <w:tcW w:w="7755" w:type="dxa"/>
            <w:tcBorders>
              <w:top w:val="single" w:sz="4" w:space="0" w:color="auto"/>
              <w:left w:val="single" w:sz="4" w:space="0" w:color="auto"/>
              <w:bottom w:val="single" w:sz="4" w:space="0" w:color="auto"/>
              <w:right w:val="single" w:sz="4" w:space="0" w:color="auto"/>
            </w:tcBorders>
          </w:tcPr>
          <w:p w14:paraId="1FA113EF" w14:textId="77777777" w:rsidR="008E67EA" w:rsidRPr="002B5B5B" w:rsidRDefault="008E67EA" w:rsidP="00B44A74">
            <w:pPr>
              <w:spacing w:line="280" w:lineRule="exact"/>
              <w:rPr>
                <w:rFonts w:cs="Arial"/>
                <w:sz w:val="20"/>
                <w:szCs w:val="20"/>
              </w:rPr>
            </w:pPr>
          </w:p>
        </w:tc>
      </w:tr>
      <w:tr w:rsidR="008E67EA" w:rsidRPr="002B5B5B" w14:paraId="47C534FD" w14:textId="77777777" w:rsidTr="00B44A74">
        <w:trPr>
          <w:jc w:val="center"/>
        </w:trPr>
        <w:tc>
          <w:tcPr>
            <w:tcW w:w="2415" w:type="dxa"/>
            <w:tcBorders>
              <w:top w:val="single" w:sz="4" w:space="0" w:color="auto"/>
              <w:left w:val="nil"/>
              <w:bottom w:val="single" w:sz="4" w:space="0" w:color="auto"/>
              <w:right w:val="nil"/>
            </w:tcBorders>
          </w:tcPr>
          <w:p w14:paraId="1D8CF21D"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330F21E" w14:textId="77777777" w:rsidR="008E67EA" w:rsidRPr="002B5B5B" w:rsidRDefault="008E67EA" w:rsidP="00B44A74">
            <w:pPr>
              <w:spacing w:line="280" w:lineRule="exact"/>
              <w:rPr>
                <w:rFonts w:cs="Arial"/>
                <w:sz w:val="20"/>
                <w:szCs w:val="20"/>
              </w:rPr>
            </w:pPr>
          </w:p>
        </w:tc>
      </w:tr>
      <w:tr w:rsidR="008E67EA" w:rsidRPr="002B5B5B" w14:paraId="0B1C92D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38EA606" w14:textId="77777777" w:rsidR="008E67EA" w:rsidRPr="00F5215F" w:rsidRDefault="008E67EA" w:rsidP="00B44A74">
            <w:pPr>
              <w:spacing w:line="280" w:lineRule="exact"/>
              <w:rPr>
                <w:rFonts w:cs="Arial"/>
                <w:sz w:val="20"/>
                <w:szCs w:val="20"/>
              </w:rPr>
            </w:pPr>
            <w:r w:rsidRPr="00F5215F">
              <w:rPr>
                <w:rFonts w:cs="Arial"/>
                <w:sz w:val="20"/>
                <w:szCs w:val="20"/>
              </w:rPr>
              <w:t>Precautions:</w:t>
            </w:r>
          </w:p>
        </w:tc>
        <w:tc>
          <w:tcPr>
            <w:tcW w:w="7755" w:type="dxa"/>
            <w:tcBorders>
              <w:top w:val="single" w:sz="4" w:space="0" w:color="auto"/>
              <w:left w:val="single" w:sz="4" w:space="0" w:color="auto"/>
              <w:bottom w:val="single" w:sz="4" w:space="0" w:color="auto"/>
              <w:right w:val="single" w:sz="4" w:space="0" w:color="auto"/>
            </w:tcBorders>
          </w:tcPr>
          <w:p w14:paraId="42842566" w14:textId="77777777" w:rsidR="008E67EA" w:rsidRDefault="008E67EA" w:rsidP="00B44A74">
            <w:pPr>
              <w:spacing w:line="280" w:lineRule="exact"/>
              <w:rPr>
                <w:rFonts w:cs="Arial"/>
                <w:sz w:val="20"/>
                <w:szCs w:val="20"/>
              </w:rPr>
            </w:pPr>
            <w:r>
              <w:rPr>
                <w:rFonts w:cs="Arial"/>
                <w:sz w:val="20"/>
                <w:szCs w:val="20"/>
              </w:rPr>
              <w:t>PRECAUTIONS</w:t>
            </w:r>
          </w:p>
          <w:p w14:paraId="629B7F36" w14:textId="77777777" w:rsidR="008E67EA" w:rsidRPr="00391202" w:rsidRDefault="008E67EA" w:rsidP="00B44A74">
            <w:pPr>
              <w:spacing w:line="280" w:lineRule="exact"/>
              <w:rPr>
                <w:rFonts w:cs="Arial"/>
                <w:sz w:val="20"/>
                <w:szCs w:val="20"/>
              </w:rPr>
            </w:pPr>
            <w:r w:rsidRPr="00391202">
              <w:rPr>
                <w:rFonts w:cs="Arial"/>
                <w:sz w:val="20"/>
                <w:szCs w:val="20"/>
              </w:rPr>
              <w:t>Caution should be used when baiting near areas where hunting of wildlife may occur. Careful consideration of bait placement is necessary to avoid secondary exposure from contaminated wildlife that may be consumed.</w:t>
            </w:r>
          </w:p>
          <w:p w14:paraId="026C2D90" w14:textId="77777777" w:rsidR="008E67EA" w:rsidRPr="002B5B5B" w:rsidRDefault="008E67EA" w:rsidP="00B44A74">
            <w:pPr>
              <w:spacing w:line="280" w:lineRule="exact"/>
              <w:rPr>
                <w:rFonts w:cs="Arial"/>
                <w:sz w:val="20"/>
                <w:szCs w:val="20"/>
                <w:highlight w:val="yellow"/>
              </w:rPr>
            </w:pPr>
            <w:r w:rsidRPr="00391202">
              <w:rPr>
                <w:rFonts w:cs="Arial"/>
                <w:sz w:val="20"/>
                <w:szCs w:val="20"/>
              </w:rPr>
              <w:t>DO NOT place bait in areas where there is a possibility of contaminating food, livestock feed or surfaces that come in direct contact with food or livestock feed.</w:t>
            </w:r>
          </w:p>
        </w:tc>
      </w:tr>
      <w:tr w:rsidR="008E67EA" w:rsidRPr="002B5B5B" w14:paraId="07D8061F" w14:textId="77777777" w:rsidTr="00B44A74">
        <w:trPr>
          <w:jc w:val="center"/>
        </w:trPr>
        <w:tc>
          <w:tcPr>
            <w:tcW w:w="2415" w:type="dxa"/>
            <w:tcBorders>
              <w:top w:val="single" w:sz="4" w:space="0" w:color="auto"/>
              <w:left w:val="nil"/>
              <w:bottom w:val="single" w:sz="4" w:space="0" w:color="auto"/>
              <w:right w:val="nil"/>
            </w:tcBorders>
          </w:tcPr>
          <w:p w14:paraId="623A8F1C"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B9114CD" w14:textId="77777777" w:rsidR="008E67EA" w:rsidRPr="002B5B5B" w:rsidRDefault="008E67EA" w:rsidP="00B44A74">
            <w:pPr>
              <w:spacing w:line="280" w:lineRule="exact"/>
              <w:rPr>
                <w:rFonts w:cs="Arial"/>
                <w:sz w:val="20"/>
                <w:szCs w:val="20"/>
              </w:rPr>
            </w:pPr>
          </w:p>
        </w:tc>
      </w:tr>
      <w:tr w:rsidR="008E67EA" w:rsidRPr="002B5B5B" w14:paraId="6158D6B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56F7A4E" w14:textId="77777777" w:rsidR="008E67EA" w:rsidRPr="00F5215F" w:rsidRDefault="008E67EA" w:rsidP="00B44A74">
            <w:pPr>
              <w:spacing w:line="280" w:lineRule="exact"/>
              <w:rPr>
                <w:rFonts w:cs="Arial"/>
                <w:sz w:val="20"/>
                <w:szCs w:val="20"/>
              </w:rPr>
            </w:pPr>
            <w:r w:rsidRPr="00F5215F">
              <w:rPr>
                <w:rFonts w:cs="Arial"/>
                <w:sz w:val="20"/>
                <w:szCs w:val="20"/>
              </w:rPr>
              <w:t>Protection Statements:</w:t>
            </w:r>
          </w:p>
        </w:tc>
        <w:tc>
          <w:tcPr>
            <w:tcW w:w="7755" w:type="dxa"/>
            <w:tcBorders>
              <w:top w:val="single" w:sz="4" w:space="0" w:color="auto"/>
              <w:left w:val="single" w:sz="4" w:space="0" w:color="auto"/>
              <w:bottom w:val="single" w:sz="4" w:space="0" w:color="auto"/>
              <w:right w:val="single" w:sz="4" w:space="0" w:color="auto"/>
            </w:tcBorders>
          </w:tcPr>
          <w:p w14:paraId="20B3A7CD" w14:textId="77777777" w:rsidR="008E67EA" w:rsidRPr="00391202" w:rsidRDefault="008E67EA" w:rsidP="00B44A74">
            <w:pPr>
              <w:spacing w:line="280" w:lineRule="exact"/>
              <w:rPr>
                <w:rFonts w:cs="Arial"/>
                <w:sz w:val="20"/>
                <w:szCs w:val="20"/>
              </w:rPr>
            </w:pPr>
            <w:r w:rsidRPr="00391202">
              <w:rPr>
                <w:rFonts w:cs="Arial"/>
                <w:sz w:val="20"/>
                <w:szCs w:val="20"/>
              </w:rPr>
              <w:t>PROTECTION OF LIVESTOCK AND WILDLIFE</w:t>
            </w:r>
          </w:p>
          <w:p w14:paraId="2739366C" w14:textId="77777777" w:rsidR="008E67EA" w:rsidRPr="00391202" w:rsidRDefault="008E67EA" w:rsidP="00B44A74">
            <w:pPr>
              <w:spacing w:line="280" w:lineRule="exact"/>
              <w:rPr>
                <w:rFonts w:cs="Arial"/>
                <w:sz w:val="20"/>
                <w:szCs w:val="20"/>
              </w:rPr>
            </w:pPr>
            <w:r w:rsidRPr="00391202">
              <w:rPr>
                <w:rFonts w:cs="Arial"/>
                <w:sz w:val="20"/>
                <w:szCs w:val="20"/>
              </w:rPr>
              <w:t>Hazardous to livestock, poultry and wildlife. DO NOT place baits in locations that are accessible to domestic animals, livestock, non-target native animals or birds.</w:t>
            </w:r>
          </w:p>
          <w:p w14:paraId="58E983A2" w14:textId="77777777" w:rsidR="008E67EA" w:rsidRPr="00391202" w:rsidRDefault="008E67EA" w:rsidP="00B44A74">
            <w:pPr>
              <w:spacing w:line="280" w:lineRule="exact"/>
              <w:rPr>
                <w:rFonts w:cs="Arial"/>
                <w:sz w:val="20"/>
                <w:szCs w:val="20"/>
              </w:rPr>
            </w:pPr>
            <w:r w:rsidRPr="00391202">
              <w:rPr>
                <w:rFonts w:cs="Arial"/>
                <w:sz w:val="20"/>
                <w:szCs w:val="20"/>
              </w:rPr>
              <w:t xml:space="preserve">Search for and dispose of dead rodents and slugs/snails in the infested area at each visit to prevent secondary poisoning. In case slugs/snails are present, move bait station to another location within the rodent infested site, away from slugs/snails. Dispose of slugs/snails in a way non-target animals are not exposed. Dispose of dead rodents and uneaten bait in compliance with local, state or territory government regulations. </w:t>
            </w:r>
          </w:p>
          <w:p w14:paraId="116BB2C0" w14:textId="77777777" w:rsidR="008E67EA" w:rsidRPr="00391202" w:rsidRDefault="008E67EA" w:rsidP="00B44A74">
            <w:pPr>
              <w:spacing w:line="280" w:lineRule="exact"/>
              <w:rPr>
                <w:rFonts w:cs="Arial"/>
                <w:sz w:val="20"/>
                <w:szCs w:val="20"/>
              </w:rPr>
            </w:pPr>
            <w:r w:rsidRPr="00391202">
              <w:rPr>
                <w:rFonts w:cs="Arial"/>
                <w:sz w:val="20"/>
                <w:szCs w:val="20"/>
              </w:rPr>
              <w:t>DO NOT allow livestock or poultry to consume dead or moribund mice and rats. All dead or moribund animals and rodent faeces from baited rodents MUST be removed from areas accessible to livestock or poultry.</w:t>
            </w:r>
          </w:p>
          <w:p w14:paraId="6BB51B81" w14:textId="77777777" w:rsidR="008E67EA" w:rsidRPr="00391202" w:rsidRDefault="008E67EA" w:rsidP="00B44A74">
            <w:pPr>
              <w:spacing w:line="280" w:lineRule="exact"/>
              <w:rPr>
                <w:rFonts w:cs="Arial"/>
                <w:sz w:val="20"/>
                <w:szCs w:val="20"/>
              </w:rPr>
            </w:pPr>
          </w:p>
          <w:p w14:paraId="1DED2711" w14:textId="77777777" w:rsidR="008E67EA" w:rsidRPr="00391202" w:rsidRDefault="008E67EA" w:rsidP="00B44A74">
            <w:pPr>
              <w:spacing w:line="280" w:lineRule="exact"/>
              <w:rPr>
                <w:rFonts w:cs="Arial"/>
                <w:sz w:val="20"/>
                <w:szCs w:val="20"/>
              </w:rPr>
            </w:pPr>
            <w:r w:rsidRPr="00391202">
              <w:rPr>
                <w:rFonts w:cs="Arial"/>
                <w:sz w:val="20"/>
                <w:szCs w:val="20"/>
              </w:rPr>
              <w:t>PROTECTION OF FISH, CRUSTACEANS AND ENVIRONMENT</w:t>
            </w:r>
          </w:p>
          <w:p w14:paraId="2E006CC0" w14:textId="6CA6CDDA" w:rsidR="008E67EA" w:rsidRPr="00D576C9" w:rsidRDefault="008E67EA" w:rsidP="00B44A74">
            <w:pPr>
              <w:spacing w:line="280" w:lineRule="exact"/>
              <w:rPr>
                <w:rFonts w:cs="Arial"/>
                <w:color w:val="7030A0"/>
                <w:sz w:val="20"/>
                <w:szCs w:val="20"/>
              </w:rPr>
            </w:pPr>
            <w:r w:rsidRPr="00391202">
              <w:rPr>
                <w:rFonts w:cs="Arial"/>
                <w:sz w:val="20"/>
                <w:szCs w:val="20"/>
              </w:rPr>
              <w:t>Toxic to aquatic life. DO NOT contaminate wetlands or watercourses with this product or used containers. Place the bait stations in areas not liable to flooding. When placing bait stations close to water drainage systems, ensure that bait contact with water is avoided.</w:t>
            </w:r>
          </w:p>
        </w:tc>
      </w:tr>
      <w:tr w:rsidR="008E67EA" w:rsidRPr="002B5B5B" w14:paraId="638C205E" w14:textId="77777777" w:rsidTr="00B44A74">
        <w:trPr>
          <w:jc w:val="center"/>
        </w:trPr>
        <w:tc>
          <w:tcPr>
            <w:tcW w:w="2415" w:type="dxa"/>
            <w:tcBorders>
              <w:top w:val="single" w:sz="4" w:space="0" w:color="auto"/>
              <w:left w:val="nil"/>
              <w:bottom w:val="single" w:sz="4" w:space="0" w:color="auto"/>
              <w:right w:val="nil"/>
            </w:tcBorders>
          </w:tcPr>
          <w:p w14:paraId="283229EF"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77F8E8B" w14:textId="77777777" w:rsidR="008E67EA" w:rsidRPr="002B5B5B" w:rsidRDefault="008E67EA" w:rsidP="00B44A74">
            <w:pPr>
              <w:spacing w:line="280" w:lineRule="exact"/>
              <w:rPr>
                <w:rFonts w:cs="Arial"/>
                <w:sz w:val="20"/>
                <w:szCs w:val="20"/>
              </w:rPr>
            </w:pPr>
          </w:p>
        </w:tc>
      </w:tr>
      <w:tr w:rsidR="008E67EA" w:rsidRPr="002B5B5B" w14:paraId="2D82E1C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1C2A6FE" w14:textId="77777777" w:rsidR="008E67EA" w:rsidRPr="00F5215F" w:rsidRDefault="008E67EA" w:rsidP="00B44A74">
            <w:pPr>
              <w:spacing w:line="280" w:lineRule="exact"/>
              <w:rPr>
                <w:rFonts w:cs="Arial"/>
                <w:sz w:val="20"/>
                <w:szCs w:val="20"/>
              </w:rPr>
            </w:pPr>
            <w:r w:rsidRPr="00F5215F">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738D26E0" w14:textId="77777777" w:rsidR="008E67EA" w:rsidRDefault="008E67EA" w:rsidP="00B44A74">
            <w:pPr>
              <w:spacing w:line="280" w:lineRule="exact"/>
              <w:rPr>
                <w:rFonts w:cs="Arial"/>
                <w:sz w:val="20"/>
                <w:szCs w:val="20"/>
              </w:rPr>
            </w:pPr>
            <w:r>
              <w:rPr>
                <w:rFonts w:cs="Arial"/>
                <w:sz w:val="20"/>
                <w:szCs w:val="20"/>
              </w:rPr>
              <w:t>STORAGE AND DISPOSAL</w:t>
            </w:r>
          </w:p>
          <w:p w14:paraId="09195FF5" w14:textId="77777777" w:rsidR="008E67EA" w:rsidRPr="00391202" w:rsidRDefault="008E67EA" w:rsidP="00B44A74">
            <w:pPr>
              <w:spacing w:line="280" w:lineRule="exact"/>
              <w:rPr>
                <w:rFonts w:cs="Arial"/>
                <w:sz w:val="20"/>
                <w:szCs w:val="20"/>
              </w:rPr>
            </w:pPr>
            <w:r w:rsidRPr="00391202">
              <w:rPr>
                <w:rFonts w:cs="Arial"/>
                <w:sz w:val="20"/>
                <w:szCs w:val="20"/>
              </w:rPr>
              <w:t>Store in the closed original container in a cool, well-ventilated area out of direct sunlight. Triple rinse containers before disposal. Break, crush or puncture and deliver empty packaging to an approved waste management facility. If an approved waste management facility is not available, dispose of empty packaging in compliance with relevant local, state or territory government regulations.</w:t>
            </w:r>
            <w:r>
              <w:t xml:space="preserve"> </w:t>
            </w:r>
            <w:r w:rsidRPr="0085452F">
              <w:rPr>
                <w:rFonts w:cs="Arial"/>
                <w:sz w:val="20"/>
                <w:szCs w:val="20"/>
              </w:rPr>
              <w:t>Dispose of unused product in compliance with relevant local, state or territory government regulations.</w:t>
            </w:r>
            <w:r w:rsidRPr="00391202">
              <w:rPr>
                <w:rFonts w:cs="Arial"/>
                <w:sz w:val="20"/>
                <w:szCs w:val="20"/>
              </w:rPr>
              <w:t xml:space="preserve"> DO NOT burn empty containers or product.</w:t>
            </w:r>
          </w:p>
        </w:tc>
      </w:tr>
      <w:tr w:rsidR="008E67EA" w:rsidRPr="002B5B5B" w14:paraId="01241760" w14:textId="77777777" w:rsidTr="00B44A74">
        <w:trPr>
          <w:jc w:val="center"/>
        </w:trPr>
        <w:tc>
          <w:tcPr>
            <w:tcW w:w="2415" w:type="dxa"/>
            <w:tcBorders>
              <w:top w:val="single" w:sz="4" w:space="0" w:color="auto"/>
              <w:left w:val="nil"/>
              <w:bottom w:val="single" w:sz="4" w:space="0" w:color="auto"/>
              <w:right w:val="nil"/>
            </w:tcBorders>
          </w:tcPr>
          <w:p w14:paraId="111CED89"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DD14A82" w14:textId="77777777" w:rsidR="008E67EA" w:rsidRPr="002B5B5B" w:rsidRDefault="008E67EA" w:rsidP="00B44A74">
            <w:pPr>
              <w:spacing w:line="280" w:lineRule="exact"/>
              <w:rPr>
                <w:rFonts w:cs="Arial"/>
                <w:sz w:val="20"/>
                <w:szCs w:val="20"/>
              </w:rPr>
            </w:pPr>
          </w:p>
        </w:tc>
      </w:tr>
      <w:tr w:rsidR="008E67EA" w:rsidRPr="002B5B5B" w14:paraId="09FE279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0A16F8D" w14:textId="77777777" w:rsidR="008E67EA" w:rsidRPr="00F5215F" w:rsidRDefault="008E67EA" w:rsidP="00B44A74">
            <w:pPr>
              <w:spacing w:line="280" w:lineRule="exact"/>
              <w:rPr>
                <w:rFonts w:cs="Arial"/>
                <w:sz w:val="20"/>
                <w:szCs w:val="20"/>
              </w:rPr>
            </w:pPr>
            <w:r w:rsidRPr="00F5215F">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2C415E79" w14:textId="77777777" w:rsidR="008E67EA" w:rsidRDefault="008E67EA" w:rsidP="00B44A74">
            <w:pPr>
              <w:spacing w:line="280" w:lineRule="exact"/>
              <w:rPr>
                <w:rFonts w:cs="Arial"/>
                <w:sz w:val="20"/>
                <w:szCs w:val="20"/>
              </w:rPr>
            </w:pPr>
            <w:r>
              <w:rPr>
                <w:rFonts w:cs="Arial"/>
                <w:sz w:val="20"/>
                <w:szCs w:val="20"/>
              </w:rPr>
              <w:t>SAFETY DIRECTIONS</w:t>
            </w:r>
          </w:p>
          <w:p w14:paraId="62D21CA0" w14:textId="77777777" w:rsidR="008E67EA" w:rsidRDefault="008E67EA" w:rsidP="00B44A74">
            <w:pPr>
              <w:spacing w:line="280" w:lineRule="exact"/>
              <w:rPr>
                <w:rFonts w:cs="Arial"/>
                <w:sz w:val="20"/>
                <w:szCs w:val="20"/>
              </w:rPr>
            </w:pPr>
            <w:r w:rsidRPr="00391202">
              <w:rPr>
                <w:rFonts w:cs="Arial"/>
                <w:sz w:val="20"/>
                <w:szCs w:val="20"/>
              </w:rPr>
              <w:t>Repeated minor exposure may have a cumulative poisoning effect. Do not touch bait, use scoop or measure. When using the product wear disposable gloves. If on skin and after each baiting, wash thoroughly with soap and water</w:t>
            </w:r>
            <w:r>
              <w:rPr>
                <w:rFonts w:cs="Arial"/>
                <w:sz w:val="20"/>
                <w:szCs w:val="20"/>
              </w:rPr>
              <w:t>.</w:t>
            </w:r>
          </w:p>
          <w:p w14:paraId="31A109B5" w14:textId="5D93CD66" w:rsidR="008E67EA" w:rsidRPr="00391202" w:rsidRDefault="008E67EA" w:rsidP="00B44A74">
            <w:pPr>
              <w:spacing w:line="280" w:lineRule="exact"/>
              <w:rPr>
                <w:rFonts w:cs="Arial"/>
                <w:sz w:val="20"/>
                <w:szCs w:val="20"/>
              </w:rPr>
            </w:pPr>
            <w:r w:rsidRPr="00391202">
              <w:rPr>
                <w:rFonts w:cs="Arial"/>
                <w:sz w:val="20"/>
                <w:szCs w:val="20"/>
              </w:rPr>
              <w:t>During cleanup and disposal operations of bait and bait stations, wear a single layer of clothing and disposable gloves. Wear disposable gloves when handling rodent carcasses. Wash clothes after performing re-handling activities.</w:t>
            </w:r>
          </w:p>
        </w:tc>
      </w:tr>
      <w:tr w:rsidR="008E67EA" w:rsidRPr="002B5B5B" w14:paraId="6BCF0678" w14:textId="77777777" w:rsidTr="00B44A74">
        <w:trPr>
          <w:jc w:val="center"/>
        </w:trPr>
        <w:tc>
          <w:tcPr>
            <w:tcW w:w="2415" w:type="dxa"/>
            <w:tcBorders>
              <w:top w:val="single" w:sz="4" w:space="0" w:color="auto"/>
              <w:left w:val="nil"/>
              <w:bottom w:val="single" w:sz="4" w:space="0" w:color="auto"/>
              <w:right w:val="nil"/>
            </w:tcBorders>
          </w:tcPr>
          <w:p w14:paraId="7641A697"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FA0EDC9" w14:textId="77777777" w:rsidR="008E67EA" w:rsidRPr="002B5B5B" w:rsidRDefault="008E67EA" w:rsidP="00B44A74">
            <w:pPr>
              <w:spacing w:line="280" w:lineRule="exact"/>
              <w:rPr>
                <w:rFonts w:cs="Arial"/>
                <w:sz w:val="20"/>
                <w:szCs w:val="20"/>
              </w:rPr>
            </w:pPr>
          </w:p>
        </w:tc>
      </w:tr>
      <w:tr w:rsidR="008E67EA" w:rsidRPr="002B5B5B" w14:paraId="2B1E696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0380A41" w14:textId="77777777" w:rsidR="008E67EA" w:rsidRPr="00F5215F" w:rsidRDefault="008E67EA" w:rsidP="00B44A74">
            <w:pPr>
              <w:spacing w:line="280" w:lineRule="exact"/>
              <w:rPr>
                <w:rFonts w:cs="Arial"/>
                <w:sz w:val="20"/>
                <w:szCs w:val="20"/>
              </w:rPr>
            </w:pPr>
            <w:r w:rsidRPr="00F5215F">
              <w:rPr>
                <w:rFonts w:cs="Arial"/>
                <w:sz w:val="20"/>
                <w:szCs w:val="20"/>
              </w:rPr>
              <w:t>First Aid Instructions:</w:t>
            </w:r>
          </w:p>
        </w:tc>
        <w:tc>
          <w:tcPr>
            <w:tcW w:w="7755" w:type="dxa"/>
            <w:tcBorders>
              <w:top w:val="single" w:sz="4" w:space="0" w:color="auto"/>
              <w:left w:val="single" w:sz="4" w:space="0" w:color="auto"/>
              <w:bottom w:val="single" w:sz="4" w:space="0" w:color="auto"/>
              <w:right w:val="single" w:sz="4" w:space="0" w:color="auto"/>
            </w:tcBorders>
          </w:tcPr>
          <w:p w14:paraId="00EE1F62" w14:textId="77777777" w:rsidR="008E67EA" w:rsidRDefault="008E67EA" w:rsidP="00B44A74">
            <w:pPr>
              <w:spacing w:line="280" w:lineRule="exact"/>
              <w:rPr>
                <w:rFonts w:cs="Arial"/>
                <w:sz w:val="20"/>
                <w:szCs w:val="20"/>
              </w:rPr>
            </w:pPr>
            <w:r>
              <w:rPr>
                <w:rFonts w:cs="Arial"/>
                <w:sz w:val="20"/>
                <w:szCs w:val="20"/>
              </w:rPr>
              <w:t>FIRST AID</w:t>
            </w:r>
          </w:p>
          <w:p w14:paraId="4A3695D2" w14:textId="77777777" w:rsidR="008E67EA" w:rsidRPr="00391202" w:rsidRDefault="008E67EA" w:rsidP="00B44A74">
            <w:pPr>
              <w:spacing w:line="280" w:lineRule="exact"/>
              <w:rPr>
                <w:rFonts w:cs="Arial"/>
                <w:sz w:val="20"/>
                <w:szCs w:val="20"/>
              </w:rPr>
            </w:pPr>
            <w:r w:rsidRPr="00391202">
              <w:rPr>
                <w:rFonts w:cs="Arial"/>
                <w:sz w:val="20"/>
                <w:szCs w:val="20"/>
              </w:rPr>
              <w:t>If poisoning occurs, contact a doctor or Poisons Information Centre. Phone Australia 13 11 26, New Zealand 0800 764 766. Vitamin K1 (Phytomenadione) is antidotal.</w:t>
            </w:r>
          </w:p>
        </w:tc>
      </w:tr>
      <w:tr w:rsidR="008E67EA" w:rsidRPr="002B5B5B" w14:paraId="1ADF5173" w14:textId="77777777" w:rsidTr="00B44A74">
        <w:trPr>
          <w:jc w:val="center"/>
        </w:trPr>
        <w:tc>
          <w:tcPr>
            <w:tcW w:w="2415" w:type="dxa"/>
            <w:tcBorders>
              <w:top w:val="single" w:sz="4" w:space="0" w:color="auto"/>
              <w:left w:val="nil"/>
              <w:bottom w:val="single" w:sz="4" w:space="0" w:color="auto"/>
              <w:right w:val="nil"/>
            </w:tcBorders>
          </w:tcPr>
          <w:p w14:paraId="48BD5CFE"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3A5634D" w14:textId="77777777" w:rsidR="008E67EA" w:rsidRPr="002B5B5B" w:rsidRDefault="008E67EA" w:rsidP="00B44A74">
            <w:pPr>
              <w:spacing w:line="280" w:lineRule="exact"/>
              <w:rPr>
                <w:rFonts w:cs="Arial"/>
                <w:sz w:val="20"/>
                <w:szCs w:val="20"/>
              </w:rPr>
            </w:pPr>
          </w:p>
        </w:tc>
      </w:tr>
      <w:tr w:rsidR="008E67EA" w:rsidRPr="002B5B5B" w14:paraId="58A95851"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4445F67" w14:textId="77777777" w:rsidR="008E67EA" w:rsidRPr="00F5215F" w:rsidRDefault="008E67EA" w:rsidP="00B44A74">
            <w:pPr>
              <w:spacing w:line="280" w:lineRule="exact"/>
              <w:rPr>
                <w:rFonts w:cs="Arial"/>
                <w:sz w:val="20"/>
                <w:szCs w:val="20"/>
              </w:rPr>
            </w:pPr>
            <w:r w:rsidRPr="00F5215F">
              <w:rPr>
                <w:rFonts w:cs="Arial"/>
                <w:sz w:val="20"/>
                <w:szCs w:val="20"/>
              </w:rPr>
              <w:t>First Aid Warnings:</w:t>
            </w:r>
          </w:p>
        </w:tc>
        <w:tc>
          <w:tcPr>
            <w:tcW w:w="7755" w:type="dxa"/>
            <w:tcBorders>
              <w:top w:val="single" w:sz="4" w:space="0" w:color="auto"/>
              <w:left w:val="single" w:sz="4" w:space="0" w:color="auto"/>
              <w:bottom w:val="single" w:sz="4" w:space="0" w:color="auto"/>
              <w:right w:val="single" w:sz="4" w:space="0" w:color="auto"/>
            </w:tcBorders>
          </w:tcPr>
          <w:p w14:paraId="4E0CB5DA" w14:textId="77777777" w:rsidR="008E67EA" w:rsidRPr="002B5B5B" w:rsidRDefault="008E67EA" w:rsidP="00B44A74">
            <w:pPr>
              <w:spacing w:line="280" w:lineRule="exact"/>
              <w:rPr>
                <w:rFonts w:cs="Arial"/>
                <w:sz w:val="20"/>
                <w:szCs w:val="20"/>
              </w:rPr>
            </w:pPr>
          </w:p>
        </w:tc>
      </w:tr>
    </w:tbl>
    <w:p w14:paraId="73ADF962" w14:textId="77777777" w:rsidR="008E67EA" w:rsidRDefault="008E67EA" w:rsidP="008E67EA">
      <w:pPr>
        <w:spacing w:line="280" w:lineRule="exact"/>
        <w:rPr>
          <w:rFonts w:cs="Arial"/>
          <w:b/>
          <w:bCs/>
          <w:sz w:val="20"/>
          <w:szCs w:val="20"/>
        </w:rPr>
      </w:pPr>
    </w:p>
    <w:p w14:paraId="74451C42" w14:textId="77777777" w:rsidR="008E67EA" w:rsidRDefault="008E67EA" w:rsidP="008E67EA">
      <w:pPr>
        <w:spacing w:line="280" w:lineRule="exact"/>
        <w:rPr>
          <w:rFonts w:cs="Arial"/>
          <w:b/>
          <w:bCs/>
          <w:sz w:val="20"/>
          <w:szCs w:val="20"/>
        </w:rPr>
      </w:pPr>
      <w:r w:rsidRPr="00FF36BF">
        <w:rPr>
          <w:rFonts w:cs="Arial"/>
          <w:b/>
          <w:bCs/>
          <w:sz w:val="20"/>
          <w:szCs w:val="20"/>
        </w:rPr>
        <w:t>DIRECTIONS FOR USE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417"/>
        <w:gridCol w:w="1560"/>
        <w:gridCol w:w="4077"/>
      </w:tblGrid>
      <w:tr w:rsidR="008E67EA" w:rsidRPr="00FF36BF" w14:paraId="66CDABF3" w14:textId="77777777" w:rsidTr="00604F9D">
        <w:trPr>
          <w:trHeight w:val="340"/>
        </w:trPr>
        <w:tc>
          <w:tcPr>
            <w:tcW w:w="1999" w:type="dxa"/>
          </w:tcPr>
          <w:p w14:paraId="1A5A1354" w14:textId="77777777" w:rsidR="008E67EA" w:rsidRPr="00DB6BC4" w:rsidRDefault="008E67EA" w:rsidP="00B44A74">
            <w:pPr>
              <w:spacing w:line="280" w:lineRule="exact"/>
              <w:rPr>
                <w:rFonts w:cs="Arial"/>
                <w:b/>
                <w:bCs/>
                <w:szCs w:val="18"/>
              </w:rPr>
            </w:pPr>
            <w:r w:rsidRPr="00DB6BC4">
              <w:rPr>
                <w:rFonts w:cs="Arial"/>
                <w:b/>
                <w:bCs/>
                <w:szCs w:val="18"/>
              </w:rPr>
              <w:t>SITUATION</w:t>
            </w:r>
          </w:p>
        </w:tc>
        <w:tc>
          <w:tcPr>
            <w:tcW w:w="1417" w:type="dxa"/>
          </w:tcPr>
          <w:p w14:paraId="0CA44108" w14:textId="77777777" w:rsidR="008E67EA" w:rsidRPr="00DB6BC4" w:rsidRDefault="008E67EA" w:rsidP="00B44A74">
            <w:pPr>
              <w:spacing w:line="280" w:lineRule="exact"/>
              <w:rPr>
                <w:rFonts w:cs="Arial"/>
                <w:b/>
                <w:bCs/>
                <w:szCs w:val="18"/>
              </w:rPr>
            </w:pPr>
            <w:r w:rsidRPr="00DB6BC4">
              <w:rPr>
                <w:rFonts w:cs="Arial"/>
                <w:b/>
                <w:bCs/>
                <w:szCs w:val="18"/>
              </w:rPr>
              <w:t>PEST</w:t>
            </w:r>
          </w:p>
        </w:tc>
        <w:tc>
          <w:tcPr>
            <w:tcW w:w="1560" w:type="dxa"/>
          </w:tcPr>
          <w:p w14:paraId="145F7646" w14:textId="77777777" w:rsidR="008E67EA" w:rsidRPr="00DB6BC4" w:rsidRDefault="008E67EA" w:rsidP="00B44A74">
            <w:pPr>
              <w:spacing w:line="280" w:lineRule="exact"/>
              <w:rPr>
                <w:rFonts w:cs="Arial"/>
                <w:b/>
                <w:bCs/>
                <w:szCs w:val="18"/>
              </w:rPr>
            </w:pPr>
            <w:r w:rsidRPr="00DB6BC4">
              <w:rPr>
                <w:rFonts w:cs="Arial"/>
                <w:b/>
                <w:bCs/>
                <w:szCs w:val="18"/>
              </w:rPr>
              <w:t>RATE</w:t>
            </w:r>
          </w:p>
        </w:tc>
        <w:tc>
          <w:tcPr>
            <w:tcW w:w="4077" w:type="dxa"/>
          </w:tcPr>
          <w:p w14:paraId="2D490EE8" w14:textId="77777777" w:rsidR="008E67EA" w:rsidRPr="00DB6BC4" w:rsidRDefault="008E67EA" w:rsidP="00B44A74">
            <w:pPr>
              <w:spacing w:line="280" w:lineRule="exact"/>
              <w:rPr>
                <w:rFonts w:cs="Arial"/>
                <w:b/>
                <w:bCs/>
                <w:szCs w:val="18"/>
              </w:rPr>
            </w:pPr>
            <w:r w:rsidRPr="00DB6BC4">
              <w:rPr>
                <w:rFonts w:cs="Arial"/>
                <w:b/>
                <w:bCs/>
                <w:szCs w:val="18"/>
              </w:rPr>
              <w:t>CRITICAL COMMENTS</w:t>
            </w:r>
          </w:p>
        </w:tc>
      </w:tr>
      <w:tr w:rsidR="008E67EA" w:rsidRPr="00FF36BF" w14:paraId="129CDCC7" w14:textId="77777777" w:rsidTr="00604F9D">
        <w:trPr>
          <w:trHeight w:val="841"/>
        </w:trPr>
        <w:tc>
          <w:tcPr>
            <w:tcW w:w="1999" w:type="dxa"/>
          </w:tcPr>
          <w:p w14:paraId="7B4A8907" w14:textId="77777777" w:rsidR="008E67EA" w:rsidRPr="00DB6BC4" w:rsidRDefault="008E67EA" w:rsidP="00B44A74">
            <w:pPr>
              <w:spacing w:after="120" w:line="240" w:lineRule="exact"/>
              <w:rPr>
                <w:rFonts w:cs="Arial"/>
                <w:bCs/>
                <w:spacing w:val="-2"/>
                <w:w w:val="105"/>
                <w:szCs w:val="18"/>
              </w:rPr>
            </w:pPr>
            <w:r w:rsidRPr="00DB6BC4">
              <w:rPr>
                <w:rFonts w:cs="Arial"/>
                <w:bCs/>
                <w:spacing w:val="-2"/>
                <w:w w:val="105"/>
                <w:szCs w:val="18"/>
              </w:rPr>
              <w:t xml:space="preserve">In and around </w:t>
            </w:r>
            <w:r>
              <w:rPr>
                <w:rFonts w:cs="Arial"/>
                <w:bCs/>
                <w:spacing w:val="-2"/>
                <w:w w:val="105"/>
                <w:szCs w:val="18"/>
              </w:rPr>
              <w:t xml:space="preserve">(within 2 m) </w:t>
            </w:r>
            <w:r w:rsidRPr="00DB6BC4">
              <w:rPr>
                <w:rFonts w:cs="Arial"/>
                <w:bCs/>
                <w:spacing w:val="-2"/>
                <w:w w:val="105"/>
                <w:szCs w:val="18"/>
              </w:rPr>
              <w:t>industrial, commercial,</w:t>
            </w:r>
            <w:r>
              <w:rPr>
                <w:rFonts w:cs="Arial"/>
                <w:bCs/>
                <w:spacing w:val="-2"/>
                <w:w w:val="105"/>
                <w:szCs w:val="18"/>
              </w:rPr>
              <w:t xml:space="preserve"> </w:t>
            </w:r>
            <w:r w:rsidRPr="00DB6BC4">
              <w:rPr>
                <w:rFonts w:cs="Arial"/>
                <w:bCs/>
                <w:spacing w:val="-2"/>
                <w:w w:val="105"/>
                <w:szCs w:val="18"/>
              </w:rPr>
              <w:t>agricultural</w:t>
            </w:r>
            <w:r>
              <w:rPr>
                <w:rFonts w:cs="Arial"/>
                <w:bCs/>
                <w:spacing w:val="-2"/>
                <w:w w:val="105"/>
                <w:szCs w:val="18"/>
              </w:rPr>
              <w:t xml:space="preserve"> and</w:t>
            </w:r>
            <w:r w:rsidRPr="00DB6BC4">
              <w:rPr>
                <w:rFonts w:cs="Arial"/>
                <w:bCs/>
                <w:spacing w:val="-2"/>
                <w:w w:val="105"/>
                <w:szCs w:val="18"/>
              </w:rPr>
              <w:t xml:space="preserve"> domestic buildings</w:t>
            </w:r>
            <w:r>
              <w:rPr>
                <w:rFonts w:cs="Arial"/>
                <w:bCs/>
                <w:spacing w:val="-2"/>
                <w:w w:val="105"/>
                <w:szCs w:val="18"/>
              </w:rPr>
              <w:t>.</w:t>
            </w:r>
          </w:p>
        </w:tc>
        <w:tc>
          <w:tcPr>
            <w:tcW w:w="1417" w:type="dxa"/>
          </w:tcPr>
          <w:p w14:paraId="7577C621" w14:textId="77777777" w:rsidR="008E67EA" w:rsidRPr="00DB6BC4" w:rsidRDefault="008E67EA" w:rsidP="00B44A74">
            <w:pPr>
              <w:spacing w:after="120" w:line="240" w:lineRule="exact"/>
              <w:rPr>
                <w:rFonts w:cs="Arial"/>
                <w:bCs/>
                <w:spacing w:val="-2"/>
                <w:w w:val="105"/>
                <w:szCs w:val="18"/>
              </w:rPr>
            </w:pPr>
            <w:r w:rsidRPr="004F544F">
              <w:rPr>
                <w:rFonts w:cs="Arial"/>
                <w:bCs/>
                <w:spacing w:val="-2"/>
                <w:w w:val="105"/>
                <w:szCs w:val="18"/>
              </w:rPr>
              <w:t xml:space="preserve">Mice </w:t>
            </w:r>
            <w:r w:rsidRPr="004F544F">
              <w:rPr>
                <w:rFonts w:cs="Arial"/>
                <w:bCs/>
                <w:i/>
                <w:iCs/>
                <w:spacing w:val="-2"/>
                <w:w w:val="105"/>
                <w:szCs w:val="18"/>
              </w:rPr>
              <w:t>(Mus musculus)</w:t>
            </w:r>
          </w:p>
        </w:tc>
        <w:tc>
          <w:tcPr>
            <w:tcW w:w="1560" w:type="dxa"/>
          </w:tcPr>
          <w:p w14:paraId="0EF8D21B" w14:textId="77777777" w:rsidR="008E67EA" w:rsidRPr="00DB6BC4" w:rsidRDefault="008E67EA" w:rsidP="00B44A74">
            <w:pPr>
              <w:spacing w:after="120" w:line="240" w:lineRule="exact"/>
              <w:rPr>
                <w:rFonts w:cs="Arial"/>
                <w:bCs/>
                <w:spacing w:val="-2"/>
                <w:w w:val="105"/>
                <w:szCs w:val="18"/>
              </w:rPr>
            </w:pPr>
            <w:r>
              <w:rPr>
                <w:rFonts w:cs="Arial"/>
                <w:bCs/>
                <w:spacing w:val="-2"/>
                <w:w w:val="105"/>
                <w:szCs w:val="18"/>
              </w:rPr>
              <w:t>30 to 60 g per bait station</w:t>
            </w:r>
          </w:p>
        </w:tc>
        <w:tc>
          <w:tcPr>
            <w:tcW w:w="4077" w:type="dxa"/>
          </w:tcPr>
          <w:p w14:paraId="7AA121DC" w14:textId="77777777" w:rsidR="008E67EA" w:rsidRPr="00AF79D7" w:rsidRDefault="008E67EA" w:rsidP="00B44A74">
            <w:pPr>
              <w:spacing w:after="120" w:line="240" w:lineRule="exact"/>
              <w:rPr>
                <w:rFonts w:cs="Arial"/>
                <w:bCs/>
                <w:spacing w:val="-2"/>
                <w:w w:val="105"/>
                <w:szCs w:val="18"/>
              </w:rPr>
            </w:pPr>
            <w:r w:rsidRPr="004F544F">
              <w:rPr>
                <w:rFonts w:cs="Arial"/>
                <w:bCs/>
                <w:spacing w:val="-2"/>
                <w:w w:val="105"/>
                <w:szCs w:val="18"/>
              </w:rPr>
              <w:t xml:space="preserve">Place one </w:t>
            </w:r>
            <w:r>
              <w:rPr>
                <w:rFonts w:cs="Arial"/>
                <w:bCs/>
                <w:spacing w:val="-2"/>
                <w:w w:val="105"/>
                <w:szCs w:val="18"/>
              </w:rPr>
              <w:t xml:space="preserve">30 g bait in a bait station </w:t>
            </w:r>
            <w:r w:rsidRPr="004F544F">
              <w:rPr>
                <w:rFonts w:cs="Arial"/>
                <w:bCs/>
                <w:spacing w:val="-2"/>
                <w:w w:val="105"/>
                <w:szCs w:val="18"/>
              </w:rPr>
              <w:t>at</w:t>
            </w:r>
            <w:r>
              <w:rPr>
                <w:rFonts w:cs="Arial"/>
                <w:bCs/>
                <w:spacing w:val="-2"/>
                <w:w w:val="105"/>
                <w:szCs w:val="18"/>
              </w:rPr>
              <w:t xml:space="preserve"> </w:t>
            </w:r>
            <w:r w:rsidRPr="004F544F">
              <w:rPr>
                <w:rFonts w:cs="Arial"/>
                <w:bCs/>
                <w:spacing w:val="-2"/>
                <w:w w:val="105"/>
                <w:szCs w:val="18"/>
              </w:rPr>
              <w:t>each placement location. Placement of two 30 g</w:t>
            </w:r>
            <w:r>
              <w:rPr>
                <w:rFonts w:cs="Arial"/>
                <w:bCs/>
                <w:spacing w:val="-2"/>
                <w:w w:val="105"/>
                <w:szCs w:val="18"/>
              </w:rPr>
              <w:t xml:space="preserve"> baits</w:t>
            </w:r>
            <w:r w:rsidRPr="004F544F">
              <w:rPr>
                <w:rFonts w:cs="Arial"/>
                <w:bCs/>
                <w:spacing w:val="-2"/>
                <w:w w:val="105"/>
                <w:szCs w:val="18"/>
              </w:rPr>
              <w:t xml:space="preserve"> each may be needed at</w:t>
            </w:r>
            <w:r>
              <w:rPr>
                <w:rFonts w:cs="Arial"/>
                <w:bCs/>
                <w:spacing w:val="-2"/>
                <w:w w:val="105"/>
                <w:szCs w:val="18"/>
              </w:rPr>
              <w:t xml:space="preserve"> </w:t>
            </w:r>
            <w:r w:rsidRPr="004F544F">
              <w:rPr>
                <w:rFonts w:cs="Arial"/>
                <w:bCs/>
                <w:spacing w:val="-2"/>
                <w:w w:val="105"/>
                <w:szCs w:val="18"/>
              </w:rPr>
              <w:t>points of very high house mouse</w:t>
            </w:r>
            <w:r>
              <w:rPr>
                <w:rFonts w:cs="Arial"/>
                <w:bCs/>
                <w:spacing w:val="-2"/>
                <w:w w:val="105"/>
                <w:szCs w:val="18"/>
              </w:rPr>
              <w:t xml:space="preserve"> </w:t>
            </w:r>
            <w:r w:rsidRPr="004F544F">
              <w:rPr>
                <w:rFonts w:cs="Arial"/>
                <w:bCs/>
                <w:spacing w:val="-2"/>
                <w:w w:val="105"/>
                <w:szCs w:val="18"/>
              </w:rPr>
              <w:t>activity.</w:t>
            </w:r>
            <w:r>
              <w:rPr>
                <w:rFonts w:cs="Arial"/>
                <w:bCs/>
                <w:spacing w:val="-2"/>
                <w:w w:val="105"/>
                <w:szCs w:val="18"/>
              </w:rPr>
              <w:t xml:space="preserve"> </w:t>
            </w:r>
            <w:r w:rsidRPr="004F544F">
              <w:rPr>
                <w:rFonts w:cs="Arial"/>
                <w:bCs/>
                <w:spacing w:val="-2"/>
                <w:w w:val="105"/>
                <w:szCs w:val="18"/>
              </w:rPr>
              <w:t>Space</w:t>
            </w:r>
            <w:r>
              <w:rPr>
                <w:rFonts w:cs="Arial"/>
                <w:bCs/>
                <w:spacing w:val="-2"/>
                <w:w w:val="105"/>
                <w:szCs w:val="18"/>
              </w:rPr>
              <w:t xml:space="preserve"> </w:t>
            </w:r>
            <w:r w:rsidRPr="004F544F">
              <w:rPr>
                <w:rFonts w:cs="Arial"/>
                <w:bCs/>
                <w:spacing w:val="-2"/>
                <w:w w:val="105"/>
                <w:szCs w:val="18"/>
              </w:rPr>
              <w:t>placements at 2.5m to 3.5m</w:t>
            </w:r>
            <w:r>
              <w:rPr>
                <w:rFonts w:cs="Arial"/>
                <w:bCs/>
                <w:spacing w:val="-2"/>
                <w:w w:val="105"/>
                <w:szCs w:val="18"/>
              </w:rPr>
              <w:t xml:space="preserve"> </w:t>
            </w:r>
            <w:r w:rsidRPr="004F544F">
              <w:rPr>
                <w:rFonts w:cs="Arial"/>
                <w:bCs/>
                <w:spacing w:val="-2"/>
                <w:w w:val="105"/>
                <w:szCs w:val="18"/>
              </w:rPr>
              <w:t xml:space="preserve">intervals. </w:t>
            </w:r>
          </w:p>
        </w:tc>
      </w:tr>
      <w:tr w:rsidR="008E67EA" w:rsidRPr="00FF36BF" w14:paraId="3BDD21C6" w14:textId="77777777" w:rsidTr="00604F9D">
        <w:trPr>
          <w:trHeight w:val="1140"/>
        </w:trPr>
        <w:tc>
          <w:tcPr>
            <w:tcW w:w="1999" w:type="dxa"/>
          </w:tcPr>
          <w:p w14:paraId="26CE687B" w14:textId="77777777" w:rsidR="008E67EA" w:rsidRPr="00DB6BC4" w:rsidRDefault="008E67EA" w:rsidP="00B44A74">
            <w:pPr>
              <w:spacing w:after="120" w:line="240" w:lineRule="exact"/>
              <w:rPr>
                <w:rFonts w:cs="Arial"/>
                <w:bCs/>
                <w:spacing w:val="-2"/>
                <w:w w:val="105"/>
                <w:szCs w:val="18"/>
              </w:rPr>
            </w:pPr>
            <w:r w:rsidRPr="007053EC">
              <w:rPr>
                <w:rFonts w:cs="Arial"/>
                <w:bCs/>
                <w:spacing w:val="-2"/>
                <w:w w:val="105"/>
                <w:szCs w:val="18"/>
              </w:rPr>
              <w:t>In industrial, commercial, agricultural</w:t>
            </w:r>
            <w:r>
              <w:rPr>
                <w:rFonts w:cs="Arial"/>
                <w:bCs/>
                <w:spacing w:val="-2"/>
                <w:w w:val="105"/>
                <w:szCs w:val="18"/>
              </w:rPr>
              <w:t xml:space="preserve"> and </w:t>
            </w:r>
            <w:r w:rsidRPr="007053EC">
              <w:rPr>
                <w:rFonts w:cs="Arial"/>
                <w:bCs/>
                <w:spacing w:val="-2"/>
                <w:w w:val="105"/>
                <w:szCs w:val="18"/>
              </w:rPr>
              <w:t>domestic buildings</w:t>
            </w:r>
            <w:r>
              <w:rPr>
                <w:rFonts w:cs="Arial"/>
                <w:bCs/>
                <w:spacing w:val="-2"/>
                <w:w w:val="105"/>
                <w:szCs w:val="18"/>
              </w:rPr>
              <w:t>.</w:t>
            </w:r>
          </w:p>
        </w:tc>
        <w:tc>
          <w:tcPr>
            <w:tcW w:w="1417" w:type="dxa"/>
          </w:tcPr>
          <w:p w14:paraId="578AF446" w14:textId="77777777" w:rsidR="008E67EA" w:rsidRPr="00DB6BC4" w:rsidRDefault="008E67EA" w:rsidP="00B44A74">
            <w:pPr>
              <w:spacing w:after="120" w:line="240" w:lineRule="exact"/>
              <w:rPr>
                <w:rFonts w:cs="Arial"/>
                <w:bCs/>
                <w:spacing w:val="-2"/>
                <w:w w:val="105"/>
                <w:szCs w:val="18"/>
              </w:rPr>
            </w:pPr>
            <w:r w:rsidRPr="004F544F">
              <w:rPr>
                <w:rFonts w:cs="Arial"/>
                <w:bCs/>
                <w:spacing w:val="-2"/>
                <w:w w:val="105"/>
                <w:szCs w:val="18"/>
              </w:rPr>
              <w:t xml:space="preserve">Rats </w:t>
            </w:r>
            <w:r w:rsidRPr="004F544F">
              <w:rPr>
                <w:rFonts w:cs="Arial"/>
                <w:bCs/>
                <w:i/>
                <w:iCs/>
                <w:spacing w:val="-2"/>
                <w:w w:val="105"/>
                <w:szCs w:val="18"/>
              </w:rPr>
              <w:t>(Rattus rattus, Rattus norvegicus)</w:t>
            </w:r>
          </w:p>
        </w:tc>
        <w:tc>
          <w:tcPr>
            <w:tcW w:w="1560" w:type="dxa"/>
          </w:tcPr>
          <w:p w14:paraId="08CA071C" w14:textId="77777777" w:rsidR="008E67EA" w:rsidRPr="00DB6BC4" w:rsidRDefault="008E67EA" w:rsidP="00B44A74">
            <w:pPr>
              <w:spacing w:after="120" w:line="240" w:lineRule="exact"/>
              <w:rPr>
                <w:rFonts w:cs="Arial"/>
                <w:bCs/>
                <w:spacing w:val="-2"/>
                <w:w w:val="105"/>
                <w:szCs w:val="18"/>
              </w:rPr>
            </w:pPr>
            <w:r>
              <w:rPr>
                <w:rFonts w:cs="Arial"/>
                <w:bCs/>
                <w:spacing w:val="-2"/>
                <w:w w:val="105"/>
                <w:szCs w:val="18"/>
              </w:rPr>
              <w:t>100 to 450 g per bait station</w:t>
            </w:r>
          </w:p>
        </w:tc>
        <w:tc>
          <w:tcPr>
            <w:tcW w:w="4077" w:type="dxa"/>
          </w:tcPr>
          <w:p w14:paraId="497F834E" w14:textId="77777777" w:rsidR="008E67EA" w:rsidRPr="00AF79D7" w:rsidRDefault="008E67EA" w:rsidP="00B44A74">
            <w:pPr>
              <w:spacing w:after="120" w:line="240" w:lineRule="exact"/>
              <w:rPr>
                <w:rFonts w:cs="Arial"/>
                <w:bCs/>
                <w:spacing w:val="-2"/>
                <w:w w:val="105"/>
                <w:szCs w:val="18"/>
              </w:rPr>
            </w:pPr>
            <w:r w:rsidRPr="004F544F">
              <w:rPr>
                <w:rFonts w:cs="Arial"/>
                <w:bCs/>
                <w:spacing w:val="-2"/>
                <w:w w:val="105"/>
                <w:szCs w:val="18"/>
              </w:rPr>
              <w:t xml:space="preserve">Use </w:t>
            </w:r>
            <w:r>
              <w:rPr>
                <w:rFonts w:cs="Arial"/>
                <w:bCs/>
                <w:spacing w:val="-2"/>
                <w:w w:val="105"/>
                <w:szCs w:val="18"/>
              </w:rPr>
              <w:t xml:space="preserve">high rate of </w:t>
            </w:r>
            <w:r w:rsidRPr="004F544F">
              <w:rPr>
                <w:rFonts w:cs="Arial"/>
                <w:bCs/>
                <w:spacing w:val="-2"/>
                <w:w w:val="105"/>
                <w:szCs w:val="18"/>
              </w:rPr>
              <w:t xml:space="preserve">450 g per </w:t>
            </w:r>
            <w:r>
              <w:rPr>
                <w:rFonts w:cs="Arial"/>
                <w:bCs/>
                <w:spacing w:val="-2"/>
                <w:w w:val="105"/>
                <w:szCs w:val="18"/>
              </w:rPr>
              <w:t>bait station</w:t>
            </w:r>
            <w:r w:rsidRPr="004F544F">
              <w:rPr>
                <w:rFonts w:cs="Arial"/>
                <w:bCs/>
                <w:spacing w:val="-2"/>
                <w:w w:val="105"/>
                <w:szCs w:val="18"/>
              </w:rPr>
              <w:t xml:space="preserve"> at points of very high rat activity.</w:t>
            </w:r>
            <w:r>
              <w:rPr>
                <w:rFonts w:cs="Arial"/>
                <w:bCs/>
                <w:spacing w:val="-2"/>
                <w:w w:val="105"/>
                <w:szCs w:val="18"/>
              </w:rPr>
              <w:t xml:space="preserve"> </w:t>
            </w:r>
            <w:r w:rsidRPr="004F544F">
              <w:rPr>
                <w:rFonts w:cs="Arial"/>
                <w:bCs/>
                <w:spacing w:val="-2"/>
                <w:w w:val="105"/>
                <w:szCs w:val="18"/>
              </w:rPr>
              <w:t>Placement locations should be at intervals of 4.5 to 9 metres.</w:t>
            </w:r>
          </w:p>
        </w:tc>
      </w:tr>
    </w:tbl>
    <w:p w14:paraId="2D658BFD" w14:textId="77777777" w:rsidR="008E67EA" w:rsidRDefault="008E67EA" w:rsidP="008E67EA">
      <w:pPr>
        <w:spacing w:line="280" w:lineRule="exact"/>
        <w:rPr>
          <w:rFonts w:cs="Arial"/>
          <w:b/>
          <w:bCs/>
          <w:sz w:val="20"/>
          <w:szCs w:val="20"/>
        </w:rPr>
      </w:pPr>
    </w:p>
    <w:p w14:paraId="2BB82155" w14:textId="77777777" w:rsidR="008E67EA" w:rsidRDefault="008E67EA" w:rsidP="008E67EA">
      <w:pPr>
        <w:spacing w:line="280" w:lineRule="exact"/>
        <w:rPr>
          <w:rFonts w:cs="Arial"/>
          <w:b/>
          <w:bCs/>
          <w:sz w:val="20"/>
          <w:szCs w:val="20"/>
        </w:rPr>
      </w:pPr>
      <w:r>
        <w:rPr>
          <w:rFonts w:cs="Arial"/>
          <w:b/>
          <w:bCs/>
          <w:sz w:val="20"/>
          <w:szCs w:val="20"/>
        </w:rPr>
        <w:t>Baiting strategy</w:t>
      </w:r>
    </w:p>
    <w:p w14:paraId="51E38B1A" w14:textId="7833155B" w:rsidR="008E67EA" w:rsidRPr="005C7493" w:rsidRDefault="008E67EA" w:rsidP="008E67EA">
      <w:pPr>
        <w:spacing w:after="120" w:line="280" w:lineRule="exact"/>
        <w:rPr>
          <w:rFonts w:eastAsia="Calibri" w:cs="Arial"/>
          <w:sz w:val="20"/>
          <w:szCs w:val="20"/>
          <w:bdr w:val="none" w:sz="0" w:space="0" w:color="auto" w:frame="1"/>
          <w:lang w:val="en-GB" w:eastAsia="en-AU"/>
        </w:rPr>
      </w:pPr>
      <w:r w:rsidRPr="005C7493">
        <w:rPr>
          <w:rFonts w:eastAsia="Calibri" w:cs="Arial"/>
          <w:sz w:val="20"/>
          <w:szCs w:val="20"/>
          <w:bdr w:val="none" w:sz="0" w:space="0" w:color="auto" w:frame="1"/>
          <w:lang w:val="en-GB" w:eastAsia="en-AU"/>
        </w:rPr>
        <w:t>Remove as much alternative food as possible.</w:t>
      </w:r>
    </w:p>
    <w:p w14:paraId="215C3A64" w14:textId="5AC74D2D" w:rsidR="008E67EA" w:rsidRPr="005C7493" w:rsidRDefault="008E67EA" w:rsidP="008E67EA">
      <w:pPr>
        <w:spacing w:after="120" w:line="280" w:lineRule="exact"/>
        <w:rPr>
          <w:rFonts w:eastAsia="Calibri" w:cs="Arial"/>
          <w:sz w:val="20"/>
          <w:szCs w:val="20"/>
          <w:bdr w:val="none" w:sz="0" w:space="0" w:color="auto" w:frame="1"/>
          <w:lang w:val="en-GB" w:eastAsia="en-AU"/>
        </w:rPr>
      </w:pPr>
      <w:r w:rsidRPr="00D42DB3">
        <w:rPr>
          <w:rFonts w:eastAsia="Calibri" w:cs="Arial"/>
          <w:sz w:val="20"/>
          <w:szCs w:val="20"/>
          <w:bdr w:val="none" w:sz="0" w:space="0" w:color="auto" w:frame="1"/>
          <w:lang w:val="en-GB" w:eastAsia="en-AU"/>
        </w:rPr>
        <w:t>Survey site prior to treatment, including assessment of the extent of infestation and identification of any indications of the presence of non-target animals.</w:t>
      </w:r>
    </w:p>
    <w:p w14:paraId="6A38CEEA" w14:textId="77777777" w:rsidR="008E67EA" w:rsidRPr="00D42DB3" w:rsidRDefault="008E67EA" w:rsidP="008E67EA">
      <w:pPr>
        <w:spacing w:after="120" w:line="280" w:lineRule="exact"/>
        <w:rPr>
          <w:rFonts w:eastAsia="Calibri" w:cs="Arial"/>
          <w:sz w:val="20"/>
          <w:szCs w:val="20"/>
          <w:bdr w:val="none" w:sz="0" w:space="0" w:color="auto" w:frame="1"/>
          <w:lang w:val="en-GB" w:eastAsia="en-AU"/>
        </w:rPr>
      </w:pPr>
      <w:r w:rsidRPr="00724DAC">
        <w:rPr>
          <w:rFonts w:eastAsia="Calibri" w:cs="Arial"/>
          <w:sz w:val="20"/>
          <w:szCs w:val="20"/>
          <w:bdr w:val="none" w:sz="0" w:space="0" w:color="auto" w:frame="1"/>
          <w:lang w:val="en-GB" w:eastAsia="en-AU"/>
        </w:rPr>
        <w:t>Record the number and locations of bait stations for the purpose of inspection, replacement and later removal.</w:t>
      </w:r>
      <w:r>
        <w:rPr>
          <w:rFonts w:eastAsia="Calibri" w:cs="Arial"/>
          <w:sz w:val="20"/>
          <w:szCs w:val="20"/>
          <w:bdr w:val="none" w:sz="0" w:space="0" w:color="auto" w:frame="1"/>
          <w:lang w:val="en-GB" w:eastAsia="en-AU"/>
        </w:rPr>
        <w:t xml:space="preserve"> </w:t>
      </w:r>
      <w:r w:rsidRPr="00982477">
        <w:rPr>
          <w:rFonts w:eastAsia="Calibri" w:cs="Arial"/>
          <w:sz w:val="20"/>
          <w:szCs w:val="20"/>
          <w:bdr w:val="none" w:sz="0" w:space="0" w:color="auto" w:frame="1"/>
          <w:lang w:val="en-GB" w:eastAsia="en-AU"/>
        </w:rPr>
        <w:t>Always use tamper-resistant bait stations that are secured in place in child accessible areas, outdoors and in animal or livestock housing</w:t>
      </w:r>
      <w:r>
        <w:rPr>
          <w:rFonts w:eastAsia="Calibri" w:cs="Arial"/>
          <w:sz w:val="20"/>
          <w:szCs w:val="20"/>
          <w:bdr w:val="none" w:sz="0" w:space="0" w:color="auto" w:frame="1"/>
          <w:lang w:val="en-GB" w:eastAsia="en-AU"/>
        </w:rPr>
        <w:t xml:space="preserve">. </w:t>
      </w:r>
      <w:r w:rsidRPr="005C7493">
        <w:rPr>
          <w:rFonts w:eastAsia="Calibri" w:cs="Arial"/>
          <w:sz w:val="20"/>
          <w:szCs w:val="20"/>
          <w:bdr w:val="none" w:sz="0" w:space="0" w:color="auto" w:frame="1"/>
          <w:lang w:val="en-GB" w:eastAsia="en-AU"/>
        </w:rPr>
        <w:t>When used in food producing animal housing situations careful consideration is necessary regarding the placement of bait stations to ensure any rodenticide contamination of water, feed or livestock is prevented.</w:t>
      </w:r>
    </w:p>
    <w:p w14:paraId="2066D6E1" w14:textId="77777777" w:rsidR="008E67EA" w:rsidRPr="005C7493" w:rsidRDefault="008E67EA" w:rsidP="008E67EA">
      <w:pPr>
        <w:spacing w:after="120" w:line="280" w:lineRule="exact"/>
        <w:rPr>
          <w:rFonts w:eastAsia="Calibri" w:cs="Arial"/>
          <w:sz w:val="20"/>
          <w:szCs w:val="20"/>
          <w:bdr w:val="none" w:sz="0" w:space="0" w:color="auto" w:frame="1"/>
          <w:lang w:val="en-GB" w:eastAsia="en-AU"/>
        </w:rPr>
      </w:pPr>
      <w:bookmarkStart w:id="353" w:name="_Hlk212647518"/>
      <w:r w:rsidRPr="005C7493">
        <w:rPr>
          <w:rFonts w:eastAsia="Calibri" w:cs="Arial"/>
          <w:sz w:val="20"/>
          <w:szCs w:val="20"/>
          <w:bdr w:val="none" w:sz="0" w:space="0" w:color="auto" w:frame="1"/>
          <w:lang w:val="en-GB" w:eastAsia="en-AU"/>
        </w:rPr>
        <w:t>Inspect bait sites at intervals no more than 7 days apart.</w:t>
      </w:r>
      <w:bookmarkEnd w:id="353"/>
      <w:r w:rsidRPr="005C7493">
        <w:rPr>
          <w:rFonts w:eastAsia="Calibri" w:cs="Arial"/>
          <w:sz w:val="20"/>
          <w:szCs w:val="20"/>
          <w:bdr w:val="none" w:sz="0" w:space="0" w:color="auto" w:frame="1"/>
          <w:lang w:val="en-GB" w:eastAsia="en-AU"/>
        </w:rPr>
        <w:t xml:space="preserve"> Replace contaminated or spoiled bait immediately. For mice, maintain an uninterrupted supply of fresh bait for at least 15 days or until there no longer are signs of new feeding by house mice. For rats, maintain an uninterrupted supply of fresh bait until signs of rat activity cease</w:t>
      </w:r>
    </w:p>
    <w:p w14:paraId="244E307C" w14:textId="77777777" w:rsidR="008E67EA" w:rsidRPr="005C7493" w:rsidRDefault="008E67EA" w:rsidP="008E67EA">
      <w:pPr>
        <w:spacing w:after="120" w:line="280" w:lineRule="exact"/>
        <w:rPr>
          <w:rFonts w:eastAsia="Calibri" w:cs="Arial"/>
          <w:sz w:val="20"/>
          <w:szCs w:val="20"/>
          <w:bdr w:val="none" w:sz="0" w:space="0" w:color="auto" w:frame="1"/>
          <w:lang w:val="en-GB" w:eastAsia="en-AU"/>
        </w:rPr>
      </w:pPr>
      <w:r w:rsidRPr="005C7493">
        <w:rPr>
          <w:rFonts w:eastAsia="Calibri" w:cs="Arial"/>
          <w:sz w:val="20"/>
          <w:szCs w:val="20"/>
          <w:bdr w:val="none" w:sz="0" w:space="0" w:color="auto" w:frame="1"/>
          <w:lang w:val="en-GB" w:eastAsia="en-AU"/>
        </w:rPr>
        <w:t>DO NOT use the product beyond 35 days without an evaluation of the state of the infestation and of the efficacy of the treatment. Remove all uneaten bait at the end of treatment.</w:t>
      </w:r>
    </w:p>
    <w:p w14:paraId="66A6C81B" w14:textId="2AE8A0C6" w:rsidR="008E67EA" w:rsidRPr="005C7493" w:rsidRDefault="008E67EA" w:rsidP="008E67EA">
      <w:pPr>
        <w:spacing w:after="120" w:line="280" w:lineRule="exact"/>
        <w:rPr>
          <w:rFonts w:eastAsia="Calibri" w:cs="Arial"/>
          <w:sz w:val="20"/>
          <w:szCs w:val="20"/>
          <w:bdr w:val="none" w:sz="0" w:space="0" w:color="auto" w:frame="1"/>
          <w:lang w:val="en-GB" w:eastAsia="en-AU"/>
        </w:rPr>
      </w:pPr>
      <w:r w:rsidRPr="005C7493">
        <w:rPr>
          <w:rFonts w:eastAsia="Calibri" w:cs="Arial"/>
          <w:sz w:val="20"/>
          <w:szCs w:val="20"/>
          <w:bdr w:val="none" w:sz="0" w:space="0" w:color="auto" w:frame="1"/>
          <w:lang w:val="en-GB" w:eastAsia="en-AU"/>
        </w:rPr>
        <w:t>To prevent reinfestation, limit sources of rodent food, water, and harbourage as much as possible. If reinfestation does occur, repeat treatment.</w:t>
      </w:r>
      <w:bookmarkStart w:id="354" w:name="_Hlk212635807"/>
    </w:p>
    <w:bookmarkEnd w:id="354"/>
    <w:p w14:paraId="76B6BBB6" w14:textId="77777777" w:rsidR="00604F9D" w:rsidRDefault="008E67EA" w:rsidP="008E67EA">
      <w:pPr>
        <w:rPr>
          <w:rFonts w:cs="Arial"/>
          <w:b/>
          <w:bCs/>
          <w:sz w:val="20"/>
          <w:szCs w:val="20"/>
        </w:rPr>
        <w:sectPr w:rsidR="00604F9D" w:rsidSect="00CB73E0">
          <w:pgSz w:w="11906" w:h="16838"/>
          <w:pgMar w:top="1440" w:right="1134" w:bottom="1440" w:left="1134" w:header="794" w:footer="737" w:gutter="0"/>
          <w:cols w:space="708"/>
          <w:docGrid w:linePitch="360"/>
        </w:sectPr>
      </w:pPr>
      <w:r w:rsidRPr="00FF36BF">
        <w:rPr>
          <w:rFonts w:cs="Arial"/>
          <w:b/>
          <w:bCs/>
          <w:sz w:val="20"/>
          <w:szCs w:val="20"/>
        </w:rPr>
        <w:t>NOT TO BE USED FOR ANY PURPOSE, OR IN ANY MANNER, CONTRARY TO THIS LABEL UNLESS AUTHORISED UNDER APPROPRIATE LEGISLATION.</w:t>
      </w:r>
    </w:p>
    <w:p w14:paraId="240AB065" w14:textId="77777777" w:rsidR="008E67EA" w:rsidRDefault="008E67EA" w:rsidP="008E67EA">
      <w:pPr>
        <w:pStyle w:val="Heading1"/>
        <w:rPr>
          <w:rFonts w:ascii="Franklin Gothic Medium" w:eastAsia="Arial Unicode MS" w:hAnsi="Franklin Gothic Medium"/>
          <w:color w:val="000000" w:themeColor="text1"/>
          <w:sz w:val="28"/>
          <w:szCs w:val="28"/>
          <w:bdr w:val="none" w:sz="0" w:space="0" w:color="auto" w:frame="1"/>
          <w:lang w:val="en-GB" w:eastAsia="en-AU"/>
        </w:rPr>
      </w:pPr>
      <w:r w:rsidRPr="00DA343B">
        <w:rPr>
          <w:rFonts w:ascii="Franklin Gothic Medium" w:eastAsia="Arial Unicode MS" w:hAnsi="Franklin Gothic Medium"/>
          <w:color w:val="000000" w:themeColor="text1"/>
          <w:sz w:val="28"/>
          <w:szCs w:val="28"/>
          <w:bdr w:val="none" w:sz="0" w:space="0" w:color="auto" w:frame="1"/>
          <w:lang w:val="en-GB" w:eastAsia="en-AU"/>
        </w:rPr>
        <w:lastRenderedPageBreak/>
        <w:t xml:space="preserve">Flocoumafen </w:t>
      </w:r>
    </w:p>
    <w:p w14:paraId="491DDAD9" w14:textId="77777777" w:rsidR="008E67EA" w:rsidRDefault="008E67EA" w:rsidP="008E67EA">
      <w:pPr>
        <w:keepNext/>
        <w:keepLines/>
        <w:spacing w:before="400" w:after="240" w:line="280" w:lineRule="exact"/>
        <w:outlineLvl w:val="1"/>
        <w:rPr>
          <w:rFonts w:ascii="Franklin Gothic Medium" w:eastAsia="Arial Unicode MS" w:hAnsi="Franklin Gothic Medium"/>
          <w:bCs/>
          <w:iCs/>
          <w:bdr w:val="none" w:sz="0" w:space="0" w:color="auto" w:frame="1"/>
          <w:lang w:val="en-GB" w:eastAsia="en-AU"/>
        </w:rPr>
      </w:pPr>
      <w:r w:rsidRPr="00FF36BF">
        <w:rPr>
          <w:rFonts w:ascii="Franklin Gothic Medium" w:eastAsia="Arial Unicode MS" w:hAnsi="Franklin Gothic Medium"/>
          <w:bCs/>
          <w:iCs/>
          <w:bdr w:val="none" w:sz="0" w:space="0" w:color="auto" w:frame="1"/>
          <w:lang w:val="en-GB" w:eastAsia="en-AU"/>
        </w:rPr>
        <w:t>Commercial</w:t>
      </w:r>
      <w:r>
        <w:rPr>
          <w:rFonts w:ascii="Franklin Gothic Medium" w:eastAsia="Arial Unicode MS" w:hAnsi="Franklin Gothic Medium"/>
          <w:bCs/>
          <w:iCs/>
          <w:bdr w:val="none" w:sz="0" w:space="0" w:color="auto" w:frame="1"/>
          <w:lang w:val="en-GB" w:eastAsia="en-AU"/>
        </w:rPr>
        <w:t xml:space="preserve"> pest-control product:</w:t>
      </w:r>
      <w:r w:rsidRPr="00FF36BF">
        <w:rPr>
          <w:rFonts w:ascii="Franklin Gothic Medium" w:eastAsia="Arial Unicode MS" w:hAnsi="Franklin Gothic Medium"/>
          <w:bCs/>
          <w:iCs/>
          <w:bdr w:val="none" w:sz="0" w:space="0" w:color="auto" w:frame="1"/>
          <w:lang w:val="en-GB" w:eastAsia="en-AU"/>
        </w:rPr>
        <w:t xml:space="preserve"> </w:t>
      </w:r>
      <w:r w:rsidRPr="00DA343B">
        <w:rPr>
          <w:rFonts w:ascii="Franklin Gothic Medium" w:eastAsia="Arial Unicode MS" w:hAnsi="Franklin Gothic Medium"/>
          <w:bCs/>
          <w:iCs/>
          <w:bdr w:val="none" w:sz="0" w:space="0" w:color="auto" w:frame="1"/>
          <w:lang w:val="en-GB" w:eastAsia="en-AU"/>
        </w:rPr>
        <w:t>RB 0.05 g/kg or less in sachet or place pack</w:t>
      </w:r>
    </w:p>
    <w:p w14:paraId="19618D9A" w14:textId="77777777" w:rsidR="008E67EA" w:rsidRPr="00FE2E3F"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t xml:space="preserve">Template Label </w:t>
      </w:r>
      <w:r>
        <w:rPr>
          <w:rFonts w:cs="Arial"/>
          <w:b/>
          <w:bCs/>
          <w:sz w:val="20"/>
          <w:szCs w:val="20"/>
          <w:bdr w:val="none" w:sz="0" w:space="0" w:color="auto" w:frame="1"/>
          <w:lang w:val="en-GB" w:eastAsia="en-AU"/>
        </w:rPr>
        <w:t>28</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2B5B5B" w14:paraId="54A696A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E820D75" w14:textId="77777777" w:rsidR="008E67EA" w:rsidRPr="00F5215F" w:rsidRDefault="008E67EA" w:rsidP="00B44A74">
            <w:pPr>
              <w:spacing w:line="280" w:lineRule="exact"/>
              <w:rPr>
                <w:rFonts w:cs="Arial"/>
                <w:sz w:val="20"/>
                <w:szCs w:val="20"/>
              </w:rPr>
            </w:pPr>
            <w:r w:rsidRPr="00F5215F">
              <w:rPr>
                <w:rFonts w:cs="Arial"/>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6E4B2A67" w14:textId="77777777" w:rsidR="008E67EA" w:rsidRPr="0015462A" w:rsidRDefault="008E67EA" w:rsidP="00B44A74">
            <w:pPr>
              <w:spacing w:line="280" w:lineRule="exact"/>
              <w:rPr>
                <w:rFonts w:cs="Arial"/>
                <w:sz w:val="20"/>
                <w:szCs w:val="20"/>
              </w:rPr>
            </w:pPr>
            <w:r w:rsidRPr="0015462A">
              <w:rPr>
                <w:rFonts w:cs="Arial"/>
                <w:sz w:val="20"/>
                <w:szCs w:val="20"/>
              </w:rPr>
              <w:t>[INSERT LABEL NAME]</w:t>
            </w:r>
          </w:p>
        </w:tc>
      </w:tr>
      <w:tr w:rsidR="008E67EA" w:rsidRPr="002B5B5B" w14:paraId="5D358C99" w14:textId="77777777" w:rsidTr="00B44A74">
        <w:trPr>
          <w:jc w:val="center"/>
        </w:trPr>
        <w:tc>
          <w:tcPr>
            <w:tcW w:w="2415" w:type="dxa"/>
            <w:tcBorders>
              <w:top w:val="single" w:sz="4" w:space="0" w:color="auto"/>
              <w:left w:val="nil"/>
              <w:bottom w:val="single" w:sz="4" w:space="0" w:color="auto"/>
              <w:right w:val="nil"/>
            </w:tcBorders>
          </w:tcPr>
          <w:p w14:paraId="15EE2112"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B775CF1" w14:textId="77777777" w:rsidR="008E67EA" w:rsidRPr="0015462A" w:rsidRDefault="008E67EA" w:rsidP="00B44A74">
            <w:pPr>
              <w:spacing w:line="280" w:lineRule="exact"/>
              <w:rPr>
                <w:rFonts w:cs="Arial"/>
                <w:sz w:val="20"/>
                <w:szCs w:val="20"/>
              </w:rPr>
            </w:pPr>
          </w:p>
        </w:tc>
      </w:tr>
      <w:tr w:rsidR="008E67EA" w:rsidRPr="002B5B5B" w14:paraId="6115DE7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A5FBDF2" w14:textId="77777777" w:rsidR="008E67EA" w:rsidRPr="00F5215F" w:rsidRDefault="008E67EA" w:rsidP="00B44A74">
            <w:pPr>
              <w:spacing w:line="280" w:lineRule="exact"/>
              <w:rPr>
                <w:rFonts w:cs="Arial"/>
                <w:sz w:val="20"/>
                <w:szCs w:val="20"/>
              </w:rPr>
            </w:pPr>
            <w:r w:rsidRPr="00F5215F">
              <w:rPr>
                <w:rFonts w:cs="Arial"/>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7606CA1F" w14:textId="77777777" w:rsidR="008E67EA" w:rsidRPr="0015462A" w:rsidRDefault="008E67EA" w:rsidP="00B44A74">
            <w:pPr>
              <w:spacing w:line="280" w:lineRule="exact"/>
              <w:rPr>
                <w:rFonts w:cs="Arial"/>
                <w:sz w:val="20"/>
                <w:szCs w:val="20"/>
              </w:rPr>
            </w:pPr>
            <w:r w:rsidRPr="0007658B">
              <w:rPr>
                <w:rFonts w:cs="Arial"/>
                <w:sz w:val="20"/>
                <w:szCs w:val="20"/>
              </w:rPr>
              <w:t>POISON</w:t>
            </w:r>
          </w:p>
          <w:p w14:paraId="7D8505F6" w14:textId="77777777" w:rsidR="008E67EA" w:rsidRPr="0015462A" w:rsidRDefault="008E67EA" w:rsidP="00B44A74">
            <w:pPr>
              <w:spacing w:line="280" w:lineRule="exact"/>
              <w:rPr>
                <w:rFonts w:cs="Arial"/>
                <w:sz w:val="20"/>
                <w:szCs w:val="20"/>
              </w:rPr>
            </w:pPr>
            <w:r w:rsidRPr="0015462A">
              <w:rPr>
                <w:rFonts w:cs="Arial"/>
                <w:sz w:val="20"/>
                <w:szCs w:val="20"/>
              </w:rPr>
              <w:t>KEEP OUT OF REACH OF CHILDREN</w:t>
            </w:r>
          </w:p>
          <w:p w14:paraId="7342B490" w14:textId="77777777" w:rsidR="008E67EA" w:rsidRPr="0015462A" w:rsidRDefault="008E67EA" w:rsidP="00B44A74">
            <w:pPr>
              <w:spacing w:line="280" w:lineRule="exact"/>
              <w:rPr>
                <w:rFonts w:cs="Arial"/>
                <w:sz w:val="20"/>
                <w:szCs w:val="20"/>
              </w:rPr>
            </w:pPr>
            <w:r w:rsidRPr="0015462A">
              <w:rPr>
                <w:rFonts w:cs="Arial"/>
                <w:sz w:val="20"/>
                <w:szCs w:val="20"/>
              </w:rPr>
              <w:t>READ SAFETY DIREC</w:t>
            </w:r>
            <w:r>
              <w:rPr>
                <w:rFonts w:cs="Arial"/>
                <w:sz w:val="20"/>
                <w:szCs w:val="20"/>
              </w:rPr>
              <w:t>T</w:t>
            </w:r>
            <w:r w:rsidRPr="0015462A">
              <w:rPr>
                <w:rFonts w:cs="Arial"/>
                <w:sz w:val="20"/>
                <w:szCs w:val="20"/>
              </w:rPr>
              <w:t>IONS BEFORE OPENING OR USING</w:t>
            </w:r>
          </w:p>
        </w:tc>
      </w:tr>
      <w:tr w:rsidR="008E67EA" w:rsidRPr="002B5B5B" w14:paraId="5D179981" w14:textId="77777777" w:rsidTr="00B44A74">
        <w:trPr>
          <w:jc w:val="center"/>
        </w:trPr>
        <w:tc>
          <w:tcPr>
            <w:tcW w:w="2415" w:type="dxa"/>
            <w:tcBorders>
              <w:top w:val="single" w:sz="4" w:space="0" w:color="auto"/>
              <w:left w:val="nil"/>
              <w:bottom w:val="single" w:sz="4" w:space="0" w:color="auto"/>
              <w:right w:val="nil"/>
            </w:tcBorders>
          </w:tcPr>
          <w:p w14:paraId="1F035EB5"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F550E6F" w14:textId="77777777" w:rsidR="008E67EA" w:rsidRPr="0015462A" w:rsidRDefault="008E67EA" w:rsidP="00B44A74">
            <w:pPr>
              <w:spacing w:line="280" w:lineRule="exact"/>
              <w:rPr>
                <w:rFonts w:cs="Arial"/>
                <w:sz w:val="20"/>
                <w:szCs w:val="20"/>
              </w:rPr>
            </w:pPr>
          </w:p>
        </w:tc>
      </w:tr>
      <w:tr w:rsidR="008E67EA" w:rsidRPr="002B5B5B" w14:paraId="45A89A5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6D68DA41" w14:textId="77777777" w:rsidR="008E67EA" w:rsidRPr="00F5215F" w:rsidRDefault="008E67EA" w:rsidP="00B44A74">
            <w:pPr>
              <w:spacing w:line="280" w:lineRule="exact"/>
              <w:rPr>
                <w:rFonts w:cs="Arial"/>
                <w:sz w:val="20"/>
                <w:szCs w:val="20"/>
              </w:rPr>
            </w:pPr>
            <w:r w:rsidRPr="00F5215F">
              <w:rPr>
                <w:rFonts w:cs="Arial"/>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6A89DB22" w14:textId="77777777" w:rsidR="008E67EA" w:rsidRPr="0015462A" w:rsidRDefault="008E67EA" w:rsidP="00B44A74">
            <w:pPr>
              <w:spacing w:line="280" w:lineRule="exact"/>
              <w:rPr>
                <w:rFonts w:cs="Arial"/>
                <w:sz w:val="20"/>
                <w:szCs w:val="20"/>
              </w:rPr>
            </w:pPr>
            <w:r w:rsidRPr="0015462A">
              <w:rPr>
                <w:rFonts w:cs="Arial"/>
                <w:sz w:val="20"/>
                <w:szCs w:val="20"/>
              </w:rPr>
              <w:t xml:space="preserve">ACTIVE CONSTITUENT: </w:t>
            </w:r>
            <w:r w:rsidRPr="005C6CF6">
              <w:rPr>
                <w:rFonts w:cs="Arial"/>
                <w:sz w:val="20"/>
                <w:szCs w:val="20"/>
              </w:rPr>
              <w:t>0.05 g/kg FLOCOUMAFEN</w:t>
            </w:r>
          </w:p>
        </w:tc>
      </w:tr>
      <w:tr w:rsidR="008E67EA" w:rsidRPr="002B5B5B" w14:paraId="72F24DC2" w14:textId="77777777" w:rsidTr="00B44A74">
        <w:trPr>
          <w:jc w:val="center"/>
        </w:trPr>
        <w:tc>
          <w:tcPr>
            <w:tcW w:w="2415" w:type="dxa"/>
            <w:tcBorders>
              <w:top w:val="single" w:sz="4" w:space="0" w:color="auto"/>
              <w:left w:val="nil"/>
              <w:bottom w:val="single" w:sz="4" w:space="0" w:color="auto"/>
              <w:right w:val="nil"/>
            </w:tcBorders>
          </w:tcPr>
          <w:p w14:paraId="7036DB04"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37D249D" w14:textId="77777777" w:rsidR="008E67EA" w:rsidRPr="0015462A" w:rsidRDefault="008E67EA" w:rsidP="00B44A74">
            <w:pPr>
              <w:spacing w:line="280" w:lineRule="exact"/>
              <w:rPr>
                <w:rFonts w:cs="Arial"/>
                <w:sz w:val="20"/>
                <w:szCs w:val="20"/>
              </w:rPr>
            </w:pPr>
          </w:p>
        </w:tc>
      </w:tr>
      <w:tr w:rsidR="008E67EA" w:rsidRPr="00994236" w14:paraId="1B3CFA22"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49E0A8E" w14:textId="77777777" w:rsidR="008E67EA" w:rsidRPr="00F5215F" w:rsidRDefault="008E67EA" w:rsidP="00B44A74">
            <w:pPr>
              <w:spacing w:line="280" w:lineRule="exact"/>
              <w:rPr>
                <w:rFonts w:cs="Arial"/>
                <w:sz w:val="20"/>
                <w:szCs w:val="20"/>
              </w:rPr>
            </w:pPr>
            <w:r w:rsidRPr="00F5215F">
              <w:rPr>
                <w:rFonts w:cs="Arial"/>
                <w:sz w:val="20"/>
                <w:szCs w:val="20"/>
              </w:rPr>
              <w:t>Mode of Action:</w:t>
            </w:r>
          </w:p>
        </w:tc>
        <w:tc>
          <w:tcPr>
            <w:tcW w:w="7755" w:type="dxa"/>
            <w:tcBorders>
              <w:top w:val="single" w:sz="4" w:space="0" w:color="auto"/>
              <w:left w:val="single" w:sz="4" w:space="0" w:color="auto"/>
              <w:bottom w:val="single" w:sz="4" w:space="0" w:color="auto"/>
              <w:right w:val="single" w:sz="4" w:space="0" w:color="auto"/>
            </w:tcBorders>
          </w:tcPr>
          <w:p w14:paraId="4E07C5D2" w14:textId="77777777" w:rsidR="008E67EA" w:rsidRPr="0015462A" w:rsidRDefault="008E67EA" w:rsidP="00B44A74">
            <w:pPr>
              <w:spacing w:line="280" w:lineRule="exact"/>
              <w:jc w:val="both"/>
              <w:rPr>
                <w:rFonts w:cs="Arial"/>
                <w:sz w:val="20"/>
                <w:szCs w:val="20"/>
              </w:rPr>
            </w:pPr>
          </w:p>
        </w:tc>
      </w:tr>
      <w:tr w:rsidR="008E67EA" w:rsidRPr="002B5B5B" w14:paraId="2486A17F" w14:textId="77777777" w:rsidTr="00B44A74">
        <w:trPr>
          <w:jc w:val="center"/>
        </w:trPr>
        <w:tc>
          <w:tcPr>
            <w:tcW w:w="2415" w:type="dxa"/>
            <w:tcBorders>
              <w:top w:val="single" w:sz="4" w:space="0" w:color="auto"/>
              <w:left w:val="nil"/>
              <w:bottom w:val="single" w:sz="4" w:space="0" w:color="auto"/>
              <w:right w:val="nil"/>
            </w:tcBorders>
          </w:tcPr>
          <w:p w14:paraId="0D54B2F6"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5623B39" w14:textId="77777777" w:rsidR="008E67EA" w:rsidRPr="0015462A" w:rsidRDefault="008E67EA" w:rsidP="00B44A74">
            <w:pPr>
              <w:spacing w:line="280" w:lineRule="exact"/>
              <w:rPr>
                <w:rFonts w:cs="Arial"/>
                <w:sz w:val="20"/>
                <w:szCs w:val="20"/>
              </w:rPr>
            </w:pPr>
          </w:p>
        </w:tc>
      </w:tr>
      <w:tr w:rsidR="008E67EA" w:rsidRPr="002B5B5B" w14:paraId="335775E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BEE49EB" w14:textId="77777777" w:rsidR="008E67EA" w:rsidRPr="00F5215F" w:rsidRDefault="008E67EA" w:rsidP="00B44A74">
            <w:pPr>
              <w:spacing w:line="280" w:lineRule="exact"/>
              <w:rPr>
                <w:rFonts w:cs="Arial"/>
                <w:sz w:val="20"/>
                <w:szCs w:val="20"/>
              </w:rPr>
            </w:pPr>
            <w:r w:rsidRPr="00F5215F">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5F96B2D5" w14:textId="77777777" w:rsidR="008E67EA" w:rsidRPr="0015462A" w:rsidRDefault="008E67EA" w:rsidP="00B44A74">
            <w:pPr>
              <w:spacing w:line="280" w:lineRule="exact"/>
              <w:rPr>
                <w:rFonts w:cs="Arial"/>
                <w:sz w:val="20"/>
                <w:szCs w:val="20"/>
              </w:rPr>
            </w:pPr>
            <w:r w:rsidRPr="002B45C3">
              <w:rPr>
                <w:rFonts w:cs="Arial"/>
                <w:sz w:val="20"/>
                <w:szCs w:val="20"/>
              </w:rPr>
              <w:t xml:space="preserve">For control of mice in </w:t>
            </w:r>
            <w:r w:rsidRPr="005C6CF6">
              <w:rPr>
                <w:rFonts w:cs="Arial"/>
                <w:sz w:val="20"/>
                <w:szCs w:val="20"/>
              </w:rPr>
              <w:t>industrial, commercial, agricultural and domestic</w:t>
            </w:r>
            <w:r>
              <w:rPr>
                <w:rFonts w:cs="Arial"/>
                <w:sz w:val="20"/>
                <w:szCs w:val="20"/>
              </w:rPr>
              <w:t xml:space="preserve"> </w:t>
            </w:r>
            <w:r w:rsidRPr="005C6CF6">
              <w:rPr>
                <w:rFonts w:cs="Arial"/>
                <w:sz w:val="20"/>
                <w:szCs w:val="20"/>
              </w:rPr>
              <w:t>buildings</w:t>
            </w:r>
            <w:r w:rsidRPr="002B45C3">
              <w:rPr>
                <w:rFonts w:cs="Arial"/>
                <w:sz w:val="20"/>
                <w:szCs w:val="20"/>
              </w:rPr>
              <w:t xml:space="preserve"> and for control of rats </w:t>
            </w:r>
            <w:r>
              <w:rPr>
                <w:rFonts w:cs="Arial"/>
                <w:sz w:val="20"/>
                <w:szCs w:val="20"/>
              </w:rPr>
              <w:t xml:space="preserve">in and around </w:t>
            </w:r>
            <w:r w:rsidRPr="005C6CF6">
              <w:rPr>
                <w:rFonts w:cs="Arial"/>
                <w:sz w:val="20"/>
                <w:szCs w:val="20"/>
              </w:rPr>
              <w:t>industrial, commercial, agricultural and domestic</w:t>
            </w:r>
            <w:r>
              <w:rPr>
                <w:rFonts w:cs="Arial"/>
                <w:sz w:val="20"/>
                <w:szCs w:val="20"/>
              </w:rPr>
              <w:t xml:space="preserve"> </w:t>
            </w:r>
            <w:r w:rsidRPr="005C6CF6">
              <w:rPr>
                <w:rFonts w:cs="Arial"/>
                <w:sz w:val="20"/>
                <w:szCs w:val="20"/>
              </w:rPr>
              <w:t>buildings</w:t>
            </w:r>
            <w:r>
              <w:rPr>
                <w:rFonts w:cs="Arial"/>
                <w:sz w:val="20"/>
                <w:szCs w:val="20"/>
              </w:rPr>
              <w:t xml:space="preserve"> and control of mice and rats in sewers</w:t>
            </w:r>
            <w:r w:rsidRPr="002B45C3">
              <w:rPr>
                <w:rFonts w:cs="Arial"/>
                <w:sz w:val="20"/>
                <w:szCs w:val="20"/>
              </w:rPr>
              <w:t>.</w:t>
            </w:r>
          </w:p>
        </w:tc>
      </w:tr>
      <w:tr w:rsidR="008E67EA" w:rsidRPr="002B5B5B" w14:paraId="167609BE" w14:textId="77777777" w:rsidTr="00B44A74">
        <w:trPr>
          <w:jc w:val="center"/>
        </w:trPr>
        <w:tc>
          <w:tcPr>
            <w:tcW w:w="2415" w:type="dxa"/>
            <w:tcBorders>
              <w:top w:val="single" w:sz="4" w:space="0" w:color="auto"/>
              <w:left w:val="nil"/>
              <w:bottom w:val="single" w:sz="4" w:space="0" w:color="auto"/>
              <w:right w:val="nil"/>
            </w:tcBorders>
          </w:tcPr>
          <w:p w14:paraId="3D525D82"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BDA081D" w14:textId="77777777" w:rsidR="008E67EA" w:rsidRPr="0015462A" w:rsidRDefault="008E67EA" w:rsidP="00B44A74">
            <w:pPr>
              <w:spacing w:line="280" w:lineRule="exact"/>
              <w:rPr>
                <w:rFonts w:cs="Arial"/>
                <w:sz w:val="20"/>
                <w:szCs w:val="20"/>
              </w:rPr>
            </w:pPr>
          </w:p>
        </w:tc>
      </w:tr>
      <w:tr w:rsidR="008E67EA" w:rsidRPr="002B5B5B" w14:paraId="6C09327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9608342" w14:textId="77777777" w:rsidR="008E67EA" w:rsidRPr="00F5215F" w:rsidRDefault="008E67EA" w:rsidP="00B44A74">
            <w:pPr>
              <w:spacing w:line="280" w:lineRule="exact"/>
              <w:rPr>
                <w:rFonts w:cs="Arial"/>
                <w:sz w:val="20"/>
                <w:szCs w:val="20"/>
              </w:rPr>
            </w:pPr>
            <w:r w:rsidRPr="00F5215F">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16984E86" w14:textId="77777777" w:rsidR="008E67EA" w:rsidRPr="0015462A" w:rsidRDefault="008E67EA" w:rsidP="00B44A74">
            <w:pPr>
              <w:spacing w:line="280" w:lineRule="exact"/>
              <w:rPr>
                <w:rFonts w:cs="Arial"/>
                <w:sz w:val="20"/>
                <w:szCs w:val="20"/>
              </w:rPr>
            </w:pPr>
            <w:r w:rsidRPr="0015462A">
              <w:rPr>
                <w:rFonts w:cs="Arial"/>
                <w:sz w:val="20"/>
                <w:szCs w:val="20"/>
              </w:rPr>
              <w:t xml:space="preserve">[INSERT </w:t>
            </w:r>
            <w:r>
              <w:rPr>
                <w:rFonts w:cs="Arial"/>
                <w:sz w:val="20"/>
                <w:szCs w:val="20"/>
              </w:rPr>
              <w:t>NET CONTENTS</w:t>
            </w:r>
            <w:r w:rsidRPr="0015462A">
              <w:rPr>
                <w:rFonts w:cs="Arial"/>
                <w:sz w:val="20"/>
                <w:szCs w:val="20"/>
              </w:rPr>
              <w:t>]</w:t>
            </w:r>
          </w:p>
        </w:tc>
      </w:tr>
      <w:tr w:rsidR="008E67EA" w:rsidRPr="002B5B5B" w14:paraId="4AADD934" w14:textId="77777777" w:rsidTr="00B44A74">
        <w:trPr>
          <w:jc w:val="center"/>
        </w:trPr>
        <w:tc>
          <w:tcPr>
            <w:tcW w:w="2415" w:type="dxa"/>
            <w:tcBorders>
              <w:top w:val="single" w:sz="4" w:space="0" w:color="auto"/>
              <w:left w:val="nil"/>
              <w:bottom w:val="single" w:sz="4" w:space="0" w:color="auto"/>
              <w:right w:val="nil"/>
            </w:tcBorders>
          </w:tcPr>
          <w:p w14:paraId="37E1B328"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8A2DAB9" w14:textId="77777777" w:rsidR="008E67EA" w:rsidRPr="002B5B5B" w:rsidRDefault="008E67EA" w:rsidP="00B44A74">
            <w:pPr>
              <w:spacing w:line="280" w:lineRule="exact"/>
              <w:rPr>
                <w:rFonts w:cs="Arial"/>
                <w:sz w:val="20"/>
                <w:szCs w:val="20"/>
              </w:rPr>
            </w:pPr>
          </w:p>
        </w:tc>
      </w:tr>
      <w:tr w:rsidR="008E67EA" w:rsidRPr="002B5B5B" w14:paraId="3D9C96D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A726C3F" w14:textId="77777777" w:rsidR="008E67EA" w:rsidRPr="00F5215F" w:rsidRDefault="008E67EA" w:rsidP="00B44A74">
            <w:pPr>
              <w:spacing w:line="280" w:lineRule="exact"/>
              <w:rPr>
                <w:rFonts w:cs="Arial"/>
                <w:sz w:val="20"/>
                <w:szCs w:val="20"/>
              </w:rPr>
            </w:pPr>
            <w:r w:rsidRPr="00F5215F">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62AF63E2" w14:textId="77777777" w:rsidR="008E67EA" w:rsidRPr="00264119" w:rsidRDefault="008E67EA" w:rsidP="00B44A74">
            <w:pPr>
              <w:spacing w:line="280" w:lineRule="exact"/>
              <w:rPr>
                <w:rFonts w:cs="Arial"/>
                <w:sz w:val="20"/>
                <w:szCs w:val="20"/>
                <w:bdr w:val="none" w:sz="0" w:space="0" w:color="auto" w:frame="1"/>
                <w:lang w:val="en-GB" w:eastAsia="en-AU"/>
              </w:rPr>
            </w:pPr>
            <w:r w:rsidRPr="00264119">
              <w:rPr>
                <w:rFonts w:cs="Arial"/>
                <w:sz w:val="20"/>
                <w:szCs w:val="20"/>
                <w:bdr w:val="none" w:sz="0" w:space="0" w:color="auto" w:frame="1"/>
                <w:lang w:val="en-GB" w:eastAsia="en-AU"/>
              </w:rPr>
              <w:t>RESTRAINTS</w:t>
            </w:r>
          </w:p>
          <w:p w14:paraId="7D97BB60" w14:textId="77777777" w:rsidR="008E67EA" w:rsidRPr="00DB6BC4" w:rsidRDefault="008E67EA" w:rsidP="00B44A74">
            <w:pPr>
              <w:spacing w:line="280" w:lineRule="exact"/>
              <w:rPr>
                <w:rFonts w:cs="Arial"/>
                <w:sz w:val="20"/>
                <w:szCs w:val="20"/>
                <w:bdr w:val="none" w:sz="0" w:space="0" w:color="auto" w:frame="1"/>
                <w:lang w:val="en-GB" w:eastAsia="en-AU"/>
              </w:rPr>
            </w:pPr>
            <w:r w:rsidRPr="00DB6BC4">
              <w:rPr>
                <w:rFonts w:cs="Arial"/>
                <w:sz w:val="20"/>
                <w:szCs w:val="20"/>
                <w:bdr w:val="none" w:sz="0" w:space="0" w:color="auto" w:frame="1"/>
                <w:lang w:val="en-GB" w:eastAsia="en-AU"/>
              </w:rPr>
              <w:t>DO NOT use this product unless you have a current qualification in the nationally recognised training course for rodent pest management CPPUPM3006 - Manage pests by applying pesticides, or an equivalent unit of competency.</w:t>
            </w:r>
          </w:p>
          <w:p w14:paraId="40FC4FC1" w14:textId="77777777" w:rsidR="008E67EA" w:rsidRPr="00DB6BC4" w:rsidRDefault="008E67EA" w:rsidP="00B44A74">
            <w:pPr>
              <w:spacing w:line="280" w:lineRule="exact"/>
              <w:rPr>
                <w:rFonts w:cs="Arial"/>
                <w:sz w:val="20"/>
                <w:szCs w:val="20"/>
                <w:bdr w:val="none" w:sz="0" w:space="0" w:color="auto" w:frame="1"/>
                <w:lang w:val="en-GB" w:eastAsia="en-AU"/>
              </w:rPr>
            </w:pPr>
            <w:r w:rsidRPr="00DB6BC4">
              <w:rPr>
                <w:rFonts w:cs="Arial"/>
                <w:sz w:val="20"/>
                <w:szCs w:val="20"/>
                <w:bdr w:val="none" w:sz="0" w:space="0" w:color="auto" w:frame="1"/>
                <w:lang w:val="en-GB" w:eastAsia="en-AU"/>
              </w:rPr>
              <w:t>DO NOT place baits in areas that are accessible to children. In child-accessible areas baits must be placed in tamper-</w:t>
            </w:r>
            <w:r>
              <w:rPr>
                <w:rFonts w:cs="Arial"/>
                <w:sz w:val="20"/>
                <w:szCs w:val="20"/>
                <w:bdr w:val="none" w:sz="0" w:space="0" w:color="auto" w:frame="1"/>
                <w:lang w:val="en-GB" w:eastAsia="en-AU"/>
              </w:rPr>
              <w:t>resistant</w:t>
            </w:r>
            <w:r w:rsidRPr="00DB6BC4">
              <w:rPr>
                <w:rFonts w:cs="Arial"/>
                <w:sz w:val="20"/>
                <w:szCs w:val="20"/>
                <w:bdr w:val="none" w:sz="0" w:space="0" w:color="auto" w:frame="1"/>
                <w:lang w:val="en-GB" w:eastAsia="en-AU"/>
              </w:rPr>
              <w:t xml:space="preserve"> bait stations. If bait can be dislodged from bait station, bait station must be secured in place. </w:t>
            </w:r>
          </w:p>
          <w:p w14:paraId="2A8C7EF3" w14:textId="77777777" w:rsidR="008E67EA" w:rsidRPr="00DB6BC4" w:rsidRDefault="008E67EA" w:rsidP="00B44A74">
            <w:pPr>
              <w:spacing w:line="280" w:lineRule="exact"/>
              <w:rPr>
                <w:rFonts w:cs="Arial"/>
                <w:sz w:val="20"/>
                <w:szCs w:val="20"/>
                <w:bdr w:val="none" w:sz="0" w:space="0" w:color="auto" w:frame="1"/>
                <w:lang w:val="en-GB" w:eastAsia="en-AU"/>
              </w:rPr>
            </w:pPr>
            <w:r w:rsidRPr="00DB6BC4">
              <w:rPr>
                <w:rFonts w:cs="Arial"/>
                <w:sz w:val="20"/>
                <w:szCs w:val="20"/>
                <w:bdr w:val="none" w:sz="0" w:space="0" w:color="auto" w:frame="1"/>
                <w:lang w:val="en-GB" w:eastAsia="en-AU"/>
              </w:rPr>
              <w:t>DO NOT place bait outdoors unless it is in a tamper-</w:t>
            </w:r>
            <w:r>
              <w:rPr>
                <w:rFonts w:cs="Arial"/>
                <w:sz w:val="20"/>
                <w:szCs w:val="20"/>
                <w:bdr w:val="none" w:sz="0" w:space="0" w:color="auto" w:frame="1"/>
                <w:lang w:val="en-GB" w:eastAsia="en-AU"/>
              </w:rPr>
              <w:t>resistant</w:t>
            </w:r>
            <w:r w:rsidRPr="00DB6BC4" w:rsidDel="00F66DEE">
              <w:rPr>
                <w:rFonts w:cs="Arial"/>
                <w:sz w:val="20"/>
                <w:szCs w:val="20"/>
                <w:bdr w:val="none" w:sz="0" w:space="0" w:color="auto" w:frame="1"/>
                <w:lang w:val="en-GB" w:eastAsia="en-AU"/>
              </w:rPr>
              <w:t xml:space="preserve"> </w:t>
            </w:r>
            <w:r w:rsidRPr="00DB6BC4">
              <w:rPr>
                <w:rFonts w:cs="Arial"/>
                <w:sz w:val="20"/>
                <w:szCs w:val="20"/>
                <w:bdr w:val="none" w:sz="0" w:space="0" w:color="auto" w:frame="1"/>
                <w:lang w:val="en-GB" w:eastAsia="en-AU"/>
              </w:rPr>
              <w:t>bait station which is secured in place.</w:t>
            </w:r>
          </w:p>
          <w:p w14:paraId="6AEEEFF7" w14:textId="77777777" w:rsidR="008E67EA" w:rsidRPr="00DB6BC4" w:rsidRDefault="008E67EA" w:rsidP="00B44A74">
            <w:pPr>
              <w:spacing w:line="280" w:lineRule="exact"/>
              <w:rPr>
                <w:rFonts w:cs="Arial"/>
                <w:sz w:val="20"/>
                <w:szCs w:val="20"/>
                <w:bdr w:val="none" w:sz="0" w:space="0" w:color="auto" w:frame="1"/>
                <w:lang w:val="en-GB" w:eastAsia="en-AU"/>
              </w:rPr>
            </w:pPr>
            <w:r w:rsidRPr="00DB6BC4">
              <w:rPr>
                <w:rFonts w:cs="Arial"/>
                <w:sz w:val="20"/>
                <w:szCs w:val="20"/>
                <w:bdr w:val="none" w:sz="0" w:space="0" w:color="auto" w:frame="1"/>
                <w:lang w:val="en-GB" w:eastAsia="en-AU"/>
              </w:rPr>
              <w:t>DO NOT place bait stations more than 2 meters from buildings.</w:t>
            </w:r>
          </w:p>
          <w:p w14:paraId="6B78BFB4" w14:textId="77777777" w:rsidR="008E67EA" w:rsidRPr="00DB6BC4" w:rsidRDefault="008E67EA" w:rsidP="00B44A74">
            <w:pPr>
              <w:spacing w:line="280" w:lineRule="exact"/>
              <w:rPr>
                <w:rFonts w:cs="Arial"/>
                <w:sz w:val="20"/>
                <w:szCs w:val="20"/>
                <w:bdr w:val="none" w:sz="0" w:space="0" w:color="auto" w:frame="1"/>
                <w:lang w:val="en-GB" w:eastAsia="en-AU"/>
              </w:rPr>
            </w:pPr>
            <w:r w:rsidRPr="00DB6BC4">
              <w:rPr>
                <w:rFonts w:cs="Arial"/>
                <w:sz w:val="20"/>
                <w:szCs w:val="20"/>
                <w:bdr w:val="none" w:sz="0" w:space="0" w:color="auto" w:frame="1"/>
                <w:lang w:val="en-GB" w:eastAsia="en-AU"/>
              </w:rPr>
              <w:t>DO NOT place bait stations outdoors around buildings for control of mice.</w:t>
            </w:r>
          </w:p>
          <w:p w14:paraId="125F48AA" w14:textId="77777777" w:rsidR="008E67EA" w:rsidRPr="00DB6BC4" w:rsidRDefault="008E67EA" w:rsidP="00B44A74">
            <w:pPr>
              <w:spacing w:line="280" w:lineRule="exact"/>
              <w:rPr>
                <w:rFonts w:cs="Arial"/>
                <w:sz w:val="20"/>
                <w:szCs w:val="20"/>
                <w:bdr w:val="none" w:sz="0" w:space="0" w:color="auto" w:frame="1"/>
                <w:lang w:val="en-GB" w:eastAsia="en-AU"/>
              </w:rPr>
            </w:pPr>
            <w:r w:rsidRPr="00DB6BC4">
              <w:rPr>
                <w:rFonts w:cs="Arial"/>
                <w:sz w:val="20"/>
                <w:szCs w:val="20"/>
                <w:bdr w:val="none" w:sz="0" w:space="0" w:color="auto" w:frame="1"/>
                <w:lang w:val="en-GB" w:eastAsia="en-AU"/>
              </w:rPr>
              <w:t>DO NOT bait in areas where wildlife may be collected for human consumption.</w:t>
            </w:r>
          </w:p>
          <w:p w14:paraId="6C73675D" w14:textId="77777777" w:rsidR="008E67EA" w:rsidRPr="00DB6BC4" w:rsidRDefault="008E67EA" w:rsidP="00B44A74">
            <w:pPr>
              <w:spacing w:line="280" w:lineRule="exact"/>
              <w:rPr>
                <w:rFonts w:cs="Arial"/>
                <w:sz w:val="20"/>
                <w:szCs w:val="20"/>
                <w:bdr w:val="none" w:sz="0" w:space="0" w:color="auto" w:frame="1"/>
                <w:lang w:val="en-GB" w:eastAsia="en-AU"/>
              </w:rPr>
            </w:pPr>
            <w:r w:rsidRPr="00DB6BC4">
              <w:rPr>
                <w:rFonts w:cs="Arial"/>
                <w:sz w:val="20"/>
                <w:szCs w:val="20"/>
                <w:bdr w:val="none" w:sz="0" w:space="0" w:color="auto" w:frame="1"/>
                <w:lang w:val="en-GB" w:eastAsia="en-AU"/>
              </w:rPr>
              <w:t>DO NOT place in animal or livestock housing unless used in tamper-</w:t>
            </w:r>
            <w:r>
              <w:rPr>
                <w:rFonts w:cs="Arial"/>
                <w:sz w:val="20"/>
                <w:szCs w:val="20"/>
                <w:bdr w:val="none" w:sz="0" w:space="0" w:color="auto" w:frame="1"/>
                <w:lang w:val="en-GB" w:eastAsia="en-AU"/>
              </w:rPr>
              <w:t>resistant</w:t>
            </w:r>
            <w:r w:rsidRPr="00DB6BC4" w:rsidDel="00F66DEE">
              <w:rPr>
                <w:rFonts w:cs="Arial"/>
                <w:sz w:val="20"/>
                <w:szCs w:val="20"/>
                <w:bdr w:val="none" w:sz="0" w:space="0" w:color="auto" w:frame="1"/>
                <w:lang w:val="en-GB" w:eastAsia="en-AU"/>
              </w:rPr>
              <w:t xml:space="preserve"> </w:t>
            </w:r>
            <w:r w:rsidRPr="00DB6BC4">
              <w:rPr>
                <w:rFonts w:cs="Arial"/>
                <w:sz w:val="20"/>
                <w:szCs w:val="20"/>
                <w:bdr w:val="none" w:sz="0" w:space="0" w:color="auto" w:frame="1"/>
                <w:lang w:val="en-GB" w:eastAsia="en-AU"/>
              </w:rPr>
              <w:t>and weather</w:t>
            </w:r>
            <w:r>
              <w:rPr>
                <w:rFonts w:cs="Arial"/>
                <w:sz w:val="20"/>
                <w:szCs w:val="20"/>
                <w:bdr w:val="none" w:sz="0" w:space="0" w:color="auto" w:frame="1"/>
                <w:lang w:val="en-GB" w:eastAsia="en-AU"/>
              </w:rPr>
              <w:t>-</w:t>
            </w:r>
            <w:r w:rsidRPr="00DB6BC4">
              <w:rPr>
                <w:rFonts w:cs="Arial"/>
                <w:sz w:val="20"/>
                <w:szCs w:val="20"/>
                <w:bdr w:val="none" w:sz="0" w:space="0" w:color="auto" w:frame="1"/>
                <w:lang w:val="en-GB" w:eastAsia="en-AU"/>
              </w:rPr>
              <w:t>resistant bait stations fixed to the ground or other structures.</w:t>
            </w:r>
          </w:p>
          <w:p w14:paraId="2251512D" w14:textId="77777777" w:rsidR="008E67EA" w:rsidRPr="00DB6BC4" w:rsidRDefault="008E67EA" w:rsidP="00B44A74">
            <w:pPr>
              <w:spacing w:line="280" w:lineRule="exact"/>
              <w:rPr>
                <w:rFonts w:cs="Arial"/>
                <w:sz w:val="20"/>
                <w:szCs w:val="20"/>
                <w:bdr w:val="none" w:sz="0" w:space="0" w:color="auto" w:frame="1"/>
                <w:lang w:val="en-GB" w:eastAsia="en-AU"/>
              </w:rPr>
            </w:pPr>
            <w:r w:rsidRPr="00DB6BC4">
              <w:rPr>
                <w:rFonts w:cs="Arial"/>
                <w:sz w:val="20"/>
                <w:szCs w:val="20"/>
                <w:bdr w:val="none" w:sz="0" w:space="0" w:color="auto" w:frame="1"/>
                <w:lang w:val="en-GB" w:eastAsia="en-AU"/>
              </w:rPr>
              <w:t>DO NOT place bait or bait stations above areas which would allow them to contaminate pig and poultry food or drinking water.</w:t>
            </w:r>
          </w:p>
          <w:p w14:paraId="24A3DE87" w14:textId="77777777" w:rsidR="008E67EA" w:rsidRPr="006F0330" w:rsidRDefault="008E67EA" w:rsidP="00B44A74">
            <w:pPr>
              <w:spacing w:line="280" w:lineRule="exact"/>
              <w:rPr>
                <w:rFonts w:cs="Arial"/>
                <w:color w:val="000000" w:themeColor="text1"/>
                <w:sz w:val="20"/>
                <w:szCs w:val="20"/>
              </w:rPr>
            </w:pPr>
            <w:r w:rsidRPr="00DB6BC4">
              <w:rPr>
                <w:rFonts w:cs="Arial"/>
                <w:sz w:val="20"/>
                <w:szCs w:val="20"/>
                <w:bdr w:val="none" w:sz="0" w:space="0" w:color="auto" w:frame="1"/>
                <w:lang w:val="en-GB" w:eastAsia="en-AU"/>
              </w:rPr>
              <w:t>DO NOT apply this product directly into burrows.</w:t>
            </w:r>
          </w:p>
        </w:tc>
      </w:tr>
      <w:tr w:rsidR="008E67EA" w:rsidRPr="002B5B5B" w14:paraId="6A20C07B" w14:textId="77777777" w:rsidTr="00B44A74">
        <w:trPr>
          <w:jc w:val="center"/>
        </w:trPr>
        <w:tc>
          <w:tcPr>
            <w:tcW w:w="2415" w:type="dxa"/>
            <w:tcBorders>
              <w:top w:val="single" w:sz="4" w:space="0" w:color="auto"/>
              <w:left w:val="nil"/>
              <w:bottom w:val="single" w:sz="4" w:space="0" w:color="auto"/>
              <w:right w:val="nil"/>
            </w:tcBorders>
          </w:tcPr>
          <w:p w14:paraId="3B539FFB"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22D2CEA" w14:textId="77777777" w:rsidR="008E67EA" w:rsidRPr="002B5B5B" w:rsidRDefault="008E67EA" w:rsidP="00B44A74">
            <w:pPr>
              <w:spacing w:line="280" w:lineRule="exact"/>
              <w:rPr>
                <w:rFonts w:cs="Arial"/>
                <w:sz w:val="20"/>
                <w:szCs w:val="20"/>
              </w:rPr>
            </w:pPr>
          </w:p>
        </w:tc>
      </w:tr>
      <w:tr w:rsidR="008E67EA" w:rsidRPr="002B5B5B" w14:paraId="7565DE05"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58526B9" w14:textId="77777777" w:rsidR="008E67EA" w:rsidRPr="00F5215F" w:rsidRDefault="008E67EA" w:rsidP="00B44A74">
            <w:pPr>
              <w:spacing w:line="280" w:lineRule="exact"/>
              <w:rPr>
                <w:rFonts w:cs="Arial"/>
                <w:sz w:val="20"/>
                <w:szCs w:val="20"/>
              </w:rPr>
            </w:pPr>
            <w:r w:rsidRPr="00F5215F">
              <w:rPr>
                <w:rFonts w:cs="Arial"/>
                <w:sz w:val="20"/>
                <w:szCs w:val="20"/>
              </w:rPr>
              <w:t>Directions for Use:</w:t>
            </w:r>
          </w:p>
        </w:tc>
        <w:tc>
          <w:tcPr>
            <w:tcW w:w="7755" w:type="dxa"/>
            <w:tcBorders>
              <w:top w:val="single" w:sz="4" w:space="0" w:color="auto"/>
              <w:left w:val="single" w:sz="4" w:space="0" w:color="auto"/>
              <w:bottom w:val="single" w:sz="4" w:space="0" w:color="auto"/>
              <w:right w:val="single" w:sz="4" w:space="0" w:color="auto"/>
            </w:tcBorders>
          </w:tcPr>
          <w:p w14:paraId="602B3A3B" w14:textId="77777777" w:rsidR="008E67EA" w:rsidRPr="00F218E0" w:rsidRDefault="008E67EA" w:rsidP="00B44A74">
            <w:pPr>
              <w:spacing w:line="280" w:lineRule="exact"/>
              <w:rPr>
                <w:rFonts w:cs="Arial"/>
                <w:sz w:val="20"/>
                <w:szCs w:val="20"/>
              </w:rPr>
            </w:pPr>
            <w:r w:rsidRPr="00B832BB">
              <w:rPr>
                <w:rFonts w:cs="Arial"/>
                <w:sz w:val="20"/>
                <w:szCs w:val="20"/>
              </w:rPr>
              <w:t>[This section contains an attachment below]</w:t>
            </w:r>
          </w:p>
        </w:tc>
      </w:tr>
      <w:tr w:rsidR="008E67EA" w:rsidRPr="002B5B5B" w14:paraId="75D97439" w14:textId="77777777" w:rsidTr="00B44A74">
        <w:trPr>
          <w:jc w:val="center"/>
        </w:trPr>
        <w:tc>
          <w:tcPr>
            <w:tcW w:w="2415" w:type="dxa"/>
            <w:tcBorders>
              <w:top w:val="single" w:sz="4" w:space="0" w:color="auto"/>
              <w:left w:val="nil"/>
              <w:bottom w:val="single" w:sz="4" w:space="0" w:color="auto"/>
              <w:right w:val="nil"/>
            </w:tcBorders>
          </w:tcPr>
          <w:p w14:paraId="600357EE"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B5137E0" w14:textId="77777777" w:rsidR="008E67EA" w:rsidRPr="002B5B5B" w:rsidRDefault="008E67EA" w:rsidP="00B44A74">
            <w:pPr>
              <w:spacing w:line="280" w:lineRule="exact"/>
              <w:rPr>
                <w:rFonts w:cs="Arial"/>
                <w:sz w:val="20"/>
                <w:szCs w:val="20"/>
              </w:rPr>
            </w:pPr>
          </w:p>
        </w:tc>
      </w:tr>
      <w:tr w:rsidR="008E67EA" w:rsidRPr="002B5B5B" w14:paraId="13EA7C3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24CA59F" w14:textId="77777777" w:rsidR="008E67EA" w:rsidRPr="00F5215F" w:rsidRDefault="008E67EA" w:rsidP="00B44A74">
            <w:pPr>
              <w:spacing w:line="280" w:lineRule="exact"/>
              <w:rPr>
                <w:rFonts w:cs="Arial"/>
                <w:sz w:val="20"/>
                <w:szCs w:val="20"/>
              </w:rPr>
            </w:pPr>
            <w:r w:rsidRPr="00F5215F">
              <w:rPr>
                <w:rFonts w:cs="Arial"/>
                <w:sz w:val="20"/>
                <w:szCs w:val="20"/>
              </w:rPr>
              <w:t>Other Limitations:</w:t>
            </w:r>
          </w:p>
        </w:tc>
        <w:tc>
          <w:tcPr>
            <w:tcW w:w="7755" w:type="dxa"/>
            <w:tcBorders>
              <w:top w:val="single" w:sz="4" w:space="0" w:color="auto"/>
              <w:left w:val="single" w:sz="4" w:space="0" w:color="auto"/>
              <w:bottom w:val="single" w:sz="4" w:space="0" w:color="auto"/>
              <w:right w:val="single" w:sz="4" w:space="0" w:color="auto"/>
            </w:tcBorders>
          </w:tcPr>
          <w:p w14:paraId="417A826E" w14:textId="77777777" w:rsidR="008E67EA" w:rsidRPr="002B5B5B" w:rsidRDefault="008E67EA" w:rsidP="00B44A74">
            <w:pPr>
              <w:spacing w:line="280" w:lineRule="exact"/>
              <w:rPr>
                <w:rFonts w:cs="Arial"/>
                <w:sz w:val="20"/>
                <w:szCs w:val="20"/>
              </w:rPr>
            </w:pPr>
          </w:p>
        </w:tc>
      </w:tr>
      <w:tr w:rsidR="008E67EA" w:rsidRPr="002B5B5B" w14:paraId="3F436DAF" w14:textId="77777777" w:rsidTr="00B44A74">
        <w:trPr>
          <w:jc w:val="center"/>
        </w:trPr>
        <w:tc>
          <w:tcPr>
            <w:tcW w:w="2415" w:type="dxa"/>
            <w:tcBorders>
              <w:top w:val="single" w:sz="4" w:space="0" w:color="auto"/>
              <w:left w:val="nil"/>
              <w:bottom w:val="single" w:sz="4" w:space="0" w:color="auto"/>
              <w:right w:val="nil"/>
            </w:tcBorders>
          </w:tcPr>
          <w:p w14:paraId="25AD3EE7"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0252D85F" w14:textId="77777777" w:rsidR="008E67EA" w:rsidRPr="002B5B5B" w:rsidRDefault="008E67EA" w:rsidP="00B44A74">
            <w:pPr>
              <w:spacing w:line="280" w:lineRule="exact"/>
              <w:rPr>
                <w:rFonts w:cs="Arial"/>
                <w:sz w:val="20"/>
                <w:szCs w:val="20"/>
              </w:rPr>
            </w:pPr>
          </w:p>
        </w:tc>
      </w:tr>
      <w:tr w:rsidR="008E67EA" w:rsidRPr="002B5B5B" w14:paraId="4B5D334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8D39CC2" w14:textId="77777777" w:rsidR="008E67EA" w:rsidRPr="00F5215F" w:rsidRDefault="008E67EA" w:rsidP="00B44A74">
            <w:pPr>
              <w:spacing w:line="280" w:lineRule="exact"/>
              <w:rPr>
                <w:rFonts w:cs="Arial"/>
                <w:sz w:val="20"/>
                <w:szCs w:val="20"/>
              </w:rPr>
            </w:pPr>
            <w:r w:rsidRPr="00F5215F">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09318237" w14:textId="77777777" w:rsidR="008E67EA" w:rsidRPr="002B5B5B" w:rsidRDefault="008E67EA" w:rsidP="00B44A74">
            <w:pPr>
              <w:spacing w:line="280" w:lineRule="exact"/>
              <w:rPr>
                <w:rFonts w:cs="Arial"/>
                <w:sz w:val="20"/>
                <w:szCs w:val="20"/>
              </w:rPr>
            </w:pPr>
          </w:p>
        </w:tc>
      </w:tr>
      <w:tr w:rsidR="008E67EA" w:rsidRPr="002B5B5B" w14:paraId="3D6211F9" w14:textId="77777777" w:rsidTr="00B44A74">
        <w:trPr>
          <w:jc w:val="center"/>
        </w:trPr>
        <w:tc>
          <w:tcPr>
            <w:tcW w:w="2415" w:type="dxa"/>
            <w:tcBorders>
              <w:top w:val="single" w:sz="4" w:space="0" w:color="auto"/>
              <w:left w:val="nil"/>
              <w:bottom w:val="single" w:sz="4" w:space="0" w:color="auto"/>
              <w:right w:val="nil"/>
            </w:tcBorders>
          </w:tcPr>
          <w:p w14:paraId="5183EBBA"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CF7115E" w14:textId="77777777" w:rsidR="008E67EA" w:rsidRPr="002B5B5B" w:rsidRDefault="008E67EA" w:rsidP="00B44A74">
            <w:pPr>
              <w:spacing w:line="280" w:lineRule="exact"/>
              <w:rPr>
                <w:rFonts w:cs="Arial"/>
                <w:sz w:val="20"/>
                <w:szCs w:val="20"/>
              </w:rPr>
            </w:pPr>
          </w:p>
        </w:tc>
      </w:tr>
      <w:tr w:rsidR="008E67EA" w:rsidRPr="002B5B5B" w14:paraId="0B7266E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6585A97" w14:textId="77777777" w:rsidR="008E67EA" w:rsidRPr="00F5215F" w:rsidRDefault="008E67EA" w:rsidP="00B44A74">
            <w:pPr>
              <w:spacing w:line="280" w:lineRule="exact"/>
              <w:rPr>
                <w:rFonts w:cs="Arial"/>
                <w:sz w:val="20"/>
                <w:szCs w:val="20"/>
              </w:rPr>
            </w:pPr>
            <w:r w:rsidRPr="00F5215F">
              <w:rPr>
                <w:rFonts w:cs="Arial"/>
                <w:sz w:val="20"/>
                <w:szCs w:val="20"/>
              </w:rPr>
              <w:lastRenderedPageBreak/>
              <w:t>Trade Advice:</w:t>
            </w:r>
          </w:p>
        </w:tc>
        <w:tc>
          <w:tcPr>
            <w:tcW w:w="7755" w:type="dxa"/>
            <w:tcBorders>
              <w:top w:val="single" w:sz="4" w:space="0" w:color="auto"/>
              <w:left w:val="single" w:sz="4" w:space="0" w:color="auto"/>
              <w:bottom w:val="single" w:sz="4" w:space="0" w:color="auto"/>
              <w:right w:val="single" w:sz="4" w:space="0" w:color="auto"/>
            </w:tcBorders>
          </w:tcPr>
          <w:p w14:paraId="36984A97" w14:textId="77777777" w:rsidR="008E67EA" w:rsidRPr="002B5B5B" w:rsidRDefault="008E67EA" w:rsidP="00B44A74">
            <w:pPr>
              <w:spacing w:line="280" w:lineRule="exact"/>
              <w:rPr>
                <w:rFonts w:cs="Arial"/>
                <w:sz w:val="20"/>
                <w:szCs w:val="20"/>
              </w:rPr>
            </w:pPr>
          </w:p>
        </w:tc>
      </w:tr>
      <w:tr w:rsidR="008E67EA" w:rsidRPr="002B5B5B" w14:paraId="6714B6A7" w14:textId="77777777" w:rsidTr="00B44A74">
        <w:trPr>
          <w:jc w:val="center"/>
        </w:trPr>
        <w:tc>
          <w:tcPr>
            <w:tcW w:w="2415" w:type="dxa"/>
            <w:tcBorders>
              <w:top w:val="single" w:sz="4" w:space="0" w:color="auto"/>
              <w:left w:val="nil"/>
              <w:bottom w:val="single" w:sz="4" w:space="0" w:color="auto"/>
              <w:right w:val="nil"/>
            </w:tcBorders>
          </w:tcPr>
          <w:p w14:paraId="3EE1D8BF"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944FFC2" w14:textId="77777777" w:rsidR="008E67EA" w:rsidRPr="002B5B5B" w:rsidRDefault="008E67EA" w:rsidP="00B44A74">
            <w:pPr>
              <w:spacing w:line="280" w:lineRule="exact"/>
              <w:rPr>
                <w:rFonts w:cs="Arial"/>
                <w:sz w:val="20"/>
                <w:szCs w:val="20"/>
              </w:rPr>
            </w:pPr>
          </w:p>
        </w:tc>
      </w:tr>
      <w:tr w:rsidR="008E67EA" w:rsidRPr="002B5B5B" w14:paraId="5040938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0B00434" w14:textId="77777777" w:rsidR="008E67EA" w:rsidRPr="00F5215F" w:rsidRDefault="008E67EA" w:rsidP="00B44A74">
            <w:pPr>
              <w:spacing w:line="280" w:lineRule="exact"/>
              <w:rPr>
                <w:rFonts w:cs="Arial"/>
                <w:sz w:val="20"/>
                <w:szCs w:val="20"/>
              </w:rPr>
            </w:pPr>
            <w:r w:rsidRPr="00F5215F">
              <w:rPr>
                <w:rFonts w:cs="Arial"/>
                <w:sz w:val="20"/>
                <w:szCs w:val="20"/>
              </w:rPr>
              <w:t>General Directions:</w:t>
            </w:r>
          </w:p>
        </w:tc>
        <w:tc>
          <w:tcPr>
            <w:tcW w:w="7755" w:type="dxa"/>
            <w:tcBorders>
              <w:top w:val="single" w:sz="4" w:space="0" w:color="auto"/>
              <w:left w:val="single" w:sz="4" w:space="0" w:color="auto"/>
              <w:bottom w:val="single" w:sz="4" w:space="0" w:color="auto"/>
              <w:right w:val="single" w:sz="4" w:space="0" w:color="auto"/>
            </w:tcBorders>
          </w:tcPr>
          <w:p w14:paraId="1B9E0912" w14:textId="77777777" w:rsidR="008E67EA" w:rsidRPr="00BB07B6" w:rsidRDefault="008E67EA" w:rsidP="00B44A74">
            <w:pPr>
              <w:spacing w:line="280" w:lineRule="exact"/>
              <w:rPr>
                <w:rFonts w:cs="Arial"/>
                <w:sz w:val="20"/>
                <w:szCs w:val="20"/>
              </w:rPr>
            </w:pPr>
            <w:r w:rsidRPr="00BB07B6">
              <w:rPr>
                <w:rFonts w:cs="Arial"/>
                <w:sz w:val="20"/>
                <w:szCs w:val="20"/>
              </w:rPr>
              <w:t>GENERAL INSTRUCTIONS</w:t>
            </w:r>
          </w:p>
          <w:p w14:paraId="18CECAA3" w14:textId="77777777" w:rsidR="008E67EA" w:rsidRPr="00BB07B6" w:rsidRDefault="008E67EA" w:rsidP="00B44A74">
            <w:pPr>
              <w:spacing w:line="280" w:lineRule="exact"/>
              <w:rPr>
                <w:rFonts w:cs="Arial"/>
                <w:sz w:val="20"/>
                <w:szCs w:val="20"/>
              </w:rPr>
            </w:pPr>
            <w:r w:rsidRPr="00BB07B6">
              <w:rPr>
                <w:rFonts w:cs="Arial"/>
                <w:sz w:val="20"/>
                <w:szCs w:val="20"/>
              </w:rPr>
              <w:t>Alternative food sources should be removed or reduced as much as possible. A lethal dose is readily consumed in a single feed but death may not occur for up to seven days.</w:t>
            </w:r>
          </w:p>
        </w:tc>
      </w:tr>
      <w:tr w:rsidR="008E67EA" w:rsidRPr="002B5B5B" w14:paraId="377F8EAE" w14:textId="77777777" w:rsidTr="00B44A74">
        <w:trPr>
          <w:jc w:val="center"/>
        </w:trPr>
        <w:tc>
          <w:tcPr>
            <w:tcW w:w="2415" w:type="dxa"/>
            <w:tcBorders>
              <w:top w:val="single" w:sz="4" w:space="0" w:color="auto"/>
              <w:left w:val="nil"/>
              <w:bottom w:val="single" w:sz="4" w:space="0" w:color="auto"/>
              <w:right w:val="nil"/>
            </w:tcBorders>
          </w:tcPr>
          <w:p w14:paraId="586954E0"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BE9E83F" w14:textId="77777777" w:rsidR="008E67EA" w:rsidRPr="002B5B5B" w:rsidRDefault="008E67EA" w:rsidP="00B44A74">
            <w:pPr>
              <w:spacing w:line="280" w:lineRule="exact"/>
              <w:rPr>
                <w:rFonts w:cs="Arial"/>
                <w:sz w:val="20"/>
                <w:szCs w:val="20"/>
              </w:rPr>
            </w:pPr>
          </w:p>
        </w:tc>
      </w:tr>
      <w:tr w:rsidR="008E67EA" w:rsidRPr="002B5B5B" w14:paraId="0B817E49"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391823A" w14:textId="77777777" w:rsidR="008E67EA" w:rsidRPr="00F5215F" w:rsidRDefault="008E67EA" w:rsidP="00B44A74">
            <w:pPr>
              <w:spacing w:line="280" w:lineRule="exact"/>
              <w:rPr>
                <w:rFonts w:cs="Arial"/>
                <w:sz w:val="20"/>
                <w:szCs w:val="20"/>
              </w:rPr>
            </w:pPr>
            <w:r w:rsidRPr="00F5215F">
              <w:rPr>
                <w:rFonts w:cs="Arial"/>
                <w:sz w:val="20"/>
                <w:szCs w:val="20"/>
              </w:rPr>
              <w:t>Resistance Warning:</w:t>
            </w:r>
          </w:p>
        </w:tc>
        <w:tc>
          <w:tcPr>
            <w:tcW w:w="7755" w:type="dxa"/>
            <w:tcBorders>
              <w:top w:val="single" w:sz="4" w:space="0" w:color="auto"/>
              <w:left w:val="single" w:sz="4" w:space="0" w:color="auto"/>
              <w:bottom w:val="single" w:sz="4" w:space="0" w:color="auto"/>
              <w:right w:val="single" w:sz="4" w:space="0" w:color="auto"/>
            </w:tcBorders>
          </w:tcPr>
          <w:p w14:paraId="703DBCD1" w14:textId="77777777" w:rsidR="008E67EA" w:rsidRPr="002B5B5B" w:rsidRDefault="008E67EA" w:rsidP="00B44A74">
            <w:pPr>
              <w:spacing w:line="280" w:lineRule="exact"/>
              <w:rPr>
                <w:rFonts w:cs="Arial"/>
                <w:sz w:val="20"/>
                <w:szCs w:val="20"/>
              </w:rPr>
            </w:pPr>
          </w:p>
        </w:tc>
      </w:tr>
      <w:tr w:rsidR="008E67EA" w:rsidRPr="002B5B5B" w14:paraId="174DC7DB" w14:textId="77777777" w:rsidTr="00B44A74">
        <w:trPr>
          <w:jc w:val="center"/>
        </w:trPr>
        <w:tc>
          <w:tcPr>
            <w:tcW w:w="2415" w:type="dxa"/>
            <w:tcBorders>
              <w:top w:val="single" w:sz="4" w:space="0" w:color="auto"/>
              <w:left w:val="nil"/>
              <w:bottom w:val="single" w:sz="4" w:space="0" w:color="auto"/>
              <w:right w:val="nil"/>
            </w:tcBorders>
          </w:tcPr>
          <w:p w14:paraId="01D680C7"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D1705FF" w14:textId="77777777" w:rsidR="008E67EA" w:rsidRPr="002B5B5B" w:rsidRDefault="008E67EA" w:rsidP="00B44A74">
            <w:pPr>
              <w:spacing w:line="280" w:lineRule="exact"/>
              <w:rPr>
                <w:rFonts w:cs="Arial"/>
                <w:sz w:val="20"/>
                <w:szCs w:val="20"/>
              </w:rPr>
            </w:pPr>
          </w:p>
        </w:tc>
      </w:tr>
      <w:tr w:rsidR="008E67EA" w:rsidRPr="002B5B5B" w14:paraId="173F0F1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DF8DA3A" w14:textId="77777777" w:rsidR="008E67EA" w:rsidRPr="00F5215F" w:rsidRDefault="008E67EA" w:rsidP="00B44A74">
            <w:pPr>
              <w:spacing w:line="280" w:lineRule="exact"/>
              <w:rPr>
                <w:rFonts w:cs="Arial"/>
                <w:sz w:val="20"/>
                <w:szCs w:val="20"/>
              </w:rPr>
            </w:pPr>
            <w:r w:rsidRPr="00F5215F">
              <w:rPr>
                <w:rFonts w:cs="Arial"/>
                <w:sz w:val="20"/>
                <w:szCs w:val="20"/>
              </w:rPr>
              <w:t>Precautions:</w:t>
            </w:r>
          </w:p>
        </w:tc>
        <w:tc>
          <w:tcPr>
            <w:tcW w:w="7755" w:type="dxa"/>
            <w:tcBorders>
              <w:top w:val="single" w:sz="4" w:space="0" w:color="auto"/>
              <w:left w:val="single" w:sz="4" w:space="0" w:color="auto"/>
              <w:bottom w:val="single" w:sz="4" w:space="0" w:color="auto"/>
              <w:right w:val="single" w:sz="4" w:space="0" w:color="auto"/>
            </w:tcBorders>
          </w:tcPr>
          <w:p w14:paraId="6ED8A95A" w14:textId="77777777" w:rsidR="008E67EA" w:rsidRPr="00DB6BC4" w:rsidRDefault="008E67EA" w:rsidP="00B44A74">
            <w:pPr>
              <w:spacing w:line="280" w:lineRule="exact"/>
              <w:rPr>
                <w:rFonts w:cs="Arial"/>
                <w:sz w:val="20"/>
                <w:szCs w:val="20"/>
                <w:bdr w:val="none" w:sz="0" w:space="0" w:color="auto" w:frame="1"/>
                <w:lang w:val="en-GB" w:eastAsia="en-AU"/>
              </w:rPr>
            </w:pPr>
            <w:r w:rsidRPr="00DB6BC4">
              <w:rPr>
                <w:rFonts w:cs="Arial"/>
                <w:sz w:val="20"/>
                <w:szCs w:val="20"/>
                <w:bdr w:val="none" w:sz="0" w:space="0" w:color="auto" w:frame="1"/>
                <w:lang w:val="en-GB" w:eastAsia="en-AU"/>
              </w:rPr>
              <w:t>PRECAUTIONS</w:t>
            </w:r>
          </w:p>
          <w:p w14:paraId="08E5CA13" w14:textId="77777777" w:rsidR="008E67EA" w:rsidRPr="00DB6BC4" w:rsidRDefault="008E67EA" w:rsidP="00B44A74">
            <w:pPr>
              <w:spacing w:line="280" w:lineRule="exact"/>
              <w:rPr>
                <w:rFonts w:cs="Arial"/>
                <w:sz w:val="20"/>
                <w:szCs w:val="20"/>
                <w:bdr w:val="none" w:sz="0" w:space="0" w:color="auto" w:frame="1"/>
                <w:lang w:val="en-GB" w:eastAsia="en-AU"/>
              </w:rPr>
            </w:pPr>
            <w:r w:rsidRPr="00DB6BC4">
              <w:rPr>
                <w:rFonts w:cs="Arial"/>
                <w:sz w:val="20"/>
                <w:szCs w:val="20"/>
                <w:bdr w:val="none" w:sz="0" w:space="0" w:color="auto" w:frame="1"/>
                <w:lang w:val="en-GB" w:eastAsia="en-AU"/>
              </w:rPr>
              <w:t>Caution should be used when baiting near areas where hunting of wildlife may occur. Careful consideration of bait placement is necessary to avoid secondary exposure from contaminated wildlife that may be consumed.</w:t>
            </w:r>
          </w:p>
          <w:p w14:paraId="7285EF6D" w14:textId="77777777" w:rsidR="008E67EA" w:rsidRPr="002B5B5B" w:rsidRDefault="008E67EA" w:rsidP="00B44A74">
            <w:pPr>
              <w:spacing w:line="280" w:lineRule="exact"/>
              <w:rPr>
                <w:rFonts w:cs="Arial"/>
                <w:sz w:val="20"/>
                <w:szCs w:val="20"/>
                <w:highlight w:val="yellow"/>
              </w:rPr>
            </w:pPr>
            <w:r w:rsidRPr="00DB6BC4">
              <w:rPr>
                <w:rFonts w:cs="Arial"/>
                <w:sz w:val="20"/>
                <w:szCs w:val="20"/>
                <w:bdr w:val="none" w:sz="0" w:space="0" w:color="auto" w:frame="1"/>
                <w:lang w:val="en-GB" w:eastAsia="en-AU"/>
              </w:rPr>
              <w:t>DO NOT place bait in areas where there is a possibility of contaminating food, livestock feed or surfaces that come in direct contact with food or livestock feed.</w:t>
            </w:r>
          </w:p>
        </w:tc>
      </w:tr>
      <w:tr w:rsidR="008E67EA" w:rsidRPr="002B5B5B" w14:paraId="7400BA0D" w14:textId="77777777" w:rsidTr="00B44A74">
        <w:trPr>
          <w:jc w:val="center"/>
        </w:trPr>
        <w:tc>
          <w:tcPr>
            <w:tcW w:w="2415" w:type="dxa"/>
            <w:tcBorders>
              <w:top w:val="single" w:sz="4" w:space="0" w:color="auto"/>
              <w:left w:val="nil"/>
              <w:bottom w:val="single" w:sz="4" w:space="0" w:color="auto"/>
              <w:right w:val="nil"/>
            </w:tcBorders>
          </w:tcPr>
          <w:p w14:paraId="69331E80"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9260E55" w14:textId="77777777" w:rsidR="008E67EA" w:rsidRPr="002B5B5B" w:rsidRDefault="008E67EA" w:rsidP="00B44A74">
            <w:pPr>
              <w:spacing w:line="280" w:lineRule="exact"/>
              <w:rPr>
                <w:rFonts w:cs="Arial"/>
                <w:sz w:val="20"/>
                <w:szCs w:val="20"/>
              </w:rPr>
            </w:pPr>
          </w:p>
        </w:tc>
      </w:tr>
      <w:tr w:rsidR="008E67EA" w:rsidRPr="002B5B5B" w14:paraId="485D812E"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5AEE897F" w14:textId="77777777" w:rsidR="008E67EA" w:rsidRPr="00F5215F" w:rsidRDefault="008E67EA" w:rsidP="00B44A74">
            <w:pPr>
              <w:spacing w:line="280" w:lineRule="exact"/>
              <w:rPr>
                <w:rFonts w:cs="Arial"/>
                <w:sz w:val="20"/>
                <w:szCs w:val="20"/>
              </w:rPr>
            </w:pPr>
            <w:r w:rsidRPr="00F5215F">
              <w:rPr>
                <w:rFonts w:cs="Arial"/>
                <w:sz w:val="20"/>
                <w:szCs w:val="20"/>
              </w:rPr>
              <w:t>Protection Statements</w:t>
            </w:r>
          </w:p>
        </w:tc>
        <w:tc>
          <w:tcPr>
            <w:tcW w:w="7755" w:type="dxa"/>
            <w:tcBorders>
              <w:top w:val="single" w:sz="4" w:space="0" w:color="auto"/>
              <w:left w:val="single" w:sz="4" w:space="0" w:color="auto"/>
              <w:bottom w:val="single" w:sz="4" w:space="0" w:color="auto"/>
              <w:right w:val="single" w:sz="4" w:space="0" w:color="auto"/>
            </w:tcBorders>
          </w:tcPr>
          <w:p w14:paraId="0C1DA1E2" w14:textId="77777777" w:rsidR="008E67EA" w:rsidRPr="00DB6BC4" w:rsidRDefault="008E67EA" w:rsidP="00B44A74">
            <w:pPr>
              <w:spacing w:line="280" w:lineRule="exact"/>
              <w:rPr>
                <w:rFonts w:cs="Arial"/>
                <w:sz w:val="20"/>
                <w:szCs w:val="20"/>
                <w:bdr w:val="none" w:sz="0" w:space="0" w:color="auto" w:frame="1"/>
                <w:lang w:val="en-GB" w:eastAsia="en-AU"/>
              </w:rPr>
            </w:pPr>
            <w:r w:rsidRPr="00DB6BC4">
              <w:rPr>
                <w:rFonts w:cs="Arial"/>
                <w:sz w:val="20"/>
                <w:szCs w:val="20"/>
                <w:bdr w:val="none" w:sz="0" w:space="0" w:color="auto" w:frame="1"/>
                <w:lang w:val="en-GB" w:eastAsia="en-AU"/>
              </w:rPr>
              <w:t>PROTECTION OF LIVESTOCK AND WILDLIFE</w:t>
            </w:r>
          </w:p>
          <w:p w14:paraId="67D81F49" w14:textId="77777777" w:rsidR="008E67EA" w:rsidRPr="00DB6BC4" w:rsidRDefault="008E67EA" w:rsidP="00B44A74">
            <w:pPr>
              <w:spacing w:line="280" w:lineRule="exact"/>
              <w:rPr>
                <w:rFonts w:cs="Arial"/>
                <w:sz w:val="20"/>
                <w:szCs w:val="20"/>
                <w:bdr w:val="none" w:sz="0" w:space="0" w:color="auto" w:frame="1"/>
                <w:lang w:val="en-GB" w:eastAsia="en-AU"/>
              </w:rPr>
            </w:pPr>
            <w:r w:rsidRPr="00DB6BC4">
              <w:rPr>
                <w:rFonts w:cs="Arial"/>
                <w:sz w:val="20"/>
                <w:szCs w:val="20"/>
                <w:bdr w:val="none" w:sz="0" w:space="0" w:color="auto" w:frame="1"/>
                <w:lang w:val="en-GB" w:eastAsia="en-AU"/>
              </w:rPr>
              <w:t>Hazardous to livestock, poultry and wildlife. DO NOT place baits in locations that are accessible to domestic animals, livestock, non-target native animals or birds.</w:t>
            </w:r>
          </w:p>
          <w:p w14:paraId="69351898" w14:textId="77777777" w:rsidR="008E67EA" w:rsidRPr="00DB6BC4" w:rsidRDefault="008E67EA" w:rsidP="00B44A74">
            <w:pPr>
              <w:spacing w:line="280" w:lineRule="exact"/>
              <w:rPr>
                <w:rFonts w:cs="Arial"/>
                <w:sz w:val="20"/>
                <w:szCs w:val="20"/>
                <w:bdr w:val="none" w:sz="0" w:space="0" w:color="auto" w:frame="1"/>
                <w:lang w:val="en-GB" w:eastAsia="en-AU"/>
              </w:rPr>
            </w:pPr>
            <w:r w:rsidRPr="00DB6BC4">
              <w:rPr>
                <w:rFonts w:cs="Arial"/>
                <w:sz w:val="20"/>
                <w:szCs w:val="20"/>
                <w:bdr w:val="none" w:sz="0" w:space="0" w:color="auto" w:frame="1"/>
                <w:lang w:val="en-GB" w:eastAsia="en-AU"/>
              </w:rPr>
              <w:t xml:space="preserve">Search for and dispose of dead rodents and slugs/snails in the infested area at each visit to prevent secondary poisoning. In case slugs/snails are present, move bait station to another location within the rodent infested site, away from slugs/snails. Dispose of slugs/snails in a way non-target animals are not exposed. Dispose of dead rodents and uneaten bait in compliance with local, state or territory government regulations. </w:t>
            </w:r>
          </w:p>
          <w:p w14:paraId="34FD80B2" w14:textId="77777777" w:rsidR="008E67EA" w:rsidRDefault="008E67EA" w:rsidP="00B44A74">
            <w:pPr>
              <w:spacing w:line="280" w:lineRule="exact"/>
              <w:rPr>
                <w:rFonts w:cs="Arial"/>
                <w:sz w:val="20"/>
                <w:szCs w:val="20"/>
                <w:bdr w:val="none" w:sz="0" w:space="0" w:color="auto" w:frame="1"/>
                <w:lang w:val="en-GB" w:eastAsia="en-AU"/>
              </w:rPr>
            </w:pPr>
            <w:r w:rsidRPr="00DB6BC4">
              <w:rPr>
                <w:rFonts w:cs="Arial"/>
                <w:sz w:val="20"/>
                <w:szCs w:val="20"/>
                <w:bdr w:val="none" w:sz="0" w:space="0" w:color="auto" w:frame="1"/>
                <w:lang w:val="en-GB" w:eastAsia="en-AU"/>
              </w:rPr>
              <w:t>DO NOT allow livestock or poultry to consume dead or moribund mice and rats. All dead or moribund animals and rodent faeces from baited rodents MUST be removed from areas accessible to livestock or poultry.</w:t>
            </w:r>
          </w:p>
          <w:p w14:paraId="7C3F01B4" w14:textId="77777777" w:rsidR="008E67EA" w:rsidRDefault="008E67EA" w:rsidP="00B44A74">
            <w:pPr>
              <w:spacing w:line="280" w:lineRule="exact"/>
              <w:rPr>
                <w:rFonts w:cs="Arial"/>
                <w:sz w:val="20"/>
                <w:szCs w:val="20"/>
                <w:bdr w:val="none" w:sz="0" w:space="0" w:color="auto" w:frame="1"/>
                <w:lang w:val="en-GB" w:eastAsia="en-AU"/>
              </w:rPr>
            </w:pPr>
            <w:r w:rsidRPr="002F03D5">
              <w:rPr>
                <w:rFonts w:cs="Arial"/>
                <w:sz w:val="20"/>
                <w:szCs w:val="20"/>
                <w:bdr w:val="none" w:sz="0" w:space="0" w:color="auto" w:frame="1"/>
                <w:lang w:val="en-GB" w:eastAsia="en-AU"/>
              </w:rPr>
              <w:t>The use of this product for the control of protected native rodents requires permission from wildlife authorities.</w:t>
            </w:r>
          </w:p>
          <w:p w14:paraId="18315CD1" w14:textId="77777777" w:rsidR="008E67EA" w:rsidRPr="00DB6BC4" w:rsidRDefault="008E67EA" w:rsidP="00B44A74">
            <w:pPr>
              <w:spacing w:line="280" w:lineRule="exact"/>
              <w:rPr>
                <w:rFonts w:cs="Arial"/>
                <w:sz w:val="20"/>
                <w:szCs w:val="20"/>
                <w:bdr w:val="none" w:sz="0" w:space="0" w:color="auto" w:frame="1"/>
                <w:lang w:val="en-GB" w:eastAsia="en-AU"/>
              </w:rPr>
            </w:pPr>
          </w:p>
          <w:p w14:paraId="38C26C4F" w14:textId="77777777" w:rsidR="008E67EA" w:rsidRPr="00DB6BC4" w:rsidRDefault="008E67EA" w:rsidP="00B44A74">
            <w:pPr>
              <w:spacing w:line="280" w:lineRule="exact"/>
              <w:rPr>
                <w:rFonts w:cs="Arial"/>
                <w:sz w:val="20"/>
                <w:szCs w:val="20"/>
                <w:bdr w:val="none" w:sz="0" w:space="0" w:color="auto" w:frame="1"/>
                <w:lang w:val="en-GB" w:eastAsia="en-AU"/>
              </w:rPr>
            </w:pPr>
            <w:r w:rsidRPr="00DB6BC4">
              <w:rPr>
                <w:rFonts w:cs="Arial"/>
                <w:sz w:val="20"/>
                <w:szCs w:val="20"/>
                <w:bdr w:val="none" w:sz="0" w:space="0" w:color="auto" w:frame="1"/>
                <w:lang w:val="en-GB" w:eastAsia="en-AU"/>
              </w:rPr>
              <w:t>PROTECTION OF FISH, CRUSTACEANS AND ENVIRONMENT</w:t>
            </w:r>
          </w:p>
          <w:p w14:paraId="15C1D6E3" w14:textId="77777777" w:rsidR="008E67EA" w:rsidRPr="002F03D5" w:rsidRDefault="008E67EA" w:rsidP="00B44A74">
            <w:pPr>
              <w:spacing w:line="280" w:lineRule="exact"/>
              <w:rPr>
                <w:rFonts w:cs="Arial"/>
                <w:sz w:val="20"/>
                <w:szCs w:val="20"/>
                <w:bdr w:val="none" w:sz="0" w:space="0" w:color="auto" w:frame="1"/>
                <w:lang w:val="en-GB" w:eastAsia="en-AU"/>
              </w:rPr>
            </w:pPr>
            <w:r w:rsidRPr="00DB6BC4">
              <w:rPr>
                <w:rFonts w:cs="Arial"/>
                <w:sz w:val="20"/>
                <w:szCs w:val="20"/>
                <w:bdr w:val="none" w:sz="0" w:space="0" w:color="auto" w:frame="1"/>
                <w:lang w:val="en-GB" w:eastAsia="en-AU"/>
              </w:rPr>
              <w:t>Very toxic to aquatic life. DO NOT contaminate wetlands or watercourses with this product or used containers.</w:t>
            </w:r>
            <w:r>
              <w:rPr>
                <w:rFonts w:cs="Arial"/>
                <w:sz w:val="20"/>
                <w:szCs w:val="20"/>
                <w:bdr w:val="none" w:sz="0" w:space="0" w:color="auto" w:frame="1"/>
                <w:lang w:val="en-GB" w:eastAsia="en-AU"/>
              </w:rPr>
              <w:t xml:space="preserve"> </w:t>
            </w:r>
            <w:r w:rsidRPr="00DB6BC4">
              <w:rPr>
                <w:rFonts w:cs="Arial"/>
                <w:sz w:val="20"/>
                <w:szCs w:val="20"/>
                <w:bdr w:val="none" w:sz="0" w:space="0" w:color="auto" w:frame="1"/>
                <w:lang w:val="en-GB" w:eastAsia="en-AU"/>
              </w:rPr>
              <w:t>Place the bait stations in areas not liable to flooding. When placing bait stations close to water drainage systems, ensure that bait contact with water is avoided.</w:t>
            </w:r>
          </w:p>
        </w:tc>
      </w:tr>
      <w:tr w:rsidR="008E67EA" w:rsidRPr="002B5B5B" w14:paraId="347ECFB9" w14:textId="77777777" w:rsidTr="00B44A74">
        <w:trPr>
          <w:jc w:val="center"/>
        </w:trPr>
        <w:tc>
          <w:tcPr>
            <w:tcW w:w="2415" w:type="dxa"/>
            <w:tcBorders>
              <w:top w:val="single" w:sz="4" w:space="0" w:color="auto"/>
              <w:left w:val="nil"/>
              <w:bottom w:val="single" w:sz="4" w:space="0" w:color="auto"/>
              <w:right w:val="nil"/>
            </w:tcBorders>
          </w:tcPr>
          <w:p w14:paraId="46319CD3"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85A1FB1" w14:textId="77777777" w:rsidR="008E67EA" w:rsidRPr="002B5B5B" w:rsidRDefault="008E67EA" w:rsidP="00B44A74">
            <w:pPr>
              <w:spacing w:line="280" w:lineRule="exact"/>
              <w:rPr>
                <w:rFonts w:cs="Arial"/>
                <w:sz w:val="20"/>
                <w:szCs w:val="20"/>
              </w:rPr>
            </w:pPr>
          </w:p>
        </w:tc>
      </w:tr>
      <w:tr w:rsidR="008E67EA" w:rsidRPr="002B5B5B" w14:paraId="344DEBC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FF3C0F3" w14:textId="77777777" w:rsidR="008E67EA" w:rsidRPr="00F5215F" w:rsidRDefault="008E67EA" w:rsidP="00B44A74">
            <w:pPr>
              <w:spacing w:line="280" w:lineRule="exact"/>
              <w:rPr>
                <w:rFonts w:cs="Arial"/>
                <w:sz w:val="20"/>
                <w:szCs w:val="20"/>
              </w:rPr>
            </w:pPr>
            <w:r w:rsidRPr="00F5215F">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453E14D3" w14:textId="77777777" w:rsidR="008E67EA" w:rsidRPr="00DB6BC4" w:rsidRDefault="008E67EA" w:rsidP="00B44A74">
            <w:pPr>
              <w:spacing w:line="280" w:lineRule="exact"/>
              <w:rPr>
                <w:rFonts w:cs="Arial"/>
                <w:sz w:val="20"/>
                <w:szCs w:val="20"/>
                <w:bdr w:val="none" w:sz="0" w:space="0" w:color="auto" w:frame="1"/>
                <w:lang w:val="en-GB" w:eastAsia="en-AU"/>
              </w:rPr>
            </w:pPr>
            <w:r w:rsidRPr="00DB6BC4">
              <w:rPr>
                <w:rFonts w:cs="Arial"/>
                <w:sz w:val="20"/>
                <w:szCs w:val="20"/>
                <w:bdr w:val="none" w:sz="0" w:space="0" w:color="auto" w:frame="1"/>
                <w:lang w:val="en-GB" w:eastAsia="en-AU"/>
              </w:rPr>
              <w:t>STORAGE AND DISPOSAL</w:t>
            </w:r>
          </w:p>
          <w:p w14:paraId="79B1C7E1" w14:textId="77777777" w:rsidR="008E67EA" w:rsidRPr="00DB6BC4" w:rsidRDefault="008E67EA" w:rsidP="00B44A74">
            <w:pPr>
              <w:spacing w:line="280" w:lineRule="exact"/>
              <w:rPr>
                <w:rFonts w:ascii="Franklin Gothic Medium" w:eastAsia="Arial Unicode MS" w:hAnsi="Franklin Gothic Medium" w:cs="Arial Unicode MS"/>
                <w:sz w:val="24"/>
                <w:u w:val="single"/>
                <w:lang w:eastAsia="en-AU"/>
              </w:rPr>
            </w:pPr>
            <w:r w:rsidRPr="00DB6BC4">
              <w:rPr>
                <w:rFonts w:cs="Arial"/>
                <w:sz w:val="20"/>
                <w:szCs w:val="20"/>
                <w:bdr w:val="none" w:sz="0" w:space="0" w:color="auto" w:frame="1"/>
                <w:lang w:val="en-GB" w:eastAsia="en-AU"/>
              </w:rPr>
              <w:t>Store in the closed original container in a safe place. DO NOT store for prolonged periods in direct sunlight.</w:t>
            </w:r>
            <w:r>
              <w:rPr>
                <w:rFonts w:cs="Arial"/>
                <w:sz w:val="20"/>
                <w:szCs w:val="20"/>
                <w:bdr w:val="none" w:sz="0" w:space="0" w:color="auto" w:frame="1"/>
                <w:lang w:val="en-GB" w:eastAsia="en-AU"/>
              </w:rPr>
              <w:t xml:space="preserve"> </w:t>
            </w:r>
            <w:r w:rsidRPr="00DB6BC4">
              <w:rPr>
                <w:rFonts w:cs="Arial"/>
                <w:sz w:val="20"/>
                <w:szCs w:val="20"/>
                <w:bdr w:val="none" w:sz="0" w:space="0" w:color="auto" w:frame="1"/>
                <w:lang w:val="en-GB" w:eastAsia="en-AU"/>
              </w:rPr>
              <w:t>Triple rinse containers before disposal. Break, crush or puncture and deliver empty packaging to an approved waste management facility. If an approved waste management facility is not available, dispose of empty packaging in compliance with relevant local, state or territory government regulations.</w:t>
            </w:r>
            <w:r>
              <w:rPr>
                <w:rFonts w:cs="Arial"/>
                <w:sz w:val="20"/>
                <w:szCs w:val="20"/>
                <w:bdr w:val="none" w:sz="0" w:space="0" w:color="auto" w:frame="1"/>
                <w:lang w:val="en-GB" w:eastAsia="en-AU"/>
              </w:rPr>
              <w:t xml:space="preserve"> </w:t>
            </w:r>
            <w:r w:rsidRPr="005E538D">
              <w:rPr>
                <w:rFonts w:cs="Arial"/>
                <w:sz w:val="20"/>
                <w:szCs w:val="20"/>
                <w:bdr w:val="none" w:sz="0" w:space="0" w:color="auto" w:frame="1"/>
                <w:lang w:val="en-GB" w:eastAsia="en-AU"/>
              </w:rPr>
              <w:t>Dispose of unused product in compliance with relevant local, state or territory government regulations</w:t>
            </w:r>
            <w:r>
              <w:rPr>
                <w:rFonts w:cs="Arial"/>
                <w:sz w:val="20"/>
                <w:szCs w:val="20"/>
                <w:bdr w:val="none" w:sz="0" w:space="0" w:color="auto" w:frame="1"/>
                <w:lang w:val="en-GB" w:eastAsia="en-AU"/>
              </w:rPr>
              <w:t>.</w:t>
            </w:r>
            <w:r w:rsidRPr="00DB6BC4">
              <w:rPr>
                <w:rFonts w:cs="Arial"/>
                <w:sz w:val="20"/>
                <w:szCs w:val="20"/>
                <w:bdr w:val="none" w:sz="0" w:space="0" w:color="auto" w:frame="1"/>
                <w:lang w:val="en-GB" w:eastAsia="en-AU"/>
              </w:rPr>
              <w:t xml:space="preserve"> DO NOT burn empty containers or product.</w:t>
            </w:r>
          </w:p>
        </w:tc>
      </w:tr>
      <w:tr w:rsidR="008E67EA" w:rsidRPr="002B5B5B" w14:paraId="6812976E" w14:textId="77777777" w:rsidTr="00B44A74">
        <w:trPr>
          <w:jc w:val="center"/>
        </w:trPr>
        <w:tc>
          <w:tcPr>
            <w:tcW w:w="2415" w:type="dxa"/>
            <w:tcBorders>
              <w:top w:val="single" w:sz="4" w:space="0" w:color="auto"/>
              <w:left w:val="nil"/>
              <w:bottom w:val="single" w:sz="4" w:space="0" w:color="auto"/>
              <w:right w:val="nil"/>
            </w:tcBorders>
          </w:tcPr>
          <w:p w14:paraId="2C5B7156"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B17B89F" w14:textId="77777777" w:rsidR="008E67EA" w:rsidRPr="002B5B5B" w:rsidRDefault="008E67EA" w:rsidP="00B44A74">
            <w:pPr>
              <w:spacing w:line="280" w:lineRule="exact"/>
              <w:rPr>
                <w:rFonts w:cs="Arial"/>
                <w:sz w:val="20"/>
                <w:szCs w:val="20"/>
              </w:rPr>
            </w:pPr>
          </w:p>
        </w:tc>
      </w:tr>
      <w:tr w:rsidR="008E67EA" w:rsidRPr="002B5B5B" w14:paraId="24FC916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C4857D7" w14:textId="77777777" w:rsidR="008E67EA" w:rsidRPr="00F5215F" w:rsidRDefault="008E67EA" w:rsidP="00B44A74">
            <w:pPr>
              <w:spacing w:line="280" w:lineRule="exact"/>
              <w:rPr>
                <w:rFonts w:cs="Arial"/>
                <w:sz w:val="20"/>
                <w:szCs w:val="20"/>
              </w:rPr>
            </w:pPr>
            <w:r w:rsidRPr="00F5215F">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6E5E96C3" w14:textId="77777777" w:rsidR="008E67EA" w:rsidRPr="00DB6BC4" w:rsidRDefault="008E67EA" w:rsidP="00B44A74">
            <w:pPr>
              <w:spacing w:line="280" w:lineRule="exact"/>
              <w:rPr>
                <w:rFonts w:cs="Arial"/>
                <w:sz w:val="20"/>
                <w:szCs w:val="20"/>
                <w:bdr w:val="none" w:sz="0" w:space="0" w:color="auto" w:frame="1"/>
                <w:lang w:val="en-GB" w:eastAsia="en-AU"/>
              </w:rPr>
            </w:pPr>
            <w:r w:rsidRPr="00DB6BC4">
              <w:rPr>
                <w:rFonts w:cs="Arial"/>
                <w:sz w:val="20"/>
                <w:szCs w:val="20"/>
                <w:bdr w:val="none" w:sz="0" w:space="0" w:color="auto" w:frame="1"/>
                <w:lang w:val="en-GB" w:eastAsia="en-AU"/>
              </w:rPr>
              <w:t>SAFETY DIRECTIONS</w:t>
            </w:r>
          </w:p>
          <w:p w14:paraId="3DCAB7DE" w14:textId="77777777" w:rsidR="008E67EA" w:rsidRPr="009B132B" w:rsidRDefault="008E67EA" w:rsidP="00B44A74">
            <w:pPr>
              <w:spacing w:line="280" w:lineRule="exact"/>
              <w:rPr>
                <w:rFonts w:cs="Arial"/>
                <w:sz w:val="20"/>
                <w:szCs w:val="20"/>
                <w:bdr w:val="none" w:sz="0" w:space="0" w:color="auto" w:frame="1"/>
                <w:lang w:val="en-GB" w:eastAsia="en-AU"/>
              </w:rPr>
            </w:pPr>
            <w:r w:rsidRPr="00CB0115">
              <w:rPr>
                <w:rFonts w:cs="Arial"/>
                <w:sz w:val="20"/>
                <w:szCs w:val="20"/>
                <w:bdr w:val="none" w:sz="0" w:space="0" w:color="auto" w:frame="1"/>
                <w:lang w:val="en-GB" w:eastAsia="en-AU"/>
              </w:rPr>
              <w:lastRenderedPageBreak/>
              <w:t>Repeated minor exposure may have a cumulative poisoning effect. When using the product wear disposable gloves. During cleanup, disposal operations of bait and bait stations and when handling rodent carcasses wear single layer clothing and disposable gloves. If on skin and after each baiting, wash thoroughly with soap and water. After each day’s use wash contaminated clothing.</w:t>
            </w:r>
            <w:r>
              <w:rPr>
                <w:rFonts w:cs="Arial"/>
                <w:sz w:val="20"/>
                <w:szCs w:val="20"/>
                <w:bdr w:val="none" w:sz="0" w:space="0" w:color="auto" w:frame="1"/>
                <w:lang w:val="en-GB" w:eastAsia="en-AU"/>
              </w:rPr>
              <w:t xml:space="preserve"> </w:t>
            </w:r>
            <w:r w:rsidRPr="00DB6BC4">
              <w:rPr>
                <w:rFonts w:cs="Arial"/>
                <w:sz w:val="20"/>
                <w:szCs w:val="20"/>
                <w:bdr w:val="none" w:sz="0" w:space="0" w:color="auto" w:frame="1"/>
                <w:lang w:val="en-GB" w:eastAsia="en-AU"/>
              </w:rPr>
              <w:t>Wash clothes after performing re-handling activities.</w:t>
            </w:r>
          </w:p>
        </w:tc>
      </w:tr>
      <w:tr w:rsidR="008E67EA" w:rsidRPr="002B5B5B" w14:paraId="60DB0D24" w14:textId="77777777" w:rsidTr="00B44A74">
        <w:trPr>
          <w:jc w:val="center"/>
        </w:trPr>
        <w:tc>
          <w:tcPr>
            <w:tcW w:w="2415" w:type="dxa"/>
            <w:tcBorders>
              <w:top w:val="single" w:sz="4" w:space="0" w:color="auto"/>
              <w:left w:val="nil"/>
              <w:bottom w:val="single" w:sz="4" w:space="0" w:color="auto"/>
              <w:right w:val="nil"/>
            </w:tcBorders>
          </w:tcPr>
          <w:p w14:paraId="0862B00E"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D08ACD4" w14:textId="77777777" w:rsidR="008E67EA" w:rsidRPr="002B5B5B" w:rsidRDefault="008E67EA" w:rsidP="00B44A74">
            <w:pPr>
              <w:spacing w:line="280" w:lineRule="exact"/>
              <w:rPr>
                <w:rFonts w:cs="Arial"/>
                <w:sz w:val="20"/>
                <w:szCs w:val="20"/>
              </w:rPr>
            </w:pPr>
          </w:p>
        </w:tc>
      </w:tr>
      <w:tr w:rsidR="008E67EA" w:rsidRPr="002B5B5B" w14:paraId="6EE963F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E940CE6" w14:textId="77777777" w:rsidR="008E67EA" w:rsidRPr="00F5215F" w:rsidRDefault="008E67EA" w:rsidP="00B44A74">
            <w:pPr>
              <w:spacing w:line="280" w:lineRule="exact"/>
              <w:rPr>
                <w:rFonts w:cs="Arial"/>
                <w:sz w:val="20"/>
                <w:szCs w:val="20"/>
              </w:rPr>
            </w:pPr>
            <w:r w:rsidRPr="00F5215F">
              <w:rPr>
                <w:rFonts w:cs="Arial"/>
                <w:sz w:val="20"/>
                <w:szCs w:val="20"/>
              </w:rPr>
              <w:t>First Aid Instructions:</w:t>
            </w:r>
          </w:p>
        </w:tc>
        <w:tc>
          <w:tcPr>
            <w:tcW w:w="7755" w:type="dxa"/>
            <w:tcBorders>
              <w:top w:val="single" w:sz="4" w:space="0" w:color="auto"/>
              <w:left w:val="single" w:sz="4" w:space="0" w:color="auto"/>
              <w:bottom w:val="single" w:sz="4" w:space="0" w:color="auto"/>
              <w:right w:val="single" w:sz="4" w:space="0" w:color="auto"/>
            </w:tcBorders>
          </w:tcPr>
          <w:p w14:paraId="20BF9FD5" w14:textId="77777777" w:rsidR="008E67EA" w:rsidRPr="00DB6BC4" w:rsidRDefault="008E67EA" w:rsidP="00B44A74">
            <w:pPr>
              <w:spacing w:line="280" w:lineRule="exact"/>
              <w:rPr>
                <w:rFonts w:cs="Arial"/>
                <w:sz w:val="20"/>
                <w:szCs w:val="20"/>
                <w:bdr w:val="none" w:sz="0" w:space="0" w:color="auto" w:frame="1"/>
                <w:lang w:val="en-GB" w:eastAsia="en-AU"/>
              </w:rPr>
            </w:pPr>
            <w:r w:rsidRPr="00DB6BC4">
              <w:rPr>
                <w:rFonts w:cs="Arial"/>
                <w:sz w:val="20"/>
                <w:szCs w:val="20"/>
                <w:bdr w:val="none" w:sz="0" w:space="0" w:color="auto" w:frame="1"/>
                <w:lang w:val="en-GB" w:eastAsia="en-AU"/>
              </w:rPr>
              <w:t>FIRST AID</w:t>
            </w:r>
          </w:p>
          <w:p w14:paraId="726384C5" w14:textId="77777777" w:rsidR="008E67EA" w:rsidRPr="002B5B5B" w:rsidRDefault="008E67EA" w:rsidP="00B44A74">
            <w:pPr>
              <w:spacing w:line="280" w:lineRule="exact"/>
              <w:rPr>
                <w:rFonts w:cs="Arial"/>
                <w:sz w:val="20"/>
                <w:szCs w:val="20"/>
              </w:rPr>
            </w:pPr>
            <w:r w:rsidRPr="00DB6BC4">
              <w:rPr>
                <w:rFonts w:cs="Arial"/>
                <w:sz w:val="20"/>
                <w:szCs w:val="20"/>
                <w:bdr w:val="none" w:sz="0" w:space="0" w:color="auto" w:frame="1"/>
                <w:lang w:val="en-GB" w:eastAsia="en-AU"/>
              </w:rPr>
              <w:t>If poisoning occurs, contact a doctor or Poisons Information Centre. Phone Australia 13 11 26, New Zealand 0800 764 766. Vitamin K1 (Phytomenadione) is antidotal.</w:t>
            </w:r>
          </w:p>
        </w:tc>
      </w:tr>
      <w:tr w:rsidR="008E67EA" w:rsidRPr="002B5B5B" w14:paraId="41813950" w14:textId="77777777" w:rsidTr="00B44A74">
        <w:trPr>
          <w:jc w:val="center"/>
        </w:trPr>
        <w:tc>
          <w:tcPr>
            <w:tcW w:w="2415" w:type="dxa"/>
            <w:tcBorders>
              <w:top w:val="single" w:sz="4" w:space="0" w:color="auto"/>
              <w:left w:val="nil"/>
              <w:bottom w:val="single" w:sz="4" w:space="0" w:color="auto"/>
              <w:right w:val="nil"/>
            </w:tcBorders>
          </w:tcPr>
          <w:p w14:paraId="0AACD1E0"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2FC3B72" w14:textId="77777777" w:rsidR="008E67EA" w:rsidRPr="002B5B5B" w:rsidRDefault="008E67EA" w:rsidP="00B44A74">
            <w:pPr>
              <w:spacing w:line="280" w:lineRule="exact"/>
              <w:rPr>
                <w:rFonts w:cs="Arial"/>
                <w:sz w:val="20"/>
                <w:szCs w:val="20"/>
              </w:rPr>
            </w:pPr>
          </w:p>
        </w:tc>
      </w:tr>
      <w:tr w:rsidR="008E67EA" w:rsidRPr="002B5B5B" w14:paraId="10F366E9"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580950C" w14:textId="77777777" w:rsidR="008E67EA" w:rsidRPr="00F5215F" w:rsidRDefault="008E67EA" w:rsidP="00B44A74">
            <w:pPr>
              <w:spacing w:line="280" w:lineRule="exact"/>
              <w:rPr>
                <w:rFonts w:cs="Arial"/>
                <w:sz w:val="20"/>
                <w:szCs w:val="20"/>
              </w:rPr>
            </w:pPr>
            <w:r w:rsidRPr="00F5215F">
              <w:rPr>
                <w:rFonts w:cs="Arial"/>
                <w:sz w:val="20"/>
                <w:szCs w:val="20"/>
              </w:rPr>
              <w:t>First Aid Warnings:</w:t>
            </w:r>
          </w:p>
        </w:tc>
        <w:tc>
          <w:tcPr>
            <w:tcW w:w="7755" w:type="dxa"/>
            <w:tcBorders>
              <w:top w:val="single" w:sz="4" w:space="0" w:color="auto"/>
              <w:left w:val="single" w:sz="4" w:space="0" w:color="auto"/>
              <w:bottom w:val="single" w:sz="4" w:space="0" w:color="auto"/>
              <w:right w:val="single" w:sz="4" w:space="0" w:color="auto"/>
            </w:tcBorders>
          </w:tcPr>
          <w:p w14:paraId="00E29ED1" w14:textId="77777777" w:rsidR="008E67EA" w:rsidRPr="002B5B5B" w:rsidRDefault="008E67EA" w:rsidP="00B44A74">
            <w:pPr>
              <w:spacing w:line="280" w:lineRule="exact"/>
              <w:rPr>
                <w:rFonts w:cs="Arial"/>
                <w:sz w:val="20"/>
                <w:szCs w:val="20"/>
              </w:rPr>
            </w:pPr>
          </w:p>
        </w:tc>
      </w:tr>
    </w:tbl>
    <w:p w14:paraId="64BFA7D9" w14:textId="77777777" w:rsidR="008E67EA" w:rsidRDefault="008E67EA" w:rsidP="008E67EA"/>
    <w:p w14:paraId="279725CF" w14:textId="77777777" w:rsidR="008E67EA" w:rsidRDefault="008E67EA" w:rsidP="008E67EA">
      <w:pPr>
        <w:spacing w:line="280" w:lineRule="exact"/>
        <w:rPr>
          <w:rFonts w:cs="Arial"/>
          <w:b/>
          <w:bCs/>
          <w:sz w:val="20"/>
          <w:szCs w:val="20"/>
        </w:rPr>
      </w:pPr>
      <w:r w:rsidRPr="00FF36BF">
        <w:rPr>
          <w:rFonts w:cs="Arial"/>
          <w:b/>
          <w:bCs/>
          <w:sz w:val="20"/>
          <w:szCs w:val="20"/>
        </w:rPr>
        <w:t>DIRECTIONS FOR USE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984"/>
        <w:gridCol w:w="1134"/>
        <w:gridCol w:w="3918"/>
      </w:tblGrid>
      <w:tr w:rsidR="008E67EA" w:rsidRPr="00FF36BF" w14:paraId="51C83255" w14:textId="77777777" w:rsidTr="00604F9D">
        <w:trPr>
          <w:trHeight w:val="340"/>
        </w:trPr>
        <w:tc>
          <w:tcPr>
            <w:tcW w:w="1980" w:type="dxa"/>
          </w:tcPr>
          <w:p w14:paraId="6C923CA1" w14:textId="77777777" w:rsidR="008E67EA" w:rsidRPr="00DB6BC4" w:rsidRDefault="008E67EA" w:rsidP="00B44A74">
            <w:pPr>
              <w:spacing w:line="280" w:lineRule="exact"/>
              <w:rPr>
                <w:rFonts w:cs="Arial"/>
                <w:b/>
                <w:bCs/>
                <w:szCs w:val="18"/>
              </w:rPr>
            </w:pPr>
            <w:r w:rsidRPr="00DB6BC4">
              <w:rPr>
                <w:rFonts w:cs="Arial"/>
                <w:b/>
                <w:bCs/>
                <w:szCs w:val="18"/>
              </w:rPr>
              <w:t>SITUATION</w:t>
            </w:r>
          </w:p>
        </w:tc>
        <w:tc>
          <w:tcPr>
            <w:tcW w:w="1984" w:type="dxa"/>
          </w:tcPr>
          <w:p w14:paraId="412CE2CD" w14:textId="77777777" w:rsidR="008E67EA" w:rsidRPr="00DB6BC4" w:rsidRDefault="008E67EA" w:rsidP="00B44A74">
            <w:pPr>
              <w:spacing w:line="280" w:lineRule="exact"/>
              <w:rPr>
                <w:rFonts w:cs="Arial"/>
                <w:b/>
                <w:bCs/>
                <w:szCs w:val="18"/>
              </w:rPr>
            </w:pPr>
            <w:r w:rsidRPr="00DB6BC4">
              <w:rPr>
                <w:rFonts w:cs="Arial"/>
                <w:b/>
                <w:bCs/>
                <w:szCs w:val="18"/>
              </w:rPr>
              <w:t>PEST</w:t>
            </w:r>
          </w:p>
        </w:tc>
        <w:tc>
          <w:tcPr>
            <w:tcW w:w="1134" w:type="dxa"/>
          </w:tcPr>
          <w:p w14:paraId="7205A51E" w14:textId="77777777" w:rsidR="008E67EA" w:rsidRPr="00DB6BC4" w:rsidRDefault="008E67EA" w:rsidP="00B44A74">
            <w:pPr>
              <w:spacing w:line="280" w:lineRule="exact"/>
              <w:rPr>
                <w:rFonts w:cs="Arial"/>
                <w:b/>
                <w:bCs/>
                <w:szCs w:val="18"/>
              </w:rPr>
            </w:pPr>
            <w:r w:rsidRPr="00DB6BC4">
              <w:rPr>
                <w:rFonts w:cs="Arial"/>
                <w:b/>
                <w:bCs/>
                <w:szCs w:val="18"/>
              </w:rPr>
              <w:t>RATE</w:t>
            </w:r>
          </w:p>
        </w:tc>
        <w:tc>
          <w:tcPr>
            <w:tcW w:w="3918" w:type="dxa"/>
          </w:tcPr>
          <w:p w14:paraId="5D9C5726" w14:textId="77777777" w:rsidR="008E67EA" w:rsidRPr="00DB6BC4" w:rsidRDefault="008E67EA" w:rsidP="00B44A74">
            <w:pPr>
              <w:spacing w:line="280" w:lineRule="exact"/>
              <w:rPr>
                <w:rFonts w:cs="Arial"/>
                <w:b/>
                <w:bCs/>
                <w:szCs w:val="18"/>
              </w:rPr>
            </w:pPr>
            <w:r w:rsidRPr="00DB6BC4">
              <w:rPr>
                <w:rFonts w:cs="Arial"/>
                <w:b/>
                <w:bCs/>
                <w:szCs w:val="18"/>
              </w:rPr>
              <w:t>CRITICAL COMMENTS</w:t>
            </w:r>
          </w:p>
        </w:tc>
      </w:tr>
      <w:tr w:rsidR="008E67EA" w:rsidRPr="00FF36BF" w14:paraId="5D9AF131" w14:textId="77777777" w:rsidTr="00604F9D">
        <w:trPr>
          <w:trHeight w:val="841"/>
        </w:trPr>
        <w:tc>
          <w:tcPr>
            <w:tcW w:w="1980" w:type="dxa"/>
          </w:tcPr>
          <w:p w14:paraId="083FC571" w14:textId="77777777" w:rsidR="008E67EA" w:rsidRDefault="008E67EA" w:rsidP="00B44A74">
            <w:pPr>
              <w:spacing w:after="120" w:line="240" w:lineRule="exact"/>
              <w:rPr>
                <w:rFonts w:cs="Arial"/>
                <w:bCs/>
                <w:spacing w:val="-2"/>
                <w:w w:val="105"/>
                <w:szCs w:val="18"/>
              </w:rPr>
            </w:pPr>
            <w:r w:rsidRPr="00DB6BC4">
              <w:rPr>
                <w:rFonts w:cs="Arial"/>
                <w:bCs/>
                <w:spacing w:val="-2"/>
                <w:w w:val="105"/>
                <w:szCs w:val="18"/>
              </w:rPr>
              <w:t xml:space="preserve">In and around </w:t>
            </w:r>
            <w:r>
              <w:rPr>
                <w:rFonts w:cs="Arial"/>
                <w:bCs/>
                <w:spacing w:val="-2"/>
                <w:w w:val="105"/>
                <w:szCs w:val="18"/>
              </w:rPr>
              <w:t xml:space="preserve">(within 2 m) </w:t>
            </w:r>
            <w:r w:rsidRPr="00DB6BC4">
              <w:rPr>
                <w:rFonts w:cs="Arial"/>
                <w:bCs/>
                <w:spacing w:val="-2"/>
                <w:w w:val="105"/>
                <w:szCs w:val="18"/>
              </w:rPr>
              <w:t>industrial, commercial,</w:t>
            </w:r>
            <w:r>
              <w:rPr>
                <w:rFonts w:cs="Arial"/>
                <w:bCs/>
                <w:spacing w:val="-2"/>
                <w:w w:val="105"/>
                <w:szCs w:val="18"/>
              </w:rPr>
              <w:t xml:space="preserve"> </w:t>
            </w:r>
            <w:r w:rsidRPr="00DB6BC4">
              <w:rPr>
                <w:rFonts w:cs="Arial"/>
                <w:bCs/>
                <w:spacing w:val="-2"/>
                <w:w w:val="105"/>
                <w:szCs w:val="18"/>
              </w:rPr>
              <w:t>agricultural, domestic, and public service buildings</w:t>
            </w:r>
            <w:r>
              <w:rPr>
                <w:rFonts w:cs="Arial"/>
                <w:bCs/>
                <w:spacing w:val="-2"/>
                <w:w w:val="105"/>
                <w:szCs w:val="18"/>
              </w:rPr>
              <w:t>.</w:t>
            </w:r>
          </w:p>
          <w:p w14:paraId="11863C5F" w14:textId="77777777" w:rsidR="008E67EA" w:rsidRDefault="008E67EA" w:rsidP="00B44A74">
            <w:pPr>
              <w:spacing w:after="120" w:line="240" w:lineRule="exact"/>
              <w:rPr>
                <w:rFonts w:cs="Arial"/>
                <w:bCs/>
                <w:spacing w:val="-2"/>
                <w:w w:val="105"/>
                <w:szCs w:val="18"/>
              </w:rPr>
            </w:pPr>
            <w:r>
              <w:rPr>
                <w:rFonts w:cs="Arial"/>
                <w:bCs/>
                <w:spacing w:val="-2"/>
                <w:w w:val="105"/>
                <w:szCs w:val="18"/>
              </w:rPr>
              <w:t>I</w:t>
            </w:r>
            <w:r w:rsidRPr="00DB6BC4">
              <w:rPr>
                <w:rFonts w:cs="Arial"/>
                <w:bCs/>
                <w:spacing w:val="-2"/>
                <w:w w:val="105"/>
                <w:szCs w:val="18"/>
              </w:rPr>
              <w:t>n sewers, animal houses</w:t>
            </w:r>
            <w:r>
              <w:rPr>
                <w:rFonts w:cs="Arial"/>
                <w:bCs/>
                <w:spacing w:val="-2"/>
                <w:w w:val="105"/>
                <w:szCs w:val="18"/>
              </w:rPr>
              <w:t xml:space="preserve"> and</w:t>
            </w:r>
            <w:r w:rsidRPr="00DB6BC4">
              <w:rPr>
                <w:rFonts w:cs="Arial"/>
                <w:bCs/>
                <w:spacing w:val="-2"/>
                <w:w w:val="105"/>
                <w:szCs w:val="18"/>
              </w:rPr>
              <w:t xml:space="preserve"> wharves</w:t>
            </w:r>
            <w:r>
              <w:rPr>
                <w:rFonts w:cs="Arial"/>
                <w:bCs/>
                <w:spacing w:val="-2"/>
                <w:w w:val="105"/>
                <w:szCs w:val="18"/>
              </w:rPr>
              <w:t>.</w:t>
            </w:r>
          </w:p>
          <w:p w14:paraId="65C6C474" w14:textId="77777777" w:rsidR="008E67EA" w:rsidRPr="00DB6BC4" w:rsidRDefault="008E67EA" w:rsidP="00B44A74">
            <w:pPr>
              <w:spacing w:after="120" w:line="240" w:lineRule="exact"/>
              <w:rPr>
                <w:rFonts w:cs="Arial"/>
                <w:bCs/>
                <w:spacing w:val="-2"/>
                <w:w w:val="105"/>
                <w:szCs w:val="18"/>
              </w:rPr>
            </w:pPr>
            <w:r>
              <w:rPr>
                <w:rFonts w:cs="Arial"/>
                <w:bCs/>
                <w:spacing w:val="-2"/>
                <w:w w:val="105"/>
                <w:szCs w:val="18"/>
              </w:rPr>
              <w:t>A</w:t>
            </w:r>
            <w:r w:rsidRPr="00DB6BC4">
              <w:rPr>
                <w:rFonts w:cs="Arial"/>
                <w:bCs/>
                <w:spacing w:val="-2"/>
                <w:w w:val="105"/>
                <w:szCs w:val="18"/>
              </w:rPr>
              <w:t xml:space="preserve">round </w:t>
            </w:r>
            <w:r>
              <w:rPr>
                <w:rFonts w:cs="Arial"/>
                <w:bCs/>
                <w:spacing w:val="-2"/>
                <w:w w:val="105"/>
                <w:szCs w:val="18"/>
              </w:rPr>
              <w:t xml:space="preserve">(within 2 m) </w:t>
            </w:r>
            <w:r w:rsidRPr="00DB6BC4">
              <w:rPr>
                <w:rFonts w:cs="Arial"/>
                <w:bCs/>
                <w:spacing w:val="-2"/>
                <w:w w:val="105"/>
                <w:szCs w:val="18"/>
              </w:rPr>
              <w:t>grain</w:t>
            </w:r>
            <w:r>
              <w:rPr>
                <w:rFonts w:cs="Arial"/>
                <w:bCs/>
                <w:spacing w:val="-2"/>
                <w:w w:val="105"/>
                <w:szCs w:val="18"/>
              </w:rPr>
              <w:t xml:space="preserve"> </w:t>
            </w:r>
            <w:r w:rsidRPr="00DB6BC4">
              <w:rPr>
                <w:rFonts w:cs="Arial"/>
                <w:bCs/>
                <w:spacing w:val="-2"/>
                <w:w w:val="105"/>
                <w:szCs w:val="18"/>
              </w:rPr>
              <w:t>terminals</w:t>
            </w:r>
          </w:p>
        </w:tc>
        <w:tc>
          <w:tcPr>
            <w:tcW w:w="1984" w:type="dxa"/>
          </w:tcPr>
          <w:p w14:paraId="156B7BF9" w14:textId="77777777" w:rsidR="008E67EA" w:rsidRDefault="008E67EA" w:rsidP="00B44A74">
            <w:pPr>
              <w:spacing w:after="120" w:line="240" w:lineRule="exact"/>
              <w:rPr>
                <w:rFonts w:cs="Arial"/>
                <w:bCs/>
                <w:spacing w:val="-2"/>
                <w:w w:val="105"/>
                <w:szCs w:val="18"/>
              </w:rPr>
            </w:pPr>
            <w:r w:rsidRPr="00DB6BC4">
              <w:rPr>
                <w:rFonts w:cs="Arial"/>
                <w:bCs/>
                <w:spacing w:val="-2"/>
                <w:w w:val="105"/>
                <w:szCs w:val="18"/>
              </w:rPr>
              <w:t>Rats –</w:t>
            </w:r>
          </w:p>
          <w:p w14:paraId="577FAD2A" w14:textId="77777777" w:rsidR="008E67EA" w:rsidRPr="00DB6BC4" w:rsidRDefault="008E67EA" w:rsidP="00B44A74">
            <w:pPr>
              <w:spacing w:after="120" w:line="240" w:lineRule="exact"/>
              <w:rPr>
                <w:rFonts w:cs="Arial"/>
                <w:bCs/>
                <w:spacing w:val="-2"/>
                <w:w w:val="105"/>
                <w:szCs w:val="18"/>
              </w:rPr>
            </w:pPr>
            <w:r w:rsidRPr="007053EC">
              <w:rPr>
                <w:rFonts w:cs="Arial"/>
                <w:bCs/>
                <w:i/>
                <w:iCs/>
                <w:spacing w:val="-2"/>
                <w:w w:val="105"/>
                <w:szCs w:val="18"/>
              </w:rPr>
              <w:t xml:space="preserve">Rattus rattus </w:t>
            </w:r>
            <w:r w:rsidRPr="00DB6BC4">
              <w:rPr>
                <w:rFonts w:cs="Arial"/>
                <w:bCs/>
                <w:spacing w:val="-2"/>
                <w:w w:val="105"/>
                <w:szCs w:val="18"/>
              </w:rPr>
              <w:t>also known as Black rat, Roof,</w:t>
            </w:r>
            <w:r>
              <w:rPr>
                <w:rFonts w:cs="Arial"/>
                <w:bCs/>
                <w:spacing w:val="-2"/>
                <w:w w:val="105"/>
                <w:szCs w:val="18"/>
              </w:rPr>
              <w:t xml:space="preserve"> </w:t>
            </w:r>
            <w:r w:rsidRPr="00DB6BC4">
              <w:rPr>
                <w:rFonts w:cs="Arial"/>
                <w:bCs/>
                <w:spacing w:val="-2"/>
                <w:w w:val="105"/>
                <w:szCs w:val="18"/>
              </w:rPr>
              <w:t>rat, Ship rat or Fruit rat and</w:t>
            </w:r>
          </w:p>
          <w:p w14:paraId="5822F674" w14:textId="77777777" w:rsidR="008E67EA" w:rsidRPr="00DB6BC4" w:rsidRDefault="008E67EA" w:rsidP="00B44A74">
            <w:pPr>
              <w:spacing w:after="120" w:line="240" w:lineRule="exact"/>
              <w:rPr>
                <w:rFonts w:cs="Arial"/>
                <w:bCs/>
                <w:spacing w:val="-2"/>
                <w:w w:val="105"/>
                <w:szCs w:val="18"/>
              </w:rPr>
            </w:pPr>
            <w:r w:rsidRPr="007053EC">
              <w:rPr>
                <w:rFonts w:cs="Arial"/>
                <w:bCs/>
                <w:i/>
                <w:iCs/>
                <w:spacing w:val="-2"/>
                <w:w w:val="105"/>
                <w:szCs w:val="18"/>
              </w:rPr>
              <w:t>Rattus norvegicus</w:t>
            </w:r>
            <w:r>
              <w:rPr>
                <w:rFonts w:cs="Arial"/>
                <w:bCs/>
                <w:spacing w:val="-2"/>
                <w:w w:val="105"/>
                <w:szCs w:val="18"/>
              </w:rPr>
              <w:t xml:space="preserve"> </w:t>
            </w:r>
            <w:r w:rsidRPr="00DB6BC4">
              <w:rPr>
                <w:rFonts w:cs="Arial"/>
                <w:bCs/>
                <w:spacing w:val="-2"/>
                <w:w w:val="105"/>
                <w:szCs w:val="18"/>
              </w:rPr>
              <w:t>also known as the Brown rat or Norway rat</w:t>
            </w:r>
          </w:p>
        </w:tc>
        <w:tc>
          <w:tcPr>
            <w:tcW w:w="1134" w:type="dxa"/>
          </w:tcPr>
          <w:p w14:paraId="007F52A9" w14:textId="5B4C23A3" w:rsidR="008E67EA" w:rsidRPr="00DB6BC4" w:rsidRDefault="008E67EA" w:rsidP="00604F9D">
            <w:pPr>
              <w:spacing w:after="120" w:line="240" w:lineRule="exact"/>
              <w:rPr>
                <w:rFonts w:cs="Arial"/>
                <w:bCs/>
                <w:spacing w:val="-2"/>
                <w:w w:val="105"/>
                <w:szCs w:val="18"/>
              </w:rPr>
            </w:pPr>
            <w:r w:rsidRPr="00DB6BC4">
              <w:rPr>
                <w:rFonts w:cs="Arial"/>
                <w:bCs/>
                <w:spacing w:val="-2"/>
                <w:w w:val="105"/>
                <w:szCs w:val="18"/>
              </w:rPr>
              <w:t xml:space="preserve">3 – 5 </w:t>
            </w:r>
            <w:r>
              <w:rPr>
                <w:rFonts w:cs="Arial"/>
                <w:bCs/>
                <w:spacing w:val="-2"/>
                <w:w w:val="105"/>
                <w:szCs w:val="18"/>
              </w:rPr>
              <w:t>baits</w:t>
            </w:r>
            <w:r w:rsidRPr="00DB6BC4">
              <w:rPr>
                <w:rFonts w:cs="Arial"/>
                <w:bCs/>
                <w:spacing w:val="-2"/>
                <w:w w:val="105"/>
                <w:szCs w:val="18"/>
              </w:rPr>
              <w:t xml:space="preserve"> </w:t>
            </w:r>
            <w:r>
              <w:rPr>
                <w:rFonts w:cs="Arial"/>
                <w:bCs/>
                <w:spacing w:val="-2"/>
                <w:w w:val="105"/>
                <w:szCs w:val="18"/>
              </w:rPr>
              <w:t>per bait station</w:t>
            </w:r>
          </w:p>
        </w:tc>
        <w:tc>
          <w:tcPr>
            <w:tcW w:w="3918" w:type="dxa"/>
          </w:tcPr>
          <w:p w14:paraId="2F92C568" w14:textId="77777777" w:rsidR="008E67EA" w:rsidRPr="00982477" w:rsidRDefault="008E67EA" w:rsidP="00B44A74">
            <w:pPr>
              <w:spacing w:after="120" w:line="240" w:lineRule="exact"/>
              <w:rPr>
                <w:rFonts w:cs="Arial"/>
                <w:bCs/>
                <w:spacing w:val="-2"/>
                <w:w w:val="105"/>
                <w:szCs w:val="18"/>
              </w:rPr>
            </w:pPr>
            <w:r w:rsidRPr="00982477">
              <w:rPr>
                <w:rFonts w:cs="Arial"/>
                <w:bCs/>
                <w:spacing w:val="-2"/>
                <w:w w:val="105"/>
                <w:szCs w:val="18"/>
              </w:rPr>
              <w:t>Place baits in areas frequently by rats. Baits should be placed in areas inaccessible to non-target species. Select suitable bait locations, such as along rat runs and under rubbish. Try to establish a barrier of bait locations between living and feeding areas.</w:t>
            </w:r>
          </w:p>
          <w:p w14:paraId="2CAC0079" w14:textId="77777777" w:rsidR="008E67EA" w:rsidRPr="00AF79D7" w:rsidRDefault="008E67EA" w:rsidP="00B44A74">
            <w:pPr>
              <w:spacing w:after="120" w:line="240" w:lineRule="exact"/>
              <w:rPr>
                <w:rFonts w:cs="Arial"/>
                <w:bCs/>
                <w:spacing w:val="-2"/>
                <w:w w:val="105"/>
                <w:szCs w:val="18"/>
              </w:rPr>
            </w:pPr>
            <w:r w:rsidRPr="00982477">
              <w:rPr>
                <w:rFonts w:cs="Arial"/>
                <w:bCs/>
                <w:spacing w:val="-2"/>
                <w:w w:val="105"/>
                <w:szCs w:val="18"/>
              </w:rPr>
              <w:t xml:space="preserve">See baiting strategy instructions below. </w:t>
            </w:r>
          </w:p>
        </w:tc>
      </w:tr>
      <w:tr w:rsidR="008E67EA" w:rsidRPr="00FF36BF" w14:paraId="1B44CD69" w14:textId="77777777" w:rsidTr="00604F9D">
        <w:trPr>
          <w:trHeight w:val="841"/>
        </w:trPr>
        <w:tc>
          <w:tcPr>
            <w:tcW w:w="1980" w:type="dxa"/>
          </w:tcPr>
          <w:p w14:paraId="1C23D515" w14:textId="77777777" w:rsidR="008E67EA" w:rsidRDefault="008E67EA" w:rsidP="00B44A74">
            <w:pPr>
              <w:spacing w:after="120" w:line="240" w:lineRule="exact"/>
              <w:rPr>
                <w:rFonts w:cs="Arial"/>
                <w:bCs/>
                <w:spacing w:val="-2"/>
                <w:w w:val="105"/>
                <w:szCs w:val="18"/>
              </w:rPr>
            </w:pPr>
            <w:r w:rsidRPr="007053EC">
              <w:rPr>
                <w:rFonts w:cs="Arial"/>
                <w:bCs/>
                <w:spacing w:val="-2"/>
                <w:w w:val="105"/>
                <w:szCs w:val="18"/>
              </w:rPr>
              <w:t>In industrial, commercial, agricultural, domestic, and public service buildings</w:t>
            </w:r>
            <w:r>
              <w:rPr>
                <w:rFonts w:cs="Arial"/>
                <w:bCs/>
                <w:spacing w:val="-2"/>
                <w:w w:val="105"/>
                <w:szCs w:val="18"/>
              </w:rPr>
              <w:t>.</w:t>
            </w:r>
          </w:p>
          <w:p w14:paraId="25B2548E" w14:textId="77777777" w:rsidR="008E67EA" w:rsidRPr="00DB6BC4" w:rsidRDefault="008E67EA" w:rsidP="00B44A74">
            <w:pPr>
              <w:spacing w:after="120" w:line="240" w:lineRule="exact"/>
              <w:rPr>
                <w:rFonts w:cs="Arial"/>
                <w:bCs/>
                <w:spacing w:val="-2"/>
                <w:w w:val="105"/>
                <w:szCs w:val="18"/>
              </w:rPr>
            </w:pPr>
            <w:r>
              <w:rPr>
                <w:rFonts w:cs="Arial"/>
                <w:bCs/>
                <w:spacing w:val="-2"/>
                <w:w w:val="105"/>
                <w:szCs w:val="18"/>
              </w:rPr>
              <w:t>I</w:t>
            </w:r>
            <w:r w:rsidRPr="00DB6BC4">
              <w:rPr>
                <w:rFonts w:cs="Arial"/>
                <w:bCs/>
                <w:spacing w:val="-2"/>
                <w:w w:val="105"/>
                <w:szCs w:val="18"/>
              </w:rPr>
              <w:t>n sewers, animal houses</w:t>
            </w:r>
            <w:r>
              <w:rPr>
                <w:rFonts w:cs="Arial"/>
                <w:bCs/>
                <w:spacing w:val="-2"/>
                <w:w w:val="105"/>
                <w:szCs w:val="18"/>
              </w:rPr>
              <w:t xml:space="preserve"> and</w:t>
            </w:r>
            <w:r w:rsidRPr="00DB6BC4">
              <w:rPr>
                <w:rFonts w:cs="Arial"/>
                <w:bCs/>
                <w:spacing w:val="-2"/>
                <w:w w:val="105"/>
                <w:szCs w:val="18"/>
              </w:rPr>
              <w:t xml:space="preserve"> wharves</w:t>
            </w:r>
          </w:p>
        </w:tc>
        <w:tc>
          <w:tcPr>
            <w:tcW w:w="1984" w:type="dxa"/>
          </w:tcPr>
          <w:p w14:paraId="4562A1D4" w14:textId="77777777" w:rsidR="008E67EA" w:rsidRPr="00DB6BC4" w:rsidRDefault="008E67EA" w:rsidP="00B44A74">
            <w:pPr>
              <w:spacing w:after="120" w:line="240" w:lineRule="exact"/>
              <w:rPr>
                <w:rFonts w:cs="Arial"/>
                <w:bCs/>
                <w:spacing w:val="-2"/>
                <w:w w:val="105"/>
                <w:szCs w:val="18"/>
              </w:rPr>
            </w:pPr>
            <w:r w:rsidRPr="00DB6BC4">
              <w:rPr>
                <w:rFonts w:cs="Arial"/>
                <w:bCs/>
                <w:spacing w:val="-2"/>
                <w:w w:val="105"/>
                <w:szCs w:val="18"/>
              </w:rPr>
              <w:t>Mice –</w:t>
            </w:r>
          </w:p>
          <w:p w14:paraId="04890DB5" w14:textId="12FFFB0F" w:rsidR="008E67EA" w:rsidRPr="00DB6BC4" w:rsidRDefault="008E67EA" w:rsidP="00604F9D">
            <w:pPr>
              <w:spacing w:after="120" w:line="240" w:lineRule="exact"/>
              <w:rPr>
                <w:rFonts w:cs="Arial"/>
                <w:bCs/>
                <w:spacing w:val="-2"/>
                <w:w w:val="105"/>
                <w:szCs w:val="18"/>
              </w:rPr>
            </w:pPr>
            <w:r w:rsidRPr="00AF79D7">
              <w:rPr>
                <w:rFonts w:cs="Arial"/>
                <w:bCs/>
                <w:i/>
                <w:iCs/>
                <w:spacing w:val="-2"/>
                <w:w w:val="105"/>
                <w:szCs w:val="18"/>
              </w:rPr>
              <w:t>Mus musculus</w:t>
            </w:r>
            <w:r>
              <w:rPr>
                <w:rFonts w:cs="Arial"/>
                <w:bCs/>
                <w:spacing w:val="-2"/>
                <w:w w:val="105"/>
                <w:szCs w:val="18"/>
              </w:rPr>
              <w:t xml:space="preserve"> </w:t>
            </w:r>
            <w:r w:rsidRPr="00DB6BC4">
              <w:rPr>
                <w:rFonts w:cs="Arial"/>
                <w:bCs/>
                <w:spacing w:val="-2"/>
                <w:w w:val="105"/>
                <w:szCs w:val="18"/>
              </w:rPr>
              <w:t>also known as</w:t>
            </w:r>
            <w:r>
              <w:rPr>
                <w:rFonts w:cs="Arial"/>
                <w:bCs/>
                <w:spacing w:val="-2"/>
                <w:w w:val="105"/>
                <w:szCs w:val="18"/>
              </w:rPr>
              <w:t xml:space="preserve"> </w:t>
            </w:r>
            <w:r w:rsidRPr="00DB6BC4">
              <w:rPr>
                <w:rFonts w:cs="Arial"/>
                <w:bCs/>
                <w:spacing w:val="-2"/>
                <w:w w:val="105"/>
                <w:szCs w:val="18"/>
              </w:rPr>
              <w:t>the House</w:t>
            </w:r>
            <w:r>
              <w:rPr>
                <w:rFonts w:cs="Arial"/>
                <w:bCs/>
                <w:spacing w:val="-2"/>
                <w:w w:val="105"/>
                <w:szCs w:val="18"/>
              </w:rPr>
              <w:t xml:space="preserve"> </w:t>
            </w:r>
            <w:r w:rsidRPr="00DB6BC4">
              <w:rPr>
                <w:rFonts w:cs="Arial"/>
                <w:bCs/>
                <w:spacing w:val="-2"/>
                <w:w w:val="105"/>
                <w:szCs w:val="18"/>
              </w:rPr>
              <w:t>mouse</w:t>
            </w:r>
          </w:p>
        </w:tc>
        <w:tc>
          <w:tcPr>
            <w:tcW w:w="1134" w:type="dxa"/>
          </w:tcPr>
          <w:p w14:paraId="18DF9513" w14:textId="77777777" w:rsidR="008E67EA" w:rsidRPr="00DB6BC4" w:rsidRDefault="008E67EA" w:rsidP="00B44A74">
            <w:pPr>
              <w:spacing w:after="120" w:line="240" w:lineRule="exact"/>
              <w:rPr>
                <w:rFonts w:cs="Arial"/>
                <w:bCs/>
                <w:spacing w:val="-2"/>
                <w:w w:val="105"/>
                <w:szCs w:val="18"/>
              </w:rPr>
            </w:pPr>
            <w:r w:rsidRPr="00DB6BC4">
              <w:rPr>
                <w:rFonts w:cs="Arial"/>
                <w:bCs/>
                <w:spacing w:val="-2"/>
                <w:w w:val="105"/>
                <w:szCs w:val="18"/>
              </w:rPr>
              <w:t xml:space="preserve">1 </w:t>
            </w:r>
            <w:r>
              <w:rPr>
                <w:rFonts w:cs="Arial"/>
                <w:bCs/>
                <w:spacing w:val="-2"/>
                <w:w w:val="105"/>
                <w:szCs w:val="18"/>
              </w:rPr>
              <w:t>–</w:t>
            </w:r>
            <w:r w:rsidRPr="00DB6BC4">
              <w:rPr>
                <w:rFonts w:cs="Arial"/>
                <w:bCs/>
                <w:spacing w:val="-2"/>
                <w:w w:val="105"/>
                <w:szCs w:val="18"/>
              </w:rPr>
              <w:t xml:space="preserve"> 3</w:t>
            </w:r>
            <w:r>
              <w:rPr>
                <w:rFonts w:cs="Arial"/>
                <w:bCs/>
                <w:spacing w:val="-2"/>
                <w:w w:val="105"/>
                <w:szCs w:val="18"/>
              </w:rPr>
              <w:t xml:space="preserve"> baits per bait station</w:t>
            </w:r>
          </w:p>
        </w:tc>
        <w:tc>
          <w:tcPr>
            <w:tcW w:w="3918" w:type="dxa"/>
          </w:tcPr>
          <w:p w14:paraId="5466B5D8" w14:textId="77777777" w:rsidR="008E67EA" w:rsidRPr="00982477" w:rsidRDefault="008E67EA" w:rsidP="00B44A74">
            <w:pPr>
              <w:spacing w:after="120" w:line="240" w:lineRule="exact"/>
              <w:rPr>
                <w:rFonts w:cs="Arial"/>
                <w:bCs/>
                <w:spacing w:val="-2"/>
                <w:w w:val="105"/>
                <w:szCs w:val="18"/>
              </w:rPr>
            </w:pPr>
            <w:r w:rsidRPr="00982477">
              <w:rPr>
                <w:rFonts w:cs="Arial"/>
                <w:bCs/>
                <w:spacing w:val="-2"/>
                <w:w w:val="105"/>
                <w:szCs w:val="18"/>
              </w:rPr>
              <w:t>Place baits in areas frequently by mice. Secure soft baits in areas inaccessible to non-target species, spaced 2 - 3 meters apart. Bait locations should be in areas where activity is obvious, particularly where droppings are seen.</w:t>
            </w:r>
          </w:p>
          <w:p w14:paraId="035B054D" w14:textId="77777777" w:rsidR="008E67EA" w:rsidRPr="00982477" w:rsidRDefault="008E67EA" w:rsidP="00B44A74">
            <w:pPr>
              <w:spacing w:after="120" w:line="240" w:lineRule="exact"/>
              <w:rPr>
                <w:rFonts w:cs="Arial"/>
                <w:bCs/>
                <w:spacing w:val="-2"/>
                <w:w w:val="105"/>
                <w:szCs w:val="18"/>
              </w:rPr>
            </w:pPr>
            <w:r w:rsidRPr="00982477">
              <w:rPr>
                <w:rFonts w:cs="Arial"/>
                <w:bCs/>
                <w:spacing w:val="-2"/>
                <w:w w:val="105"/>
                <w:szCs w:val="18"/>
              </w:rPr>
              <w:t xml:space="preserve">Mice have very limited home ranges and do not need to drink. They are more difficult to control than rats because their feeding patterns are more erratic. Selection of bait locations is therefore even more important than for rats. </w:t>
            </w:r>
          </w:p>
          <w:p w14:paraId="55E708AE" w14:textId="77777777" w:rsidR="008E67EA" w:rsidRPr="00AF79D7" w:rsidRDefault="008E67EA" w:rsidP="00B44A74">
            <w:pPr>
              <w:spacing w:after="120" w:line="240" w:lineRule="exact"/>
              <w:rPr>
                <w:rFonts w:cs="Arial"/>
                <w:bCs/>
                <w:spacing w:val="-2"/>
                <w:w w:val="105"/>
                <w:szCs w:val="18"/>
              </w:rPr>
            </w:pPr>
            <w:r w:rsidRPr="00982477">
              <w:rPr>
                <w:rFonts w:cs="Arial"/>
                <w:bCs/>
                <w:spacing w:val="-2"/>
                <w:w w:val="105"/>
                <w:szCs w:val="18"/>
              </w:rPr>
              <w:t xml:space="preserve">See baiting strategy instructions below. </w:t>
            </w:r>
          </w:p>
        </w:tc>
      </w:tr>
    </w:tbl>
    <w:p w14:paraId="3988F296" w14:textId="77777777" w:rsidR="008E67EA" w:rsidRDefault="008E67EA" w:rsidP="008E67EA">
      <w:pPr>
        <w:spacing w:line="280" w:lineRule="exact"/>
        <w:rPr>
          <w:rFonts w:cs="Arial"/>
          <w:b/>
          <w:bCs/>
          <w:sz w:val="20"/>
          <w:szCs w:val="20"/>
        </w:rPr>
      </w:pPr>
    </w:p>
    <w:p w14:paraId="55CF3C3B" w14:textId="77777777" w:rsidR="008E67EA" w:rsidRPr="00867EDB" w:rsidRDefault="008E67EA" w:rsidP="008E67EA">
      <w:pPr>
        <w:spacing w:line="280" w:lineRule="exact"/>
        <w:rPr>
          <w:rFonts w:cs="Arial"/>
          <w:b/>
          <w:bCs/>
          <w:color w:val="000000" w:themeColor="text1"/>
          <w:sz w:val="20"/>
          <w:szCs w:val="20"/>
        </w:rPr>
      </w:pPr>
      <w:r w:rsidRPr="00867EDB">
        <w:rPr>
          <w:rFonts w:cs="Arial"/>
          <w:b/>
          <w:bCs/>
          <w:color w:val="000000" w:themeColor="text1"/>
          <w:sz w:val="20"/>
          <w:szCs w:val="20"/>
        </w:rPr>
        <w:t>Baiting Strategy</w:t>
      </w:r>
    </w:p>
    <w:p w14:paraId="0A46982D" w14:textId="014F35EF" w:rsidR="008E67EA" w:rsidRDefault="008E67EA" w:rsidP="008E67EA">
      <w:pPr>
        <w:spacing w:after="120" w:line="280" w:lineRule="exact"/>
        <w:rPr>
          <w:rFonts w:eastAsia="Calibri" w:cs="Arial"/>
          <w:sz w:val="20"/>
          <w:szCs w:val="20"/>
          <w:bdr w:val="none" w:sz="0" w:space="0" w:color="auto" w:frame="1"/>
          <w:lang w:val="en-GB" w:eastAsia="en-AU"/>
        </w:rPr>
      </w:pPr>
      <w:r w:rsidRPr="00982477">
        <w:rPr>
          <w:rFonts w:eastAsia="Calibri" w:cs="Arial"/>
          <w:sz w:val="20"/>
          <w:szCs w:val="20"/>
          <w:bdr w:val="none" w:sz="0" w:space="0" w:color="auto" w:frame="1"/>
          <w:lang w:val="en-GB" w:eastAsia="en-AU"/>
        </w:rPr>
        <w:t>Survey site prior to treatment, including assessment of the extent of infestation and identification of any indications of the presence of non-target animals.</w:t>
      </w:r>
    </w:p>
    <w:p w14:paraId="5148A9AC" w14:textId="77777777" w:rsidR="008E67EA" w:rsidRPr="00982477" w:rsidRDefault="008E67EA" w:rsidP="008E67EA">
      <w:pPr>
        <w:spacing w:after="120" w:line="280" w:lineRule="exact"/>
        <w:rPr>
          <w:rFonts w:eastAsia="Calibri" w:cs="Arial"/>
          <w:sz w:val="20"/>
          <w:szCs w:val="20"/>
          <w:bdr w:val="none" w:sz="0" w:space="0" w:color="auto" w:frame="1"/>
          <w:lang w:val="en-GB" w:eastAsia="en-AU"/>
        </w:rPr>
      </w:pPr>
      <w:r w:rsidRPr="00F66DEE">
        <w:rPr>
          <w:rFonts w:eastAsia="Calibri" w:cs="Arial"/>
          <w:sz w:val="20"/>
          <w:szCs w:val="20"/>
          <w:bdr w:val="none" w:sz="0" w:space="0" w:color="auto" w:frame="1"/>
          <w:lang w:val="en-GB" w:eastAsia="en-AU"/>
        </w:rPr>
        <w:t>Record the number and locations of bait stations for the purpose of inspection, replacement and later removal.</w:t>
      </w:r>
      <w:r>
        <w:rPr>
          <w:rFonts w:eastAsia="Calibri" w:cs="Arial"/>
          <w:sz w:val="20"/>
          <w:szCs w:val="20"/>
          <w:bdr w:val="none" w:sz="0" w:space="0" w:color="auto" w:frame="1"/>
          <w:lang w:val="en-GB" w:eastAsia="en-AU"/>
        </w:rPr>
        <w:t xml:space="preserve"> </w:t>
      </w:r>
      <w:r w:rsidRPr="00982477">
        <w:rPr>
          <w:rFonts w:eastAsia="Calibri" w:cs="Arial"/>
          <w:sz w:val="20"/>
          <w:szCs w:val="20"/>
          <w:bdr w:val="none" w:sz="0" w:space="0" w:color="auto" w:frame="1"/>
          <w:lang w:val="en-GB" w:eastAsia="en-AU"/>
        </w:rPr>
        <w:t>Always use tamper-resistant bait stations that are secured in place in child accessible areas, outdoors and in animal or livestock housing</w:t>
      </w:r>
      <w:r>
        <w:rPr>
          <w:rFonts w:eastAsia="Calibri" w:cs="Arial"/>
          <w:sz w:val="20"/>
          <w:szCs w:val="20"/>
          <w:bdr w:val="none" w:sz="0" w:space="0" w:color="auto" w:frame="1"/>
          <w:lang w:val="en-GB" w:eastAsia="en-AU"/>
        </w:rPr>
        <w:t xml:space="preserve">. </w:t>
      </w:r>
      <w:r w:rsidRPr="00AF79D7">
        <w:rPr>
          <w:rFonts w:eastAsia="Calibri" w:cs="Arial"/>
          <w:sz w:val="20"/>
          <w:szCs w:val="20"/>
          <w:bdr w:val="none" w:sz="0" w:space="0" w:color="auto" w:frame="1"/>
          <w:lang w:val="en-GB" w:eastAsia="en-AU"/>
        </w:rPr>
        <w:t>When used in food producing animal housing situations careful consideration is necessary regarding the placement of bait stations to ensure any rodenticide contamination of water, feed or livestock is prevented.</w:t>
      </w:r>
    </w:p>
    <w:p w14:paraId="6BA21595" w14:textId="56D4D03D" w:rsidR="008E67EA" w:rsidRDefault="008E67EA" w:rsidP="008E67EA">
      <w:pPr>
        <w:pStyle w:val="StatementofReasonsLevel1"/>
        <w:numPr>
          <w:ilvl w:val="0"/>
          <w:numId w:val="0"/>
        </w:numPr>
        <w:rPr>
          <w:rFonts w:eastAsiaTheme="minorHAnsi"/>
          <w:kern w:val="2"/>
          <w:szCs w:val="20"/>
          <w:lang w:eastAsia="en-US"/>
          <w14:ligatures w14:val="standardContextual"/>
        </w:rPr>
      </w:pPr>
      <w:r w:rsidRPr="0008427F">
        <w:rPr>
          <w:rFonts w:eastAsiaTheme="minorHAnsi"/>
          <w:kern w:val="2"/>
          <w:szCs w:val="20"/>
          <w:lang w:eastAsia="en-US"/>
          <w14:ligatures w14:val="standardContextual"/>
        </w:rPr>
        <w:lastRenderedPageBreak/>
        <w:t>Inspect bait sites at intervals no more than 7 days apart.</w:t>
      </w:r>
      <w:r w:rsidRPr="00982477">
        <w:t xml:space="preserve"> </w:t>
      </w:r>
      <w:r w:rsidRPr="00982477">
        <w:rPr>
          <w:rFonts w:eastAsiaTheme="minorHAnsi"/>
          <w:kern w:val="2"/>
          <w:szCs w:val="20"/>
          <w:lang w:eastAsia="en-US"/>
          <w14:ligatures w14:val="standardContextual"/>
        </w:rPr>
        <w:t>On initial application, an inspection of bait locations after 3 days may be undertaken to determine activity in bait locations and new locations may be selected if necessary. A subsequent inspection may also be undertaken again after 4 days to replace any soft baits which have been eaten.</w:t>
      </w:r>
    </w:p>
    <w:p w14:paraId="4422D6C3" w14:textId="77777777" w:rsidR="008E67EA" w:rsidRPr="0008427F" w:rsidRDefault="008E67EA" w:rsidP="008E67EA">
      <w:pPr>
        <w:pStyle w:val="StatementofReasonsLevel1"/>
        <w:numPr>
          <w:ilvl w:val="0"/>
          <w:numId w:val="0"/>
        </w:numPr>
        <w:rPr>
          <w:szCs w:val="20"/>
        </w:rPr>
      </w:pPr>
      <w:r>
        <w:rPr>
          <w:rFonts w:eastAsiaTheme="minorHAnsi"/>
          <w:kern w:val="2"/>
          <w:szCs w:val="20"/>
          <w:lang w:eastAsia="en-US"/>
          <w14:ligatures w14:val="standardContextual"/>
        </w:rPr>
        <w:t xml:space="preserve">For severe infestations, it is recommended to repeat inspections of all bait locations, replacing fresh soft baits only when soft baits have been eaten and until all sign of rat or mouse activity has disappeared. </w:t>
      </w:r>
      <w:r w:rsidRPr="00AF79D7">
        <w:rPr>
          <w:rFonts w:eastAsiaTheme="minorHAnsi"/>
          <w:kern w:val="2"/>
          <w:szCs w:val="20"/>
          <w:lang w:eastAsia="en-US"/>
          <w14:ligatures w14:val="standardContextual"/>
        </w:rPr>
        <w:t>Normally only 3 to 4 baiting rounds (pulses) are required for control.</w:t>
      </w:r>
    </w:p>
    <w:p w14:paraId="0795C465" w14:textId="77777777" w:rsidR="008E67EA" w:rsidRDefault="008E67EA" w:rsidP="008E67EA">
      <w:pPr>
        <w:spacing w:after="120" w:line="280" w:lineRule="exact"/>
        <w:rPr>
          <w:rFonts w:eastAsia="Calibri" w:cs="Arial"/>
          <w:sz w:val="20"/>
          <w:szCs w:val="20"/>
          <w:bdr w:val="none" w:sz="0" w:space="0" w:color="auto" w:frame="1"/>
          <w:lang w:val="en-GB" w:eastAsia="en-AU"/>
        </w:rPr>
      </w:pPr>
      <w:r w:rsidRPr="00982477">
        <w:rPr>
          <w:rFonts w:eastAsia="Calibri" w:cs="Arial"/>
          <w:sz w:val="20"/>
          <w:szCs w:val="20"/>
          <w:bdr w:val="none" w:sz="0" w:space="0" w:color="auto" w:frame="1"/>
          <w:lang w:val="en-GB" w:eastAsia="en-AU"/>
        </w:rPr>
        <w:t>DO NOT use the product beyond 35 days without an evaluation of the state of the infestation and of the efficacy of the treatment.</w:t>
      </w:r>
      <w:r>
        <w:rPr>
          <w:rFonts w:eastAsia="Calibri" w:cs="Arial"/>
          <w:sz w:val="20"/>
          <w:szCs w:val="20"/>
          <w:bdr w:val="none" w:sz="0" w:space="0" w:color="auto" w:frame="1"/>
          <w:lang w:val="en-GB" w:eastAsia="en-AU"/>
        </w:rPr>
        <w:t xml:space="preserve"> </w:t>
      </w:r>
      <w:r w:rsidRPr="00641519">
        <w:rPr>
          <w:rFonts w:eastAsia="Calibri" w:cs="Arial"/>
          <w:sz w:val="20"/>
          <w:szCs w:val="20"/>
          <w:bdr w:val="none" w:sz="0" w:space="0" w:color="auto" w:frame="1"/>
          <w:lang w:val="en-GB" w:eastAsia="en-AU"/>
        </w:rPr>
        <w:t>Remove all uneaten bait at the end of treatment.</w:t>
      </w:r>
    </w:p>
    <w:p w14:paraId="583C056C" w14:textId="3D4599C4" w:rsidR="008E67EA" w:rsidRDefault="008E67EA" w:rsidP="00604F9D">
      <w:pPr>
        <w:spacing w:line="280" w:lineRule="exact"/>
        <w:rPr>
          <w:rFonts w:ascii="Franklin Gothic Medium" w:eastAsia="Arial Unicode MS" w:hAnsi="Franklin Gothic Medium"/>
          <w:bCs/>
          <w:iCs/>
          <w:bdr w:val="none" w:sz="0" w:space="0" w:color="auto" w:frame="1"/>
          <w:lang w:val="en-GB" w:eastAsia="en-AU"/>
        </w:rPr>
      </w:pPr>
      <w:r w:rsidRPr="00FF36BF">
        <w:rPr>
          <w:rFonts w:cs="Arial"/>
          <w:b/>
          <w:bCs/>
          <w:sz w:val="20"/>
          <w:szCs w:val="20"/>
        </w:rPr>
        <w:t>NOT TO BE USED FOR ANY PURPOSE, OR IN ANY MANNER, CONTRARY TO THIS LABEL UNLESS AUTHORISED UNDER APPROPRIATE LEGISLATION.</w:t>
      </w:r>
      <w:r>
        <w:rPr>
          <w:rFonts w:ascii="Franklin Gothic Medium" w:eastAsia="Arial Unicode MS" w:hAnsi="Franklin Gothic Medium"/>
          <w:bCs/>
          <w:iCs/>
          <w:bdr w:val="none" w:sz="0" w:space="0" w:color="auto" w:frame="1"/>
          <w:lang w:val="en-GB" w:eastAsia="en-AU"/>
        </w:rPr>
        <w:br w:type="page"/>
      </w:r>
    </w:p>
    <w:p w14:paraId="11A8DDBF" w14:textId="77777777" w:rsidR="008E67EA" w:rsidRDefault="008E67EA" w:rsidP="008E67EA">
      <w:pPr>
        <w:keepNext/>
        <w:keepLines/>
        <w:spacing w:before="400" w:after="240" w:line="280" w:lineRule="exact"/>
        <w:outlineLvl w:val="1"/>
        <w:rPr>
          <w:rFonts w:ascii="Franklin Gothic Medium" w:eastAsia="Arial Unicode MS" w:hAnsi="Franklin Gothic Medium"/>
          <w:bCs/>
          <w:iCs/>
          <w:bdr w:val="none" w:sz="0" w:space="0" w:color="auto" w:frame="1"/>
          <w:lang w:val="en-GB" w:eastAsia="en-AU"/>
        </w:rPr>
      </w:pPr>
      <w:r w:rsidRPr="00FF36BF">
        <w:rPr>
          <w:rFonts w:ascii="Franklin Gothic Medium" w:eastAsia="Arial Unicode MS" w:hAnsi="Franklin Gothic Medium"/>
          <w:bCs/>
          <w:iCs/>
          <w:bdr w:val="none" w:sz="0" w:space="0" w:color="auto" w:frame="1"/>
          <w:lang w:val="en-GB" w:eastAsia="en-AU"/>
        </w:rPr>
        <w:lastRenderedPageBreak/>
        <w:t>Commercial</w:t>
      </w:r>
      <w:r>
        <w:rPr>
          <w:rFonts w:ascii="Franklin Gothic Medium" w:eastAsia="Arial Unicode MS" w:hAnsi="Franklin Gothic Medium"/>
          <w:bCs/>
          <w:iCs/>
          <w:bdr w:val="none" w:sz="0" w:space="0" w:color="auto" w:frame="1"/>
          <w:lang w:val="en-GB" w:eastAsia="en-AU"/>
        </w:rPr>
        <w:t xml:space="preserve"> pest-control product:</w:t>
      </w:r>
      <w:r w:rsidRPr="00FF36BF">
        <w:rPr>
          <w:rFonts w:ascii="Franklin Gothic Medium" w:eastAsia="Arial Unicode MS" w:hAnsi="Franklin Gothic Medium"/>
          <w:bCs/>
          <w:iCs/>
          <w:bdr w:val="none" w:sz="0" w:space="0" w:color="auto" w:frame="1"/>
          <w:lang w:val="en-GB" w:eastAsia="en-AU"/>
        </w:rPr>
        <w:t xml:space="preserve"> </w:t>
      </w:r>
      <w:r w:rsidRPr="00DA343B">
        <w:rPr>
          <w:rFonts w:ascii="Franklin Gothic Medium" w:eastAsia="Arial Unicode MS" w:hAnsi="Franklin Gothic Medium"/>
          <w:bCs/>
          <w:iCs/>
          <w:bdr w:val="none" w:sz="0" w:space="0" w:color="auto" w:frame="1"/>
          <w:lang w:val="en-GB" w:eastAsia="en-AU"/>
        </w:rPr>
        <w:t>RB 0.05 g/kg or less in block formulation</w:t>
      </w:r>
    </w:p>
    <w:p w14:paraId="164FB63D" w14:textId="77777777" w:rsidR="008E67EA" w:rsidRDefault="008E67EA" w:rsidP="008E67EA">
      <w:pPr>
        <w:spacing w:before="240" w:after="240"/>
        <w:rPr>
          <w:rFonts w:cs="Arial"/>
          <w:b/>
          <w:bCs/>
          <w:sz w:val="20"/>
          <w:szCs w:val="20"/>
          <w:bdr w:val="none" w:sz="0" w:space="0" w:color="auto" w:frame="1"/>
          <w:lang w:val="en-GB" w:eastAsia="en-AU"/>
        </w:rPr>
      </w:pPr>
      <w:r w:rsidRPr="00FE2E3F">
        <w:rPr>
          <w:rFonts w:cs="Arial"/>
          <w:b/>
          <w:bCs/>
          <w:sz w:val="20"/>
          <w:szCs w:val="20"/>
          <w:bdr w:val="none" w:sz="0" w:space="0" w:color="auto" w:frame="1"/>
          <w:lang w:val="en-GB" w:eastAsia="en-AU"/>
        </w:rPr>
        <w:t xml:space="preserve">Template Label </w:t>
      </w:r>
      <w:r>
        <w:rPr>
          <w:rFonts w:cs="Arial"/>
          <w:b/>
          <w:bCs/>
          <w:sz w:val="20"/>
          <w:szCs w:val="20"/>
          <w:bdr w:val="none" w:sz="0" w:space="0" w:color="auto" w:frame="1"/>
          <w:lang w:val="en-GB" w:eastAsia="en-AU"/>
        </w:rPr>
        <w:t>29</w:t>
      </w:r>
    </w:p>
    <w:tbl>
      <w:tblPr>
        <w:tblStyle w:val="SignatureTable1"/>
        <w:tblW w:w="101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7755"/>
      </w:tblGrid>
      <w:tr w:rsidR="008E67EA" w:rsidRPr="002B5B5B" w14:paraId="5395364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B0F1170" w14:textId="77777777" w:rsidR="008E67EA" w:rsidRPr="00F5215F" w:rsidRDefault="008E67EA" w:rsidP="00B44A74">
            <w:pPr>
              <w:spacing w:line="280" w:lineRule="exact"/>
              <w:rPr>
                <w:rFonts w:cs="Arial"/>
                <w:sz w:val="20"/>
                <w:szCs w:val="20"/>
              </w:rPr>
            </w:pPr>
            <w:r w:rsidRPr="00F5215F">
              <w:rPr>
                <w:rFonts w:cs="Arial"/>
                <w:sz w:val="20"/>
                <w:szCs w:val="20"/>
              </w:rPr>
              <w:t>Label Name:</w:t>
            </w:r>
          </w:p>
        </w:tc>
        <w:tc>
          <w:tcPr>
            <w:tcW w:w="7755" w:type="dxa"/>
            <w:tcBorders>
              <w:top w:val="single" w:sz="4" w:space="0" w:color="auto"/>
              <w:left w:val="single" w:sz="4" w:space="0" w:color="auto"/>
              <w:bottom w:val="single" w:sz="4" w:space="0" w:color="auto"/>
              <w:right w:val="single" w:sz="4" w:space="0" w:color="auto"/>
            </w:tcBorders>
          </w:tcPr>
          <w:p w14:paraId="5C1CAFE8" w14:textId="77777777" w:rsidR="008E67EA" w:rsidRPr="0015462A" w:rsidRDefault="008E67EA" w:rsidP="00B44A74">
            <w:pPr>
              <w:spacing w:line="280" w:lineRule="exact"/>
              <w:rPr>
                <w:rFonts w:cs="Arial"/>
                <w:sz w:val="20"/>
                <w:szCs w:val="20"/>
              </w:rPr>
            </w:pPr>
            <w:r w:rsidRPr="0015462A">
              <w:rPr>
                <w:rFonts w:cs="Arial"/>
                <w:sz w:val="20"/>
                <w:szCs w:val="20"/>
              </w:rPr>
              <w:t>[INSERT LABEL NAME]</w:t>
            </w:r>
          </w:p>
        </w:tc>
      </w:tr>
      <w:tr w:rsidR="008E67EA" w:rsidRPr="002B5B5B" w14:paraId="5A960732" w14:textId="77777777" w:rsidTr="00B44A74">
        <w:trPr>
          <w:jc w:val="center"/>
        </w:trPr>
        <w:tc>
          <w:tcPr>
            <w:tcW w:w="2415" w:type="dxa"/>
            <w:tcBorders>
              <w:top w:val="single" w:sz="4" w:space="0" w:color="auto"/>
              <w:left w:val="nil"/>
              <w:bottom w:val="single" w:sz="4" w:space="0" w:color="auto"/>
              <w:right w:val="nil"/>
            </w:tcBorders>
          </w:tcPr>
          <w:p w14:paraId="1E509B03"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5578BAC" w14:textId="77777777" w:rsidR="008E67EA" w:rsidRPr="0015462A" w:rsidRDefault="008E67EA" w:rsidP="00B44A74">
            <w:pPr>
              <w:spacing w:line="280" w:lineRule="exact"/>
              <w:rPr>
                <w:rFonts w:cs="Arial"/>
                <w:sz w:val="20"/>
                <w:szCs w:val="20"/>
              </w:rPr>
            </w:pPr>
          </w:p>
        </w:tc>
      </w:tr>
      <w:tr w:rsidR="008E67EA" w:rsidRPr="002B5B5B" w14:paraId="4621C10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89EEE78" w14:textId="77777777" w:rsidR="008E67EA" w:rsidRPr="00F5215F" w:rsidRDefault="008E67EA" w:rsidP="00B44A74">
            <w:pPr>
              <w:spacing w:line="280" w:lineRule="exact"/>
              <w:rPr>
                <w:rFonts w:cs="Arial"/>
                <w:sz w:val="20"/>
                <w:szCs w:val="20"/>
              </w:rPr>
            </w:pPr>
            <w:r w:rsidRPr="00F5215F">
              <w:rPr>
                <w:rFonts w:cs="Arial"/>
                <w:sz w:val="20"/>
                <w:szCs w:val="20"/>
              </w:rPr>
              <w:t>Signal Headings</w:t>
            </w:r>
          </w:p>
        </w:tc>
        <w:tc>
          <w:tcPr>
            <w:tcW w:w="7755" w:type="dxa"/>
            <w:tcBorders>
              <w:top w:val="single" w:sz="4" w:space="0" w:color="auto"/>
              <w:left w:val="single" w:sz="4" w:space="0" w:color="auto"/>
              <w:bottom w:val="single" w:sz="4" w:space="0" w:color="auto"/>
              <w:right w:val="single" w:sz="4" w:space="0" w:color="auto"/>
            </w:tcBorders>
          </w:tcPr>
          <w:p w14:paraId="142F3B40" w14:textId="77777777" w:rsidR="008E67EA" w:rsidRPr="0015462A" w:rsidRDefault="008E67EA" w:rsidP="00B44A74">
            <w:pPr>
              <w:spacing w:line="280" w:lineRule="exact"/>
              <w:rPr>
                <w:rFonts w:cs="Arial"/>
                <w:sz w:val="20"/>
                <w:szCs w:val="20"/>
              </w:rPr>
            </w:pPr>
            <w:r w:rsidRPr="0007658B">
              <w:rPr>
                <w:rFonts w:cs="Arial"/>
                <w:sz w:val="20"/>
                <w:szCs w:val="20"/>
              </w:rPr>
              <w:t>POISON</w:t>
            </w:r>
          </w:p>
          <w:p w14:paraId="7300CEED" w14:textId="77777777" w:rsidR="008E67EA" w:rsidRPr="0015462A" w:rsidRDefault="008E67EA" w:rsidP="00B44A74">
            <w:pPr>
              <w:spacing w:line="280" w:lineRule="exact"/>
              <w:rPr>
                <w:rFonts w:cs="Arial"/>
                <w:sz w:val="20"/>
                <w:szCs w:val="20"/>
              </w:rPr>
            </w:pPr>
            <w:r w:rsidRPr="0015462A">
              <w:rPr>
                <w:rFonts w:cs="Arial"/>
                <w:sz w:val="20"/>
                <w:szCs w:val="20"/>
              </w:rPr>
              <w:t>KEEP OUT OF REACH OF CHILDREN</w:t>
            </w:r>
          </w:p>
          <w:p w14:paraId="010F61A6" w14:textId="77777777" w:rsidR="008E67EA" w:rsidRPr="0015462A" w:rsidRDefault="008E67EA" w:rsidP="00B44A74">
            <w:pPr>
              <w:spacing w:line="280" w:lineRule="exact"/>
              <w:rPr>
                <w:rFonts w:cs="Arial"/>
                <w:sz w:val="20"/>
                <w:szCs w:val="20"/>
              </w:rPr>
            </w:pPr>
            <w:r w:rsidRPr="0015462A">
              <w:rPr>
                <w:rFonts w:cs="Arial"/>
                <w:sz w:val="20"/>
                <w:szCs w:val="20"/>
              </w:rPr>
              <w:t>READ SAFETY DIREC</w:t>
            </w:r>
            <w:r>
              <w:rPr>
                <w:rFonts w:cs="Arial"/>
                <w:sz w:val="20"/>
                <w:szCs w:val="20"/>
              </w:rPr>
              <w:t>T</w:t>
            </w:r>
            <w:r w:rsidRPr="0015462A">
              <w:rPr>
                <w:rFonts w:cs="Arial"/>
                <w:sz w:val="20"/>
                <w:szCs w:val="20"/>
              </w:rPr>
              <w:t>IONS BEFORE OPENING OR USING</w:t>
            </w:r>
          </w:p>
        </w:tc>
      </w:tr>
      <w:tr w:rsidR="008E67EA" w:rsidRPr="002B5B5B" w14:paraId="61E89123" w14:textId="77777777" w:rsidTr="00B44A74">
        <w:trPr>
          <w:jc w:val="center"/>
        </w:trPr>
        <w:tc>
          <w:tcPr>
            <w:tcW w:w="2415" w:type="dxa"/>
            <w:tcBorders>
              <w:top w:val="single" w:sz="4" w:space="0" w:color="auto"/>
              <w:left w:val="nil"/>
              <w:bottom w:val="single" w:sz="4" w:space="0" w:color="auto"/>
              <w:right w:val="nil"/>
            </w:tcBorders>
          </w:tcPr>
          <w:p w14:paraId="17F7B57E"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4FA5055" w14:textId="77777777" w:rsidR="008E67EA" w:rsidRPr="0015462A" w:rsidRDefault="008E67EA" w:rsidP="00B44A74">
            <w:pPr>
              <w:spacing w:line="280" w:lineRule="exact"/>
              <w:rPr>
                <w:rFonts w:cs="Arial"/>
                <w:sz w:val="20"/>
                <w:szCs w:val="20"/>
              </w:rPr>
            </w:pPr>
          </w:p>
        </w:tc>
      </w:tr>
      <w:tr w:rsidR="008E67EA" w:rsidRPr="002B5B5B" w14:paraId="55C602CC"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214D7C3" w14:textId="77777777" w:rsidR="008E67EA" w:rsidRPr="00F5215F" w:rsidRDefault="008E67EA" w:rsidP="00B44A74">
            <w:pPr>
              <w:spacing w:line="280" w:lineRule="exact"/>
              <w:rPr>
                <w:rFonts w:cs="Arial"/>
                <w:sz w:val="20"/>
                <w:szCs w:val="20"/>
              </w:rPr>
            </w:pPr>
            <w:r w:rsidRPr="00F5215F">
              <w:rPr>
                <w:rFonts w:cs="Arial"/>
                <w:sz w:val="20"/>
                <w:szCs w:val="20"/>
              </w:rPr>
              <w:t>Constituent Statements:</w:t>
            </w:r>
          </w:p>
        </w:tc>
        <w:tc>
          <w:tcPr>
            <w:tcW w:w="7755" w:type="dxa"/>
            <w:tcBorders>
              <w:top w:val="single" w:sz="4" w:space="0" w:color="auto"/>
              <w:left w:val="single" w:sz="4" w:space="0" w:color="auto"/>
              <w:bottom w:val="single" w:sz="4" w:space="0" w:color="auto"/>
              <w:right w:val="single" w:sz="4" w:space="0" w:color="auto"/>
            </w:tcBorders>
          </w:tcPr>
          <w:p w14:paraId="64A62AD4" w14:textId="77777777" w:rsidR="008E67EA" w:rsidRPr="0015462A" w:rsidRDefault="008E67EA" w:rsidP="00B44A74">
            <w:pPr>
              <w:spacing w:line="280" w:lineRule="exact"/>
              <w:rPr>
                <w:rFonts w:cs="Arial"/>
                <w:sz w:val="20"/>
                <w:szCs w:val="20"/>
              </w:rPr>
            </w:pPr>
            <w:r w:rsidRPr="0015462A">
              <w:rPr>
                <w:rFonts w:cs="Arial"/>
                <w:sz w:val="20"/>
                <w:szCs w:val="20"/>
              </w:rPr>
              <w:t xml:space="preserve">ACTIVE CONSTITUENT: </w:t>
            </w:r>
            <w:r w:rsidRPr="00F218E0">
              <w:rPr>
                <w:rFonts w:cs="Arial"/>
                <w:sz w:val="20"/>
                <w:szCs w:val="20"/>
              </w:rPr>
              <w:t>0.05 g/kg</w:t>
            </w:r>
            <w:r>
              <w:rPr>
                <w:rFonts w:cs="Arial"/>
                <w:sz w:val="20"/>
                <w:szCs w:val="20"/>
              </w:rPr>
              <w:t xml:space="preserve"> FLOCOUMAFEN</w:t>
            </w:r>
          </w:p>
        </w:tc>
      </w:tr>
      <w:tr w:rsidR="008E67EA" w:rsidRPr="002B5B5B" w14:paraId="0940A3BC" w14:textId="77777777" w:rsidTr="00B44A74">
        <w:trPr>
          <w:jc w:val="center"/>
        </w:trPr>
        <w:tc>
          <w:tcPr>
            <w:tcW w:w="2415" w:type="dxa"/>
            <w:tcBorders>
              <w:top w:val="single" w:sz="4" w:space="0" w:color="auto"/>
              <w:left w:val="nil"/>
              <w:bottom w:val="single" w:sz="4" w:space="0" w:color="auto"/>
              <w:right w:val="nil"/>
            </w:tcBorders>
          </w:tcPr>
          <w:p w14:paraId="286628A6"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232284A" w14:textId="77777777" w:rsidR="008E67EA" w:rsidRPr="0015462A" w:rsidRDefault="008E67EA" w:rsidP="00B44A74">
            <w:pPr>
              <w:spacing w:line="280" w:lineRule="exact"/>
              <w:rPr>
                <w:rFonts w:cs="Arial"/>
                <w:sz w:val="20"/>
                <w:szCs w:val="20"/>
              </w:rPr>
            </w:pPr>
          </w:p>
        </w:tc>
      </w:tr>
      <w:tr w:rsidR="008E67EA" w:rsidRPr="00994236" w14:paraId="629D5D7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FD618B9" w14:textId="77777777" w:rsidR="008E67EA" w:rsidRPr="00F5215F" w:rsidRDefault="008E67EA" w:rsidP="00B44A74">
            <w:pPr>
              <w:spacing w:line="280" w:lineRule="exact"/>
              <w:rPr>
                <w:rFonts w:cs="Arial"/>
                <w:sz w:val="20"/>
                <w:szCs w:val="20"/>
              </w:rPr>
            </w:pPr>
            <w:r w:rsidRPr="00F5215F">
              <w:rPr>
                <w:rFonts w:cs="Arial"/>
                <w:sz w:val="20"/>
                <w:szCs w:val="20"/>
              </w:rPr>
              <w:t>Mode of Action:</w:t>
            </w:r>
          </w:p>
        </w:tc>
        <w:tc>
          <w:tcPr>
            <w:tcW w:w="7755" w:type="dxa"/>
            <w:tcBorders>
              <w:top w:val="single" w:sz="4" w:space="0" w:color="auto"/>
              <w:left w:val="single" w:sz="4" w:space="0" w:color="auto"/>
              <w:bottom w:val="single" w:sz="4" w:space="0" w:color="auto"/>
              <w:right w:val="single" w:sz="4" w:space="0" w:color="auto"/>
            </w:tcBorders>
          </w:tcPr>
          <w:p w14:paraId="237F383E" w14:textId="77777777" w:rsidR="008E67EA" w:rsidRPr="0015462A" w:rsidRDefault="008E67EA" w:rsidP="00B44A74">
            <w:pPr>
              <w:spacing w:line="280" w:lineRule="exact"/>
              <w:jc w:val="both"/>
              <w:rPr>
                <w:rFonts w:cs="Arial"/>
                <w:sz w:val="20"/>
                <w:szCs w:val="20"/>
              </w:rPr>
            </w:pPr>
          </w:p>
        </w:tc>
      </w:tr>
      <w:tr w:rsidR="008E67EA" w:rsidRPr="002B5B5B" w14:paraId="5A3F3DE0" w14:textId="77777777" w:rsidTr="00B44A74">
        <w:trPr>
          <w:jc w:val="center"/>
        </w:trPr>
        <w:tc>
          <w:tcPr>
            <w:tcW w:w="2415" w:type="dxa"/>
            <w:tcBorders>
              <w:top w:val="single" w:sz="4" w:space="0" w:color="auto"/>
              <w:left w:val="nil"/>
              <w:bottom w:val="single" w:sz="4" w:space="0" w:color="auto"/>
              <w:right w:val="nil"/>
            </w:tcBorders>
          </w:tcPr>
          <w:p w14:paraId="4A1882BD"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95C6FF1" w14:textId="77777777" w:rsidR="008E67EA" w:rsidRPr="0015462A" w:rsidRDefault="008E67EA" w:rsidP="00B44A74">
            <w:pPr>
              <w:spacing w:line="280" w:lineRule="exact"/>
              <w:rPr>
                <w:rFonts w:cs="Arial"/>
                <w:sz w:val="20"/>
                <w:szCs w:val="20"/>
              </w:rPr>
            </w:pPr>
          </w:p>
        </w:tc>
      </w:tr>
      <w:tr w:rsidR="008E67EA" w:rsidRPr="002B5B5B" w14:paraId="652B7DB0"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735A599" w14:textId="77777777" w:rsidR="008E67EA" w:rsidRPr="00F5215F" w:rsidRDefault="008E67EA" w:rsidP="00B44A74">
            <w:pPr>
              <w:spacing w:line="280" w:lineRule="exact"/>
              <w:rPr>
                <w:rFonts w:cs="Arial"/>
                <w:sz w:val="20"/>
                <w:szCs w:val="20"/>
              </w:rPr>
            </w:pPr>
            <w:r w:rsidRPr="00F5215F">
              <w:rPr>
                <w:rFonts w:cs="Arial"/>
                <w:sz w:val="20"/>
                <w:szCs w:val="20"/>
              </w:rPr>
              <w:t>Statement of Claims:</w:t>
            </w:r>
          </w:p>
        </w:tc>
        <w:tc>
          <w:tcPr>
            <w:tcW w:w="7755" w:type="dxa"/>
            <w:tcBorders>
              <w:top w:val="single" w:sz="4" w:space="0" w:color="auto"/>
              <w:left w:val="single" w:sz="4" w:space="0" w:color="auto"/>
              <w:bottom w:val="single" w:sz="4" w:space="0" w:color="auto"/>
              <w:right w:val="single" w:sz="4" w:space="0" w:color="auto"/>
            </w:tcBorders>
          </w:tcPr>
          <w:p w14:paraId="701EB5A5" w14:textId="77777777" w:rsidR="008E67EA" w:rsidRPr="0015462A" w:rsidRDefault="008E67EA" w:rsidP="00B44A74">
            <w:pPr>
              <w:spacing w:line="280" w:lineRule="exact"/>
              <w:rPr>
                <w:rFonts w:cs="Arial"/>
                <w:sz w:val="20"/>
                <w:szCs w:val="20"/>
              </w:rPr>
            </w:pPr>
            <w:r w:rsidRPr="002B45C3">
              <w:rPr>
                <w:rFonts w:cs="Arial"/>
                <w:sz w:val="20"/>
                <w:szCs w:val="20"/>
              </w:rPr>
              <w:t xml:space="preserve">For control of mice in </w:t>
            </w:r>
            <w:r w:rsidRPr="005C6CF6">
              <w:rPr>
                <w:rFonts w:cs="Arial"/>
                <w:sz w:val="20"/>
                <w:szCs w:val="20"/>
              </w:rPr>
              <w:t>industrial, commercial, agricultural and domestic</w:t>
            </w:r>
            <w:r>
              <w:rPr>
                <w:rFonts w:cs="Arial"/>
                <w:sz w:val="20"/>
                <w:szCs w:val="20"/>
              </w:rPr>
              <w:t xml:space="preserve"> </w:t>
            </w:r>
            <w:r w:rsidRPr="005C6CF6">
              <w:rPr>
                <w:rFonts w:cs="Arial"/>
                <w:sz w:val="20"/>
                <w:szCs w:val="20"/>
              </w:rPr>
              <w:t>buildings</w:t>
            </w:r>
            <w:r w:rsidRPr="002B45C3">
              <w:rPr>
                <w:rFonts w:cs="Arial"/>
                <w:sz w:val="20"/>
                <w:szCs w:val="20"/>
              </w:rPr>
              <w:t xml:space="preserve"> and for control of rats </w:t>
            </w:r>
            <w:r>
              <w:rPr>
                <w:rFonts w:cs="Arial"/>
                <w:sz w:val="20"/>
                <w:szCs w:val="20"/>
              </w:rPr>
              <w:t xml:space="preserve">in and around </w:t>
            </w:r>
            <w:r w:rsidRPr="005C6CF6">
              <w:rPr>
                <w:rFonts w:cs="Arial"/>
                <w:sz w:val="20"/>
                <w:szCs w:val="20"/>
              </w:rPr>
              <w:t>industrial, commercial, agricultural and domestic</w:t>
            </w:r>
            <w:r>
              <w:rPr>
                <w:rFonts w:cs="Arial"/>
                <w:sz w:val="20"/>
                <w:szCs w:val="20"/>
              </w:rPr>
              <w:t xml:space="preserve"> </w:t>
            </w:r>
            <w:r w:rsidRPr="005C6CF6">
              <w:rPr>
                <w:rFonts w:cs="Arial"/>
                <w:sz w:val="20"/>
                <w:szCs w:val="20"/>
              </w:rPr>
              <w:t>buildings</w:t>
            </w:r>
          </w:p>
        </w:tc>
      </w:tr>
      <w:tr w:rsidR="008E67EA" w:rsidRPr="002B5B5B" w14:paraId="62239C1B" w14:textId="77777777" w:rsidTr="00B44A74">
        <w:trPr>
          <w:jc w:val="center"/>
        </w:trPr>
        <w:tc>
          <w:tcPr>
            <w:tcW w:w="2415" w:type="dxa"/>
            <w:tcBorders>
              <w:top w:val="single" w:sz="4" w:space="0" w:color="auto"/>
              <w:left w:val="nil"/>
              <w:bottom w:val="single" w:sz="4" w:space="0" w:color="auto"/>
              <w:right w:val="nil"/>
            </w:tcBorders>
          </w:tcPr>
          <w:p w14:paraId="5081C7CA"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DDA7E15" w14:textId="77777777" w:rsidR="008E67EA" w:rsidRPr="0015462A" w:rsidRDefault="008E67EA" w:rsidP="00B44A74">
            <w:pPr>
              <w:spacing w:line="280" w:lineRule="exact"/>
              <w:rPr>
                <w:rFonts w:cs="Arial"/>
                <w:sz w:val="20"/>
                <w:szCs w:val="20"/>
              </w:rPr>
            </w:pPr>
          </w:p>
        </w:tc>
      </w:tr>
      <w:tr w:rsidR="008E67EA" w:rsidRPr="002B5B5B" w14:paraId="7880E704"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0B28A5A8" w14:textId="77777777" w:rsidR="008E67EA" w:rsidRPr="00F5215F" w:rsidRDefault="008E67EA" w:rsidP="00B44A74">
            <w:pPr>
              <w:spacing w:line="280" w:lineRule="exact"/>
              <w:rPr>
                <w:rFonts w:cs="Arial"/>
                <w:sz w:val="20"/>
                <w:szCs w:val="20"/>
              </w:rPr>
            </w:pPr>
            <w:r w:rsidRPr="00F5215F">
              <w:rPr>
                <w:rFonts w:cs="Arial"/>
                <w:sz w:val="20"/>
                <w:szCs w:val="20"/>
              </w:rPr>
              <w:t>Net Contents:</w:t>
            </w:r>
          </w:p>
        </w:tc>
        <w:tc>
          <w:tcPr>
            <w:tcW w:w="7755" w:type="dxa"/>
            <w:tcBorders>
              <w:top w:val="single" w:sz="4" w:space="0" w:color="auto"/>
              <w:left w:val="single" w:sz="4" w:space="0" w:color="auto"/>
              <w:bottom w:val="single" w:sz="4" w:space="0" w:color="auto"/>
              <w:right w:val="single" w:sz="4" w:space="0" w:color="auto"/>
            </w:tcBorders>
          </w:tcPr>
          <w:p w14:paraId="3167DC73" w14:textId="77777777" w:rsidR="008E67EA" w:rsidRPr="0015462A" w:rsidRDefault="008E67EA" w:rsidP="00B44A74">
            <w:pPr>
              <w:spacing w:line="280" w:lineRule="exact"/>
              <w:rPr>
                <w:rFonts w:cs="Arial"/>
                <w:sz w:val="20"/>
                <w:szCs w:val="20"/>
              </w:rPr>
            </w:pPr>
            <w:r w:rsidRPr="0074786A">
              <w:rPr>
                <w:rFonts w:cs="Arial"/>
                <w:sz w:val="20"/>
                <w:szCs w:val="20"/>
              </w:rPr>
              <w:t>[INSERT NET CONTENTS]</w:t>
            </w:r>
          </w:p>
        </w:tc>
      </w:tr>
      <w:tr w:rsidR="008E67EA" w:rsidRPr="002B5B5B" w14:paraId="245F5B94" w14:textId="77777777" w:rsidTr="00B44A74">
        <w:trPr>
          <w:jc w:val="center"/>
        </w:trPr>
        <w:tc>
          <w:tcPr>
            <w:tcW w:w="2415" w:type="dxa"/>
            <w:tcBorders>
              <w:top w:val="single" w:sz="4" w:space="0" w:color="auto"/>
              <w:left w:val="nil"/>
              <w:bottom w:val="single" w:sz="4" w:space="0" w:color="auto"/>
              <w:right w:val="nil"/>
            </w:tcBorders>
          </w:tcPr>
          <w:p w14:paraId="042B69FC"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08DA0D2" w14:textId="77777777" w:rsidR="008E67EA" w:rsidRPr="002B5B5B" w:rsidRDefault="008E67EA" w:rsidP="00B44A74">
            <w:pPr>
              <w:spacing w:line="280" w:lineRule="exact"/>
              <w:rPr>
                <w:rFonts w:cs="Arial"/>
                <w:sz w:val="20"/>
                <w:szCs w:val="20"/>
              </w:rPr>
            </w:pPr>
          </w:p>
        </w:tc>
      </w:tr>
      <w:tr w:rsidR="008E67EA" w:rsidRPr="002B5B5B" w14:paraId="0BE8726D"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7948F496" w14:textId="77777777" w:rsidR="008E67EA" w:rsidRPr="00F5215F" w:rsidRDefault="008E67EA" w:rsidP="00B44A74">
            <w:pPr>
              <w:spacing w:line="280" w:lineRule="exact"/>
              <w:rPr>
                <w:rFonts w:cs="Arial"/>
                <w:sz w:val="20"/>
                <w:szCs w:val="20"/>
              </w:rPr>
            </w:pPr>
            <w:r w:rsidRPr="00F5215F">
              <w:rPr>
                <w:rFonts w:cs="Arial"/>
                <w:sz w:val="20"/>
                <w:szCs w:val="20"/>
              </w:rPr>
              <w:t>Restraints:</w:t>
            </w:r>
          </w:p>
        </w:tc>
        <w:tc>
          <w:tcPr>
            <w:tcW w:w="7755" w:type="dxa"/>
            <w:tcBorders>
              <w:top w:val="single" w:sz="4" w:space="0" w:color="auto"/>
              <w:left w:val="single" w:sz="4" w:space="0" w:color="auto"/>
              <w:bottom w:val="single" w:sz="4" w:space="0" w:color="auto"/>
              <w:right w:val="single" w:sz="4" w:space="0" w:color="auto"/>
            </w:tcBorders>
          </w:tcPr>
          <w:p w14:paraId="7EDC04B1" w14:textId="77777777" w:rsidR="008E67EA" w:rsidRDefault="008E67EA" w:rsidP="00B44A74">
            <w:pPr>
              <w:spacing w:line="280" w:lineRule="exact"/>
              <w:rPr>
                <w:rFonts w:cs="Arial"/>
                <w:sz w:val="20"/>
                <w:szCs w:val="20"/>
              </w:rPr>
            </w:pPr>
            <w:r>
              <w:rPr>
                <w:rFonts w:cs="Arial"/>
                <w:sz w:val="20"/>
                <w:szCs w:val="20"/>
              </w:rPr>
              <w:t>RESTRAINTS</w:t>
            </w:r>
          </w:p>
          <w:p w14:paraId="59ACF136" w14:textId="77777777" w:rsidR="008E67EA" w:rsidRPr="00FF138B" w:rsidRDefault="008E67EA" w:rsidP="00B44A74">
            <w:pPr>
              <w:spacing w:line="280" w:lineRule="exact"/>
              <w:rPr>
                <w:rFonts w:cs="Arial"/>
                <w:sz w:val="20"/>
                <w:szCs w:val="20"/>
              </w:rPr>
            </w:pPr>
            <w:r w:rsidRPr="00FF138B">
              <w:rPr>
                <w:rFonts w:cs="Arial"/>
                <w:sz w:val="20"/>
                <w:szCs w:val="20"/>
              </w:rPr>
              <w:t>DO NOT use this product unless you have a current qualification in the nationally recognised training course for rodent pest management CPPUPM3006 - Manage pests by applying pesticides, or an equivalent unit of competency.</w:t>
            </w:r>
          </w:p>
          <w:p w14:paraId="5AAE88A5" w14:textId="77777777" w:rsidR="008E67EA" w:rsidRPr="00FF138B" w:rsidRDefault="008E67EA" w:rsidP="00B44A74">
            <w:pPr>
              <w:spacing w:line="280" w:lineRule="exact"/>
              <w:rPr>
                <w:rFonts w:cs="Arial"/>
                <w:sz w:val="20"/>
                <w:szCs w:val="20"/>
              </w:rPr>
            </w:pPr>
            <w:r w:rsidRPr="00FF138B">
              <w:rPr>
                <w:rFonts w:cs="Arial"/>
                <w:sz w:val="20"/>
                <w:szCs w:val="20"/>
              </w:rPr>
              <w:t>DO NOT place baits in areas that are accessible to children. In child-accessible areas baits must be placed in tamper-</w:t>
            </w:r>
            <w:r>
              <w:rPr>
                <w:rFonts w:cs="Arial"/>
                <w:sz w:val="20"/>
                <w:szCs w:val="20"/>
              </w:rPr>
              <w:t>resistant</w:t>
            </w:r>
            <w:r w:rsidRPr="00FF138B">
              <w:rPr>
                <w:rFonts w:cs="Arial"/>
                <w:sz w:val="20"/>
                <w:szCs w:val="20"/>
              </w:rPr>
              <w:t xml:space="preserve"> bait stations. If bait can be dislodged from bait station, bait station must be secured in place. </w:t>
            </w:r>
          </w:p>
          <w:p w14:paraId="74BD0E96" w14:textId="77777777" w:rsidR="008E67EA" w:rsidRPr="00FF138B" w:rsidRDefault="008E67EA" w:rsidP="00B44A74">
            <w:pPr>
              <w:spacing w:line="280" w:lineRule="exact"/>
              <w:rPr>
                <w:rFonts w:cs="Arial"/>
                <w:sz w:val="20"/>
                <w:szCs w:val="20"/>
              </w:rPr>
            </w:pPr>
            <w:r w:rsidRPr="00FF138B">
              <w:rPr>
                <w:rFonts w:cs="Arial"/>
                <w:sz w:val="20"/>
                <w:szCs w:val="20"/>
              </w:rPr>
              <w:t>DO NOT place bait outdoors unless it is in a tamper-</w:t>
            </w:r>
            <w:r>
              <w:rPr>
                <w:rFonts w:cs="Arial"/>
                <w:sz w:val="20"/>
                <w:szCs w:val="20"/>
              </w:rPr>
              <w:t>resistant</w:t>
            </w:r>
            <w:r w:rsidRPr="00FF138B">
              <w:rPr>
                <w:rFonts w:cs="Arial"/>
                <w:sz w:val="20"/>
                <w:szCs w:val="20"/>
              </w:rPr>
              <w:t xml:space="preserve"> bait station which is secured in place.</w:t>
            </w:r>
          </w:p>
          <w:p w14:paraId="13E578DF" w14:textId="77777777" w:rsidR="008E67EA" w:rsidRPr="00FF138B" w:rsidRDefault="008E67EA" w:rsidP="00B44A74">
            <w:pPr>
              <w:spacing w:line="280" w:lineRule="exact"/>
              <w:rPr>
                <w:rFonts w:cs="Arial"/>
                <w:sz w:val="20"/>
                <w:szCs w:val="20"/>
              </w:rPr>
            </w:pPr>
            <w:r w:rsidRPr="00FF138B">
              <w:rPr>
                <w:rFonts w:cs="Arial"/>
                <w:sz w:val="20"/>
                <w:szCs w:val="20"/>
              </w:rPr>
              <w:t>DO NOT place bait stations more than 2 meters from buildings.</w:t>
            </w:r>
          </w:p>
          <w:p w14:paraId="655AB789" w14:textId="77777777" w:rsidR="008E67EA" w:rsidRPr="00FF138B" w:rsidRDefault="008E67EA" w:rsidP="00B44A74">
            <w:pPr>
              <w:spacing w:line="280" w:lineRule="exact"/>
              <w:rPr>
                <w:rFonts w:cs="Arial"/>
                <w:sz w:val="20"/>
                <w:szCs w:val="20"/>
              </w:rPr>
            </w:pPr>
            <w:r w:rsidRPr="00FF138B">
              <w:rPr>
                <w:rFonts w:cs="Arial"/>
                <w:sz w:val="20"/>
                <w:szCs w:val="20"/>
              </w:rPr>
              <w:t>DO NOT place bait stations outdoors around buildings for control of mice.</w:t>
            </w:r>
          </w:p>
          <w:p w14:paraId="643FE945" w14:textId="77777777" w:rsidR="008E67EA" w:rsidRPr="00FF138B" w:rsidRDefault="008E67EA" w:rsidP="00B44A74">
            <w:pPr>
              <w:spacing w:line="280" w:lineRule="exact"/>
              <w:rPr>
                <w:rFonts w:cs="Arial"/>
                <w:sz w:val="20"/>
                <w:szCs w:val="20"/>
              </w:rPr>
            </w:pPr>
            <w:r w:rsidRPr="00FF138B">
              <w:rPr>
                <w:rFonts w:cs="Arial"/>
                <w:sz w:val="20"/>
                <w:szCs w:val="20"/>
              </w:rPr>
              <w:t>DO NOT bait in areas where wildlife may be collected for human consumption.</w:t>
            </w:r>
          </w:p>
          <w:p w14:paraId="02E4E87E" w14:textId="77777777" w:rsidR="008E67EA" w:rsidRPr="00FF138B" w:rsidRDefault="008E67EA" w:rsidP="00B44A74">
            <w:pPr>
              <w:spacing w:line="280" w:lineRule="exact"/>
              <w:rPr>
                <w:rFonts w:cs="Arial"/>
                <w:sz w:val="20"/>
                <w:szCs w:val="20"/>
              </w:rPr>
            </w:pPr>
            <w:r w:rsidRPr="00FF138B">
              <w:rPr>
                <w:rFonts w:cs="Arial"/>
                <w:sz w:val="20"/>
                <w:szCs w:val="20"/>
              </w:rPr>
              <w:t>DO NOT place in animal or livestock housing unless used in tamper-</w:t>
            </w:r>
            <w:r>
              <w:rPr>
                <w:rFonts w:cs="Arial"/>
                <w:sz w:val="20"/>
                <w:szCs w:val="20"/>
              </w:rPr>
              <w:t>resistant</w:t>
            </w:r>
            <w:r w:rsidRPr="00FF138B">
              <w:rPr>
                <w:rFonts w:cs="Arial"/>
                <w:sz w:val="20"/>
                <w:szCs w:val="20"/>
              </w:rPr>
              <w:t xml:space="preserve"> and weather</w:t>
            </w:r>
            <w:r>
              <w:rPr>
                <w:rFonts w:cs="Arial"/>
                <w:sz w:val="20"/>
                <w:szCs w:val="20"/>
              </w:rPr>
              <w:t>-</w:t>
            </w:r>
            <w:r w:rsidRPr="00FF138B">
              <w:rPr>
                <w:rFonts w:cs="Arial"/>
                <w:sz w:val="20"/>
                <w:szCs w:val="20"/>
              </w:rPr>
              <w:t>resistant bait stations fixed to the ground or other structures.</w:t>
            </w:r>
          </w:p>
          <w:p w14:paraId="22B7D6E2" w14:textId="77777777" w:rsidR="008E67EA" w:rsidRPr="00FF138B" w:rsidRDefault="008E67EA" w:rsidP="00B44A74">
            <w:pPr>
              <w:spacing w:line="280" w:lineRule="exact"/>
              <w:rPr>
                <w:rFonts w:cs="Arial"/>
                <w:sz w:val="20"/>
                <w:szCs w:val="20"/>
              </w:rPr>
            </w:pPr>
            <w:r w:rsidRPr="00FF138B">
              <w:rPr>
                <w:rFonts w:cs="Arial"/>
                <w:sz w:val="20"/>
                <w:szCs w:val="20"/>
              </w:rPr>
              <w:t>DO NOT place bait or bait stations above areas which would allow them to contaminate pig and poultry food or drinking water.</w:t>
            </w:r>
          </w:p>
          <w:p w14:paraId="01BB5CEC" w14:textId="77777777" w:rsidR="008E67EA" w:rsidRPr="002B5B5B" w:rsidRDefault="008E67EA" w:rsidP="00B44A74">
            <w:pPr>
              <w:spacing w:line="280" w:lineRule="exact"/>
              <w:rPr>
                <w:rFonts w:cs="Arial"/>
                <w:sz w:val="20"/>
                <w:szCs w:val="20"/>
              </w:rPr>
            </w:pPr>
            <w:r w:rsidRPr="00FF138B">
              <w:rPr>
                <w:rFonts w:cs="Arial"/>
                <w:sz w:val="20"/>
                <w:szCs w:val="20"/>
              </w:rPr>
              <w:t>DO NOT apply this product directly into burrows.</w:t>
            </w:r>
          </w:p>
        </w:tc>
      </w:tr>
      <w:tr w:rsidR="008E67EA" w:rsidRPr="002B5B5B" w14:paraId="1790DCE5" w14:textId="77777777" w:rsidTr="00B44A74">
        <w:trPr>
          <w:jc w:val="center"/>
        </w:trPr>
        <w:tc>
          <w:tcPr>
            <w:tcW w:w="2415" w:type="dxa"/>
            <w:tcBorders>
              <w:top w:val="single" w:sz="4" w:space="0" w:color="auto"/>
              <w:left w:val="nil"/>
              <w:bottom w:val="single" w:sz="4" w:space="0" w:color="auto"/>
              <w:right w:val="nil"/>
            </w:tcBorders>
          </w:tcPr>
          <w:p w14:paraId="6F7A64E9"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457E4103" w14:textId="77777777" w:rsidR="008E67EA" w:rsidRPr="002B5B5B" w:rsidRDefault="008E67EA" w:rsidP="00B44A74">
            <w:pPr>
              <w:spacing w:line="280" w:lineRule="exact"/>
              <w:rPr>
                <w:rFonts w:cs="Arial"/>
                <w:sz w:val="20"/>
                <w:szCs w:val="20"/>
              </w:rPr>
            </w:pPr>
          </w:p>
        </w:tc>
      </w:tr>
      <w:tr w:rsidR="008E67EA" w:rsidRPr="002B5B5B" w14:paraId="3C0F39F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B76F7A3" w14:textId="77777777" w:rsidR="008E67EA" w:rsidRPr="00F5215F" w:rsidRDefault="008E67EA" w:rsidP="00B44A74">
            <w:pPr>
              <w:spacing w:line="280" w:lineRule="exact"/>
              <w:rPr>
                <w:rFonts w:cs="Arial"/>
                <w:sz w:val="20"/>
                <w:szCs w:val="20"/>
              </w:rPr>
            </w:pPr>
            <w:r w:rsidRPr="00F5215F">
              <w:rPr>
                <w:rFonts w:cs="Arial"/>
                <w:sz w:val="20"/>
                <w:szCs w:val="20"/>
              </w:rPr>
              <w:t>Directions for Use:</w:t>
            </w:r>
          </w:p>
        </w:tc>
        <w:tc>
          <w:tcPr>
            <w:tcW w:w="7755" w:type="dxa"/>
            <w:tcBorders>
              <w:top w:val="single" w:sz="4" w:space="0" w:color="auto"/>
              <w:left w:val="single" w:sz="4" w:space="0" w:color="auto"/>
              <w:bottom w:val="single" w:sz="4" w:space="0" w:color="auto"/>
              <w:right w:val="single" w:sz="4" w:space="0" w:color="auto"/>
            </w:tcBorders>
          </w:tcPr>
          <w:p w14:paraId="0E06F5C5" w14:textId="77777777" w:rsidR="008E67EA" w:rsidRPr="00FF138B" w:rsidRDefault="008E67EA" w:rsidP="00B44A74">
            <w:pPr>
              <w:spacing w:line="280" w:lineRule="exact"/>
              <w:rPr>
                <w:rFonts w:cs="Arial"/>
                <w:color w:val="4472C4" w:themeColor="accent5"/>
                <w:sz w:val="20"/>
                <w:szCs w:val="20"/>
              </w:rPr>
            </w:pPr>
            <w:r w:rsidRPr="00B832BB">
              <w:rPr>
                <w:rFonts w:cs="Arial"/>
                <w:sz w:val="20"/>
                <w:szCs w:val="20"/>
              </w:rPr>
              <w:t>[This section contains an attachment below]</w:t>
            </w:r>
          </w:p>
        </w:tc>
      </w:tr>
      <w:tr w:rsidR="008E67EA" w:rsidRPr="002B5B5B" w14:paraId="3F96A59D" w14:textId="77777777" w:rsidTr="00B44A74">
        <w:trPr>
          <w:jc w:val="center"/>
        </w:trPr>
        <w:tc>
          <w:tcPr>
            <w:tcW w:w="2415" w:type="dxa"/>
            <w:tcBorders>
              <w:top w:val="single" w:sz="4" w:space="0" w:color="auto"/>
              <w:left w:val="nil"/>
              <w:bottom w:val="single" w:sz="4" w:space="0" w:color="auto"/>
              <w:right w:val="nil"/>
            </w:tcBorders>
          </w:tcPr>
          <w:p w14:paraId="2F2FA9CC"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291D49E" w14:textId="77777777" w:rsidR="008E67EA" w:rsidRPr="002B5B5B" w:rsidRDefault="008E67EA" w:rsidP="00B44A74">
            <w:pPr>
              <w:spacing w:line="280" w:lineRule="exact"/>
              <w:rPr>
                <w:rFonts w:cs="Arial"/>
                <w:sz w:val="20"/>
                <w:szCs w:val="20"/>
              </w:rPr>
            </w:pPr>
          </w:p>
        </w:tc>
      </w:tr>
      <w:tr w:rsidR="008E67EA" w:rsidRPr="002B5B5B" w14:paraId="591AE32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15C4750" w14:textId="77777777" w:rsidR="008E67EA" w:rsidRPr="00F5215F" w:rsidRDefault="008E67EA" w:rsidP="00B44A74">
            <w:pPr>
              <w:spacing w:line="280" w:lineRule="exact"/>
              <w:rPr>
                <w:rFonts w:cs="Arial"/>
                <w:sz w:val="20"/>
                <w:szCs w:val="20"/>
              </w:rPr>
            </w:pPr>
            <w:r w:rsidRPr="00F5215F">
              <w:rPr>
                <w:rFonts w:cs="Arial"/>
                <w:sz w:val="20"/>
                <w:szCs w:val="20"/>
              </w:rPr>
              <w:t>Other Limitations:</w:t>
            </w:r>
          </w:p>
        </w:tc>
        <w:tc>
          <w:tcPr>
            <w:tcW w:w="7755" w:type="dxa"/>
            <w:tcBorders>
              <w:top w:val="single" w:sz="4" w:space="0" w:color="auto"/>
              <w:left w:val="single" w:sz="4" w:space="0" w:color="auto"/>
              <w:bottom w:val="single" w:sz="4" w:space="0" w:color="auto"/>
              <w:right w:val="single" w:sz="4" w:space="0" w:color="auto"/>
            </w:tcBorders>
          </w:tcPr>
          <w:p w14:paraId="1C288249" w14:textId="77777777" w:rsidR="008E67EA" w:rsidRPr="002B5B5B" w:rsidRDefault="008E67EA" w:rsidP="00B44A74">
            <w:pPr>
              <w:spacing w:line="280" w:lineRule="exact"/>
              <w:rPr>
                <w:rFonts w:cs="Arial"/>
                <w:sz w:val="20"/>
                <w:szCs w:val="20"/>
              </w:rPr>
            </w:pPr>
          </w:p>
        </w:tc>
      </w:tr>
      <w:tr w:rsidR="008E67EA" w:rsidRPr="002B5B5B" w14:paraId="61E167B8" w14:textId="77777777" w:rsidTr="00B44A74">
        <w:trPr>
          <w:jc w:val="center"/>
        </w:trPr>
        <w:tc>
          <w:tcPr>
            <w:tcW w:w="2415" w:type="dxa"/>
            <w:tcBorders>
              <w:top w:val="single" w:sz="4" w:space="0" w:color="auto"/>
              <w:left w:val="nil"/>
              <w:bottom w:val="single" w:sz="4" w:space="0" w:color="auto"/>
              <w:right w:val="nil"/>
            </w:tcBorders>
          </w:tcPr>
          <w:p w14:paraId="7789A862"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70DA78B" w14:textId="77777777" w:rsidR="008E67EA" w:rsidRPr="002B5B5B" w:rsidRDefault="008E67EA" w:rsidP="00B44A74">
            <w:pPr>
              <w:spacing w:line="280" w:lineRule="exact"/>
              <w:rPr>
                <w:rFonts w:cs="Arial"/>
                <w:sz w:val="20"/>
                <w:szCs w:val="20"/>
              </w:rPr>
            </w:pPr>
          </w:p>
        </w:tc>
      </w:tr>
      <w:tr w:rsidR="008E67EA" w:rsidRPr="002B5B5B" w14:paraId="5EC3BB1A"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F54F129" w14:textId="77777777" w:rsidR="008E67EA" w:rsidRPr="00F5215F" w:rsidRDefault="008E67EA" w:rsidP="00B44A74">
            <w:pPr>
              <w:spacing w:line="280" w:lineRule="exact"/>
              <w:rPr>
                <w:rFonts w:cs="Arial"/>
                <w:sz w:val="20"/>
                <w:szCs w:val="20"/>
              </w:rPr>
            </w:pPr>
            <w:r w:rsidRPr="00F5215F">
              <w:rPr>
                <w:rFonts w:cs="Arial"/>
                <w:sz w:val="20"/>
                <w:szCs w:val="20"/>
              </w:rPr>
              <w:t>Withholding Periods:</w:t>
            </w:r>
          </w:p>
        </w:tc>
        <w:tc>
          <w:tcPr>
            <w:tcW w:w="7755" w:type="dxa"/>
            <w:tcBorders>
              <w:top w:val="single" w:sz="4" w:space="0" w:color="auto"/>
              <w:left w:val="single" w:sz="4" w:space="0" w:color="auto"/>
              <w:bottom w:val="single" w:sz="4" w:space="0" w:color="auto"/>
              <w:right w:val="single" w:sz="4" w:space="0" w:color="auto"/>
            </w:tcBorders>
          </w:tcPr>
          <w:p w14:paraId="18B47A47" w14:textId="77777777" w:rsidR="008E67EA" w:rsidRPr="002B5B5B" w:rsidRDefault="008E67EA" w:rsidP="00B44A74">
            <w:pPr>
              <w:spacing w:line="280" w:lineRule="exact"/>
              <w:rPr>
                <w:rFonts w:cs="Arial"/>
                <w:sz w:val="20"/>
                <w:szCs w:val="20"/>
              </w:rPr>
            </w:pPr>
          </w:p>
        </w:tc>
      </w:tr>
      <w:tr w:rsidR="008E67EA" w:rsidRPr="002B5B5B" w14:paraId="5D0F0234" w14:textId="77777777" w:rsidTr="00B44A74">
        <w:trPr>
          <w:jc w:val="center"/>
        </w:trPr>
        <w:tc>
          <w:tcPr>
            <w:tcW w:w="2415" w:type="dxa"/>
            <w:tcBorders>
              <w:top w:val="single" w:sz="4" w:space="0" w:color="auto"/>
              <w:left w:val="nil"/>
              <w:bottom w:val="single" w:sz="4" w:space="0" w:color="auto"/>
              <w:right w:val="nil"/>
            </w:tcBorders>
          </w:tcPr>
          <w:p w14:paraId="15EDAEF6"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A5DD707" w14:textId="77777777" w:rsidR="008E67EA" w:rsidRPr="002B5B5B" w:rsidRDefault="008E67EA" w:rsidP="00B44A74">
            <w:pPr>
              <w:spacing w:line="280" w:lineRule="exact"/>
              <w:rPr>
                <w:rFonts w:cs="Arial"/>
                <w:sz w:val="20"/>
                <w:szCs w:val="20"/>
              </w:rPr>
            </w:pPr>
          </w:p>
        </w:tc>
      </w:tr>
      <w:tr w:rsidR="008E67EA" w:rsidRPr="002B5B5B" w14:paraId="409A44B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3D47CDA" w14:textId="77777777" w:rsidR="008E67EA" w:rsidRPr="00F5215F" w:rsidRDefault="008E67EA" w:rsidP="00B44A74">
            <w:pPr>
              <w:spacing w:line="280" w:lineRule="exact"/>
              <w:rPr>
                <w:rFonts w:cs="Arial"/>
                <w:sz w:val="20"/>
                <w:szCs w:val="20"/>
              </w:rPr>
            </w:pPr>
            <w:r w:rsidRPr="00F5215F">
              <w:rPr>
                <w:rFonts w:cs="Arial"/>
                <w:sz w:val="20"/>
                <w:szCs w:val="20"/>
              </w:rPr>
              <w:t>Trade Advice:</w:t>
            </w:r>
          </w:p>
        </w:tc>
        <w:tc>
          <w:tcPr>
            <w:tcW w:w="7755" w:type="dxa"/>
            <w:tcBorders>
              <w:top w:val="single" w:sz="4" w:space="0" w:color="auto"/>
              <w:left w:val="single" w:sz="4" w:space="0" w:color="auto"/>
              <w:bottom w:val="single" w:sz="4" w:space="0" w:color="auto"/>
              <w:right w:val="single" w:sz="4" w:space="0" w:color="auto"/>
            </w:tcBorders>
          </w:tcPr>
          <w:p w14:paraId="29C6899E" w14:textId="77777777" w:rsidR="008E67EA" w:rsidRPr="002B5B5B" w:rsidRDefault="008E67EA" w:rsidP="00B44A74">
            <w:pPr>
              <w:spacing w:line="280" w:lineRule="exact"/>
              <w:rPr>
                <w:rFonts w:cs="Arial"/>
                <w:sz w:val="20"/>
                <w:szCs w:val="20"/>
              </w:rPr>
            </w:pPr>
          </w:p>
        </w:tc>
      </w:tr>
      <w:tr w:rsidR="008E67EA" w:rsidRPr="002B5B5B" w14:paraId="0D380C98" w14:textId="77777777" w:rsidTr="00B44A74">
        <w:trPr>
          <w:jc w:val="center"/>
        </w:trPr>
        <w:tc>
          <w:tcPr>
            <w:tcW w:w="2415" w:type="dxa"/>
            <w:tcBorders>
              <w:top w:val="single" w:sz="4" w:space="0" w:color="auto"/>
              <w:left w:val="nil"/>
              <w:bottom w:val="single" w:sz="4" w:space="0" w:color="auto"/>
              <w:right w:val="nil"/>
            </w:tcBorders>
          </w:tcPr>
          <w:p w14:paraId="794C1EC3"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784514B3" w14:textId="77777777" w:rsidR="008E67EA" w:rsidRPr="002B5B5B" w:rsidRDefault="008E67EA" w:rsidP="00B44A74">
            <w:pPr>
              <w:spacing w:line="280" w:lineRule="exact"/>
              <w:rPr>
                <w:rFonts w:cs="Arial"/>
                <w:sz w:val="20"/>
                <w:szCs w:val="20"/>
              </w:rPr>
            </w:pPr>
          </w:p>
        </w:tc>
      </w:tr>
      <w:tr w:rsidR="008E67EA" w:rsidRPr="002B5B5B" w14:paraId="5F6CDCB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A47D68C" w14:textId="77777777" w:rsidR="008E67EA" w:rsidRPr="00F5215F" w:rsidRDefault="008E67EA" w:rsidP="00B44A74">
            <w:pPr>
              <w:spacing w:line="280" w:lineRule="exact"/>
              <w:rPr>
                <w:rFonts w:cs="Arial"/>
                <w:sz w:val="20"/>
                <w:szCs w:val="20"/>
              </w:rPr>
            </w:pPr>
            <w:r w:rsidRPr="00F5215F">
              <w:rPr>
                <w:rFonts w:cs="Arial"/>
                <w:sz w:val="20"/>
                <w:szCs w:val="20"/>
              </w:rPr>
              <w:t>General Directions:</w:t>
            </w:r>
          </w:p>
        </w:tc>
        <w:tc>
          <w:tcPr>
            <w:tcW w:w="7755" w:type="dxa"/>
            <w:tcBorders>
              <w:top w:val="single" w:sz="4" w:space="0" w:color="auto"/>
              <w:left w:val="single" w:sz="4" w:space="0" w:color="auto"/>
              <w:bottom w:val="single" w:sz="4" w:space="0" w:color="auto"/>
              <w:right w:val="single" w:sz="4" w:space="0" w:color="auto"/>
            </w:tcBorders>
          </w:tcPr>
          <w:p w14:paraId="70FE7C98" w14:textId="77777777" w:rsidR="008E67EA" w:rsidRPr="00BB07B6" w:rsidRDefault="008E67EA" w:rsidP="00B44A74">
            <w:pPr>
              <w:spacing w:line="280" w:lineRule="exact"/>
              <w:rPr>
                <w:rFonts w:cs="Arial"/>
                <w:sz w:val="20"/>
                <w:szCs w:val="20"/>
              </w:rPr>
            </w:pPr>
            <w:r w:rsidRPr="00BB07B6">
              <w:rPr>
                <w:rFonts w:cs="Arial"/>
                <w:sz w:val="20"/>
                <w:szCs w:val="20"/>
              </w:rPr>
              <w:t>GENERAL INSTRUCTIONS</w:t>
            </w:r>
          </w:p>
          <w:p w14:paraId="6DFEB4D9" w14:textId="77777777" w:rsidR="008E67EA" w:rsidRPr="00E85347" w:rsidRDefault="008E67EA" w:rsidP="00B44A74">
            <w:pPr>
              <w:spacing w:line="280" w:lineRule="exact"/>
              <w:rPr>
                <w:rFonts w:cs="Arial"/>
                <w:color w:val="4472C4" w:themeColor="accent5"/>
                <w:sz w:val="20"/>
                <w:szCs w:val="20"/>
              </w:rPr>
            </w:pPr>
            <w:r w:rsidRPr="00BB07B6">
              <w:rPr>
                <w:rFonts w:cs="Arial"/>
                <w:sz w:val="20"/>
                <w:szCs w:val="20"/>
              </w:rPr>
              <w:lastRenderedPageBreak/>
              <w:t>Alternative food sources should be removed or reduced as much as possible. A lethal dose is readily consumed in a single feed but death may not occur for up to seven days.</w:t>
            </w:r>
            <w:r w:rsidRPr="00FF138B">
              <w:rPr>
                <w:rFonts w:cs="Arial"/>
                <w:color w:val="4472C4" w:themeColor="accent5"/>
                <w:sz w:val="20"/>
                <w:szCs w:val="20"/>
              </w:rPr>
              <w:t xml:space="preserve"> </w:t>
            </w:r>
          </w:p>
        </w:tc>
      </w:tr>
      <w:tr w:rsidR="008E67EA" w:rsidRPr="002B5B5B" w14:paraId="192AD991" w14:textId="77777777" w:rsidTr="00B44A74">
        <w:trPr>
          <w:jc w:val="center"/>
        </w:trPr>
        <w:tc>
          <w:tcPr>
            <w:tcW w:w="2415" w:type="dxa"/>
            <w:tcBorders>
              <w:top w:val="single" w:sz="4" w:space="0" w:color="auto"/>
              <w:left w:val="nil"/>
              <w:bottom w:val="single" w:sz="4" w:space="0" w:color="auto"/>
              <w:right w:val="nil"/>
            </w:tcBorders>
          </w:tcPr>
          <w:p w14:paraId="6E5D6539"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100133BF" w14:textId="77777777" w:rsidR="008E67EA" w:rsidRPr="002B5B5B" w:rsidRDefault="008E67EA" w:rsidP="00B44A74">
            <w:pPr>
              <w:spacing w:line="280" w:lineRule="exact"/>
              <w:rPr>
                <w:rFonts w:cs="Arial"/>
                <w:sz w:val="20"/>
                <w:szCs w:val="20"/>
              </w:rPr>
            </w:pPr>
          </w:p>
        </w:tc>
      </w:tr>
      <w:tr w:rsidR="008E67EA" w:rsidRPr="002B5B5B" w14:paraId="2E2DE41B"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1BE9457A" w14:textId="77777777" w:rsidR="008E67EA" w:rsidRPr="00F5215F" w:rsidRDefault="008E67EA" w:rsidP="00B44A74">
            <w:pPr>
              <w:spacing w:line="280" w:lineRule="exact"/>
              <w:rPr>
                <w:rFonts w:cs="Arial"/>
                <w:sz w:val="20"/>
                <w:szCs w:val="20"/>
              </w:rPr>
            </w:pPr>
            <w:r w:rsidRPr="00F5215F">
              <w:rPr>
                <w:rFonts w:cs="Arial"/>
                <w:sz w:val="20"/>
                <w:szCs w:val="20"/>
              </w:rPr>
              <w:t>Resistance Warning:</w:t>
            </w:r>
          </w:p>
        </w:tc>
        <w:tc>
          <w:tcPr>
            <w:tcW w:w="7755" w:type="dxa"/>
            <w:tcBorders>
              <w:top w:val="single" w:sz="4" w:space="0" w:color="auto"/>
              <w:left w:val="single" w:sz="4" w:space="0" w:color="auto"/>
              <w:bottom w:val="single" w:sz="4" w:space="0" w:color="auto"/>
              <w:right w:val="single" w:sz="4" w:space="0" w:color="auto"/>
            </w:tcBorders>
          </w:tcPr>
          <w:p w14:paraId="5F1B1CD4" w14:textId="77777777" w:rsidR="008E67EA" w:rsidRPr="002B5B5B" w:rsidRDefault="008E67EA" w:rsidP="00B44A74">
            <w:pPr>
              <w:spacing w:line="280" w:lineRule="exact"/>
              <w:rPr>
                <w:rFonts w:cs="Arial"/>
                <w:sz w:val="20"/>
                <w:szCs w:val="20"/>
              </w:rPr>
            </w:pPr>
          </w:p>
        </w:tc>
      </w:tr>
      <w:tr w:rsidR="008E67EA" w:rsidRPr="002B5B5B" w14:paraId="5183DE36" w14:textId="77777777" w:rsidTr="00B44A74">
        <w:trPr>
          <w:jc w:val="center"/>
        </w:trPr>
        <w:tc>
          <w:tcPr>
            <w:tcW w:w="2415" w:type="dxa"/>
            <w:tcBorders>
              <w:top w:val="single" w:sz="4" w:space="0" w:color="auto"/>
              <w:left w:val="nil"/>
              <w:bottom w:val="single" w:sz="4" w:space="0" w:color="auto"/>
              <w:right w:val="nil"/>
            </w:tcBorders>
          </w:tcPr>
          <w:p w14:paraId="3194B9A6"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1A2E6FA" w14:textId="77777777" w:rsidR="008E67EA" w:rsidRPr="002B5B5B" w:rsidRDefault="008E67EA" w:rsidP="00B44A74">
            <w:pPr>
              <w:spacing w:line="280" w:lineRule="exact"/>
              <w:rPr>
                <w:rFonts w:cs="Arial"/>
                <w:sz w:val="20"/>
                <w:szCs w:val="20"/>
              </w:rPr>
            </w:pPr>
          </w:p>
        </w:tc>
      </w:tr>
      <w:tr w:rsidR="008E67EA" w:rsidRPr="002B5B5B" w14:paraId="396DA206"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AF08BD8" w14:textId="77777777" w:rsidR="008E67EA" w:rsidRPr="00F5215F" w:rsidRDefault="008E67EA" w:rsidP="00B44A74">
            <w:pPr>
              <w:spacing w:line="280" w:lineRule="exact"/>
              <w:rPr>
                <w:rFonts w:cs="Arial"/>
                <w:sz w:val="20"/>
                <w:szCs w:val="20"/>
              </w:rPr>
            </w:pPr>
            <w:r w:rsidRPr="00F5215F">
              <w:rPr>
                <w:rFonts w:cs="Arial"/>
                <w:sz w:val="20"/>
                <w:szCs w:val="20"/>
              </w:rPr>
              <w:t>Precautions:</w:t>
            </w:r>
          </w:p>
        </w:tc>
        <w:tc>
          <w:tcPr>
            <w:tcW w:w="7755" w:type="dxa"/>
            <w:tcBorders>
              <w:top w:val="single" w:sz="4" w:space="0" w:color="auto"/>
              <w:left w:val="single" w:sz="4" w:space="0" w:color="auto"/>
              <w:bottom w:val="single" w:sz="4" w:space="0" w:color="auto"/>
              <w:right w:val="single" w:sz="4" w:space="0" w:color="auto"/>
            </w:tcBorders>
          </w:tcPr>
          <w:p w14:paraId="0931A93A" w14:textId="77777777" w:rsidR="008E67EA" w:rsidRDefault="008E67EA" w:rsidP="00B44A74">
            <w:pPr>
              <w:spacing w:line="280" w:lineRule="exact"/>
              <w:rPr>
                <w:rFonts w:cs="Arial"/>
                <w:sz w:val="20"/>
                <w:szCs w:val="20"/>
              </w:rPr>
            </w:pPr>
            <w:r>
              <w:rPr>
                <w:rFonts w:cs="Arial"/>
                <w:sz w:val="20"/>
                <w:szCs w:val="20"/>
              </w:rPr>
              <w:t>PRECAUTIONS</w:t>
            </w:r>
          </w:p>
          <w:p w14:paraId="5135BBAF" w14:textId="77777777" w:rsidR="008E67EA" w:rsidRPr="00FF138B" w:rsidRDefault="008E67EA" w:rsidP="00B44A74">
            <w:pPr>
              <w:spacing w:line="280" w:lineRule="exact"/>
              <w:rPr>
                <w:rFonts w:cs="Arial"/>
                <w:sz w:val="20"/>
                <w:szCs w:val="20"/>
              </w:rPr>
            </w:pPr>
            <w:r w:rsidRPr="00FF138B">
              <w:rPr>
                <w:rFonts w:cs="Arial"/>
                <w:sz w:val="20"/>
                <w:szCs w:val="20"/>
              </w:rPr>
              <w:t>Caution should be used when baiting near areas where hunting of wildlife may occur. Careful consideration of bait placement is necessary to avoid secondary exposure from contaminated wildlife that may be consumed.</w:t>
            </w:r>
          </w:p>
          <w:p w14:paraId="156E0976" w14:textId="77777777" w:rsidR="008E67EA" w:rsidRPr="002B5B5B" w:rsidRDefault="008E67EA" w:rsidP="00B44A74">
            <w:pPr>
              <w:spacing w:line="280" w:lineRule="exact"/>
              <w:rPr>
                <w:rFonts w:cs="Arial"/>
                <w:sz w:val="20"/>
                <w:szCs w:val="20"/>
                <w:highlight w:val="yellow"/>
              </w:rPr>
            </w:pPr>
            <w:r w:rsidRPr="00FF138B">
              <w:rPr>
                <w:rFonts w:cs="Arial"/>
                <w:sz w:val="20"/>
                <w:szCs w:val="20"/>
              </w:rPr>
              <w:t>DO NOT place bait in areas where there is a possibility of contaminating food, livestock feed or surfaces that come in direct contact with food or livestock feed.</w:t>
            </w:r>
          </w:p>
        </w:tc>
      </w:tr>
      <w:tr w:rsidR="008E67EA" w:rsidRPr="002B5B5B" w14:paraId="436C01EC" w14:textId="77777777" w:rsidTr="00B44A74">
        <w:trPr>
          <w:jc w:val="center"/>
        </w:trPr>
        <w:tc>
          <w:tcPr>
            <w:tcW w:w="2415" w:type="dxa"/>
            <w:tcBorders>
              <w:top w:val="single" w:sz="4" w:space="0" w:color="auto"/>
              <w:left w:val="nil"/>
              <w:bottom w:val="single" w:sz="4" w:space="0" w:color="auto"/>
              <w:right w:val="nil"/>
            </w:tcBorders>
          </w:tcPr>
          <w:p w14:paraId="3DED95D3"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E998ABB" w14:textId="77777777" w:rsidR="008E67EA" w:rsidRPr="002B5B5B" w:rsidRDefault="008E67EA" w:rsidP="00B44A74">
            <w:pPr>
              <w:spacing w:line="280" w:lineRule="exact"/>
              <w:rPr>
                <w:rFonts w:cs="Arial"/>
                <w:sz w:val="20"/>
                <w:szCs w:val="20"/>
              </w:rPr>
            </w:pPr>
          </w:p>
        </w:tc>
      </w:tr>
      <w:tr w:rsidR="008E67EA" w:rsidRPr="002B5B5B" w14:paraId="6F95A90F"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21929A58" w14:textId="77777777" w:rsidR="008E67EA" w:rsidRPr="00F5215F" w:rsidRDefault="008E67EA" w:rsidP="00B44A74">
            <w:pPr>
              <w:spacing w:line="280" w:lineRule="exact"/>
              <w:rPr>
                <w:rFonts w:cs="Arial"/>
                <w:sz w:val="20"/>
                <w:szCs w:val="20"/>
              </w:rPr>
            </w:pPr>
            <w:r w:rsidRPr="00F5215F">
              <w:rPr>
                <w:rFonts w:cs="Arial"/>
                <w:sz w:val="20"/>
                <w:szCs w:val="20"/>
              </w:rPr>
              <w:t>Protection Statements:</w:t>
            </w:r>
          </w:p>
        </w:tc>
        <w:tc>
          <w:tcPr>
            <w:tcW w:w="7755" w:type="dxa"/>
            <w:tcBorders>
              <w:top w:val="single" w:sz="4" w:space="0" w:color="auto"/>
              <w:left w:val="single" w:sz="4" w:space="0" w:color="auto"/>
              <w:bottom w:val="single" w:sz="4" w:space="0" w:color="auto"/>
              <w:right w:val="single" w:sz="4" w:space="0" w:color="auto"/>
            </w:tcBorders>
          </w:tcPr>
          <w:p w14:paraId="1037F31F" w14:textId="77777777" w:rsidR="008E67EA" w:rsidRPr="00FF138B" w:rsidRDefault="008E67EA" w:rsidP="00B44A74">
            <w:pPr>
              <w:spacing w:line="280" w:lineRule="exact"/>
              <w:rPr>
                <w:rFonts w:cs="Arial"/>
                <w:sz w:val="20"/>
                <w:szCs w:val="20"/>
              </w:rPr>
            </w:pPr>
            <w:r w:rsidRPr="00FF138B">
              <w:rPr>
                <w:rFonts w:cs="Arial"/>
                <w:sz w:val="20"/>
                <w:szCs w:val="20"/>
              </w:rPr>
              <w:t>PROTECTION OF LIVESTOCK AND WILDLIFE</w:t>
            </w:r>
          </w:p>
          <w:p w14:paraId="4D7694DF" w14:textId="77777777" w:rsidR="008E67EA" w:rsidRPr="00FF138B" w:rsidRDefault="008E67EA" w:rsidP="00B44A74">
            <w:pPr>
              <w:spacing w:line="280" w:lineRule="exact"/>
              <w:rPr>
                <w:rFonts w:cs="Arial"/>
                <w:sz w:val="20"/>
                <w:szCs w:val="20"/>
              </w:rPr>
            </w:pPr>
            <w:r w:rsidRPr="00FF138B">
              <w:rPr>
                <w:rFonts w:cs="Arial"/>
                <w:sz w:val="20"/>
                <w:szCs w:val="20"/>
              </w:rPr>
              <w:t>Hazardous to livestock, poultry and wildlife. DO NOT place baits in locations that are accessible to domestic animals, livestock, non-target native animals or birds.</w:t>
            </w:r>
          </w:p>
          <w:p w14:paraId="593A1A15" w14:textId="77777777" w:rsidR="008E67EA" w:rsidRPr="00FF138B" w:rsidRDefault="008E67EA" w:rsidP="00B44A74">
            <w:pPr>
              <w:spacing w:line="280" w:lineRule="exact"/>
              <w:rPr>
                <w:rFonts w:cs="Arial"/>
                <w:sz w:val="20"/>
                <w:szCs w:val="20"/>
              </w:rPr>
            </w:pPr>
            <w:r w:rsidRPr="00FF138B">
              <w:rPr>
                <w:rFonts w:cs="Arial"/>
                <w:sz w:val="20"/>
                <w:szCs w:val="20"/>
              </w:rPr>
              <w:t xml:space="preserve">Search for and dispose of dead rodents and slugs/snails in the infested area at each visit to prevent secondary poisoning. In case slugs/snails are present, move bait station to another location within the rodent infested site, away from slugs/snails. Dispose of slugs/snails in a way non-target animals are not exposed. Dispose of dead rodents and uneaten bait in compliance with local, state or territory government regulations. </w:t>
            </w:r>
          </w:p>
          <w:p w14:paraId="25078720" w14:textId="77777777" w:rsidR="008E67EA" w:rsidRDefault="008E67EA" w:rsidP="00B44A74">
            <w:pPr>
              <w:spacing w:line="280" w:lineRule="exact"/>
            </w:pPr>
            <w:r w:rsidRPr="00FF138B">
              <w:rPr>
                <w:rFonts w:cs="Arial"/>
                <w:sz w:val="20"/>
                <w:szCs w:val="20"/>
              </w:rPr>
              <w:t>DO NOT allow livestock or poultry to consume dead or moribund mice and rats. All dead or moribund animals and rodent faeces from baited rodents MUST be removed from areas accessible to livestock or poultry.</w:t>
            </w:r>
            <w:r>
              <w:t xml:space="preserve"> </w:t>
            </w:r>
          </w:p>
          <w:p w14:paraId="2CD794E4" w14:textId="77777777" w:rsidR="008E67EA" w:rsidRPr="00FF138B" w:rsidRDefault="008E67EA" w:rsidP="00B44A74">
            <w:pPr>
              <w:spacing w:line="280" w:lineRule="exact"/>
              <w:rPr>
                <w:rFonts w:cs="Arial"/>
                <w:sz w:val="20"/>
                <w:szCs w:val="20"/>
              </w:rPr>
            </w:pPr>
            <w:r w:rsidRPr="0012306C">
              <w:rPr>
                <w:rFonts w:cs="Arial"/>
                <w:sz w:val="20"/>
                <w:szCs w:val="20"/>
              </w:rPr>
              <w:t>The use of this product for the control of protected native rodents requires permission from wildlife authorities.</w:t>
            </w:r>
          </w:p>
          <w:p w14:paraId="6577C67E" w14:textId="77777777" w:rsidR="008E67EA" w:rsidRPr="00FF138B" w:rsidRDefault="008E67EA" w:rsidP="00B44A74">
            <w:pPr>
              <w:spacing w:line="280" w:lineRule="exact"/>
              <w:rPr>
                <w:rFonts w:cs="Arial"/>
                <w:sz w:val="20"/>
                <w:szCs w:val="20"/>
              </w:rPr>
            </w:pPr>
          </w:p>
          <w:p w14:paraId="3F06BD8B" w14:textId="77777777" w:rsidR="008E67EA" w:rsidRPr="00FF138B" w:rsidRDefault="008E67EA" w:rsidP="00B44A74">
            <w:pPr>
              <w:spacing w:line="280" w:lineRule="exact"/>
              <w:rPr>
                <w:rFonts w:cs="Arial"/>
                <w:sz w:val="20"/>
                <w:szCs w:val="20"/>
              </w:rPr>
            </w:pPr>
            <w:r w:rsidRPr="00FF138B">
              <w:rPr>
                <w:rFonts w:cs="Arial"/>
                <w:sz w:val="20"/>
                <w:szCs w:val="20"/>
              </w:rPr>
              <w:t>PROTECTION OF FISH, CRUSTACEANS AND ENVIRONMENT</w:t>
            </w:r>
          </w:p>
          <w:p w14:paraId="00A25B4F" w14:textId="7B38CE14" w:rsidR="008E67EA" w:rsidRPr="002B5B5B" w:rsidRDefault="008E67EA" w:rsidP="00B44A74">
            <w:pPr>
              <w:spacing w:line="280" w:lineRule="exact"/>
              <w:rPr>
                <w:rFonts w:cs="Arial"/>
                <w:sz w:val="20"/>
                <w:szCs w:val="20"/>
              </w:rPr>
            </w:pPr>
            <w:r w:rsidRPr="00FF138B">
              <w:rPr>
                <w:rFonts w:cs="Arial"/>
                <w:sz w:val="20"/>
                <w:szCs w:val="20"/>
              </w:rPr>
              <w:t>Very toxic to aquatic life. DO NOT contaminate wetlands or watercourses with this product or used containers. Place the bait stations in areas not liable to flooding. When placing bait stations close to water drainage systems, ensure that bait contact with water is avoided.</w:t>
            </w:r>
          </w:p>
        </w:tc>
      </w:tr>
      <w:tr w:rsidR="008E67EA" w:rsidRPr="002B5B5B" w14:paraId="7CC8788C" w14:textId="77777777" w:rsidTr="00B44A74">
        <w:trPr>
          <w:jc w:val="center"/>
        </w:trPr>
        <w:tc>
          <w:tcPr>
            <w:tcW w:w="2415" w:type="dxa"/>
            <w:tcBorders>
              <w:top w:val="single" w:sz="4" w:space="0" w:color="auto"/>
              <w:left w:val="nil"/>
              <w:bottom w:val="single" w:sz="4" w:space="0" w:color="auto"/>
              <w:right w:val="nil"/>
            </w:tcBorders>
          </w:tcPr>
          <w:p w14:paraId="5B83899A"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6042C690" w14:textId="77777777" w:rsidR="008E67EA" w:rsidRPr="002B5B5B" w:rsidRDefault="008E67EA" w:rsidP="00B44A74">
            <w:pPr>
              <w:spacing w:line="280" w:lineRule="exact"/>
              <w:rPr>
                <w:rFonts w:cs="Arial"/>
                <w:sz w:val="20"/>
                <w:szCs w:val="20"/>
              </w:rPr>
            </w:pPr>
          </w:p>
        </w:tc>
      </w:tr>
      <w:tr w:rsidR="008E67EA" w:rsidRPr="002B5B5B" w14:paraId="1BC07E4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1C584D4" w14:textId="77777777" w:rsidR="008E67EA" w:rsidRPr="00F5215F" w:rsidRDefault="008E67EA" w:rsidP="00B44A74">
            <w:pPr>
              <w:spacing w:line="280" w:lineRule="exact"/>
              <w:rPr>
                <w:rFonts w:cs="Arial"/>
                <w:sz w:val="20"/>
                <w:szCs w:val="20"/>
              </w:rPr>
            </w:pPr>
            <w:r w:rsidRPr="00F5215F">
              <w:rPr>
                <w:rFonts w:cs="Arial"/>
                <w:sz w:val="20"/>
                <w:szCs w:val="20"/>
              </w:rPr>
              <w:t>Storage and Disposal:</w:t>
            </w:r>
          </w:p>
        </w:tc>
        <w:tc>
          <w:tcPr>
            <w:tcW w:w="7755" w:type="dxa"/>
            <w:tcBorders>
              <w:top w:val="single" w:sz="4" w:space="0" w:color="auto"/>
              <w:left w:val="single" w:sz="4" w:space="0" w:color="auto"/>
              <w:bottom w:val="single" w:sz="4" w:space="0" w:color="auto"/>
              <w:right w:val="single" w:sz="4" w:space="0" w:color="auto"/>
            </w:tcBorders>
          </w:tcPr>
          <w:p w14:paraId="01857723" w14:textId="77777777" w:rsidR="008E67EA" w:rsidRDefault="008E67EA" w:rsidP="00B44A74">
            <w:pPr>
              <w:spacing w:line="280" w:lineRule="exact"/>
              <w:rPr>
                <w:rFonts w:cs="Arial"/>
                <w:sz w:val="20"/>
                <w:szCs w:val="20"/>
              </w:rPr>
            </w:pPr>
            <w:r>
              <w:rPr>
                <w:rFonts w:cs="Arial"/>
                <w:sz w:val="20"/>
                <w:szCs w:val="20"/>
              </w:rPr>
              <w:t>STORAGE AND DISPOSAL</w:t>
            </w:r>
          </w:p>
          <w:p w14:paraId="78381D14" w14:textId="77777777" w:rsidR="008E67EA" w:rsidRPr="002B5B5B" w:rsidRDefault="008E67EA" w:rsidP="00B44A74">
            <w:pPr>
              <w:spacing w:line="280" w:lineRule="exact"/>
              <w:rPr>
                <w:rFonts w:cs="Arial"/>
                <w:sz w:val="20"/>
                <w:szCs w:val="20"/>
              </w:rPr>
            </w:pPr>
            <w:r w:rsidRPr="00FF138B">
              <w:rPr>
                <w:rFonts w:cs="Arial"/>
                <w:sz w:val="20"/>
                <w:szCs w:val="20"/>
              </w:rPr>
              <w:t>Store in the closed original container in a safe place. DO NOT store for prolonged periods in direct sunlight</w:t>
            </w:r>
            <w:r>
              <w:rPr>
                <w:rFonts w:cs="Arial"/>
                <w:sz w:val="20"/>
                <w:szCs w:val="20"/>
              </w:rPr>
              <w:t xml:space="preserve">. </w:t>
            </w:r>
            <w:r w:rsidRPr="00FF138B">
              <w:rPr>
                <w:rFonts w:cs="Arial"/>
                <w:sz w:val="20"/>
                <w:szCs w:val="20"/>
              </w:rPr>
              <w:t>Triple rinse containers before disposal. Break, crush or puncture and deliver empty packaging to an approved waste management facility. If an approved waste management facility is not available, dispose of empty packaging in compliance with relevant local, state or territory government regulations.</w:t>
            </w:r>
            <w:r w:rsidRPr="005E538D">
              <w:rPr>
                <w:rFonts w:cs="Arial"/>
                <w:sz w:val="20"/>
                <w:szCs w:val="20"/>
                <w:bdr w:val="none" w:sz="0" w:space="0" w:color="auto" w:frame="1"/>
                <w:lang w:val="en-GB" w:eastAsia="en-AU"/>
              </w:rPr>
              <w:t xml:space="preserve"> Dispose of unused product in compliance with relevant local, state or territory government regulations.</w:t>
            </w:r>
            <w:r>
              <w:rPr>
                <w:rFonts w:cs="Arial"/>
                <w:sz w:val="20"/>
                <w:szCs w:val="20"/>
                <w:bdr w:val="none" w:sz="0" w:space="0" w:color="auto" w:frame="1"/>
                <w:lang w:val="en-GB" w:eastAsia="en-AU"/>
              </w:rPr>
              <w:t xml:space="preserve"> </w:t>
            </w:r>
            <w:r w:rsidRPr="00FF138B">
              <w:rPr>
                <w:rFonts w:cs="Arial"/>
                <w:sz w:val="20"/>
                <w:szCs w:val="20"/>
              </w:rPr>
              <w:t>DO NOT burn empty containers or product.</w:t>
            </w:r>
          </w:p>
        </w:tc>
      </w:tr>
      <w:tr w:rsidR="008E67EA" w:rsidRPr="002B5B5B" w14:paraId="6A8D276B" w14:textId="77777777" w:rsidTr="00B44A74">
        <w:trPr>
          <w:jc w:val="center"/>
        </w:trPr>
        <w:tc>
          <w:tcPr>
            <w:tcW w:w="2415" w:type="dxa"/>
            <w:tcBorders>
              <w:top w:val="single" w:sz="4" w:space="0" w:color="auto"/>
              <w:left w:val="nil"/>
              <w:bottom w:val="single" w:sz="4" w:space="0" w:color="auto"/>
              <w:right w:val="nil"/>
            </w:tcBorders>
          </w:tcPr>
          <w:p w14:paraId="42B95278"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5A9D95EA" w14:textId="77777777" w:rsidR="008E67EA" w:rsidRPr="002B5B5B" w:rsidRDefault="008E67EA" w:rsidP="00B44A74">
            <w:pPr>
              <w:spacing w:line="280" w:lineRule="exact"/>
              <w:rPr>
                <w:rFonts w:cs="Arial"/>
                <w:sz w:val="20"/>
                <w:szCs w:val="20"/>
              </w:rPr>
            </w:pPr>
          </w:p>
        </w:tc>
      </w:tr>
      <w:tr w:rsidR="008E67EA" w:rsidRPr="002B5B5B" w14:paraId="5021767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42E25E9" w14:textId="77777777" w:rsidR="008E67EA" w:rsidRPr="00F5215F" w:rsidRDefault="008E67EA" w:rsidP="00B44A74">
            <w:pPr>
              <w:spacing w:line="280" w:lineRule="exact"/>
              <w:rPr>
                <w:rFonts w:cs="Arial"/>
                <w:sz w:val="20"/>
                <w:szCs w:val="20"/>
              </w:rPr>
            </w:pPr>
            <w:r w:rsidRPr="00F5215F">
              <w:rPr>
                <w:rFonts w:cs="Arial"/>
                <w:sz w:val="20"/>
                <w:szCs w:val="20"/>
              </w:rPr>
              <w:t>Safety Directions:</w:t>
            </w:r>
          </w:p>
        </w:tc>
        <w:tc>
          <w:tcPr>
            <w:tcW w:w="7755" w:type="dxa"/>
            <w:tcBorders>
              <w:top w:val="single" w:sz="4" w:space="0" w:color="auto"/>
              <w:left w:val="single" w:sz="4" w:space="0" w:color="auto"/>
              <w:bottom w:val="single" w:sz="4" w:space="0" w:color="auto"/>
              <w:right w:val="single" w:sz="4" w:space="0" w:color="auto"/>
            </w:tcBorders>
          </w:tcPr>
          <w:p w14:paraId="39714704" w14:textId="77777777" w:rsidR="008E67EA" w:rsidRDefault="008E67EA" w:rsidP="00B44A74">
            <w:pPr>
              <w:spacing w:line="280" w:lineRule="exact"/>
              <w:rPr>
                <w:rFonts w:cs="Arial"/>
                <w:sz w:val="20"/>
                <w:szCs w:val="20"/>
              </w:rPr>
            </w:pPr>
            <w:r>
              <w:rPr>
                <w:rFonts w:cs="Arial"/>
                <w:sz w:val="20"/>
                <w:szCs w:val="20"/>
              </w:rPr>
              <w:t>SAFETY DIRECTIONS</w:t>
            </w:r>
          </w:p>
          <w:p w14:paraId="49BE4975" w14:textId="77777777" w:rsidR="008E67EA" w:rsidRDefault="008E67EA" w:rsidP="00B44A74">
            <w:pPr>
              <w:spacing w:line="280" w:lineRule="exact"/>
              <w:rPr>
                <w:rFonts w:cs="Arial"/>
                <w:sz w:val="20"/>
                <w:szCs w:val="20"/>
              </w:rPr>
            </w:pPr>
            <w:r w:rsidRPr="00C10563">
              <w:rPr>
                <w:rFonts w:cs="Arial"/>
                <w:sz w:val="20"/>
                <w:szCs w:val="20"/>
              </w:rPr>
              <w:t>Repeated minor exposure may have a cumulative poisoning effect. Do not touch bait, use scoop or measure. When using the product wear disposable gloves. If on skin and after each baiting, wash thoroughly with soap and water.</w:t>
            </w:r>
          </w:p>
          <w:p w14:paraId="2414E1A7" w14:textId="32B8D9A6" w:rsidR="008E67EA" w:rsidRPr="002B5B5B" w:rsidRDefault="008E67EA" w:rsidP="00B44A74">
            <w:pPr>
              <w:spacing w:line="280" w:lineRule="exact"/>
              <w:rPr>
                <w:rFonts w:cs="Arial"/>
                <w:sz w:val="20"/>
                <w:szCs w:val="20"/>
              </w:rPr>
            </w:pPr>
            <w:r w:rsidRPr="001B7776">
              <w:rPr>
                <w:rFonts w:cs="Arial"/>
                <w:sz w:val="20"/>
                <w:szCs w:val="20"/>
              </w:rPr>
              <w:lastRenderedPageBreak/>
              <w:t>During cleanup and disposal operations of bait and bait stations, wear a single layer of clothing and disposable gloves. Wear disposable gloves when handling rodent carcasses. Wash clothes after performing re-handling activities.</w:t>
            </w:r>
          </w:p>
        </w:tc>
      </w:tr>
      <w:tr w:rsidR="008E67EA" w:rsidRPr="002B5B5B" w14:paraId="5DB9A57F" w14:textId="77777777" w:rsidTr="00B44A74">
        <w:trPr>
          <w:jc w:val="center"/>
        </w:trPr>
        <w:tc>
          <w:tcPr>
            <w:tcW w:w="2415" w:type="dxa"/>
            <w:tcBorders>
              <w:top w:val="single" w:sz="4" w:space="0" w:color="auto"/>
              <w:left w:val="nil"/>
              <w:bottom w:val="single" w:sz="4" w:space="0" w:color="auto"/>
              <w:right w:val="nil"/>
            </w:tcBorders>
          </w:tcPr>
          <w:p w14:paraId="2ECAB947"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3232B0E9" w14:textId="77777777" w:rsidR="008E67EA" w:rsidRPr="002B5B5B" w:rsidRDefault="008E67EA" w:rsidP="00B44A74">
            <w:pPr>
              <w:spacing w:line="280" w:lineRule="exact"/>
              <w:rPr>
                <w:rFonts w:cs="Arial"/>
                <w:sz w:val="20"/>
                <w:szCs w:val="20"/>
              </w:rPr>
            </w:pPr>
          </w:p>
        </w:tc>
      </w:tr>
      <w:tr w:rsidR="008E67EA" w:rsidRPr="002B5B5B" w14:paraId="1C664A23"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360EE496" w14:textId="77777777" w:rsidR="008E67EA" w:rsidRPr="00F5215F" w:rsidRDefault="008E67EA" w:rsidP="00B44A74">
            <w:pPr>
              <w:spacing w:line="280" w:lineRule="exact"/>
              <w:rPr>
                <w:rFonts w:cs="Arial"/>
                <w:sz w:val="20"/>
                <w:szCs w:val="20"/>
              </w:rPr>
            </w:pPr>
            <w:r w:rsidRPr="00F5215F">
              <w:rPr>
                <w:rFonts w:cs="Arial"/>
                <w:sz w:val="20"/>
                <w:szCs w:val="20"/>
              </w:rPr>
              <w:t>First Aid Instructions:</w:t>
            </w:r>
          </w:p>
        </w:tc>
        <w:tc>
          <w:tcPr>
            <w:tcW w:w="7755" w:type="dxa"/>
            <w:tcBorders>
              <w:top w:val="single" w:sz="4" w:space="0" w:color="auto"/>
              <w:left w:val="single" w:sz="4" w:space="0" w:color="auto"/>
              <w:bottom w:val="single" w:sz="4" w:space="0" w:color="auto"/>
              <w:right w:val="single" w:sz="4" w:space="0" w:color="auto"/>
            </w:tcBorders>
          </w:tcPr>
          <w:p w14:paraId="74641419" w14:textId="77777777" w:rsidR="008E67EA" w:rsidRDefault="008E67EA" w:rsidP="00B44A74">
            <w:pPr>
              <w:spacing w:line="280" w:lineRule="exact"/>
              <w:rPr>
                <w:rFonts w:cs="Arial"/>
                <w:sz w:val="20"/>
                <w:szCs w:val="20"/>
              </w:rPr>
            </w:pPr>
            <w:r>
              <w:rPr>
                <w:rFonts w:cs="Arial"/>
                <w:sz w:val="20"/>
                <w:szCs w:val="20"/>
              </w:rPr>
              <w:t>FIRST AID</w:t>
            </w:r>
          </w:p>
          <w:p w14:paraId="3E63F978" w14:textId="77777777" w:rsidR="008E67EA" w:rsidRPr="002B5B5B" w:rsidRDefault="008E67EA" w:rsidP="00B44A74">
            <w:pPr>
              <w:spacing w:line="280" w:lineRule="exact"/>
              <w:rPr>
                <w:rFonts w:cs="Arial"/>
                <w:sz w:val="20"/>
                <w:szCs w:val="20"/>
              </w:rPr>
            </w:pPr>
            <w:r w:rsidRPr="00AB362F">
              <w:rPr>
                <w:rFonts w:cs="Arial"/>
                <w:sz w:val="20"/>
                <w:szCs w:val="20"/>
              </w:rPr>
              <w:t>If poisoning occurs, contact a doctor or Poisons Information Centre. Phone Australia 13 11 26, New Zealand 0800 764 766.</w:t>
            </w:r>
            <w:r>
              <w:rPr>
                <w:rFonts w:cs="Arial"/>
                <w:sz w:val="20"/>
                <w:szCs w:val="20"/>
              </w:rPr>
              <w:t xml:space="preserve"> </w:t>
            </w:r>
            <w:r w:rsidRPr="00AB362F">
              <w:rPr>
                <w:rFonts w:cs="Arial"/>
                <w:sz w:val="20"/>
                <w:szCs w:val="20"/>
              </w:rPr>
              <w:t>Vitamin K1 (Phytomenadione) is antidotal.</w:t>
            </w:r>
          </w:p>
        </w:tc>
      </w:tr>
      <w:tr w:rsidR="008E67EA" w:rsidRPr="002B5B5B" w14:paraId="4E9F26F5" w14:textId="77777777" w:rsidTr="00B44A74">
        <w:trPr>
          <w:jc w:val="center"/>
        </w:trPr>
        <w:tc>
          <w:tcPr>
            <w:tcW w:w="2415" w:type="dxa"/>
            <w:tcBorders>
              <w:top w:val="single" w:sz="4" w:space="0" w:color="auto"/>
              <w:left w:val="nil"/>
              <w:bottom w:val="single" w:sz="4" w:space="0" w:color="auto"/>
              <w:right w:val="nil"/>
            </w:tcBorders>
          </w:tcPr>
          <w:p w14:paraId="1B36D684" w14:textId="77777777" w:rsidR="008E67EA" w:rsidRPr="00F5215F" w:rsidRDefault="008E67EA" w:rsidP="00B44A74">
            <w:pPr>
              <w:spacing w:line="280" w:lineRule="exact"/>
              <w:rPr>
                <w:rFonts w:cs="Arial"/>
                <w:sz w:val="20"/>
                <w:szCs w:val="20"/>
              </w:rPr>
            </w:pPr>
          </w:p>
        </w:tc>
        <w:tc>
          <w:tcPr>
            <w:tcW w:w="7755" w:type="dxa"/>
            <w:tcBorders>
              <w:top w:val="single" w:sz="4" w:space="0" w:color="auto"/>
              <w:left w:val="nil"/>
              <w:bottom w:val="single" w:sz="4" w:space="0" w:color="auto"/>
              <w:right w:val="nil"/>
            </w:tcBorders>
          </w:tcPr>
          <w:p w14:paraId="21D04977" w14:textId="77777777" w:rsidR="008E67EA" w:rsidRPr="002B5B5B" w:rsidRDefault="008E67EA" w:rsidP="00B44A74">
            <w:pPr>
              <w:spacing w:line="280" w:lineRule="exact"/>
              <w:rPr>
                <w:rFonts w:cs="Arial"/>
                <w:sz w:val="20"/>
                <w:szCs w:val="20"/>
              </w:rPr>
            </w:pPr>
          </w:p>
        </w:tc>
      </w:tr>
      <w:tr w:rsidR="008E67EA" w:rsidRPr="002B5B5B" w14:paraId="41A27C78" w14:textId="77777777" w:rsidTr="00B44A74">
        <w:trPr>
          <w:trHeight w:val="340"/>
          <w:jc w:val="center"/>
        </w:trPr>
        <w:tc>
          <w:tcPr>
            <w:tcW w:w="2415" w:type="dxa"/>
            <w:tcBorders>
              <w:top w:val="single" w:sz="4" w:space="0" w:color="auto"/>
              <w:left w:val="single" w:sz="4" w:space="0" w:color="auto"/>
              <w:bottom w:val="single" w:sz="4" w:space="0" w:color="auto"/>
              <w:right w:val="single" w:sz="4" w:space="0" w:color="auto"/>
            </w:tcBorders>
            <w:hideMark/>
          </w:tcPr>
          <w:p w14:paraId="4AA65ED8" w14:textId="77777777" w:rsidR="008E67EA" w:rsidRPr="00F5215F" w:rsidRDefault="008E67EA" w:rsidP="00B44A74">
            <w:pPr>
              <w:spacing w:line="280" w:lineRule="exact"/>
              <w:rPr>
                <w:rFonts w:cs="Arial"/>
                <w:sz w:val="20"/>
                <w:szCs w:val="20"/>
              </w:rPr>
            </w:pPr>
            <w:r w:rsidRPr="00F5215F">
              <w:rPr>
                <w:rFonts w:cs="Arial"/>
                <w:sz w:val="20"/>
                <w:szCs w:val="20"/>
              </w:rPr>
              <w:t>First Aid Warnings:</w:t>
            </w:r>
          </w:p>
        </w:tc>
        <w:tc>
          <w:tcPr>
            <w:tcW w:w="7755" w:type="dxa"/>
            <w:tcBorders>
              <w:top w:val="single" w:sz="4" w:space="0" w:color="auto"/>
              <w:left w:val="single" w:sz="4" w:space="0" w:color="auto"/>
              <w:bottom w:val="single" w:sz="4" w:space="0" w:color="auto"/>
              <w:right w:val="single" w:sz="4" w:space="0" w:color="auto"/>
            </w:tcBorders>
          </w:tcPr>
          <w:p w14:paraId="6B915623" w14:textId="77777777" w:rsidR="008E67EA" w:rsidRPr="002B5B5B" w:rsidRDefault="008E67EA" w:rsidP="00B44A74">
            <w:pPr>
              <w:spacing w:line="280" w:lineRule="exact"/>
              <w:rPr>
                <w:rFonts w:cs="Arial"/>
                <w:sz w:val="20"/>
                <w:szCs w:val="20"/>
              </w:rPr>
            </w:pPr>
          </w:p>
        </w:tc>
      </w:tr>
    </w:tbl>
    <w:p w14:paraId="118DD5E6" w14:textId="77777777" w:rsidR="008E67EA" w:rsidRDefault="008E67EA" w:rsidP="008E67EA"/>
    <w:p w14:paraId="095384EA" w14:textId="77777777" w:rsidR="008E67EA" w:rsidRDefault="008E67EA" w:rsidP="008E67EA">
      <w:pPr>
        <w:spacing w:line="280" w:lineRule="exact"/>
        <w:rPr>
          <w:rFonts w:cs="Arial"/>
          <w:b/>
          <w:bCs/>
          <w:sz w:val="20"/>
          <w:szCs w:val="20"/>
        </w:rPr>
      </w:pPr>
      <w:r w:rsidRPr="00FF36BF">
        <w:rPr>
          <w:rFonts w:cs="Arial"/>
          <w:b/>
          <w:bCs/>
          <w:sz w:val="20"/>
          <w:szCs w:val="20"/>
        </w:rPr>
        <w:t>DIRECTIONS FOR USE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134"/>
        <w:gridCol w:w="1276"/>
        <w:gridCol w:w="4626"/>
      </w:tblGrid>
      <w:tr w:rsidR="008E67EA" w:rsidRPr="00FF36BF" w14:paraId="3207A44D" w14:textId="77777777" w:rsidTr="00604F9D">
        <w:trPr>
          <w:trHeight w:val="340"/>
        </w:trPr>
        <w:tc>
          <w:tcPr>
            <w:tcW w:w="1980" w:type="dxa"/>
          </w:tcPr>
          <w:p w14:paraId="641ECCDD" w14:textId="77777777" w:rsidR="008E67EA" w:rsidRPr="00DB6BC4" w:rsidRDefault="008E67EA" w:rsidP="00B44A74">
            <w:pPr>
              <w:spacing w:line="280" w:lineRule="exact"/>
              <w:rPr>
                <w:rFonts w:cs="Arial"/>
                <w:b/>
                <w:bCs/>
                <w:szCs w:val="18"/>
              </w:rPr>
            </w:pPr>
            <w:r w:rsidRPr="00DB6BC4">
              <w:rPr>
                <w:rFonts w:cs="Arial"/>
                <w:b/>
                <w:bCs/>
                <w:szCs w:val="18"/>
              </w:rPr>
              <w:t>SITUATION</w:t>
            </w:r>
          </w:p>
        </w:tc>
        <w:tc>
          <w:tcPr>
            <w:tcW w:w="1134" w:type="dxa"/>
          </w:tcPr>
          <w:p w14:paraId="0CA61B8C" w14:textId="77777777" w:rsidR="008E67EA" w:rsidRPr="00DB6BC4" w:rsidRDefault="008E67EA" w:rsidP="00B44A74">
            <w:pPr>
              <w:spacing w:line="280" w:lineRule="exact"/>
              <w:rPr>
                <w:rFonts w:cs="Arial"/>
                <w:b/>
                <w:bCs/>
                <w:szCs w:val="18"/>
              </w:rPr>
            </w:pPr>
            <w:r w:rsidRPr="00DB6BC4">
              <w:rPr>
                <w:rFonts w:cs="Arial"/>
                <w:b/>
                <w:bCs/>
                <w:szCs w:val="18"/>
              </w:rPr>
              <w:t>PEST</w:t>
            </w:r>
          </w:p>
        </w:tc>
        <w:tc>
          <w:tcPr>
            <w:tcW w:w="1276" w:type="dxa"/>
          </w:tcPr>
          <w:p w14:paraId="5B7B747E" w14:textId="77777777" w:rsidR="008E67EA" w:rsidRPr="00DB6BC4" w:rsidRDefault="008E67EA" w:rsidP="00B44A74">
            <w:pPr>
              <w:spacing w:line="280" w:lineRule="exact"/>
              <w:rPr>
                <w:rFonts w:cs="Arial"/>
                <w:b/>
                <w:bCs/>
                <w:szCs w:val="18"/>
              </w:rPr>
            </w:pPr>
            <w:r w:rsidRPr="00DB6BC4">
              <w:rPr>
                <w:rFonts w:cs="Arial"/>
                <w:b/>
                <w:bCs/>
                <w:szCs w:val="18"/>
              </w:rPr>
              <w:t>RATE</w:t>
            </w:r>
          </w:p>
        </w:tc>
        <w:tc>
          <w:tcPr>
            <w:tcW w:w="4626" w:type="dxa"/>
          </w:tcPr>
          <w:p w14:paraId="2A30ED2D" w14:textId="77777777" w:rsidR="008E67EA" w:rsidRPr="00DB6BC4" w:rsidRDefault="008E67EA" w:rsidP="00B44A74">
            <w:pPr>
              <w:spacing w:line="280" w:lineRule="exact"/>
              <w:rPr>
                <w:rFonts w:cs="Arial"/>
                <w:b/>
                <w:bCs/>
                <w:szCs w:val="18"/>
              </w:rPr>
            </w:pPr>
            <w:r w:rsidRPr="00DB6BC4">
              <w:rPr>
                <w:rFonts w:cs="Arial"/>
                <w:b/>
                <w:bCs/>
                <w:szCs w:val="18"/>
              </w:rPr>
              <w:t>CRITICAL COMMENTS</w:t>
            </w:r>
          </w:p>
        </w:tc>
      </w:tr>
      <w:tr w:rsidR="008E67EA" w:rsidRPr="00FF36BF" w14:paraId="2DB75792" w14:textId="77777777" w:rsidTr="00604F9D">
        <w:trPr>
          <w:trHeight w:val="841"/>
        </w:trPr>
        <w:tc>
          <w:tcPr>
            <w:tcW w:w="1980" w:type="dxa"/>
          </w:tcPr>
          <w:p w14:paraId="6A36E65A" w14:textId="77777777" w:rsidR="008E67EA" w:rsidRPr="00DB6BC4" w:rsidRDefault="008E67EA" w:rsidP="00B44A74">
            <w:pPr>
              <w:spacing w:after="120" w:line="240" w:lineRule="exact"/>
              <w:rPr>
                <w:rFonts w:cs="Arial"/>
                <w:bCs/>
                <w:spacing w:val="-2"/>
                <w:w w:val="105"/>
                <w:szCs w:val="18"/>
              </w:rPr>
            </w:pPr>
            <w:r w:rsidRPr="00DB6BC4">
              <w:rPr>
                <w:rFonts w:cs="Arial"/>
                <w:bCs/>
                <w:spacing w:val="-2"/>
                <w:w w:val="105"/>
                <w:szCs w:val="18"/>
              </w:rPr>
              <w:t xml:space="preserve">In and around </w:t>
            </w:r>
            <w:r>
              <w:rPr>
                <w:rFonts w:cs="Arial"/>
                <w:bCs/>
                <w:spacing w:val="-2"/>
                <w:w w:val="105"/>
                <w:szCs w:val="18"/>
              </w:rPr>
              <w:t xml:space="preserve">(within 2 m) </w:t>
            </w:r>
            <w:r w:rsidRPr="00DB6BC4">
              <w:rPr>
                <w:rFonts w:cs="Arial"/>
                <w:bCs/>
                <w:spacing w:val="-2"/>
                <w:w w:val="105"/>
                <w:szCs w:val="18"/>
              </w:rPr>
              <w:t>industrial, commercial,</w:t>
            </w:r>
            <w:r>
              <w:rPr>
                <w:rFonts w:cs="Arial"/>
                <w:bCs/>
                <w:spacing w:val="-2"/>
                <w:w w:val="105"/>
                <w:szCs w:val="18"/>
              </w:rPr>
              <w:t xml:space="preserve"> </w:t>
            </w:r>
            <w:r w:rsidRPr="00DB6BC4">
              <w:rPr>
                <w:rFonts w:cs="Arial"/>
                <w:bCs/>
                <w:spacing w:val="-2"/>
                <w:w w:val="105"/>
                <w:szCs w:val="18"/>
              </w:rPr>
              <w:t>agricultural</w:t>
            </w:r>
            <w:r>
              <w:rPr>
                <w:rFonts w:cs="Arial"/>
                <w:bCs/>
                <w:spacing w:val="-2"/>
                <w:w w:val="105"/>
                <w:szCs w:val="18"/>
              </w:rPr>
              <w:t xml:space="preserve"> and</w:t>
            </w:r>
            <w:r w:rsidRPr="00DB6BC4">
              <w:rPr>
                <w:rFonts w:cs="Arial"/>
                <w:bCs/>
                <w:spacing w:val="-2"/>
                <w:w w:val="105"/>
                <w:szCs w:val="18"/>
              </w:rPr>
              <w:t xml:space="preserve"> domestic buildings</w:t>
            </w:r>
            <w:r>
              <w:rPr>
                <w:rFonts w:cs="Arial"/>
                <w:bCs/>
                <w:spacing w:val="-2"/>
                <w:w w:val="105"/>
                <w:szCs w:val="18"/>
              </w:rPr>
              <w:t>.</w:t>
            </w:r>
          </w:p>
        </w:tc>
        <w:tc>
          <w:tcPr>
            <w:tcW w:w="1134" w:type="dxa"/>
          </w:tcPr>
          <w:p w14:paraId="572FF65E" w14:textId="77777777" w:rsidR="008E67EA" w:rsidRPr="00DB6BC4" w:rsidRDefault="008E67EA" w:rsidP="00B44A74">
            <w:pPr>
              <w:spacing w:after="120" w:line="240" w:lineRule="exact"/>
              <w:rPr>
                <w:rFonts w:cs="Arial"/>
                <w:bCs/>
                <w:spacing w:val="-2"/>
                <w:w w:val="105"/>
                <w:szCs w:val="18"/>
              </w:rPr>
            </w:pPr>
            <w:r w:rsidRPr="00DB6BC4">
              <w:rPr>
                <w:rFonts w:cs="Arial"/>
                <w:bCs/>
                <w:spacing w:val="-2"/>
                <w:w w:val="105"/>
                <w:szCs w:val="18"/>
              </w:rPr>
              <w:t>Rats</w:t>
            </w:r>
          </w:p>
        </w:tc>
        <w:tc>
          <w:tcPr>
            <w:tcW w:w="1276" w:type="dxa"/>
          </w:tcPr>
          <w:p w14:paraId="5AD5936B" w14:textId="602DC7EB" w:rsidR="008E67EA" w:rsidRPr="00DB6BC4" w:rsidRDefault="008E67EA" w:rsidP="00604F9D">
            <w:pPr>
              <w:spacing w:after="120" w:line="240" w:lineRule="exact"/>
              <w:rPr>
                <w:rFonts w:cs="Arial"/>
                <w:bCs/>
                <w:spacing w:val="-2"/>
                <w:w w:val="105"/>
                <w:szCs w:val="18"/>
              </w:rPr>
            </w:pPr>
            <w:r w:rsidRPr="00DB6BC4">
              <w:rPr>
                <w:rFonts w:cs="Arial"/>
                <w:bCs/>
                <w:spacing w:val="-2"/>
                <w:w w:val="105"/>
                <w:szCs w:val="18"/>
              </w:rPr>
              <w:t xml:space="preserve">3 – </w:t>
            </w:r>
            <w:r>
              <w:rPr>
                <w:rFonts w:cs="Arial"/>
                <w:bCs/>
                <w:spacing w:val="-2"/>
                <w:w w:val="105"/>
                <w:szCs w:val="18"/>
              </w:rPr>
              <w:t>4</w:t>
            </w:r>
            <w:r w:rsidRPr="00DB6BC4">
              <w:rPr>
                <w:rFonts w:cs="Arial"/>
                <w:bCs/>
                <w:spacing w:val="-2"/>
                <w:w w:val="105"/>
                <w:szCs w:val="18"/>
              </w:rPr>
              <w:t xml:space="preserve"> </w:t>
            </w:r>
            <w:r>
              <w:rPr>
                <w:rFonts w:cs="Arial"/>
                <w:bCs/>
                <w:spacing w:val="-2"/>
                <w:w w:val="105"/>
                <w:szCs w:val="18"/>
              </w:rPr>
              <w:t>blocks</w:t>
            </w:r>
            <w:r w:rsidRPr="00DB6BC4">
              <w:rPr>
                <w:rFonts w:cs="Arial"/>
                <w:bCs/>
                <w:spacing w:val="-2"/>
                <w:w w:val="105"/>
                <w:szCs w:val="18"/>
              </w:rPr>
              <w:t xml:space="preserve"> </w:t>
            </w:r>
            <w:r>
              <w:rPr>
                <w:rFonts w:cs="Arial"/>
                <w:bCs/>
                <w:spacing w:val="-2"/>
                <w:w w:val="105"/>
                <w:szCs w:val="18"/>
              </w:rPr>
              <w:t>per bait station</w:t>
            </w:r>
          </w:p>
        </w:tc>
        <w:tc>
          <w:tcPr>
            <w:tcW w:w="4626" w:type="dxa"/>
          </w:tcPr>
          <w:p w14:paraId="4E854A89" w14:textId="77777777" w:rsidR="008E67EA" w:rsidRPr="00982477" w:rsidRDefault="008E67EA" w:rsidP="00B44A74">
            <w:pPr>
              <w:spacing w:after="120" w:line="240" w:lineRule="exact"/>
              <w:rPr>
                <w:rFonts w:cs="Arial"/>
                <w:bCs/>
                <w:spacing w:val="-2"/>
                <w:w w:val="105"/>
                <w:szCs w:val="18"/>
              </w:rPr>
            </w:pPr>
            <w:r w:rsidRPr="00E85347">
              <w:rPr>
                <w:rFonts w:cs="Arial"/>
                <w:bCs/>
                <w:spacing w:val="-2"/>
                <w:w w:val="105"/>
                <w:szCs w:val="18"/>
              </w:rPr>
              <w:t>Baits must only be placed in areas</w:t>
            </w:r>
            <w:r>
              <w:rPr>
                <w:rFonts w:cs="Arial"/>
                <w:bCs/>
                <w:spacing w:val="-2"/>
                <w:w w:val="105"/>
                <w:szCs w:val="18"/>
              </w:rPr>
              <w:t xml:space="preserve"> </w:t>
            </w:r>
            <w:r w:rsidRPr="00E85347">
              <w:rPr>
                <w:rFonts w:cs="Arial"/>
                <w:bCs/>
                <w:spacing w:val="-2"/>
                <w:w w:val="105"/>
                <w:szCs w:val="18"/>
              </w:rPr>
              <w:t xml:space="preserve">frequented by the </w:t>
            </w:r>
            <w:r>
              <w:rPr>
                <w:rFonts w:cs="Arial"/>
                <w:bCs/>
                <w:spacing w:val="-2"/>
                <w:w w:val="105"/>
                <w:szCs w:val="18"/>
              </w:rPr>
              <w:t>rats</w:t>
            </w:r>
            <w:r w:rsidRPr="00E85347">
              <w:rPr>
                <w:rFonts w:cs="Arial"/>
                <w:bCs/>
                <w:spacing w:val="-2"/>
                <w:w w:val="105"/>
                <w:szCs w:val="18"/>
              </w:rPr>
              <w:t>.</w:t>
            </w:r>
            <w:r>
              <w:rPr>
                <w:rFonts w:cs="Arial"/>
                <w:bCs/>
                <w:spacing w:val="-2"/>
                <w:w w:val="105"/>
                <w:szCs w:val="18"/>
              </w:rPr>
              <w:t xml:space="preserve"> </w:t>
            </w:r>
            <w:r w:rsidRPr="00982477">
              <w:rPr>
                <w:rFonts w:cs="Arial"/>
                <w:bCs/>
                <w:spacing w:val="-2"/>
                <w:w w:val="105"/>
                <w:szCs w:val="18"/>
              </w:rPr>
              <w:t>Select suitable bait locations, such as along rat runs and under rubbish. Try to establish a barrier of bait locations between living and feeding areas.</w:t>
            </w:r>
          </w:p>
          <w:p w14:paraId="6A893B5D" w14:textId="3228BED5" w:rsidR="008E67EA" w:rsidRPr="00AF79D7" w:rsidRDefault="008E67EA" w:rsidP="00B44A74">
            <w:pPr>
              <w:spacing w:after="120" w:line="240" w:lineRule="exact"/>
              <w:rPr>
                <w:rFonts w:cs="Arial"/>
                <w:bCs/>
                <w:spacing w:val="-2"/>
                <w:w w:val="105"/>
                <w:szCs w:val="18"/>
              </w:rPr>
            </w:pPr>
            <w:r w:rsidRPr="00982477">
              <w:rPr>
                <w:rFonts w:cs="Arial"/>
                <w:bCs/>
                <w:spacing w:val="-2"/>
                <w:w w:val="105"/>
                <w:szCs w:val="18"/>
              </w:rPr>
              <w:t>See baiting strategy instructions below.</w:t>
            </w:r>
          </w:p>
        </w:tc>
      </w:tr>
      <w:tr w:rsidR="008E67EA" w:rsidRPr="00FF36BF" w14:paraId="3457A15E" w14:textId="77777777" w:rsidTr="00604F9D">
        <w:trPr>
          <w:trHeight w:val="841"/>
        </w:trPr>
        <w:tc>
          <w:tcPr>
            <w:tcW w:w="1980" w:type="dxa"/>
          </w:tcPr>
          <w:p w14:paraId="4676F758" w14:textId="6B7F40A7" w:rsidR="008E67EA" w:rsidRPr="00DB6BC4" w:rsidRDefault="008E67EA" w:rsidP="00604F9D">
            <w:pPr>
              <w:spacing w:after="120" w:line="240" w:lineRule="exact"/>
              <w:rPr>
                <w:rFonts w:cs="Arial"/>
                <w:bCs/>
                <w:spacing w:val="-2"/>
                <w:w w:val="105"/>
                <w:szCs w:val="18"/>
              </w:rPr>
            </w:pPr>
            <w:r w:rsidRPr="007053EC">
              <w:rPr>
                <w:rFonts w:cs="Arial"/>
                <w:bCs/>
                <w:spacing w:val="-2"/>
                <w:w w:val="105"/>
                <w:szCs w:val="18"/>
              </w:rPr>
              <w:t>In industrial, commercial, agricultural</w:t>
            </w:r>
            <w:r>
              <w:rPr>
                <w:rFonts w:cs="Arial"/>
                <w:bCs/>
                <w:spacing w:val="-2"/>
                <w:w w:val="105"/>
                <w:szCs w:val="18"/>
              </w:rPr>
              <w:t xml:space="preserve"> and </w:t>
            </w:r>
            <w:r w:rsidRPr="007053EC">
              <w:rPr>
                <w:rFonts w:cs="Arial"/>
                <w:bCs/>
                <w:spacing w:val="-2"/>
                <w:w w:val="105"/>
                <w:szCs w:val="18"/>
              </w:rPr>
              <w:t>domestic buildings</w:t>
            </w:r>
            <w:r>
              <w:rPr>
                <w:rFonts w:cs="Arial"/>
                <w:bCs/>
                <w:spacing w:val="-2"/>
                <w:w w:val="105"/>
                <w:szCs w:val="18"/>
              </w:rPr>
              <w:t>.</w:t>
            </w:r>
          </w:p>
        </w:tc>
        <w:tc>
          <w:tcPr>
            <w:tcW w:w="1134" w:type="dxa"/>
          </w:tcPr>
          <w:p w14:paraId="5CFBBA9E" w14:textId="77777777" w:rsidR="008E67EA" w:rsidRPr="00DB6BC4" w:rsidRDefault="008E67EA" w:rsidP="00B44A74">
            <w:pPr>
              <w:spacing w:after="120" w:line="240" w:lineRule="exact"/>
              <w:rPr>
                <w:rFonts w:cs="Arial"/>
                <w:bCs/>
                <w:spacing w:val="-2"/>
                <w:w w:val="105"/>
                <w:szCs w:val="18"/>
              </w:rPr>
            </w:pPr>
            <w:r w:rsidRPr="00DB6BC4">
              <w:rPr>
                <w:rFonts w:cs="Arial"/>
                <w:bCs/>
                <w:spacing w:val="-2"/>
                <w:w w:val="105"/>
                <w:szCs w:val="18"/>
              </w:rPr>
              <w:t>Mice</w:t>
            </w:r>
          </w:p>
        </w:tc>
        <w:tc>
          <w:tcPr>
            <w:tcW w:w="1276" w:type="dxa"/>
          </w:tcPr>
          <w:p w14:paraId="40331C76" w14:textId="77777777" w:rsidR="008E67EA" w:rsidRPr="00DB6BC4" w:rsidRDefault="008E67EA" w:rsidP="00B44A74">
            <w:pPr>
              <w:spacing w:after="120" w:line="240" w:lineRule="exact"/>
              <w:rPr>
                <w:rFonts w:cs="Arial"/>
                <w:bCs/>
                <w:spacing w:val="-2"/>
                <w:w w:val="105"/>
                <w:szCs w:val="18"/>
              </w:rPr>
            </w:pPr>
            <w:r w:rsidRPr="00DB6BC4">
              <w:rPr>
                <w:rFonts w:cs="Arial"/>
                <w:bCs/>
                <w:spacing w:val="-2"/>
                <w:w w:val="105"/>
                <w:szCs w:val="18"/>
              </w:rPr>
              <w:t xml:space="preserve">1 </w:t>
            </w:r>
            <w:r>
              <w:rPr>
                <w:rFonts w:cs="Arial"/>
                <w:bCs/>
                <w:spacing w:val="-2"/>
                <w:w w:val="105"/>
                <w:szCs w:val="18"/>
              </w:rPr>
              <w:t>–</w:t>
            </w:r>
            <w:r w:rsidRPr="00DB6BC4">
              <w:rPr>
                <w:rFonts w:cs="Arial"/>
                <w:bCs/>
                <w:spacing w:val="-2"/>
                <w:w w:val="105"/>
                <w:szCs w:val="18"/>
              </w:rPr>
              <w:t xml:space="preserve"> </w:t>
            </w:r>
            <w:r>
              <w:rPr>
                <w:rFonts w:cs="Arial"/>
                <w:bCs/>
                <w:spacing w:val="-2"/>
                <w:w w:val="105"/>
                <w:szCs w:val="18"/>
              </w:rPr>
              <w:t>2 blocks per bait station</w:t>
            </w:r>
          </w:p>
        </w:tc>
        <w:tc>
          <w:tcPr>
            <w:tcW w:w="4626" w:type="dxa"/>
          </w:tcPr>
          <w:p w14:paraId="03D7A546" w14:textId="77777777" w:rsidR="008E67EA" w:rsidRDefault="008E67EA" w:rsidP="00B44A74">
            <w:pPr>
              <w:spacing w:after="120" w:line="240" w:lineRule="exact"/>
              <w:rPr>
                <w:rFonts w:cs="Arial"/>
                <w:bCs/>
                <w:spacing w:val="-2"/>
                <w:w w:val="105"/>
                <w:szCs w:val="18"/>
              </w:rPr>
            </w:pPr>
            <w:r w:rsidRPr="00E85347">
              <w:rPr>
                <w:rFonts w:cs="Arial"/>
                <w:bCs/>
                <w:spacing w:val="-2"/>
                <w:w w:val="105"/>
                <w:szCs w:val="18"/>
              </w:rPr>
              <w:t>Baits must only be placed in areas</w:t>
            </w:r>
            <w:r>
              <w:rPr>
                <w:rFonts w:cs="Arial"/>
                <w:bCs/>
                <w:spacing w:val="-2"/>
                <w:w w:val="105"/>
                <w:szCs w:val="18"/>
              </w:rPr>
              <w:t xml:space="preserve"> </w:t>
            </w:r>
            <w:r w:rsidRPr="00E85347">
              <w:rPr>
                <w:rFonts w:cs="Arial"/>
                <w:bCs/>
                <w:spacing w:val="-2"/>
                <w:w w:val="105"/>
                <w:szCs w:val="18"/>
              </w:rPr>
              <w:t xml:space="preserve">frequented by the </w:t>
            </w:r>
            <w:r>
              <w:rPr>
                <w:rFonts w:cs="Arial"/>
                <w:bCs/>
                <w:spacing w:val="-2"/>
                <w:w w:val="105"/>
                <w:szCs w:val="18"/>
              </w:rPr>
              <w:t xml:space="preserve">mice. Place bait stations </w:t>
            </w:r>
            <w:r w:rsidRPr="00E85347">
              <w:rPr>
                <w:rFonts w:cs="Arial"/>
                <w:bCs/>
                <w:spacing w:val="-2"/>
                <w:w w:val="105"/>
                <w:szCs w:val="18"/>
              </w:rPr>
              <w:t>2 metres apart in areas where activity is obvious, particularly where droppings are seen.</w:t>
            </w:r>
          </w:p>
          <w:p w14:paraId="02EC3012" w14:textId="575B7AB4" w:rsidR="008E67EA" w:rsidRPr="00982477" w:rsidRDefault="008E67EA" w:rsidP="00B44A74">
            <w:pPr>
              <w:spacing w:after="120" w:line="240" w:lineRule="exact"/>
              <w:rPr>
                <w:rFonts w:cs="Arial"/>
                <w:bCs/>
                <w:spacing w:val="-2"/>
                <w:w w:val="105"/>
                <w:szCs w:val="18"/>
              </w:rPr>
            </w:pPr>
            <w:r w:rsidRPr="00982477">
              <w:rPr>
                <w:rFonts w:cs="Arial"/>
                <w:bCs/>
                <w:spacing w:val="-2"/>
                <w:w w:val="105"/>
                <w:szCs w:val="18"/>
              </w:rPr>
              <w:t>Mice have very limited home ranges and do not need to drink. They are more difficult to control than rats because their feeding patterns are more erratic. Selection of bait locations is therefore even more important than for rats.</w:t>
            </w:r>
          </w:p>
          <w:p w14:paraId="39FCDA83" w14:textId="77777777" w:rsidR="008E67EA" w:rsidRPr="00AF79D7" w:rsidRDefault="008E67EA" w:rsidP="00B44A74">
            <w:pPr>
              <w:spacing w:after="120" w:line="240" w:lineRule="exact"/>
              <w:rPr>
                <w:rFonts w:cs="Arial"/>
                <w:bCs/>
                <w:spacing w:val="-2"/>
                <w:w w:val="105"/>
                <w:szCs w:val="18"/>
              </w:rPr>
            </w:pPr>
            <w:r w:rsidRPr="00982477">
              <w:rPr>
                <w:rFonts w:cs="Arial"/>
                <w:bCs/>
                <w:spacing w:val="-2"/>
                <w:w w:val="105"/>
                <w:szCs w:val="18"/>
              </w:rPr>
              <w:t xml:space="preserve">See baiting strategy instructions below. </w:t>
            </w:r>
          </w:p>
        </w:tc>
      </w:tr>
    </w:tbl>
    <w:p w14:paraId="20D67276" w14:textId="77777777" w:rsidR="008E67EA" w:rsidRDefault="008E67EA" w:rsidP="008E67EA">
      <w:pPr>
        <w:spacing w:line="280" w:lineRule="exact"/>
        <w:rPr>
          <w:rFonts w:cs="Arial"/>
          <w:b/>
          <w:bCs/>
          <w:sz w:val="20"/>
          <w:szCs w:val="20"/>
        </w:rPr>
      </w:pPr>
    </w:p>
    <w:p w14:paraId="5DF1CE24" w14:textId="77777777" w:rsidR="008E67EA" w:rsidRPr="00867EDB" w:rsidRDefault="008E67EA" w:rsidP="008E67EA">
      <w:pPr>
        <w:spacing w:line="280" w:lineRule="exact"/>
        <w:rPr>
          <w:rFonts w:cs="Arial"/>
          <w:b/>
          <w:bCs/>
          <w:color w:val="000000" w:themeColor="text1"/>
          <w:sz w:val="20"/>
          <w:szCs w:val="20"/>
        </w:rPr>
      </w:pPr>
      <w:bookmarkStart w:id="355" w:name="_Hlk212639932"/>
      <w:r w:rsidRPr="00867EDB">
        <w:rPr>
          <w:rFonts w:cs="Arial"/>
          <w:b/>
          <w:bCs/>
          <w:color w:val="000000" w:themeColor="text1"/>
          <w:sz w:val="20"/>
          <w:szCs w:val="20"/>
        </w:rPr>
        <w:t>Baiting Strategy</w:t>
      </w:r>
    </w:p>
    <w:bookmarkEnd w:id="355"/>
    <w:p w14:paraId="207E1A8A" w14:textId="0BE02AC7" w:rsidR="008E67EA" w:rsidRDefault="008E67EA" w:rsidP="008E67EA">
      <w:pPr>
        <w:spacing w:after="120" w:line="280" w:lineRule="exact"/>
        <w:rPr>
          <w:rFonts w:eastAsia="Calibri" w:cs="Arial"/>
          <w:sz w:val="20"/>
          <w:szCs w:val="20"/>
          <w:bdr w:val="none" w:sz="0" w:space="0" w:color="auto" w:frame="1"/>
          <w:lang w:val="en-GB" w:eastAsia="en-AU"/>
        </w:rPr>
      </w:pPr>
      <w:r w:rsidRPr="00982477">
        <w:rPr>
          <w:rFonts w:eastAsia="Calibri" w:cs="Arial"/>
          <w:sz w:val="20"/>
          <w:szCs w:val="20"/>
          <w:bdr w:val="none" w:sz="0" w:space="0" w:color="auto" w:frame="1"/>
          <w:lang w:val="en-GB" w:eastAsia="en-AU"/>
        </w:rPr>
        <w:t>Survey site prior to treatment, including assessment of the extent of infestation and identification of any indications of the presence of non-target animals.</w:t>
      </w:r>
    </w:p>
    <w:p w14:paraId="20CCE359" w14:textId="77777777" w:rsidR="008E67EA" w:rsidRPr="00982477" w:rsidRDefault="008E67EA" w:rsidP="008E67EA">
      <w:pPr>
        <w:spacing w:after="120" w:line="280" w:lineRule="exact"/>
        <w:rPr>
          <w:rFonts w:eastAsia="Calibri" w:cs="Arial"/>
          <w:sz w:val="20"/>
          <w:szCs w:val="20"/>
          <w:bdr w:val="none" w:sz="0" w:space="0" w:color="auto" w:frame="1"/>
          <w:lang w:val="en-GB" w:eastAsia="en-AU"/>
        </w:rPr>
      </w:pPr>
      <w:r w:rsidRPr="00332794">
        <w:rPr>
          <w:rFonts w:eastAsia="Calibri" w:cs="Arial"/>
          <w:sz w:val="20"/>
          <w:szCs w:val="20"/>
          <w:bdr w:val="none" w:sz="0" w:space="0" w:color="auto" w:frame="1"/>
          <w:lang w:val="en-GB" w:eastAsia="en-AU"/>
        </w:rPr>
        <w:t>Record the number and locations of bait stations for the purpose of inspection, replacement and later removal.</w:t>
      </w:r>
      <w:r>
        <w:rPr>
          <w:rFonts w:eastAsia="Calibri" w:cs="Arial"/>
          <w:sz w:val="20"/>
          <w:szCs w:val="20"/>
          <w:bdr w:val="none" w:sz="0" w:space="0" w:color="auto" w:frame="1"/>
          <w:lang w:val="en-GB" w:eastAsia="en-AU"/>
        </w:rPr>
        <w:t xml:space="preserve"> </w:t>
      </w:r>
      <w:r w:rsidRPr="00982477">
        <w:rPr>
          <w:rFonts w:eastAsia="Calibri" w:cs="Arial"/>
          <w:sz w:val="20"/>
          <w:szCs w:val="20"/>
          <w:bdr w:val="none" w:sz="0" w:space="0" w:color="auto" w:frame="1"/>
          <w:lang w:val="en-GB" w:eastAsia="en-AU"/>
        </w:rPr>
        <w:t>Always use tamper-resistant bait stations that are secured in place in child accessible areas, outdoors and in animal or livestock housing</w:t>
      </w:r>
      <w:r>
        <w:rPr>
          <w:rFonts w:eastAsia="Calibri" w:cs="Arial"/>
          <w:sz w:val="20"/>
          <w:szCs w:val="20"/>
          <w:bdr w:val="none" w:sz="0" w:space="0" w:color="auto" w:frame="1"/>
          <w:lang w:val="en-GB" w:eastAsia="en-AU"/>
        </w:rPr>
        <w:t xml:space="preserve">. </w:t>
      </w:r>
      <w:r w:rsidRPr="00AF79D7">
        <w:rPr>
          <w:rFonts w:eastAsia="Calibri" w:cs="Arial"/>
          <w:sz w:val="20"/>
          <w:szCs w:val="20"/>
          <w:bdr w:val="none" w:sz="0" w:space="0" w:color="auto" w:frame="1"/>
          <w:lang w:val="en-GB" w:eastAsia="en-AU"/>
        </w:rPr>
        <w:t>When used in food producing animal housing situations careful consideration is necessary regarding the placement of bait stations to ensure any rodenticide contamination of water, feed or livestock is prevented.</w:t>
      </w:r>
    </w:p>
    <w:p w14:paraId="6F3A7E2F" w14:textId="77777777" w:rsidR="008E67EA" w:rsidRDefault="008E67EA" w:rsidP="008E67EA">
      <w:pPr>
        <w:pStyle w:val="StatementofReasonsLevel1"/>
        <w:numPr>
          <w:ilvl w:val="0"/>
          <w:numId w:val="0"/>
        </w:numPr>
        <w:rPr>
          <w:rFonts w:eastAsiaTheme="minorHAnsi"/>
          <w:kern w:val="2"/>
          <w:szCs w:val="20"/>
          <w:lang w:eastAsia="en-US"/>
          <w14:ligatures w14:val="standardContextual"/>
        </w:rPr>
      </w:pPr>
      <w:r w:rsidRPr="00E85347">
        <w:rPr>
          <w:rFonts w:eastAsiaTheme="minorHAnsi"/>
          <w:kern w:val="2"/>
          <w:szCs w:val="20"/>
          <w:lang w:eastAsia="en-US"/>
          <w14:ligatures w14:val="standardContextual"/>
        </w:rPr>
        <w:t xml:space="preserve">Inspect the bait locations after 3 days and select new locations where there has been no take. Inspect again 4 days later and replace eaten blocks. Repeat bait station inspections at 7 day intervals, replacing fresh blocks only when blocks have been eaten, until all signs of </w:t>
      </w:r>
      <w:r>
        <w:rPr>
          <w:rFonts w:eastAsiaTheme="minorHAnsi"/>
          <w:kern w:val="2"/>
          <w:szCs w:val="20"/>
          <w:lang w:eastAsia="en-US"/>
          <w14:ligatures w14:val="standardContextual"/>
        </w:rPr>
        <w:t>rodent</w:t>
      </w:r>
      <w:r w:rsidRPr="00E85347">
        <w:rPr>
          <w:rFonts w:eastAsiaTheme="minorHAnsi"/>
          <w:kern w:val="2"/>
          <w:szCs w:val="20"/>
          <w:lang w:eastAsia="en-US"/>
          <w14:ligatures w14:val="standardContextual"/>
        </w:rPr>
        <w:t xml:space="preserve"> activity have disappeared. Normally only 3 to 4 baiting rounds (pulses) are required.</w:t>
      </w:r>
    </w:p>
    <w:p w14:paraId="3207BB66" w14:textId="77777777" w:rsidR="008E67EA" w:rsidRDefault="008E67EA" w:rsidP="008E67EA">
      <w:pPr>
        <w:spacing w:after="120" w:line="280" w:lineRule="exact"/>
        <w:rPr>
          <w:rFonts w:eastAsia="Calibri" w:cs="Arial"/>
          <w:sz w:val="20"/>
          <w:szCs w:val="20"/>
          <w:bdr w:val="none" w:sz="0" w:space="0" w:color="auto" w:frame="1"/>
          <w:lang w:val="en-GB" w:eastAsia="en-AU"/>
        </w:rPr>
      </w:pPr>
      <w:r w:rsidRPr="00982477">
        <w:rPr>
          <w:rFonts w:eastAsia="Calibri" w:cs="Arial"/>
          <w:sz w:val="20"/>
          <w:szCs w:val="20"/>
          <w:bdr w:val="none" w:sz="0" w:space="0" w:color="auto" w:frame="1"/>
          <w:lang w:val="en-GB" w:eastAsia="en-AU"/>
        </w:rPr>
        <w:t>DO NOT use the product beyond 35 days without an evaluation of the state of the infestation and of the efficacy of the treatment.</w:t>
      </w:r>
      <w:r>
        <w:rPr>
          <w:rFonts w:eastAsia="Calibri" w:cs="Arial"/>
          <w:sz w:val="20"/>
          <w:szCs w:val="20"/>
          <w:bdr w:val="none" w:sz="0" w:space="0" w:color="auto" w:frame="1"/>
          <w:lang w:val="en-GB" w:eastAsia="en-AU"/>
        </w:rPr>
        <w:t xml:space="preserve"> </w:t>
      </w:r>
      <w:r w:rsidRPr="00641519">
        <w:rPr>
          <w:rFonts w:eastAsia="Calibri" w:cs="Arial"/>
          <w:sz w:val="20"/>
          <w:szCs w:val="20"/>
          <w:bdr w:val="none" w:sz="0" w:space="0" w:color="auto" w:frame="1"/>
          <w:lang w:val="en-GB" w:eastAsia="en-AU"/>
        </w:rPr>
        <w:t>Remove all uneaten bait at the end of treatment.</w:t>
      </w:r>
    </w:p>
    <w:p w14:paraId="5057AB99" w14:textId="77777777" w:rsidR="008E67EA" w:rsidRDefault="008E67EA" w:rsidP="008E67EA">
      <w:pPr>
        <w:spacing w:line="280" w:lineRule="exact"/>
        <w:rPr>
          <w:rFonts w:cs="Arial"/>
          <w:b/>
          <w:bCs/>
          <w:sz w:val="20"/>
          <w:szCs w:val="20"/>
        </w:rPr>
        <w:sectPr w:rsidR="008E67EA" w:rsidSect="00CB73E0">
          <w:pgSz w:w="11906" w:h="16838"/>
          <w:pgMar w:top="1440" w:right="1134" w:bottom="1440" w:left="1134" w:header="794" w:footer="737" w:gutter="0"/>
          <w:cols w:space="708"/>
          <w:docGrid w:linePitch="360"/>
        </w:sectPr>
      </w:pPr>
      <w:r w:rsidRPr="00FF36BF">
        <w:rPr>
          <w:rFonts w:cs="Arial"/>
          <w:b/>
          <w:bCs/>
          <w:sz w:val="20"/>
          <w:szCs w:val="20"/>
        </w:rPr>
        <w:t>NOT TO BE USED FOR ANY PURPOSE, OR IN ANY MANNER, CONTRARY TO THIS LABEL UNLESS AUTHORISED UNDER APPROPRIATE LEGISLATION.</w:t>
      </w:r>
    </w:p>
    <w:p w14:paraId="38F0A010" w14:textId="77777777" w:rsidR="008E67EA" w:rsidRPr="00D4624B" w:rsidRDefault="008E67EA" w:rsidP="00D4624B">
      <w:pPr>
        <w:pStyle w:val="GazetteHeading1"/>
      </w:pPr>
      <w:bookmarkStart w:id="356" w:name="_Toc216282368"/>
      <w:r w:rsidRPr="00D4624B">
        <w:lastRenderedPageBreak/>
        <w:t xml:space="preserve">Notice under sections 34AB of the Agricultural and Veterinary Chemicals Code </w:t>
      </w:r>
      <w:bookmarkStart w:id="357" w:name="_Hlk213083321"/>
      <w:r w:rsidRPr="00D4624B">
        <w:t xml:space="preserve">scheduled to the </w:t>
      </w:r>
      <w:r w:rsidRPr="00D4624B">
        <w:rPr>
          <w:i/>
          <w:iCs/>
        </w:rPr>
        <w:t>Agricultural and Veterinary Chemicals Code Act 1994</w:t>
      </w:r>
      <w:bookmarkEnd w:id="357"/>
      <w:r w:rsidRPr="00D4624B">
        <w:t>: anticoagulant rodenticides reconsideration - proposed decision to cancel certain chemical product registrations and label approvals</w:t>
      </w:r>
      <w:bookmarkEnd w:id="356"/>
    </w:p>
    <w:p w14:paraId="02396414" w14:textId="77777777" w:rsidR="008E67EA" w:rsidRDefault="008E67EA">
      <w:pPr>
        <w:pStyle w:val="GazetteListNumbered"/>
        <w:numPr>
          <w:ilvl w:val="0"/>
          <w:numId w:val="45"/>
        </w:numPr>
        <w:ind w:left="357" w:hanging="357"/>
      </w:pPr>
      <w:r>
        <w:t xml:space="preserve">I, </w:t>
      </w:r>
      <w:r w:rsidRPr="00011C46">
        <w:rPr>
          <w:lang w:val="en-AU"/>
        </w:rPr>
        <w:t>Maria Trainer, Executive Director Science and Assurance,</w:t>
      </w:r>
      <w:r>
        <w:t xml:space="preserve"> as the delegate of the Australian Pesticides and Veterinary Medicines Authority (APVMA) have </w:t>
      </w:r>
      <w:r w:rsidRPr="00011C46">
        <w:rPr>
          <w:lang w:val="en-AU"/>
        </w:rPr>
        <w:t xml:space="preserve">reconsidered the registrations of certain anticoagulant rodenticides, and their associated label approvals under Part 2, Division 4 of the </w:t>
      </w:r>
      <w:bookmarkStart w:id="358" w:name="_Hlk213083343"/>
      <w:r w:rsidRPr="00011C46">
        <w:rPr>
          <w:lang w:val="en-AU"/>
        </w:rPr>
        <w:t xml:space="preserve">Agricultural and Veterinary Chemicals Code </w:t>
      </w:r>
      <w:bookmarkEnd w:id="358"/>
      <w:r w:rsidRPr="00011C46">
        <w:rPr>
          <w:lang w:val="en-AU"/>
        </w:rPr>
        <w:t>scheduled to the Agricultural and Veterinary Chemicals Code Act 1994 (Agvet Code). The chemical product registrations and label approvals subject to the proposed cancellation decisions included in this notice are set out in Attachment A, and the reasons for my decision are set out in Attachment B</w:t>
      </w:r>
    </w:p>
    <w:p w14:paraId="6EC0F3B5" w14:textId="77777777" w:rsidR="008E67EA" w:rsidRDefault="008E67EA" w:rsidP="008E67EA">
      <w:pPr>
        <w:pStyle w:val="GazetteListNumbered"/>
        <w:ind w:left="360"/>
      </w:pPr>
      <w:r>
        <w:t>This notice is issued under sections 34AB of the Agvet Code and sets out my proposed decisions in relation to the anticoagulant</w:t>
      </w:r>
      <w:r w:rsidRPr="00027F51">
        <w:rPr>
          <w:lang w:val="en-AU"/>
        </w:rPr>
        <w:t xml:space="preserve"> rodenticides product registrations and label approvals listed in Attachment A of this notice.</w:t>
      </w:r>
    </w:p>
    <w:p w14:paraId="7B52598B" w14:textId="77777777" w:rsidR="008E67EA" w:rsidRDefault="008E67EA" w:rsidP="008E67EA">
      <w:pPr>
        <w:pStyle w:val="GazetteListNumbered"/>
        <w:ind w:left="360"/>
      </w:pPr>
      <w:r>
        <w:t>P</w:t>
      </w:r>
      <w:r w:rsidRPr="0084183D">
        <w:t>ursuant to section 34A</w:t>
      </w:r>
      <w:r>
        <w:t>A</w:t>
      </w:r>
      <w:r w:rsidRPr="0084183D">
        <w:t>(1) of the Agvet Code, I propose to</w:t>
      </w:r>
      <w:r>
        <w:t>:</w:t>
      </w:r>
    </w:p>
    <w:p w14:paraId="214224E8" w14:textId="708D42BF" w:rsidR="008E67EA" w:rsidRDefault="008E67EA" w:rsidP="008E67EA">
      <w:pPr>
        <w:pStyle w:val="GazetteListNumbered"/>
        <w:numPr>
          <w:ilvl w:val="1"/>
          <w:numId w:val="1"/>
        </w:numPr>
        <w:ind w:left="1080"/>
      </w:pPr>
      <w:r>
        <w:t xml:space="preserve">cancel </w:t>
      </w:r>
      <w:r w:rsidRPr="007026BC">
        <w:t xml:space="preserve">the anticoagulant rodenticide chemical product registrations listed in Attachment A of this notice </w:t>
      </w:r>
      <w:r>
        <w:t xml:space="preserve">as I am not satisfied that the products meet the safety criteria and I am also not satisfied that the relevant particulars or conditions </w:t>
      </w:r>
      <w:r w:rsidRPr="007026BC">
        <w:t>of the registrations</w:t>
      </w:r>
      <w:r>
        <w:t xml:space="preserve"> could be varied in such a way to allow affirmation.</w:t>
      </w:r>
    </w:p>
    <w:p w14:paraId="018E920E" w14:textId="76468954" w:rsidR="008E67EA" w:rsidRDefault="008E67EA" w:rsidP="008E67EA">
      <w:pPr>
        <w:pStyle w:val="GazetteListNumbered"/>
        <w:numPr>
          <w:ilvl w:val="1"/>
          <w:numId w:val="1"/>
        </w:numPr>
        <w:ind w:left="1080"/>
      </w:pPr>
      <w:r>
        <w:t xml:space="preserve">cancel </w:t>
      </w:r>
      <w:r w:rsidRPr="007026BC">
        <w:t xml:space="preserve">the anticoagulant rodenticide label approvals listed in Attachment A of this notice </w:t>
      </w:r>
      <w:r>
        <w:t xml:space="preserve">as I am not satisfied that the labels meet the labelling criteria and I am not satisfied that the relevant particulars or conditions </w:t>
      </w:r>
      <w:r w:rsidRPr="007026BC">
        <w:t xml:space="preserve">of the </w:t>
      </w:r>
      <w:r>
        <w:t>approvals could be varied in such a way to allow affirmation.</w:t>
      </w:r>
    </w:p>
    <w:p w14:paraId="5585D849" w14:textId="77777777" w:rsidR="008E67EA" w:rsidRDefault="008E67EA" w:rsidP="008E67EA">
      <w:pPr>
        <w:pStyle w:val="GazetteListNumbered"/>
        <w:ind w:left="360"/>
      </w:pPr>
      <w:r w:rsidRPr="003325E1">
        <w:t>The information on which the reasons are based is set out in Attachment C of this notice.</w:t>
      </w:r>
    </w:p>
    <w:p w14:paraId="0AC74104" w14:textId="77777777" w:rsidR="008E67EA" w:rsidRDefault="008E67EA" w:rsidP="008E67EA">
      <w:pPr>
        <w:pStyle w:val="GazetteHeading2"/>
      </w:pPr>
      <w:r w:rsidRPr="009A11F1">
        <w:t>Written submissions are invited</w:t>
      </w:r>
    </w:p>
    <w:p w14:paraId="1915E2E3" w14:textId="77777777" w:rsidR="008E67EA" w:rsidRDefault="008E67EA" w:rsidP="008E67EA">
      <w:pPr>
        <w:pStyle w:val="GazetteListNumbered"/>
        <w:ind w:left="360"/>
      </w:pPr>
      <w:r>
        <w:t>I invite written submissions on the proposed cancellation of the chemical product registrations and label approvals listed in Attachment A of this notice. All submissions will be considered by the APVMA prior to finalisation of this reconsideration.</w:t>
      </w:r>
    </w:p>
    <w:p w14:paraId="77ADED49" w14:textId="77777777" w:rsidR="008E67EA" w:rsidRDefault="008E67EA" w:rsidP="008E67EA">
      <w:pPr>
        <w:pStyle w:val="GazetteListNumbered"/>
        <w:ind w:left="360"/>
      </w:pPr>
      <w:r w:rsidRPr="009A11F1">
        <w:rPr>
          <w:lang w:val="en-AU"/>
        </w:rPr>
        <w:t>Submissions or requests for further information can be sent to:</w:t>
      </w:r>
    </w:p>
    <w:p w14:paraId="66750D04" w14:textId="1A9F270B" w:rsidR="008E67EA" w:rsidRDefault="008E67EA" w:rsidP="008E67EA">
      <w:pPr>
        <w:pStyle w:val="GazetteNormalText"/>
      </w:pPr>
      <w:r>
        <w:t>Chemical Review</w:t>
      </w:r>
      <w:r>
        <w:br/>
        <w:t>Australian Pesticides and Veterinary Medicines Authority</w:t>
      </w:r>
      <w:r>
        <w:br/>
      </w:r>
      <w:r w:rsidR="0071188C" w:rsidRPr="0071188C">
        <w:t>GPO Box 574</w:t>
      </w:r>
      <w:r w:rsidR="0071188C">
        <w:br/>
      </w:r>
      <w:r w:rsidR="0071188C" w:rsidRPr="0071188C">
        <w:t>Canberra ACT 2601, Australia</w:t>
      </w:r>
    </w:p>
    <w:p w14:paraId="33814A44" w14:textId="77777777" w:rsidR="008E67EA" w:rsidRDefault="008E67EA" w:rsidP="008E67EA">
      <w:pPr>
        <w:pStyle w:val="GazetteNormalText"/>
      </w:pPr>
      <w:r w:rsidRPr="009A11F1">
        <w:rPr>
          <w:b/>
          <w:bCs/>
        </w:rPr>
        <w:t>Phone:</w:t>
      </w:r>
      <w:r>
        <w:t xml:space="preserve"> +61 2 6770 2400</w:t>
      </w:r>
      <w:r>
        <w:br/>
      </w:r>
      <w:r w:rsidRPr="009A11F1">
        <w:rPr>
          <w:b/>
          <w:bCs/>
        </w:rPr>
        <w:t>Email:</w:t>
      </w:r>
      <w:r>
        <w:t xml:space="preserve"> chemicalreview@apvma.gov.au</w:t>
      </w:r>
    </w:p>
    <w:p w14:paraId="020AD731" w14:textId="77777777" w:rsidR="008E67EA" w:rsidRDefault="008E67EA" w:rsidP="008E67EA">
      <w:pPr>
        <w:pStyle w:val="GazetteNormalText"/>
      </w:pPr>
      <w:r>
        <w:t xml:space="preserve">Please note: Submissions will be published on the APVMA website, unless you have asked for the submission to remain confidential (see </w:t>
      </w:r>
      <w:hyperlink r:id="rId55" w:history="1">
        <w:r w:rsidRPr="00CA334D">
          <w:rPr>
            <w:rStyle w:val="Hyperlink"/>
          </w:rPr>
          <w:t>public submission coversheet</w:t>
        </w:r>
      </w:hyperlink>
      <w:r>
        <w:t>).</w:t>
      </w:r>
    </w:p>
    <w:p w14:paraId="74EE2706" w14:textId="77777777" w:rsidR="008E67EA" w:rsidRDefault="008E67EA" w:rsidP="008E67EA">
      <w:pPr>
        <w:pStyle w:val="GazetteBulletList2"/>
        <w:numPr>
          <w:ilvl w:val="0"/>
          <w:numId w:val="2"/>
        </w:numPr>
        <w:ind w:left="1134" w:hanging="340"/>
      </w:pPr>
      <w:r>
        <w:t>Please lodge your submission with a public submission coversheet, which provides options for how your submission will be published.</w:t>
      </w:r>
    </w:p>
    <w:p w14:paraId="6F5C022C" w14:textId="77777777" w:rsidR="008E67EA" w:rsidRDefault="008E67EA" w:rsidP="008E67EA">
      <w:pPr>
        <w:pStyle w:val="GazetteBulletList2"/>
        <w:numPr>
          <w:ilvl w:val="0"/>
          <w:numId w:val="2"/>
        </w:numPr>
        <w:ind w:left="1134" w:hanging="340"/>
      </w:pPr>
      <w:r>
        <w:t xml:space="preserve">Note that all submissions received are subject to legislative requirements, including the Freedom of Information Act 1982, the Privacy Act 1988 and the Agvet Code. In providing your submission to the APVMA, you agree to the APVMA publicly disclosing your submission in whole or summary form. The APVMA confirms that if your submission includes confidential commercial information or protected </w:t>
      </w:r>
      <w:r>
        <w:lastRenderedPageBreak/>
        <w:t>information as defined in the Agvet Code, such information will be subject to the relevant provisions of the Agvet Code including relevant limitations on use and disclosure by the APVMA.</w:t>
      </w:r>
    </w:p>
    <w:p w14:paraId="37CC3F9B" w14:textId="77777777" w:rsidR="008E67EA" w:rsidRDefault="008E67EA" w:rsidP="008E67EA">
      <w:pPr>
        <w:pStyle w:val="GazetteListNumbered"/>
      </w:pPr>
      <w:r w:rsidRPr="00CA334D">
        <w:rPr>
          <w:lang w:val="en-AU"/>
        </w:rPr>
        <w:t xml:space="preserve">The </w:t>
      </w:r>
      <w:r>
        <w:rPr>
          <w:lang w:val="en-AU"/>
        </w:rPr>
        <w:t>closing date for submissions is 16 March 2026.</w:t>
      </w:r>
    </w:p>
    <w:p w14:paraId="6B8ACF8C" w14:textId="77777777" w:rsidR="008E67EA" w:rsidRDefault="008E67EA" w:rsidP="008E67EA">
      <w:pPr>
        <w:pStyle w:val="GazetteBulletList"/>
        <w:numPr>
          <w:ilvl w:val="0"/>
          <w:numId w:val="0"/>
        </w:numPr>
        <w:rPr>
          <w:lang w:val="en-AU"/>
        </w:rPr>
      </w:pPr>
      <w:r w:rsidRPr="009633D6">
        <w:rPr>
          <w:lang w:val="en-AU"/>
        </w:rPr>
        <w:t>Maria Trainer</w:t>
      </w:r>
    </w:p>
    <w:p w14:paraId="47490E24" w14:textId="5798A80C" w:rsidR="008E67EA" w:rsidRDefault="008E67EA" w:rsidP="008E67EA">
      <w:pPr>
        <w:pStyle w:val="GazetteBulletList"/>
        <w:numPr>
          <w:ilvl w:val="0"/>
          <w:numId w:val="0"/>
        </w:numPr>
        <w:rPr>
          <w:lang w:val="en-AU"/>
        </w:rPr>
      </w:pPr>
      <w:r>
        <w:rPr>
          <w:lang w:val="en-AU"/>
        </w:rPr>
        <w:t>Executive Director Science and Assurance</w:t>
      </w:r>
    </w:p>
    <w:p w14:paraId="58B064A7" w14:textId="77777777" w:rsidR="008E67EA" w:rsidRDefault="008E67EA" w:rsidP="008E67EA">
      <w:pPr>
        <w:pStyle w:val="GazetteBulletList"/>
        <w:numPr>
          <w:ilvl w:val="0"/>
          <w:numId w:val="0"/>
        </w:numPr>
        <w:rPr>
          <w:lang w:val="en-AU"/>
        </w:rPr>
      </w:pPr>
      <w:r w:rsidRPr="00CA334D">
        <w:rPr>
          <w:lang w:val="en-AU"/>
        </w:rPr>
        <w:t xml:space="preserve">With the delegated authority under sections 11, 32 and 44 of the Agricultural and Veterinary Chemicals (Administration) Act 1992. </w:t>
      </w:r>
    </w:p>
    <w:p w14:paraId="0F10956E" w14:textId="77777777" w:rsidR="008E67EA" w:rsidRDefault="008E67EA" w:rsidP="008E67EA">
      <w:pPr>
        <w:pStyle w:val="GazetteHeading2"/>
      </w:pPr>
      <w:r w:rsidRPr="00932782">
        <w:t>Attachments:</w:t>
      </w:r>
    </w:p>
    <w:p w14:paraId="0A4146C7" w14:textId="77777777" w:rsidR="008E67EA" w:rsidRDefault="008E67EA" w:rsidP="008E67EA">
      <w:pPr>
        <w:pStyle w:val="GazetteNormalText"/>
      </w:pPr>
      <w:r w:rsidRPr="00CA334D">
        <w:rPr>
          <w:lang w:val="en-AU"/>
        </w:rPr>
        <w:t>Note: The below Attachments form part of this Notice.</w:t>
      </w:r>
    </w:p>
    <w:p w14:paraId="0544F20D" w14:textId="77777777" w:rsidR="008E67EA" w:rsidRDefault="008E67EA" w:rsidP="008E67EA">
      <w:pPr>
        <w:pStyle w:val="GazetteNormalText"/>
        <w:spacing w:before="120" w:after="120"/>
      </w:pPr>
      <w:r>
        <w:t xml:space="preserve">Attachment A: </w:t>
      </w:r>
      <w:r w:rsidRPr="00584375">
        <w:t xml:space="preserve">Anticoagulant rodenticide product registrations and label approvals under reconsideration that the APVMA is proposing to </w:t>
      </w:r>
      <w:r>
        <w:t>cancel</w:t>
      </w:r>
      <w:r w:rsidRPr="00584375">
        <w:t xml:space="preserve"> </w:t>
      </w:r>
    </w:p>
    <w:p w14:paraId="41068137" w14:textId="77777777" w:rsidR="008E67EA" w:rsidRDefault="008E67EA" w:rsidP="008E67EA">
      <w:pPr>
        <w:pStyle w:val="GazetteNormalText"/>
        <w:spacing w:before="120" w:after="120"/>
      </w:pPr>
      <w:r>
        <w:t xml:space="preserve">Attachment B: </w:t>
      </w:r>
      <w:r w:rsidRPr="007F0C7B">
        <w:t>Draft statement of reasons for the proposed decision to cancel certain anticoagulant rodenticide products and labels</w:t>
      </w:r>
    </w:p>
    <w:p w14:paraId="3197E011" w14:textId="77777777" w:rsidR="008E67EA" w:rsidRDefault="008E67EA" w:rsidP="008E67EA">
      <w:pPr>
        <w:pStyle w:val="GazetteNormalText"/>
        <w:spacing w:before="120" w:after="120"/>
      </w:pPr>
      <w:r>
        <w:t>Attachment C: Information on which the reasons are based</w:t>
      </w:r>
    </w:p>
    <w:p w14:paraId="2A7BB1C9" w14:textId="77777777" w:rsidR="008E67EA" w:rsidRPr="00DA53DF" w:rsidRDefault="008E67EA" w:rsidP="008E67EA">
      <w:pPr>
        <w:pStyle w:val="GazetteHeading2"/>
      </w:pPr>
      <w:r>
        <w:t>C</w:t>
      </w:r>
      <w:r w:rsidRPr="00DA53DF">
        <w:t>ontact</w:t>
      </w:r>
      <w:r>
        <w:t xml:space="preserve"> information</w:t>
      </w:r>
    </w:p>
    <w:p w14:paraId="66603C0A" w14:textId="77777777" w:rsidR="008E67EA" w:rsidRDefault="008E67EA" w:rsidP="008E67EA">
      <w:pPr>
        <w:pStyle w:val="GazetteNormalText"/>
      </w:pPr>
      <w:r>
        <w:t>For any enquiries or further information about this matter, please contact:</w:t>
      </w:r>
    </w:p>
    <w:p w14:paraId="14EC4B8A" w14:textId="77777777" w:rsidR="008E67EA" w:rsidRDefault="008E67EA" w:rsidP="008E67EA">
      <w:pPr>
        <w:pStyle w:val="GazetteContact"/>
      </w:pPr>
      <w:r>
        <w:t>Chemical Review</w:t>
      </w:r>
    </w:p>
    <w:p w14:paraId="3A325F8B" w14:textId="2DD2DBD4" w:rsidR="0071188C" w:rsidRDefault="008E67EA" w:rsidP="0071188C">
      <w:pPr>
        <w:pStyle w:val="GazetteContact"/>
      </w:pPr>
      <w:r>
        <w:t>Australian Pesticides and Veterinary Medicines Authority</w:t>
      </w:r>
      <w:r w:rsidR="0071188C">
        <w:br/>
      </w:r>
      <w:r w:rsidR="0071188C" w:rsidRPr="0071188C">
        <w:t>GPO Box 574</w:t>
      </w:r>
      <w:r w:rsidR="0071188C">
        <w:br/>
      </w:r>
      <w:r w:rsidR="0071188C" w:rsidRPr="0071188C">
        <w:t>Canberra ACT 2601, Australia</w:t>
      </w:r>
    </w:p>
    <w:p w14:paraId="22FDF4EF" w14:textId="5A0984A4" w:rsidR="008E67EA" w:rsidRDefault="008E67EA" w:rsidP="008E67EA">
      <w:pPr>
        <w:pStyle w:val="GazetteContact"/>
        <w:spacing w:before="300"/>
      </w:pPr>
      <w:r>
        <w:rPr>
          <w:b/>
        </w:rPr>
        <w:t xml:space="preserve">Phone: </w:t>
      </w:r>
      <w:r>
        <w:t>+61</w:t>
      </w:r>
      <w:r>
        <w:rPr>
          <w:lang w:val="en-AU"/>
        </w:rPr>
        <w:t xml:space="preserve"> </w:t>
      </w:r>
      <w:r w:rsidRPr="0060474C">
        <w:rPr>
          <w:lang w:val="en-AU"/>
        </w:rPr>
        <w:t>2 6770 2</w:t>
      </w:r>
      <w:r>
        <w:rPr>
          <w:lang w:val="en-AU"/>
        </w:rPr>
        <w:t>400</w:t>
      </w:r>
    </w:p>
    <w:p w14:paraId="365F4F87" w14:textId="0D483068" w:rsidR="008E67EA" w:rsidRDefault="008E67EA" w:rsidP="0071188C">
      <w:pPr>
        <w:pStyle w:val="GazetteContact"/>
      </w:pPr>
      <w:r>
        <w:rPr>
          <w:b/>
        </w:rPr>
        <w:t>Email</w:t>
      </w:r>
      <w:r>
        <w:t>:</w:t>
      </w:r>
      <w:r>
        <w:rPr>
          <w:b/>
        </w:rPr>
        <w:t xml:space="preserve"> </w:t>
      </w:r>
      <w:hyperlink r:id="rId56" w:history="1">
        <w:r w:rsidRPr="001B5636">
          <w:rPr>
            <w:rStyle w:val="Hyperlink"/>
          </w:rPr>
          <w:t>chemicalreview@apvma.gov.au</w:t>
        </w:r>
      </w:hyperlink>
    </w:p>
    <w:p w14:paraId="017ABC46" w14:textId="77777777" w:rsidR="008E67EA" w:rsidRDefault="008E67EA" w:rsidP="008E67EA">
      <w:pPr>
        <w:pStyle w:val="GazetteHeading1"/>
        <w:sectPr w:rsidR="008E67EA" w:rsidSect="008E67EA">
          <w:headerReference w:type="even" r:id="rId57"/>
          <w:headerReference w:type="default" r:id="rId58"/>
          <w:pgSz w:w="11906" w:h="16838"/>
          <w:pgMar w:top="1440" w:right="1134" w:bottom="1440" w:left="1134" w:header="680" w:footer="737" w:gutter="0"/>
          <w:cols w:space="708"/>
          <w:docGrid w:linePitch="360"/>
        </w:sectPr>
      </w:pPr>
    </w:p>
    <w:p w14:paraId="5C956ED1" w14:textId="77777777" w:rsidR="008E67EA" w:rsidRPr="00D4624B" w:rsidRDefault="008E67EA" w:rsidP="00D4624B">
      <w:pPr>
        <w:pStyle w:val="GazetteHeading1"/>
      </w:pPr>
      <w:bookmarkStart w:id="359" w:name="_Toc216282369"/>
      <w:r w:rsidRPr="00D4624B">
        <w:lastRenderedPageBreak/>
        <w:t>Attachment A: Anticoagulant rodenticide product registrations and label approvals under reconsideration that the APVMA is proposing to cancel</w:t>
      </w:r>
      <w:bookmarkEnd w:id="359"/>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Caption w:val="example of license table"/>
      </w:tblPr>
      <w:tblGrid>
        <w:gridCol w:w="1204"/>
        <w:gridCol w:w="1155"/>
        <w:gridCol w:w="1889"/>
        <w:gridCol w:w="1700"/>
        <w:gridCol w:w="1702"/>
        <w:gridCol w:w="1978"/>
      </w:tblGrid>
      <w:tr w:rsidR="008E67EA" w14:paraId="629BB251" w14:textId="77777777" w:rsidTr="0071188C">
        <w:trPr>
          <w:tblHeader/>
        </w:trPr>
        <w:tc>
          <w:tcPr>
            <w:tcW w:w="625" w:type="pct"/>
            <w:shd w:val="clear" w:color="auto" w:fill="D9D9D9" w:themeFill="background1" w:themeFillShade="D9"/>
          </w:tcPr>
          <w:p w14:paraId="6BC93A44" w14:textId="77777777" w:rsidR="008E67EA" w:rsidRDefault="008E67EA" w:rsidP="00B44A74">
            <w:pPr>
              <w:pStyle w:val="GazetteTableHeading"/>
            </w:pPr>
            <w:bookmarkStart w:id="360" w:name="_Hlk212896880"/>
            <w:r>
              <w:t>Agricultural chemical</w:t>
            </w:r>
          </w:p>
        </w:tc>
        <w:tc>
          <w:tcPr>
            <w:tcW w:w="600" w:type="pct"/>
            <w:shd w:val="clear" w:color="auto" w:fill="D9D9D9" w:themeFill="background1" w:themeFillShade="D9"/>
          </w:tcPr>
          <w:p w14:paraId="21CD2F0D" w14:textId="77777777" w:rsidR="008E67EA" w:rsidRDefault="008E67EA" w:rsidP="00B44A74">
            <w:pPr>
              <w:pStyle w:val="GazetteTableHeading"/>
            </w:pPr>
            <w:r>
              <w:t>Registration number</w:t>
            </w:r>
          </w:p>
        </w:tc>
        <w:tc>
          <w:tcPr>
            <w:tcW w:w="981" w:type="pct"/>
            <w:shd w:val="clear" w:color="auto" w:fill="D9D9D9" w:themeFill="background1" w:themeFillShade="D9"/>
          </w:tcPr>
          <w:p w14:paraId="5792D260" w14:textId="77777777" w:rsidR="008E67EA" w:rsidRDefault="008E67EA" w:rsidP="00B44A74">
            <w:pPr>
              <w:pStyle w:val="GazetteTableHeading"/>
            </w:pPr>
            <w:r>
              <w:t>Product name</w:t>
            </w:r>
          </w:p>
        </w:tc>
        <w:tc>
          <w:tcPr>
            <w:tcW w:w="883" w:type="pct"/>
            <w:shd w:val="clear" w:color="auto" w:fill="D9D9D9" w:themeFill="background1" w:themeFillShade="D9"/>
          </w:tcPr>
          <w:p w14:paraId="369D7FBF" w14:textId="77777777" w:rsidR="008E67EA" w:rsidRDefault="008E67EA" w:rsidP="00B44A74">
            <w:pPr>
              <w:pStyle w:val="GazetteTableHeading"/>
            </w:pPr>
            <w:r>
              <w:t>Holder</w:t>
            </w:r>
          </w:p>
        </w:tc>
        <w:tc>
          <w:tcPr>
            <w:tcW w:w="884" w:type="pct"/>
            <w:shd w:val="clear" w:color="auto" w:fill="D9D9D9" w:themeFill="background1" w:themeFillShade="D9"/>
          </w:tcPr>
          <w:p w14:paraId="533A982E" w14:textId="77777777" w:rsidR="008E67EA" w:rsidRDefault="008E67EA" w:rsidP="00B44A74">
            <w:pPr>
              <w:pStyle w:val="GazetteTableHeading"/>
            </w:pPr>
            <w:r w:rsidRPr="004642C3">
              <w:t>Label approval number(s) associated with the product</w:t>
            </w:r>
          </w:p>
        </w:tc>
        <w:tc>
          <w:tcPr>
            <w:tcW w:w="1027" w:type="pct"/>
            <w:shd w:val="clear" w:color="auto" w:fill="D9D9D9" w:themeFill="background1" w:themeFillShade="D9"/>
          </w:tcPr>
          <w:p w14:paraId="09ECF5BB" w14:textId="77777777" w:rsidR="008E67EA" w:rsidRPr="004642C3" w:rsidRDefault="008E67EA" w:rsidP="00B44A74">
            <w:pPr>
              <w:pStyle w:val="GazetteTableHeading"/>
            </w:pPr>
            <w:r>
              <w:t>Summary of reasons for safety concerns and cancellation</w:t>
            </w:r>
          </w:p>
        </w:tc>
      </w:tr>
      <w:bookmarkEnd w:id="360"/>
      <w:tr w:rsidR="008E67EA" w14:paraId="5A1FEB53" w14:textId="77777777" w:rsidTr="0071188C">
        <w:tc>
          <w:tcPr>
            <w:tcW w:w="625" w:type="pct"/>
          </w:tcPr>
          <w:p w14:paraId="0A14ADCA" w14:textId="77777777" w:rsidR="008E67EA" w:rsidRPr="00120DBF" w:rsidRDefault="008E67EA" w:rsidP="00B44A74">
            <w:pPr>
              <w:pStyle w:val="GazetteTableText"/>
              <w:rPr>
                <w:color w:val="000000" w:themeColor="text1"/>
              </w:rPr>
            </w:pPr>
            <w:r w:rsidRPr="00120DBF">
              <w:rPr>
                <w:color w:val="000000" w:themeColor="text1"/>
              </w:rPr>
              <w:t>Brodifacoum</w:t>
            </w:r>
          </w:p>
        </w:tc>
        <w:tc>
          <w:tcPr>
            <w:tcW w:w="600" w:type="pct"/>
          </w:tcPr>
          <w:p w14:paraId="565BC21F" w14:textId="77777777" w:rsidR="008E67EA" w:rsidRPr="00120DBF" w:rsidRDefault="008E67EA" w:rsidP="00B44A74">
            <w:pPr>
              <w:pStyle w:val="GazetteTableText"/>
              <w:rPr>
                <w:color w:val="000000" w:themeColor="text1"/>
              </w:rPr>
            </w:pPr>
            <w:r w:rsidRPr="00120DBF">
              <w:rPr>
                <w:color w:val="000000" w:themeColor="text1"/>
              </w:rPr>
              <w:t>48332</w:t>
            </w:r>
          </w:p>
        </w:tc>
        <w:tc>
          <w:tcPr>
            <w:tcW w:w="981" w:type="pct"/>
          </w:tcPr>
          <w:p w14:paraId="193311C1" w14:textId="77777777" w:rsidR="008E67EA" w:rsidRPr="00120DBF" w:rsidRDefault="008E67EA" w:rsidP="00B44A74">
            <w:pPr>
              <w:pStyle w:val="GazetteTableText"/>
              <w:rPr>
                <w:color w:val="000000" w:themeColor="text1"/>
              </w:rPr>
            </w:pPr>
            <w:r w:rsidRPr="00120DBF">
              <w:rPr>
                <w:color w:val="000000" w:themeColor="text1"/>
              </w:rPr>
              <w:t>Oztec Ratal Rodenticide Pellets</w:t>
            </w:r>
          </w:p>
        </w:tc>
        <w:tc>
          <w:tcPr>
            <w:tcW w:w="883" w:type="pct"/>
          </w:tcPr>
          <w:p w14:paraId="573CE191" w14:textId="77777777" w:rsidR="008E67EA" w:rsidRPr="00120DBF" w:rsidRDefault="008E67EA" w:rsidP="00B44A74">
            <w:pPr>
              <w:pStyle w:val="GazetteTableText"/>
              <w:rPr>
                <w:color w:val="000000" w:themeColor="text1"/>
              </w:rPr>
            </w:pPr>
            <w:r w:rsidRPr="00120DBF">
              <w:rPr>
                <w:color w:val="000000" w:themeColor="text1"/>
              </w:rPr>
              <w:t>Oztec Rural Pty Limited</w:t>
            </w:r>
          </w:p>
        </w:tc>
        <w:tc>
          <w:tcPr>
            <w:tcW w:w="884" w:type="pct"/>
          </w:tcPr>
          <w:p w14:paraId="55A66A51" w14:textId="77777777" w:rsidR="008E67EA" w:rsidRPr="00120DBF" w:rsidRDefault="008E67EA" w:rsidP="00B44A74">
            <w:pPr>
              <w:pStyle w:val="GazetteTableText"/>
              <w:rPr>
                <w:color w:val="000000" w:themeColor="text1"/>
              </w:rPr>
            </w:pPr>
            <w:r w:rsidRPr="00120DBF">
              <w:rPr>
                <w:color w:val="000000" w:themeColor="text1"/>
              </w:rPr>
              <w:t>48332/01</w:t>
            </w:r>
          </w:p>
        </w:tc>
        <w:tc>
          <w:tcPr>
            <w:tcW w:w="1027" w:type="pct"/>
          </w:tcPr>
          <w:p w14:paraId="6C497BD1" w14:textId="1FB29BE6" w:rsidR="008E67EA" w:rsidRPr="0017186B" w:rsidRDefault="008E67EA" w:rsidP="00B44A74">
            <w:pPr>
              <w:pStyle w:val="GazetteTableText"/>
              <w:rPr>
                <w:color w:val="000000" w:themeColor="text1"/>
                <w:highlight w:val="yellow"/>
              </w:rPr>
            </w:pPr>
            <w:bookmarkStart w:id="361" w:name="_Hlk212896900"/>
            <w:r>
              <w:t xml:space="preserve">Formulation does not contain a bittering agent </w:t>
            </w:r>
            <w:r w:rsidRPr="000462C9">
              <w:t xml:space="preserve">(paras. </w:t>
            </w:r>
            <w:r w:rsidRPr="000462C9">
              <w:fldChar w:fldCharType="begin"/>
            </w:r>
            <w:r w:rsidRPr="000462C9">
              <w:instrText xml:space="preserve"> REF _Ref212833471 \r \h </w:instrText>
            </w:r>
            <w:r>
              <w:instrText xml:space="preserve"> \* MERGEFORMAT </w:instrText>
            </w:r>
            <w:r w:rsidRPr="000462C9">
              <w:fldChar w:fldCharType="separate"/>
            </w:r>
            <w:r w:rsidR="002C0C2A">
              <w:t>41</w:t>
            </w:r>
            <w:r w:rsidRPr="000462C9">
              <w:fldChar w:fldCharType="end"/>
            </w:r>
            <w:r w:rsidRPr="000462C9">
              <w:t xml:space="preserve"> </w:t>
            </w:r>
            <w:r w:rsidRPr="000462C9">
              <w:t>–</w:t>
            </w:r>
            <w:r w:rsidRPr="000462C9">
              <w:t xml:space="preserve"> </w:t>
            </w:r>
            <w:r w:rsidRPr="000462C9">
              <w:fldChar w:fldCharType="begin"/>
            </w:r>
            <w:r w:rsidRPr="000462C9">
              <w:instrText xml:space="preserve"> REF _Ref212833475 \r \h </w:instrText>
            </w:r>
            <w:r>
              <w:instrText xml:space="preserve"> \* MERGEFORMAT </w:instrText>
            </w:r>
            <w:r w:rsidRPr="000462C9">
              <w:fldChar w:fldCharType="separate"/>
            </w:r>
            <w:r w:rsidR="002C0C2A">
              <w:t>44</w:t>
            </w:r>
            <w:r w:rsidRPr="000462C9">
              <w:fldChar w:fldCharType="end"/>
            </w:r>
            <w:r w:rsidRPr="000462C9">
              <w:t>)</w:t>
            </w:r>
            <w:bookmarkEnd w:id="361"/>
          </w:p>
        </w:tc>
      </w:tr>
      <w:tr w:rsidR="008E67EA" w14:paraId="2597E37E" w14:textId="77777777" w:rsidTr="0071188C">
        <w:tc>
          <w:tcPr>
            <w:tcW w:w="625" w:type="pct"/>
          </w:tcPr>
          <w:p w14:paraId="1593A64C" w14:textId="77777777" w:rsidR="008E67EA" w:rsidRPr="00C84EC7" w:rsidRDefault="008E67EA" w:rsidP="00B44A74">
            <w:pPr>
              <w:pStyle w:val="GazetteTableText"/>
              <w:rPr>
                <w:color w:val="000000" w:themeColor="text1"/>
              </w:rPr>
            </w:pPr>
            <w:r w:rsidRPr="00C84EC7">
              <w:rPr>
                <w:color w:val="000000" w:themeColor="text1"/>
              </w:rPr>
              <w:t>Brodifacoum</w:t>
            </w:r>
          </w:p>
        </w:tc>
        <w:tc>
          <w:tcPr>
            <w:tcW w:w="600" w:type="pct"/>
          </w:tcPr>
          <w:p w14:paraId="5C5F6E99" w14:textId="77777777" w:rsidR="008E67EA" w:rsidRPr="00C84EC7" w:rsidRDefault="008E67EA" w:rsidP="00B44A74">
            <w:pPr>
              <w:pStyle w:val="GazetteTableText"/>
              <w:rPr>
                <w:color w:val="000000" w:themeColor="text1"/>
              </w:rPr>
            </w:pPr>
            <w:r w:rsidRPr="00C84EC7">
              <w:rPr>
                <w:color w:val="000000" w:themeColor="text1"/>
              </w:rPr>
              <w:t>57805</w:t>
            </w:r>
          </w:p>
        </w:tc>
        <w:tc>
          <w:tcPr>
            <w:tcW w:w="981" w:type="pct"/>
          </w:tcPr>
          <w:p w14:paraId="5422DE3D" w14:textId="77777777" w:rsidR="008E67EA" w:rsidRPr="00C84EC7" w:rsidRDefault="008E67EA" w:rsidP="00B44A74">
            <w:pPr>
              <w:pStyle w:val="GazetteTableText"/>
              <w:rPr>
                <w:color w:val="000000" w:themeColor="text1"/>
              </w:rPr>
            </w:pPr>
            <w:r w:rsidRPr="00C84EC7">
              <w:rPr>
                <w:color w:val="000000" w:themeColor="text1"/>
              </w:rPr>
              <w:t>Raticide Mouse And Rat Bait</w:t>
            </w:r>
          </w:p>
        </w:tc>
        <w:tc>
          <w:tcPr>
            <w:tcW w:w="883" w:type="pct"/>
          </w:tcPr>
          <w:p w14:paraId="58B4B143" w14:textId="77777777" w:rsidR="008E67EA" w:rsidRPr="00C84EC7" w:rsidRDefault="008E67EA" w:rsidP="00B44A74">
            <w:pPr>
              <w:pStyle w:val="GazetteTableText"/>
              <w:rPr>
                <w:color w:val="000000" w:themeColor="text1"/>
              </w:rPr>
            </w:pPr>
            <w:r w:rsidRPr="00C84EC7">
              <w:rPr>
                <w:color w:val="000000" w:themeColor="text1"/>
              </w:rPr>
              <w:t>Parafarm Pty Ltd</w:t>
            </w:r>
          </w:p>
        </w:tc>
        <w:tc>
          <w:tcPr>
            <w:tcW w:w="884" w:type="pct"/>
          </w:tcPr>
          <w:p w14:paraId="27012EC8" w14:textId="77777777" w:rsidR="008E67EA" w:rsidRPr="00C84EC7" w:rsidRDefault="008E67EA" w:rsidP="00B44A74">
            <w:pPr>
              <w:pStyle w:val="GazetteTableText"/>
              <w:rPr>
                <w:color w:val="000000" w:themeColor="text1"/>
              </w:rPr>
            </w:pPr>
            <w:r w:rsidRPr="00C84EC7">
              <w:rPr>
                <w:color w:val="000000" w:themeColor="text1"/>
              </w:rPr>
              <w:t>57805/54399</w:t>
            </w:r>
          </w:p>
        </w:tc>
        <w:tc>
          <w:tcPr>
            <w:tcW w:w="1027" w:type="pct"/>
          </w:tcPr>
          <w:p w14:paraId="736C8785" w14:textId="5D2174EC" w:rsidR="008E67EA" w:rsidRPr="00C84EC7" w:rsidRDefault="008E67EA" w:rsidP="00B44A74">
            <w:pPr>
              <w:pStyle w:val="GazetteTableText"/>
              <w:rPr>
                <w:color w:val="000000" w:themeColor="text1"/>
              </w:rPr>
            </w:pPr>
            <w:r>
              <w:t xml:space="preserve">Formulation does not contain a bittering agent or dye </w:t>
            </w:r>
            <w:r w:rsidRPr="000462C9">
              <w:t xml:space="preserve">(paras. </w:t>
            </w:r>
            <w:r w:rsidRPr="000462C9">
              <w:fldChar w:fldCharType="begin"/>
            </w:r>
            <w:r w:rsidRPr="000462C9">
              <w:instrText xml:space="preserve"> REF _Ref212833471 \r \h </w:instrText>
            </w:r>
            <w:r>
              <w:instrText xml:space="preserve"> \* MERGEFORMAT </w:instrText>
            </w:r>
            <w:r w:rsidRPr="000462C9">
              <w:fldChar w:fldCharType="separate"/>
            </w:r>
            <w:r w:rsidR="002C0C2A">
              <w:t>41</w:t>
            </w:r>
            <w:r w:rsidRPr="000462C9">
              <w:fldChar w:fldCharType="end"/>
            </w:r>
            <w:r w:rsidRPr="000462C9">
              <w:t xml:space="preserve"> </w:t>
            </w:r>
            <w:r w:rsidRPr="000462C9">
              <w:t>–</w:t>
            </w:r>
            <w:r w:rsidRPr="000462C9">
              <w:t xml:space="preserve"> </w:t>
            </w:r>
            <w:r w:rsidRPr="000462C9">
              <w:fldChar w:fldCharType="begin"/>
            </w:r>
            <w:r w:rsidRPr="000462C9">
              <w:instrText xml:space="preserve"> REF _Ref212833475 \r \h </w:instrText>
            </w:r>
            <w:r>
              <w:instrText xml:space="preserve"> \* MERGEFORMAT </w:instrText>
            </w:r>
            <w:r w:rsidRPr="000462C9">
              <w:fldChar w:fldCharType="separate"/>
            </w:r>
            <w:r w:rsidR="002C0C2A">
              <w:t>44</w:t>
            </w:r>
            <w:r w:rsidRPr="000462C9">
              <w:fldChar w:fldCharType="end"/>
            </w:r>
            <w:r w:rsidRPr="000462C9">
              <w:t>)</w:t>
            </w:r>
          </w:p>
        </w:tc>
      </w:tr>
      <w:tr w:rsidR="008E67EA" w14:paraId="2BFBD914" w14:textId="77777777" w:rsidTr="0071188C">
        <w:tc>
          <w:tcPr>
            <w:tcW w:w="625" w:type="pct"/>
          </w:tcPr>
          <w:p w14:paraId="4EFF1B16" w14:textId="77777777" w:rsidR="008E67EA" w:rsidRPr="00C84EC7" w:rsidRDefault="008E67EA" w:rsidP="00B44A74">
            <w:pPr>
              <w:pStyle w:val="GazetteTableText"/>
              <w:rPr>
                <w:color w:val="000000" w:themeColor="text1"/>
              </w:rPr>
            </w:pPr>
            <w:r w:rsidRPr="00C84EC7">
              <w:rPr>
                <w:color w:val="000000" w:themeColor="text1"/>
              </w:rPr>
              <w:t>Brodifacoum</w:t>
            </w:r>
          </w:p>
        </w:tc>
        <w:tc>
          <w:tcPr>
            <w:tcW w:w="600" w:type="pct"/>
          </w:tcPr>
          <w:p w14:paraId="2BBEEB51" w14:textId="77777777" w:rsidR="008E67EA" w:rsidRPr="00C84EC7" w:rsidRDefault="008E67EA" w:rsidP="00B44A74">
            <w:pPr>
              <w:pStyle w:val="GazetteTableText"/>
              <w:rPr>
                <w:color w:val="000000" w:themeColor="text1"/>
              </w:rPr>
            </w:pPr>
            <w:r w:rsidRPr="00C84EC7">
              <w:rPr>
                <w:color w:val="000000" w:themeColor="text1"/>
              </w:rPr>
              <w:t>63625</w:t>
            </w:r>
          </w:p>
        </w:tc>
        <w:tc>
          <w:tcPr>
            <w:tcW w:w="981" w:type="pct"/>
          </w:tcPr>
          <w:p w14:paraId="56565179" w14:textId="77777777" w:rsidR="008E67EA" w:rsidRPr="00C84EC7" w:rsidRDefault="008E67EA" w:rsidP="00B44A74">
            <w:pPr>
              <w:pStyle w:val="GazetteTableText"/>
              <w:rPr>
                <w:color w:val="000000" w:themeColor="text1"/>
              </w:rPr>
            </w:pPr>
            <w:r w:rsidRPr="00C84EC7">
              <w:rPr>
                <w:color w:val="000000" w:themeColor="text1"/>
              </w:rPr>
              <w:t>X-Verminator Single Feed, Lethal Dose Rodent Pellets</w:t>
            </w:r>
          </w:p>
        </w:tc>
        <w:tc>
          <w:tcPr>
            <w:tcW w:w="883" w:type="pct"/>
          </w:tcPr>
          <w:p w14:paraId="488080FF" w14:textId="77777777" w:rsidR="008E67EA" w:rsidRPr="00C84EC7" w:rsidRDefault="008E67EA" w:rsidP="00B44A74">
            <w:pPr>
              <w:pStyle w:val="GazetteTableText"/>
              <w:rPr>
                <w:color w:val="000000" w:themeColor="text1"/>
              </w:rPr>
            </w:pPr>
            <w:r w:rsidRPr="00C84EC7">
              <w:rPr>
                <w:color w:val="000000" w:themeColor="text1"/>
              </w:rPr>
              <w:t xml:space="preserve">Animal Control Products Ltd </w:t>
            </w:r>
          </w:p>
        </w:tc>
        <w:tc>
          <w:tcPr>
            <w:tcW w:w="884" w:type="pct"/>
          </w:tcPr>
          <w:p w14:paraId="04E1A203" w14:textId="77777777" w:rsidR="008E67EA" w:rsidRPr="00C84EC7" w:rsidRDefault="008E67EA" w:rsidP="00B44A74">
            <w:pPr>
              <w:pStyle w:val="GazetteTableText"/>
              <w:rPr>
                <w:color w:val="000000" w:themeColor="text1"/>
              </w:rPr>
            </w:pPr>
            <w:r w:rsidRPr="00C84EC7">
              <w:rPr>
                <w:color w:val="000000" w:themeColor="text1"/>
              </w:rPr>
              <w:t>63625/1009, 63625/116935</w:t>
            </w:r>
          </w:p>
        </w:tc>
        <w:tc>
          <w:tcPr>
            <w:tcW w:w="1027" w:type="pct"/>
          </w:tcPr>
          <w:p w14:paraId="5F110BBA" w14:textId="7B4DB032" w:rsidR="008E67EA" w:rsidRPr="00C84EC7" w:rsidRDefault="008E67EA" w:rsidP="00B44A74">
            <w:pPr>
              <w:pStyle w:val="GazetteTableText"/>
              <w:rPr>
                <w:color w:val="000000" w:themeColor="text1"/>
              </w:rPr>
            </w:pPr>
            <w:r>
              <w:t xml:space="preserve">Formulation does not contain a bittering agent </w:t>
            </w:r>
            <w:r w:rsidRPr="000462C9">
              <w:t xml:space="preserve">(paras. </w:t>
            </w:r>
            <w:r w:rsidRPr="000462C9">
              <w:fldChar w:fldCharType="begin"/>
            </w:r>
            <w:r w:rsidRPr="000462C9">
              <w:instrText xml:space="preserve"> REF _Ref212833471 \r \h </w:instrText>
            </w:r>
            <w:r>
              <w:instrText xml:space="preserve"> \* MERGEFORMAT </w:instrText>
            </w:r>
            <w:r w:rsidRPr="000462C9">
              <w:fldChar w:fldCharType="separate"/>
            </w:r>
            <w:r w:rsidR="002C0C2A">
              <w:t>41</w:t>
            </w:r>
            <w:r w:rsidRPr="000462C9">
              <w:fldChar w:fldCharType="end"/>
            </w:r>
            <w:r w:rsidRPr="000462C9">
              <w:t xml:space="preserve"> </w:t>
            </w:r>
            <w:r w:rsidRPr="000462C9">
              <w:t>–</w:t>
            </w:r>
            <w:r w:rsidRPr="000462C9">
              <w:t xml:space="preserve"> </w:t>
            </w:r>
            <w:r w:rsidRPr="000462C9">
              <w:fldChar w:fldCharType="begin"/>
            </w:r>
            <w:r w:rsidRPr="000462C9">
              <w:instrText xml:space="preserve"> REF _Ref212833475 \r \h </w:instrText>
            </w:r>
            <w:r>
              <w:instrText xml:space="preserve"> \* MERGEFORMAT </w:instrText>
            </w:r>
            <w:r w:rsidRPr="000462C9">
              <w:fldChar w:fldCharType="separate"/>
            </w:r>
            <w:r w:rsidR="002C0C2A">
              <w:t>44</w:t>
            </w:r>
            <w:r w:rsidRPr="000462C9">
              <w:fldChar w:fldCharType="end"/>
            </w:r>
            <w:r w:rsidRPr="000462C9">
              <w:t>)</w:t>
            </w:r>
            <w:r>
              <w:t xml:space="preserve"> </w:t>
            </w:r>
          </w:p>
        </w:tc>
      </w:tr>
      <w:tr w:rsidR="008E67EA" w14:paraId="06520EDD" w14:textId="77777777" w:rsidTr="0071188C">
        <w:tc>
          <w:tcPr>
            <w:tcW w:w="625" w:type="pct"/>
          </w:tcPr>
          <w:p w14:paraId="77C3AD6D" w14:textId="77777777" w:rsidR="008E67EA" w:rsidRPr="00C84EC7" w:rsidRDefault="008E67EA" w:rsidP="00B44A74">
            <w:pPr>
              <w:pStyle w:val="GazetteTableText"/>
              <w:rPr>
                <w:color w:val="000000" w:themeColor="text1"/>
              </w:rPr>
            </w:pPr>
            <w:r w:rsidRPr="00C84EC7">
              <w:rPr>
                <w:color w:val="000000" w:themeColor="text1"/>
              </w:rPr>
              <w:t>Brodifacoum</w:t>
            </w:r>
          </w:p>
        </w:tc>
        <w:tc>
          <w:tcPr>
            <w:tcW w:w="600" w:type="pct"/>
          </w:tcPr>
          <w:p w14:paraId="28E134A5" w14:textId="77777777" w:rsidR="008E67EA" w:rsidRPr="00C84EC7" w:rsidRDefault="008E67EA" w:rsidP="00B44A74">
            <w:pPr>
              <w:pStyle w:val="GazetteTableText"/>
              <w:rPr>
                <w:color w:val="000000" w:themeColor="text1"/>
              </w:rPr>
            </w:pPr>
            <w:r w:rsidRPr="00C84EC7">
              <w:rPr>
                <w:color w:val="000000" w:themeColor="text1"/>
              </w:rPr>
              <w:t>65423</w:t>
            </w:r>
          </w:p>
        </w:tc>
        <w:tc>
          <w:tcPr>
            <w:tcW w:w="981" w:type="pct"/>
          </w:tcPr>
          <w:p w14:paraId="62AD7621" w14:textId="77777777" w:rsidR="008E67EA" w:rsidRPr="00C84EC7" w:rsidRDefault="008E67EA" w:rsidP="00B44A74">
            <w:pPr>
              <w:pStyle w:val="GazetteTableText"/>
              <w:rPr>
                <w:color w:val="000000" w:themeColor="text1"/>
              </w:rPr>
            </w:pPr>
            <w:r w:rsidRPr="00C84EC7">
              <w:rPr>
                <w:color w:val="000000" w:themeColor="text1"/>
              </w:rPr>
              <w:t>4Farmers Rat and Mouse Bait Pellets</w:t>
            </w:r>
          </w:p>
        </w:tc>
        <w:tc>
          <w:tcPr>
            <w:tcW w:w="883" w:type="pct"/>
          </w:tcPr>
          <w:p w14:paraId="3399C82D" w14:textId="77777777" w:rsidR="008E67EA" w:rsidRPr="00C84EC7" w:rsidRDefault="008E67EA" w:rsidP="00B44A74">
            <w:pPr>
              <w:pStyle w:val="GazetteTableText"/>
              <w:rPr>
                <w:color w:val="000000" w:themeColor="text1"/>
              </w:rPr>
            </w:pPr>
            <w:r w:rsidRPr="00C84EC7">
              <w:rPr>
                <w:color w:val="000000" w:themeColor="text1"/>
              </w:rPr>
              <w:t>4 Farmers Australia Pty Ltd</w:t>
            </w:r>
          </w:p>
        </w:tc>
        <w:tc>
          <w:tcPr>
            <w:tcW w:w="884" w:type="pct"/>
          </w:tcPr>
          <w:p w14:paraId="2DA12750" w14:textId="77777777" w:rsidR="008E67EA" w:rsidRPr="00C84EC7" w:rsidRDefault="008E67EA" w:rsidP="00B44A74">
            <w:pPr>
              <w:pStyle w:val="GazetteTableText"/>
              <w:rPr>
                <w:color w:val="000000" w:themeColor="text1"/>
              </w:rPr>
            </w:pPr>
            <w:r w:rsidRPr="00C84EC7">
              <w:rPr>
                <w:color w:val="000000" w:themeColor="text1"/>
              </w:rPr>
              <w:t>65423/50888</w:t>
            </w:r>
          </w:p>
        </w:tc>
        <w:tc>
          <w:tcPr>
            <w:tcW w:w="1027" w:type="pct"/>
          </w:tcPr>
          <w:p w14:paraId="1A6DEE0C" w14:textId="79B9EFEC" w:rsidR="008E67EA" w:rsidRPr="00C84EC7" w:rsidRDefault="008E67EA" w:rsidP="00B44A74">
            <w:pPr>
              <w:pStyle w:val="GazetteTableText"/>
              <w:rPr>
                <w:color w:val="000000" w:themeColor="text1"/>
              </w:rPr>
            </w:pPr>
            <w:r>
              <w:t xml:space="preserve">Formulation does not contain a dye </w:t>
            </w:r>
            <w:r w:rsidRPr="000462C9">
              <w:t xml:space="preserve">(paras. </w:t>
            </w:r>
            <w:r w:rsidRPr="000462C9">
              <w:fldChar w:fldCharType="begin"/>
            </w:r>
            <w:r w:rsidRPr="000462C9">
              <w:instrText xml:space="preserve"> REF _Ref212833471 \r \h </w:instrText>
            </w:r>
            <w:r>
              <w:instrText xml:space="preserve"> \* MERGEFORMAT </w:instrText>
            </w:r>
            <w:r w:rsidRPr="000462C9">
              <w:fldChar w:fldCharType="separate"/>
            </w:r>
            <w:r w:rsidR="002C0C2A">
              <w:t>41</w:t>
            </w:r>
            <w:r w:rsidRPr="000462C9">
              <w:fldChar w:fldCharType="end"/>
            </w:r>
            <w:r w:rsidRPr="000462C9">
              <w:t xml:space="preserve"> </w:t>
            </w:r>
            <w:r w:rsidRPr="000462C9">
              <w:t>–</w:t>
            </w:r>
            <w:r w:rsidRPr="000462C9">
              <w:t xml:space="preserve"> </w:t>
            </w:r>
            <w:r w:rsidRPr="000462C9">
              <w:fldChar w:fldCharType="begin"/>
            </w:r>
            <w:r w:rsidRPr="000462C9">
              <w:instrText xml:space="preserve"> REF _Ref212833475 \r \h </w:instrText>
            </w:r>
            <w:r>
              <w:instrText xml:space="preserve"> \* MERGEFORMAT </w:instrText>
            </w:r>
            <w:r w:rsidRPr="000462C9">
              <w:fldChar w:fldCharType="separate"/>
            </w:r>
            <w:r w:rsidR="002C0C2A">
              <w:t>44</w:t>
            </w:r>
            <w:r w:rsidRPr="000462C9">
              <w:fldChar w:fldCharType="end"/>
            </w:r>
            <w:r w:rsidRPr="000462C9">
              <w:t>)</w:t>
            </w:r>
          </w:p>
        </w:tc>
      </w:tr>
      <w:tr w:rsidR="008E67EA" w14:paraId="3740682B" w14:textId="77777777" w:rsidTr="0071188C">
        <w:tc>
          <w:tcPr>
            <w:tcW w:w="625" w:type="pct"/>
          </w:tcPr>
          <w:p w14:paraId="1510F939" w14:textId="77777777" w:rsidR="008E67EA" w:rsidRPr="00C84EC7" w:rsidRDefault="008E67EA" w:rsidP="00B44A74">
            <w:pPr>
              <w:pStyle w:val="GazetteTableText"/>
              <w:rPr>
                <w:color w:val="000000" w:themeColor="text1"/>
              </w:rPr>
            </w:pPr>
            <w:r w:rsidRPr="00C84EC7">
              <w:rPr>
                <w:color w:val="000000" w:themeColor="text1"/>
              </w:rPr>
              <w:t>Brodifacoum</w:t>
            </w:r>
          </w:p>
        </w:tc>
        <w:tc>
          <w:tcPr>
            <w:tcW w:w="600" w:type="pct"/>
          </w:tcPr>
          <w:p w14:paraId="4735B761" w14:textId="77777777" w:rsidR="008E67EA" w:rsidRPr="00C84EC7" w:rsidRDefault="008E67EA" w:rsidP="00B44A74">
            <w:pPr>
              <w:pStyle w:val="GazetteTableText"/>
              <w:rPr>
                <w:color w:val="000000" w:themeColor="text1"/>
              </w:rPr>
            </w:pPr>
            <w:r w:rsidRPr="00C84EC7">
              <w:rPr>
                <w:color w:val="000000" w:themeColor="text1"/>
              </w:rPr>
              <w:t>69942</w:t>
            </w:r>
          </w:p>
        </w:tc>
        <w:tc>
          <w:tcPr>
            <w:tcW w:w="981" w:type="pct"/>
          </w:tcPr>
          <w:p w14:paraId="72C8DC80" w14:textId="77777777" w:rsidR="008E67EA" w:rsidRPr="00C84EC7" w:rsidRDefault="008E67EA" w:rsidP="00B44A74">
            <w:pPr>
              <w:pStyle w:val="GazetteTableText"/>
              <w:rPr>
                <w:color w:val="000000" w:themeColor="text1"/>
              </w:rPr>
            </w:pPr>
            <w:r w:rsidRPr="00C84EC7">
              <w:rPr>
                <w:color w:val="000000" w:themeColor="text1"/>
              </w:rPr>
              <w:t>Farmalinx Rodi Wax Blocks</w:t>
            </w:r>
          </w:p>
        </w:tc>
        <w:tc>
          <w:tcPr>
            <w:tcW w:w="883" w:type="pct"/>
          </w:tcPr>
          <w:p w14:paraId="1EC019A8" w14:textId="77777777" w:rsidR="008E67EA" w:rsidRPr="00C84EC7" w:rsidRDefault="008E67EA" w:rsidP="00B44A74">
            <w:pPr>
              <w:pStyle w:val="GazetteTableText"/>
              <w:rPr>
                <w:color w:val="000000" w:themeColor="text1"/>
              </w:rPr>
            </w:pPr>
            <w:r w:rsidRPr="00C84EC7">
              <w:rPr>
                <w:color w:val="000000" w:themeColor="text1"/>
              </w:rPr>
              <w:t>Farmalinx Pty Ltd</w:t>
            </w:r>
          </w:p>
        </w:tc>
        <w:tc>
          <w:tcPr>
            <w:tcW w:w="884" w:type="pct"/>
          </w:tcPr>
          <w:p w14:paraId="4AA4FEF3" w14:textId="77777777" w:rsidR="008E67EA" w:rsidRPr="00C84EC7" w:rsidRDefault="008E67EA" w:rsidP="00B44A74">
            <w:pPr>
              <w:pStyle w:val="GazetteTableText"/>
              <w:rPr>
                <w:color w:val="000000" w:themeColor="text1"/>
              </w:rPr>
            </w:pPr>
            <w:r w:rsidRPr="00C84EC7">
              <w:rPr>
                <w:color w:val="000000" w:themeColor="text1"/>
              </w:rPr>
              <w:t>69942/62105</w:t>
            </w:r>
          </w:p>
        </w:tc>
        <w:tc>
          <w:tcPr>
            <w:tcW w:w="1027" w:type="pct"/>
          </w:tcPr>
          <w:p w14:paraId="36D57D9B" w14:textId="0B46F021" w:rsidR="008E67EA" w:rsidRPr="00C84EC7" w:rsidRDefault="008E67EA" w:rsidP="00B44A74">
            <w:pPr>
              <w:pStyle w:val="GazetteTableText"/>
              <w:rPr>
                <w:color w:val="000000" w:themeColor="text1"/>
              </w:rPr>
            </w:pPr>
            <w:r>
              <w:t xml:space="preserve">Formulation does not contain a bittering agent </w:t>
            </w:r>
            <w:r w:rsidRPr="000462C9">
              <w:t xml:space="preserve">(paras. </w:t>
            </w:r>
            <w:r w:rsidRPr="000462C9">
              <w:fldChar w:fldCharType="begin"/>
            </w:r>
            <w:r w:rsidRPr="000462C9">
              <w:instrText xml:space="preserve"> REF _Ref212833471 \r \h </w:instrText>
            </w:r>
            <w:r>
              <w:instrText xml:space="preserve"> \* MERGEFORMAT </w:instrText>
            </w:r>
            <w:r w:rsidRPr="000462C9">
              <w:fldChar w:fldCharType="separate"/>
            </w:r>
            <w:r w:rsidR="002C0C2A">
              <w:t>41</w:t>
            </w:r>
            <w:r w:rsidRPr="000462C9">
              <w:fldChar w:fldCharType="end"/>
            </w:r>
            <w:r w:rsidRPr="000462C9">
              <w:t xml:space="preserve"> </w:t>
            </w:r>
            <w:r w:rsidRPr="000462C9">
              <w:t>–</w:t>
            </w:r>
            <w:r w:rsidRPr="000462C9">
              <w:t xml:space="preserve"> </w:t>
            </w:r>
            <w:r w:rsidRPr="000462C9">
              <w:fldChar w:fldCharType="begin"/>
            </w:r>
            <w:r w:rsidRPr="000462C9">
              <w:instrText xml:space="preserve"> REF _Ref212833475 \r \h </w:instrText>
            </w:r>
            <w:r>
              <w:instrText xml:space="preserve"> \* MERGEFORMAT </w:instrText>
            </w:r>
            <w:r w:rsidRPr="000462C9">
              <w:fldChar w:fldCharType="separate"/>
            </w:r>
            <w:r w:rsidR="002C0C2A">
              <w:t>44</w:t>
            </w:r>
            <w:r w:rsidRPr="000462C9">
              <w:fldChar w:fldCharType="end"/>
            </w:r>
            <w:r w:rsidRPr="000462C9">
              <w:t>)</w:t>
            </w:r>
          </w:p>
        </w:tc>
      </w:tr>
      <w:tr w:rsidR="008E67EA" w14:paraId="58B4090E" w14:textId="77777777" w:rsidTr="0071188C">
        <w:tc>
          <w:tcPr>
            <w:tcW w:w="625" w:type="pct"/>
          </w:tcPr>
          <w:p w14:paraId="3CE910B0" w14:textId="77777777" w:rsidR="008E67EA" w:rsidRPr="00C84EC7" w:rsidRDefault="008E67EA" w:rsidP="00B44A74">
            <w:pPr>
              <w:pStyle w:val="GazetteTableText"/>
              <w:rPr>
                <w:color w:val="000000" w:themeColor="text1"/>
              </w:rPr>
            </w:pPr>
            <w:r w:rsidRPr="00C84EC7">
              <w:rPr>
                <w:color w:val="000000" w:themeColor="text1"/>
              </w:rPr>
              <w:t>Brodifacoum</w:t>
            </w:r>
          </w:p>
        </w:tc>
        <w:tc>
          <w:tcPr>
            <w:tcW w:w="600" w:type="pct"/>
          </w:tcPr>
          <w:p w14:paraId="54320C53" w14:textId="77777777" w:rsidR="008E67EA" w:rsidRPr="00C84EC7" w:rsidRDefault="008E67EA" w:rsidP="00B44A74">
            <w:pPr>
              <w:pStyle w:val="GazetteTableText"/>
              <w:rPr>
                <w:color w:val="000000" w:themeColor="text1"/>
              </w:rPr>
            </w:pPr>
            <w:r w:rsidRPr="00C84EC7">
              <w:rPr>
                <w:color w:val="000000" w:themeColor="text1"/>
              </w:rPr>
              <w:t>87657</w:t>
            </w:r>
          </w:p>
        </w:tc>
        <w:tc>
          <w:tcPr>
            <w:tcW w:w="981" w:type="pct"/>
          </w:tcPr>
          <w:p w14:paraId="1F0FA492" w14:textId="77777777" w:rsidR="008E67EA" w:rsidRPr="00C84EC7" w:rsidRDefault="008E67EA" w:rsidP="00B44A74">
            <w:pPr>
              <w:pStyle w:val="GazetteTableText"/>
              <w:rPr>
                <w:color w:val="000000" w:themeColor="text1"/>
              </w:rPr>
            </w:pPr>
            <w:r w:rsidRPr="00C84EC7">
              <w:rPr>
                <w:color w:val="000000" w:themeColor="text1"/>
              </w:rPr>
              <w:t>Bainbridge Bait Blocks Rodenticide</w:t>
            </w:r>
          </w:p>
        </w:tc>
        <w:tc>
          <w:tcPr>
            <w:tcW w:w="883" w:type="pct"/>
          </w:tcPr>
          <w:p w14:paraId="36293567" w14:textId="77777777" w:rsidR="008E67EA" w:rsidRPr="00C84EC7" w:rsidRDefault="008E67EA" w:rsidP="00B44A74">
            <w:pPr>
              <w:pStyle w:val="GazetteTableText"/>
              <w:rPr>
                <w:color w:val="000000" w:themeColor="text1"/>
              </w:rPr>
            </w:pPr>
            <w:r w:rsidRPr="00C84EC7">
              <w:rPr>
                <w:color w:val="000000" w:themeColor="text1"/>
              </w:rPr>
              <w:t>Bainbridge Pty Ltd</w:t>
            </w:r>
          </w:p>
        </w:tc>
        <w:tc>
          <w:tcPr>
            <w:tcW w:w="884" w:type="pct"/>
          </w:tcPr>
          <w:p w14:paraId="65F28B61" w14:textId="77777777" w:rsidR="008E67EA" w:rsidRPr="00C84EC7" w:rsidRDefault="008E67EA" w:rsidP="00B44A74">
            <w:pPr>
              <w:pStyle w:val="GazetteTableText"/>
              <w:rPr>
                <w:color w:val="000000" w:themeColor="text1"/>
              </w:rPr>
            </w:pPr>
            <w:r w:rsidRPr="00C84EC7">
              <w:rPr>
                <w:color w:val="000000" w:themeColor="text1"/>
              </w:rPr>
              <w:t>87657/118892</w:t>
            </w:r>
          </w:p>
        </w:tc>
        <w:tc>
          <w:tcPr>
            <w:tcW w:w="1027" w:type="pct"/>
          </w:tcPr>
          <w:p w14:paraId="24D9F5B6" w14:textId="708EE89E" w:rsidR="008E67EA" w:rsidRPr="00C84EC7" w:rsidRDefault="008E67EA" w:rsidP="00B44A74">
            <w:pPr>
              <w:pStyle w:val="GazetteTableText"/>
              <w:rPr>
                <w:color w:val="000000" w:themeColor="text1"/>
              </w:rPr>
            </w:pPr>
            <w:r>
              <w:t xml:space="preserve">Formulation does not contain a bittering agent </w:t>
            </w:r>
            <w:r w:rsidRPr="000462C9">
              <w:t xml:space="preserve">(paras. </w:t>
            </w:r>
            <w:r w:rsidRPr="000462C9">
              <w:fldChar w:fldCharType="begin"/>
            </w:r>
            <w:r w:rsidRPr="000462C9">
              <w:instrText xml:space="preserve"> REF _Ref212833471 \r \h </w:instrText>
            </w:r>
            <w:r>
              <w:instrText xml:space="preserve"> \* MERGEFORMAT </w:instrText>
            </w:r>
            <w:r w:rsidRPr="000462C9">
              <w:fldChar w:fldCharType="separate"/>
            </w:r>
            <w:r w:rsidR="002C0C2A">
              <w:t>41</w:t>
            </w:r>
            <w:r w:rsidRPr="000462C9">
              <w:fldChar w:fldCharType="end"/>
            </w:r>
            <w:r w:rsidRPr="000462C9">
              <w:t xml:space="preserve"> </w:t>
            </w:r>
            <w:r w:rsidRPr="000462C9">
              <w:t>–</w:t>
            </w:r>
            <w:r w:rsidRPr="000462C9">
              <w:t xml:space="preserve"> </w:t>
            </w:r>
            <w:r w:rsidRPr="000462C9">
              <w:fldChar w:fldCharType="begin"/>
            </w:r>
            <w:r w:rsidRPr="000462C9">
              <w:instrText xml:space="preserve"> REF _Ref212833475 \r \h </w:instrText>
            </w:r>
            <w:r>
              <w:instrText xml:space="preserve"> \* MERGEFORMAT </w:instrText>
            </w:r>
            <w:r w:rsidRPr="000462C9">
              <w:fldChar w:fldCharType="separate"/>
            </w:r>
            <w:r w:rsidR="002C0C2A">
              <w:t>44</w:t>
            </w:r>
            <w:r w:rsidRPr="000462C9">
              <w:fldChar w:fldCharType="end"/>
            </w:r>
            <w:r w:rsidRPr="000462C9">
              <w:t>)</w:t>
            </w:r>
          </w:p>
        </w:tc>
      </w:tr>
      <w:tr w:rsidR="008E67EA" w14:paraId="6926523C" w14:textId="77777777" w:rsidTr="0071188C">
        <w:tc>
          <w:tcPr>
            <w:tcW w:w="625" w:type="pct"/>
          </w:tcPr>
          <w:p w14:paraId="0DCC31EF" w14:textId="77777777" w:rsidR="008E67EA" w:rsidRPr="00C84EC7" w:rsidRDefault="008E67EA" w:rsidP="00B44A74">
            <w:pPr>
              <w:pStyle w:val="GazetteTableText"/>
              <w:rPr>
                <w:color w:val="000000" w:themeColor="text1"/>
              </w:rPr>
            </w:pPr>
            <w:r w:rsidRPr="00C84EC7">
              <w:rPr>
                <w:color w:val="000000" w:themeColor="text1"/>
              </w:rPr>
              <w:t>Brodifacoum</w:t>
            </w:r>
          </w:p>
        </w:tc>
        <w:tc>
          <w:tcPr>
            <w:tcW w:w="600" w:type="pct"/>
          </w:tcPr>
          <w:p w14:paraId="6DA45B1D" w14:textId="77777777" w:rsidR="008E67EA" w:rsidRPr="00C84EC7" w:rsidRDefault="008E67EA" w:rsidP="00B44A74">
            <w:pPr>
              <w:pStyle w:val="GazetteTableText"/>
              <w:rPr>
                <w:color w:val="000000" w:themeColor="text1"/>
              </w:rPr>
            </w:pPr>
            <w:r w:rsidRPr="00C84EC7">
              <w:rPr>
                <w:color w:val="000000" w:themeColor="text1"/>
              </w:rPr>
              <w:t>87659</w:t>
            </w:r>
          </w:p>
        </w:tc>
        <w:tc>
          <w:tcPr>
            <w:tcW w:w="981" w:type="pct"/>
          </w:tcPr>
          <w:p w14:paraId="554857B4" w14:textId="77777777" w:rsidR="008E67EA" w:rsidRPr="00C84EC7" w:rsidRDefault="008E67EA" w:rsidP="00B44A74">
            <w:pPr>
              <w:pStyle w:val="GazetteTableText"/>
              <w:rPr>
                <w:color w:val="000000" w:themeColor="text1"/>
              </w:rPr>
            </w:pPr>
            <w:r w:rsidRPr="00C84EC7">
              <w:rPr>
                <w:color w:val="000000" w:themeColor="text1"/>
              </w:rPr>
              <w:t>Bainbridge Bait Pellets Rodenticide</w:t>
            </w:r>
          </w:p>
        </w:tc>
        <w:tc>
          <w:tcPr>
            <w:tcW w:w="883" w:type="pct"/>
          </w:tcPr>
          <w:p w14:paraId="53596B15" w14:textId="77777777" w:rsidR="008E67EA" w:rsidRPr="00C84EC7" w:rsidRDefault="008E67EA" w:rsidP="00B44A74">
            <w:pPr>
              <w:pStyle w:val="GazetteTableText"/>
              <w:rPr>
                <w:color w:val="000000" w:themeColor="text1"/>
              </w:rPr>
            </w:pPr>
            <w:r w:rsidRPr="00C84EC7">
              <w:rPr>
                <w:color w:val="000000" w:themeColor="text1"/>
              </w:rPr>
              <w:t>Bainbridge Pty Ltd</w:t>
            </w:r>
          </w:p>
        </w:tc>
        <w:tc>
          <w:tcPr>
            <w:tcW w:w="884" w:type="pct"/>
          </w:tcPr>
          <w:p w14:paraId="286DE48A" w14:textId="77777777" w:rsidR="008E67EA" w:rsidRPr="00C84EC7" w:rsidRDefault="008E67EA" w:rsidP="00B44A74">
            <w:pPr>
              <w:pStyle w:val="GazetteTableText"/>
              <w:rPr>
                <w:color w:val="000000" w:themeColor="text1"/>
              </w:rPr>
            </w:pPr>
            <w:r w:rsidRPr="00C84EC7">
              <w:rPr>
                <w:color w:val="000000" w:themeColor="text1"/>
              </w:rPr>
              <w:t>87659/118895</w:t>
            </w:r>
          </w:p>
        </w:tc>
        <w:tc>
          <w:tcPr>
            <w:tcW w:w="1027" w:type="pct"/>
          </w:tcPr>
          <w:p w14:paraId="1AE548CB" w14:textId="653225EC" w:rsidR="008E67EA" w:rsidRPr="00C84EC7" w:rsidRDefault="008E67EA" w:rsidP="00B44A74">
            <w:pPr>
              <w:pStyle w:val="GazetteTableText"/>
              <w:rPr>
                <w:color w:val="000000" w:themeColor="text1"/>
              </w:rPr>
            </w:pPr>
            <w:r>
              <w:t xml:space="preserve">Formulation does not contain a bittering agent </w:t>
            </w:r>
            <w:r w:rsidRPr="000462C9">
              <w:t xml:space="preserve">(paras. </w:t>
            </w:r>
            <w:r w:rsidRPr="000462C9">
              <w:fldChar w:fldCharType="begin"/>
            </w:r>
            <w:r w:rsidRPr="000462C9">
              <w:instrText xml:space="preserve"> REF _Ref212833471 \r \h </w:instrText>
            </w:r>
            <w:r>
              <w:instrText xml:space="preserve"> \* MERGEFORMAT </w:instrText>
            </w:r>
            <w:r w:rsidRPr="000462C9">
              <w:fldChar w:fldCharType="separate"/>
            </w:r>
            <w:r w:rsidR="002C0C2A">
              <w:t>41</w:t>
            </w:r>
            <w:r w:rsidRPr="000462C9">
              <w:fldChar w:fldCharType="end"/>
            </w:r>
            <w:r w:rsidRPr="000462C9">
              <w:t xml:space="preserve"> </w:t>
            </w:r>
            <w:r w:rsidRPr="000462C9">
              <w:t>–</w:t>
            </w:r>
            <w:r w:rsidRPr="000462C9">
              <w:t xml:space="preserve"> </w:t>
            </w:r>
            <w:r w:rsidRPr="000462C9">
              <w:fldChar w:fldCharType="begin"/>
            </w:r>
            <w:r w:rsidRPr="000462C9">
              <w:instrText xml:space="preserve"> REF _Ref212833475 \r \h </w:instrText>
            </w:r>
            <w:r>
              <w:instrText xml:space="preserve"> \* MERGEFORMAT </w:instrText>
            </w:r>
            <w:r w:rsidRPr="000462C9">
              <w:fldChar w:fldCharType="separate"/>
            </w:r>
            <w:r w:rsidR="002C0C2A">
              <w:t>44</w:t>
            </w:r>
            <w:r w:rsidRPr="000462C9">
              <w:fldChar w:fldCharType="end"/>
            </w:r>
            <w:r w:rsidRPr="000462C9">
              <w:t>)</w:t>
            </w:r>
          </w:p>
        </w:tc>
      </w:tr>
      <w:tr w:rsidR="008E67EA" w14:paraId="218EE7C8" w14:textId="77777777" w:rsidTr="0071188C">
        <w:tc>
          <w:tcPr>
            <w:tcW w:w="625" w:type="pct"/>
          </w:tcPr>
          <w:p w14:paraId="7E2DB45D" w14:textId="77777777" w:rsidR="008E67EA" w:rsidRPr="00C84EC7" w:rsidRDefault="008E67EA" w:rsidP="00B44A74">
            <w:pPr>
              <w:pStyle w:val="GazetteTableText"/>
              <w:rPr>
                <w:color w:val="000000" w:themeColor="text1"/>
              </w:rPr>
            </w:pPr>
            <w:r w:rsidRPr="00C84EC7">
              <w:rPr>
                <w:color w:val="000000" w:themeColor="text1"/>
              </w:rPr>
              <w:t>Brodifacoum</w:t>
            </w:r>
          </w:p>
        </w:tc>
        <w:tc>
          <w:tcPr>
            <w:tcW w:w="600" w:type="pct"/>
          </w:tcPr>
          <w:p w14:paraId="3A6D5B8E" w14:textId="77777777" w:rsidR="008E67EA" w:rsidRPr="00C84EC7" w:rsidRDefault="008E67EA" w:rsidP="00B44A74">
            <w:pPr>
              <w:pStyle w:val="GazetteTableText"/>
              <w:rPr>
                <w:color w:val="000000" w:themeColor="text1"/>
              </w:rPr>
            </w:pPr>
            <w:r w:rsidRPr="00C84EC7">
              <w:rPr>
                <w:color w:val="000000" w:themeColor="text1"/>
              </w:rPr>
              <w:t>94213</w:t>
            </w:r>
          </w:p>
        </w:tc>
        <w:tc>
          <w:tcPr>
            <w:tcW w:w="981" w:type="pct"/>
          </w:tcPr>
          <w:p w14:paraId="105E3586" w14:textId="77777777" w:rsidR="008E67EA" w:rsidRPr="00C84EC7" w:rsidRDefault="008E67EA" w:rsidP="00B44A74">
            <w:pPr>
              <w:pStyle w:val="GazetteTableText"/>
              <w:rPr>
                <w:color w:val="000000" w:themeColor="text1"/>
              </w:rPr>
            </w:pPr>
            <w:r w:rsidRPr="00C84EC7">
              <w:rPr>
                <w:color w:val="000000" w:themeColor="text1"/>
              </w:rPr>
              <w:t>4Farmers Rat and Mouse Blocks</w:t>
            </w:r>
          </w:p>
        </w:tc>
        <w:tc>
          <w:tcPr>
            <w:tcW w:w="883" w:type="pct"/>
          </w:tcPr>
          <w:p w14:paraId="09380E7B" w14:textId="77777777" w:rsidR="008E67EA" w:rsidRPr="00C84EC7" w:rsidRDefault="008E67EA" w:rsidP="00B44A74">
            <w:pPr>
              <w:pStyle w:val="GazetteTableText"/>
              <w:rPr>
                <w:color w:val="000000" w:themeColor="text1"/>
              </w:rPr>
            </w:pPr>
            <w:r w:rsidRPr="00C84EC7">
              <w:rPr>
                <w:color w:val="000000" w:themeColor="text1"/>
              </w:rPr>
              <w:t>4 Farmers Australia Pty Ltd</w:t>
            </w:r>
          </w:p>
        </w:tc>
        <w:tc>
          <w:tcPr>
            <w:tcW w:w="884" w:type="pct"/>
          </w:tcPr>
          <w:p w14:paraId="46902C05" w14:textId="77777777" w:rsidR="008E67EA" w:rsidRPr="00C84EC7" w:rsidRDefault="008E67EA" w:rsidP="00B44A74">
            <w:pPr>
              <w:pStyle w:val="GazetteTableText"/>
              <w:rPr>
                <w:color w:val="000000" w:themeColor="text1"/>
              </w:rPr>
            </w:pPr>
            <w:r w:rsidRPr="00C84EC7">
              <w:rPr>
                <w:color w:val="000000" w:themeColor="text1"/>
              </w:rPr>
              <w:t>94213/141828</w:t>
            </w:r>
          </w:p>
        </w:tc>
        <w:tc>
          <w:tcPr>
            <w:tcW w:w="1027" w:type="pct"/>
          </w:tcPr>
          <w:p w14:paraId="23F5A385" w14:textId="7CE5BBA6" w:rsidR="008E67EA" w:rsidRPr="00C84EC7" w:rsidRDefault="008E67EA" w:rsidP="00B44A74">
            <w:pPr>
              <w:pStyle w:val="GazetteTableText"/>
              <w:rPr>
                <w:color w:val="000000" w:themeColor="text1"/>
              </w:rPr>
            </w:pPr>
            <w:r>
              <w:t xml:space="preserve">Formulation does not contain a bittering agent </w:t>
            </w:r>
            <w:r w:rsidRPr="000462C9">
              <w:t xml:space="preserve">(paras. </w:t>
            </w:r>
            <w:r w:rsidRPr="000462C9">
              <w:fldChar w:fldCharType="begin"/>
            </w:r>
            <w:r w:rsidRPr="000462C9">
              <w:instrText xml:space="preserve"> REF _Ref212833471 \r \h </w:instrText>
            </w:r>
            <w:r>
              <w:instrText xml:space="preserve"> \* MERGEFORMAT </w:instrText>
            </w:r>
            <w:r w:rsidRPr="000462C9">
              <w:fldChar w:fldCharType="separate"/>
            </w:r>
            <w:r w:rsidR="002C0C2A">
              <w:t>41</w:t>
            </w:r>
            <w:r w:rsidRPr="000462C9">
              <w:fldChar w:fldCharType="end"/>
            </w:r>
            <w:r w:rsidRPr="000462C9">
              <w:t xml:space="preserve"> </w:t>
            </w:r>
            <w:r w:rsidRPr="000462C9">
              <w:t>–</w:t>
            </w:r>
            <w:r w:rsidRPr="000462C9">
              <w:t xml:space="preserve"> </w:t>
            </w:r>
            <w:r w:rsidRPr="000462C9">
              <w:fldChar w:fldCharType="begin"/>
            </w:r>
            <w:r w:rsidRPr="000462C9">
              <w:instrText xml:space="preserve"> REF _Ref212833475 \r \h </w:instrText>
            </w:r>
            <w:r>
              <w:instrText xml:space="preserve"> \* MERGEFORMAT </w:instrText>
            </w:r>
            <w:r w:rsidRPr="000462C9">
              <w:fldChar w:fldCharType="separate"/>
            </w:r>
            <w:r w:rsidR="002C0C2A">
              <w:t>44</w:t>
            </w:r>
            <w:r w:rsidRPr="000462C9">
              <w:fldChar w:fldCharType="end"/>
            </w:r>
            <w:r w:rsidRPr="000462C9">
              <w:t>)</w:t>
            </w:r>
          </w:p>
        </w:tc>
      </w:tr>
      <w:tr w:rsidR="008E67EA" w14:paraId="33EFE910" w14:textId="77777777" w:rsidTr="0071188C">
        <w:tc>
          <w:tcPr>
            <w:tcW w:w="625" w:type="pct"/>
          </w:tcPr>
          <w:p w14:paraId="025E9B8F" w14:textId="77777777" w:rsidR="008E67EA" w:rsidRPr="00C84EC7" w:rsidRDefault="008E67EA" w:rsidP="00B44A74">
            <w:pPr>
              <w:pStyle w:val="GazetteTableText"/>
              <w:rPr>
                <w:color w:val="000000" w:themeColor="text1"/>
              </w:rPr>
            </w:pPr>
            <w:r w:rsidRPr="00C84EC7">
              <w:rPr>
                <w:color w:val="000000" w:themeColor="text1"/>
              </w:rPr>
              <w:t>Bromadiolone</w:t>
            </w:r>
          </w:p>
        </w:tc>
        <w:tc>
          <w:tcPr>
            <w:tcW w:w="600" w:type="pct"/>
          </w:tcPr>
          <w:p w14:paraId="02825D66" w14:textId="77777777" w:rsidR="008E67EA" w:rsidRPr="00C84EC7" w:rsidRDefault="008E67EA" w:rsidP="00B44A74">
            <w:pPr>
              <w:pStyle w:val="GazetteTableText"/>
              <w:rPr>
                <w:color w:val="000000" w:themeColor="text1"/>
              </w:rPr>
            </w:pPr>
            <w:r w:rsidRPr="00C84EC7">
              <w:rPr>
                <w:color w:val="000000" w:themeColor="text1"/>
              </w:rPr>
              <w:t>33908</w:t>
            </w:r>
          </w:p>
        </w:tc>
        <w:tc>
          <w:tcPr>
            <w:tcW w:w="981" w:type="pct"/>
          </w:tcPr>
          <w:p w14:paraId="5E45B81E" w14:textId="77777777" w:rsidR="008E67EA" w:rsidRPr="00C84EC7" w:rsidRDefault="008E67EA" w:rsidP="00B44A74">
            <w:pPr>
              <w:pStyle w:val="GazetteTableText"/>
              <w:rPr>
                <w:color w:val="000000" w:themeColor="text1"/>
              </w:rPr>
            </w:pPr>
            <w:r w:rsidRPr="00C84EC7">
              <w:rPr>
                <w:color w:val="000000" w:themeColor="text1"/>
              </w:rPr>
              <w:t>Bromakil Block Bait for Rats and Mice</w:t>
            </w:r>
          </w:p>
        </w:tc>
        <w:tc>
          <w:tcPr>
            <w:tcW w:w="883" w:type="pct"/>
          </w:tcPr>
          <w:p w14:paraId="33B5523A" w14:textId="77777777" w:rsidR="008E67EA" w:rsidRPr="002405AE" w:rsidRDefault="008E67EA" w:rsidP="00B44A74">
            <w:pPr>
              <w:pStyle w:val="GazetteTableText"/>
              <w:rPr>
                <w:color w:val="000000" w:themeColor="text1"/>
                <w:lang w:val="de-CH"/>
              </w:rPr>
            </w:pPr>
            <w:r w:rsidRPr="002405AE">
              <w:rPr>
                <w:color w:val="000000" w:themeColor="text1"/>
                <w:lang w:val="de-CH"/>
              </w:rPr>
              <w:t>De Sangosse Australia Pty. Ltd.</w:t>
            </w:r>
          </w:p>
        </w:tc>
        <w:tc>
          <w:tcPr>
            <w:tcW w:w="884" w:type="pct"/>
          </w:tcPr>
          <w:p w14:paraId="4E204C84" w14:textId="77777777" w:rsidR="008E67EA" w:rsidRPr="00C84EC7" w:rsidRDefault="008E67EA" w:rsidP="00B44A74">
            <w:pPr>
              <w:pStyle w:val="GazetteTableText"/>
              <w:rPr>
                <w:color w:val="000000" w:themeColor="text1"/>
              </w:rPr>
            </w:pPr>
            <w:r w:rsidRPr="00C84EC7">
              <w:rPr>
                <w:color w:val="000000" w:themeColor="text1"/>
              </w:rPr>
              <w:t>33908/01, 33908/0403, 33908/56728, 33908/107570</w:t>
            </w:r>
          </w:p>
        </w:tc>
        <w:tc>
          <w:tcPr>
            <w:tcW w:w="1027" w:type="pct"/>
          </w:tcPr>
          <w:p w14:paraId="48244ECD" w14:textId="2A474678" w:rsidR="008E67EA" w:rsidRPr="00C84EC7" w:rsidRDefault="008E67EA" w:rsidP="00B44A74">
            <w:pPr>
              <w:pStyle w:val="GazetteTableText"/>
              <w:rPr>
                <w:color w:val="000000" w:themeColor="text1"/>
              </w:rPr>
            </w:pPr>
            <w:r>
              <w:t xml:space="preserve">Formulation does not contain a bittering agent </w:t>
            </w:r>
            <w:r w:rsidRPr="000462C9">
              <w:t xml:space="preserve">(paras. </w:t>
            </w:r>
            <w:r w:rsidRPr="000462C9">
              <w:fldChar w:fldCharType="begin"/>
            </w:r>
            <w:r w:rsidRPr="000462C9">
              <w:instrText xml:space="preserve"> REF _Ref212833471 \r \h </w:instrText>
            </w:r>
            <w:r>
              <w:instrText xml:space="preserve"> \* MERGEFORMAT </w:instrText>
            </w:r>
            <w:r w:rsidRPr="000462C9">
              <w:fldChar w:fldCharType="separate"/>
            </w:r>
            <w:r w:rsidR="002C0C2A">
              <w:t>41</w:t>
            </w:r>
            <w:r w:rsidRPr="000462C9">
              <w:fldChar w:fldCharType="end"/>
            </w:r>
            <w:r w:rsidRPr="000462C9">
              <w:t xml:space="preserve"> </w:t>
            </w:r>
            <w:r w:rsidRPr="000462C9">
              <w:t>–</w:t>
            </w:r>
            <w:r w:rsidRPr="000462C9">
              <w:t xml:space="preserve"> </w:t>
            </w:r>
            <w:r w:rsidRPr="000462C9">
              <w:fldChar w:fldCharType="begin"/>
            </w:r>
            <w:r w:rsidRPr="000462C9">
              <w:instrText xml:space="preserve"> REF _Ref212833475 \r \h </w:instrText>
            </w:r>
            <w:r>
              <w:instrText xml:space="preserve"> \* MERGEFORMAT </w:instrText>
            </w:r>
            <w:r w:rsidRPr="000462C9">
              <w:fldChar w:fldCharType="separate"/>
            </w:r>
            <w:r w:rsidR="002C0C2A">
              <w:t>44</w:t>
            </w:r>
            <w:r w:rsidRPr="000462C9">
              <w:fldChar w:fldCharType="end"/>
            </w:r>
            <w:r w:rsidRPr="000462C9">
              <w:t>)</w:t>
            </w:r>
          </w:p>
        </w:tc>
      </w:tr>
      <w:tr w:rsidR="008E67EA" w14:paraId="1284649C" w14:textId="77777777" w:rsidTr="0071188C">
        <w:tc>
          <w:tcPr>
            <w:tcW w:w="625" w:type="pct"/>
          </w:tcPr>
          <w:p w14:paraId="15CCD572" w14:textId="77777777" w:rsidR="008E67EA" w:rsidRPr="00C84EC7" w:rsidRDefault="008E67EA" w:rsidP="00B44A74">
            <w:pPr>
              <w:pStyle w:val="GazetteTableText"/>
              <w:rPr>
                <w:color w:val="000000" w:themeColor="text1"/>
              </w:rPr>
            </w:pPr>
            <w:r w:rsidRPr="00C84EC7">
              <w:rPr>
                <w:color w:val="000000" w:themeColor="text1"/>
              </w:rPr>
              <w:t>Bromadiolone</w:t>
            </w:r>
          </w:p>
        </w:tc>
        <w:tc>
          <w:tcPr>
            <w:tcW w:w="600" w:type="pct"/>
          </w:tcPr>
          <w:p w14:paraId="6E252697" w14:textId="77777777" w:rsidR="008E67EA" w:rsidRPr="00C84EC7" w:rsidRDefault="008E67EA" w:rsidP="00B44A74">
            <w:pPr>
              <w:pStyle w:val="GazetteTableText"/>
              <w:rPr>
                <w:color w:val="000000" w:themeColor="text1"/>
              </w:rPr>
            </w:pPr>
            <w:r w:rsidRPr="00C84EC7">
              <w:rPr>
                <w:color w:val="000000" w:themeColor="text1"/>
              </w:rPr>
              <w:t>33911</w:t>
            </w:r>
          </w:p>
        </w:tc>
        <w:tc>
          <w:tcPr>
            <w:tcW w:w="981" w:type="pct"/>
          </w:tcPr>
          <w:p w14:paraId="22466731" w14:textId="77777777" w:rsidR="008E67EA" w:rsidRPr="00C84EC7" w:rsidRDefault="008E67EA" w:rsidP="00B44A74">
            <w:pPr>
              <w:pStyle w:val="GazetteTableText"/>
              <w:rPr>
                <w:color w:val="000000" w:themeColor="text1"/>
              </w:rPr>
            </w:pPr>
            <w:r w:rsidRPr="00C84EC7">
              <w:rPr>
                <w:color w:val="000000" w:themeColor="text1"/>
              </w:rPr>
              <w:t>Bromakil Pellet Bait for Rats and Mice</w:t>
            </w:r>
          </w:p>
        </w:tc>
        <w:tc>
          <w:tcPr>
            <w:tcW w:w="883" w:type="pct"/>
          </w:tcPr>
          <w:p w14:paraId="01F191DB" w14:textId="77777777" w:rsidR="008E67EA" w:rsidRPr="002405AE" w:rsidRDefault="008E67EA" w:rsidP="00B44A74">
            <w:pPr>
              <w:pStyle w:val="GazetteTableText"/>
              <w:rPr>
                <w:color w:val="000000" w:themeColor="text1"/>
                <w:lang w:val="de-CH"/>
              </w:rPr>
            </w:pPr>
            <w:r w:rsidRPr="002405AE">
              <w:rPr>
                <w:color w:val="000000" w:themeColor="text1"/>
                <w:lang w:val="de-CH"/>
              </w:rPr>
              <w:t>De Sangosse Australia Pty. Ltd.</w:t>
            </w:r>
          </w:p>
        </w:tc>
        <w:tc>
          <w:tcPr>
            <w:tcW w:w="884" w:type="pct"/>
          </w:tcPr>
          <w:p w14:paraId="2B7523E0" w14:textId="77777777" w:rsidR="008E67EA" w:rsidRPr="00C84EC7" w:rsidRDefault="008E67EA" w:rsidP="00B44A74">
            <w:pPr>
              <w:pStyle w:val="GazetteTableText"/>
              <w:rPr>
                <w:color w:val="000000" w:themeColor="text1"/>
              </w:rPr>
            </w:pPr>
            <w:r w:rsidRPr="00C84EC7">
              <w:rPr>
                <w:color w:val="000000" w:themeColor="text1"/>
              </w:rPr>
              <w:t>33911/01, 33911/0202, 33911/0402, 33911/0901, 33911/54503, 33911/56726, 33911/107568</w:t>
            </w:r>
          </w:p>
        </w:tc>
        <w:tc>
          <w:tcPr>
            <w:tcW w:w="1027" w:type="pct"/>
          </w:tcPr>
          <w:p w14:paraId="47EE0D63" w14:textId="191DCF39" w:rsidR="008E67EA" w:rsidRPr="00C84EC7" w:rsidRDefault="008E67EA" w:rsidP="00B44A74">
            <w:pPr>
              <w:pStyle w:val="GazetteTableText"/>
              <w:rPr>
                <w:color w:val="000000" w:themeColor="text1"/>
              </w:rPr>
            </w:pPr>
            <w:r>
              <w:t xml:space="preserve">Formulation does not contain a bittering agent </w:t>
            </w:r>
            <w:r w:rsidRPr="000462C9">
              <w:t xml:space="preserve">(paras. </w:t>
            </w:r>
            <w:r w:rsidRPr="000462C9">
              <w:fldChar w:fldCharType="begin"/>
            </w:r>
            <w:r w:rsidRPr="000462C9">
              <w:instrText xml:space="preserve"> REF _Ref212833471 \r \h </w:instrText>
            </w:r>
            <w:r>
              <w:instrText xml:space="preserve"> \* MERGEFORMAT </w:instrText>
            </w:r>
            <w:r w:rsidRPr="000462C9">
              <w:fldChar w:fldCharType="separate"/>
            </w:r>
            <w:r w:rsidR="002C0C2A">
              <w:t>41</w:t>
            </w:r>
            <w:r w:rsidRPr="000462C9">
              <w:fldChar w:fldCharType="end"/>
            </w:r>
            <w:r w:rsidRPr="000462C9">
              <w:t xml:space="preserve"> </w:t>
            </w:r>
            <w:r w:rsidRPr="000462C9">
              <w:t>–</w:t>
            </w:r>
            <w:r w:rsidRPr="000462C9">
              <w:t xml:space="preserve"> </w:t>
            </w:r>
            <w:r w:rsidRPr="000462C9">
              <w:fldChar w:fldCharType="begin"/>
            </w:r>
            <w:r w:rsidRPr="000462C9">
              <w:instrText xml:space="preserve"> REF _Ref212833475 \r \h </w:instrText>
            </w:r>
            <w:r>
              <w:instrText xml:space="preserve"> \* MERGEFORMAT </w:instrText>
            </w:r>
            <w:r w:rsidRPr="000462C9">
              <w:fldChar w:fldCharType="separate"/>
            </w:r>
            <w:r w:rsidR="002C0C2A">
              <w:t>44</w:t>
            </w:r>
            <w:r w:rsidRPr="000462C9">
              <w:fldChar w:fldCharType="end"/>
            </w:r>
            <w:r w:rsidRPr="000462C9">
              <w:t>)</w:t>
            </w:r>
          </w:p>
        </w:tc>
      </w:tr>
      <w:tr w:rsidR="008E67EA" w14:paraId="21707C36" w14:textId="77777777" w:rsidTr="0071188C">
        <w:tc>
          <w:tcPr>
            <w:tcW w:w="625" w:type="pct"/>
          </w:tcPr>
          <w:p w14:paraId="7C147FBF" w14:textId="77777777" w:rsidR="008E67EA" w:rsidRDefault="008E67EA" w:rsidP="00B44A74">
            <w:pPr>
              <w:pStyle w:val="GazetteTableText"/>
            </w:pPr>
            <w:r w:rsidRPr="00A816F7">
              <w:t>Bromadiolone</w:t>
            </w:r>
          </w:p>
        </w:tc>
        <w:tc>
          <w:tcPr>
            <w:tcW w:w="600" w:type="pct"/>
          </w:tcPr>
          <w:p w14:paraId="3975C2BD" w14:textId="77777777" w:rsidR="008E67EA" w:rsidRDefault="008E67EA" w:rsidP="00B44A74">
            <w:pPr>
              <w:pStyle w:val="GazetteTableText"/>
            </w:pPr>
            <w:r w:rsidRPr="000D08D2">
              <w:t>47484</w:t>
            </w:r>
          </w:p>
        </w:tc>
        <w:tc>
          <w:tcPr>
            <w:tcW w:w="981" w:type="pct"/>
          </w:tcPr>
          <w:p w14:paraId="75BCAC57" w14:textId="77777777" w:rsidR="008E67EA" w:rsidRPr="00B75907" w:rsidRDefault="008E67EA" w:rsidP="00B44A74">
            <w:pPr>
              <w:pStyle w:val="GazetteTableText"/>
            </w:pPr>
            <w:r w:rsidRPr="000D08D2">
              <w:t>Bromakil Super Rat Drink</w:t>
            </w:r>
          </w:p>
        </w:tc>
        <w:tc>
          <w:tcPr>
            <w:tcW w:w="883" w:type="pct"/>
          </w:tcPr>
          <w:p w14:paraId="622C8415" w14:textId="77777777" w:rsidR="008E67EA" w:rsidRPr="002405AE" w:rsidRDefault="008E67EA" w:rsidP="00B44A74">
            <w:pPr>
              <w:pStyle w:val="GazetteTableText"/>
              <w:rPr>
                <w:lang w:val="de-CH"/>
              </w:rPr>
            </w:pPr>
            <w:r w:rsidRPr="002405AE">
              <w:rPr>
                <w:lang w:val="de-CH"/>
              </w:rPr>
              <w:t>De Sangosse Australia Pty. Ltd.</w:t>
            </w:r>
          </w:p>
        </w:tc>
        <w:tc>
          <w:tcPr>
            <w:tcW w:w="884" w:type="pct"/>
          </w:tcPr>
          <w:p w14:paraId="60D40AD8" w14:textId="77777777" w:rsidR="008E67EA" w:rsidRDefault="008E67EA" w:rsidP="00B44A74">
            <w:pPr>
              <w:pStyle w:val="GazetteTableText"/>
            </w:pPr>
            <w:r w:rsidRPr="000D08D2">
              <w:t>47484/107572, 47484/0901, 47484/01</w:t>
            </w:r>
          </w:p>
        </w:tc>
        <w:tc>
          <w:tcPr>
            <w:tcW w:w="1027" w:type="pct"/>
          </w:tcPr>
          <w:p w14:paraId="41B0EBEB" w14:textId="13B745E4" w:rsidR="008E67EA" w:rsidRDefault="008E67EA" w:rsidP="00B44A74">
            <w:pPr>
              <w:pStyle w:val="GazetteTableText"/>
            </w:pPr>
            <w:bookmarkStart w:id="362" w:name="_Hlk212896915"/>
            <w:r>
              <w:t xml:space="preserve">Bait concentrate </w:t>
            </w:r>
            <w:r>
              <w:t>–</w:t>
            </w:r>
            <w:r>
              <w:t xml:space="preserve"> liquid product </w:t>
            </w:r>
            <w:r w:rsidRPr="000462C9">
              <w:t xml:space="preserve">(paras. </w:t>
            </w:r>
            <w:r w:rsidRPr="000462C9">
              <w:fldChar w:fldCharType="begin"/>
            </w:r>
            <w:r w:rsidRPr="000462C9">
              <w:instrText xml:space="preserve"> REF _Ref212833623 \r \h </w:instrText>
            </w:r>
            <w:r>
              <w:instrText xml:space="preserve"> \* MERGEFORMAT </w:instrText>
            </w:r>
            <w:r w:rsidRPr="000462C9">
              <w:fldChar w:fldCharType="separate"/>
            </w:r>
            <w:r w:rsidR="002C0C2A">
              <w:t>45</w:t>
            </w:r>
            <w:r w:rsidRPr="000462C9">
              <w:fldChar w:fldCharType="end"/>
            </w:r>
            <w:r w:rsidRPr="000462C9">
              <w:t xml:space="preserve"> </w:t>
            </w:r>
            <w:r w:rsidRPr="000462C9">
              <w:t>–</w:t>
            </w:r>
            <w:r w:rsidRPr="000462C9">
              <w:t xml:space="preserve"> </w:t>
            </w:r>
            <w:r w:rsidRPr="000462C9">
              <w:fldChar w:fldCharType="begin"/>
            </w:r>
            <w:r w:rsidRPr="000462C9">
              <w:instrText xml:space="preserve"> REF _Ref212833626 \r \h </w:instrText>
            </w:r>
            <w:r>
              <w:instrText xml:space="preserve"> \* MERGEFORMAT </w:instrText>
            </w:r>
            <w:r w:rsidRPr="000462C9">
              <w:fldChar w:fldCharType="separate"/>
            </w:r>
            <w:r w:rsidR="002C0C2A">
              <w:t>47</w:t>
            </w:r>
            <w:r w:rsidRPr="000462C9">
              <w:fldChar w:fldCharType="end"/>
            </w:r>
            <w:r w:rsidRPr="000462C9">
              <w:t>)</w:t>
            </w:r>
          </w:p>
          <w:bookmarkEnd w:id="362"/>
          <w:p w14:paraId="3B575BFB" w14:textId="55AEBE4F" w:rsidR="008E67EA" w:rsidRPr="000D08D2" w:rsidRDefault="008E67EA" w:rsidP="00B44A74">
            <w:pPr>
              <w:pStyle w:val="GazetteTableText"/>
            </w:pPr>
            <w:r>
              <w:t xml:space="preserve">Formulation does not contain a bittering agent </w:t>
            </w:r>
            <w:r w:rsidRPr="000462C9">
              <w:t xml:space="preserve">(paras. </w:t>
            </w:r>
            <w:r w:rsidRPr="000462C9">
              <w:fldChar w:fldCharType="begin"/>
            </w:r>
            <w:r w:rsidRPr="000462C9">
              <w:instrText xml:space="preserve"> REF _Ref212833471 \r \h </w:instrText>
            </w:r>
            <w:r>
              <w:instrText xml:space="preserve"> \* MERGEFORMAT </w:instrText>
            </w:r>
            <w:r w:rsidRPr="000462C9">
              <w:fldChar w:fldCharType="separate"/>
            </w:r>
            <w:r w:rsidR="002C0C2A">
              <w:t>41</w:t>
            </w:r>
            <w:r w:rsidRPr="000462C9">
              <w:fldChar w:fldCharType="end"/>
            </w:r>
            <w:r w:rsidRPr="000462C9">
              <w:t xml:space="preserve"> </w:t>
            </w:r>
            <w:r w:rsidRPr="000462C9">
              <w:t>–</w:t>
            </w:r>
            <w:r w:rsidRPr="000462C9">
              <w:t xml:space="preserve"> </w:t>
            </w:r>
            <w:r w:rsidRPr="000462C9">
              <w:fldChar w:fldCharType="begin"/>
            </w:r>
            <w:r w:rsidRPr="000462C9">
              <w:instrText xml:space="preserve"> REF _Ref212833475 \r \h </w:instrText>
            </w:r>
            <w:r>
              <w:instrText xml:space="preserve"> \* MERGEFORMAT </w:instrText>
            </w:r>
            <w:r w:rsidRPr="000462C9">
              <w:fldChar w:fldCharType="separate"/>
            </w:r>
            <w:r w:rsidR="002C0C2A">
              <w:t>44</w:t>
            </w:r>
            <w:r w:rsidRPr="000462C9">
              <w:fldChar w:fldCharType="end"/>
            </w:r>
            <w:r w:rsidRPr="000462C9">
              <w:t>)</w:t>
            </w:r>
          </w:p>
        </w:tc>
      </w:tr>
      <w:tr w:rsidR="008E67EA" w14:paraId="4B500B7E" w14:textId="77777777" w:rsidTr="0071188C">
        <w:tblPrEx>
          <w:shd w:val="clear" w:color="auto" w:fill="auto"/>
        </w:tblPrEx>
        <w:tc>
          <w:tcPr>
            <w:tcW w:w="625" w:type="pct"/>
          </w:tcPr>
          <w:p w14:paraId="7359D6CA" w14:textId="77777777" w:rsidR="008E67EA" w:rsidRPr="00C84EC7" w:rsidRDefault="008E67EA" w:rsidP="00B44A74">
            <w:pPr>
              <w:pStyle w:val="GazetteTableText"/>
              <w:rPr>
                <w:color w:val="000000" w:themeColor="text1"/>
              </w:rPr>
            </w:pPr>
            <w:r w:rsidRPr="00C84EC7">
              <w:rPr>
                <w:color w:val="000000" w:themeColor="text1"/>
              </w:rPr>
              <w:t>Bromadiolone</w:t>
            </w:r>
          </w:p>
        </w:tc>
        <w:tc>
          <w:tcPr>
            <w:tcW w:w="600" w:type="pct"/>
          </w:tcPr>
          <w:p w14:paraId="589205E8" w14:textId="77777777" w:rsidR="008E67EA" w:rsidRPr="00C84EC7" w:rsidRDefault="008E67EA" w:rsidP="00B44A74">
            <w:pPr>
              <w:pStyle w:val="GazetteTableText"/>
              <w:rPr>
                <w:color w:val="000000" w:themeColor="text1"/>
              </w:rPr>
            </w:pPr>
            <w:r w:rsidRPr="00C84EC7">
              <w:rPr>
                <w:color w:val="000000" w:themeColor="text1"/>
              </w:rPr>
              <w:t>48145</w:t>
            </w:r>
          </w:p>
        </w:tc>
        <w:tc>
          <w:tcPr>
            <w:tcW w:w="981" w:type="pct"/>
          </w:tcPr>
          <w:p w14:paraId="74F97F4D" w14:textId="77777777" w:rsidR="008E67EA" w:rsidRPr="00C84EC7" w:rsidRDefault="008E67EA" w:rsidP="00B44A74">
            <w:pPr>
              <w:pStyle w:val="GazetteTableText"/>
              <w:rPr>
                <w:color w:val="000000" w:themeColor="text1"/>
              </w:rPr>
            </w:pPr>
            <w:r w:rsidRPr="00C84EC7">
              <w:rPr>
                <w:color w:val="000000" w:themeColor="text1"/>
              </w:rPr>
              <w:t>Bromakil Grain Bait for Rats and Mice</w:t>
            </w:r>
          </w:p>
        </w:tc>
        <w:tc>
          <w:tcPr>
            <w:tcW w:w="883" w:type="pct"/>
          </w:tcPr>
          <w:p w14:paraId="2295AE00" w14:textId="77777777" w:rsidR="008E67EA" w:rsidRPr="002405AE" w:rsidRDefault="008E67EA" w:rsidP="00B44A74">
            <w:pPr>
              <w:pStyle w:val="GazetteTableText"/>
              <w:rPr>
                <w:color w:val="000000" w:themeColor="text1"/>
                <w:lang w:val="de-CH"/>
              </w:rPr>
            </w:pPr>
            <w:r w:rsidRPr="002405AE">
              <w:rPr>
                <w:color w:val="000000" w:themeColor="text1"/>
                <w:lang w:val="de-CH"/>
              </w:rPr>
              <w:t>De Sangosse Australia Pty. Ltd.</w:t>
            </w:r>
          </w:p>
        </w:tc>
        <w:tc>
          <w:tcPr>
            <w:tcW w:w="884" w:type="pct"/>
          </w:tcPr>
          <w:p w14:paraId="634107BF" w14:textId="77777777" w:rsidR="008E67EA" w:rsidRPr="00C84EC7" w:rsidRDefault="008E67EA" w:rsidP="00B44A74">
            <w:pPr>
              <w:pStyle w:val="GazetteTableText"/>
              <w:rPr>
                <w:color w:val="000000" w:themeColor="text1"/>
              </w:rPr>
            </w:pPr>
            <w:r w:rsidRPr="00C84EC7">
              <w:rPr>
                <w:color w:val="000000" w:themeColor="text1"/>
              </w:rPr>
              <w:t>48145/01, 48145/1201, 48145/54504, 48145/56729, 48145/107571</w:t>
            </w:r>
          </w:p>
        </w:tc>
        <w:tc>
          <w:tcPr>
            <w:tcW w:w="1027" w:type="pct"/>
          </w:tcPr>
          <w:p w14:paraId="50D30ABE" w14:textId="56F22FB9" w:rsidR="008E67EA" w:rsidRPr="00C84EC7" w:rsidRDefault="008E67EA" w:rsidP="00B44A74">
            <w:pPr>
              <w:pStyle w:val="GazetteTableText"/>
              <w:rPr>
                <w:color w:val="000000" w:themeColor="text1"/>
              </w:rPr>
            </w:pPr>
            <w:r>
              <w:t xml:space="preserve">Formulation does not contain a bittering agent </w:t>
            </w:r>
            <w:r w:rsidRPr="000462C9">
              <w:t xml:space="preserve">(paras. </w:t>
            </w:r>
            <w:r w:rsidRPr="000462C9">
              <w:fldChar w:fldCharType="begin"/>
            </w:r>
            <w:r w:rsidRPr="000462C9">
              <w:instrText xml:space="preserve"> REF _Ref212833471 \r \h </w:instrText>
            </w:r>
            <w:r>
              <w:instrText xml:space="preserve"> \* MERGEFORMAT </w:instrText>
            </w:r>
            <w:r w:rsidRPr="000462C9">
              <w:fldChar w:fldCharType="separate"/>
            </w:r>
            <w:r w:rsidR="002C0C2A">
              <w:t>41</w:t>
            </w:r>
            <w:r w:rsidRPr="000462C9">
              <w:fldChar w:fldCharType="end"/>
            </w:r>
            <w:r w:rsidRPr="000462C9">
              <w:t xml:space="preserve"> </w:t>
            </w:r>
            <w:r w:rsidRPr="000462C9">
              <w:t>–</w:t>
            </w:r>
            <w:r w:rsidRPr="000462C9">
              <w:t xml:space="preserve"> </w:t>
            </w:r>
            <w:r w:rsidRPr="000462C9">
              <w:fldChar w:fldCharType="begin"/>
            </w:r>
            <w:r w:rsidRPr="000462C9">
              <w:instrText xml:space="preserve"> REF _Ref212833475 \r \h </w:instrText>
            </w:r>
            <w:r>
              <w:instrText xml:space="preserve"> \* MERGEFORMAT </w:instrText>
            </w:r>
            <w:r w:rsidRPr="000462C9">
              <w:fldChar w:fldCharType="separate"/>
            </w:r>
            <w:r w:rsidR="002C0C2A">
              <w:t>44</w:t>
            </w:r>
            <w:r w:rsidRPr="000462C9">
              <w:fldChar w:fldCharType="end"/>
            </w:r>
            <w:r w:rsidRPr="000462C9">
              <w:t>)</w:t>
            </w:r>
          </w:p>
        </w:tc>
      </w:tr>
      <w:tr w:rsidR="008E67EA" w14:paraId="140D7551" w14:textId="77777777" w:rsidTr="0071188C">
        <w:tblPrEx>
          <w:shd w:val="clear" w:color="auto" w:fill="auto"/>
        </w:tblPrEx>
        <w:tc>
          <w:tcPr>
            <w:tcW w:w="625" w:type="pct"/>
          </w:tcPr>
          <w:p w14:paraId="58D5ACE6" w14:textId="77777777" w:rsidR="008E67EA" w:rsidRPr="00C84EC7" w:rsidRDefault="008E67EA" w:rsidP="00B44A74">
            <w:pPr>
              <w:pStyle w:val="GazetteTableText"/>
              <w:rPr>
                <w:color w:val="000000" w:themeColor="text1"/>
              </w:rPr>
            </w:pPr>
            <w:r w:rsidRPr="00C84EC7">
              <w:rPr>
                <w:color w:val="000000" w:themeColor="text1"/>
              </w:rPr>
              <w:t>Bromadiolone</w:t>
            </w:r>
          </w:p>
        </w:tc>
        <w:tc>
          <w:tcPr>
            <w:tcW w:w="600" w:type="pct"/>
          </w:tcPr>
          <w:p w14:paraId="1856E260" w14:textId="77777777" w:rsidR="008E67EA" w:rsidRPr="00C84EC7" w:rsidRDefault="008E67EA" w:rsidP="00B44A74">
            <w:pPr>
              <w:pStyle w:val="GazetteTableText"/>
              <w:rPr>
                <w:color w:val="000000" w:themeColor="text1"/>
              </w:rPr>
            </w:pPr>
            <w:r w:rsidRPr="00C84EC7">
              <w:rPr>
                <w:color w:val="000000" w:themeColor="text1"/>
              </w:rPr>
              <w:t>51245</w:t>
            </w:r>
          </w:p>
        </w:tc>
        <w:tc>
          <w:tcPr>
            <w:tcW w:w="981" w:type="pct"/>
          </w:tcPr>
          <w:p w14:paraId="58374927" w14:textId="77777777" w:rsidR="008E67EA" w:rsidRPr="00C84EC7" w:rsidRDefault="008E67EA" w:rsidP="00B44A74">
            <w:pPr>
              <w:pStyle w:val="GazetteTableText"/>
              <w:rPr>
                <w:color w:val="000000" w:themeColor="text1"/>
              </w:rPr>
            </w:pPr>
            <w:r w:rsidRPr="00C84EC7">
              <w:rPr>
                <w:color w:val="000000" w:themeColor="text1"/>
              </w:rPr>
              <w:t>Mouseoff Bromadiolone Rodent Bait</w:t>
            </w:r>
          </w:p>
        </w:tc>
        <w:tc>
          <w:tcPr>
            <w:tcW w:w="883" w:type="pct"/>
          </w:tcPr>
          <w:p w14:paraId="5BFE338F" w14:textId="77777777" w:rsidR="008E67EA" w:rsidRPr="00C84EC7" w:rsidRDefault="008E67EA" w:rsidP="00B44A74">
            <w:pPr>
              <w:pStyle w:val="GazetteTableText"/>
              <w:rPr>
                <w:color w:val="000000" w:themeColor="text1"/>
              </w:rPr>
            </w:pPr>
            <w:r w:rsidRPr="00C84EC7">
              <w:rPr>
                <w:color w:val="000000" w:themeColor="text1"/>
              </w:rPr>
              <w:t>Animal Control Technologies (Australia) Pty Ltd</w:t>
            </w:r>
          </w:p>
        </w:tc>
        <w:tc>
          <w:tcPr>
            <w:tcW w:w="884" w:type="pct"/>
          </w:tcPr>
          <w:p w14:paraId="420CDF59" w14:textId="77777777" w:rsidR="008E67EA" w:rsidRPr="00C84EC7" w:rsidRDefault="008E67EA" w:rsidP="00B44A74">
            <w:pPr>
              <w:pStyle w:val="GazetteTableText"/>
              <w:rPr>
                <w:color w:val="000000" w:themeColor="text1"/>
              </w:rPr>
            </w:pPr>
            <w:r w:rsidRPr="00C84EC7">
              <w:rPr>
                <w:color w:val="000000" w:themeColor="text1"/>
              </w:rPr>
              <w:t>51245/0499, 51245/0603, 51245/0604, 51245/0701, 51245/0800, 51245/0999, 51245/106952</w:t>
            </w:r>
          </w:p>
        </w:tc>
        <w:tc>
          <w:tcPr>
            <w:tcW w:w="1027" w:type="pct"/>
          </w:tcPr>
          <w:p w14:paraId="02E1307A" w14:textId="43DADB7E" w:rsidR="008E67EA" w:rsidRPr="00C84EC7" w:rsidRDefault="008E67EA" w:rsidP="00B44A74">
            <w:pPr>
              <w:pStyle w:val="GazetteTableText"/>
              <w:rPr>
                <w:color w:val="000000" w:themeColor="text1"/>
              </w:rPr>
            </w:pPr>
            <w:r>
              <w:t xml:space="preserve">Formulation does not contain a bittering agent </w:t>
            </w:r>
            <w:r w:rsidRPr="000462C9">
              <w:t xml:space="preserve">(paras. </w:t>
            </w:r>
            <w:r w:rsidRPr="000462C9">
              <w:fldChar w:fldCharType="begin"/>
            </w:r>
            <w:r w:rsidRPr="000462C9">
              <w:instrText xml:space="preserve"> REF _Ref212833471 \r \h </w:instrText>
            </w:r>
            <w:r>
              <w:instrText xml:space="preserve"> \* MERGEFORMAT </w:instrText>
            </w:r>
            <w:r w:rsidRPr="000462C9">
              <w:fldChar w:fldCharType="separate"/>
            </w:r>
            <w:r w:rsidR="002C0C2A">
              <w:t>41</w:t>
            </w:r>
            <w:r w:rsidRPr="000462C9">
              <w:fldChar w:fldCharType="end"/>
            </w:r>
            <w:r w:rsidRPr="000462C9">
              <w:t xml:space="preserve"> </w:t>
            </w:r>
            <w:r w:rsidRPr="000462C9">
              <w:t>–</w:t>
            </w:r>
            <w:r w:rsidRPr="000462C9">
              <w:t xml:space="preserve"> </w:t>
            </w:r>
            <w:r w:rsidRPr="000462C9">
              <w:fldChar w:fldCharType="begin"/>
            </w:r>
            <w:r w:rsidRPr="000462C9">
              <w:instrText xml:space="preserve"> REF _Ref212833475 \r \h </w:instrText>
            </w:r>
            <w:r>
              <w:instrText xml:space="preserve"> \* MERGEFORMAT </w:instrText>
            </w:r>
            <w:r w:rsidRPr="000462C9">
              <w:fldChar w:fldCharType="separate"/>
            </w:r>
            <w:r w:rsidR="002C0C2A">
              <w:t>44</w:t>
            </w:r>
            <w:r w:rsidRPr="000462C9">
              <w:fldChar w:fldCharType="end"/>
            </w:r>
            <w:r w:rsidRPr="000462C9">
              <w:t>)</w:t>
            </w:r>
          </w:p>
        </w:tc>
      </w:tr>
      <w:tr w:rsidR="008E67EA" w14:paraId="44B6FEA7" w14:textId="77777777" w:rsidTr="0071188C">
        <w:tblPrEx>
          <w:shd w:val="clear" w:color="auto" w:fill="auto"/>
        </w:tblPrEx>
        <w:tc>
          <w:tcPr>
            <w:tcW w:w="625" w:type="pct"/>
          </w:tcPr>
          <w:p w14:paraId="635A525B" w14:textId="77777777" w:rsidR="008E67EA" w:rsidRPr="00C84EC7" w:rsidRDefault="008E67EA" w:rsidP="00B44A74">
            <w:pPr>
              <w:pStyle w:val="GazetteTableText"/>
              <w:rPr>
                <w:color w:val="000000" w:themeColor="text1"/>
              </w:rPr>
            </w:pPr>
            <w:r w:rsidRPr="00C84EC7">
              <w:rPr>
                <w:color w:val="000000" w:themeColor="text1"/>
              </w:rPr>
              <w:lastRenderedPageBreak/>
              <w:t>Bromadiolone</w:t>
            </w:r>
          </w:p>
        </w:tc>
        <w:tc>
          <w:tcPr>
            <w:tcW w:w="600" w:type="pct"/>
          </w:tcPr>
          <w:p w14:paraId="1B166B2A" w14:textId="77777777" w:rsidR="008E67EA" w:rsidRPr="00C84EC7" w:rsidRDefault="008E67EA" w:rsidP="00B44A74">
            <w:pPr>
              <w:pStyle w:val="GazetteTableText"/>
              <w:rPr>
                <w:color w:val="000000" w:themeColor="text1"/>
              </w:rPr>
            </w:pPr>
            <w:r w:rsidRPr="00C84EC7">
              <w:rPr>
                <w:color w:val="000000" w:themeColor="text1"/>
              </w:rPr>
              <w:t>61668</w:t>
            </w:r>
          </w:p>
        </w:tc>
        <w:tc>
          <w:tcPr>
            <w:tcW w:w="981" w:type="pct"/>
          </w:tcPr>
          <w:p w14:paraId="4619F8A2" w14:textId="77777777" w:rsidR="008E67EA" w:rsidRPr="00C84EC7" w:rsidRDefault="008E67EA" w:rsidP="00B44A74">
            <w:pPr>
              <w:pStyle w:val="GazetteTableText"/>
              <w:rPr>
                <w:color w:val="000000" w:themeColor="text1"/>
              </w:rPr>
            </w:pPr>
            <w:r w:rsidRPr="00C84EC7">
              <w:rPr>
                <w:color w:val="000000" w:themeColor="text1"/>
              </w:rPr>
              <w:t>Bromakil Kills Rats and Mice!</w:t>
            </w:r>
          </w:p>
        </w:tc>
        <w:tc>
          <w:tcPr>
            <w:tcW w:w="883" w:type="pct"/>
          </w:tcPr>
          <w:p w14:paraId="6D64388A" w14:textId="77777777" w:rsidR="008E67EA" w:rsidRPr="002405AE" w:rsidRDefault="008E67EA" w:rsidP="00B44A74">
            <w:pPr>
              <w:pStyle w:val="GazetteTableText"/>
              <w:rPr>
                <w:color w:val="000000" w:themeColor="text1"/>
                <w:lang w:val="de-CH"/>
              </w:rPr>
            </w:pPr>
            <w:r w:rsidRPr="002405AE">
              <w:rPr>
                <w:color w:val="000000" w:themeColor="text1"/>
                <w:lang w:val="de-CH"/>
              </w:rPr>
              <w:t>De Sangosse Australia Pty. Ltd.</w:t>
            </w:r>
          </w:p>
        </w:tc>
        <w:tc>
          <w:tcPr>
            <w:tcW w:w="884" w:type="pct"/>
          </w:tcPr>
          <w:p w14:paraId="38D9F03B" w14:textId="77777777" w:rsidR="008E67EA" w:rsidRPr="00C84EC7" w:rsidRDefault="008E67EA" w:rsidP="00B44A74">
            <w:pPr>
              <w:pStyle w:val="GazetteTableText"/>
              <w:rPr>
                <w:color w:val="000000" w:themeColor="text1"/>
              </w:rPr>
            </w:pPr>
            <w:r w:rsidRPr="00C84EC7">
              <w:rPr>
                <w:color w:val="000000" w:themeColor="text1"/>
              </w:rPr>
              <w:t>61668/0407, 61668/107586</w:t>
            </w:r>
          </w:p>
        </w:tc>
        <w:tc>
          <w:tcPr>
            <w:tcW w:w="1027" w:type="pct"/>
          </w:tcPr>
          <w:p w14:paraId="1BE1E911" w14:textId="14C6A1B4" w:rsidR="008E67EA" w:rsidRPr="00C84EC7" w:rsidRDefault="008E67EA" w:rsidP="00B44A74">
            <w:pPr>
              <w:pStyle w:val="GazetteTableText"/>
              <w:rPr>
                <w:color w:val="000000" w:themeColor="text1"/>
              </w:rPr>
            </w:pPr>
            <w:r>
              <w:t xml:space="preserve">Formulation does not contain a bittering agent </w:t>
            </w:r>
            <w:r w:rsidRPr="000462C9">
              <w:t xml:space="preserve">(paras. </w:t>
            </w:r>
            <w:r w:rsidRPr="000462C9">
              <w:fldChar w:fldCharType="begin"/>
            </w:r>
            <w:r w:rsidRPr="000462C9">
              <w:instrText xml:space="preserve"> REF _Ref212833471 \r \h </w:instrText>
            </w:r>
            <w:r>
              <w:instrText xml:space="preserve"> \* MERGEFORMAT </w:instrText>
            </w:r>
            <w:r w:rsidRPr="000462C9">
              <w:fldChar w:fldCharType="separate"/>
            </w:r>
            <w:r w:rsidR="002C0C2A">
              <w:t>41</w:t>
            </w:r>
            <w:r w:rsidRPr="000462C9">
              <w:fldChar w:fldCharType="end"/>
            </w:r>
            <w:r w:rsidRPr="000462C9">
              <w:t xml:space="preserve"> </w:t>
            </w:r>
            <w:r w:rsidRPr="000462C9">
              <w:t>–</w:t>
            </w:r>
            <w:r w:rsidRPr="000462C9">
              <w:t xml:space="preserve"> </w:t>
            </w:r>
            <w:r w:rsidRPr="000462C9">
              <w:fldChar w:fldCharType="begin"/>
            </w:r>
            <w:r w:rsidRPr="000462C9">
              <w:instrText xml:space="preserve"> REF _Ref212833475 \r \h </w:instrText>
            </w:r>
            <w:r>
              <w:instrText xml:space="preserve"> \* MERGEFORMAT </w:instrText>
            </w:r>
            <w:r w:rsidRPr="000462C9">
              <w:fldChar w:fldCharType="separate"/>
            </w:r>
            <w:r w:rsidR="002C0C2A">
              <w:t>44</w:t>
            </w:r>
            <w:r w:rsidRPr="000462C9">
              <w:fldChar w:fldCharType="end"/>
            </w:r>
            <w:r w:rsidRPr="000462C9">
              <w:t>)</w:t>
            </w:r>
          </w:p>
        </w:tc>
      </w:tr>
      <w:tr w:rsidR="008E67EA" w14:paraId="3E3FDC6C" w14:textId="77777777" w:rsidTr="0071188C">
        <w:tblPrEx>
          <w:shd w:val="clear" w:color="auto" w:fill="auto"/>
        </w:tblPrEx>
        <w:tc>
          <w:tcPr>
            <w:tcW w:w="625" w:type="pct"/>
          </w:tcPr>
          <w:p w14:paraId="3B541F77" w14:textId="77777777" w:rsidR="008E67EA" w:rsidRPr="00C84EC7" w:rsidRDefault="008E67EA" w:rsidP="00B44A74">
            <w:pPr>
              <w:pStyle w:val="GazetteTableText"/>
              <w:rPr>
                <w:color w:val="000000" w:themeColor="text1"/>
              </w:rPr>
            </w:pPr>
            <w:r w:rsidRPr="00C84EC7">
              <w:rPr>
                <w:color w:val="000000" w:themeColor="text1"/>
              </w:rPr>
              <w:t>Bromadiolone</w:t>
            </w:r>
          </w:p>
        </w:tc>
        <w:tc>
          <w:tcPr>
            <w:tcW w:w="600" w:type="pct"/>
          </w:tcPr>
          <w:p w14:paraId="2547E70F" w14:textId="77777777" w:rsidR="008E67EA" w:rsidRPr="00C84EC7" w:rsidRDefault="008E67EA" w:rsidP="00B44A74">
            <w:pPr>
              <w:pStyle w:val="GazetteTableText"/>
              <w:rPr>
                <w:color w:val="000000" w:themeColor="text1"/>
              </w:rPr>
            </w:pPr>
            <w:r w:rsidRPr="00C84EC7">
              <w:rPr>
                <w:color w:val="000000" w:themeColor="text1"/>
              </w:rPr>
              <w:t>64931</w:t>
            </w:r>
          </w:p>
        </w:tc>
        <w:tc>
          <w:tcPr>
            <w:tcW w:w="981" w:type="pct"/>
          </w:tcPr>
          <w:p w14:paraId="5277E139" w14:textId="77777777" w:rsidR="008E67EA" w:rsidRPr="00C84EC7" w:rsidRDefault="008E67EA" w:rsidP="00B44A74">
            <w:pPr>
              <w:pStyle w:val="GazetteTableText"/>
              <w:rPr>
                <w:color w:val="000000" w:themeColor="text1"/>
              </w:rPr>
            </w:pPr>
            <w:r w:rsidRPr="00C84EC7">
              <w:rPr>
                <w:color w:val="000000" w:themeColor="text1"/>
              </w:rPr>
              <w:t>Rodemise Bromadiolone Rodent Block</w:t>
            </w:r>
          </w:p>
        </w:tc>
        <w:tc>
          <w:tcPr>
            <w:tcW w:w="883" w:type="pct"/>
          </w:tcPr>
          <w:p w14:paraId="5C081914" w14:textId="77777777" w:rsidR="008E67EA" w:rsidRPr="00C84EC7" w:rsidRDefault="008E67EA" w:rsidP="00B44A74">
            <w:pPr>
              <w:pStyle w:val="GazetteTableText"/>
              <w:rPr>
                <w:color w:val="000000" w:themeColor="text1"/>
              </w:rPr>
            </w:pPr>
            <w:r w:rsidRPr="00C84EC7">
              <w:rPr>
                <w:color w:val="000000" w:themeColor="text1"/>
              </w:rPr>
              <w:t>Animal Control Technologies (Australia) Pty Ltd</w:t>
            </w:r>
          </w:p>
        </w:tc>
        <w:tc>
          <w:tcPr>
            <w:tcW w:w="884" w:type="pct"/>
          </w:tcPr>
          <w:p w14:paraId="3DB6F825" w14:textId="77777777" w:rsidR="008E67EA" w:rsidRPr="00C84EC7" w:rsidRDefault="008E67EA" w:rsidP="00B44A74">
            <w:pPr>
              <w:pStyle w:val="GazetteTableText"/>
              <w:rPr>
                <w:color w:val="000000" w:themeColor="text1"/>
              </w:rPr>
            </w:pPr>
            <w:r w:rsidRPr="00C84EC7">
              <w:rPr>
                <w:color w:val="000000" w:themeColor="text1"/>
              </w:rPr>
              <w:t>64931/49617, 64931/101539, 64931/102579, 64931/104910</w:t>
            </w:r>
          </w:p>
        </w:tc>
        <w:tc>
          <w:tcPr>
            <w:tcW w:w="1027" w:type="pct"/>
          </w:tcPr>
          <w:p w14:paraId="2F5A8227" w14:textId="0EA75967" w:rsidR="008E67EA" w:rsidRPr="00C84EC7" w:rsidRDefault="008E67EA" w:rsidP="00B44A74">
            <w:pPr>
              <w:pStyle w:val="GazetteTableText"/>
              <w:rPr>
                <w:color w:val="000000" w:themeColor="text1"/>
              </w:rPr>
            </w:pPr>
            <w:r>
              <w:t xml:space="preserve">Formulation does not contain a bittering agent </w:t>
            </w:r>
            <w:r w:rsidRPr="000462C9">
              <w:t xml:space="preserve">(paras. </w:t>
            </w:r>
            <w:r w:rsidRPr="000462C9">
              <w:fldChar w:fldCharType="begin"/>
            </w:r>
            <w:r w:rsidRPr="000462C9">
              <w:instrText xml:space="preserve"> REF _Ref212833471 \r \h </w:instrText>
            </w:r>
            <w:r>
              <w:instrText xml:space="preserve"> \* MERGEFORMAT </w:instrText>
            </w:r>
            <w:r w:rsidRPr="000462C9">
              <w:fldChar w:fldCharType="separate"/>
            </w:r>
            <w:r w:rsidR="002C0C2A">
              <w:t>41</w:t>
            </w:r>
            <w:r w:rsidRPr="000462C9">
              <w:fldChar w:fldCharType="end"/>
            </w:r>
            <w:r w:rsidRPr="000462C9">
              <w:t xml:space="preserve"> </w:t>
            </w:r>
            <w:r w:rsidRPr="000462C9">
              <w:t>–</w:t>
            </w:r>
            <w:r w:rsidRPr="000462C9">
              <w:t xml:space="preserve"> </w:t>
            </w:r>
            <w:r w:rsidRPr="000462C9">
              <w:fldChar w:fldCharType="begin"/>
            </w:r>
            <w:r w:rsidRPr="000462C9">
              <w:instrText xml:space="preserve"> REF _Ref212833475 \r \h </w:instrText>
            </w:r>
            <w:r>
              <w:instrText xml:space="preserve"> \* MERGEFORMAT </w:instrText>
            </w:r>
            <w:r w:rsidRPr="000462C9">
              <w:fldChar w:fldCharType="separate"/>
            </w:r>
            <w:r w:rsidR="002C0C2A">
              <w:t>44</w:t>
            </w:r>
            <w:r w:rsidRPr="000462C9">
              <w:fldChar w:fldCharType="end"/>
            </w:r>
            <w:r w:rsidRPr="000462C9">
              <w:t>)</w:t>
            </w:r>
          </w:p>
        </w:tc>
      </w:tr>
      <w:tr w:rsidR="008E67EA" w14:paraId="738FF153" w14:textId="77777777" w:rsidTr="0071188C">
        <w:tblPrEx>
          <w:shd w:val="clear" w:color="auto" w:fill="auto"/>
        </w:tblPrEx>
        <w:tc>
          <w:tcPr>
            <w:tcW w:w="625" w:type="pct"/>
          </w:tcPr>
          <w:p w14:paraId="32F7F54D" w14:textId="77777777" w:rsidR="008E67EA" w:rsidRPr="00C84EC7" w:rsidRDefault="008E67EA" w:rsidP="00B44A74">
            <w:pPr>
              <w:pStyle w:val="GazetteTableText"/>
              <w:rPr>
                <w:color w:val="000000" w:themeColor="text1"/>
              </w:rPr>
            </w:pPr>
            <w:r w:rsidRPr="00C84EC7">
              <w:rPr>
                <w:color w:val="000000" w:themeColor="text1"/>
              </w:rPr>
              <w:t>Bromadiolone</w:t>
            </w:r>
          </w:p>
        </w:tc>
        <w:tc>
          <w:tcPr>
            <w:tcW w:w="600" w:type="pct"/>
          </w:tcPr>
          <w:p w14:paraId="6D8A4B2F" w14:textId="77777777" w:rsidR="008E67EA" w:rsidRPr="00C84EC7" w:rsidRDefault="008E67EA" w:rsidP="00B44A74">
            <w:pPr>
              <w:pStyle w:val="GazetteTableText"/>
              <w:rPr>
                <w:color w:val="000000" w:themeColor="text1"/>
              </w:rPr>
            </w:pPr>
            <w:r w:rsidRPr="00C84EC7">
              <w:rPr>
                <w:color w:val="000000" w:themeColor="text1"/>
              </w:rPr>
              <w:t>65675</w:t>
            </w:r>
          </w:p>
        </w:tc>
        <w:tc>
          <w:tcPr>
            <w:tcW w:w="981" w:type="pct"/>
          </w:tcPr>
          <w:p w14:paraId="6D733D76" w14:textId="77777777" w:rsidR="008E67EA" w:rsidRPr="00C84EC7" w:rsidRDefault="008E67EA" w:rsidP="00B44A74">
            <w:pPr>
              <w:pStyle w:val="GazetteTableText"/>
              <w:rPr>
                <w:color w:val="000000" w:themeColor="text1"/>
              </w:rPr>
            </w:pPr>
            <w:r w:rsidRPr="00C84EC7">
              <w:rPr>
                <w:color w:val="000000" w:themeColor="text1"/>
              </w:rPr>
              <w:t>Imtrade Alley Cat Rodenticide Wax Blocks</w:t>
            </w:r>
          </w:p>
        </w:tc>
        <w:tc>
          <w:tcPr>
            <w:tcW w:w="883" w:type="pct"/>
          </w:tcPr>
          <w:p w14:paraId="7909CD94" w14:textId="77777777" w:rsidR="008E67EA" w:rsidRPr="00C84EC7" w:rsidRDefault="008E67EA" w:rsidP="00B44A74">
            <w:pPr>
              <w:pStyle w:val="GazetteTableText"/>
              <w:rPr>
                <w:color w:val="000000" w:themeColor="text1"/>
              </w:rPr>
            </w:pPr>
            <w:r w:rsidRPr="00C84EC7">
              <w:rPr>
                <w:color w:val="000000" w:themeColor="text1"/>
              </w:rPr>
              <w:t>Imtrade Australia Pty Ltd</w:t>
            </w:r>
          </w:p>
        </w:tc>
        <w:tc>
          <w:tcPr>
            <w:tcW w:w="884" w:type="pct"/>
          </w:tcPr>
          <w:p w14:paraId="08208E65" w14:textId="77777777" w:rsidR="008E67EA" w:rsidRPr="00C84EC7" w:rsidRDefault="008E67EA" w:rsidP="00B44A74">
            <w:pPr>
              <w:pStyle w:val="GazetteTableText"/>
              <w:rPr>
                <w:color w:val="000000" w:themeColor="text1"/>
              </w:rPr>
            </w:pPr>
            <w:r w:rsidRPr="00C84EC7">
              <w:rPr>
                <w:color w:val="000000" w:themeColor="text1"/>
              </w:rPr>
              <w:t>65675/102999, 65675/51544</w:t>
            </w:r>
          </w:p>
        </w:tc>
        <w:tc>
          <w:tcPr>
            <w:tcW w:w="1027" w:type="pct"/>
          </w:tcPr>
          <w:p w14:paraId="64037442" w14:textId="04808739" w:rsidR="008E67EA" w:rsidRPr="00C84EC7" w:rsidRDefault="008E67EA" w:rsidP="00B44A74">
            <w:pPr>
              <w:pStyle w:val="GazetteTableText"/>
              <w:rPr>
                <w:color w:val="000000" w:themeColor="text1"/>
              </w:rPr>
            </w:pPr>
            <w:r>
              <w:t xml:space="preserve">Formulation does not contain a bittering agent </w:t>
            </w:r>
            <w:r w:rsidRPr="000462C9">
              <w:t xml:space="preserve">(paras. </w:t>
            </w:r>
            <w:r w:rsidRPr="000462C9">
              <w:fldChar w:fldCharType="begin"/>
            </w:r>
            <w:r w:rsidRPr="000462C9">
              <w:instrText xml:space="preserve"> REF _Ref212833471 \r \h </w:instrText>
            </w:r>
            <w:r>
              <w:instrText xml:space="preserve"> \* MERGEFORMAT </w:instrText>
            </w:r>
            <w:r w:rsidRPr="000462C9">
              <w:fldChar w:fldCharType="separate"/>
            </w:r>
            <w:r w:rsidR="002C0C2A">
              <w:t>41</w:t>
            </w:r>
            <w:r w:rsidRPr="000462C9">
              <w:fldChar w:fldCharType="end"/>
            </w:r>
            <w:r w:rsidRPr="000462C9">
              <w:t xml:space="preserve"> </w:t>
            </w:r>
            <w:r w:rsidRPr="000462C9">
              <w:t>–</w:t>
            </w:r>
            <w:r w:rsidRPr="000462C9">
              <w:t xml:space="preserve"> </w:t>
            </w:r>
            <w:r w:rsidRPr="000462C9">
              <w:fldChar w:fldCharType="begin"/>
            </w:r>
            <w:r w:rsidRPr="000462C9">
              <w:instrText xml:space="preserve"> REF _Ref212833475 \r \h </w:instrText>
            </w:r>
            <w:r>
              <w:instrText xml:space="preserve"> \* MERGEFORMAT </w:instrText>
            </w:r>
            <w:r w:rsidRPr="000462C9">
              <w:fldChar w:fldCharType="separate"/>
            </w:r>
            <w:r w:rsidR="002C0C2A">
              <w:t>44</w:t>
            </w:r>
            <w:r w:rsidRPr="000462C9">
              <w:fldChar w:fldCharType="end"/>
            </w:r>
            <w:r w:rsidRPr="000462C9">
              <w:t>)</w:t>
            </w:r>
          </w:p>
        </w:tc>
      </w:tr>
      <w:tr w:rsidR="008E67EA" w14:paraId="1DA11FE9" w14:textId="77777777" w:rsidTr="0071188C">
        <w:tblPrEx>
          <w:shd w:val="clear" w:color="auto" w:fill="auto"/>
        </w:tblPrEx>
        <w:tc>
          <w:tcPr>
            <w:tcW w:w="625" w:type="pct"/>
          </w:tcPr>
          <w:p w14:paraId="7429E5D3" w14:textId="77777777" w:rsidR="008E67EA" w:rsidRPr="00C84EC7" w:rsidRDefault="008E67EA" w:rsidP="00B44A74">
            <w:pPr>
              <w:pStyle w:val="GazetteTableText"/>
              <w:rPr>
                <w:color w:val="000000" w:themeColor="text1"/>
              </w:rPr>
            </w:pPr>
            <w:r w:rsidRPr="00C84EC7">
              <w:rPr>
                <w:color w:val="000000" w:themeColor="text1"/>
              </w:rPr>
              <w:t>Bromadiolone</w:t>
            </w:r>
          </w:p>
        </w:tc>
        <w:tc>
          <w:tcPr>
            <w:tcW w:w="600" w:type="pct"/>
          </w:tcPr>
          <w:p w14:paraId="0662C66B" w14:textId="77777777" w:rsidR="008E67EA" w:rsidRPr="00C84EC7" w:rsidRDefault="008E67EA" w:rsidP="00B44A74">
            <w:pPr>
              <w:pStyle w:val="GazetteTableText"/>
              <w:rPr>
                <w:color w:val="000000" w:themeColor="text1"/>
              </w:rPr>
            </w:pPr>
            <w:r w:rsidRPr="00C84EC7">
              <w:rPr>
                <w:color w:val="000000" w:themeColor="text1"/>
              </w:rPr>
              <w:t>67142</w:t>
            </w:r>
          </w:p>
        </w:tc>
        <w:tc>
          <w:tcPr>
            <w:tcW w:w="981" w:type="pct"/>
          </w:tcPr>
          <w:p w14:paraId="1662A69A" w14:textId="77777777" w:rsidR="008E67EA" w:rsidRPr="00C84EC7" w:rsidRDefault="008E67EA" w:rsidP="00B44A74">
            <w:pPr>
              <w:pStyle w:val="GazetteTableText"/>
              <w:rPr>
                <w:color w:val="000000" w:themeColor="text1"/>
              </w:rPr>
            </w:pPr>
            <w:r w:rsidRPr="00C84EC7">
              <w:rPr>
                <w:color w:val="000000" w:themeColor="text1"/>
              </w:rPr>
              <w:t>Surefire Broma Grain Bait Rodenticide</w:t>
            </w:r>
          </w:p>
        </w:tc>
        <w:tc>
          <w:tcPr>
            <w:tcW w:w="883" w:type="pct"/>
          </w:tcPr>
          <w:p w14:paraId="619E3078" w14:textId="77777777" w:rsidR="008E67EA" w:rsidRPr="00C84EC7" w:rsidRDefault="008E67EA" w:rsidP="00B44A74">
            <w:pPr>
              <w:pStyle w:val="GazetteTableText"/>
              <w:rPr>
                <w:color w:val="000000" w:themeColor="text1"/>
              </w:rPr>
            </w:pPr>
            <w:r w:rsidRPr="00C84EC7">
              <w:rPr>
                <w:color w:val="000000" w:themeColor="text1"/>
              </w:rPr>
              <w:t>P</w:t>
            </w:r>
            <w:r>
              <w:rPr>
                <w:color w:val="000000" w:themeColor="text1"/>
              </w:rPr>
              <w:t>CT</w:t>
            </w:r>
            <w:r w:rsidRPr="00C84EC7">
              <w:rPr>
                <w:color w:val="000000" w:themeColor="text1"/>
              </w:rPr>
              <w:t xml:space="preserve"> Holdings Pty Ltd</w:t>
            </w:r>
          </w:p>
        </w:tc>
        <w:tc>
          <w:tcPr>
            <w:tcW w:w="884" w:type="pct"/>
          </w:tcPr>
          <w:p w14:paraId="0CB65339" w14:textId="77777777" w:rsidR="008E67EA" w:rsidRPr="00C84EC7" w:rsidRDefault="008E67EA" w:rsidP="00B44A74">
            <w:pPr>
              <w:pStyle w:val="GazetteTableText"/>
              <w:rPr>
                <w:color w:val="000000" w:themeColor="text1"/>
              </w:rPr>
            </w:pPr>
            <w:r w:rsidRPr="00C84EC7">
              <w:rPr>
                <w:color w:val="000000" w:themeColor="text1"/>
              </w:rPr>
              <w:t>67142/55303</w:t>
            </w:r>
          </w:p>
        </w:tc>
        <w:tc>
          <w:tcPr>
            <w:tcW w:w="1027" w:type="pct"/>
          </w:tcPr>
          <w:p w14:paraId="49A36D33" w14:textId="2AB0D8A7" w:rsidR="008E67EA" w:rsidRPr="00C84EC7" w:rsidRDefault="008E67EA" w:rsidP="00B44A74">
            <w:pPr>
              <w:pStyle w:val="GazetteTableText"/>
              <w:rPr>
                <w:color w:val="000000" w:themeColor="text1"/>
              </w:rPr>
            </w:pPr>
            <w:r>
              <w:t xml:space="preserve">Formulation does not contain a bittering agent </w:t>
            </w:r>
            <w:r w:rsidRPr="000462C9">
              <w:t xml:space="preserve">(paras. </w:t>
            </w:r>
            <w:r w:rsidRPr="000462C9">
              <w:fldChar w:fldCharType="begin"/>
            </w:r>
            <w:r w:rsidRPr="000462C9">
              <w:instrText xml:space="preserve"> REF _Ref212833471 \r \h </w:instrText>
            </w:r>
            <w:r>
              <w:instrText xml:space="preserve"> \* MERGEFORMAT </w:instrText>
            </w:r>
            <w:r w:rsidRPr="000462C9">
              <w:fldChar w:fldCharType="separate"/>
            </w:r>
            <w:r w:rsidR="002C0C2A">
              <w:t>41</w:t>
            </w:r>
            <w:r w:rsidRPr="000462C9">
              <w:fldChar w:fldCharType="end"/>
            </w:r>
            <w:r w:rsidRPr="000462C9">
              <w:t xml:space="preserve"> </w:t>
            </w:r>
            <w:r w:rsidRPr="000462C9">
              <w:t>–</w:t>
            </w:r>
            <w:r w:rsidRPr="000462C9">
              <w:t xml:space="preserve"> </w:t>
            </w:r>
            <w:r w:rsidRPr="000462C9">
              <w:fldChar w:fldCharType="begin"/>
            </w:r>
            <w:r w:rsidRPr="000462C9">
              <w:instrText xml:space="preserve"> REF _Ref212833475 \r \h </w:instrText>
            </w:r>
            <w:r>
              <w:instrText xml:space="preserve"> \* MERGEFORMAT </w:instrText>
            </w:r>
            <w:r w:rsidRPr="000462C9">
              <w:fldChar w:fldCharType="separate"/>
            </w:r>
            <w:r w:rsidR="002C0C2A">
              <w:t>44</w:t>
            </w:r>
            <w:r w:rsidRPr="000462C9">
              <w:fldChar w:fldCharType="end"/>
            </w:r>
            <w:r w:rsidRPr="000462C9">
              <w:t>)</w:t>
            </w:r>
          </w:p>
        </w:tc>
      </w:tr>
      <w:tr w:rsidR="008E67EA" w14:paraId="28581B5A" w14:textId="77777777" w:rsidTr="0071188C">
        <w:tblPrEx>
          <w:shd w:val="clear" w:color="auto" w:fill="auto"/>
        </w:tblPrEx>
        <w:tc>
          <w:tcPr>
            <w:tcW w:w="625" w:type="pct"/>
          </w:tcPr>
          <w:p w14:paraId="4951F414" w14:textId="77777777" w:rsidR="008E67EA" w:rsidRPr="00C84EC7" w:rsidRDefault="008E67EA" w:rsidP="00B44A74">
            <w:pPr>
              <w:pStyle w:val="GazetteTableText"/>
              <w:rPr>
                <w:color w:val="000000" w:themeColor="text1"/>
              </w:rPr>
            </w:pPr>
            <w:r w:rsidRPr="00C84EC7">
              <w:rPr>
                <w:color w:val="000000" w:themeColor="text1"/>
              </w:rPr>
              <w:t>Bromadiolone</w:t>
            </w:r>
          </w:p>
        </w:tc>
        <w:tc>
          <w:tcPr>
            <w:tcW w:w="600" w:type="pct"/>
          </w:tcPr>
          <w:p w14:paraId="680D7336" w14:textId="77777777" w:rsidR="008E67EA" w:rsidRPr="00C84EC7" w:rsidRDefault="008E67EA" w:rsidP="00B44A74">
            <w:pPr>
              <w:pStyle w:val="GazetteTableText"/>
              <w:rPr>
                <w:color w:val="000000" w:themeColor="text1"/>
              </w:rPr>
            </w:pPr>
            <w:r w:rsidRPr="00C84EC7">
              <w:rPr>
                <w:color w:val="000000" w:themeColor="text1"/>
              </w:rPr>
              <w:t>67578</w:t>
            </w:r>
          </w:p>
        </w:tc>
        <w:tc>
          <w:tcPr>
            <w:tcW w:w="981" w:type="pct"/>
          </w:tcPr>
          <w:p w14:paraId="6709D78D" w14:textId="77777777" w:rsidR="008E67EA" w:rsidRPr="00C84EC7" w:rsidRDefault="008E67EA" w:rsidP="00B44A74">
            <w:pPr>
              <w:pStyle w:val="GazetteTableText"/>
              <w:rPr>
                <w:color w:val="000000" w:themeColor="text1"/>
              </w:rPr>
            </w:pPr>
            <w:r w:rsidRPr="00C84EC7">
              <w:rPr>
                <w:color w:val="000000" w:themeColor="text1"/>
              </w:rPr>
              <w:t>Rodemise Super Bromadiolone Rodent Block</w:t>
            </w:r>
          </w:p>
        </w:tc>
        <w:tc>
          <w:tcPr>
            <w:tcW w:w="883" w:type="pct"/>
          </w:tcPr>
          <w:p w14:paraId="7F9F1C81" w14:textId="77777777" w:rsidR="008E67EA" w:rsidRPr="00C84EC7" w:rsidRDefault="008E67EA" w:rsidP="00B44A74">
            <w:pPr>
              <w:pStyle w:val="GazetteTableText"/>
              <w:rPr>
                <w:color w:val="000000" w:themeColor="text1"/>
              </w:rPr>
            </w:pPr>
            <w:r w:rsidRPr="00C84EC7">
              <w:rPr>
                <w:color w:val="000000" w:themeColor="text1"/>
              </w:rPr>
              <w:t>Animal Control Technologies (Australia) Pty Ltd</w:t>
            </w:r>
          </w:p>
        </w:tc>
        <w:tc>
          <w:tcPr>
            <w:tcW w:w="884" w:type="pct"/>
          </w:tcPr>
          <w:p w14:paraId="16156A5D" w14:textId="77777777" w:rsidR="008E67EA" w:rsidRPr="00C84EC7" w:rsidRDefault="008E67EA" w:rsidP="00B44A74">
            <w:pPr>
              <w:pStyle w:val="GazetteTableText"/>
              <w:rPr>
                <w:color w:val="000000" w:themeColor="text1"/>
              </w:rPr>
            </w:pPr>
            <w:r w:rsidRPr="00C84EC7">
              <w:rPr>
                <w:color w:val="000000" w:themeColor="text1"/>
              </w:rPr>
              <w:t>67578/56393, 67578/101717</w:t>
            </w:r>
          </w:p>
        </w:tc>
        <w:tc>
          <w:tcPr>
            <w:tcW w:w="1027" w:type="pct"/>
          </w:tcPr>
          <w:p w14:paraId="4E9E4208" w14:textId="2B26FB93" w:rsidR="008E67EA" w:rsidRPr="00C84EC7" w:rsidRDefault="008E67EA" w:rsidP="00B44A74">
            <w:pPr>
              <w:pStyle w:val="GazetteTableText"/>
              <w:rPr>
                <w:color w:val="000000" w:themeColor="text1"/>
              </w:rPr>
            </w:pPr>
            <w:r>
              <w:t xml:space="preserve">Formulation does not contain a bittering agent </w:t>
            </w:r>
            <w:r w:rsidRPr="000462C9">
              <w:t xml:space="preserve">(paras. </w:t>
            </w:r>
            <w:r w:rsidRPr="000462C9">
              <w:fldChar w:fldCharType="begin"/>
            </w:r>
            <w:r w:rsidRPr="000462C9">
              <w:instrText xml:space="preserve"> REF _Ref212833471 \r \h </w:instrText>
            </w:r>
            <w:r>
              <w:instrText xml:space="preserve"> \* MERGEFORMAT </w:instrText>
            </w:r>
            <w:r w:rsidRPr="000462C9">
              <w:fldChar w:fldCharType="separate"/>
            </w:r>
            <w:r w:rsidR="002C0C2A">
              <w:t>41</w:t>
            </w:r>
            <w:r w:rsidRPr="000462C9">
              <w:fldChar w:fldCharType="end"/>
            </w:r>
            <w:r w:rsidRPr="000462C9">
              <w:t xml:space="preserve"> </w:t>
            </w:r>
            <w:r w:rsidRPr="000462C9">
              <w:t>–</w:t>
            </w:r>
            <w:r w:rsidRPr="000462C9">
              <w:t xml:space="preserve"> </w:t>
            </w:r>
            <w:r w:rsidRPr="000462C9">
              <w:fldChar w:fldCharType="begin"/>
            </w:r>
            <w:r w:rsidRPr="000462C9">
              <w:instrText xml:space="preserve"> REF _Ref212833475 \r \h </w:instrText>
            </w:r>
            <w:r>
              <w:instrText xml:space="preserve"> \* MERGEFORMAT </w:instrText>
            </w:r>
            <w:r w:rsidRPr="000462C9">
              <w:fldChar w:fldCharType="separate"/>
            </w:r>
            <w:r w:rsidR="002C0C2A">
              <w:t>44</w:t>
            </w:r>
            <w:r w:rsidRPr="000462C9">
              <w:fldChar w:fldCharType="end"/>
            </w:r>
            <w:r w:rsidRPr="000462C9">
              <w:t>)</w:t>
            </w:r>
          </w:p>
        </w:tc>
      </w:tr>
      <w:tr w:rsidR="008E67EA" w14:paraId="482141B5" w14:textId="77777777" w:rsidTr="0071188C">
        <w:tblPrEx>
          <w:shd w:val="clear" w:color="auto" w:fill="auto"/>
        </w:tblPrEx>
        <w:tc>
          <w:tcPr>
            <w:tcW w:w="625" w:type="pct"/>
          </w:tcPr>
          <w:p w14:paraId="571E1B7E" w14:textId="77777777" w:rsidR="008E67EA" w:rsidRPr="00C84EC7" w:rsidRDefault="008E67EA" w:rsidP="00B44A74">
            <w:pPr>
              <w:pStyle w:val="GazetteTableText"/>
              <w:rPr>
                <w:color w:val="000000" w:themeColor="text1"/>
              </w:rPr>
            </w:pPr>
            <w:r w:rsidRPr="00C84EC7">
              <w:rPr>
                <w:color w:val="000000" w:themeColor="text1"/>
              </w:rPr>
              <w:t>Bromadiolone</w:t>
            </w:r>
          </w:p>
        </w:tc>
        <w:tc>
          <w:tcPr>
            <w:tcW w:w="600" w:type="pct"/>
          </w:tcPr>
          <w:p w14:paraId="39119BC6" w14:textId="77777777" w:rsidR="008E67EA" w:rsidRPr="00C84EC7" w:rsidRDefault="008E67EA" w:rsidP="00B44A74">
            <w:pPr>
              <w:pStyle w:val="GazetteTableText"/>
              <w:rPr>
                <w:color w:val="000000" w:themeColor="text1"/>
              </w:rPr>
            </w:pPr>
            <w:r w:rsidRPr="00C84EC7">
              <w:rPr>
                <w:color w:val="000000" w:themeColor="text1"/>
              </w:rPr>
              <w:t>69641</w:t>
            </w:r>
          </w:p>
        </w:tc>
        <w:tc>
          <w:tcPr>
            <w:tcW w:w="981" w:type="pct"/>
          </w:tcPr>
          <w:p w14:paraId="7391BD17" w14:textId="77777777" w:rsidR="008E67EA" w:rsidRPr="00C84EC7" w:rsidRDefault="008E67EA" w:rsidP="00B44A74">
            <w:pPr>
              <w:pStyle w:val="GazetteTableText"/>
              <w:rPr>
                <w:color w:val="000000" w:themeColor="text1"/>
              </w:rPr>
            </w:pPr>
            <w:r w:rsidRPr="00C84EC7">
              <w:rPr>
                <w:color w:val="000000" w:themeColor="text1"/>
              </w:rPr>
              <w:t>Rat Stop Grain Bait</w:t>
            </w:r>
          </w:p>
        </w:tc>
        <w:tc>
          <w:tcPr>
            <w:tcW w:w="883" w:type="pct"/>
          </w:tcPr>
          <w:p w14:paraId="3910041B" w14:textId="77777777" w:rsidR="008E67EA" w:rsidRPr="00C84EC7" w:rsidRDefault="008E67EA" w:rsidP="00B44A74">
            <w:pPr>
              <w:pStyle w:val="GazetteTableText"/>
              <w:rPr>
                <w:color w:val="000000" w:themeColor="text1"/>
              </w:rPr>
            </w:pPr>
            <w:r w:rsidRPr="00C84EC7">
              <w:rPr>
                <w:color w:val="000000" w:themeColor="text1"/>
              </w:rPr>
              <w:t>Oztec Rural Pty Limited</w:t>
            </w:r>
          </w:p>
        </w:tc>
        <w:tc>
          <w:tcPr>
            <w:tcW w:w="884" w:type="pct"/>
          </w:tcPr>
          <w:p w14:paraId="367A5740" w14:textId="77777777" w:rsidR="008E67EA" w:rsidRPr="00C84EC7" w:rsidRDefault="008E67EA" w:rsidP="00B44A74">
            <w:pPr>
              <w:pStyle w:val="GazetteTableText"/>
              <w:rPr>
                <w:color w:val="000000" w:themeColor="text1"/>
              </w:rPr>
            </w:pPr>
            <w:r w:rsidRPr="00C84EC7">
              <w:rPr>
                <w:color w:val="000000" w:themeColor="text1"/>
              </w:rPr>
              <w:t>69641/61306</w:t>
            </w:r>
          </w:p>
        </w:tc>
        <w:tc>
          <w:tcPr>
            <w:tcW w:w="1027" w:type="pct"/>
          </w:tcPr>
          <w:p w14:paraId="0E720B1E" w14:textId="544DDB8A" w:rsidR="008E67EA" w:rsidRPr="00C84EC7" w:rsidRDefault="008E67EA" w:rsidP="00B44A74">
            <w:pPr>
              <w:pStyle w:val="GazetteTableText"/>
              <w:rPr>
                <w:color w:val="000000" w:themeColor="text1"/>
              </w:rPr>
            </w:pPr>
            <w:r>
              <w:t xml:space="preserve">Formulation does not contain a bittering agent </w:t>
            </w:r>
            <w:r w:rsidRPr="000462C9">
              <w:t xml:space="preserve">(paras. </w:t>
            </w:r>
            <w:r w:rsidRPr="000462C9">
              <w:fldChar w:fldCharType="begin"/>
            </w:r>
            <w:r w:rsidRPr="000462C9">
              <w:instrText xml:space="preserve"> REF _Ref212833471 \r \h </w:instrText>
            </w:r>
            <w:r>
              <w:instrText xml:space="preserve"> \* MERGEFORMAT </w:instrText>
            </w:r>
            <w:r w:rsidRPr="000462C9">
              <w:fldChar w:fldCharType="separate"/>
            </w:r>
            <w:r w:rsidR="002C0C2A">
              <w:t>41</w:t>
            </w:r>
            <w:r w:rsidRPr="000462C9">
              <w:fldChar w:fldCharType="end"/>
            </w:r>
            <w:r w:rsidRPr="000462C9">
              <w:t xml:space="preserve"> </w:t>
            </w:r>
            <w:r w:rsidRPr="000462C9">
              <w:t>–</w:t>
            </w:r>
            <w:r w:rsidRPr="000462C9">
              <w:t xml:space="preserve"> </w:t>
            </w:r>
            <w:r w:rsidRPr="000462C9">
              <w:fldChar w:fldCharType="begin"/>
            </w:r>
            <w:r w:rsidRPr="000462C9">
              <w:instrText xml:space="preserve"> REF _Ref212833475 \r \h </w:instrText>
            </w:r>
            <w:r>
              <w:instrText xml:space="preserve"> \* MERGEFORMAT </w:instrText>
            </w:r>
            <w:r w:rsidRPr="000462C9">
              <w:fldChar w:fldCharType="separate"/>
            </w:r>
            <w:r w:rsidR="002C0C2A">
              <w:t>44</w:t>
            </w:r>
            <w:r w:rsidRPr="000462C9">
              <w:fldChar w:fldCharType="end"/>
            </w:r>
            <w:r w:rsidRPr="000462C9">
              <w:t>)</w:t>
            </w:r>
          </w:p>
        </w:tc>
      </w:tr>
      <w:tr w:rsidR="008E67EA" w14:paraId="7E3F1B84" w14:textId="77777777" w:rsidTr="0071188C">
        <w:tc>
          <w:tcPr>
            <w:tcW w:w="625" w:type="pct"/>
          </w:tcPr>
          <w:p w14:paraId="3EE2A55B" w14:textId="77777777" w:rsidR="008E67EA" w:rsidRDefault="008E67EA" w:rsidP="00B44A74">
            <w:pPr>
              <w:pStyle w:val="GazetteTableText"/>
            </w:pPr>
            <w:r w:rsidRPr="00A816F7">
              <w:t>Bromadiolone</w:t>
            </w:r>
          </w:p>
        </w:tc>
        <w:tc>
          <w:tcPr>
            <w:tcW w:w="600" w:type="pct"/>
          </w:tcPr>
          <w:p w14:paraId="17EE5D6B" w14:textId="77777777" w:rsidR="008E67EA" w:rsidRDefault="008E67EA" w:rsidP="00B44A74">
            <w:pPr>
              <w:pStyle w:val="GazetteTableText"/>
            </w:pPr>
            <w:r w:rsidRPr="006F3B1A">
              <w:t>93518</w:t>
            </w:r>
          </w:p>
        </w:tc>
        <w:tc>
          <w:tcPr>
            <w:tcW w:w="981" w:type="pct"/>
          </w:tcPr>
          <w:p w14:paraId="2E827EAE" w14:textId="77777777" w:rsidR="008E67EA" w:rsidRPr="00B75907" w:rsidRDefault="008E67EA" w:rsidP="00B44A74">
            <w:pPr>
              <w:pStyle w:val="GazetteTableText"/>
            </w:pPr>
            <w:r w:rsidRPr="006F3B1A">
              <w:t>Surefire Broma Liquid Rodenticide</w:t>
            </w:r>
          </w:p>
        </w:tc>
        <w:tc>
          <w:tcPr>
            <w:tcW w:w="883" w:type="pct"/>
          </w:tcPr>
          <w:p w14:paraId="5F42A483" w14:textId="77777777" w:rsidR="008E67EA" w:rsidRDefault="008E67EA" w:rsidP="00B44A74">
            <w:pPr>
              <w:pStyle w:val="GazetteTableText"/>
            </w:pPr>
            <w:r w:rsidRPr="006F3B1A">
              <w:t>P</w:t>
            </w:r>
            <w:r>
              <w:t>CT</w:t>
            </w:r>
            <w:r w:rsidRPr="006F3B1A">
              <w:t xml:space="preserve"> Holdings Pty Ltd</w:t>
            </w:r>
          </w:p>
        </w:tc>
        <w:tc>
          <w:tcPr>
            <w:tcW w:w="884" w:type="pct"/>
          </w:tcPr>
          <w:p w14:paraId="1AAE247C" w14:textId="77777777" w:rsidR="008E67EA" w:rsidRDefault="008E67EA" w:rsidP="00B44A74">
            <w:pPr>
              <w:pStyle w:val="GazetteTableText"/>
            </w:pPr>
            <w:r w:rsidRPr="006F3B1A">
              <w:t>93518/139416</w:t>
            </w:r>
          </w:p>
        </w:tc>
        <w:tc>
          <w:tcPr>
            <w:tcW w:w="1027" w:type="pct"/>
          </w:tcPr>
          <w:p w14:paraId="25BA7C4B" w14:textId="6EB9802D" w:rsidR="008E67EA" w:rsidRPr="006F3B1A" w:rsidRDefault="008E67EA" w:rsidP="00B44A74">
            <w:pPr>
              <w:pStyle w:val="GazetteTableText"/>
            </w:pPr>
            <w:r>
              <w:t xml:space="preserve">Bait concentrate </w:t>
            </w:r>
            <w:r>
              <w:t>–</w:t>
            </w:r>
            <w:r>
              <w:t xml:space="preserve"> liquid product </w:t>
            </w:r>
            <w:r w:rsidRPr="000462C9">
              <w:t xml:space="preserve">(paras. </w:t>
            </w:r>
            <w:r w:rsidRPr="000462C9">
              <w:fldChar w:fldCharType="begin"/>
            </w:r>
            <w:r w:rsidRPr="000462C9">
              <w:instrText xml:space="preserve"> REF _Ref212833623 \r \h </w:instrText>
            </w:r>
            <w:r>
              <w:instrText xml:space="preserve"> \* MERGEFORMAT </w:instrText>
            </w:r>
            <w:r w:rsidRPr="000462C9">
              <w:fldChar w:fldCharType="separate"/>
            </w:r>
            <w:r w:rsidR="002C0C2A">
              <w:t>45</w:t>
            </w:r>
            <w:r w:rsidRPr="000462C9">
              <w:fldChar w:fldCharType="end"/>
            </w:r>
            <w:r w:rsidRPr="000462C9">
              <w:t xml:space="preserve"> </w:t>
            </w:r>
            <w:r w:rsidRPr="000462C9">
              <w:t>–</w:t>
            </w:r>
            <w:r w:rsidRPr="000462C9">
              <w:t xml:space="preserve"> </w:t>
            </w:r>
            <w:r w:rsidRPr="000462C9">
              <w:fldChar w:fldCharType="begin"/>
            </w:r>
            <w:r w:rsidRPr="000462C9">
              <w:instrText xml:space="preserve"> REF _Ref212833626 \r \h </w:instrText>
            </w:r>
            <w:r>
              <w:instrText xml:space="preserve"> \* MERGEFORMAT </w:instrText>
            </w:r>
            <w:r w:rsidRPr="000462C9">
              <w:fldChar w:fldCharType="separate"/>
            </w:r>
            <w:r w:rsidR="002C0C2A">
              <w:t>47</w:t>
            </w:r>
            <w:r w:rsidRPr="000462C9">
              <w:fldChar w:fldCharType="end"/>
            </w:r>
            <w:r w:rsidRPr="000462C9">
              <w:t>)</w:t>
            </w:r>
          </w:p>
        </w:tc>
      </w:tr>
      <w:tr w:rsidR="008E67EA" w14:paraId="6D28E1F5" w14:textId="77777777" w:rsidTr="0071188C">
        <w:tblPrEx>
          <w:shd w:val="clear" w:color="auto" w:fill="auto"/>
        </w:tblPrEx>
        <w:tc>
          <w:tcPr>
            <w:tcW w:w="625" w:type="pct"/>
          </w:tcPr>
          <w:p w14:paraId="560F81BA" w14:textId="77777777" w:rsidR="008E67EA" w:rsidRPr="00C84EC7" w:rsidRDefault="008E67EA" w:rsidP="00B44A74">
            <w:pPr>
              <w:pStyle w:val="GazetteTableText"/>
              <w:rPr>
                <w:color w:val="000000" w:themeColor="text1"/>
              </w:rPr>
            </w:pPr>
            <w:bookmarkStart w:id="363" w:name="_Hlk211338185"/>
            <w:r w:rsidRPr="00C84EC7">
              <w:rPr>
                <w:color w:val="000000" w:themeColor="text1"/>
              </w:rPr>
              <w:t>Coumatetralyl</w:t>
            </w:r>
          </w:p>
        </w:tc>
        <w:tc>
          <w:tcPr>
            <w:tcW w:w="600" w:type="pct"/>
          </w:tcPr>
          <w:p w14:paraId="2BF09044" w14:textId="77777777" w:rsidR="008E67EA" w:rsidRPr="00C84EC7" w:rsidRDefault="008E67EA" w:rsidP="00B44A74">
            <w:pPr>
              <w:pStyle w:val="GazetteTableText"/>
              <w:rPr>
                <w:color w:val="000000" w:themeColor="text1"/>
              </w:rPr>
            </w:pPr>
            <w:r w:rsidRPr="00C84EC7">
              <w:rPr>
                <w:color w:val="000000" w:themeColor="text1"/>
              </w:rPr>
              <w:t>42040</w:t>
            </w:r>
          </w:p>
        </w:tc>
        <w:tc>
          <w:tcPr>
            <w:tcW w:w="981" w:type="pct"/>
          </w:tcPr>
          <w:p w14:paraId="46DB566C" w14:textId="77777777" w:rsidR="008E67EA" w:rsidRPr="00C84EC7" w:rsidRDefault="008E67EA" w:rsidP="00B44A74">
            <w:pPr>
              <w:pStyle w:val="GazetteTableText"/>
              <w:rPr>
                <w:color w:val="000000" w:themeColor="text1"/>
              </w:rPr>
            </w:pPr>
            <w:r w:rsidRPr="00C84EC7">
              <w:rPr>
                <w:color w:val="000000" w:themeColor="text1"/>
              </w:rPr>
              <w:t>Readi Rac Rat &amp; Mouse Killer</w:t>
            </w:r>
          </w:p>
        </w:tc>
        <w:tc>
          <w:tcPr>
            <w:tcW w:w="883" w:type="pct"/>
          </w:tcPr>
          <w:p w14:paraId="678F3F47" w14:textId="77777777" w:rsidR="008E67EA" w:rsidRPr="00C84EC7" w:rsidRDefault="008E67EA" w:rsidP="00B44A74">
            <w:pPr>
              <w:pStyle w:val="GazetteTableText"/>
              <w:rPr>
                <w:color w:val="000000" w:themeColor="text1"/>
              </w:rPr>
            </w:pPr>
            <w:r w:rsidRPr="00C84EC7">
              <w:rPr>
                <w:color w:val="000000" w:themeColor="text1"/>
              </w:rPr>
              <w:t>David Gray &amp; Co. Pty Limited</w:t>
            </w:r>
          </w:p>
        </w:tc>
        <w:tc>
          <w:tcPr>
            <w:tcW w:w="884" w:type="pct"/>
          </w:tcPr>
          <w:p w14:paraId="7D7B8305" w14:textId="77777777" w:rsidR="008E67EA" w:rsidRPr="00C84EC7" w:rsidRDefault="008E67EA" w:rsidP="00B44A74">
            <w:pPr>
              <w:pStyle w:val="GazetteTableText"/>
              <w:rPr>
                <w:color w:val="000000" w:themeColor="text1"/>
              </w:rPr>
            </w:pPr>
            <w:r w:rsidRPr="00C84EC7">
              <w:rPr>
                <w:color w:val="000000" w:themeColor="text1"/>
              </w:rPr>
              <w:t>42040/0702</w:t>
            </w:r>
          </w:p>
        </w:tc>
        <w:tc>
          <w:tcPr>
            <w:tcW w:w="1027" w:type="pct"/>
          </w:tcPr>
          <w:p w14:paraId="065E5D2B" w14:textId="72E14F20" w:rsidR="008E67EA" w:rsidRPr="00C84EC7" w:rsidRDefault="008E67EA" w:rsidP="00B44A74">
            <w:pPr>
              <w:pStyle w:val="GazetteTableText"/>
              <w:rPr>
                <w:color w:val="000000" w:themeColor="text1"/>
              </w:rPr>
            </w:pPr>
            <w:r>
              <w:t xml:space="preserve">Formulation does not contain a bittering agent </w:t>
            </w:r>
            <w:r w:rsidRPr="000462C9">
              <w:t xml:space="preserve">(paras. </w:t>
            </w:r>
            <w:r w:rsidRPr="000462C9">
              <w:fldChar w:fldCharType="begin"/>
            </w:r>
            <w:r w:rsidRPr="000462C9">
              <w:instrText xml:space="preserve"> REF _Ref212833471 \r \h </w:instrText>
            </w:r>
            <w:r>
              <w:instrText xml:space="preserve"> \* MERGEFORMAT </w:instrText>
            </w:r>
            <w:r w:rsidRPr="000462C9">
              <w:fldChar w:fldCharType="separate"/>
            </w:r>
            <w:r w:rsidR="002C0C2A">
              <w:t>41</w:t>
            </w:r>
            <w:r w:rsidRPr="000462C9">
              <w:fldChar w:fldCharType="end"/>
            </w:r>
            <w:r w:rsidRPr="000462C9">
              <w:t xml:space="preserve"> </w:t>
            </w:r>
            <w:r w:rsidRPr="000462C9">
              <w:t>–</w:t>
            </w:r>
            <w:r w:rsidRPr="000462C9">
              <w:t xml:space="preserve"> </w:t>
            </w:r>
            <w:r w:rsidRPr="000462C9">
              <w:fldChar w:fldCharType="begin"/>
            </w:r>
            <w:r w:rsidRPr="000462C9">
              <w:instrText xml:space="preserve"> REF _Ref212833475 \r \h </w:instrText>
            </w:r>
            <w:r>
              <w:instrText xml:space="preserve"> \* MERGEFORMAT </w:instrText>
            </w:r>
            <w:r w:rsidRPr="000462C9">
              <w:fldChar w:fldCharType="separate"/>
            </w:r>
            <w:r w:rsidR="002C0C2A">
              <w:t>44</w:t>
            </w:r>
            <w:r w:rsidRPr="000462C9">
              <w:fldChar w:fldCharType="end"/>
            </w:r>
            <w:r w:rsidRPr="000462C9">
              <w:t>)</w:t>
            </w:r>
          </w:p>
        </w:tc>
      </w:tr>
      <w:bookmarkEnd w:id="363"/>
      <w:tr w:rsidR="008E67EA" w14:paraId="7D59FEE9" w14:textId="77777777" w:rsidTr="0071188C">
        <w:tblPrEx>
          <w:shd w:val="clear" w:color="auto" w:fill="auto"/>
        </w:tblPrEx>
        <w:tc>
          <w:tcPr>
            <w:tcW w:w="625" w:type="pct"/>
          </w:tcPr>
          <w:p w14:paraId="54715BB4" w14:textId="77777777" w:rsidR="008E67EA" w:rsidRPr="00C84EC7" w:rsidRDefault="008E67EA" w:rsidP="00B44A74">
            <w:pPr>
              <w:pStyle w:val="GazetteTableText"/>
              <w:rPr>
                <w:color w:val="000000" w:themeColor="text1"/>
              </w:rPr>
            </w:pPr>
            <w:r w:rsidRPr="00C84EC7">
              <w:rPr>
                <w:color w:val="000000" w:themeColor="text1"/>
              </w:rPr>
              <w:t>Coumatetralyl</w:t>
            </w:r>
          </w:p>
        </w:tc>
        <w:tc>
          <w:tcPr>
            <w:tcW w:w="600" w:type="pct"/>
          </w:tcPr>
          <w:p w14:paraId="1BD7F138" w14:textId="77777777" w:rsidR="008E67EA" w:rsidRPr="00C84EC7" w:rsidRDefault="008E67EA" w:rsidP="00B44A74">
            <w:pPr>
              <w:pStyle w:val="GazetteTableText"/>
              <w:rPr>
                <w:color w:val="000000" w:themeColor="text1"/>
              </w:rPr>
            </w:pPr>
            <w:r w:rsidRPr="00C84EC7">
              <w:rPr>
                <w:color w:val="000000" w:themeColor="text1"/>
              </w:rPr>
              <w:t>49256</w:t>
            </w:r>
          </w:p>
        </w:tc>
        <w:tc>
          <w:tcPr>
            <w:tcW w:w="981" w:type="pct"/>
          </w:tcPr>
          <w:p w14:paraId="464DA93D" w14:textId="77777777" w:rsidR="008E67EA" w:rsidRPr="00C84EC7" w:rsidRDefault="008E67EA" w:rsidP="00B44A74">
            <w:pPr>
              <w:pStyle w:val="GazetteTableText"/>
              <w:rPr>
                <w:color w:val="000000" w:themeColor="text1"/>
              </w:rPr>
            </w:pPr>
            <w:r w:rsidRPr="00C84EC7">
              <w:rPr>
                <w:color w:val="000000" w:themeColor="text1"/>
                <w:lang w:val="en-AU"/>
              </w:rPr>
              <w:t>Ratex Mouse and Rat Bait</w:t>
            </w:r>
          </w:p>
        </w:tc>
        <w:tc>
          <w:tcPr>
            <w:tcW w:w="883" w:type="pct"/>
          </w:tcPr>
          <w:p w14:paraId="2C627655" w14:textId="77777777" w:rsidR="008E67EA" w:rsidRPr="00C84EC7" w:rsidRDefault="008E67EA" w:rsidP="00B44A74">
            <w:pPr>
              <w:pStyle w:val="GazetteTableText"/>
              <w:rPr>
                <w:color w:val="000000" w:themeColor="text1"/>
              </w:rPr>
            </w:pPr>
            <w:r w:rsidRPr="00C84EC7">
              <w:rPr>
                <w:color w:val="000000" w:themeColor="text1"/>
              </w:rPr>
              <w:t>Parafarm Pty Ltd</w:t>
            </w:r>
          </w:p>
        </w:tc>
        <w:tc>
          <w:tcPr>
            <w:tcW w:w="884" w:type="pct"/>
          </w:tcPr>
          <w:p w14:paraId="5862674E" w14:textId="77777777" w:rsidR="008E67EA" w:rsidRPr="00C84EC7" w:rsidRDefault="008E67EA" w:rsidP="00B44A74">
            <w:pPr>
              <w:pStyle w:val="GazetteTableText"/>
              <w:rPr>
                <w:color w:val="000000" w:themeColor="text1"/>
              </w:rPr>
            </w:pPr>
            <w:r w:rsidRPr="00C84EC7">
              <w:rPr>
                <w:color w:val="000000" w:themeColor="text1"/>
                <w:lang w:val="en-AU"/>
              </w:rPr>
              <w:t>49256/01, 49256/0101, 49256/0402, 49256/0206, 49256/52077</w:t>
            </w:r>
          </w:p>
        </w:tc>
        <w:tc>
          <w:tcPr>
            <w:tcW w:w="1027" w:type="pct"/>
          </w:tcPr>
          <w:p w14:paraId="5221FFAA" w14:textId="051232DE" w:rsidR="008E67EA" w:rsidRPr="00C84EC7" w:rsidRDefault="008E67EA" w:rsidP="00B44A74">
            <w:pPr>
              <w:pStyle w:val="GazetteTableText"/>
              <w:rPr>
                <w:color w:val="000000" w:themeColor="text1"/>
                <w:lang w:val="en-AU"/>
              </w:rPr>
            </w:pPr>
            <w:r>
              <w:t xml:space="preserve">Formulation does not contain a bittering agent </w:t>
            </w:r>
            <w:r w:rsidRPr="000462C9">
              <w:t xml:space="preserve">(paras. </w:t>
            </w:r>
            <w:r w:rsidRPr="000462C9">
              <w:fldChar w:fldCharType="begin"/>
            </w:r>
            <w:r w:rsidRPr="000462C9">
              <w:instrText xml:space="preserve"> REF _Ref212833471 \r \h </w:instrText>
            </w:r>
            <w:r>
              <w:instrText xml:space="preserve"> \* MERGEFORMAT </w:instrText>
            </w:r>
            <w:r w:rsidRPr="000462C9">
              <w:fldChar w:fldCharType="separate"/>
            </w:r>
            <w:r w:rsidR="002C0C2A">
              <w:t>41</w:t>
            </w:r>
            <w:r w:rsidRPr="000462C9">
              <w:fldChar w:fldCharType="end"/>
            </w:r>
            <w:r w:rsidRPr="000462C9">
              <w:t xml:space="preserve"> </w:t>
            </w:r>
            <w:r w:rsidRPr="000462C9">
              <w:t>–</w:t>
            </w:r>
            <w:r w:rsidRPr="000462C9">
              <w:t xml:space="preserve"> </w:t>
            </w:r>
            <w:r w:rsidRPr="000462C9">
              <w:fldChar w:fldCharType="begin"/>
            </w:r>
            <w:r w:rsidRPr="000462C9">
              <w:instrText xml:space="preserve"> REF _Ref212833475 \r \h </w:instrText>
            </w:r>
            <w:r>
              <w:instrText xml:space="preserve"> \* MERGEFORMAT </w:instrText>
            </w:r>
            <w:r w:rsidRPr="000462C9">
              <w:fldChar w:fldCharType="separate"/>
            </w:r>
            <w:r w:rsidR="002C0C2A">
              <w:t>44</w:t>
            </w:r>
            <w:r w:rsidRPr="000462C9">
              <w:fldChar w:fldCharType="end"/>
            </w:r>
            <w:r w:rsidRPr="000462C9">
              <w:t>)</w:t>
            </w:r>
          </w:p>
        </w:tc>
      </w:tr>
      <w:tr w:rsidR="008E67EA" w14:paraId="67919F47" w14:textId="77777777" w:rsidTr="0071188C">
        <w:tc>
          <w:tcPr>
            <w:tcW w:w="625" w:type="pct"/>
          </w:tcPr>
          <w:p w14:paraId="00952EE7" w14:textId="77777777" w:rsidR="008E67EA" w:rsidRDefault="008E67EA" w:rsidP="00B44A74">
            <w:pPr>
              <w:pStyle w:val="GazetteTableText"/>
            </w:pPr>
            <w:r>
              <w:t>C</w:t>
            </w:r>
            <w:r w:rsidRPr="00001A49">
              <w:t>oumatetralyl</w:t>
            </w:r>
          </w:p>
        </w:tc>
        <w:tc>
          <w:tcPr>
            <w:tcW w:w="600" w:type="pct"/>
          </w:tcPr>
          <w:p w14:paraId="763509F0" w14:textId="77777777" w:rsidR="008E67EA" w:rsidRPr="00997ECB" w:rsidRDefault="008E67EA" w:rsidP="00B44A74">
            <w:pPr>
              <w:pStyle w:val="GazetteTableText"/>
            </w:pPr>
            <w:r w:rsidRPr="00D25E40">
              <w:t>52182</w:t>
            </w:r>
          </w:p>
        </w:tc>
        <w:tc>
          <w:tcPr>
            <w:tcW w:w="981" w:type="pct"/>
          </w:tcPr>
          <w:p w14:paraId="6BCB3AF7" w14:textId="77777777" w:rsidR="008E67EA" w:rsidRPr="00997ECB" w:rsidRDefault="008E67EA" w:rsidP="00B44A74">
            <w:pPr>
              <w:pStyle w:val="GazetteTableText"/>
            </w:pPr>
            <w:r w:rsidRPr="00D25E40">
              <w:t>Racumin 8 Rat and Mouse Rodenticide</w:t>
            </w:r>
          </w:p>
        </w:tc>
        <w:tc>
          <w:tcPr>
            <w:tcW w:w="883" w:type="pct"/>
          </w:tcPr>
          <w:p w14:paraId="6EA207FE" w14:textId="77777777" w:rsidR="008E67EA" w:rsidRPr="00997ECB" w:rsidRDefault="008E67EA" w:rsidP="00B44A74">
            <w:pPr>
              <w:pStyle w:val="GazetteTableText"/>
            </w:pPr>
            <w:r w:rsidRPr="00D25E40">
              <w:t>2022 Environmental Science Au Pty Ltd</w:t>
            </w:r>
          </w:p>
        </w:tc>
        <w:tc>
          <w:tcPr>
            <w:tcW w:w="884" w:type="pct"/>
          </w:tcPr>
          <w:p w14:paraId="59199BA0" w14:textId="77777777" w:rsidR="008E67EA" w:rsidRPr="00997ECB" w:rsidRDefault="008E67EA" w:rsidP="00B44A74">
            <w:pPr>
              <w:pStyle w:val="GazetteTableText"/>
            </w:pPr>
            <w:r w:rsidRPr="00D25E40">
              <w:t>52182/148185, 52182/0704, 52182/1099</w:t>
            </w:r>
          </w:p>
        </w:tc>
        <w:tc>
          <w:tcPr>
            <w:tcW w:w="1027" w:type="pct"/>
          </w:tcPr>
          <w:p w14:paraId="467428CF" w14:textId="43069ADA" w:rsidR="008E67EA" w:rsidRDefault="008E67EA" w:rsidP="00B44A74">
            <w:pPr>
              <w:pStyle w:val="GazetteTableText"/>
            </w:pPr>
            <w:r>
              <w:t xml:space="preserve">Bait concentrate </w:t>
            </w:r>
            <w:r>
              <w:t>–</w:t>
            </w:r>
            <w:r>
              <w:t xml:space="preserve"> powder product </w:t>
            </w:r>
            <w:r w:rsidRPr="000462C9">
              <w:t xml:space="preserve">(paras. </w:t>
            </w:r>
            <w:r w:rsidRPr="000462C9">
              <w:fldChar w:fldCharType="begin"/>
            </w:r>
            <w:r w:rsidRPr="000462C9">
              <w:instrText xml:space="preserve"> REF _Ref212833623 \r \h </w:instrText>
            </w:r>
            <w:r>
              <w:instrText xml:space="preserve"> \* MERGEFORMAT </w:instrText>
            </w:r>
            <w:r w:rsidRPr="000462C9">
              <w:fldChar w:fldCharType="separate"/>
            </w:r>
            <w:r w:rsidR="002C0C2A">
              <w:t>45</w:t>
            </w:r>
            <w:r w:rsidRPr="000462C9">
              <w:fldChar w:fldCharType="end"/>
            </w:r>
            <w:r w:rsidRPr="000462C9">
              <w:t xml:space="preserve"> </w:t>
            </w:r>
            <w:r w:rsidRPr="000462C9">
              <w:t>–</w:t>
            </w:r>
            <w:r w:rsidRPr="000462C9">
              <w:t xml:space="preserve"> </w:t>
            </w:r>
            <w:r w:rsidRPr="000462C9">
              <w:fldChar w:fldCharType="begin"/>
            </w:r>
            <w:r w:rsidRPr="000462C9">
              <w:instrText xml:space="preserve"> REF _Ref212833626 \r \h </w:instrText>
            </w:r>
            <w:r>
              <w:instrText xml:space="preserve"> \* MERGEFORMAT </w:instrText>
            </w:r>
            <w:r w:rsidRPr="000462C9">
              <w:fldChar w:fldCharType="separate"/>
            </w:r>
            <w:r w:rsidR="002C0C2A">
              <w:t>47</w:t>
            </w:r>
            <w:r w:rsidRPr="000462C9">
              <w:fldChar w:fldCharType="end"/>
            </w:r>
            <w:r w:rsidRPr="000462C9">
              <w:t>)</w:t>
            </w:r>
          </w:p>
          <w:p w14:paraId="714E6550" w14:textId="4BA78948" w:rsidR="008E67EA" w:rsidRPr="00D25E40" w:rsidRDefault="008E67EA" w:rsidP="00B44A74">
            <w:pPr>
              <w:pStyle w:val="GazetteTableText"/>
            </w:pPr>
            <w:r>
              <w:t xml:space="preserve">Formulation does not contain a bittering agent </w:t>
            </w:r>
            <w:r w:rsidRPr="000462C9">
              <w:t xml:space="preserve">(paras. </w:t>
            </w:r>
            <w:r w:rsidRPr="000462C9">
              <w:fldChar w:fldCharType="begin"/>
            </w:r>
            <w:r w:rsidRPr="000462C9">
              <w:instrText xml:space="preserve"> REF _Ref212833471 \r \h </w:instrText>
            </w:r>
            <w:r>
              <w:instrText xml:space="preserve"> \* MERGEFORMAT </w:instrText>
            </w:r>
            <w:r w:rsidRPr="000462C9">
              <w:fldChar w:fldCharType="separate"/>
            </w:r>
            <w:r w:rsidR="002C0C2A">
              <w:t>41</w:t>
            </w:r>
            <w:r w:rsidRPr="000462C9">
              <w:fldChar w:fldCharType="end"/>
            </w:r>
            <w:r w:rsidRPr="000462C9">
              <w:t xml:space="preserve"> </w:t>
            </w:r>
            <w:r w:rsidRPr="000462C9">
              <w:t>–</w:t>
            </w:r>
            <w:r w:rsidRPr="000462C9">
              <w:t xml:space="preserve"> </w:t>
            </w:r>
            <w:r w:rsidRPr="000462C9">
              <w:fldChar w:fldCharType="begin"/>
            </w:r>
            <w:r w:rsidRPr="000462C9">
              <w:instrText xml:space="preserve"> REF _Ref212833475 \r \h </w:instrText>
            </w:r>
            <w:r>
              <w:instrText xml:space="preserve"> \* MERGEFORMAT </w:instrText>
            </w:r>
            <w:r w:rsidRPr="000462C9">
              <w:fldChar w:fldCharType="separate"/>
            </w:r>
            <w:r w:rsidR="002C0C2A">
              <w:t>44</w:t>
            </w:r>
            <w:r w:rsidRPr="000462C9">
              <w:fldChar w:fldCharType="end"/>
            </w:r>
            <w:r w:rsidRPr="000462C9">
              <w:t>)</w:t>
            </w:r>
          </w:p>
        </w:tc>
      </w:tr>
      <w:tr w:rsidR="008E67EA" w14:paraId="7E194C70" w14:textId="77777777" w:rsidTr="0071188C">
        <w:tc>
          <w:tcPr>
            <w:tcW w:w="625" w:type="pct"/>
          </w:tcPr>
          <w:p w14:paraId="58985250" w14:textId="77777777" w:rsidR="008E67EA" w:rsidRDefault="008E67EA" w:rsidP="00B44A74">
            <w:pPr>
              <w:pStyle w:val="GazetteTableText"/>
            </w:pPr>
            <w:r>
              <w:t>C</w:t>
            </w:r>
            <w:r w:rsidRPr="00001A49">
              <w:t>oumatetralyl</w:t>
            </w:r>
          </w:p>
        </w:tc>
        <w:tc>
          <w:tcPr>
            <w:tcW w:w="600" w:type="pct"/>
          </w:tcPr>
          <w:p w14:paraId="669ABA00" w14:textId="77777777" w:rsidR="008E67EA" w:rsidRPr="00997ECB" w:rsidRDefault="008E67EA" w:rsidP="00B44A74">
            <w:pPr>
              <w:pStyle w:val="GazetteTableText"/>
            </w:pPr>
            <w:r w:rsidRPr="00997ECB">
              <w:t>86417</w:t>
            </w:r>
          </w:p>
        </w:tc>
        <w:tc>
          <w:tcPr>
            <w:tcW w:w="981" w:type="pct"/>
          </w:tcPr>
          <w:p w14:paraId="58DE8444" w14:textId="77777777" w:rsidR="008E67EA" w:rsidRPr="00997ECB" w:rsidRDefault="008E67EA" w:rsidP="00B44A74">
            <w:pPr>
              <w:pStyle w:val="GazetteTableText"/>
            </w:pPr>
            <w:r w:rsidRPr="00997ECB">
              <w:t>Racumin TP Rat and Mouse Rodenticide</w:t>
            </w:r>
          </w:p>
        </w:tc>
        <w:tc>
          <w:tcPr>
            <w:tcW w:w="883" w:type="pct"/>
          </w:tcPr>
          <w:p w14:paraId="6B84FE9D" w14:textId="77777777" w:rsidR="008E67EA" w:rsidRPr="00997ECB" w:rsidRDefault="008E67EA" w:rsidP="00B44A74">
            <w:pPr>
              <w:pStyle w:val="GazetteTableText"/>
            </w:pPr>
            <w:r w:rsidRPr="00997ECB">
              <w:t>2022 Environmental Science Au Pty Ltd</w:t>
            </w:r>
          </w:p>
        </w:tc>
        <w:tc>
          <w:tcPr>
            <w:tcW w:w="884" w:type="pct"/>
          </w:tcPr>
          <w:p w14:paraId="6828CC09" w14:textId="77777777" w:rsidR="008E67EA" w:rsidRPr="00997ECB" w:rsidRDefault="008E67EA" w:rsidP="00B44A74">
            <w:pPr>
              <w:pStyle w:val="GazetteTableText"/>
            </w:pPr>
            <w:r w:rsidRPr="00997ECB">
              <w:t>86417/115726</w:t>
            </w:r>
          </w:p>
        </w:tc>
        <w:tc>
          <w:tcPr>
            <w:tcW w:w="1027" w:type="pct"/>
          </w:tcPr>
          <w:p w14:paraId="002870FB" w14:textId="7182C30C" w:rsidR="008E67EA" w:rsidRDefault="008E67EA" w:rsidP="00B44A74">
            <w:pPr>
              <w:pStyle w:val="GazetteTableText"/>
            </w:pPr>
            <w:r>
              <w:t xml:space="preserve">Bait concentrate </w:t>
            </w:r>
            <w:r>
              <w:t>–</w:t>
            </w:r>
            <w:r>
              <w:t xml:space="preserve"> powder product </w:t>
            </w:r>
            <w:r w:rsidRPr="000462C9">
              <w:t xml:space="preserve">(paras. </w:t>
            </w:r>
            <w:r w:rsidRPr="000462C9">
              <w:fldChar w:fldCharType="begin"/>
            </w:r>
            <w:r w:rsidRPr="000462C9">
              <w:instrText xml:space="preserve"> REF _Ref212833623 \r \h </w:instrText>
            </w:r>
            <w:r>
              <w:instrText xml:space="preserve"> \* MERGEFORMAT </w:instrText>
            </w:r>
            <w:r w:rsidRPr="000462C9">
              <w:fldChar w:fldCharType="separate"/>
            </w:r>
            <w:r w:rsidR="002C0C2A">
              <w:t>45</w:t>
            </w:r>
            <w:r w:rsidRPr="000462C9">
              <w:fldChar w:fldCharType="end"/>
            </w:r>
            <w:r w:rsidRPr="000462C9">
              <w:t xml:space="preserve"> </w:t>
            </w:r>
            <w:r w:rsidRPr="000462C9">
              <w:t>–</w:t>
            </w:r>
            <w:r w:rsidRPr="000462C9">
              <w:t xml:space="preserve"> </w:t>
            </w:r>
            <w:r w:rsidRPr="000462C9">
              <w:fldChar w:fldCharType="begin"/>
            </w:r>
            <w:r w:rsidRPr="000462C9">
              <w:instrText xml:space="preserve"> REF _Ref212833626 \r \h </w:instrText>
            </w:r>
            <w:r>
              <w:instrText xml:space="preserve"> \* MERGEFORMAT </w:instrText>
            </w:r>
            <w:r w:rsidRPr="000462C9">
              <w:fldChar w:fldCharType="separate"/>
            </w:r>
            <w:r w:rsidR="002C0C2A">
              <w:t>47</w:t>
            </w:r>
            <w:r w:rsidRPr="000462C9">
              <w:fldChar w:fldCharType="end"/>
            </w:r>
            <w:r w:rsidRPr="000462C9">
              <w:t>)</w:t>
            </w:r>
          </w:p>
          <w:p w14:paraId="2A82FC64" w14:textId="0CA0BA25" w:rsidR="008E67EA" w:rsidRPr="00997ECB" w:rsidRDefault="008E67EA" w:rsidP="00B44A74">
            <w:pPr>
              <w:pStyle w:val="GazetteTableText"/>
            </w:pPr>
            <w:r>
              <w:t xml:space="preserve">Formulation does not contain a bittering agent </w:t>
            </w:r>
            <w:r w:rsidRPr="000462C9">
              <w:t xml:space="preserve">(paras. </w:t>
            </w:r>
            <w:r w:rsidRPr="000462C9">
              <w:fldChar w:fldCharType="begin"/>
            </w:r>
            <w:r w:rsidRPr="000462C9">
              <w:instrText xml:space="preserve"> REF _Ref212833471 \r \h </w:instrText>
            </w:r>
            <w:r>
              <w:instrText xml:space="preserve"> \* MERGEFORMAT </w:instrText>
            </w:r>
            <w:r w:rsidRPr="000462C9">
              <w:fldChar w:fldCharType="separate"/>
            </w:r>
            <w:r w:rsidR="002C0C2A">
              <w:t>41</w:t>
            </w:r>
            <w:r w:rsidRPr="000462C9">
              <w:fldChar w:fldCharType="end"/>
            </w:r>
            <w:r w:rsidRPr="000462C9">
              <w:t xml:space="preserve"> </w:t>
            </w:r>
            <w:r w:rsidRPr="000462C9">
              <w:t>–</w:t>
            </w:r>
            <w:r w:rsidRPr="000462C9">
              <w:t xml:space="preserve"> </w:t>
            </w:r>
            <w:r w:rsidRPr="000462C9">
              <w:fldChar w:fldCharType="begin"/>
            </w:r>
            <w:r w:rsidRPr="000462C9">
              <w:instrText xml:space="preserve"> REF _Ref212833475 \r \h </w:instrText>
            </w:r>
            <w:r>
              <w:instrText xml:space="preserve"> \* MERGEFORMAT </w:instrText>
            </w:r>
            <w:r w:rsidRPr="000462C9">
              <w:fldChar w:fldCharType="separate"/>
            </w:r>
            <w:r w:rsidR="002C0C2A">
              <w:t>44</w:t>
            </w:r>
            <w:r w:rsidRPr="000462C9">
              <w:fldChar w:fldCharType="end"/>
            </w:r>
            <w:r w:rsidRPr="000462C9">
              <w:t>)</w:t>
            </w:r>
          </w:p>
        </w:tc>
      </w:tr>
      <w:tr w:rsidR="008E67EA" w14:paraId="479EB9E4" w14:textId="77777777" w:rsidTr="0071188C">
        <w:tblPrEx>
          <w:shd w:val="clear" w:color="auto" w:fill="auto"/>
        </w:tblPrEx>
        <w:tc>
          <w:tcPr>
            <w:tcW w:w="625" w:type="pct"/>
          </w:tcPr>
          <w:p w14:paraId="2B96512F" w14:textId="77777777" w:rsidR="008E67EA" w:rsidRPr="00C84EC7" w:rsidRDefault="008E67EA" w:rsidP="00B44A74">
            <w:pPr>
              <w:pStyle w:val="GazetteTableText"/>
              <w:rPr>
                <w:color w:val="000000" w:themeColor="text1"/>
              </w:rPr>
            </w:pPr>
            <w:r w:rsidRPr="00C84EC7">
              <w:rPr>
                <w:color w:val="000000" w:themeColor="text1"/>
              </w:rPr>
              <w:t>Difenacoum</w:t>
            </w:r>
          </w:p>
        </w:tc>
        <w:tc>
          <w:tcPr>
            <w:tcW w:w="600" w:type="pct"/>
          </w:tcPr>
          <w:p w14:paraId="40B55283" w14:textId="77777777" w:rsidR="008E67EA" w:rsidRPr="00C84EC7" w:rsidRDefault="008E67EA" w:rsidP="00B44A74">
            <w:pPr>
              <w:pStyle w:val="GazetteTableText"/>
              <w:rPr>
                <w:color w:val="000000" w:themeColor="text1"/>
              </w:rPr>
            </w:pPr>
            <w:r w:rsidRPr="00C84EC7">
              <w:rPr>
                <w:color w:val="000000" w:themeColor="text1"/>
              </w:rPr>
              <w:t>65672</w:t>
            </w:r>
          </w:p>
        </w:tc>
        <w:tc>
          <w:tcPr>
            <w:tcW w:w="981" w:type="pct"/>
          </w:tcPr>
          <w:p w14:paraId="072B4EA6" w14:textId="77777777" w:rsidR="008E67EA" w:rsidRPr="00C84EC7" w:rsidRDefault="008E67EA" w:rsidP="00B44A74">
            <w:pPr>
              <w:pStyle w:val="GazetteTableText"/>
              <w:rPr>
                <w:color w:val="000000" w:themeColor="text1"/>
              </w:rPr>
            </w:pPr>
            <w:r w:rsidRPr="00C84EC7">
              <w:rPr>
                <w:color w:val="000000" w:themeColor="text1"/>
              </w:rPr>
              <w:t>Rodemise Difenacoum Rodent Bait Blocks</w:t>
            </w:r>
          </w:p>
        </w:tc>
        <w:tc>
          <w:tcPr>
            <w:tcW w:w="883" w:type="pct"/>
          </w:tcPr>
          <w:p w14:paraId="2374EEBA" w14:textId="77777777" w:rsidR="008E67EA" w:rsidRPr="00C84EC7" w:rsidRDefault="008E67EA" w:rsidP="00B44A74">
            <w:pPr>
              <w:pStyle w:val="GazetteTableText"/>
              <w:rPr>
                <w:color w:val="000000" w:themeColor="text1"/>
              </w:rPr>
            </w:pPr>
            <w:r w:rsidRPr="00C84EC7">
              <w:rPr>
                <w:color w:val="000000" w:themeColor="text1"/>
              </w:rPr>
              <w:t>Animal Control Technologies (Australia) Pty Ltd</w:t>
            </w:r>
          </w:p>
        </w:tc>
        <w:tc>
          <w:tcPr>
            <w:tcW w:w="884" w:type="pct"/>
          </w:tcPr>
          <w:p w14:paraId="57F726CB" w14:textId="77777777" w:rsidR="008E67EA" w:rsidRPr="00C84EC7" w:rsidRDefault="008E67EA" w:rsidP="00B44A74">
            <w:pPr>
              <w:pStyle w:val="GazetteTableText"/>
              <w:rPr>
                <w:color w:val="000000" w:themeColor="text1"/>
              </w:rPr>
            </w:pPr>
            <w:r w:rsidRPr="00C84EC7">
              <w:rPr>
                <w:color w:val="000000" w:themeColor="text1"/>
              </w:rPr>
              <w:t>65672/51541</w:t>
            </w:r>
          </w:p>
        </w:tc>
        <w:tc>
          <w:tcPr>
            <w:tcW w:w="1027" w:type="pct"/>
          </w:tcPr>
          <w:p w14:paraId="3F980FB0" w14:textId="13FC3D4D" w:rsidR="008E67EA" w:rsidRPr="00C84EC7" w:rsidRDefault="008E67EA" w:rsidP="00B44A74">
            <w:pPr>
              <w:pStyle w:val="GazetteTableText"/>
              <w:rPr>
                <w:color w:val="000000" w:themeColor="text1"/>
              </w:rPr>
            </w:pPr>
            <w:r>
              <w:t xml:space="preserve">Formulation does not contain a bittering agent </w:t>
            </w:r>
            <w:r w:rsidRPr="000462C9">
              <w:t xml:space="preserve">(paras. </w:t>
            </w:r>
            <w:r w:rsidRPr="000462C9">
              <w:fldChar w:fldCharType="begin"/>
            </w:r>
            <w:r w:rsidRPr="000462C9">
              <w:instrText xml:space="preserve"> REF _Ref212833471 \r \h </w:instrText>
            </w:r>
            <w:r>
              <w:instrText xml:space="preserve"> \* MERGEFORMAT </w:instrText>
            </w:r>
            <w:r w:rsidRPr="000462C9">
              <w:fldChar w:fldCharType="separate"/>
            </w:r>
            <w:r w:rsidR="002C0C2A">
              <w:t>41</w:t>
            </w:r>
            <w:r w:rsidRPr="000462C9">
              <w:fldChar w:fldCharType="end"/>
            </w:r>
            <w:r w:rsidRPr="000462C9">
              <w:t xml:space="preserve"> </w:t>
            </w:r>
            <w:r w:rsidRPr="000462C9">
              <w:t>–</w:t>
            </w:r>
            <w:r w:rsidRPr="000462C9">
              <w:t xml:space="preserve"> </w:t>
            </w:r>
            <w:r w:rsidRPr="000462C9">
              <w:fldChar w:fldCharType="begin"/>
            </w:r>
            <w:r w:rsidRPr="000462C9">
              <w:instrText xml:space="preserve"> REF _Ref212833475 \r \h </w:instrText>
            </w:r>
            <w:r>
              <w:instrText xml:space="preserve"> \* MERGEFORMAT </w:instrText>
            </w:r>
            <w:r w:rsidRPr="000462C9">
              <w:fldChar w:fldCharType="separate"/>
            </w:r>
            <w:r w:rsidR="002C0C2A">
              <w:t>44</w:t>
            </w:r>
            <w:r w:rsidRPr="000462C9">
              <w:fldChar w:fldCharType="end"/>
            </w:r>
            <w:r w:rsidRPr="000462C9">
              <w:t>)</w:t>
            </w:r>
          </w:p>
        </w:tc>
      </w:tr>
      <w:tr w:rsidR="008E67EA" w14:paraId="437CF846" w14:textId="77777777" w:rsidTr="0071188C">
        <w:tblPrEx>
          <w:shd w:val="clear" w:color="auto" w:fill="auto"/>
        </w:tblPrEx>
        <w:tc>
          <w:tcPr>
            <w:tcW w:w="625" w:type="pct"/>
          </w:tcPr>
          <w:p w14:paraId="2F4E2956" w14:textId="77777777" w:rsidR="008E67EA" w:rsidRPr="00C84EC7" w:rsidRDefault="008E67EA" w:rsidP="00B44A74">
            <w:pPr>
              <w:pStyle w:val="GazetteTableText"/>
              <w:rPr>
                <w:color w:val="000000" w:themeColor="text1"/>
              </w:rPr>
            </w:pPr>
            <w:r w:rsidRPr="00C84EC7">
              <w:rPr>
                <w:color w:val="000000" w:themeColor="text1"/>
              </w:rPr>
              <w:t>Difenacoum</w:t>
            </w:r>
          </w:p>
        </w:tc>
        <w:tc>
          <w:tcPr>
            <w:tcW w:w="600" w:type="pct"/>
          </w:tcPr>
          <w:p w14:paraId="649482FC" w14:textId="77777777" w:rsidR="008E67EA" w:rsidRPr="00C84EC7" w:rsidRDefault="008E67EA" w:rsidP="00B44A74">
            <w:pPr>
              <w:pStyle w:val="GazetteTableText"/>
              <w:rPr>
                <w:color w:val="000000" w:themeColor="text1"/>
              </w:rPr>
            </w:pPr>
            <w:r w:rsidRPr="00C84EC7">
              <w:rPr>
                <w:color w:val="000000" w:themeColor="text1"/>
              </w:rPr>
              <w:t>85513</w:t>
            </w:r>
          </w:p>
        </w:tc>
        <w:tc>
          <w:tcPr>
            <w:tcW w:w="981" w:type="pct"/>
          </w:tcPr>
          <w:p w14:paraId="3071E6F9" w14:textId="77777777" w:rsidR="008E67EA" w:rsidRPr="00C84EC7" w:rsidRDefault="008E67EA" w:rsidP="00B44A74">
            <w:pPr>
              <w:pStyle w:val="GazetteTableText"/>
              <w:rPr>
                <w:color w:val="000000" w:themeColor="text1"/>
              </w:rPr>
            </w:pPr>
            <w:r w:rsidRPr="00C84EC7">
              <w:rPr>
                <w:color w:val="000000" w:themeColor="text1"/>
              </w:rPr>
              <w:t>Amgrow Patrol Rat &amp; Mouse Soft Bait Rodenticide</w:t>
            </w:r>
          </w:p>
        </w:tc>
        <w:tc>
          <w:tcPr>
            <w:tcW w:w="883" w:type="pct"/>
          </w:tcPr>
          <w:p w14:paraId="1CB6A7BD" w14:textId="77777777" w:rsidR="008E67EA" w:rsidRPr="00C84EC7" w:rsidRDefault="008E67EA" w:rsidP="00B44A74">
            <w:pPr>
              <w:pStyle w:val="GazetteTableText"/>
              <w:rPr>
                <w:color w:val="000000" w:themeColor="text1"/>
              </w:rPr>
            </w:pPr>
            <w:r w:rsidRPr="00C84EC7">
              <w:rPr>
                <w:color w:val="000000" w:themeColor="text1"/>
              </w:rPr>
              <w:t>Australian Agribusiness (Holdings) Pty Ltd</w:t>
            </w:r>
          </w:p>
        </w:tc>
        <w:tc>
          <w:tcPr>
            <w:tcW w:w="884" w:type="pct"/>
          </w:tcPr>
          <w:p w14:paraId="264DC9DD" w14:textId="77777777" w:rsidR="008E67EA" w:rsidRPr="00C84EC7" w:rsidRDefault="008E67EA" w:rsidP="00B44A74">
            <w:pPr>
              <w:pStyle w:val="GazetteTableText"/>
              <w:rPr>
                <w:color w:val="000000" w:themeColor="text1"/>
              </w:rPr>
            </w:pPr>
            <w:r w:rsidRPr="00C84EC7">
              <w:rPr>
                <w:color w:val="000000" w:themeColor="text1"/>
              </w:rPr>
              <w:t>85513/113487, 85513/115837</w:t>
            </w:r>
          </w:p>
        </w:tc>
        <w:tc>
          <w:tcPr>
            <w:tcW w:w="1027" w:type="pct"/>
          </w:tcPr>
          <w:p w14:paraId="1145F2B6" w14:textId="66D6F9D2" w:rsidR="008E67EA" w:rsidRPr="00C84EC7" w:rsidRDefault="008E67EA" w:rsidP="00B44A74">
            <w:pPr>
              <w:pStyle w:val="GazetteTableText"/>
              <w:rPr>
                <w:color w:val="000000" w:themeColor="text1"/>
              </w:rPr>
            </w:pPr>
            <w:r>
              <w:t xml:space="preserve">Formulation does not contain a dye </w:t>
            </w:r>
            <w:r w:rsidRPr="000462C9">
              <w:t xml:space="preserve">(paras. </w:t>
            </w:r>
            <w:r w:rsidRPr="000462C9">
              <w:fldChar w:fldCharType="begin"/>
            </w:r>
            <w:r w:rsidRPr="000462C9">
              <w:instrText xml:space="preserve"> REF _Ref212833471 \r \h </w:instrText>
            </w:r>
            <w:r>
              <w:instrText xml:space="preserve"> \* MERGEFORMAT </w:instrText>
            </w:r>
            <w:r w:rsidRPr="000462C9">
              <w:fldChar w:fldCharType="separate"/>
            </w:r>
            <w:r w:rsidR="002C0C2A">
              <w:t>41</w:t>
            </w:r>
            <w:r w:rsidRPr="000462C9">
              <w:fldChar w:fldCharType="end"/>
            </w:r>
            <w:r w:rsidRPr="000462C9">
              <w:t xml:space="preserve"> </w:t>
            </w:r>
            <w:r w:rsidRPr="000462C9">
              <w:t>–</w:t>
            </w:r>
            <w:r w:rsidRPr="000462C9">
              <w:t xml:space="preserve"> </w:t>
            </w:r>
            <w:r w:rsidRPr="000462C9">
              <w:fldChar w:fldCharType="begin"/>
            </w:r>
            <w:r w:rsidRPr="000462C9">
              <w:instrText xml:space="preserve"> REF _Ref212833475 \r \h </w:instrText>
            </w:r>
            <w:r>
              <w:instrText xml:space="preserve"> \* MERGEFORMAT </w:instrText>
            </w:r>
            <w:r w:rsidRPr="000462C9">
              <w:fldChar w:fldCharType="separate"/>
            </w:r>
            <w:r w:rsidR="002C0C2A">
              <w:t>44</w:t>
            </w:r>
            <w:r w:rsidRPr="000462C9">
              <w:fldChar w:fldCharType="end"/>
            </w:r>
            <w:r w:rsidRPr="000462C9">
              <w:t>)</w:t>
            </w:r>
          </w:p>
        </w:tc>
      </w:tr>
      <w:tr w:rsidR="008E67EA" w14:paraId="6C97998A" w14:textId="77777777" w:rsidTr="0071188C">
        <w:tblPrEx>
          <w:shd w:val="clear" w:color="auto" w:fill="auto"/>
        </w:tblPrEx>
        <w:tc>
          <w:tcPr>
            <w:tcW w:w="625" w:type="pct"/>
          </w:tcPr>
          <w:p w14:paraId="2C4D6C33" w14:textId="77777777" w:rsidR="008E67EA" w:rsidRPr="00C84EC7" w:rsidRDefault="008E67EA" w:rsidP="00B44A74">
            <w:pPr>
              <w:pStyle w:val="GazetteTableText"/>
              <w:rPr>
                <w:color w:val="000000" w:themeColor="text1"/>
              </w:rPr>
            </w:pPr>
            <w:r w:rsidRPr="00C84EC7">
              <w:rPr>
                <w:color w:val="000000" w:themeColor="text1"/>
              </w:rPr>
              <w:t>Diphacinone</w:t>
            </w:r>
          </w:p>
        </w:tc>
        <w:tc>
          <w:tcPr>
            <w:tcW w:w="600" w:type="pct"/>
          </w:tcPr>
          <w:p w14:paraId="313CA10B" w14:textId="77777777" w:rsidR="008E67EA" w:rsidRPr="00C84EC7" w:rsidRDefault="008E67EA" w:rsidP="00B44A74">
            <w:pPr>
              <w:pStyle w:val="GazetteTableText"/>
              <w:rPr>
                <w:color w:val="000000" w:themeColor="text1"/>
              </w:rPr>
            </w:pPr>
            <w:r w:rsidRPr="00C84EC7">
              <w:rPr>
                <w:color w:val="000000" w:themeColor="text1"/>
              </w:rPr>
              <w:t>54756</w:t>
            </w:r>
          </w:p>
        </w:tc>
        <w:tc>
          <w:tcPr>
            <w:tcW w:w="981" w:type="pct"/>
          </w:tcPr>
          <w:p w14:paraId="7DFAE587" w14:textId="77777777" w:rsidR="008E67EA" w:rsidRPr="00C84EC7" w:rsidRDefault="008E67EA" w:rsidP="00B44A74">
            <w:pPr>
              <w:pStyle w:val="GazetteTableText"/>
              <w:rPr>
                <w:color w:val="000000" w:themeColor="text1"/>
              </w:rPr>
            </w:pPr>
            <w:r w:rsidRPr="00C84EC7">
              <w:rPr>
                <w:color w:val="000000" w:themeColor="text1"/>
              </w:rPr>
              <w:t>RAMIK Green Bait Bits Rodenticide</w:t>
            </w:r>
          </w:p>
        </w:tc>
        <w:tc>
          <w:tcPr>
            <w:tcW w:w="883" w:type="pct"/>
          </w:tcPr>
          <w:p w14:paraId="1D4477A3" w14:textId="77777777" w:rsidR="008E67EA" w:rsidRPr="00C84EC7" w:rsidRDefault="008E67EA" w:rsidP="00B44A74">
            <w:pPr>
              <w:pStyle w:val="GazetteTableText"/>
              <w:rPr>
                <w:color w:val="000000" w:themeColor="text1"/>
              </w:rPr>
            </w:pPr>
            <w:r w:rsidRPr="00C84EC7">
              <w:rPr>
                <w:color w:val="000000" w:themeColor="text1"/>
              </w:rPr>
              <w:t>Neogen Australasia Pty Limited</w:t>
            </w:r>
          </w:p>
        </w:tc>
        <w:tc>
          <w:tcPr>
            <w:tcW w:w="884" w:type="pct"/>
          </w:tcPr>
          <w:p w14:paraId="66AE6AF9" w14:textId="77777777" w:rsidR="008E67EA" w:rsidRPr="00C84EC7" w:rsidRDefault="008E67EA" w:rsidP="00B44A74">
            <w:pPr>
              <w:pStyle w:val="GazetteTableText"/>
              <w:rPr>
                <w:color w:val="000000" w:themeColor="text1"/>
              </w:rPr>
            </w:pPr>
            <w:r w:rsidRPr="00C84EC7">
              <w:rPr>
                <w:color w:val="000000" w:themeColor="text1"/>
              </w:rPr>
              <w:t>54756/0106, 54756/0606, 54756/109643</w:t>
            </w:r>
          </w:p>
        </w:tc>
        <w:tc>
          <w:tcPr>
            <w:tcW w:w="1027" w:type="pct"/>
          </w:tcPr>
          <w:p w14:paraId="4C4ACC97" w14:textId="53A4A743" w:rsidR="008E67EA" w:rsidRPr="00C84EC7" w:rsidRDefault="008E67EA" w:rsidP="00B44A74">
            <w:pPr>
              <w:pStyle w:val="GazetteTableText"/>
              <w:rPr>
                <w:color w:val="000000" w:themeColor="text1"/>
              </w:rPr>
            </w:pPr>
            <w:r>
              <w:t xml:space="preserve">Formulation does not contain a bittering agent </w:t>
            </w:r>
            <w:r w:rsidRPr="000462C9">
              <w:t xml:space="preserve">(paras. </w:t>
            </w:r>
            <w:r w:rsidRPr="000462C9">
              <w:fldChar w:fldCharType="begin"/>
            </w:r>
            <w:r w:rsidRPr="000462C9">
              <w:instrText xml:space="preserve"> REF _Ref212833471 \r \h </w:instrText>
            </w:r>
            <w:r>
              <w:instrText xml:space="preserve"> \* MERGEFORMAT </w:instrText>
            </w:r>
            <w:r w:rsidRPr="000462C9">
              <w:fldChar w:fldCharType="separate"/>
            </w:r>
            <w:r w:rsidR="002C0C2A">
              <w:t>41</w:t>
            </w:r>
            <w:r w:rsidRPr="000462C9">
              <w:fldChar w:fldCharType="end"/>
            </w:r>
            <w:r w:rsidRPr="000462C9">
              <w:t xml:space="preserve"> </w:t>
            </w:r>
            <w:r w:rsidRPr="000462C9">
              <w:t>–</w:t>
            </w:r>
            <w:r w:rsidRPr="000462C9">
              <w:t xml:space="preserve"> </w:t>
            </w:r>
            <w:r w:rsidRPr="000462C9">
              <w:fldChar w:fldCharType="begin"/>
            </w:r>
            <w:r w:rsidRPr="000462C9">
              <w:instrText xml:space="preserve"> REF _Ref212833475 \r \h </w:instrText>
            </w:r>
            <w:r>
              <w:instrText xml:space="preserve"> \* MERGEFORMAT </w:instrText>
            </w:r>
            <w:r w:rsidRPr="000462C9">
              <w:fldChar w:fldCharType="separate"/>
            </w:r>
            <w:r w:rsidR="002C0C2A">
              <w:t>44</w:t>
            </w:r>
            <w:r w:rsidRPr="000462C9">
              <w:fldChar w:fldCharType="end"/>
            </w:r>
            <w:r w:rsidRPr="000462C9">
              <w:t>)</w:t>
            </w:r>
          </w:p>
        </w:tc>
      </w:tr>
      <w:tr w:rsidR="008E67EA" w14:paraId="777A8CF9" w14:textId="77777777" w:rsidTr="0071188C">
        <w:tblPrEx>
          <w:shd w:val="clear" w:color="auto" w:fill="auto"/>
        </w:tblPrEx>
        <w:tc>
          <w:tcPr>
            <w:tcW w:w="625" w:type="pct"/>
          </w:tcPr>
          <w:p w14:paraId="0EEA376D" w14:textId="77777777" w:rsidR="008E67EA" w:rsidRPr="00C84EC7" w:rsidRDefault="008E67EA" w:rsidP="00B44A74">
            <w:pPr>
              <w:pStyle w:val="GazetteTableText"/>
              <w:rPr>
                <w:color w:val="000000" w:themeColor="text1"/>
              </w:rPr>
            </w:pPr>
            <w:r w:rsidRPr="00C84EC7">
              <w:rPr>
                <w:color w:val="000000" w:themeColor="text1"/>
              </w:rPr>
              <w:lastRenderedPageBreak/>
              <w:t>Warfarin</w:t>
            </w:r>
          </w:p>
        </w:tc>
        <w:tc>
          <w:tcPr>
            <w:tcW w:w="600" w:type="pct"/>
          </w:tcPr>
          <w:p w14:paraId="4A5D007A" w14:textId="77777777" w:rsidR="008E67EA" w:rsidRPr="00C84EC7" w:rsidRDefault="008E67EA" w:rsidP="00B44A74">
            <w:pPr>
              <w:pStyle w:val="GazetteTableText"/>
              <w:rPr>
                <w:color w:val="000000" w:themeColor="text1"/>
              </w:rPr>
            </w:pPr>
            <w:r w:rsidRPr="00C84EC7">
              <w:rPr>
                <w:color w:val="000000" w:themeColor="text1"/>
              </w:rPr>
              <w:t>33942</w:t>
            </w:r>
          </w:p>
        </w:tc>
        <w:tc>
          <w:tcPr>
            <w:tcW w:w="981" w:type="pct"/>
          </w:tcPr>
          <w:p w14:paraId="6CE824C8" w14:textId="77777777" w:rsidR="008E67EA" w:rsidRPr="00C84EC7" w:rsidRDefault="008E67EA" w:rsidP="00B44A74">
            <w:pPr>
              <w:pStyle w:val="GazetteTableText"/>
              <w:rPr>
                <w:color w:val="000000" w:themeColor="text1"/>
              </w:rPr>
            </w:pPr>
            <w:r w:rsidRPr="00C84EC7">
              <w:rPr>
                <w:color w:val="000000" w:themeColor="text1"/>
              </w:rPr>
              <w:t>David Grays Rat 'N' Mouse Killer</w:t>
            </w:r>
          </w:p>
        </w:tc>
        <w:tc>
          <w:tcPr>
            <w:tcW w:w="883" w:type="pct"/>
          </w:tcPr>
          <w:p w14:paraId="20D7EC0B" w14:textId="77777777" w:rsidR="008E67EA" w:rsidRPr="00C84EC7" w:rsidRDefault="008E67EA" w:rsidP="00B44A74">
            <w:pPr>
              <w:pStyle w:val="GazetteTableText"/>
              <w:rPr>
                <w:color w:val="000000" w:themeColor="text1"/>
              </w:rPr>
            </w:pPr>
            <w:r w:rsidRPr="00C84EC7">
              <w:rPr>
                <w:color w:val="000000" w:themeColor="text1"/>
              </w:rPr>
              <w:t>David Gray &amp; Co. Pty Limited</w:t>
            </w:r>
          </w:p>
        </w:tc>
        <w:tc>
          <w:tcPr>
            <w:tcW w:w="884" w:type="pct"/>
          </w:tcPr>
          <w:p w14:paraId="16871E51" w14:textId="77777777" w:rsidR="008E67EA" w:rsidRPr="00C84EC7" w:rsidRDefault="008E67EA" w:rsidP="00B44A74">
            <w:pPr>
              <w:pStyle w:val="GazetteTableText"/>
              <w:rPr>
                <w:color w:val="000000" w:themeColor="text1"/>
              </w:rPr>
            </w:pPr>
            <w:r w:rsidRPr="00C84EC7">
              <w:rPr>
                <w:color w:val="000000" w:themeColor="text1"/>
              </w:rPr>
              <w:t>33942/0802</w:t>
            </w:r>
          </w:p>
        </w:tc>
        <w:tc>
          <w:tcPr>
            <w:tcW w:w="1027" w:type="pct"/>
          </w:tcPr>
          <w:p w14:paraId="58A2C55E" w14:textId="658EEEE8" w:rsidR="008E67EA" w:rsidRPr="00C84EC7" w:rsidRDefault="008E67EA" w:rsidP="00B44A74">
            <w:pPr>
              <w:pStyle w:val="GazetteTableText"/>
              <w:rPr>
                <w:color w:val="000000" w:themeColor="text1"/>
              </w:rPr>
            </w:pPr>
            <w:r>
              <w:t xml:space="preserve">Formulation does not contain a bittering agent or dye </w:t>
            </w:r>
            <w:r w:rsidRPr="000462C9">
              <w:t xml:space="preserve">(paras. </w:t>
            </w:r>
            <w:r w:rsidRPr="000462C9">
              <w:fldChar w:fldCharType="begin"/>
            </w:r>
            <w:r w:rsidRPr="000462C9">
              <w:instrText xml:space="preserve"> REF _Ref212833471 \r \h </w:instrText>
            </w:r>
            <w:r>
              <w:instrText xml:space="preserve"> \* MERGEFORMAT </w:instrText>
            </w:r>
            <w:r w:rsidRPr="000462C9">
              <w:fldChar w:fldCharType="separate"/>
            </w:r>
            <w:r w:rsidR="002C0C2A">
              <w:t>41</w:t>
            </w:r>
            <w:r w:rsidRPr="000462C9">
              <w:fldChar w:fldCharType="end"/>
            </w:r>
            <w:r w:rsidRPr="000462C9">
              <w:t xml:space="preserve"> </w:t>
            </w:r>
            <w:r w:rsidRPr="000462C9">
              <w:t>–</w:t>
            </w:r>
            <w:r w:rsidRPr="000462C9">
              <w:t xml:space="preserve"> </w:t>
            </w:r>
            <w:r w:rsidRPr="000462C9">
              <w:fldChar w:fldCharType="begin"/>
            </w:r>
            <w:r w:rsidRPr="000462C9">
              <w:instrText xml:space="preserve"> REF _Ref212833475 \r \h </w:instrText>
            </w:r>
            <w:r>
              <w:instrText xml:space="preserve"> \* MERGEFORMAT </w:instrText>
            </w:r>
            <w:r w:rsidRPr="000462C9">
              <w:fldChar w:fldCharType="separate"/>
            </w:r>
            <w:r w:rsidR="002C0C2A">
              <w:t>44</w:t>
            </w:r>
            <w:r w:rsidRPr="000462C9">
              <w:fldChar w:fldCharType="end"/>
            </w:r>
            <w:r w:rsidRPr="000462C9">
              <w:t>)</w:t>
            </w:r>
          </w:p>
        </w:tc>
      </w:tr>
      <w:tr w:rsidR="008E67EA" w14:paraId="72E36EAB" w14:textId="77777777" w:rsidTr="0071188C">
        <w:tblPrEx>
          <w:shd w:val="clear" w:color="auto" w:fill="auto"/>
        </w:tblPrEx>
        <w:tc>
          <w:tcPr>
            <w:tcW w:w="625" w:type="pct"/>
          </w:tcPr>
          <w:p w14:paraId="337F26E4" w14:textId="77777777" w:rsidR="008E67EA" w:rsidRPr="00C84EC7" w:rsidRDefault="008E67EA" w:rsidP="00B44A74">
            <w:pPr>
              <w:pStyle w:val="GazetteTableText"/>
              <w:rPr>
                <w:color w:val="000000" w:themeColor="text1"/>
              </w:rPr>
            </w:pPr>
            <w:r w:rsidRPr="00C84EC7">
              <w:rPr>
                <w:color w:val="000000" w:themeColor="text1"/>
              </w:rPr>
              <w:t>Warfarin</w:t>
            </w:r>
          </w:p>
        </w:tc>
        <w:tc>
          <w:tcPr>
            <w:tcW w:w="600" w:type="pct"/>
          </w:tcPr>
          <w:p w14:paraId="3003CB2D" w14:textId="77777777" w:rsidR="008E67EA" w:rsidRPr="00C84EC7" w:rsidRDefault="008E67EA" w:rsidP="00B44A74">
            <w:pPr>
              <w:pStyle w:val="GazetteTableText"/>
              <w:rPr>
                <w:color w:val="000000" w:themeColor="text1"/>
              </w:rPr>
            </w:pPr>
            <w:r w:rsidRPr="00C84EC7">
              <w:rPr>
                <w:color w:val="000000" w:themeColor="text1"/>
              </w:rPr>
              <w:t>33945</w:t>
            </w:r>
          </w:p>
        </w:tc>
        <w:tc>
          <w:tcPr>
            <w:tcW w:w="981" w:type="pct"/>
          </w:tcPr>
          <w:p w14:paraId="1C9648BA" w14:textId="77777777" w:rsidR="008E67EA" w:rsidRPr="00C84EC7" w:rsidRDefault="008E67EA" w:rsidP="00B44A74">
            <w:pPr>
              <w:pStyle w:val="GazetteTableText"/>
              <w:rPr>
                <w:color w:val="000000" w:themeColor="text1"/>
              </w:rPr>
            </w:pPr>
            <w:r w:rsidRPr="00C84EC7">
              <w:rPr>
                <w:color w:val="000000" w:themeColor="text1"/>
              </w:rPr>
              <w:t>RCI Ratblitz Bait</w:t>
            </w:r>
          </w:p>
        </w:tc>
        <w:tc>
          <w:tcPr>
            <w:tcW w:w="883" w:type="pct"/>
          </w:tcPr>
          <w:p w14:paraId="4C70D712" w14:textId="77777777" w:rsidR="008E67EA" w:rsidRPr="00C84EC7" w:rsidRDefault="008E67EA" w:rsidP="00B44A74">
            <w:pPr>
              <w:pStyle w:val="GazetteTableText"/>
              <w:rPr>
                <w:color w:val="000000" w:themeColor="text1"/>
              </w:rPr>
            </w:pPr>
            <w:r w:rsidRPr="00C84EC7">
              <w:rPr>
                <w:color w:val="000000" w:themeColor="text1"/>
              </w:rPr>
              <w:t>Ruth Consolidated Industries Pty Ltd</w:t>
            </w:r>
          </w:p>
        </w:tc>
        <w:tc>
          <w:tcPr>
            <w:tcW w:w="884" w:type="pct"/>
          </w:tcPr>
          <w:p w14:paraId="1FF79CAA" w14:textId="77777777" w:rsidR="008E67EA" w:rsidRPr="00C84EC7" w:rsidRDefault="008E67EA" w:rsidP="00B44A74">
            <w:pPr>
              <w:pStyle w:val="GazetteTableText"/>
              <w:rPr>
                <w:color w:val="000000" w:themeColor="text1"/>
              </w:rPr>
            </w:pPr>
            <w:r w:rsidRPr="00C84EC7">
              <w:rPr>
                <w:color w:val="000000" w:themeColor="text1"/>
              </w:rPr>
              <w:t>33945/0899</w:t>
            </w:r>
          </w:p>
        </w:tc>
        <w:tc>
          <w:tcPr>
            <w:tcW w:w="1027" w:type="pct"/>
          </w:tcPr>
          <w:p w14:paraId="7941F867" w14:textId="24071918" w:rsidR="008E67EA" w:rsidRPr="00C84EC7" w:rsidRDefault="008E67EA" w:rsidP="00B44A74">
            <w:pPr>
              <w:pStyle w:val="GazetteTableText"/>
              <w:rPr>
                <w:color w:val="000000" w:themeColor="text1"/>
              </w:rPr>
            </w:pPr>
            <w:r>
              <w:t xml:space="preserve">Formulation does not contain a bittering agent or dye </w:t>
            </w:r>
            <w:r w:rsidRPr="000462C9">
              <w:t xml:space="preserve">(paras. </w:t>
            </w:r>
            <w:r w:rsidRPr="000462C9">
              <w:fldChar w:fldCharType="begin"/>
            </w:r>
            <w:r w:rsidRPr="000462C9">
              <w:instrText xml:space="preserve"> REF _Ref212833471 \r \h </w:instrText>
            </w:r>
            <w:r>
              <w:instrText xml:space="preserve"> \* MERGEFORMAT </w:instrText>
            </w:r>
            <w:r w:rsidRPr="000462C9">
              <w:fldChar w:fldCharType="separate"/>
            </w:r>
            <w:r w:rsidR="002C0C2A">
              <w:t>41</w:t>
            </w:r>
            <w:r w:rsidRPr="000462C9">
              <w:fldChar w:fldCharType="end"/>
            </w:r>
            <w:r w:rsidRPr="000462C9">
              <w:t xml:space="preserve"> </w:t>
            </w:r>
            <w:r w:rsidRPr="000462C9">
              <w:t>–</w:t>
            </w:r>
            <w:r w:rsidRPr="000462C9">
              <w:t xml:space="preserve"> </w:t>
            </w:r>
            <w:r w:rsidRPr="000462C9">
              <w:fldChar w:fldCharType="begin"/>
            </w:r>
            <w:r w:rsidRPr="000462C9">
              <w:instrText xml:space="preserve"> REF _Ref212833475 \r \h </w:instrText>
            </w:r>
            <w:r>
              <w:instrText xml:space="preserve"> \* MERGEFORMAT </w:instrText>
            </w:r>
            <w:r w:rsidRPr="000462C9">
              <w:fldChar w:fldCharType="separate"/>
            </w:r>
            <w:r w:rsidR="002C0C2A">
              <w:t>44</w:t>
            </w:r>
            <w:r w:rsidRPr="000462C9">
              <w:fldChar w:fldCharType="end"/>
            </w:r>
            <w:r w:rsidRPr="000462C9">
              <w:t>)</w:t>
            </w:r>
          </w:p>
        </w:tc>
      </w:tr>
      <w:tr w:rsidR="008E67EA" w14:paraId="5F203245" w14:textId="77777777" w:rsidTr="0071188C">
        <w:tblPrEx>
          <w:shd w:val="clear" w:color="auto" w:fill="auto"/>
        </w:tblPrEx>
        <w:tc>
          <w:tcPr>
            <w:tcW w:w="625" w:type="pct"/>
          </w:tcPr>
          <w:p w14:paraId="1A197BA7" w14:textId="77777777" w:rsidR="008E67EA" w:rsidRPr="00C84EC7" w:rsidRDefault="008E67EA" w:rsidP="00B44A74">
            <w:pPr>
              <w:pStyle w:val="GazetteTableText"/>
              <w:rPr>
                <w:color w:val="000000" w:themeColor="text1"/>
              </w:rPr>
            </w:pPr>
            <w:r w:rsidRPr="00C84EC7">
              <w:rPr>
                <w:color w:val="000000" w:themeColor="text1"/>
              </w:rPr>
              <w:t>Warfarin</w:t>
            </w:r>
          </w:p>
        </w:tc>
        <w:tc>
          <w:tcPr>
            <w:tcW w:w="600" w:type="pct"/>
          </w:tcPr>
          <w:p w14:paraId="5EA96DF0" w14:textId="77777777" w:rsidR="008E67EA" w:rsidRPr="00C84EC7" w:rsidRDefault="008E67EA" w:rsidP="00B44A74">
            <w:pPr>
              <w:pStyle w:val="GazetteTableText"/>
              <w:rPr>
                <w:color w:val="000000" w:themeColor="text1"/>
              </w:rPr>
            </w:pPr>
            <w:r w:rsidRPr="00C84EC7">
              <w:rPr>
                <w:color w:val="000000" w:themeColor="text1"/>
              </w:rPr>
              <w:t>42368</w:t>
            </w:r>
          </w:p>
        </w:tc>
        <w:tc>
          <w:tcPr>
            <w:tcW w:w="981" w:type="pct"/>
          </w:tcPr>
          <w:p w14:paraId="24EB79D7" w14:textId="77777777" w:rsidR="008E67EA" w:rsidRPr="00C84EC7" w:rsidRDefault="008E67EA" w:rsidP="00B44A74">
            <w:pPr>
              <w:pStyle w:val="GazetteTableText"/>
              <w:rPr>
                <w:color w:val="000000" w:themeColor="text1"/>
              </w:rPr>
            </w:pPr>
            <w:r w:rsidRPr="00C84EC7">
              <w:rPr>
                <w:color w:val="000000" w:themeColor="text1"/>
              </w:rPr>
              <w:t>Rat Kill</w:t>
            </w:r>
          </w:p>
        </w:tc>
        <w:tc>
          <w:tcPr>
            <w:tcW w:w="883" w:type="pct"/>
          </w:tcPr>
          <w:p w14:paraId="78ADE4ED" w14:textId="77777777" w:rsidR="008E67EA" w:rsidRPr="00C84EC7" w:rsidRDefault="008E67EA" w:rsidP="00B44A74">
            <w:pPr>
              <w:pStyle w:val="GazetteTableText"/>
              <w:rPr>
                <w:color w:val="000000" w:themeColor="text1"/>
              </w:rPr>
            </w:pPr>
            <w:r w:rsidRPr="00C84EC7">
              <w:rPr>
                <w:color w:val="000000" w:themeColor="text1"/>
              </w:rPr>
              <w:t xml:space="preserve">Omega Pest Control Pty. Ltd. </w:t>
            </w:r>
          </w:p>
        </w:tc>
        <w:tc>
          <w:tcPr>
            <w:tcW w:w="884" w:type="pct"/>
          </w:tcPr>
          <w:p w14:paraId="42343E4D" w14:textId="77777777" w:rsidR="008E67EA" w:rsidRPr="00C84EC7" w:rsidRDefault="008E67EA" w:rsidP="00B44A74">
            <w:pPr>
              <w:pStyle w:val="GazetteTableText"/>
              <w:rPr>
                <w:color w:val="000000" w:themeColor="text1"/>
              </w:rPr>
            </w:pPr>
            <w:r w:rsidRPr="00C84EC7">
              <w:rPr>
                <w:color w:val="000000" w:themeColor="text1"/>
              </w:rPr>
              <w:t>42368/45031</w:t>
            </w:r>
          </w:p>
        </w:tc>
        <w:tc>
          <w:tcPr>
            <w:tcW w:w="1027" w:type="pct"/>
          </w:tcPr>
          <w:p w14:paraId="6946E085" w14:textId="566F8C57" w:rsidR="008E67EA" w:rsidRPr="00C84EC7" w:rsidRDefault="008E67EA" w:rsidP="00B44A74">
            <w:pPr>
              <w:pStyle w:val="GazetteTableText"/>
              <w:rPr>
                <w:color w:val="000000" w:themeColor="text1"/>
              </w:rPr>
            </w:pPr>
            <w:r>
              <w:t xml:space="preserve">Formulation does not contain a bittering agent or dye </w:t>
            </w:r>
            <w:r w:rsidRPr="000462C9">
              <w:t xml:space="preserve">(paras. </w:t>
            </w:r>
            <w:r w:rsidRPr="000462C9">
              <w:fldChar w:fldCharType="begin"/>
            </w:r>
            <w:r w:rsidRPr="000462C9">
              <w:instrText xml:space="preserve"> REF _Ref212833471 \r \h </w:instrText>
            </w:r>
            <w:r>
              <w:instrText xml:space="preserve"> \* MERGEFORMAT </w:instrText>
            </w:r>
            <w:r w:rsidRPr="000462C9">
              <w:fldChar w:fldCharType="separate"/>
            </w:r>
            <w:r w:rsidR="002C0C2A">
              <w:t>41</w:t>
            </w:r>
            <w:r w:rsidRPr="000462C9">
              <w:fldChar w:fldCharType="end"/>
            </w:r>
            <w:r w:rsidRPr="000462C9">
              <w:t xml:space="preserve"> </w:t>
            </w:r>
            <w:r w:rsidRPr="000462C9">
              <w:t>–</w:t>
            </w:r>
            <w:r w:rsidRPr="000462C9">
              <w:t xml:space="preserve"> </w:t>
            </w:r>
            <w:r w:rsidRPr="000462C9">
              <w:fldChar w:fldCharType="begin"/>
            </w:r>
            <w:r w:rsidRPr="000462C9">
              <w:instrText xml:space="preserve"> REF _Ref212833475 \r \h </w:instrText>
            </w:r>
            <w:r>
              <w:instrText xml:space="preserve"> \* MERGEFORMAT </w:instrText>
            </w:r>
            <w:r w:rsidRPr="000462C9">
              <w:fldChar w:fldCharType="separate"/>
            </w:r>
            <w:r w:rsidR="002C0C2A">
              <w:t>44</w:t>
            </w:r>
            <w:r w:rsidRPr="000462C9">
              <w:fldChar w:fldCharType="end"/>
            </w:r>
            <w:r w:rsidRPr="000462C9">
              <w:t>)</w:t>
            </w:r>
          </w:p>
        </w:tc>
      </w:tr>
      <w:tr w:rsidR="008E67EA" w14:paraId="253C014F" w14:textId="77777777" w:rsidTr="0071188C">
        <w:tblPrEx>
          <w:shd w:val="clear" w:color="auto" w:fill="auto"/>
        </w:tblPrEx>
        <w:tc>
          <w:tcPr>
            <w:tcW w:w="625" w:type="pct"/>
          </w:tcPr>
          <w:p w14:paraId="713566BE" w14:textId="77777777" w:rsidR="008E67EA" w:rsidRPr="00C84EC7" w:rsidRDefault="008E67EA" w:rsidP="00B44A74">
            <w:pPr>
              <w:pStyle w:val="GazetteTableText"/>
              <w:rPr>
                <w:color w:val="000000" w:themeColor="text1"/>
              </w:rPr>
            </w:pPr>
            <w:r w:rsidRPr="00C84EC7">
              <w:rPr>
                <w:color w:val="000000" w:themeColor="text1"/>
              </w:rPr>
              <w:t>Warfarin</w:t>
            </w:r>
          </w:p>
        </w:tc>
        <w:tc>
          <w:tcPr>
            <w:tcW w:w="600" w:type="pct"/>
          </w:tcPr>
          <w:p w14:paraId="28B37385" w14:textId="77777777" w:rsidR="008E67EA" w:rsidRPr="00C84EC7" w:rsidRDefault="008E67EA" w:rsidP="00B44A74">
            <w:pPr>
              <w:pStyle w:val="GazetteTableText"/>
              <w:rPr>
                <w:color w:val="000000" w:themeColor="text1"/>
              </w:rPr>
            </w:pPr>
            <w:r w:rsidRPr="00C84EC7">
              <w:rPr>
                <w:color w:val="000000" w:themeColor="text1"/>
              </w:rPr>
              <w:t>60285</w:t>
            </w:r>
          </w:p>
        </w:tc>
        <w:tc>
          <w:tcPr>
            <w:tcW w:w="981" w:type="pct"/>
          </w:tcPr>
          <w:p w14:paraId="07638FC2" w14:textId="77777777" w:rsidR="008E67EA" w:rsidRPr="00C84EC7" w:rsidRDefault="008E67EA" w:rsidP="00B44A74">
            <w:pPr>
              <w:pStyle w:val="GazetteTableText"/>
              <w:rPr>
                <w:color w:val="000000" w:themeColor="text1"/>
              </w:rPr>
            </w:pPr>
            <w:r w:rsidRPr="00C84EC7">
              <w:rPr>
                <w:color w:val="000000" w:themeColor="text1"/>
              </w:rPr>
              <w:t>Double Strength Ratsak Kills Rats &amp; Mice</w:t>
            </w:r>
          </w:p>
        </w:tc>
        <w:tc>
          <w:tcPr>
            <w:tcW w:w="883" w:type="pct"/>
          </w:tcPr>
          <w:p w14:paraId="118EC22C" w14:textId="77777777" w:rsidR="008E67EA" w:rsidRPr="00C84EC7" w:rsidRDefault="008E67EA" w:rsidP="00B44A74">
            <w:pPr>
              <w:pStyle w:val="GazetteTableText"/>
              <w:rPr>
                <w:color w:val="000000" w:themeColor="text1"/>
              </w:rPr>
            </w:pPr>
            <w:r w:rsidRPr="00C84EC7">
              <w:rPr>
                <w:color w:val="000000" w:themeColor="text1"/>
              </w:rPr>
              <w:t>Duluxgroup (Australia) Pty Ltd</w:t>
            </w:r>
          </w:p>
        </w:tc>
        <w:tc>
          <w:tcPr>
            <w:tcW w:w="884" w:type="pct"/>
          </w:tcPr>
          <w:p w14:paraId="2CBBCA68" w14:textId="77777777" w:rsidR="008E67EA" w:rsidRPr="00C84EC7" w:rsidRDefault="008E67EA" w:rsidP="00B44A74">
            <w:pPr>
              <w:pStyle w:val="GazetteTableText"/>
              <w:rPr>
                <w:color w:val="000000" w:themeColor="text1"/>
              </w:rPr>
            </w:pPr>
            <w:r w:rsidRPr="00C84EC7">
              <w:rPr>
                <w:color w:val="000000" w:themeColor="text1"/>
              </w:rPr>
              <w:t>60285/0609, 60285/0905</w:t>
            </w:r>
          </w:p>
        </w:tc>
        <w:tc>
          <w:tcPr>
            <w:tcW w:w="1027" w:type="pct"/>
          </w:tcPr>
          <w:p w14:paraId="3B50C901" w14:textId="3F6DBE6F" w:rsidR="008E67EA" w:rsidRPr="00C84EC7" w:rsidRDefault="008E67EA" w:rsidP="00B44A74">
            <w:pPr>
              <w:pStyle w:val="GazetteTableText"/>
              <w:rPr>
                <w:color w:val="000000" w:themeColor="text1"/>
              </w:rPr>
            </w:pPr>
            <w:r>
              <w:t xml:space="preserve">Formulation does not contain a bittering agent </w:t>
            </w:r>
            <w:r w:rsidRPr="000462C9">
              <w:t xml:space="preserve">(paras. </w:t>
            </w:r>
            <w:r w:rsidRPr="000462C9">
              <w:fldChar w:fldCharType="begin"/>
            </w:r>
            <w:r w:rsidRPr="000462C9">
              <w:instrText xml:space="preserve"> REF _Ref212833471 \r \h </w:instrText>
            </w:r>
            <w:r>
              <w:instrText xml:space="preserve"> \* MERGEFORMAT </w:instrText>
            </w:r>
            <w:r w:rsidRPr="000462C9">
              <w:fldChar w:fldCharType="separate"/>
            </w:r>
            <w:r w:rsidR="002C0C2A">
              <w:t>41</w:t>
            </w:r>
            <w:r w:rsidRPr="000462C9">
              <w:fldChar w:fldCharType="end"/>
            </w:r>
            <w:r w:rsidRPr="000462C9">
              <w:t xml:space="preserve"> </w:t>
            </w:r>
            <w:r w:rsidRPr="000462C9">
              <w:t>–</w:t>
            </w:r>
            <w:r w:rsidRPr="000462C9">
              <w:t xml:space="preserve"> </w:t>
            </w:r>
            <w:r w:rsidRPr="000462C9">
              <w:fldChar w:fldCharType="begin"/>
            </w:r>
            <w:r w:rsidRPr="000462C9">
              <w:instrText xml:space="preserve"> REF _Ref212833475 \r \h </w:instrText>
            </w:r>
            <w:r>
              <w:instrText xml:space="preserve"> \* MERGEFORMAT </w:instrText>
            </w:r>
            <w:r w:rsidRPr="000462C9">
              <w:fldChar w:fldCharType="separate"/>
            </w:r>
            <w:r w:rsidR="002C0C2A">
              <w:t>44</w:t>
            </w:r>
            <w:r w:rsidRPr="000462C9">
              <w:fldChar w:fldCharType="end"/>
            </w:r>
            <w:r w:rsidRPr="000462C9">
              <w:t>)</w:t>
            </w:r>
          </w:p>
        </w:tc>
      </w:tr>
    </w:tbl>
    <w:p w14:paraId="6B0A7AF5" w14:textId="77777777" w:rsidR="00060DA7" w:rsidRDefault="00060DA7" w:rsidP="008E67EA">
      <w:pPr>
        <w:rPr>
          <w:rFonts w:ascii="Franklin Gothic Medium" w:eastAsiaTheme="majorEastAsia" w:hAnsi="Franklin Gothic Medium" w:cstheme="majorBidi"/>
          <w:sz w:val="28"/>
          <w:szCs w:val="32"/>
        </w:rPr>
        <w:sectPr w:rsidR="00060DA7" w:rsidSect="00CB73E0">
          <w:pgSz w:w="11906" w:h="16838"/>
          <w:pgMar w:top="1440" w:right="1134" w:bottom="1440" w:left="1134" w:header="794" w:footer="737" w:gutter="0"/>
          <w:cols w:space="708"/>
          <w:docGrid w:linePitch="360"/>
        </w:sectPr>
      </w:pPr>
    </w:p>
    <w:p w14:paraId="02C5AB13" w14:textId="77777777" w:rsidR="008E67EA" w:rsidRPr="00D4624B" w:rsidRDefault="008E67EA" w:rsidP="00D4624B">
      <w:pPr>
        <w:pStyle w:val="GazetteHeading1"/>
      </w:pPr>
      <w:bookmarkStart w:id="364" w:name="_Toc216282370"/>
      <w:r w:rsidRPr="00D4624B">
        <w:lastRenderedPageBreak/>
        <w:t>Attachment B: Draft statement of reasons for the proposed decision to cancel certain anticoagulant rodenticide products and labels</w:t>
      </w:r>
      <w:bookmarkEnd w:id="364"/>
      <w:r w:rsidRPr="00D4624B">
        <w:t xml:space="preserve"> </w:t>
      </w:r>
    </w:p>
    <w:p w14:paraId="7440BAF6" w14:textId="05CB1F08" w:rsidR="008E67EA" w:rsidRDefault="008E67EA" w:rsidP="008E67EA">
      <w:pPr>
        <w:pStyle w:val="GazetteHeading2"/>
        <w:rPr>
          <w:sz w:val="28"/>
          <w:szCs w:val="28"/>
        </w:rPr>
      </w:pPr>
      <w:r w:rsidRPr="00B418E9">
        <w:rPr>
          <w:sz w:val="28"/>
          <w:szCs w:val="28"/>
        </w:rPr>
        <w:t>C</w:t>
      </w:r>
      <w:r w:rsidR="0071188C" w:rsidRPr="00B418E9">
        <w:rPr>
          <w:sz w:val="28"/>
          <w:szCs w:val="28"/>
        </w:rPr>
        <w:t>ontents</w:t>
      </w:r>
    </w:p>
    <w:p w14:paraId="72515F03" w14:textId="673752BC" w:rsidR="008E67EA" w:rsidRDefault="008E67EA" w:rsidP="00D4624B">
      <w:pPr>
        <w:pStyle w:val="TOC1"/>
        <w:rPr>
          <w:rFonts w:asciiTheme="minorHAnsi" w:eastAsiaTheme="minorEastAsia" w:hAnsiTheme="minorHAnsi"/>
          <w:kern w:val="2"/>
          <w:sz w:val="24"/>
          <w:lang w:eastAsia="en-AU"/>
          <w14:ligatures w14:val="standardContextual"/>
        </w:rPr>
      </w:pPr>
      <w:r>
        <w:rPr>
          <w:rStyle w:val="Hyperlink"/>
          <w:rFonts w:eastAsiaTheme="minorHAnsi" w:cstheme="minorBidi"/>
          <w:szCs w:val="22"/>
        </w:rPr>
        <w:fldChar w:fldCharType="begin"/>
      </w:r>
      <w:r>
        <w:rPr>
          <w:rStyle w:val="Hyperlink"/>
        </w:rPr>
        <w:instrText xml:space="preserve"> TOC \h \z \t "Gazette cover H2,1,Gazette Cover H3,1,Statement of Reasons Heading 1,1,Statement of Reasons Heading 2,2,Statement of Reasons Heading 3,3" </w:instrText>
      </w:r>
      <w:r>
        <w:rPr>
          <w:rStyle w:val="Hyperlink"/>
          <w:rFonts w:eastAsiaTheme="minorHAnsi" w:cstheme="minorBidi"/>
          <w:szCs w:val="22"/>
        </w:rPr>
        <w:fldChar w:fldCharType="separate"/>
      </w:r>
      <w:hyperlink w:anchor="_Toc216200984" w:history="1">
        <w:r w:rsidRPr="002642D5">
          <w:rPr>
            <w:rStyle w:val="Hyperlink"/>
          </w:rPr>
          <w:t>B</w:t>
        </w:r>
        <w:r w:rsidR="00D4624B" w:rsidRPr="002642D5">
          <w:rPr>
            <w:rStyle w:val="Hyperlink"/>
          </w:rPr>
          <w:t>ackground</w:t>
        </w:r>
        <w:r>
          <w:rPr>
            <w:webHidden/>
          </w:rPr>
          <w:tab/>
        </w:r>
        <w:r>
          <w:rPr>
            <w:webHidden/>
          </w:rPr>
          <w:fldChar w:fldCharType="begin"/>
        </w:r>
        <w:r>
          <w:rPr>
            <w:webHidden/>
          </w:rPr>
          <w:instrText xml:space="preserve"> PAGEREF _Toc216200984 \h </w:instrText>
        </w:r>
        <w:r>
          <w:rPr>
            <w:webHidden/>
          </w:rPr>
        </w:r>
        <w:r>
          <w:rPr>
            <w:webHidden/>
          </w:rPr>
          <w:fldChar w:fldCharType="separate"/>
        </w:r>
        <w:r w:rsidR="002C0C2A">
          <w:rPr>
            <w:webHidden/>
          </w:rPr>
          <w:t>282</w:t>
        </w:r>
        <w:r>
          <w:rPr>
            <w:webHidden/>
          </w:rPr>
          <w:fldChar w:fldCharType="end"/>
        </w:r>
      </w:hyperlink>
    </w:p>
    <w:p w14:paraId="36B6D95F" w14:textId="20551AB3" w:rsidR="008E67EA" w:rsidRDefault="008E67EA" w:rsidP="008E67EA">
      <w:pPr>
        <w:pStyle w:val="TOC2"/>
        <w:rPr>
          <w:rFonts w:asciiTheme="minorHAnsi" w:eastAsiaTheme="minorEastAsia" w:hAnsiTheme="minorHAnsi"/>
          <w:kern w:val="2"/>
          <w:sz w:val="24"/>
          <w:szCs w:val="24"/>
          <w:lang w:eastAsia="en-AU"/>
          <w14:ligatures w14:val="standardContextual"/>
        </w:rPr>
      </w:pPr>
      <w:hyperlink w:anchor="_Toc216200985" w:history="1">
        <w:r w:rsidRPr="002642D5">
          <w:rPr>
            <w:rStyle w:val="Hyperlink"/>
          </w:rPr>
          <w:t>Reconsideration of anticoagulant rodenticide chemical products and labels</w:t>
        </w:r>
        <w:r>
          <w:rPr>
            <w:webHidden/>
          </w:rPr>
          <w:tab/>
        </w:r>
        <w:r>
          <w:rPr>
            <w:webHidden/>
          </w:rPr>
          <w:fldChar w:fldCharType="begin"/>
        </w:r>
        <w:r>
          <w:rPr>
            <w:webHidden/>
          </w:rPr>
          <w:instrText xml:space="preserve"> PAGEREF _Toc216200985 \h </w:instrText>
        </w:r>
        <w:r>
          <w:rPr>
            <w:webHidden/>
          </w:rPr>
        </w:r>
        <w:r>
          <w:rPr>
            <w:webHidden/>
          </w:rPr>
          <w:fldChar w:fldCharType="separate"/>
        </w:r>
        <w:r w:rsidR="002C0C2A">
          <w:rPr>
            <w:webHidden/>
          </w:rPr>
          <w:t>282</w:t>
        </w:r>
        <w:r>
          <w:rPr>
            <w:webHidden/>
          </w:rPr>
          <w:fldChar w:fldCharType="end"/>
        </w:r>
      </w:hyperlink>
    </w:p>
    <w:p w14:paraId="1FBDDEEA" w14:textId="74E46D34" w:rsidR="008E67EA" w:rsidRDefault="008E67EA" w:rsidP="00D4624B">
      <w:pPr>
        <w:pStyle w:val="TOC1"/>
        <w:tabs>
          <w:tab w:val="clear" w:pos="1134"/>
          <w:tab w:val="left" w:pos="1560"/>
        </w:tabs>
        <w:rPr>
          <w:rFonts w:asciiTheme="minorHAnsi" w:eastAsiaTheme="minorEastAsia" w:hAnsiTheme="minorHAnsi"/>
          <w:kern w:val="2"/>
          <w:sz w:val="24"/>
          <w:lang w:eastAsia="en-AU"/>
          <w14:ligatures w14:val="standardContextual"/>
        </w:rPr>
      </w:pPr>
      <w:hyperlink w:anchor="_Toc216200986" w:history="1">
        <w:r w:rsidRPr="002642D5">
          <w:rPr>
            <w:rStyle w:val="Hyperlink"/>
          </w:rPr>
          <w:t>L</w:t>
        </w:r>
        <w:r w:rsidR="00D4624B" w:rsidRPr="002642D5">
          <w:rPr>
            <w:rStyle w:val="Hyperlink"/>
          </w:rPr>
          <w:t>egal framework</w:t>
        </w:r>
        <w:r>
          <w:rPr>
            <w:webHidden/>
          </w:rPr>
          <w:tab/>
        </w:r>
        <w:r>
          <w:rPr>
            <w:webHidden/>
          </w:rPr>
          <w:fldChar w:fldCharType="begin"/>
        </w:r>
        <w:r>
          <w:rPr>
            <w:webHidden/>
          </w:rPr>
          <w:instrText xml:space="preserve"> PAGEREF _Toc216200986 \h </w:instrText>
        </w:r>
        <w:r>
          <w:rPr>
            <w:webHidden/>
          </w:rPr>
        </w:r>
        <w:r>
          <w:rPr>
            <w:webHidden/>
          </w:rPr>
          <w:fldChar w:fldCharType="separate"/>
        </w:r>
        <w:r w:rsidR="002C0C2A">
          <w:rPr>
            <w:webHidden/>
          </w:rPr>
          <w:t>284</w:t>
        </w:r>
        <w:r>
          <w:rPr>
            <w:webHidden/>
          </w:rPr>
          <w:fldChar w:fldCharType="end"/>
        </w:r>
      </w:hyperlink>
    </w:p>
    <w:p w14:paraId="521D82D6" w14:textId="443CD95E" w:rsidR="008E67EA" w:rsidRDefault="008E67EA" w:rsidP="008E67EA">
      <w:pPr>
        <w:pStyle w:val="TOC2"/>
        <w:rPr>
          <w:rFonts w:asciiTheme="minorHAnsi" w:eastAsiaTheme="minorEastAsia" w:hAnsiTheme="minorHAnsi"/>
          <w:kern w:val="2"/>
          <w:sz w:val="24"/>
          <w:szCs w:val="24"/>
          <w:lang w:eastAsia="en-AU"/>
          <w14:ligatures w14:val="standardContextual"/>
        </w:rPr>
      </w:pPr>
      <w:hyperlink w:anchor="_Toc216200987" w:history="1">
        <w:r w:rsidRPr="002642D5">
          <w:rPr>
            <w:rStyle w:val="Hyperlink"/>
          </w:rPr>
          <w:t>Affirmation</w:t>
        </w:r>
        <w:r>
          <w:rPr>
            <w:webHidden/>
          </w:rPr>
          <w:tab/>
        </w:r>
        <w:r>
          <w:rPr>
            <w:webHidden/>
          </w:rPr>
          <w:fldChar w:fldCharType="begin"/>
        </w:r>
        <w:r>
          <w:rPr>
            <w:webHidden/>
          </w:rPr>
          <w:instrText xml:space="preserve"> PAGEREF _Toc216200987 \h </w:instrText>
        </w:r>
        <w:r>
          <w:rPr>
            <w:webHidden/>
          </w:rPr>
        </w:r>
        <w:r>
          <w:rPr>
            <w:webHidden/>
          </w:rPr>
          <w:fldChar w:fldCharType="separate"/>
        </w:r>
        <w:r w:rsidR="002C0C2A">
          <w:rPr>
            <w:webHidden/>
          </w:rPr>
          <w:t>284</w:t>
        </w:r>
        <w:r>
          <w:rPr>
            <w:webHidden/>
          </w:rPr>
          <w:fldChar w:fldCharType="end"/>
        </w:r>
      </w:hyperlink>
    </w:p>
    <w:p w14:paraId="51311EB0" w14:textId="57A80FA7" w:rsidR="008E67EA" w:rsidRDefault="008E67EA" w:rsidP="008E67EA">
      <w:pPr>
        <w:pStyle w:val="TOC2"/>
        <w:rPr>
          <w:rFonts w:asciiTheme="minorHAnsi" w:eastAsiaTheme="minorEastAsia" w:hAnsiTheme="minorHAnsi"/>
          <w:kern w:val="2"/>
          <w:sz w:val="24"/>
          <w:szCs w:val="24"/>
          <w:lang w:eastAsia="en-AU"/>
          <w14:ligatures w14:val="standardContextual"/>
        </w:rPr>
      </w:pPr>
      <w:hyperlink w:anchor="_Toc216200988" w:history="1">
        <w:r w:rsidRPr="002642D5">
          <w:rPr>
            <w:rStyle w:val="Hyperlink"/>
          </w:rPr>
          <w:t>Variation required to satisfy requirements for affirmation</w:t>
        </w:r>
        <w:r>
          <w:rPr>
            <w:webHidden/>
          </w:rPr>
          <w:tab/>
        </w:r>
        <w:r>
          <w:rPr>
            <w:webHidden/>
          </w:rPr>
          <w:fldChar w:fldCharType="begin"/>
        </w:r>
        <w:r>
          <w:rPr>
            <w:webHidden/>
          </w:rPr>
          <w:instrText xml:space="preserve"> PAGEREF _Toc216200988 \h </w:instrText>
        </w:r>
        <w:r>
          <w:rPr>
            <w:webHidden/>
          </w:rPr>
        </w:r>
        <w:r>
          <w:rPr>
            <w:webHidden/>
          </w:rPr>
          <w:fldChar w:fldCharType="separate"/>
        </w:r>
        <w:r w:rsidR="002C0C2A">
          <w:rPr>
            <w:webHidden/>
          </w:rPr>
          <w:t>284</w:t>
        </w:r>
        <w:r>
          <w:rPr>
            <w:webHidden/>
          </w:rPr>
          <w:fldChar w:fldCharType="end"/>
        </w:r>
      </w:hyperlink>
    </w:p>
    <w:p w14:paraId="647322B2" w14:textId="31CCC9FF" w:rsidR="008E67EA" w:rsidRDefault="008E67EA" w:rsidP="008E67EA">
      <w:pPr>
        <w:pStyle w:val="TOC2"/>
        <w:rPr>
          <w:rFonts w:asciiTheme="minorHAnsi" w:eastAsiaTheme="minorEastAsia" w:hAnsiTheme="minorHAnsi"/>
          <w:kern w:val="2"/>
          <w:sz w:val="24"/>
          <w:szCs w:val="24"/>
          <w:lang w:eastAsia="en-AU"/>
          <w14:ligatures w14:val="standardContextual"/>
        </w:rPr>
      </w:pPr>
      <w:hyperlink w:anchor="_Toc216200989" w:history="1">
        <w:r w:rsidRPr="002642D5">
          <w:rPr>
            <w:rStyle w:val="Hyperlink"/>
          </w:rPr>
          <w:t>Cancellation or suspension</w:t>
        </w:r>
        <w:r>
          <w:rPr>
            <w:webHidden/>
          </w:rPr>
          <w:tab/>
        </w:r>
        <w:r>
          <w:rPr>
            <w:webHidden/>
          </w:rPr>
          <w:fldChar w:fldCharType="begin"/>
        </w:r>
        <w:r>
          <w:rPr>
            <w:webHidden/>
          </w:rPr>
          <w:instrText xml:space="preserve"> PAGEREF _Toc216200989 \h </w:instrText>
        </w:r>
        <w:r>
          <w:rPr>
            <w:webHidden/>
          </w:rPr>
        </w:r>
        <w:r>
          <w:rPr>
            <w:webHidden/>
          </w:rPr>
          <w:fldChar w:fldCharType="separate"/>
        </w:r>
        <w:r w:rsidR="002C0C2A">
          <w:rPr>
            <w:webHidden/>
          </w:rPr>
          <w:t>284</w:t>
        </w:r>
        <w:r>
          <w:rPr>
            <w:webHidden/>
          </w:rPr>
          <w:fldChar w:fldCharType="end"/>
        </w:r>
      </w:hyperlink>
    </w:p>
    <w:p w14:paraId="300701EC" w14:textId="5348EED6" w:rsidR="008E67EA" w:rsidRDefault="008E67EA" w:rsidP="008E67EA">
      <w:pPr>
        <w:pStyle w:val="TOC2"/>
        <w:rPr>
          <w:rFonts w:asciiTheme="minorHAnsi" w:eastAsiaTheme="minorEastAsia" w:hAnsiTheme="minorHAnsi"/>
          <w:kern w:val="2"/>
          <w:sz w:val="24"/>
          <w:szCs w:val="24"/>
          <w:lang w:eastAsia="en-AU"/>
          <w14:ligatures w14:val="standardContextual"/>
        </w:rPr>
      </w:pPr>
      <w:hyperlink w:anchor="_Toc216200990" w:history="1">
        <w:r w:rsidRPr="002642D5">
          <w:rPr>
            <w:rStyle w:val="Hyperlink"/>
          </w:rPr>
          <w:t>Statutory criteria</w:t>
        </w:r>
        <w:r>
          <w:rPr>
            <w:webHidden/>
          </w:rPr>
          <w:tab/>
        </w:r>
        <w:r>
          <w:rPr>
            <w:webHidden/>
          </w:rPr>
          <w:fldChar w:fldCharType="begin"/>
        </w:r>
        <w:r>
          <w:rPr>
            <w:webHidden/>
          </w:rPr>
          <w:instrText xml:space="preserve"> PAGEREF _Toc216200990 \h </w:instrText>
        </w:r>
        <w:r>
          <w:rPr>
            <w:webHidden/>
          </w:rPr>
        </w:r>
        <w:r>
          <w:rPr>
            <w:webHidden/>
          </w:rPr>
          <w:fldChar w:fldCharType="separate"/>
        </w:r>
        <w:r w:rsidR="002C0C2A">
          <w:rPr>
            <w:webHidden/>
          </w:rPr>
          <w:t>284</w:t>
        </w:r>
        <w:r>
          <w:rPr>
            <w:webHidden/>
          </w:rPr>
          <w:fldChar w:fldCharType="end"/>
        </w:r>
      </w:hyperlink>
    </w:p>
    <w:p w14:paraId="17E18CDC" w14:textId="72AE6A0A" w:rsidR="008E67EA" w:rsidRDefault="008E67EA" w:rsidP="008E67EA">
      <w:pPr>
        <w:pStyle w:val="TOC3"/>
        <w:tabs>
          <w:tab w:val="right" w:leader="dot" w:pos="9628"/>
        </w:tabs>
        <w:rPr>
          <w:rFonts w:asciiTheme="minorHAnsi" w:eastAsiaTheme="minorEastAsia" w:hAnsiTheme="minorHAnsi"/>
          <w:noProof/>
          <w:kern w:val="2"/>
          <w:sz w:val="24"/>
          <w:lang w:eastAsia="en-AU"/>
          <w14:ligatures w14:val="standardContextual"/>
        </w:rPr>
      </w:pPr>
      <w:hyperlink w:anchor="_Toc216200991" w:history="1">
        <w:r w:rsidRPr="002642D5">
          <w:rPr>
            <w:rStyle w:val="Hyperlink"/>
            <w:noProof/>
          </w:rPr>
          <w:t>Safety criteria</w:t>
        </w:r>
        <w:r>
          <w:rPr>
            <w:noProof/>
            <w:webHidden/>
          </w:rPr>
          <w:tab/>
        </w:r>
        <w:r>
          <w:rPr>
            <w:noProof/>
            <w:webHidden/>
          </w:rPr>
          <w:fldChar w:fldCharType="begin"/>
        </w:r>
        <w:r>
          <w:rPr>
            <w:noProof/>
            <w:webHidden/>
          </w:rPr>
          <w:instrText xml:space="preserve"> PAGEREF _Toc216200991 \h </w:instrText>
        </w:r>
        <w:r>
          <w:rPr>
            <w:noProof/>
            <w:webHidden/>
          </w:rPr>
        </w:r>
        <w:r>
          <w:rPr>
            <w:noProof/>
            <w:webHidden/>
          </w:rPr>
          <w:fldChar w:fldCharType="separate"/>
        </w:r>
        <w:r w:rsidR="002C0C2A">
          <w:rPr>
            <w:noProof/>
            <w:webHidden/>
          </w:rPr>
          <w:t>284</w:t>
        </w:r>
        <w:r>
          <w:rPr>
            <w:noProof/>
            <w:webHidden/>
          </w:rPr>
          <w:fldChar w:fldCharType="end"/>
        </w:r>
      </w:hyperlink>
    </w:p>
    <w:p w14:paraId="42E58A65" w14:textId="7B84003A" w:rsidR="008E67EA" w:rsidRDefault="008E67EA" w:rsidP="008E67EA">
      <w:pPr>
        <w:pStyle w:val="TOC3"/>
        <w:tabs>
          <w:tab w:val="right" w:leader="dot" w:pos="9628"/>
        </w:tabs>
        <w:rPr>
          <w:rFonts w:asciiTheme="minorHAnsi" w:eastAsiaTheme="minorEastAsia" w:hAnsiTheme="minorHAnsi"/>
          <w:noProof/>
          <w:kern w:val="2"/>
          <w:sz w:val="24"/>
          <w:lang w:eastAsia="en-AU"/>
          <w14:ligatures w14:val="standardContextual"/>
        </w:rPr>
      </w:pPr>
      <w:hyperlink w:anchor="_Toc216200992" w:history="1">
        <w:r w:rsidRPr="002642D5">
          <w:rPr>
            <w:rStyle w:val="Hyperlink"/>
            <w:noProof/>
          </w:rPr>
          <w:t>Efficacy criteria</w:t>
        </w:r>
        <w:r>
          <w:rPr>
            <w:noProof/>
            <w:webHidden/>
          </w:rPr>
          <w:tab/>
        </w:r>
        <w:r>
          <w:rPr>
            <w:noProof/>
            <w:webHidden/>
          </w:rPr>
          <w:fldChar w:fldCharType="begin"/>
        </w:r>
        <w:r>
          <w:rPr>
            <w:noProof/>
            <w:webHidden/>
          </w:rPr>
          <w:instrText xml:space="preserve"> PAGEREF _Toc216200992 \h </w:instrText>
        </w:r>
        <w:r>
          <w:rPr>
            <w:noProof/>
            <w:webHidden/>
          </w:rPr>
        </w:r>
        <w:r>
          <w:rPr>
            <w:noProof/>
            <w:webHidden/>
          </w:rPr>
          <w:fldChar w:fldCharType="separate"/>
        </w:r>
        <w:r w:rsidR="002C0C2A">
          <w:rPr>
            <w:noProof/>
            <w:webHidden/>
          </w:rPr>
          <w:t>286</w:t>
        </w:r>
        <w:r>
          <w:rPr>
            <w:noProof/>
            <w:webHidden/>
          </w:rPr>
          <w:fldChar w:fldCharType="end"/>
        </w:r>
      </w:hyperlink>
    </w:p>
    <w:p w14:paraId="7AFB208D" w14:textId="18A07F14" w:rsidR="008E67EA" w:rsidRDefault="008E67EA" w:rsidP="008E67EA">
      <w:pPr>
        <w:pStyle w:val="TOC3"/>
        <w:tabs>
          <w:tab w:val="right" w:leader="dot" w:pos="9628"/>
        </w:tabs>
        <w:rPr>
          <w:rFonts w:asciiTheme="minorHAnsi" w:eastAsiaTheme="minorEastAsia" w:hAnsiTheme="minorHAnsi"/>
          <w:noProof/>
          <w:kern w:val="2"/>
          <w:sz w:val="24"/>
          <w:lang w:eastAsia="en-AU"/>
          <w14:ligatures w14:val="standardContextual"/>
        </w:rPr>
      </w:pPr>
      <w:hyperlink w:anchor="_Toc216200993" w:history="1">
        <w:r w:rsidRPr="002642D5">
          <w:rPr>
            <w:rStyle w:val="Hyperlink"/>
            <w:noProof/>
          </w:rPr>
          <w:t>Trade criteria</w:t>
        </w:r>
        <w:r>
          <w:rPr>
            <w:noProof/>
            <w:webHidden/>
          </w:rPr>
          <w:tab/>
        </w:r>
        <w:r>
          <w:rPr>
            <w:noProof/>
            <w:webHidden/>
          </w:rPr>
          <w:fldChar w:fldCharType="begin"/>
        </w:r>
        <w:r>
          <w:rPr>
            <w:noProof/>
            <w:webHidden/>
          </w:rPr>
          <w:instrText xml:space="preserve"> PAGEREF _Toc216200993 \h </w:instrText>
        </w:r>
        <w:r>
          <w:rPr>
            <w:noProof/>
            <w:webHidden/>
          </w:rPr>
        </w:r>
        <w:r>
          <w:rPr>
            <w:noProof/>
            <w:webHidden/>
          </w:rPr>
          <w:fldChar w:fldCharType="separate"/>
        </w:r>
        <w:r w:rsidR="002C0C2A">
          <w:rPr>
            <w:noProof/>
            <w:webHidden/>
          </w:rPr>
          <w:t>286</w:t>
        </w:r>
        <w:r>
          <w:rPr>
            <w:noProof/>
            <w:webHidden/>
          </w:rPr>
          <w:fldChar w:fldCharType="end"/>
        </w:r>
      </w:hyperlink>
    </w:p>
    <w:p w14:paraId="0F1CB597" w14:textId="5BB32D4D" w:rsidR="008E67EA" w:rsidRDefault="008E67EA" w:rsidP="008E67EA">
      <w:pPr>
        <w:pStyle w:val="TOC3"/>
        <w:tabs>
          <w:tab w:val="right" w:leader="dot" w:pos="9628"/>
        </w:tabs>
        <w:rPr>
          <w:rFonts w:asciiTheme="minorHAnsi" w:eastAsiaTheme="minorEastAsia" w:hAnsiTheme="minorHAnsi"/>
          <w:noProof/>
          <w:kern w:val="2"/>
          <w:sz w:val="24"/>
          <w:lang w:eastAsia="en-AU"/>
          <w14:ligatures w14:val="standardContextual"/>
        </w:rPr>
      </w:pPr>
      <w:hyperlink w:anchor="_Toc216200994" w:history="1">
        <w:r w:rsidRPr="002642D5">
          <w:rPr>
            <w:rStyle w:val="Hyperlink"/>
            <w:noProof/>
          </w:rPr>
          <w:t>Labelling criteria</w:t>
        </w:r>
        <w:r>
          <w:rPr>
            <w:noProof/>
            <w:webHidden/>
          </w:rPr>
          <w:tab/>
        </w:r>
        <w:r>
          <w:rPr>
            <w:noProof/>
            <w:webHidden/>
          </w:rPr>
          <w:fldChar w:fldCharType="begin"/>
        </w:r>
        <w:r>
          <w:rPr>
            <w:noProof/>
            <w:webHidden/>
          </w:rPr>
          <w:instrText xml:space="preserve"> PAGEREF _Toc216200994 \h </w:instrText>
        </w:r>
        <w:r>
          <w:rPr>
            <w:noProof/>
            <w:webHidden/>
          </w:rPr>
        </w:r>
        <w:r>
          <w:rPr>
            <w:noProof/>
            <w:webHidden/>
          </w:rPr>
          <w:fldChar w:fldCharType="separate"/>
        </w:r>
        <w:r w:rsidR="002C0C2A">
          <w:rPr>
            <w:noProof/>
            <w:webHidden/>
          </w:rPr>
          <w:t>286</w:t>
        </w:r>
        <w:r>
          <w:rPr>
            <w:noProof/>
            <w:webHidden/>
          </w:rPr>
          <w:fldChar w:fldCharType="end"/>
        </w:r>
      </w:hyperlink>
    </w:p>
    <w:p w14:paraId="5B6F18C7" w14:textId="70E877F5" w:rsidR="008E67EA" w:rsidRDefault="008E67EA" w:rsidP="008E67EA">
      <w:pPr>
        <w:pStyle w:val="TOC3"/>
        <w:tabs>
          <w:tab w:val="right" w:leader="dot" w:pos="9628"/>
        </w:tabs>
        <w:rPr>
          <w:rFonts w:asciiTheme="minorHAnsi" w:eastAsiaTheme="minorEastAsia" w:hAnsiTheme="minorHAnsi"/>
          <w:noProof/>
          <w:kern w:val="2"/>
          <w:sz w:val="24"/>
          <w:lang w:eastAsia="en-AU"/>
          <w14:ligatures w14:val="standardContextual"/>
        </w:rPr>
      </w:pPr>
      <w:hyperlink w:anchor="_Toc216200995" w:history="1">
        <w:r w:rsidRPr="002642D5">
          <w:rPr>
            <w:rStyle w:val="Hyperlink"/>
            <w:noProof/>
          </w:rPr>
          <w:t>Relevant particulars</w:t>
        </w:r>
        <w:r>
          <w:rPr>
            <w:noProof/>
            <w:webHidden/>
          </w:rPr>
          <w:tab/>
        </w:r>
        <w:r>
          <w:rPr>
            <w:noProof/>
            <w:webHidden/>
          </w:rPr>
          <w:fldChar w:fldCharType="begin"/>
        </w:r>
        <w:r>
          <w:rPr>
            <w:noProof/>
            <w:webHidden/>
          </w:rPr>
          <w:instrText xml:space="preserve"> PAGEREF _Toc216200995 \h </w:instrText>
        </w:r>
        <w:r>
          <w:rPr>
            <w:noProof/>
            <w:webHidden/>
          </w:rPr>
        </w:r>
        <w:r>
          <w:rPr>
            <w:noProof/>
            <w:webHidden/>
          </w:rPr>
          <w:fldChar w:fldCharType="separate"/>
        </w:r>
        <w:r w:rsidR="002C0C2A">
          <w:rPr>
            <w:noProof/>
            <w:webHidden/>
          </w:rPr>
          <w:t>287</w:t>
        </w:r>
        <w:r>
          <w:rPr>
            <w:noProof/>
            <w:webHidden/>
          </w:rPr>
          <w:fldChar w:fldCharType="end"/>
        </w:r>
      </w:hyperlink>
    </w:p>
    <w:p w14:paraId="5016699A" w14:textId="6D07C910" w:rsidR="008E67EA" w:rsidRDefault="008E67EA" w:rsidP="008E67EA">
      <w:pPr>
        <w:pStyle w:val="TOC2"/>
        <w:rPr>
          <w:rFonts w:asciiTheme="minorHAnsi" w:eastAsiaTheme="minorEastAsia" w:hAnsiTheme="minorHAnsi"/>
          <w:kern w:val="2"/>
          <w:sz w:val="24"/>
          <w:szCs w:val="24"/>
          <w:lang w:eastAsia="en-AU"/>
          <w14:ligatures w14:val="standardContextual"/>
        </w:rPr>
      </w:pPr>
      <w:hyperlink w:anchor="_Toc216200996" w:history="1">
        <w:r w:rsidRPr="002642D5">
          <w:rPr>
            <w:rStyle w:val="Hyperlink"/>
          </w:rPr>
          <w:t>Phase-out provisions</w:t>
        </w:r>
        <w:r>
          <w:rPr>
            <w:webHidden/>
          </w:rPr>
          <w:tab/>
        </w:r>
        <w:r>
          <w:rPr>
            <w:webHidden/>
          </w:rPr>
          <w:fldChar w:fldCharType="begin"/>
        </w:r>
        <w:r>
          <w:rPr>
            <w:webHidden/>
          </w:rPr>
          <w:instrText xml:space="preserve"> PAGEREF _Toc216200996 \h </w:instrText>
        </w:r>
        <w:r>
          <w:rPr>
            <w:webHidden/>
          </w:rPr>
        </w:r>
        <w:r>
          <w:rPr>
            <w:webHidden/>
          </w:rPr>
          <w:fldChar w:fldCharType="separate"/>
        </w:r>
        <w:r w:rsidR="002C0C2A">
          <w:rPr>
            <w:webHidden/>
          </w:rPr>
          <w:t>289</w:t>
        </w:r>
        <w:r>
          <w:rPr>
            <w:webHidden/>
          </w:rPr>
          <w:fldChar w:fldCharType="end"/>
        </w:r>
      </w:hyperlink>
    </w:p>
    <w:p w14:paraId="06DE1496" w14:textId="0A6AE8DB" w:rsidR="008E67EA" w:rsidRDefault="008E67EA" w:rsidP="008E67EA">
      <w:pPr>
        <w:pStyle w:val="TOC3"/>
        <w:tabs>
          <w:tab w:val="right" w:leader="dot" w:pos="9628"/>
        </w:tabs>
        <w:rPr>
          <w:rFonts w:asciiTheme="minorHAnsi" w:eastAsiaTheme="minorEastAsia" w:hAnsiTheme="minorHAnsi"/>
          <w:noProof/>
          <w:kern w:val="2"/>
          <w:sz w:val="24"/>
          <w:lang w:eastAsia="en-AU"/>
          <w14:ligatures w14:val="standardContextual"/>
        </w:rPr>
      </w:pPr>
      <w:hyperlink w:anchor="_Toc216200997" w:history="1">
        <w:r w:rsidRPr="002642D5">
          <w:rPr>
            <w:rStyle w:val="Hyperlink"/>
            <w:noProof/>
          </w:rPr>
          <w:t>Phase-out of cancelled products and labels</w:t>
        </w:r>
        <w:r>
          <w:rPr>
            <w:noProof/>
            <w:webHidden/>
          </w:rPr>
          <w:tab/>
        </w:r>
        <w:r>
          <w:rPr>
            <w:noProof/>
            <w:webHidden/>
          </w:rPr>
          <w:fldChar w:fldCharType="begin"/>
        </w:r>
        <w:r>
          <w:rPr>
            <w:noProof/>
            <w:webHidden/>
          </w:rPr>
          <w:instrText xml:space="preserve"> PAGEREF _Toc216200997 \h </w:instrText>
        </w:r>
        <w:r>
          <w:rPr>
            <w:noProof/>
            <w:webHidden/>
          </w:rPr>
        </w:r>
        <w:r>
          <w:rPr>
            <w:noProof/>
            <w:webHidden/>
          </w:rPr>
          <w:fldChar w:fldCharType="separate"/>
        </w:r>
        <w:r w:rsidR="002C0C2A">
          <w:rPr>
            <w:noProof/>
            <w:webHidden/>
          </w:rPr>
          <w:t>289</w:t>
        </w:r>
        <w:r>
          <w:rPr>
            <w:noProof/>
            <w:webHidden/>
          </w:rPr>
          <w:fldChar w:fldCharType="end"/>
        </w:r>
      </w:hyperlink>
    </w:p>
    <w:p w14:paraId="10C87797" w14:textId="7087B8B0" w:rsidR="008E67EA" w:rsidRDefault="008E67EA" w:rsidP="00D4624B">
      <w:pPr>
        <w:pStyle w:val="TOC1"/>
        <w:tabs>
          <w:tab w:val="clear" w:pos="709"/>
          <w:tab w:val="clear" w:pos="1134"/>
          <w:tab w:val="left" w:pos="3261"/>
        </w:tabs>
        <w:rPr>
          <w:rFonts w:asciiTheme="minorHAnsi" w:eastAsiaTheme="minorEastAsia" w:hAnsiTheme="minorHAnsi"/>
          <w:kern w:val="2"/>
          <w:sz w:val="24"/>
          <w:lang w:eastAsia="en-AU"/>
          <w14:ligatures w14:val="standardContextual"/>
        </w:rPr>
      </w:pPr>
      <w:hyperlink w:anchor="_Toc216200998" w:history="1">
        <w:r w:rsidRPr="002642D5">
          <w:rPr>
            <w:rStyle w:val="Hyperlink"/>
          </w:rPr>
          <w:t>F</w:t>
        </w:r>
        <w:r w:rsidR="00D4624B" w:rsidRPr="002642D5">
          <w:rPr>
            <w:rStyle w:val="Hyperlink"/>
          </w:rPr>
          <w:t>indings on material questions of fact</w:t>
        </w:r>
        <w:r>
          <w:rPr>
            <w:webHidden/>
          </w:rPr>
          <w:tab/>
        </w:r>
        <w:r>
          <w:rPr>
            <w:webHidden/>
          </w:rPr>
          <w:fldChar w:fldCharType="begin"/>
        </w:r>
        <w:r>
          <w:rPr>
            <w:webHidden/>
          </w:rPr>
          <w:instrText xml:space="preserve"> PAGEREF _Toc216200998 \h </w:instrText>
        </w:r>
        <w:r>
          <w:rPr>
            <w:webHidden/>
          </w:rPr>
        </w:r>
        <w:r>
          <w:rPr>
            <w:webHidden/>
          </w:rPr>
          <w:fldChar w:fldCharType="separate"/>
        </w:r>
        <w:r w:rsidR="002C0C2A">
          <w:rPr>
            <w:webHidden/>
          </w:rPr>
          <w:t>289</w:t>
        </w:r>
        <w:r>
          <w:rPr>
            <w:webHidden/>
          </w:rPr>
          <w:fldChar w:fldCharType="end"/>
        </w:r>
      </w:hyperlink>
    </w:p>
    <w:p w14:paraId="75A09F10" w14:textId="23F9866B" w:rsidR="008E67EA" w:rsidRDefault="008E67EA" w:rsidP="00D4624B">
      <w:pPr>
        <w:pStyle w:val="TOC1"/>
        <w:tabs>
          <w:tab w:val="clear" w:pos="1134"/>
          <w:tab w:val="left" w:pos="993"/>
        </w:tabs>
        <w:rPr>
          <w:rFonts w:asciiTheme="minorHAnsi" w:eastAsiaTheme="minorEastAsia" w:hAnsiTheme="minorHAnsi"/>
          <w:kern w:val="2"/>
          <w:sz w:val="24"/>
          <w:lang w:eastAsia="en-AU"/>
          <w14:ligatures w14:val="standardContextual"/>
        </w:rPr>
      </w:pPr>
      <w:hyperlink w:anchor="_Toc216200999" w:history="1">
        <w:r w:rsidRPr="002642D5">
          <w:rPr>
            <w:rStyle w:val="Hyperlink"/>
          </w:rPr>
          <w:t>R</w:t>
        </w:r>
        <w:r w:rsidR="00D4624B" w:rsidRPr="002642D5">
          <w:rPr>
            <w:rStyle w:val="Hyperlink"/>
          </w:rPr>
          <w:t>easons</w:t>
        </w:r>
        <w:r>
          <w:rPr>
            <w:webHidden/>
          </w:rPr>
          <w:tab/>
        </w:r>
        <w:r>
          <w:rPr>
            <w:webHidden/>
          </w:rPr>
          <w:fldChar w:fldCharType="begin"/>
        </w:r>
        <w:r>
          <w:rPr>
            <w:webHidden/>
          </w:rPr>
          <w:instrText xml:space="preserve"> PAGEREF _Toc216200999 \h </w:instrText>
        </w:r>
        <w:r>
          <w:rPr>
            <w:webHidden/>
          </w:rPr>
        </w:r>
        <w:r>
          <w:rPr>
            <w:webHidden/>
          </w:rPr>
          <w:fldChar w:fldCharType="separate"/>
        </w:r>
        <w:r w:rsidR="002C0C2A">
          <w:rPr>
            <w:webHidden/>
          </w:rPr>
          <w:t>290</w:t>
        </w:r>
        <w:r>
          <w:rPr>
            <w:webHidden/>
          </w:rPr>
          <w:fldChar w:fldCharType="end"/>
        </w:r>
      </w:hyperlink>
    </w:p>
    <w:p w14:paraId="2E032665" w14:textId="2D021F33" w:rsidR="008E67EA" w:rsidRDefault="008E67EA" w:rsidP="008E67EA">
      <w:pPr>
        <w:pStyle w:val="TOC2"/>
        <w:rPr>
          <w:rFonts w:asciiTheme="minorHAnsi" w:eastAsiaTheme="minorEastAsia" w:hAnsiTheme="minorHAnsi"/>
          <w:kern w:val="2"/>
          <w:sz w:val="24"/>
          <w:szCs w:val="24"/>
          <w:lang w:eastAsia="en-AU"/>
          <w14:ligatures w14:val="standardContextual"/>
        </w:rPr>
      </w:pPr>
      <w:hyperlink w:anchor="_Toc216201000" w:history="1">
        <w:r w:rsidRPr="002642D5">
          <w:rPr>
            <w:rStyle w:val="Hyperlink"/>
          </w:rPr>
          <w:t>Chemical products</w:t>
        </w:r>
        <w:r>
          <w:rPr>
            <w:webHidden/>
          </w:rPr>
          <w:tab/>
        </w:r>
        <w:r>
          <w:rPr>
            <w:webHidden/>
          </w:rPr>
          <w:fldChar w:fldCharType="begin"/>
        </w:r>
        <w:r>
          <w:rPr>
            <w:webHidden/>
          </w:rPr>
          <w:instrText xml:space="preserve"> PAGEREF _Toc216201000 \h </w:instrText>
        </w:r>
        <w:r>
          <w:rPr>
            <w:webHidden/>
          </w:rPr>
        </w:r>
        <w:r>
          <w:rPr>
            <w:webHidden/>
          </w:rPr>
          <w:fldChar w:fldCharType="separate"/>
        </w:r>
        <w:r w:rsidR="002C0C2A">
          <w:rPr>
            <w:webHidden/>
          </w:rPr>
          <w:t>290</w:t>
        </w:r>
        <w:r>
          <w:rPr>
            <w:webHidden/>
          </w:rPr>
          <w:fldChar w:fldCharType="end"/>
        </w:r>
      </w:hyperlink>
    </w:p>
    <w:p w14:paraId="49E4B4A7" w14:textId="01898A75" w:rsidR="008E67EA" w:rsidRDefault="008E67EA" w:rsidP="008E67EA">
      <w:pPr>
        <w:pStyle w:val="TOC3"/>
        <w:tabs>
          <w:tab w:val="right" w:leader="dot" w:pos="9628"/>
        </w:tabs>
        <w:rPr>
          <w:rFonts w:asciiTheme="minorHAnsi" w:eastAsiaTheme="minorEastAsia" w:hAnsiTheme="minorHAnsi"/>
          <w:noProof/>
          <w:kern w:val="2"/>
          <w:sz w:val="24"/>
          <w:lang w:eastAsia="en-AU"/>
          <w14:ligatures w14:val="standardContextual"/>
        </w:rPr>
      </w:pPr>
      <w:hyperlink w:anchor="_Toc216201001" w:history="1">
        <w:r w:rsidRPr="002642D5">
          <w:rPr>
            <w:rStyle w:val="Hyperlink"/>
            <w:noProof/>
          </w:rPr>
          <w:t>Consideration of the safety criteria</w:t>
        </w:r>
        <w:r>
          <w:rPr>
            <w:noProof/>
            <w:webHidden/>
          </w:rPr>
          <w:tab/>
        </w:r>
        <w:r>
          <w:rPr>
            <w:noProof/>
            <w:webHidden/>
          </w:rPr>
          <w:fldChar w:fldCharType="begin"/>
        </w:r>
        <w:r>
          <w:rPr>
            <w:noProof/>
            <w:webHidden/>
          </w:rPr>
          <w:instrText xml:space="preserve"> PAGEREF _Toc216201001 \h </w:instrText>
        </w:r>
        <w:r>
          <w:rPr>
            <w:noProof/>
            <w:webHidden/>
          </w:rPr>
        </w:r>
        <w:r>
          <w:rPr>
            <w:noProof/>
            <w:webHidden/>
          </w:rPr>
          <w:fldChar w:fldCharType="separate"/>
        </w:r>
        <w:r w:rsidR="002C0C2A">
          <w:rPr>
            <w:noProof/>
            <w:webHidden/>
          </w:rPr>
          <w:t>290</w:t>
        </w:r>
        <w:r>
          <w:rPr>
            <w:noProof/>
            <w:webHidden/>
          </w:rPr>
          <w:fldChar w:fldCharType="end"/>
        </w:r>
      </w:hyperlink>
    </w:p>
    <w:p w14:paraId="65F33AD7" w14:textId="293C476F" w:rsidR="008E67EA" w:rsidRDefault="008E67EA" w:rsidP="008E67EA">
      <w:pPr>
        <w:pStyle w:val="TOC2"/>
        <w:rPr>
          <w:rFonts w:asciiTheme="minorHAnsi" w:eastAsiaTheme="minorEastAsia" w:hAnsiTheme="minorHAnsi"/>
          <w:kern w:val="2"/>
          <w:sz w:val="24"/>
          <w:szCs w:val="24"/>
          <w:lang w:eastAsia="en-AU"/>
          <w14:ligatures w14:val="standardContextual"/>
        </w:rPr>
      </w:pPr>
      <w:hyperlink w:anchor="_Toc216201002" w:history="1">
        <w:r w:rsidRPr="002642D5">
          <w:rPr>
            <w:rStyle w:val="Hyperlink"/>
          </w:rPr>
          <w:t>Label approvals</w:t>
        </w:r>
        <w:r>
          <w:rPr>
            <w:webHidden/>
          </w:rPr>
          <w:tab/>
        </w:r>
        <w:r>
          <w:rPr>
            <w:webHidden/>
          </w:rPr>
          <w:fldChar w:fldCharType="begin"/>
        </w:r>
        <w:r>
          <w:rPr>
            <w:webHidden/>
          </w:rPr>
          <w:instrText xml:space="preserve"> PAGEREF _Toc216201002 \h </w:instrText>
        </w:r>
        <w:r>
          <w:rPr>
            <w:webHidden/>
          </w:rPr>
        </w:r>
        <w:r>
          <w:rPr>
            <w:webHidden/>
          </w:rPr>
          <w:fldChar w:fldCharType="separate"/>
        </w:r>
        <w:r w:rsidR="002C0C2A">
          <w:rPr>
            <w:webHidden/>
          </w:rPr>
          <w:t>295</w:t>
        </w:r>
        <w:r>
          <w:rPr>
            <w:webHidden/>
          </w:rPr>
          <w:fldChar w:fldCharType="end"/>
        </w:r>
      </w:hyperlink>
    </w:p>
    <w:p w14:paraId="3F253195" w14:textId="2CE62F67" w:rsidR="008E67EA" w:rsidRDefault="008E67EA" w:rsidP="00D4624B">
      <w:pPr>
        <w:pStyle w:val="TOC1"/>
        <w:tabs>
          <w:tab w:val="clear" w:pos="1134"/>
          <w:tab w:val="left" w:pos="1276"/>
        </w:tabs>
        <w:rPr>
          <w:rFonts w:asciiTheme="minorHAnsi" w:eastAsiaTheme="minorEastAsia" w:hAnsiTheme="minorHAnsi"/>
          <w:kern w:val="2"/>
          <w:sz w:val="24"/>
          <w:lang w:eastAsia="en-AU"/>
          <w14:ligatures w14:val="standardContextual"/>
        </w:rPr>
      </w:pPr>
      <w:hyperlink w:anchor="_Toc216201003" w:history="1">
        <w:r w:rsidRPr="002642D5">
          <w:rPr>
            <w:rStyle w:val="Hyperlink"/>
          </w:rPr>
          <w:t>C</w:t>
        </w:r>
        <w:r w:rsidR="00D4624B" w:rsidRPr="002642D5">
          <w:rPr>
            <w:rStyle w:val="Hyperlink"/>
          </w:rPr>
          <w:t>onclusions</w:t>
        </w:r>
        <w:r>
          <w:rPr>
            <w:webHidden/>
          </w:rPr>
          <w:tab/>
        </w:r>
        <w:r>
          <w:rPr>
            <w:webHidden/>
          </w:rPr>
          <w:fldChar w:fldCharType="begin"/>
        </w:r>
        <w:r>
          <w:rPr>
            <w:webHidden/>
          </w:rPr>
          <w:instrText xml:space="preserve"> PAGEREF _Toc216201003 \h </w:instrText>
        </w:r>
        <w:r>
          <w:rPr>
            <w:webHidden/>
          </w:rPr>
        </w:r>
        <w:r>
          <w:rPr>
            <w:webHidden/>
          </w:rPr>
          <w:fldChar w:fldCharType="separate"/>
        </w:r>
        <w:r w:rsidR="002C0C2A">
          <w:rPr>
            <w:webHidden/>
          </w:rPr>
          <w:t>296</w:t>
        </w:r>
        <w:r>
          <w:rPr>
            <w:webHidden/>
          </w:rPr>
          <w:fldChar w:fldCharType="end"/>
        </w:r>
      </w:hyperlink>
    </w:p>
    <w:p w14:paraId="10EBF50D" w14:textId="5A61AF4B" w:rsidR="008E67EA" w:rsidRDefault="008E67EA" w:rsidP="008E67EA">
      <w:pPr>
        <w:pStyle w:val="StatementofReasonsHeading1"/>
      </w:pPr>
      <w:r>
        <w:rPr>
          <w:rStyle w:val="Hyperlink"/>
          <w:noProof/>
        </w:rPr>
        <w:fldChar w:fldCharType="end"/>
      </w:r>
      <w:bookmarkStart w:id="365" w:name="_Toc216200984"/>
      <w:r>
        <w:t>B</w:t>
      </w:r>
      <w:r w:rsidR="0071188C">
        <w:t>ackground</w:t>
      </w:r>
      <w:bookmarkEnd w:id="365"/>
    </w:p>
    <w:p w14:paraId="4724B7FB" w14:textId="77777777" w:rsidR="008E67EA" w:rsidRDefault="008E67EA" w:rsidP="008E67EA">
      <w:pPr>
        <w:pStyle w:val="StatementofReasonsHeading2"/>
      </w:pPr>
      <w:bookmarkStart w:id="366" w:name="_Toc216200985"/>
      <w:r>
        <w:t xml:space="preserve">Reconsideration of </w:t>
      </w:r>
      <w:bookmarkStart w:id="367" w:name="_Hlk213083400"/>
      <w:r>
        <w:t>anticoagulant rodenticide chemical products and labels</w:t>
      </w:r>
      <w:bookmarkEnd w:id="366"/>
      <w:bookmarkEnd w:id="367"/>
    </w:p>
    <w:p w14:paraId="66B3043A" w14:textId="77777777" w:rsidR="008E67EA" w:rsidRDefault="008E67EA">
      <w:pPr>
        <w:pStyle w:val="NumberLevel1"/>
        <w:numPr>
          <w:ilvl w:val="0"/>
          <w:numId w:val="46"/>
        </w:numPr>
        <w:rPr>
          <w:color w:val="000000" w:themeColor="text1"/>
        </w:rPr>
      </w:pPr>
      <w:r w:rsidRPr="002F148A">
        <w:rPr>
          <w:color w:val="000000" w:themeColor="text1"/>
        </w:rPr>
        <w:t xml:space="preserve">On 2 November 2021, the APVMA provided notices under section 32 of the Agvet Code that the APVMA was reconsidering the registration of chemical products containing </w:t>
      </w:r>
      <w:bookmarkStart w:id="368" w:name="_Hlk211334455"/>
      <w:r w:rsidRPr="002F148A">
        <w:rPr>
          <w:color w:val="000000" w:themeColor="text1"/>
        </w:rPr>
        <w:t xml:space="preserve">anticoagulant rodenticides </w:t>
      </w:r>
      <w:bookmarkEnd w:id="368"/>
      <w:r w:rsidRPr="002F148A">
        <w:rPr>
          <w:color w:val="000000" w:themeColor="text1"/>
        </w:rPr>
        <w:t xml:space="preserve">and the approval of labels for containers for these chemical products. </w:t>
      </w:r>
      <w:r>
        <w:rPr>
          <w:color w:val="000000" w:themeColor="text1"/>
        </w:rPr>
        <w:t>This r</w:t>
      </w:r>
      <w:r w:rsidRPr="002F148A">
        <w:rPr>
          <w:color w:val="000000" w:themeColor="text1"/>
        </w:rPr>
        <w:t>econsideration is</w:t>
      </w:r>
      <w:r>
        <w:rPr>
          <w:color w:val="000000" w:themeColor="text1"/>
        </w:rPr>
        <w:t xml:space="preserve"> being</w:t>
      </w:r>
      <w:r w:rsidRPr="002F148A">
        <w:rPr>
          <w:color w:val="000000" w:themeColor="text1"/>
        </w:rPr>
        <w:t xml:space="preserve"> undertaken in accordance with the provisions of Division 4 of Part 2 of the Code.</w:t>
      </w:r>
    </w:p>
    <w:p w14:paraId="7CB6226C" w14:textId="77777777" w:rsidR="008E67EA" w:rsidRDefault="008E67EA">
      <w:pPr>
        <w:pStyle w:val="NumberLevel1"/>
        <w:numPr>
          <w:ilvl w:val="0"/>
          <w:numId w:val="46"/>
        </w:numPr>
        <w:rPr>
          <w:color w:val="000000" w:themeColor="text1"/>
        </w:rPr>
      </w:pPr>
      <w:r w:rsidRPr="009D2FF2">
        <w:rPr>
          <w:color w:val="000000" w:themeColor="text1"/>
        </w:rPr>
        <w:t xml:space="preserve">The notices issued under section 32 of the Agvet Code stated that the matters the APVMA proposed to deal with in the reconsideration included assessment of chemistry, toxicology, worker and public exposure, residues </w:t>
      </w:r>
      <w:r>
        <w:rPr>
          <w:color w:val="000000" w:themeColor="text1"/>
        </w:rPr>
        <w:t xml:space="preserve">(including trade) </w:t>
      </w:r>
      <w:r w:rsidRPr="009D2FF2">
        <w:rPr>
          <w:color w:val="000000" w:themeColor="text1"/>
        </w:rPr>
        <w:t xml:space="preserve">and environment aspects of anticoagulant rodenticide active constituent approvals, product registrations and label approvals. </w:t>
      </w:r>
      <w:bookmarkStart w:id="369" w:name="_Hlk213083572"/>
      <w:r w:rsidRPr="009D2FF2">
        <w:rPr>
          <w:color w:val="000000" w:themeColor="text1"/>
        </w:rPr>
        <w:t xml:space="preserve">Further, </w:t>
      </w:r>
      <w:r>
        <w:rPr>
          <w:color w:val="000000" w:themeColor="text1"/>
        </w:rPr>
        <w:t>in relation to</w:t>
      </w:r>
      <w:r w:rsidRPr="009D2FF2">
        <w:rPr>
          <w:color w:val="000000" w:themeColor="text1"/>
        </w:rPr>
        <w:t xml:space="preserve"> chemical products</w:t>
      </w:r>
      <w:r>
        <w:rPr>
          <w:color w:val="000000" w:themeColor="text1"/>
        </w:rPr>
        <w:t xml:space="preserve"> and labels, the basis of the reconsideration</w:t>
      </w:r>
      <w:r w:rsidRPr="009D2FF2">
        <w:rPr>
          <w:color w:val="000000" w:themeColor="text1"/>
        </w:rPr>
        <w:t xml:space="preserve"> was whether the products continue to meet the safety criteria set out in section 5A of the Agvet Code, the products continue to meet the trade criteria as set out in section 5C of the Agvet Code, </w:t>
      </w:r>
      <w:r>
        <w:rPr>
          <w:color w:val="000000" w:themeColor="text1"/>
        </w:rPr>
        <w:t xml:space="preserve">the labels </w:t>
      </w:r>
      <w:r>
        <w:rPr>
          <w:color w:val="000000" w:themeColor="text1"/>
        </w:rPr>
        <w:lastRenderedPageBreak/>
        <w:t xml:space="preserve">continue to meet the labelling criteria set out in section 5D of the Agvet Code, </w:t>
      </w:r>
      <w:r w:rsidRPr="009D2FF2">
        <w:rPr>
          <w:color w:val="000000" w:themeColor="text1"/>
        </w:rPr>
        <w:t>and the product</w:t>
      </w:r>
      <w:r>
        <w:rPr>
          <w:color w:val="000000" w:themeColor="text1"/>
        </w:rPr>
        <w:t xml:space="preserve"> and label</w:t>
      </w:r>
      <w:r w:rsidRPr="009D2FF2">
        <w:rPr>
          <w:color w:val="000000" w:themeColor="text1"/>
        </w:rPr>
        <w:t xml:space="preserve"> complies with any requirement prescribed by the Agricultural and Veterinary Chemicals Code Regulations 1995 (Agvet Regulations).</w:t>
      </w:r>
      <w:bookmarkEnd w:id="369"/>
    </w:p>
    <w:p w14:paraId="72538503" w14:textId="77777777" w:rsidR="008E67EA" w:rsidRDefault="008E67EA">
      <w:pPr>
        <w:pStyle w:val="NumberLevel1"/>
        <w:numPr>
          <w:ilvl w:val="0"/>
          <w:numId w:val="46"/>
        </w:numPr>
        <w:rPr>
          <w:color w:val="000000" w:themeColor="text1"/>
        </w:rPr>
      </w:pPr>
      <w:bookmarkStart w:id="370" w:name="_Ref216037157"/>
      <w:r>
        <w:rPr>
          <w:color w:val="000000" w:themeColor="text1"/>
        </w:rPr>
        <w:t xml:space="preserve">In those notices while the APVMA did have concerns about </w:t>
      </w:r>
      <w:r w:rsidRPr="001855CA">
        <w:rPr>
          <w:color w:val="000000" w:themeColor="text1"/>
        </w:rPr>
        <w:t>whether</w:t>
      </w:r>
      <w:r>
        <w:rPr>
          <w:color w:val="000000" w:themeColor="text1"/>
        </w:rPr>
        <w:t>:</w:t>
      </w:r>
      <w:bookmarkEnd w:id="370"/>
    </w:p>
    <w:p w14:paraId="0922C6FE" w14:textId="77777777" w:rsidR="008E67EA" w:rsidRDefault="008E67EA">
      <w:pPr>
        <w:pStyle w:val="NumberLevel2"/>
        <w:numPr>
          <w:ilvl w:val="1"/>
          <w:numId w:val="46"/>
        </w:numPr>
        <w:ind w:left="1134"/>
      </w:pPr>
      <w:r w:rsidRPr="001855CA">
        <w:t xml:space="preserve"> the products continue to meet the safety criteria set out in section 5A of the Agvet Code,</w:t>
      </w:r>
    </w:p>
    <w:p w14:paraId="1638BE57" w14:textId="77777777" w:rsidR="008E67EA" w:rsidRDefault="008E67EA">
      <w:pPr>
        <w:pStyle w:val="NumberLevel2"/>
        <w:numPr>
          <w:ilvl w:val="1"/>
          <w:numId w:val="46"/>
        </w:numPr>
        <w:ind w:left="1134"/>
      </w:pPr>
      <w:r w:rsidRPr="001855CA">
        <w:t xml:space="preserve"> the products continue to meet the trade criteria as set out in section 5C of the Agvet Code, </w:t>
      </w:r>
      <w:r>
        <w:t>and</w:t>
      </w:r>
    </w:p>
    <w:p w14:paraId="19EACEB3" w14:textId="77777777" w:rsidR="008E67EA" w:rsidRDefault="008E67EA">
      <w:pPr>
        <w:pStyle w:val="NumberLevel2"/>
        <w:numPr>
          <w:ilvl w:val="1"/>
          <w:numId w:val="46"/>
        </w:numPr>
        <w:ind w:left="1134"/>
      </w:pPr>
      <w:r w:rsidRPr="001855CA">
        <w:t>the labels continue to meet the labelling criteria set out in section 5D of the Agvet Code,</w:t>
      </w:r>
      <w:r>
        <w:t xml:space="preserve"> </w:t>
      </w:r>
    </w:p>
    <w:p w14:paraId="60085A41" w14:textId="77777777" w:rsidR="008E67EA" w:rsidRDefault="008E67EA" w:rsidP="008E67EA">
      <w:pPr>
        <w:pStyle w:val="NumberLevel2"/>
        <w:numPr>
          <w:ilvl w:val="0"/>
          <w:numId w:val="0"/>
        </w:numPr>
        <w:ind w:left="567"/>
      </w:pPr>
      <w:r>
        <w:t>no concerns were raised about whether</w:t>
      </w:r>
      <w:r w:rsidRPr="009C3C22">
        <w:t xml:space="preserve"> the use of products in accordance with current instructions for use are not effective</w:t>
      </w:r>
      <w:r>
        <w:t xml:space="preserve">. Therefore, </w:t>
      </w:r>
      <w:r w:rsidRPr="009C3C22">
        <w:t>whether the products continue to meet the efficacy criteria as set out in section 5B of the Agvet Code was not included as a matter to be dealt with as part of the anticoagulant rodenticide reconsideration in notices issued under section 32 of the Agvet Code and the APVMA has not decided to deal with this matter during the reconsideration</w:t>
      </w:r>
      <w:r>
        <w:t>.</w:t>
      </w:r>
    </w:p>
    <w:p w14:paraId="3B7B566A" w14:textId="3010D246" w:rsidR="008E67EA" w:rsidRDefault="008E67EA">
      <w:pPr>
        <w:pStyle w:val="NumberLevel1"/>
        <w:numPr>
          <w:ilvl w:val="0"/>
          <w:numId w:val="46"/>
        </w:numPr>
        <w:rPr>
          <w:color w:val="000000" w:themeColor="text1"/>
        </w:rPr>
      </w:pPr>
      <w:bookmarkStart w:id="371" w:name="_Hlk213083589"/>
      <w:bookmarkStart w:id="372" w:name="_Ref213084128"/>
      <w:r w:rsidRPr="00010477">
        <w:rPr>
          <w:color w:val="000000" w:themeColor="text1"/>
        </w:rPr>
        <w:t>Section 32(2B) of the Agvet Code provides that nothing in subsections (1)(2) or (2A) requires the APVMA to deal with a particular matter as part of the reconsideration.</w:t>
      </w:r>
      <w:r>
        <w:rPr>
          <w:color w:val="000000" w:themeColor="text1"/>
        </w:rPr>
        <w:t xml:space="preserve"> </w:t>
      </w:r>
      <w:bookmarkEnd w:id="371"/>
      <w:r w:rsidRPr="00010477">
        <w:rPr>
          <w:color w:val="000000" w:themeColor="text1"/>
        </w:rPr>
        <w:t>During the reconsideration, the APVMA decided not to deal with</w:t>
      </w:r>
      <w:r>
        <w:rPr>
          <w:color w:val="000000" w:themeColor="text1"/>
        </w:rPr>
        <w:t xml:space="preserve"> </w:t>
      </w:r>
      <w:r w:rsidRPr="00010477">
        <w:rPr>
          <w:color w:val="000000" w:themeColor="text1"/>
        </w:rPr>
        <w:t xml:space="preserve">whether </w:t>
      </w:r>
      <w:r>
        <w:rPr>
          <w:color w:val="000000" w:themeColor="text1"/>
        </w:rPr>
        <w:t>chemical</w:t>
      </w:r>
      <w:r w:rsidRPr="00010477">
        <w:rPr>
          <w:color w:val="000000" w:themeColor="text1"/>
        </w:rPr>
        <w:t xml:space="preserve"> products continue to meet the trade criteria as part of the reconsideration. The basis for deciding not to deal with these trade aspects is that if chemical products are used in accordance with instructions for use necessary to ensure they meet the safety criteria, any product that</w:t>
      </w:r>
      <w:r>
        <w:rPr>
          <w:color w:val="000000" w:themeColor="text1"/>
        </w:rPr>
        <w:t xml:space="preserve"> is</w:t>
      </w:r>
      <w:r w:rsidRPr="00010477">
        <w:rPr>
          <w:color w:val="000000" w:themeColor="text1"/>
        </w:rPr>
        <w:t xml:space="preserve"> the subject of trade between Australia and places outside of Australia should not contain any anticoagulant rodenticide residues.</w:t>
      </w:r>
      <w:bookmarkEnd w:id="372"/>
    </w:p>
    <w:p w14:paraId="05AF0271" w14:textId="708EC462" w:rsidR="008E67EA" w:rsidRDefault="008E67EA">
      <w:pPr>
        <w:pStyle w:val="NumberLevel1"/>
        <w:numPr>
          <w:ilvl w:val="0"/>
          <w:numId w:val="46"/>
        </w:numPr>
        <w:rPr>
          <w:color w:val="000000" w:themeColor="text1"/>
        </w:rPr>
      </w:pPr>
      <w:bookmarkStart w:id="373" w:name="_Hlk213083681"/>
      <w:bookmarkStart w:id="374" w:name="_Ref211887686"/>
      <w:r w:rsidRPr="002F148A">
        <w:rPr>
          <w:color w:val="000000" w:themeColor="text1"/>
        </w:rPr>
        <w:t>Therefore, the reconsideration of the chemical products containing anticoagulant rodenticides</w:t>
      </w:r>
      <w:r w:rsidRPr="00C1569B">
        <w:rPr>
          <w:color w:val="FF0000"/>
        </w:rPr>
        <w:t xml:space="preserve"> </w:t>
      </w:r>
      <w:r w:rsidRPr="002F148A">
        <w:rPr>
          <w:color w:val="000000" w:themeColor="text1"/>
        </w:rPr>
        <w:t xml:space="preserve">was limited to consideration of whether the APVMA </w:t>
      </w:r>
      <w:r>
        <w:rPr>
          <w:color w:val="000000" w:themeColor="text1"/>
        </w:rPr>
        <w:t>is</w:t>
      </w:r>
      <w:r w:rsidRPr="002F148A">
        <w:rPr>
          <w:color w:val="000000" w:themeColor="text1"/>
        </w:rPr>
        <w:t xml:space="preserve"> satisfied that the relevant chemical products met the safety criteria</w:t>
      </w:r>
      <w:r>
        <w:rPr>
          <w:color w:val="000000" w:themeColor="text1"/>
        </w:rPr>
        <w:t xml:space="preserve"> and comply with any requirements prescribed by the Agvet Regulations</w:t>
      </w:r>
      <w:r w:rsidRPr="002F148A">
        <w:rPr>
          <w:color w:val="000000" w:themeColor="text1"/>
        </w:rPr>
        <w:t>.</w:t>
      </w:r>
    </w:p>
    <w:p w14:paraId="25FD6C0A" w14:textId="77777777" w:rsidR="008E67EA" w:rsidRPr="008400D2" w:rsidRDefault="008E67EA">
      <w:pPr>
        <w:pStyle w:val="NumberLevel1"/>
        <w:numPr>
          <w:ilvl w:val="0"/>
          <w:numId w:val="46"/>
        </w:numPr>
        <w:rPr>
          <w:color w:val="000000" w:themeColor="text1"/>
        </w:rPr>
      </w:pPr>
      <w:bookmarkStart w:id="375" w:name="_Hlk213083689"/>
      <w:bookmarkEnd w:id="373"/>
      <w:r>
        <w:rPr>
          <w:color w:val="000000" w:themeColor="text1"/>
        </w:rPr>
        <w:t>T</w:t>
      </w:r>
      <w:r w:rsidRPr="008400D2">
        <w:rPr>
          <w:color w:val="000000" w:themeColor="text1"/>
        </w:rPr>
        <w:t>he reconsideration of anticoagulant rodenticide label</w:t>
      </w:r>
      <w:r>
        <w:rPr>
          <w:color w:val="000000" w:themeColor="text1"/>
        </w:rPr>
        <w:t xml:space="preserve"> approvals</w:t>
      </w:r>
      <w:r w:rsidRPr="008400D2">
        <w:rPr>
          <w:color w:val="000000" w:themeColor="text1"/>
        </w:rPr>
        <w:t xml:space="preserve"> </w:t>
      </w:r>
      <w:r>
        <w:rPr>
          <w:color w:val="000000" w:themeColor="text1"/>
        </w:rPr>
        <w:t xml:space="preserve">considered </w:t>
      </w:r>
      <w:r w:rsidRPr="008400D2">
        <w:rPr>
          <w:color w:val="000000" w:themeColor="text1"/>
        </w:rPr>
        <w:t>whether the labels m</w:t>
      </w:r>
      <w:r>
        <w:rPr>
          <w:color w:val="000000" w:themeColor="text1"/>
        </w:rPr>
        <w:t>e</w:t>
      </w:r>
      <w:r w:rsidRPr="008400D2">
        <w:rPr>
          <w:color w:val="000000" w:themeColor="text1"/>
        </w:rPr>
        <w:t>et the labelling criteria, with respect to whether a label contains adequate instructions to ensure, as far as reasonably practicable, that the product meets the safety criteria.</w:t>
      </w:r>
      <w:bookmarkEnd w:id="374"/>
    </w:p>
    <w:p w14:paraId="06267DF3" w14:textId="77777777" w:rsidR="008E67EA" w:rsidRPr="00F91B28" w:rsidRDefault="008E67EA">
      <w:pPr>
        <w:pStyle w:val="NumberLevel1"/>
        <w:numPr>
          <w:ilvl w:val="0"/>
          <w:numId w:val="46"/>
        </w:numPr>
        <w:rPr>
          <w:color w:val="000000" w:themeColor="text1"/>
        </w:rPr>
      </w:pPr>
      <w:bookmarkStart w:id="376" w:name="_Hlk213083712"/>
      <w:bookmarkEnd w:id="375"/>
      <w:r w:rsidRPr="00F91B28">
        <w:rPr>
          <w:color w:val="000000" w:themeColor="text1"/>
        </w:rPr>
        <w:t xml:space="preserve">The APVMA has finalised the technical assessments for this reconsideration. These assessments took into account information provided in response to the notices under section 32 of the Agvet Code issued on 2 November 2021, information provided in response to additional notices under section 32 of the Agvet Code issued on </w:t>
      </w:r>
      <w:r w:rsidRPr="00F91B28">
        <w:t xml:space="preserve">17 March 2025 </w:t>
      </w:r>
      <w:r w:rsidRPr="00F91B28">
        <w:rPr>
          <w:color w:val="000000" w:themeColor="text1"/>
        </w:rPr>
        <w:t xml:space="preserve">and notices under section 33 of the Agvet Code issued on </w:t>
      </w:r>
      <w:r w:rsidRPr="00F91B28">
        <w:t>28 November 2022, 27 June 2024 and 4 July 2024</w:t>
      </w:r>
      <w:r>
        <w:t>, information in the APVMA records submitted for the registration of relevant products and approval of relevant labels, and any relevant information in the public domain identified by the APVMA (Attachment C)</w:t>
      </w:r>
      <w:r w:rsidRPr="00F91B28">
        <w:rPr>
          <w:color w:val="000000" w:themeColor="text1"/>
        </w:rPr>
        <w:t xml:space="preserve">. </w:t>
      </w:r>
    </w:p>
    <w:bookmarkEnd w:id="376"/>
    <w:p w14:paraId="0DBA7D3E" w14:textId="77777777" w:rsidR="008E67EA" w:rsidRPr="002F148A" w:rsidRDefault="008E67EA">
      <w:pPr>
        <w:pStyle w:val="NumberLevel1"/>
        <w:numPr>
          <w:ilvl w:val="0"/>
          <w:numId w:val="46"/>
        </w:numPr>
        <w:rPr>
          <w:color w:val="000000" w:themeColor="text1"/>
        </w:rPr>
      </w:pPr>
      <w:r w:rsidRPr="002F148A">
        <w:rPr>
          <w:color w:val="000000" w:themeColor="text1"/>
        </w:rPr>
        <w:t>I have had regard to the technical assessments before proposing to make this decision. I agree with their conclusions (except where I indicate to the contrary in this statement of reasons).</w:t>
      </w:r>
    </w:p>
    <w:p w14:paraId="46635C36" w14:textId="77777777" w:rsidR="008E67EA" w:rsidRDefault="008E67EA">
      <w:pPr>
        <w:pStyle w:val="NumberLevel1"/>
        <w:numPr>
          <w:ilvl w:val="0"/>
          <w:numId w:val="46"/>
        </w:numPr>
        <w:rPr>
          <w:color w:val="000000" w:themeColor="text1"/>
        </w:rPr>
      </w:pPr>
      <w:r w:rsidRPr="002F148A">
        <w:rPr>
          <w:color w:val="000000" w:themeColor="text1"/>
        </w:rPr>
        <w:t xml:space="preserve">I am now giving notice under section 34AB of the Agvet Code of my proposed decision </w:t>
      </w:r>
      <w:r>
        <w:rPr>
          <w:color w:val="000000" w:themeColor="text1"/>
        </w:rPr>
        <w:t>to cancel the</w:t>
      </w:r>
      <w:r w:rsidRPr="002F148A">
        <w:rPr>
          <w:color w:val="000000" w:themeColor="text1"/>
        </w:rPr>
        <w:t xml:space="preserve"> chemical product registrations </w:t>
      </w:r>
      <w:r>
        <w:rPr>
          <w:color w:val="000000" w:themeColor="text1"/>
        </w:rPr>
        <w:t xml:space="preserve">and associates label approvals </w:t>
      </w:r>
      <w:r w:rsidRPr="002F148A">
        <w:rPr>
          <w:color w:val="000000" w:themeColor="text1"/>
        </w:rPr>
        <w:t>listed in Attachment A of this notice.</w:t>
      </w:r>
    </w:p>
    <w:p w14:paraId="6CD54F4B" w14:textId="13A37937" w:rsidR="008E67EA" w:rsidRPr="008B1EEE" w:rsidRDefault="008E67EA" w:rsidP="008E67EA">
      <w:pPr>
        <w:pStyle w:val="StatementofReasonsHeading1"/>
      </w:pPr>
      <w:bookmarkStart w:id="377" w:name="_Toc216200986"/>
      <w:bookmarkStart w:id="378" w:name="_Hlk213083738"/>
      <w:r w:rsidRPr="008B1EEE">
        <w:lastRenderedPageBreak/>
        <w:t>L</w:t>
      </w:r>
      <w:r w:rsidR="0071188C" w:rsidRPr="008B1EEE">
        <w:t>egal framework</w:t>
      </w:r>
      <w:bookmarkEnd w:id="377"/>
    </w:p>
    <w:p w14:paraId="4E4FDB9E" w14:textId="77777777" w:rsidR="008E67EA" w:rsidRPr="008F6E78" w:rsidRDefault="008E67EA" w:rsidP="008E67EA">
      <w:pPr>
        <w:pStyle w:val="StatementofReasonsHeading2"/>
      </w:pPr>
      <w:bookmarkStart w:id="379" w:name="_Toc216200987"/>
      <w:bookmarkEnd w:id="378"/>
      <w:r w:rsidRPr="008F6E78">
        <w:t>Affirmation</w:t>
      </w:r>
      <w:bookmarkEnd w:id="379"/>
    </w:p>
    <w:p w14:paraId="68A92179" w14:textId="77777777" w:rsidR="008E67EA" w:rsidRDefault="008E67EA">
      <w:pPr>
        <w:pStyle w:val="NumberLevel1"/>
        <w:numPr>
          <w:ilvl w:val="0"/>
          <w:numId w:val="46"/>
        </w:numPr>
      </w:pPr>
      <w:bookmarkStart w:id="380" w:name="_Ref216294878"/>
      <w:r>
        <w:t>Section 34(1) of the Agvet Code provides that the APVMA must affirm an approval or registration if, and only if, it is satisfied that:</w:t>
      </w:r>
      <w:bookmarkEnd w:id="380"/>
    </w:p>
    <w:p w14:paraId="3B76206F" w14:textId="77777777" w:rsidR="008E67EA" w:rsidRDefault="008E67EA">
      <w:pPr>
        <w:pStyle w:val="NumberLevel2"/>
        <w:numPr>
          <w:ilvl w:val="1"/>
          <w:numId w:val="46"/>
        </w:numPr>
        <w:ind w:left="1134"/>
      </w:pPr>
      <w:r>
        <w:t>for a chemical product registration – that the product meets the safety criteria, the trade criteria and the efficacy criteria, and the product complies with any requirement prescribed by the Agvet Regulations.</w:t>
      </w:r>
    </w:p>
    <w:p w14:paraId="3DC7175E" w14:textId="77777777" w:rsidR="008E67EA" w:rsidRDefault="008E67EA">
      <w:pPr>
        <w:pStyle w:val="NumberLevel2"/>
        <w:numPr>
          <w:ilvl w:val="1"/>
          <w:numId w:val="46"/>
        </w:numPr>
        <w:ind w:left="1134"/>
      </w:pPr>
      <w:r>
        <w:t>for a label – that the label meets the labelling criteria and the label complies with any requirement prescribed by the Agvet Regulations.</w:t>
      </w:r>
    </w:p>
    <w:p w14:paraId="19D85136" w14:textId="77777777" w:rsidR="008E67EA" w:rsidRDefault="008E67EA">
      <w:pPr>
        <w:pStyle w:val="NumberLevel1"/>
        <w:numPr>
          <w:ilvl w:val="0"/>
          <w:numId w:val="46"/>
        </w:numPr>
      </w:pPr>
      <w:r>
        <w:t>Subsection 34(2) of the Agvet Code provides that subsection (1) applies only to the extent that the APVMA decides to reconsider matters covered by the subsection.</w:t>
      </w:r>
    </w:p>
    <w:p w14:paraId="1AB032DA" w14:textId="77777777" w:rsidR="008E67EA" w:rsidRDefault="008E67EA" w:rsidP="008E67EA">
      <w:pPr>
        <w:pStyle w:val="StatementofReasonsHeading2"/>
      </w:pPr>
      <w:bookmarkStart w:id="381" w:name="_Toc216200988"/>
      <w:r>
        <w:t>Variation required to satisfy requirements for affirmation</w:t>
      </w:r>
      <w:bookmarkEnd w:id="381"/>
    </w:p>
    <w:p w14:paraId="749B8B71" w14:textId="77777777" w:rsidR="008E67EA" w:rsidRDefault="008E67EA">
      <w:pPr>
        <w:pStyle w:val="NumberLevel1"/>
        <w:numPr>
          <w:ilvl w:val="0"/>
          <w:numId w:val="46"/>
        </w:numPr>
      </w:pPr>
      <w:r>
        <w:t>Section 34A(1) of the Agvet Code provides that if the APVMA is not satisfied under section 34(1) but is satisfied that the relevant particulars or conditions of the approval or registration can be varied in such a way as to allow the approval to be affirmed, the APVMA must vary the relevant particulars or conditions.</w:t>
      </w:r>
    </w:p>
    <w:p w14:paraId="0E415B60" w14:textId="77777777" w:rsidR="008E67EA" w:rsidRDefault="008E67EA">
      <w:pPr>
        <w:pStyle w:val="NumberLevel1"/>
        <w:numPr>
          <w:ilvl w:val="0"/>
          <w:numId w:val="46"/>
        </w:numPr>
      </w:pPr>
      <w:r>
        <w:t xml:space="preserve">Section 34A(2) of the Agvet Code specifies the information that the APVMA may have regard to in making a decision to vary the relevant particulars or conditions. It provides that, the APVMA may have regard only to the following: </w:t>
      </w:r>
    </w:p>
    <w:p w14:paraId="7C5B25F2" w14:textId="77777777" w:rsidR="008E67EA" w:rsidRDefault="008E67EA">
      <w:pPr>
        <w:pStyle w:val="NumberLevel2"/>
        <w:numPr>
          <w:ilvl w:val="1"/>
          <w:numId w:val="46"/>
        </w:numPr>
        <w:ind w:left="1134"/>
      </w:pPr>
      <w:r>
        <w:t>submissions, information, reports, results or samples that it had regard to under section 34;</w:t>
      </w:r>
    </w:p>
    <w:p w14:paraId="4FCBBE55" w14:textId="77777777" w:rsidR="008E67EA" w:rsidRPr="002F148A" w:rsidRDefault="008E67EA">
      <w:pPr>
        <w:pStyle w:val="NumberLevel2"/>
        <w:numPr>
          <w:ilvl w:val="1"/>
          <w:numId w:val="46"/>
        </w:numPr>
        <w:ind w:left="1134"/>
      </w:pPr>
      <w:r>
        <w:t>submissions made to the APVMA in response to the invitation under paragraph 34AB(2)(f).</w:t>
      </w:r>
    </w:p>
    <w:p w14:paraId="5651A1D0" w14:textId="77777777" w:rsidR="008E67EA" w:rsidRPr="008B1EEE" w:rsidRDefault="008E67EA" w:rsidP="008E67EA">
      <w:pPr>
        <w:pStyle w:val="StatementofReasonsHeading2"/>
      </w:pPr>
      <w:bookmarkStart w:id="382" w:name="_Toc216200989"/>
      <w:r w:rsidRPr="008B1EEE">
        <w:t>Cancellation or suspension</w:t>
      </w:r>
      <w:bookmarkEnd w:id="382"/>
    </w:p>
    <w:p w14:paraId="14B987B9" w14:textId="77777777" w:rsidR="008E67EA" w:rsidRDefault="008E67EA">
      <w:pPr>
        <w:pStyle w:val="NumberLevel1"/>
        <w:numPr>
          <w:ilvl w:val="0"/>
          <w:numId w:val="46"/>
        </w:numPr>
        <w:rPr>
          <w:color w:val="000000" w:themeColor="text1"/>
        </w:rPr>
      </w:pPr>
      <w:r>
        <w:rPr>
          <w:color w:val="000000" w:themeColor="text1"/>
        </w:rPr>
        <w:t>Section 34AA(1) of the Agvet Code provides that if</w:t>
      </w:r>
      <w:r w:rsidRPr="004F7D21">
        <w:rPr>
          <w:color w:val="000000" w:themeColor="text1"/>
        </w:rPr>
        <w:t xml:space="preserve"> the APVMA does not affirm the approval or registration, it must suspend or cancel the approval or registration.</w:t>
      </w:r>
    </w:p>
    <w:p w14:paraId="2C9891E9" w14:textId="77777777" w:rsidR="008E67EA" w:rsidRDefault="008E67EA" w:rsidP="008E67EA">
      <w:pPr>
        <w:pStyle w:val="StatementofReasonsHeading2"/>
      </w:pPr>
      <w:bookmarkStart w:id="383" w:name="_Toc216200990"/>
      <w:r>
        <w:t>Statutory criteria</w:t>
      </w:r>
      <w:bookmarkEnd w:id="383"/>
    </w:p>
    <w:p w14:paraId="742258FB" w14:textId="1E584909" w:rsidR="008E67EA" w:rsidRDefault="008E67EA">
      <w:pPr>
        <w:pStyle w:val="NumberLevel1"/>
        <w:numPr>
          <w:ilvl w:val="0"/>
          <w:numId w:val="46"/>
        </w:numPr>
      </w:pPr>
      <w:bookmarkStart w:id="384" w:name="_Hlk213083823"/>
      <w:r>
        <w:t>The statutory criteria to which</w:t>
      </w:r>
      <w:bookmarkEnd w:id="384"/>
      <w:r w:rsidRPr="002179E5">
        <w:t xml:space="preserve"> reference was made in paragraph </w:t>
      </w:r>
      <w:r w:rsidR="002529EA">
        <w:fldChar w:fldCharType="begin"/>
      </w:r>
      <w:r w:rsidR="002529EA">
        <w:instrText xml:space="preserve"> REF _Ref216294878 \r \h </w:instrText>
      </w:r>
      <w:r w:rsidR="002529EA">
        <w:fldChar w:fldCharType="separate"/>
      </w:r>
      <w:r w:rsidR="002C0C2A">
        <w:t>10</w:t>
      </w:r>
      <w:r w:rsidR="002529EA">
        <w:fldChar w:fldCharType="end"/>
      </w:r>
      <w:r>
        <w:t xml:space="preserve"> above </w:t>
      </w:r>
      <w:r w:rsidRPr="003A3926">
        <w:t xml:space="preserve">in relation to the </w:t>
      </w:r>
      <w:r>
        <w:t xml:space="preserve">affirmation of the </w:t>
      </w:r>
      <w:r w:rsidRPr="003A3926">
        <w:t>registration of a chemical product</w:t>
      </w:r>
      <w:r>
        <w:t xml:space="preserve"> and approval of a label are set out below</w:t>
      </w:r>
      <w:r w:rsidRPr="003A3926">
        <w:t>.</w:t>
      </w:r>
    </w:p>
    <w:p w14:paraId="64BC7E02" w14:textId="77777777" w:rsidR="008E67EA" w:rsidRDefault="008E67EA" w:rsidP="008E67EA">
      <w:pPr>
        <w:pStyle w:val="StatementofReasonsHeading3"/>
      </w:pPr>
      <w:bookmarkStart w:id="385" w:name="_Toc216200991"/>
      <w:r>
        <w:t>Safety criteria</w:t>
      </w:r>
      <w:bookmarkEnd w:id="385"/>
    </w:p>
    <w:p w14:paraId="2E3AF110" w14:textId="77777777" w:rsidR="008E67EA" w:rsidRDefault="008E67EA">
      <w:pPr>
        <w:pStyle w:val="NumberLevel1"/>
        <w:numPr>
          <w:ilvl w:val="0"/>
          <w:numId w:val="46"/>
        </w:numPr>
      </w:pPr>
      <w:bookmarkStart w:id="386" w:name="_Ref216294932"/>
      <w:r>
        <w:t xml:space="preserve">The definition of </w:t>
      </w:r>
      <w:r w:rsidRPr="00100C25">
        <w:rPr>
          <w:i/>
          <w:iCs/>
        </w:rPr>
        <w:t>‘meets the safety criteria’</w:t>
      </w:r>
      <w:r>
        <w:t xml:space="preserve"> with respect to an active constituent and a chemical product is set out in section 5A of the Agvet Code</w:t>
      </w:r>
      <w:r w:rsidRPr="002179E5">
        <w:t>.</w:t>
      </w:r>
      <w:r>
        <w:t xml:space="preserve"> </w:t>
      </w:r>
      <w:r w:rsidRPr="003A3926">
        <w:t>In relation to chemical products, subsections 5A(1) and (3) of the Agvet Code provides:</w:t>
      </w:r>
      <w:bookmarkEnd w:id="386"/>
    </w:p>
    <w:p w14:paraId="263EC097" w14:textId="77777777" w:rsidR="008E67EA" w:rsidRPr="002179E5" w:rsidRDefault="008E67EA" w:rsidP="008E67EA">
      <w:pPr>
        <w:pStyle w:val="Leg1SecHead1"/>
        <w:ind w:hanging="709"/>
        <w:rPr>
          <w:sz w:val="18"/>
          <w:szCs w:val="20"/>
        </w:rPr>
      </w:pPr>
      <w:r>
        <w:rPr>
          <w:sz w:val="18"/>
          <w:szCs w:val="20"/>
        </w:rPr>
        <w:t xml:space="preserve">5A </w:t>
      </w:r>
      <w:r w:rsidRPr="00100C25">
        <w:rPr>
          <w:sz w:val="18"/>
          <w:szCs w:val="20"/>
        </w:rPr>
        <w:t xml:space="preserve">Definition of </w:t>
      </w:r>
      <w:r w:rsidRPr="00100C25">
        <w:rPr>
          <w:i/>
          <w:iCs/>
          <w:sz w:val="18"/>
          <w:szCs w:val="20"/>
        </w:rPr>
        <w:t>meets the safety criteria</w:t>
      </w:r>
    </w:p>
    <w:p w14:paraId="506F2929" w14:textId="77777777" w:rsidR="008E67EA" w:rsidRPr="00100C25" w:rsidRDefault="008E67EA" w:rsidP="0071188C">
      <w:pPr>
        <w:pStyle w:val="Leg4Subsec1"/>
        <w:numPr>
          <w:ilvl w:val="0"/>
          <w:numId w:val="13"/>
        </w:numPr>
        <w:rPr>
          <w:sz w:val="18"/>
          <w:szCs w:val="20"/>
        </w:rPr>
      </w:pPr>
      <w:r w:rsidRPr="00100C25">
        <w:rPr>
          <w:sz w:val="18"/>
          <w:szCs w:val="20"/>
        </w:rPr>
        <w:t xml:space="preserve">An active constituent or chemical product </w:t>
      </w:r>
      <w:r w:rsidRPr="00B146FA">
        <w:rPr>
          <w:b/>
          <w:bCs/>
          <w:i/>
          <w:iCs/>
          <w:sz w:val="18"/>
          <w:szCs w:val="20"/>
        </w:rPr>
        <w:t>meets the safety criteria</w:t>
      </w:r>
      <w:r w:rsidRPr="00100C25">
        <w:rPr>
          <w:sz w:val="18"/>
          <w:szCs w:val="20"/>
        </w:rPr>
        <w:t xml:space="preserve"> if use of the constituent or product, in accordance with any instructions approved, or to be approved, by the APVMA for the constituent or product or contained in an established standard:</w:t>
      </w:r>
    </w:p>
    <w:p w14:paraId="538AEE99" w14:textId="77777777" w:rsidR="008E67EA" w:rsidRPr="00100C25" w:rsidRDefault="008E67EA" w:rsidP="0071188C">
      <w:pPr>
        <w:pStyle w:val="Leg5Paraa"/>
        <w:numPr>
          <w:ilvl w:val="0"/>
          <w:numId w:val="11"/>
        </w:numPr>
        <w:rPr>
          <w:sz w:val="18"/>
          <w:szCs w:val="20"/>
        </w:rPr>
      </w:pPr>
      <w:r w:rsidRPr="00100C25">
        <w:rPr>
          <w:sz w:val="18"/>
          <w:szCs w:val="20"/>
        </w:rPr>
        <w:lastRenderedPageBreak/>
        <w:t>is not, or would not be, an undue hazard to the safety of people exposed to it during its handling or people using anything containing its residues; and</w:t>
      </w:r>
    </w:p>
    <w:p w14:paraId="13F04238" w14:textId="77777777" w:rsidR="008E67EA" w:rsidRPr="00100C25" w:rsidRDefault="008E67EA" w:rsidP="0071188C">
      <w:pPr>
        <w:pStyle w:val="Leg5Paraa"/>
        <w:numPr>
          <w:ilvl w:val="0"/>
          <w:numId w:val="11"/>
        </w:numPr>
        <w:rPr>
          <w:sz w:val="18"/>
          <w:szCs w:val="20"/>
        </w:rPr>
      </w:pPr>
      <w:r w:rsidRPr="00100C25">
        <w:rPr>
          <w:sz w:val="18"/>
          <w:szCs w:val="20"/>
        </w:rPr>
        <w:t>is not, or would not be, likely to have an effect that is harmful to human beings; and</w:t>
      </w:r>
    </w:p>
    <w:p w14:paraId="032921A2" w14:textId="77777777" w:rsidR="008E67EA" w:rsidRPr="00100C25" w:rsidRDefault="008E67EA" w:rsidP="0071188C">
      <w:pPr>
        <w:pStyle w:val="Leg5Paraa"/>
        <w:numPr>
          <w:ilvl w:val="0"/>
          <w:numId w:val="11"/>
        </w:numPr>
        <w:rPr>
          <w:sz w:val="18"/>
          <w:szCs w:val="20"/>
        </w:rPr>
      </w:pPr>
      <w:r w:rsidRPr="00100C25">
        <w:rPr>
          <w:sz w:val="18"/>
          <w:szCs w:val="20"/>
        </w:rPr>
        <w:t>is not, or would not be, likely to have an unintended effect that is harmful to animals, plants or things or to the environment.</w:t>
      </w:r>
    </w:p>
    <w:p w14:paraId="5BFBFBAC" w14:textId="77777777" w:rsidR="008E67EA" w:rsidRDefault="008E67EA">
      <w:pPr>
        <w:pStyle w:val="Leg4Subsec1"/>
        <w:numPr>
          <w:ilvl w:val="0"/>
          <w:numId w:val="37"/>
        </w:numPr>
        <w:ind w:left="1276"/>
        <w:rPr>
          <w:sz w:val="18"/>
          <w:szCs w:val="20"/>
        </w:rPr>
      </w:pPr>
      <w:r w:rsidRPr="00100C25">
        <w:rPr>
          <w:sz w:val="18"/>
          <w:szCs w:val="20"/>
        </w:rPr>
        <w:t>For the purposes of being satisfied as to whether a chemical product meets the safety criteria, the APVMA:</w:t>
      </w:r>
    </w:p>
    <w:p w14:paraId="6CF2DBB0" w14:textId="77777777" w:rsidR="008E67EA" w:rsidRDefault="008E67EA">
      <w:pPr>
        <w:pStyle w:val="Leg5Paraa"/>
        <w:numPr>
          <w:ilvl w:val="0"/>
          <w:numId w:val="20"/>
        </w:numPr>
        <w:rPr>
          <w:sz w:val="18"/>
          <w:szCs w:val="20"/>
        </w:rPr>
      </w:pPr>
      <w:r w:rsidRPr="00100C25">
        <w:rPr>
          <w:sz w:val="18"/>
          <w:szCs w:val="20"/>
        </w:rPr>
        <w:t>must have regard to the following:</w:t>
      </w:r>
    </w:p>
    <w:p w14:paraId="3BE2D67D" w14:textId="77777777" w:rsidR="008E67EA" w:rsidRPr="004B77E0" w:rsidRDefault="008E67EA">
      <w:pPr>
        <w:pStyle w:val="Leg5Paraa"/>
        <w:numPr>
          <w:ilvl w:val="0"/>
          <w:numId w:val="21"/>
        </w:numPr>
        <w:rPr>
          <w:sz w:val="18"/>
          <w:szCs w:val="20"/>
        </w:rPr>
      </w:pPr>
      <w:r>
        <w:rPr>
          <w:sz w:val="18"/>
          <w:szCs w:val="20"/>
        </w:rPr>
        <w:t>th</w:t>
      </w:r>
      <w:r w:rsidRPr="004B77E0">
        <w:rPr>
          <w:sz w:val="18"/>
          <w:szCs w:val="20"/>
        </w:rPr>
        <w:t>e toxicity of the product and its residues, including metabolites and degradation products, in relation to relevant organisms and ecosystems, including human beings;</w:t>
      </w:r>
    </w:p>
    <w:p w14:paraId="084B5474" w14:textId="77777777" w:rsidR="008E67EA" w:rsidRPr="004B77E0" w:rsidRDefault="008E67EA">
      <w:pPr>
        <w:pStyle w:val="Leg5Paraa"/>
        <w:numPr>
          <w:ilvl w:val="0"/>
          <w:numId w:val="21"/>
        </w:numPr>
        <w:rPr>
          <w:sz w:val="18"/>
          <w:szCs w:val="20"/>
        </w:rPr>
      </w:pPr>
      <w:r w:rsidRPr="004B77E0">
        <w:rPr>
          <w:sz w:val="18"/>
          <w:szCs w:val="20"/>
        </w:rPr>
        <w:t>the relevant poison classification of the product under the law in force in this jurisdiction;</w:t>
      </w:r>
    </w:p>
    <w:p w14:paraId="4CF38DDA" w14:textId="77777777" w:rsidR="008E67EA" w:rsidRPr="004B77E0" w:rsidRDefault="008E67EA">
      <w:pPr>
        <w:pStyle w:val="Leg5Paraa"/>
        <w:numPr>
          <w:ilvl w:val="0"/>
          <w:numId w:val="21"/>
        </w:numPr>
        <w:rPr>
          <w:sz w:val="18"/>
          <w:szCs w:val="20"/>
        </w:rPr>
      </w:pPr>
      <w:r w:rsidRPr="004B77E0">
        <w:rPr>
          <w:sz w:val="18"/>
          <w:szCs w:val="20"/>
        </w:rPr>
        <w:t>how the product is formulated;</w:t>
      </w:r>
    </w:p>
    <w:p w14:paraId="3695C860" w14:textId="77777777" w:rsidR="008E67EA" w:rsidRPr="004B77E0" w:rsidRDefault="008E67EA">
      <w:pPr>
        <w:pStyle w:val="Leg5Paraa"/>
        <w:numPr>
          <w:ilvl w:val="0"/>
          <w:numId w:val="21"/>
        </w:numPr>
        <w:rPr>
          <w:sz w:val="18"/>
          <w:szCs w:val="20"/>
        </w:rPr>
      </w:pPr>
      <w:r w:rsidRPr="004B77E0">
        <w:rPr>
          <w:sz w:val="18"/>
          <w:szCs w:val="20"/>
        </w:rPr>
        <w:t>the composition and form of the constituents of the product;</w:t>
      </w:r>
    </w:p>
    <w:p w14:paraId="2B34DF19" w14:textId="77777777" w:rsidR="008E67EA" w:rsidRPr="004B77E0" w:rsidRDefault="008E67EA">
      <w:pPr>
        <w:pStyle w:val="Leg5Paraa"/>
        <w:numPr>
          <w:ilvl w:val="0"/>
          <w:numId w:val="21"/>
        </w:numPr>
        <w:rPr>
          <w:sz w:val="18"/>
          <w:szCs w:val="20"/>
        </w:rPr>
      </w:pPr>
      <w:r w:rsidRPr="004B77E0">
        <w:rPr>
          <w:sz w:val="18"/>
          <w:szCs w:val="20"/>
        </w:rPr>
        <w:t>any conditions to which its registration is, or would be, subject;</w:t>
      </w:r>
    </w:p>
    <w:p w14:paraId="265F7BDB" w14:textId="77777777" w:rsidR="008E67EA" w:rsidRDefault="008E67EA">
      <w:pPr>
        <w:pStyle w:val="Leg5Paraa"/>
        <w:numPr>
          <w:ilvl w:val="0"/>
          <w:numId w:val="21"/>
        </w:numPr>
        <w:rPr>
          <w:sz w:val="18"/>
          <w:szCs w:val="20"/>
        </w:rPr>
      </w:pPr>
      <w:r w:rsidRPr="004B77E0">
        <w:rPr>
          <w:sz w:val="18"/>
          <w:szCs w:val="20"/>
        </w:rPr>
        <w:t>any relevant particulars that are, or would be, entered in the Register for the product;</w:t>
      </w:r>
    </w:p>
    <w:p w14:paraId="381F35C2" w14:textId="77777777" w:rsidR="008E67EA" w:rsidRDefault="008E67EA" w:rsidP="008E67EA">
      <w:pPr>
        <w:pStyle w:val="Leg5Paraa"/>
        <w:ind w:left="2410" w:hanging="425"/>
        <w:rPr>
          <w:sz w:val="18"/>
          <w:szCs w:val="20"/>
        </w:rPr>
      </w:pPr>
      <w:r>
        <w:rPr>
          <w:sz w:val="18"/>
          <w:szCs w:val="20"/>
        </w:rPr>
        <w:t>(v</w:t>
      </w:r>
      <w:r w:rsidRPr="00100C25">
        <w:rPr>
          <w:sz w:val="18"/>
          <w:szCs w:val="20"/>
        </w:rPr>
        <w:t xml:space="preserve">ia) </w:t>
      </w:r>
      <w:r w:rsidRPr="004B77E0">
        <w:rPr>
          <w:sz w:val="18"/>
          <w:szCs w:val="20"/>
        </w:rPr>
        <w:t>whether the product conforms, or would conform, to any standard made for the product under section 6E to the extent that the standard relates to matters covered by subsection (1);</w:t>
      </w:r>
    </w:p>
    <w:p w14:paraId="205E2BF8" w14:textId="77777777" w:rsidR="008E67EA" w:rsidRDefault="008E67EA">
      <w:pPr>
        <w:pStyle w:val="Leg5Paraa"/>
        <w:numPr>
          <w:ilvl w:val="0"/>
          <w:numId w:val="21"/>
        </w:numPr>
        <w:rPr>
          <w:sz w:val="18"/>
          <w:szCs w:val="20"/>
        </w:rPr>
      </w:pPr>
      <w:r w:rsidRPr="004B77E0">
        <w:rPr>
          <w:sz w:val="18"/>
          <w:szCs w:val="20"/>
        </w:rPr>
        <w:t xml:space="preserve">any matters prescribed by the regulations; </w:t>
      </w:r>
      <w:r>
        <w:rPr>
          <w:sz w:val="18"/>
          <w:szCs w:val="20"/>
        </w:rPr>
        <w:t>and</w:t>
      </w:r>
    </w:p>
    <w:p w14:paraId="57C9906D" w14:textId="77777777" w:rsidR="008E67EA" w:rsidRDefault="008E67EA">
      <w:pPr>
        <w:pStyle w:val="Leg5Paraa"/>
        <w:numPr>
          <w:ilvl w:val="0"/>
          <w:numId w:val="20"/>
        </w:numPr>
        <w:rPr>
          <w:sz w:val="18"/>
          <w:szCs w:val="20"/>
        </w:rPr>
      </w:pPr>
      <w:r w:rsidRPr="00100C25">
        <w:rPr>
          <w:sz w:val="18"/>
          <w:szCs w:val="20"/>
        </w:rPr>
        <w:t>may have regard to one or more of the following:</w:t>
      </w:r>
    </w:p>
    <w:p w14:paraId="6AB67C70" w14:textId="77777777" w:rsidR="008E67EA" w:rsidRPr="004B77E0" w:rsidRDefault="008E67EA">
      <w:pPr>
        <w:pStyle w:val="Leg5Paraa"/>
        <w:numPr>
          <w:ilvl w:val="0"/>
          <w:numId w:val="22"/>
        </w:numPr>
        <w:rPr>
          <w:sz w:val="18"/>
          <w:szCs w:val="20"/>
        </w:rPr>
      </w:pPr>
      <w:r w:rsidRPr="004B77E0">
        <w:rPr>
          <w:sz w:val="18"/>
          <w:szCs w:val="20"/>
        </w:rPr>
        <w:t>the acceptable daily intake of each constituent contained in the product;</w:t>
      </w:r>
    </w:p>
    <w:p w14:paraId="75D0C288" w14:textId="77777777" w:rsidR="008E67EA" w:rsidRPr="004B77E0" w:rsidRDefault="008E67EA">
      <w:pPr>
        <w:pStyle w:val="Leg5Paraa"/>
        <w:numPr>
          <w:ilvl w:val="0"/>
          <w:numId w:val="22"/>
        </w:numPr>
        <w:rPr>
          <w:sz w:val="18"/>
          <w:szCs w:val="20"/>
        </w:rPr>
      </w:pPr>
      <w:r w:rsidRPr="004B77E0">
        <w:rPr>
          <w:sz w:val="18"/>
          <w:szCs w:val="20"/>
        </w:rPr>
        <w:t xml:space="preserve">any dietary exposure assessment prepared under subsection 82(4) of the </w:t>
      </w:r>
      <w:r w:rsidRPr="004B77E0">
        <w:rPr>
          <w:i/>
          <w:iCs/>
          <w:sz w:val="18"/>
          <w:szCs w:val="20"/>
        </w:rPr>
        <w:t>Food Standards Australia New Zealand Act 1991</w:t>
      </w:r>
      <w:r w:rsidRPr="004B77E0">
        <w:rPr>
          <w:sz w:val="18"/>
          <w:szCs w:val="20"/>
        </w:rPr>
        <w:t xml:space="preserve"> as a result of any proposed variation notified under subsection 82(3) of that Act in relation to the product, and any comments on the assessment given to the APVMA under subsection 82(4) of that Act;</w:t>
      </w:r>
    </w:p>
    <w:p w14:paraId="64C3C02F" w14:textId="77777777" w:rsidR="008E67EA" w:rsidRPr="004B77E0" w:rsidRDefault="008E67EA">
      <w:pPr>
        <w:pStyle w:val="Leg5Paraa"/>
        <w:numPr>
          <w:ilvl w:val="0"/>
          <w:numId w:val="22"/>
        </w:numPr>
        <w:rPr>
          <w:sz w:val="18"/>
          <w:szCs w:val="20"/>
        </w:rPr>
      </w:pPr>
      <w:r w:rsidRPr="004B77E0">
        <w:rPr>
          <w:sz w:val="18"/>
          <w:szCs w:val="20"/>
        </w:rPr>
        <w:t>whether any trials or laboratory experiments have been carried out to determine the residues of the product and, if so, the results of those trials or experiments and whether those results show that the residues of the product will not be greater than limits that the APVMA has approved or approves;</w:t>
      </w:r>
    </w:p>
    <w:p w14:paraId="44B0B0C0" w14:textId="77777777" w:rsidR="008E67EA" w:rsidRPr="004B77E0" w:rsidRDefault="008E67EA">
      <w:pPr>
        <w:pStyle w:val="Leg5Paraa"/>
        <w:numPr>
          <w:ilvl w:val="0"/>
          <w:numId w:val="22"/>
        </w:numPr>
        <w:rPr>
          <w:sz w:val="18"/>
          <w:szCs w:val="20"/>
        </w:rPr>
      </w:pPr>
      <w:r w:rsidRPr="004B77E0">
        <w:rPr>
          <w:sz w:val="18"/>
          <w:szCs w:val="20"/>
        </w:rPr>
        <w:t>the stability of the product;</w:t>
      </w:r>
    </w:p>
    <w:p w14:paraId="4979A23F" w14:textId="77777777" w:rsidR="008E67EA" w:rsidRPr="004B77E0" w:rsidRDefault="008E67EA">
      <w:pPr>
        <w:pStyle w:val="Leg5Paraa"/>
        <w:numPr>
          <w:ilvl w:val="0"/>
          <w:numId w:val="22"/>
        </w:numPr>
        <w:rPr>
          <w:sz w:val="18"/>
          <w:szCs w:val="20"/>
        </w:rPr>
      </w:pPr>
      <w:r w:rsidRPr="004B77E0">
        <w:rPr>
          <w:sz w:val="18"/>
          <w:szCs w:val="20"/>
        </w:rPr>
        <w:t>the specifications for containers for the product;</w:t>
      </w:r>
    </w:p>
    <w:p w14:paraId="5A522553" w14:textId="77777777" w:rsidR="008E67EA" w:rsidRPr="00100C25" w:rsidRDefault="008E67EA">
      <w:pPr>
        <w:pStyle w:val="Leg5Paraa"/>
        <w:numPr>
          <w:ilvl w:val="0"/>
          <w:numId w:val="22"/>
        </w:numPr>
        <w:rPr>
          <w:sz w:val="18"/>
          <w:szCs w:val="20"/>
        </w:rPr>
      </w:pPr>
      <w:r w:rsidRPr="004B77E0">
        <w:rPr>
          <w:sz w:val="18"/>
          <w:szCs w:val="20"/>
        </w:rPr>
        <w:t>such other matters as it thinks relevant.</w:t>
      </w:r>
    </w:p>
    <w:p w14:paraId="1C6EC436" w14:textId="77777777" w:rsidR="008E67EA" w:rsidRDefault="008E67EA">
      <w:pPr>
        <w:pStyle w:val="NumberLevel1"/>
        <w:numPr>
          <w:ilvl w:val="0"/>
          <w:numId w:val="46"/>
        </w:numPr>
      </w:pPr>
      <w:r>
        <w:t xml:space="preserve">In regard to matters in which the APVMA must have regard to </w:t>
      </w:r>
      <w:r w:rsidRPr="00DB124C">
        <w:t xml:space="preserve">for the purposes of being satisfied as to whether </w:t>
      </w:r>
      <w:r w:rsidRPr="000B2FF5">
        <w:t>a chemical product meets the safety criteria</w:t>
      </w:r>
      <w:r>
        <w:t xml:space="preserve">, regulation 8AB of the Agvet </w:t>
      </w:r>
      <w:r w:rsidRPr="00100C25">
        <w:t>Regulations</w:t>
      </w:r>
      <w:r>
        <w:t xml:space="preserve"> prescribes the following:</w:t>
      </w:r>
    </w:p>
    <w:p w14:paraId="606A0409" w14:textId="77777777" w:rsidR="008E67EA" w:rsidRPr="00B86A69" w:rsidRDefault="008E67EA" w:rsidP="008E67EA">
      <w:pPr>
        <w:pStyle w:val="Leg1SecHead1"/>
        <w:ind w:hanging="709"/>
        <w:rPr>
          <w:sz w:val="18"/>
          <w:szCs w:val="20"/>
        </w:rPr>
      </w:pPr>
      <w:r w:rsidRPr="00B86A69">
        <w:rPr>
          <w:sz w:val="18"/>
          <w:szCs w:val="20"/>
        </w:rPr>
        <w:t>8AB</w:t>
      </w:r>
      <w:r>
        <w:rPr>
          <w:sz w:val="18"/>
          <w:szCs w:val="20"/>
        </w:rPr>
        <w:t xml:space="preserve"> </w:t>
      </w:r>
      <w:r w:rsidRPr="00B86A69">
        <w:rPr>
          <w:sz w:val="18"/>
          <w:szCs w:val="20"/>
        </w:rPr>
        <w:t>Safety criteria—chemical products</w:t>
      </w:r>
    </w:p>
    <w:p w14:paraId="5E29C4DB" w14:textId="77777777" w:rsidR="008E67EA" w:rsidRPr="00B86A69" w:rsidRDefault="008E67EA">
      <w:pPr>
        <w:pStyle w:val="Leg4Subsec1"/>
        <w:numPr>
          <w:ilvl w:val="0"/>
          <w:numId w:val="29"/>
        </w:numPr>
        <w:rPr>
          <w:sz w:val="18"/>
          <w:szCs w:val="20"/>
        </w:rPr>
      </w:pPr>
      <w:r w:rsidRPr="00B86A69">
        <w:rPr>
          <w:sz w:val="18"/>
          <w:szCs w:val="20"/>
        </w:rPr>
        <w:t>For subparagraph 5A(3)(a)(vii) of the Code, the following are prescribed matters for a chemical product:</w:t>
      </w:r>
    </w:p>
    <w:p w14:paraId="0371DB81" w14:textId="77777777" w:rsidR="008E67EA" w:rsidRPr="00B86A69" w:rsidRDefault="008E67EA">
      <w:pPr>
        <w:pStyle w:val="Leg5Paraa"/>
        <w:numPr>
          <w:ilvl w:val="0"/>
          <w:numId w:val="25"/>
        </w:numPr>
        <w:rPr>
          <w:sz w:val="18"/>
          <w:szCs w:val="20"/>
        </w:rPr>
      </w:pPr>
      <w:r w:rsidRPr="00B86A69">
        <w:rPr>
          <w:sz w:val="18"/>
          <w:szCs w:val="20"/>
        </w:rPr>
        <w:t>for all chemical products—the method of analysis (if any) of the chemical composition and form of the constituents of the chemical product;</w:t>
      </w:r>
    </w:p>
    <w:p w14:paraId="41FEA474" w14:textId="77777777" w:rsidR="008E67EA" w:rsidRPr="00B86A69" w:rsidRDefault="008E67EA">
      <w:pPr>
        <w:pStyle w:val="Leg5Paraa"/>
        <w:numPr>
          <w:ilvl w:val="0"/>
          <w:numId w:val="25"/>
        </w:numPr>
        <w:rPr>
          <w:sz w:val="18"/>
          <w:szCs w:val="20"/>
        </w:rPr>
      </w:pPr>
      <w:r w:rsidRPr="00B86A69">
        <w:rPr>
          <w:sz w:val="18"/>
          <w:szCs w:val="20"/>
        </w:rPr>
        <w:t>for a product manufactured in Australia—whether each step in the manufacture of the product complies, or will comply, with the manufacturing principles and the Australian GMP Code;</w:t>
      </w:r>
    </w:p>
    <w:p w14:paraId="60F7BFA5" w14:textId="77777777" w:rsidR="008E67EA" w:rsidRPr="00B86A69" w:rsidRDefault="008E67EA">
      <w:pPr>
        <w:pStyle w:val="Leg5Paraa"/>
        <w:numPr>
          <w:ilvl w:val="0"/>
          <w:numId w:val="25"/>
        </w:numPr>
        <w:rPr>
          <w:sz w:val="18"/>
          <w:szCs w:val="20"/>
        </w:rPr>
      </w:pPr>
      <w:r w:rsidRPr="00B86A69">
        <w:rPr>
          <w:sz w:val="18"/>
          <w:szCs w:val="20"/>
        </w:rPr>
        <w:lastRenderedPageBreak/>
        <w:t>for a product manufactured outside Australia—whether each step in the manufacture of the product complies, or will comply, with a standard that the APVMA has determined is comparable to the manufacturing principles and the Australian GMP Code;</w:t>
      </w:r>
    </w:p>
    <w:p w14:paraId="1B7FFE0D" w14:textId="77777777" w:rsidR="008E67EA" w:rsidRPr="00B86A69" w:rsidRDefault="008E67EA">
      <w:pPr>
        <w:pStyle w:val="Leg5Paraa"/>
        <w:numPr>
          <w:ilvl w:val="0"/>
          <w:numId w:val="25"/>
        </w:numPr>
        <w:rPr>
          <w:sz w:val="18"/>
          <w:szCs w:val="20"/>
        </w:rPr>
      </w:pPr>
      <w:r w:rsidRPr="00B86A69">
        <w:rPr>
          <w:sz w:val="18"/>
          <w:szCs w:val="20"/>
        </w:rPr>
        <w:t>for a molluscicide in the form of a bait and of which the active constituent is metaldehyde:</w:t>
      </w:r>
    </w:p>
    <w:p w14:paraId="1841FBC9" w14:textId="77777777" w:rsidR="008E67EA" w:rsidRPr="00B86A69" w:rsidRDefault="008E67EA">
      <w:pPr>
        <w:pStyle w:val="Leg5Paraa"/>
        <w:numPr>
          <w:ilvl w:val="0"/>
          <w:numId w:val="26"/>
        </w:numPr>
        <w:rPr>
          <w:sz w:val="18"/>
          <w:szCs w:val="20"/>
        </w:rPr>
      </w:pPr>
      <w:r w:rsidRPr="00B86A69">
        <w:rPr>
          <w:sz w:val="18"/>
          <w:szCs w:val="20"/>
        </w:rPr>
        <w:t>whether the product contains sufficient green pigment or dye to colour the bait a distinctive green colour; and</w:t>
      </w:r>
    </w:p>
    <w:p w14:paraId="3665174D" w14:textId="77777777" w:rsidR="008E67EA" w:rsidRPr="00B86A69" w:rsidRDefault="008E67EA">
      <w:pPr>
        <w:pStyle w:val="Leg5Paraa"/>
        <w:numPr>
          <w:ilvl w:val="0"/>
          <w:numId w:val="26"/>
        </w:numPr>
        <w:rPr>
          <w:sz w:val="18"/>
          <w:szCs w:val="20"/>
        </w:rPr>
      </w:pPr>
      <w:r w:rsidRPr="00B86A69">
        <w:rPr>
          <w:sz w:val="18"/>
          <w:szCs w:val="20"/>
        </w:rPr>
        <w:t>whether the product contains, in the bait, any bone meal or other product of animal origin;</w:t>
      </w:r>
    </w:p>
    <w:p w14:paraId="5F3BB12C" w14:textId="77777777" w:rsidR="008E67EA" w:rsidRPr="00B86A69" w:rsidRDefault="008E67EA">
      <w:pPr>
        <w:pStyle w:val="Leg5Paraa"/>
        <w:numPr>
          <w:ilvl w:val="0"/>
          <w:numId w:val="25"/>
        </w:numPr>
        <w:rPr>
          <w:sz w:val="18"/>
          <w:szCs w:val="20"/>
        </w:rPr>
      </w:pPr>
      <w:r w:rsidRPr="00B86A69">
        <w:rPr>
          <w:sz w:val="18"/>
          <w:szCs w:val="20"/>
        </w:rPr>
        <w:t>for a molluscicide in the form of a bait and of which the active constituent is methiocarb:</w:t>
      </w:r>
    </w:p>
    <w:p w14:paraId="1008DAC6" w14:textId="77777777" w:rsidR="008E67EA" w:rsidRPr="00B86A69" w:rsidRDefault="008E67EA">
      <w:pPr>
        <w:pStyle w:val="Leg5Paraa"/>
        <w:numPr>
          <w:ilvl w:val="0"/>
          <w:numId w:val="27"/>
        </w:numPr>
        <w:rPr>
          <w:sz w:val="18"/>
          <w:szCs w:val="20"/>
        </w:rPr>
      </w:pPr>
      <w:r w:rsidRPr="00B86A69">
        <w:rPr>
          <w:sz w:val="18"/>
          <w:szCs w:val="20"/>
        </w:rPr>
        <w:t>whether the product contains sufficient blue pigment or dye to colour the bait a distinctive blue colour; and</w:t>
      </w:r>
    </w:p>
    <w:p w14:paraId="3EBDA616" w14:textId="77777777" w:rsidR="008E67EA" w:rsidRPr="00B86A69" w:rsidRDefault="008E67EA">
      <w:pPr>
        <w:pStyle w:val="Leg5Paraa"/>
        <w:numPr>
          <w:ilvl w:val="0"/>
          <w:numId w:val="27"/>
        </w:numPr>
        <w:rPr>
          <w:sz w:val="18"/>
          <w:szCs w:val="20"/>
        </w:rPr>
      </w:pPr>
      <w:r w:rsidRPr="00B86A69">
        <w:rPr>
          <w:sz w:val="18"/>
          <w:szCs w:val="20"/>
        </w:rPr>
        <w:t>whether the product contains, in the bait, any bone meal or other product of animal origin;</w:t>
      </w:r>
    </w:p>
    <w:p w14:paraId="0C9970C3" w14:textId="77777777" w:rsidR="008E67EA" w:rsidRPr="00B86A69" w:rsidRDefault="008E67EA">
      <w:pPr>
        <w:pStyle w:val="Leg5Paraa"/>
        <w:numPr>
          <w:ilvl w:val="0"/>
          <w:numId w:val="25"/>
        </w:numPr>
        <w:rPr>
          <w:sz w:val="18"/>
          <w:szCs w:val="20"/>
        </w:rPr>
      </w:pPr>
      <w:r w:rsidRPr="00B86A69">
        <w:rPr>
          <w:sz w:val="18"/>
          <w:szCs w:val="20"/>
        </w:rPr>
        <w:t>for an agricultural chemical product to be applied to seeds to be stored before planting or sowing—whether the product contains sufficient pigment or dye to colour the seed to enable the seed to be readily distinguished from seed to which the product has not been applied.</w:t>
      </w:r>
    </w:p>
    <w:p w14:paraId="7587A95A" w14:textId="77777777" w:rsidR="008E67EA" w:rsidRPr="00B86A69" w:rsidRDefault="008E67EA">
      <w:pPr>
        <w:pStyle w:val="Leg4Subsec1"/>
        <w:numPr>
          <w:ilvl w:val="0"/>
          <w:numId w:val="29"/>
        </w:numPr>
        <w:rPr>
          <w:sz w:val="18"/>
          <w:szCs w:val="20"/>
        </w:rPr>
      </w:pPr>
      <w:r w:rsidRPr="00B86A69">
        <w:rPr>
          <w:sz w:val="18"/>
          <w:szCs w:val="20"/>
        </w:rPr>
        <w:t>However, paragraphs (1)(b) and (c) do not apply if the product is prescribed under subregulation 59(1) for the purposes of section 120A of the Code.</w:t>
      </w:r>
    </w:p>
    <w:p w14:paraId="7078CA98" w14:textId="77777777" w:rsidR="008E67EA" w:rsidRDefault="008E67EA">
      <w:pPr>
        <w:pStyle w:val="NumberLevel1"/>
        <w:numPr>
          <w:ilvl w:val="0"/>
          <w:numId w:val="46"/>
        </w:numPr>
      </w:pPr>
      <w:r>
        <w:t xml:space="preserve">In relation to subregulation 8AB(2), there are a number of chemical products prescribed under </w:t>
      </w:r>
      <w:r w:rsidRPr="00F64F54">
        <w:t>subregulation 59(1) for the purposes of section 120A of the Code</w:t>
      </w:r>
      <w:r>
        <w:t xml:space="preserve">. In relation to the reconsideration of anticoagulant rodenticide chemical products, I note that ‘any agricultural chemical product’ is prescribed in paragraph </w:t>
      </w:r>
      <w:r w:rsidRPr="00F64F54">
        <w:t>59(1)</w:t>
      </w:r>
      <w:r>
        <w:t xml:space="preserve">(a) for the </w:t>
      </w:r>
      <w:r w:rsidRPr="00F64F54">
        <w:t>purposes of section 120A of the Code</w:t>
      </w:r>
      <w:r>
        <w:t>.</w:t>
      </w:r>
    </w:p>
    <w:p w14:paraId="65010E72" w14:textId="77777777" w:rsidR="008E67EA" w:rsidRDefault="008E67EA" w:rsidP="008E67EA">
      <w:pPr>
        <w:pStyle w:val="StatementofReasonsHeading3"/>
      </w:pPr>
      <w:bookmarkStart w:id="387" w:name="_Toc216200992"/>
      <w:r>
        <w:t>Efficacy criteria</w:t>
      </w:r>
      <w:bookmarkEnd w:id="387"/>
    </w:p>
    <w:p w14:paraId="74941489" w14:textId="7EA0CE47" w:rsidR="008E67EA" w:rsidRDefault="008E67EA">
      <w:pPr>
        <w:pStyle w:val="NumberLevel1"/>
        <w:numPr>
          <w:ilvl w:val="0"/>
          <w:numId w:val="46"/>
        </w:numPr>
      </w:pPr>
      <w:r>
        <w:t xml:space="preserve">The definition of </w:t>
      </w:r>
      <w:r w:rsidRPr="00100C25">
        <w:rPr>
          <w:i/>
          <w:iCs/>
        </w:rPr>
        <w:t>‘meets the efficacy criteria’</w:t>
      </w:r>
      <w:r>
        <w:t xml:space="preserve"> with respect to a chemical product is set out in section 5B of the Agvet Code</w:t>
      </w:r>
      <w:r w:rsidRPr="002179E5">
        <w:t>.</w:t>
      </w:r>
      <w:r>
        <w:t xml:space="preserve"> As outlined in paragraph </w:t>
      </w:r>
      <w:r>
        <w:fldChar w:fldCharType="begin"/>
      </w:r>
      <w:r>
        <w:instrText xml:space="preserve"> REF _Ref216037157 \r \h </w:instrText>
      </w:r>
      <w:r>
        <w:fldChar w:fldCharType="separate"/>
      </w:r>
      <w:r w:rsidR="002C0C2A">
        <w:t>3</w:t>
      </w:r>
      <w:r>
        <w:fldChar w:fldCharType="end"/>
      </w:r>
      <w:r>
        <w:t xml:space="preserve"> above, the APVMA did not consider the efficacy criteria as part of this reconsideration.</w:t>
      </w:r>
    </w:p>
    <w:p w14:paraId="6FE4C5E6" w14:textId="77777777" w:rsidR="008E67EA" w:rsidRDefault="008E67EA" w:rsidP="008E67EA">
      <w:pPr>
        <w:pStyle w:val="StatementofReasonsHeading3"/>
      </w:pPr>
      <w:bookmarkStart w:id="388" w:name="_Toc216200993"/>
      <w:r>
        <w:t>Trade criteria</w:t>
      </w:r>
      <w:bookmarkEnd w:id="388"/>
    </w:p>
    <w:p w14:paraId="36890BC1" w14:textId="4AA68525" w:rsidR="008E67EA" w:rsidRDefault="008E67EA">
      <w:pPr>
        <w:pStyle w:val="NumberLevel1"/>
        <w:numPr>
          <w:ilvl w:val="0"/>
          <w:numId w:val="46"/>
        </w:numPr>
      </w:pPr>
      <w:r>
        <w:t xml:space="preserve">The definition of </w:t>
      </w:r>
      <w:r w:rsidRPr="00100C25">
        <w:rPr>
          <w:i/>
          <w:iCs/>
        </w:rPr>
        <w:t>‘meets the trade criteria’</w:t>
      </w:r>
      <w:r>
        <w:t xml:space="preserve"> with respect to a chemical product is set out in section 5C of the Agvet Code</w:t>
      </w:r>
      <w:r w:rsidRPr="002179E5">
        <w:t>.</w:t>
      </w:r>
      <w:r>
        <w:t xml:space="preserve"> As outlined in paragraph </w:t>
      </w:r>
      <w:r>
        <w:fldChar w:fldCharType="begin"/>
      </w:r>
      <w:r>
        <w:instrText xml:space="preserve"> REF _Ref213084128 \r \h </w:instrText>
      </w:r>
      <w:r>
        <w:fldChar w:fldCharType="separate"/>
      </w:r>
      <w:r w:rsidR="002C0C2A">
        <w:t>4</w:t>
      </w:r>
      <w:r>
        <w:fldChar w:fldCharType="end"/>
      </w:r>
      <w:r>
        <w:t xml:space="preserve"> above, the APVMA did not consider the trade criteria as part of this reconsideration.</w:t>
      </w:r>
    </w:p>
    <w:p w14:paraId="4294C70D" w14:textId="77777777" w:rsidR="008E67EA" w:rsidRPr="004F7D21" w:rsidRDefault="008E67EA" w:rsidP="008E67EA">
      <w:pPr>
        <w:pStyle w:val="StatementofReasonsHeading3"/>
      </w:pPr>
      <w:bookmarkStart w:id="389" w:name="_Toc207199896"/>
      <w:bookmarkStart w:id="390" w:name="_Toc216200994"/>
      <w:r w:rsidRPr="004F7D21">
        <w:t>Labelling criteria</w:t>
      </w:r>
      <w:bookmarkEnd w:id="389"/>
      <w:bookmarkEnd w:id="390"/>
    </w:p>
    <w:p w14:paraId="60A512B1" w14:textId="77777777" w:rsidR="008E67EA" w:rsidRPr="004F7D21" w:rsidRDefault="008E67EA">
      <w:pPr>
        <w:pStyle w:val="NumberLevel1"/>
        <w:numPr>
          <w:ilvl w:val="0"/>
          <w:numId w:val="46"/>
        </w:numPr>
      </w:pPr>
      <w:r w:rsidRPr="004F7D21">
        <w:t xml:space="preserve">The definition of </w:t>
      </w:r>
      <w:r w:rsidRPr="004F7D21">
        <w:rPr>
          <w:i/>
          <w:iCs/>
        </w:rPr>
        <w:t>‘meets the labelling criteria’</w:t>
      </w:r>
      <w:r w:rsidRPr="004F7D21">
        <w:t xml:space="preserve"> with respect to a label for containers for a chemical product is set out in section 5D of the Agvet Code. This provides:</w:t>
      </w:r>
    </w:p>
    <w:p w14:paraId="37CAE964" w14:textId="77777777" w:rsidR="008E67EA" w:rsidRDefault="008E67EA" w:rsidP="008E67EA">
      <w:pPr>
        <w:pStyle w:val="Leg1SecHead1"/>
        <w:ind w:hanging="709"/>
        <w:rPr>
          <w:sz w:val="18"/>
          <w:szCs w:val="20"/>
        </w:rPr>
      </w:pPr>
      <w:r w:rsidRPr="00C1569B">
        <w:rPr>
          <w:sz w:val="18"/>
          <w:szCs w:val="20"/>
        </w:rPr>
        <w:t>5D Definition of meets the labelling criteria</w:t>
      </w:r>
    </w:p>
    <w:p w14:paraId="7E687A0A" w14:textId="77777777" w:rsidR="008E67EA" w:rsidRDefault="008E67EA">
      <w:pPr>
        <w:pStyle w:val="Leg1SecHead1"/>
        <w:numPr>
          <w:ilvl w:val="0"/>
          <w:numId w:val="38"/>
        </w:numPr>
        <w:rPr>
          <w:b w:val="0"/>
          <w:bCs/>
          <w:sz w:val="18"/>
          <w:szCs w:val="20"/>
        </w:rPr>
      </w:pPr>
      <w:r w:rsidRPr="00C1569B">
        <w:rPr>
          <w:b w:val="0"/>
          <w:bCs/>
          <w:sz w:val="18"/>
          <w:szCs w:val="20"/>
        </w:rPr>
        <w:t>A label for containers for a chemical product </w:t>
      </w:r>
      <w:r w:rsidRPr="00C1569B">
        <w:rPr>
          <w:b w:val="0"/>
          <w:bCs/>
          <w:i/>
          <w:iCs/>
          <w:sz w:val="18"/>
          <w:szCs w:val="20"/>
        </w:rPr>
        <w:t>meets the labelling criteria</w:t>
      </w:r>
      <w:r w:rsidRPr="00C1569B">
        <w:rPr>
          <w:b w:val="0"/>
          <w:bCs/>
          <w:sz w:val="18"/>
          <w:szCs w:val="20"/>
        </w:rPr>
        <w:t> if the label contains adequate instructions relating to such of the following as are appropriate:</w:t>
      </w:r>
    </w:p>
    <w:p w14:paraId="091ED43D" w14:textId="77777777" w:rsidR="008E67EA" w:rsidRDefault="008E67EA">
      <w:pPr>
        <w:pStyle w:val="Leg5Paraa"/>
        <w:numPr>
          <w:ilvl w:val="0"/>
          <w:numId w:val="39"/>
        </w:numPr>
        <w:ind w:hanging="295"/>
        <w:rPr>
          <w:sz w:val="18"/>
          <w:szCs w:val="20"/>
        </w:rPr>
      </w:pPr>
      <w:r>
        <w:rPr>
          <w:sz w:val="18"/>
          <w:szCs w:val="20"/>
        </w:rPr>
        <w:t>the circumstances in which the product should be used;</w:t>
      </w:r>
    </w:p>
    <w:p w14:paraId="7EC0CC59" w14:textId="77777777" w:rsidR="008E67EA" w:rsidRDefault="008E67EA">
      <w:pPr>
        <w:pStyle w:val="Leg5Paraa"/>
        <w:numPr>
          <w:ilvl w:val="0"/>
          <w:numId w:val="39"/>
        </w:numPr>
        <w:ind w:hanging="295"/>
        <w:rPr>
          <w:sz w:val="18"/>
          <w:szCs w:val="20"/>
        </w:rPr>
      </w:pPr>
      <w:r>
        <w:rPr>
          <w:sz w:val="18"/>
          <w:szCs w:val="20"/>
        </w:rPr>
        <w:t>how the product should be used;</w:t>
      </w:r>
    </w:p>
    <w:p w14:paraId="456C6845" w14:textId="77777777" w:rsidR="008E67EA" w:rsidRDefault="008E67EA">
      <w:pPr>
        <w:pStyle w:val="Leg5Paraa"/>
        <w:numPr>
          <w:ilvl w:val="0"/>
          <w:numId w:val="39"/>
        </w:numPr>
        <w:ind w:hanging="295"/>
        <w:rPr>
          <w:sz w:val="18"/>
          <w:szCs w:val="20"/>
        </w:rPr>
      </w:pPr>
      <w:r>
        <w:rPr>
          <w:sz w:val="18"/>
          <w:szCs w:val="20"/>
        </w:rPr>
        <w:t>the times when the product should be used;</w:t>
      </w:r>
    </w:p>
    <w:p w14:paraId="6AE8F54E" w14:textId="77777777" w:rsidR="008E67EA" w:rsidRDefault="008E67EA">
      <w:pPr>
        <w:pStyle w:val="Leg5Paraa"/>
        <w:numPr>
          <w:ilvl w:val="0"/>
          <w:numId w:val="39"/>
        </w:numPr>
        <w:ind w:hanging="295"/>
        <w:rPr>
          <w:sz w:val="18"/>
          <w:szCs w:val="20"/>
        </w:rPr>
      </w:pPr>
      <w:r>
        <w:rPr>
          <w:sz w:val="18"/>
          <w:szCs w:val="20"/>
        </w:rPr>
        <w:t>the frequency of the use of the product;</w:t>
      </w:r>
    </w:p>
    <w:p w14:paraId="0617B42A" w14:textId="77777777" w:rsidR="008E67EA" w:rsidRDefault="008E67EA">
      <w:pPr>
        <w:pStyle w:val="Leg5Paraa"/>
        <w:numPr>
          <w:ilvl w:val="0"/>
          <w:numId w:val="39"/>
        </w:numPr>
        <w:ind w:hanging="295"/>
        <w:rPr>
          <w:sz w:val="18"/>
          <w:szCs w:val="20"/>
        </w:rPr>
      </w:pPr>
      <w:r>
        <w:rPr>
          <w:sz w:val="18"/>
          <w:szCs w:val="20"/>
        </w:rPr>
        <w:t>the withholding period after the use of the product;</w:t>
      </w:r>
    </w:p>
    <w:p w14:paraId="5667686D" w14:textId="77777777" w:rsidR="008E67EA" w:rsidRDefault="008E67EA">
      <w:pPr>
        <w:pStyle w:val="Leg5Paraa"/>
        <w:numPr>
          <w:ilvl w:val="0"/>
          <w:numId w:val="39"/>
        </w:numPr>
        <w:ind w:hanging="295"/>
        <w:rPr>
          <w:sz w:val="18"/>
          <w:szCs w:val="20"/>
        </w:rPr>
      </w:pPr>
      <w:r>
        <w:rPr>
          <w:sz w:val="18"/>
          <w:szCs w:val="20"/>
        </w:rPr>
        <w:lastRenderedPageBreak/>
        <w:t>the re</w:t>
      </w:r>
      <w:r>
        <w:rPr>
          <w:sz w:val="18"/>
          <w:szCs w:val="20"/>
        </w:rPr>
        <w:noBreakHyphen/>
        <w:t>entry period after the use of the product;</w:t>
      </w:r>
    </w:p>
    <w:p w14:paraId="581E0E24" w14:textId="77777777" w:rsidR="008E67EA" w:rsidRDefault="008E67EA">
      <w:pPr>
        <w:pStyle w:val="Leg5Paraa"/>
        <w:numPr>
          <w:ilvl w:val="0"/>
          <w:numId w:val="39"/>
        </w:numPr>
        <w:ind w:hanging="295"/>
        <w:rPr>
          <w:sz w:val="18"/>
          <w:szCs w:val="20"/>
        </w:rPr>
      </w:pPr>
      <w:r>
        <w:rPr>
          <w:sz w:val="18"/>
          <w:szCs w:val="20"/>
        </w:rPr>
        <w:t>the disposal of the product when it is no longer required;</w:t>
      </w:r>
    </w:p>
    <w:p w14:paraId="14114E2D" w14:textId="77777777" w:rsidR="008E67EA" w:rsidRDefault="008E67EA">
      <w:pPr>
        <w:pStyle w:val="Leg5Paraa"/>
        <w:numPr>
          <w:ilvl w:val="0"/>
          <w:numId w:val="39"/>
        </w:numPr>
        <w:ind w:hanging="295"/>
        <w:rPr>
          <w:sz w:val="18"/>
          <w:szCs w:val="20"/>
        </w:rPr>
      </w:pPr>
      <w:r>
        <w:rPr>
          <w:sz w:val="18"/>
          <w:szCs w:val="20"/>
        </w:rPr>
        <w:t>the disposal of containers of the product;</w:t>
      </w:r>
    </w:p>
    <w:p w14:paraId="76F0D8AE" w14:textId="77777777" w:rsidR="008E67EA" w:rsidRDefault="008E67EA">
      <w:pPr>
        <w:pStyle w:val="Leg5Paraa"/>
        <w:numPr>
          <w:ilvl w:val="0"/>
          <w:numId w:val="39"/>
        </w:numPr>
        <w:ind w:hanging="295"/>
        <w:rPr>
          <w:sz w:val="18"/>
          <w:szCs w:val="20"/>
        </w:rPr>
      </w:pPr>
      <w:r>
        <w:rPr>
          <w:sz w:val="18"/>
          <w:szCs w:val="20"/>
        </w:rPr>
        <w:t>the safe handling of the product and first aid in the event of an accident caused by the handling of the product;</w:t>
      </w:r>
    </w:p>
    <w:p w14:paraId="10B57E3B" w14:textId="77777777" w:rsidR="008E67EA" w:rsidRDefault="008E67EA">
      <w:pPr>
        <w:pStyle w:val="Leg5Paraa"/>
        <w:numPr>
          <w:ilvl w:val="0"/>
          <w:numId w:val="39"/>
        </w:numPr>
        <w:ind w:hanging="295"/>
        <w:rPr>
          <w:sz w:val="18"/>
          <w:szCs w:val="20"/>
        </w:rPr>
      </w:pPr>
      <w:r>
        <w:rPr>
          <w:sz w:val="18"/>
          <w:szCs w:val="20"/>
        </w:rPr>
        <w:t>any matters prescribed by the regulations.</w:t>
      </w:r>
    </w:p>
    <w:p w14:paraId="1DB84A05" w14:textId="77777777" w:rsidR="008E67EA" w:rsidRPr="00DB124C" w:rsidRDefault="008E67EA">
      <w:pPr>
        <w:pStyle w:val="Leg4Subsec1"/>
        <w:numPr>
          <w:ilvl w:val="0"/>
          <w:numId w:val="28"/>
        </w:numPr>
        <w:rPr>
          <w:sz w:val="18"/>
          <w:szCs w:val="20"/>
        </w:rPr>
      </w:pPr>
      <w:r w:rsidRPr="00DB124C">
        <w:rPr>
          <w:sz w:val="18"/>
          <w:szCs w:val="20"/>
        </w:rPr>
        <w:t>For the purposes of being satisfied as to whether a label meets the labelling criteria, the APVMA must have regard to the following:</w:t>
      </w:r>
    </w:p>
    <w:p w14:paraId="41FC5837" w14:textId="77777777" w:rsidR="008E67EA" w:rsidRPr="004B77E0" w:rsidRDefault="008E67EA">
      <w:pPr>
        <w:pStyle w:val="Leg5Paraa"/>
        <w:numPr>
          <w:ilvl w:val="0"/>
          <w:numId w:val="24"/>
        </w:numPr>
        <w:rPr>
          <w:sz w:val="18"/>
          <w:szCs w:val="20"/>
        </w:rPr>
      </w:pPr>
      <w:r w:rsidRPr="004B77E0">
        <w:rPr>
          <w:sz w:val="18"/>
          <w:szCs w:val="20"/>
        </w:rPr>
        <w:t>any conditions to which its approval is, or would be, subject;</w:t>
      </w:r>
    </w:p>
    <w:p w14:paraId="08D10AE1" w14:textId="77777777" w:rsidR="008E67EA" w:rsidRPr="004B77E0" w:rsidRDefault="008E67EA">
      <w:pPr>
        <w:pStyle w:val="Leg5Paraa"/>
        <w:numPr>
          <w:ilvl w:val="0"/>
          <w:numId w:val="24"/>
        </w:numPr>
        <w:rPr>
          <w:sz w:val="18"/>
          <w:szCs w:val="20"/>
        </w:rPr>
      </w:pPr>
      <w:r w:rsidRPr="004B77E0">
        <w:rPr>
          <w:sz w:val="18"/>
          <w:szCs w:val="20"/>
        </w:rPr>
        <w:t>any relevant particulars and instructions that are, or would be, entered in the relevant APVMA file for the label;</w:t>
      </w:r>
    </w:p>
    <w:p w14:paraId="569B057F" w14:textId="77777777" w:rsidR="008E67EA" w:rsidRPr="004B77E0" w:rsidRDefault="008E67EA">
      <w:pPr>
        <w:pStyle w:val="Leg5Paraa"/>
        <w:numPr>
          <w:ilvl w:val="0"/>
          <w:numId w:val="24"/>
        </w:numPr>
        <w:rPr>
          <w:sz w:val="18"/>
          <w:szCs w:val="20"/>
        </w:rPr>
      </w:pPr>
      <w:r w:rsidRPr="004B77E0">
        <w:rPr>
          <w:sz w:val="18"/>
          <w:szCs w:val="20"/>
        </w:rPr>
        <w:t>whether the label conforms, or would conform, to any standard made for the label under section 6E to the extent that the standard relates to matters covered by subsection (1);</w:t>
      </w:r>
    </w:p>
    <w:p w14:paraId="142EB5FA" w14:textId="77777777" w:rsidR="008E67EA" w:rsidRPr="004B77E0" w:rsidRDefault="008E67EA">
      <w:pPr>
        <w:pStyle w:val="Leg5Paraa"/>
        <w:numPr>
          <w:ilvl w:val="0"/>
          <w:numId w:val="24"/>
        </w:numPr>
        <w:rPr>
          <w:sz w:val="18"/>
          <w:szCs w:val="20"/>
        </w:rPr>
      </w:pPr>
      <w:r w:rsidRPr="004B77E0">
        <w:rPr>
          <w:sz w:val="18"/>
          <w:szCs w:val="20"/>
        </w:rPr>
        <w:t>any matters prescribed by the regulations.</w:t>
      </w:r>
    </w:p>
    <w:p w14:paraId="5F07ED51" w14:textId="77777777" w:rsidR="008E67EA" w:rsidRDefault="008E67EA">
      <w:pPr>
        <w:pStyle w:val="NumberLevel1"/>
        <w:numPr>
          <w:ilvl w:val="0"/>
          <w:numId w:val="46"/>
        </w:numPr>
      </w:pPr>
      <w:r>
        <w:t>In regard to adequate instructions to be contained on a</w:t>
      </w:r>
      <w:r w:rsidRPr="00915367">
        <w:t xml:space="preserve"> label for containers for a chemical product</w:t>
      </w:r>
      <w:r>
        <w:t xml:space="preserve">, regulation 8AE of the Agvet </w:t>
      </w:r>
      <w:r w:rsidRPr="00100C25">
        <w:t>Regulations</w:t>
      </w:r>
      <w:r>
        <w:t xml:space="preserve"> prescribes the following:</w:t>
      </w:r>
    </w:p>
    <w:p w14:paraId="4E2830CA" w14:textId="77777777" w:rsidR="008E67EA" w:rsidRDefault="008E67EA" w:rsidP="008E67EA">
      <w:pPr>
        <w:pStyle w:val="Leg1SecHead1"/>
        <w:ind w:hanging="709"/>
        <w:rPr>
          <w:sz w:val="18"/>
          <w:szCs w:val="20"/>
        </w:rPr>
      </w:pPr>
      <w:r w:rsidRPr="004F7D21">
        <w:rPr>
          <w:sz w:val="18"/>
          <w:szCs w:val="20"/>
        </w:rPr>
        <w:t>8AE Labelling criteria</w:t>
      </w:r>
    </w:p>
    <w:p w14:paraId="76E49297" w14:textId="77777777" w:rsidR="008E67EA" w:rsidRPr="004F7D21" w:rsidRDefault="008E67EA">
      <w:pPr>
        <w:pStyle w:val="Leg1SecHead1"/>
        <w:numPr>
          <w:ilvl w:val="0"/>
          <w:numId w:val="41"/>
        </w:numPr>
        <w:rPr>
          <w:bCs/>
          <w:sz w:val="18"/>
          <w:szCs w:val="20"/>
        </w:rPr>
      </w:pPr>
      <w:r w:rsidRPr="004F7D21">
        <w:rPr>
          <w:b w:val="0"/>
          <w:bCs/>
          <w:sz w:val="18"/>
          <w:szCs w:val="20"/>
        </w:rPr>
        <w:t>For paragraph 5D(1)(j) of the Code, the following are prescribed matters:</w:t>
      </w:r>
    </w:p>
    <w:p w14:paraId="39D8A98F" w14:textId="77777777" w:rsidR="008E67EA" w:rsidRPr="00650DD3" w:rsidRDefault="008E67EA">
      <w:pPr>
        <w:pStyle w:val="Leg5Paraa"/>
        <w:numPr>
          <w:ilvl w:val="0"/>
          <w:numId w:val="40"/>
        </w:numPr>
        <w:rPr>
          <w:sz w:val="18"/>
          <w:szCs w:val="20"/>
        </w:rPr>
      </w:pPr>
      <w:r w:rsidRPr="00650DD3">
        <w:rPr>
          <w:sz w:val="18"/>
          <w:szCs w:val="20"/>
        </w:rPr>
        <w:t>for a chemical product that is a veterinary chemical product—the duration of any treatment using the product;</w:t>
      </w:r>
    </w:p>
    <w:p w14:paraId="47EDB2C8" w14:textId="77777777" w:rsidR="008E67EA" w:rsidRPr="00650DD3" w:rsidRDefault="008E67EA">
      <w:pPr>
        <w:pStyle w:val="Leg5Paraa"/>
        <w:numPr>
          <w:ilvl w:val="0"/>
          <w:numId w:val="40"/>
        </w:numPr>
        <w:ind w:hanging="295"/>
        <w:rPr>
          <w:sz w:val="18"/>
          <w:szCs w:val="20"/>
        </w:rPr>
      </w:pPr>
      <w:r w:rsidRPr="00650DD3">
        <w:rPr>
          <w:sz w:val="18"/>
          <w:szCs w:val="20"/>
        </w:rPr>
        <w:t>the prevention of undue prejudice to trade or commerce between Australia and places outside of Australia;</w:t>
      </w:r>
    </w:p>
    <w:p w14:paraId="04F088B6" w14:textId="77777777" w:rsidR="008E67EA" w:rsidRPr="00650DD3" w:rsidRDefault="008E67EA">
      <w:pPr>
        <w:pStyle w:val="Leg5Paraa"/>
        <w:numPr>
          <w:ilvl w:val="0"/>
          <w:numId w:val="40"/>
        </w:numPr>
        <w:ind w:hanging="295"/>
        <w:rPr>
          <w:sz w:val="18"/>
          <w:szCs w:val="20"/>
        </w:rPr>
      </w:pPr>
      <w:r w:rsidRPr="00650DD3">
        <w:rPr>
          <w:sz w:val="18"/>
          <w:szCs w:val="20"/>
        </w:rPr>
        <w:t>the appropriate signal words (if any) required by the current Poisons Standard;</w:t>
      </w:r>
    </w:p>
    <w:p w14:paraId="1AB970BB" w14:textId="77777777" w:rsidR="008E67EA" w:rsidRPr="00650DD3" w:rsidRDefault="008E67EA">
      <w:pPr>
        <w:pStyle w:val="Leg5Paraa"/>
        <w:numPr>
          <w:ilvl w:val="0"/>
          <w:numId w:val="40"/>
        </w:numPr>
        <w:ind w:hanging="295"/>
        <w:rPr>
          <w:sz w:val="18"/>
          <w:szCs w:val="20"/>
        </w:rPr>
      </w:pPr>
      <w:r w:rsidRPr="00650DD3">
        <w:rPr>
          <w:sz w:val="18"/>
          <w:szCs w:val="20"/>
        </w:rPr>
        <w:t>for a chemical product that is a date controlled chemical product—the storage of containers for the product;</w:t>
      </w:r>
    </w:p>
    <w:p w14:paraId="57267BC4" w14:textId="77777777" w:rsidR="008E67EA" w:rsidRDefault="008E67EA">
      <w:pPr>
        <w:pStyle w:val="Leg5Paraa"/>
        <w:numPr>
          <w:ilvl w:val="0"/>
          <w:numId w:val="40"/>
        </w:numPr>
        <w:ind w:hanging="295"/>
        <w:rPr>
          <w:sz w:val="18"/>
          <w:szCs w:val="20"/>
        </w:rPr>
      </w:pPr>
      <w:r w:rsidRPr="00650DD3">
        <w:rPr>
          <w:sz w:val="18"/>
          <w:szCs w:val="20"/>
        </w:rPr>
        <w:t>any other matter determined by the APVMA CEO under subregulation (2).</w:t>
      </w:r>
    </w:p>
    <w:p w14:paraId="7A66F321" w14:textId="77777777" w:rsidR="008E67EA" w:rsidRPr="00C1569B" w:rsidRDefault="008E67EA">
      <w:pPr>
        <w:pStyle w:val="Leg1SecHead1"/>
        <w:numPr>
          <w:ilvl w:val="0"/>
          <w:numId w:val="41"/>
        </w:numPr>
        <w:rPr>
          <w:bCs/>
          <w:sz w:val="18"/>
          <w:szCs w:val="20"/>
        </w:rPr>
      </w:pPr>
      <w:r w:rsidRPr="00C1569B">
        <w:rPr>
          <w:b w:val="0"/>
          <w:bCs/>
          <w:sz w:val="18"/>
          <w:szCs w:val="20"/>
        </w:rPr>
        <w:t>For paragraph 6(2)(c) of the Act, the APVMA CEO may determine matters in relation to which a label must contain adequate instructions.</w:t>
      </w:r>
    </w:p>
    <w:p w14:paraId="5A8A2C87" w14:textId="220F6315" w:rsidR="008E67EA" w:rsidRPr="004F7D21" w:rsidRDefault="008E67EA">
      <w:pPr>
        <w:pStyle w:val="NumberLevel1"/>
        <w:numPr>
          <w:ilvl w:val="0"/>
          <w:numId w:val="46"/>
        </w:numPr>
      </w:pPr>
      <w:r w:rsidRPr="004F7D21">
        <w:t xml:space="preserve">As defined in section 3 of the Agvet Code, </w:t>
      </w:r>
      <w:r w:rsidRPr="005F33CA">
        <w:rPr>
          <w:b/>
          <w:bCs/>
          <w:i/>
          <w:iCs/>
        </w:rPr>
        <w:t>“adequate”,</w:t>
      </w:r>
      <w:r w:rsidRPr="004F7D21">
        <w:t xml:space="preserve"> in relation to instructions on a label, ‘means adequate to ensure, as far as reasonably practicable, that the product meets the safety criteria and the trade criteria.’ These criteria are set out above, at paragraphs </w:t>
      </w:r>
      <w:r w:rsidR="002529EA">
        <w:fldChar w:fldCharType="begin"/>
      </w:r>
      <w:r w:rsidR="002529EA">
        <w:instrText xml:space="preserve"> REF _Ref216294932 \r \h </w:instrText>
      </w:r>
      <w:r w:rsidR="002529EA">
        <w:fldChar w:fldCharType="separate"/>
      </w:r>
      <w:r w:rsidR="002C0C2A">
        <w:t>16</w:t>
      </w:r>
      <w:r w:rsidR="002529EA">
        <w:fldChar w:fldCharType="end"/>
      </w:r>
      <w:r w:rsidRPr="004F7D21">
        <w:t xml:space="preserve"> and </w:t>
      </w:r>
      <w:r w:rsidRPr="004F7D21">
        <w:fldChar w:fldCharType="begin"/>
      </w:r>
      <w:r w:rsidRPr="004F7D21">
        <w:instrText xml:space="preserve"> REF _Ref193715586 \r \h </w:instrText>
      </w:r>
      <w:r>
        <w:instrText xml:space="preserve"> \* MERGEFORMAT </w:instrText>
      </w:r>
      <w:r w:rsidRPr="004F7D21">
        <w:fldChar w:fldCharType="separate"/>
      </w:r>
      <w:r w:rsidR="002C0C2A">
        <w:t>19</w:t>
      </w:r>
      <w:r w:rsidRPr="004F7D21">
        <w:fldChar w:fldCharType="end"/>
      </w:r>
      <w:r w:rsidRPr="004F7D21">
        <w:t>, respectively.</w:t>
      </w:r>
    </w:p>
    <w:p w14:paraId="01DB147C" w14:textId="77777777" w:rsidR="008E67EA" w:rsidRPr="004F7D21" w:rsidRDefault="008E67EA">
      <w:pPr>
        <w:pStyle w:val="NumberLevel1"/>
        <w:numPr>
          <w:ilvl w:val="0"/>
          <w:numId w:val="46"/>
        </w:numPr>
      </w:pPr>
      <w:r w:rsidRPr="004F7D21">
        <w:t xml:space="preserve">There are no matters prescribed by the regulations with respect to section 5D(2)(d) of the Agvet Code. </w:t>
      </w:r>
    </w:p>
    <w:p w14:paraId="4CAD7991" w14:textId="77777777" w:rsidR="008E67EA" w:rsidRDefault="008E67EA" w:rsidP="008E67EA">
      <w:pPr>
        <w:pStyle w:val="StatementofReasonsHeading3"/>
      </w:pPr>
      <w:bookmarkStart w:id="391" w:name="_Toc216200995"/>
      <w:r>
        <w:t>Relevant particulars</w:t>
      </w:r>
      <w:bookmarkEnd w:id="391"/>
    </w:p>
    <w:p w14:paraId="361D8313" w14:textId="77777777" w:rsidR="008E67EA" w:rsidRDefault="008E67EA">
      <w:pPr>
        <w:pStyle w:val="NumberLevel1"/>
        <w:numPr>
          <w:ilvl w:val="0"/>
          <w:numId w:val="46"/>
        </w:numPr>
      </w:pPr>
      <w:r>
        <w:t>As defined in section 3 of the Agvet Code,</w:t>
      </w:r>
      <w:r w:rsidRPr="000D25AF">
        <w:t xml:space="preserve"> in relation to the registration of a chemical product</w:t>
      </w:r>
      <w:r>
        <w:t xml:space="preserve">, the </w:t>
      </w:r>
      <w:r w:rsidRPr="000D25AF">
        <w:rPr>
          <w:b/>
          <w:bCs/>
          <w:i/>
          <w:iCs/>
        </w:rPr>
        <w:t>“relevant particulars”</w:t>
      </w:r>
      <w:r>
        <w:t xml:space="preserve"> means </w:t>
      </w:r>
      <w:r w:rsidRPr="000D25AF">
        <w:t>the distinguishing number, any instructions for use and any other particulars required by paragraph 20(1)(c) to be entered in the Register</w:t>
      </w:r>
      <w:r>
        <w:t xml:space="preserve">. The particulars prescribed by the regulations for the purposed of </w:t>
      </w:r>
      <w:r w:rsidRPr="00CD411A">
        <w:t>paragraph 20(1)(c)</w:t>
      </w:r>
      <w:r>
        <w:t xml:space="preserve"> of the Agvet Code are detailed in regulation 16 of the Agvet Regulations, as follows: </w:t>
      </w:r>
    </w:p>
    <w:p w14:paraId="253A40C0" w14:textId="66D1B322" w:rsidR="008E67EA" w:rsidRPr="00CD411A" w:rsidRDefault="008E67EA" w:rsidP="008E67EA">
      <w:pPr>
        <w:pStyle w:val="Leg1SecHead1"/>
        <w:ind w:hanging="709"/>
        <w:rPr>
          <w:sz w:val="18"/>
          <w:szCs w:val="18"/>
        </w:rPr>
      </w:pPr>
      <w:r w:rsidRPr="00CD411A">
        <w:rPr>
          <w:sz w:val="18"/>
          <w:szCs w:val="18"/>
        </w:rPr>
        <w:t>16 Particulars of registered chemical products to be recorded</w:t>
      </w:r>
    </w:p>
    <w:p w14:paraId="46D2DF37" w14:textId="77777777" w:rsidR="008E67EA" w:rsidRPr="00CD411A" w:rsidRDefault="008E67EA" w:rsidP="008E67EA">
      <w:pPr>
        <w:pStyle w:val="Leg4Subsec1"/>
        <w:rPr>
          <w:sz w:val="18"/>
          <w:szCs w:val="20"/>
        </w:rPr>
      </w:pPr>
      <w:r w:rsidRPr="00CD411A">
        <w:rPr>
          <w:sz w:val="18"/>
          <w:szCs w:val="20"/>
        </w:rPr>
        <w:t>For paragraph 20(1)(c) of the Code, the following particulars are prescribed:</w:t>
      </w:r>
    </w:p>
    <w:p w14:paraId="22CA162D" w14:textId="77777777" w:rsidR="008E67EA" w:rsidRPr="00CD411A" w:rsidRDefault="008E67EA" w:rsidP="008E67EA">
      <w:pPr>
        <w:pStyle w:val="Leg5Paraa"/>
        <w:ind w:left="1636" w:hanging="360"/>
        <w:rPr>
          <w:sz w:val="18"/>
          <w:szCs w:val="20"/>
        </w:rPr>
      </w:pPr>
      <w:r w:rsidRPr="00CD411A">
        <w:rPr>
          <w:sz w:val="18"/>
          <w:szCs w:val="20"/>
        </w:rPr>
        <w:t> (a) the distinguishing name of the chemical product;</w:t>
      </w:r>
    </w:p>
    <w:p w14:paraId="3DC183FB" w14:textId="77777777" w:rsidR="008E67EA" w:rsidRPr="00CD411A" w:rsidRDefault="008E67EA" w:rsidP="008E67EA">
      <w:pPr>
        <w:pStyle w:val="Leg5Paraa"/>
        <w:ind w:left="1636" w:hanging="360"/>
        <w:rPr>
          <w:sz w:val="18"/>
          <w:szCs w:val="20"/>
        </w:rPr>
      </w:pPr>
      <w:r w:rsidRPr="00CD411A">
        <w:rPr>
          <w:sz w:val="18"/>
          <w:szCs w:val="20"/>
        </w:rPr>
        <w:t> (b) the constituents of the chemical product;</w:t>
      </w:r>
    </w:p>
    <w:p w14:paraId="43F10089" w14:textId="77777777" w:rsidR="008E67EA" w:rsidRPr="00CD411A" w:rsidRDefault="008E67EA" w:rsidP="008E67EA">
      <w:pPr>
        <w:pStyle w:val="Leg5Paraa"/>
        <w:ind w:left="1636" w:hanging="360"/>
        <w:rPr>
          <w:sz w:val="18"/>
          <w:szCs w:val="20"/>
        </w:rPr>
      </w:pPr>
      <w:r w:rsidRPr="00CD411A">
        <w:rPr>
          <w:sz w:val="18"/>
          <w:szCs w:val="20"/>
        </w:rPr>
        <w:lastRenderedPageBreak/>
        <w:t> (c) the concentration of each constituent of the chemical product;</w:t>
      </w:r>
    </w:p>
    <w:p w14:paraId="0FAE6522" w14:textId="77777777" w:rsidR="008E67EA" w:rsidRPr="00CD411A" w:rsidRDefault="008E67EA" w:rsidP="008E67EA">
      <w:pPr>
        <w:pStyle w:val="Leg5Paraa"/>
        <w:ind w:left="1636" w:hanging="360"/>
        <w:rPr>
          <w:sz w:val="18"/>
          <w:szCs w:val="20"/>
        </w:rPr>
      </w:pPr>
      <w:r w:rsidRPr="00CD411A">
        <w:rPr>
          <w:sz w:val="18"/>
          <w:szCs w:val="20"/>
        </w:rPr>
        <w:t> (d) if possible, the composition and purity of each active constituent of the chemical product;</w:t>
      </w:r>
    </w:p>
    <w:p w14:paraId="306A8944" w14:textId="77777777" w:rsidR="008E67EA" w:rsidRPr="00CD411A" w:rsidRDefault="008E67EA" w:rsidP="008E67EA">
      <w:pPr>
        <w:pStyle w:val="Leg5Paraa"/>
        <w:ind w:left="1636" w:hanging="360"/>
        <w:rPr>
          <w:sz w:val="18"/>
          <w:szCs w:val="20"/>
        </w:rPr>
      </w:pPr>
      <w:r w:rsidRPr="00CD411A">
        <w:rPr>
          <w:sz w:val="18"/>
          <w:szCs w:val="20"/>
        </w:rPr>
        <w:t> (da) the formulation type for the chemical product;</w:t>
      </w:r>
    </w:p>
    <w:p w14:paraId="0220CD39" w14:textId="77777777" w:rsidR="008E67EA" w:rsidRPr="00CD411A" w:rsidRDefault="008E67EA" w:rsidP="008E67EA">
      <w:pPr>
        <w:pStyle w:val="Leg5Paraa"/>
        <w:ind w:left="1636" w:hanging="360"/>
        <w:rPr>
          <w:sz w:val="18"/>
          <w:szCs w:val="20"/>
        </w:rPr>
      </w:pPr>
      <w:r w:rsidRPr="00CD411A">
        <w:rPr>
          <w:sz w:val="18"/>
          <w:szCs w:val="20"/>
        </w:rPr>
        <w:t> (db) the net contents for the chemical product;</w:t>
      </w:r>
    </w:p>
    <w:p w14:paraId="3F6DBD2D" w14:textId="77777777" w:rsidR="008E67EA" w:rsidRPr="00CD411A" w:rsidRDefault="008E67EA" w:rsidP="008E67EA">
      <w:pPr>
        <w:pStyle w:val="Leg5Paraa"/>
        <w:ind w:left="1636" w:hanging="360"/>
        <w:rPr>
          <w:sz w:val="18"/>
          <w:szCs w:val="20"/>
        </w:rPr>
      </w:pPr>
      <w:r w:rsidRPr="00CD411A">
        <w:rPr>
          <w:sz w:val="18"/>
          <w:szCs w:val="20"/>
        </w:rPr>
        <w:t> (e) identifying information for the holder of the registration of the chemical product;</w:t>
      </w:r>
    </w:p>
    <w:p w14:paraId="6FFF4D66" w14:textId="77777777" w:rsidR="008E67EA" w:rsidRPr="00CD411A" w:rsidRDefault="008E67EA" w:rsidP="008E67EA">
      <w:pPr>
        <w:pStyle w:val="Leg5Paraa"/>
        <w:ind w:left="1636" w:hanging="360"/>
        <w:rPr>
          <w:sz w:val="18"/>
          <w:szCs w:val="20"/>
        </w:rPr>
      </w:pPr>
      <w:r w:rsidRPr="00CD411A">
        <w:rPr>
          <w:sz w:val="18"/>
          <w:szCs w:val="20"/>
        </w:rPr>
        <w:t> (g) the name of each manufacturer of the chemical product;</w:t>
      </w:r>
    </w:p>
    <w:p w14:paraId="30494209" w14:textId="77777777" w:rsidR="008E67EA" w:rsidRPr="00CD411A" w:rsidRDefault="008E67EA" w:rsidP="008E67EA">
      <w:pPr>
        <w:pStyle w:val="Leg5Paraa"/>
        <w:ind w:left="1636" w:hanging="360"/>
        <w:rPr>
          <w:sz w:val="18"/>
          <w:szCs w:val="20"/>
        </w:rPr>
      </w:pPr>
      <w:r w:rsidRPr="00CD411A">
        <w:rPr>
          <w:sz w:val="18"/>
          <w:szCs w:val="20"/>
        </w:rPr>
        <w:t> (h) the address of each site at which the chemical product is manufactured by the manufacturer;</w:t>
      </w:r>
    </w:p>
    <w:p w14:paraId="0577100A" w14:textId="77777777" w:rsidR="008E67EA" w:rsidRPr="00CD411A" w:rsidRDefault="008E67EA" w:rsidP="008E67EA">
      <w:pPr>
        <w:pStyle w:val="Leg5Paraa"/>
        <w:ind w:left="1636" w:hanging="360"/>
        <w:rPr>
          <w:sz w:val="18"/>
          <w:szCs w:val="20"/>
        </w:rPr>
      </w:pPr>
      <w:r w:rsidRPr="00CD411A">
        <w:rPr>
          <w:sz w:val="18"/>
          <w:szCs w:val="20"/>
        </w:rPr>
        <w:t> (j) the date of entry of these particulars in the Register of Chemical Products;</w:t>
      </w:r>
    </w:p>
    <w:p w14:paraId="43AF0F06" w14:textId="77777777" w:rsidR="008E67EA" w:rsidRDefault="008E67EA" w:rsidP="008E67EA">
      <w:pPr>
        <w:pStyle w:val="Leg5Paraa"/>
        <w:ind w:left="1636" w:hanging="360"/>
        <w:rPr>
          <w:sz w:val="18"/>
          <w:szCs w:val="20"/>
        </w:rPr>
      </w:pPr>
      <w:r w:rsidRPr="00CD411A">
        <w:rPr>
          <w:sz w:val="18"/>
          <w:szCs w:val="20"/>
        </w:rPr>
        <w:t> (k) identifying information for any nominated agent for the registration.</w:t>
      </w:r>
    </w:p>
    <w:p w14:paraId="2DE02648" w14:textId="77777777" w:rsidR="008E67EA" w:rsidRDefault="008E67EA">
      <w:pPr>
        <w:pStyle w:val="NumberLevel1"/>
        <w:numPr>
          <w:ilvl w:val="0"/>
          <w:numId w:val="46"/>
        </w:numPr>
      </w:pPr>
      <w:r>
        <w:t>As defined in section 3 of the Agvet Code,</w:t>
      </w:r>
      <w:r w:rsidRPr="000D25AF">
        <w:t xml:space="preserve"> in relation to </w:t>
      </w:r>
      <w:r>
        <w:t>t</w:t>
      </w:r>
      <w:r w:rsidRPr="000D25AF">
        <w:t>he approval of a label</w:t>
      </w:r>
      <w:r>
        <w:t xml:space="preserve">, the </w:t>
      </w:r>
      <w:r w:rsidRPr="000305BA">
        <w:rPr>
          <w:b/>
          <w:bCs/>
          <w:i/>
          <w:iCs/>
        </w:rPr>
        <w:t>“relevant particulars”</w:t>
      </w:r>
      <w:r>
        <w:t xml:space="preserve"> means </w:t>
      </w:r>
      <w:r w:rsidRPr="000D25AF">
        <w:t>the information required to be recorded in the relevant APVMA file by subparagraphs 21(c)(i) to (iva)</w:t>
      </w:r>
      <w:r>
        <w:t>. Section 21 of the Agvet Code details how the approval of a label takes place, including the information to be recorded in the relevant APVMA file, as follows:</w:t>
      </w:r>
    </w:p>
    <w:p w14:paraId="0B296E7A" w14:textId="62BB9DE2" w:rsidR="008E67EA" w:rsidRPr="00576A79" w:rsidRDefault="008E67EA" w:rsidP="008E67EA">
      <w:pPr>
        <w:pStyle w:val="Leg1SecHead1"/>
        <w:ind w:hanging="709"/>
        <w:rPr>
          <w:sz w:val="18"/>
          <w:szCs w:val="18"/>
        </w:rPr>
      </w:pPr>
      <w:r w:rsidRPr="00576A79">
        <w:rPr>
          <w:sz w:val="18"/>
          <w:szCs w:val="18"/>
        </w:rPr>
        <w:t>21 How approval of label takes place</w:t>
      </w:r>
    </w:p>
    <w:p w14:paraId="4F7FFB63" w14:textId="21131886" w:rsidR="008E67EA" w:rsidRPr="00576A79" w:rsidRDefault="008E67EA" w:rsidP="008E67EA">
      <w:pPr>
        <w:pStyle w:val="Leg4Subsec1"/>
        <w:rPr>
          <w:sz w:val="18"/>
          <w:szCs w:val="20"/>
        </w:rPr>
      </w:pPr>
      <w:r w:rsidRPr="00576A79">
        <w:rPr>
          <w:sz w:val="18"/>
          <w:szCs w:val="20"/>
        </w:rPr>
        <w:t> Approval of a label takes place when the APVMA:</w:t>
      </w:r>
    </w:p>
    <w:p w14:paraId="7BDBE039" w14:textId="77777777" w:rsidR="008E67EA" w:rsidRPr="00576A79" w:rsidRDefault="008E67EA" w:rsidP="008E67EA">
      <w:pPr>
        <w:pStyle w:val="Leg5Paraa"/>
        <w:ind w:left="1636" w:hanging="360"/>
        <w:rPr>
          <w:sz w:val="18"/>
          <w:szCs w:val="20"/>
        </w:rPr>
      </w:pPr>
      <w:r>
        <w:t> </w:t>
      </w:r>
      <w:r w:rsidRPr="00576A79">
        <w:rPr>
          <w:sz w:val="18"/>
          <w:szCs w:val="20"/>
        </w:rPr>
        <w:t>(a) determines the particulars prescribed by the regulations that are appropriate to be contained on the label; and</w:t>
      </w:r>
    </w:p>
    <w:p w14:paraId="3D35F40D" w14:textId="77777777" w:rsidR="008E67EA" w:rsidRPr="00576A79" w:rsidRDefault="008E67EA" w:rsidP="008E67EA">
      <w:pPr>
        <w:pStyle w:val="Leg5Paraa"/>
        <w:ind w:left="1636" w:hanging="360"/>
        <w:rPr>
          <w:sz w:val="18"/>
          <w:szCs w:val="20"/>
        </w:rPr>
      </w:pPr>
      <w:r w:rsidRPr="00576A79">
        <w:rPr>
          <w:sz w:val="18"/>
          <w:szCs w:val="20"/>
        </w:rPr>
        <w:t> (b) gives a distinguishing number to the label; and</w:t>
      </w:r>
    </w:p>
    <w:p w14:paraId="59E06E9D" w14:textId="77777777" w:rsidR="008E67EA" w:rsidRPr="00576A79" w:rsidRDefault="008E67EA" w:rsidP="008E67EA">
      <w:pPr>
        <w:pStyle w:val="Leg5Paraa"/>
        <w:ind w:left="1636" w:hanging="360"/>
        <w:rPr>
          <w:sz w:val="18"/>
          <w:szCs w:val="20"/>
        </w:rPr>
      </w:pPr>
      <w:r w:rsidRPr="00576A79">
        <w:rPr>
          <w:sz w:val="18"/>
          <w:szCs w:val="20"/>
        </w:rPr>
        <w:t> (c) records the following information in the relevant APVMA file:</w:t>
      </w:r>
    </w:p>
    <w:p w14:paraId="1200595A" w14:textId="77777777" w:rsidR="008E67EA" w:rsidRPr="00576A79" w:rsidRDefault="008E67EA">
      <w:pPr>
        <w:pStyle w:val="Leg5Paraa"/>
        <w:numPr>
          <w:ilvl w:val="1"/>
          <w:numId w:val="19"/>
        </w:numPr>
        <w:rPr>
          <w:sz w:val="18"/>
          <w:szCs w:val="20"/>
        </w:rPr>
      </w:pPr>
      <w:r w:rsidRPr="00576A79">
        <w:rPr>
          <w:sz w:val="18"/>
          <w:szCs w:val="20"/>
        </w:rPr>
        <w:t>the name of the person who applied for the approval as the holder of the approval;</w:t>
      </w:r>
    </w:p>
    <w:p w14:paraId="32707CC8" w14:textId="77777777" w:rsidR="008E67EA" w:rsidRPr="00576A79" w:rsidRDefault="008E67EA">
      <w:pPr>
        <w:pStyle w:val="Leg5Paraa"/>
        <w:numPr>
          <w:ilvl w:val="1"/>
          <w:numId w:val="19"/>
        </w:numPr>
        <w:rPr>
          <w:sz w:val="18"/>
          <w:szCs w:val="20"/>
        </w:rPr>
      </w:pPr>
      <w:r w:rsidRPr="00576A79">
        <w:rPr>
          <w:sz w:val="18"/>
          <w:szCs w:val="20"/>
        </w:rPr>
        <w:t>the name of any nominated agent for the approval;</w:t>
      </w:r>
    </w:p>
    <w:p w14:paraId="206FC925" w14:textId="77777777" w:rsidR="008E67EA" w:rsidRPr="00576A79" w:rsidRDefault="008E67EA">
      <w:pPr>
        <w:pStyle w:val="Leg5Paraa"/>
        <w:numPr>
          <w:ilvl w:val="1"/>
          <w:numId w:val="19"/>
        </w:numPr>
        <w:rPr>
          <w:sz w:val="18"/>
          <w:szCs w:val="20"/>
        </w:rPr>
      </w:pPr>
      <w:r w:rsidRPr="00576A79">
        <w:rPr>
          <w:sz w:val="18"/>
          <w:szCs w:val="20"/>
        </w:rPr>
        <w:t>the distinguishing number;</w:t>
      </w:r>
    </w:p>
    <w:p w14:paraId="7B8444AA" w14:textId="77777777" w:rsidR="008E67EA" w:rsidRPr="00576A79" w:rsidRDefault="008E67EA">
      <w:pPr>
        <w:pStyle w:val="Leg5Paraa"/>
        <w:numPr>
          <w:ilvl w:val="1"/>
          <w:numId w:val="19"/>
        </w:numPr>
        <w:rPr>
          <w:sz w:val="18"/>
          <w:szCs w:val="20"/>
        </w:rPr>
      </w:pPr>
      <w:r w:rsidRPr="00576A79">
        <w:rPr>
          <w:sz w:val="18"/>
          <w:szCs w:val="20"/>
        </w:rPr>
        <w:t>the instructions and any particulars that are to be contained on the label;</w:t>
      </w:r>
    </w:p>
    <w:p w14:paraId="1C4B1EC1" w14:textId="77777777" w:rsidR="008E67EA" w:rsidRPr="00576A79" w:rsidRDefault="008E67EA" w:rsidP="008E67EA">
      <w:pPr>
        <w:pStyle w:val="Leg5Paraa"/>
        <w:ind w:left="2268" w:hanging="360"/>
        <w:rPr>
          <w:sz w:val="18"/>
          <w:szCs w:val="20"/>
        </w:rPr>
      </w:pPr>
      <w:r w:rsidRPr="00576A79">
        <w:rPr>
          <w:sz w:val="18"/>
          <w:szCs w:val="20"/>
        </w:rPr>
        <w:t> (iva) any other particulars prescribed by the regulations;</w:t>
      </w:r>
    </w:p>
    <w:p w14:paraId="08E7824C" w14:textId="77777777" w:rsidR="008E67EA" w:rsidRPr="00576A79" w:rsidRDefault="008E67EA">
      <w:pPr>
        <w:pStyle w:val="Leg5Paraa"/>
        <w:numPr>
          <w:ilvl w:val="1"/>
          <w:numId w:val="19"/>
        </w:numPr>
        <w:rPr>
          <w:sz w:val="18"/>
          <w:szCs w:val="20"/>
        </w:rPr>
      </w:pPr>
      <w:r w:rsidRPr="00576A79">
        <w:rPr>
          <w:sz w:val="18"/>
          <w:szCs w:val="20"/>
        </w:rPr>
        <w:t>any conditions of the approval imposed by the APVMA.</w:t>
      </w:r>
    </w:p>
    <w:p w14:paraId="347E4938" w14:textId="77777777" w:rsidR="008E67EA" w:rsidRPr="00712CED" w:rsidRDefault="008E67EA">
      <w:pPr>
        <w:pStyle w:val="NumberLevel1"/>
        <w:numPr>
          <w:ilvl w:val="0"/>
          <w:numId w:val="46"/>
        </w:numPr>
        <w:rPr>
          <w:szCs w:val="20"/>
        </w:rPr>
      </w:pPr>
      <w:r w:rsidRPr="00712CED">
        <w:rPr>
          <w:szCs w:val="20"/>
        </w:rPr>
        <w:t xml:space="preserve">The particulars prescribed for the purposes of paragraph 21(a) and subparagraph 21(c)(iva) of the Agvet Code are set out in regulation 17 of the Agvet Regulations, as detailed below. The particulars prescribed in subregulation 17(1) of the Agvet Regulations are also the particulars that are to be contained on the label and recorded in the relevant APVMA for the purposes of subparagraph 21(c)(iv) of the Agvet Code. </w:t>
      </w:r>
    </w:p>
    <w:p w14:paraId="6BCBB83E" w14:textId="23C790C2" w:rsidR="008E67EA" w:rsidRPr="000305BA" w:rsidRDefault="008E67EA" w:rsidP="008E67EA">
      <w:pPr>
        <w:pStyle w:val="Leg1SecHead1"/>
        <w:ind w:hanging="709"/>
        <w:rPr>
          <w:sz w:val="18"/>
          <w:szCs w:val="18"/>
        </w:rPr>
      </w:pPr>
      <w:r w:rsidRPr="000305BA">
        <w:rPr>
          <w:sz w:val="18"/>
          <w:szCs w:val="18"/>
        </w:rPr>
        <w:t>17 Particulars for label</w:t>
      </w:r>
    </w:p>
    <w:p w14:paraId="016806A2" w14:textId="77777777" w:rsidR="008E67EA" w:rsidRPr="000305BA" w:rsidRDefault="008E67EA">
      <w:pPr>
        <w:pStyle w:val="Leg4Subsec1"/>
        <w:numPr>
          <w:ilvl w:val="0"/>
          <w:numId w:val="33"/>
        </w:numPr>
        <w:rPr>
          <w:sz w:val="18"/>
          <w:szCs w:val="20"/>
        </w:rPr>
      </w:pPr>
      <w:r w:rsidRPr="000305BA">
        <w:rPr>
          <w:sz w:val="18"/>
          <w:szCs w:val="20"/>
        </w:rPr>
        <w:t>For paragraph 21(a) of the Code, the following particulars are prescribed:</w:t>
      </w:r>
    </w:p>
    <w:p w14:paraId="0ED31BBE" w14:textId="77777777" w:rsidR="008E67EA" w:rsidRPr="000305BA" w:rsidRDefault="008E67EA">
      <w:pPr>
        <w:pStyle w:val="Leg5Paraa"/>
        <w:numPr>
          <w:ilvl w:val="0"/>
          <w:numId w:val="31"/>
        </w:numPr>
        <w:rPr>
          <w:sz w:val="18"/>
          <w:szCs w:val="20"/>
        </w:rPr>
      </w:pPr>
      <w:r w:rsidRPr="000305BA">
        <w:rPr>
          <w:sz w:val="18"/>
          <w:szCs w:val="20"/>
        </w:rPr>
        <w:t>the appropriate signal words required by the current Poisons Standard;</w:t>
      </w:r>
    </w:p>
    <w:p w14:paraId="53DC05EA" w14:textId="77777777" w:rsidR="008E67EA" w:rsidRPr="000305BA" w:rsidRDefault="008E67EA">
      <w:pPr>
        <w:pStyle w:val="Leg5Paraa"/>
        <w:numPr>
          <w:ilvl w:val="0"/>
          <w:numId w:val="31"/>
        </w:numPr>
        <w:rPr>
          <w:sz w:val="18"/>
          <w:szCs w:val="20"/>
        </w:rPr>
      </w:pPr>
      <w:r w:rsidRPr="000305BA">
        <w:rPr>
          <w:sz w:val="18"/>
          <w:szCs w:val="20"/>
        </w:rPr>
        <w:t>the name of the chemical product that is to appear on a label for containers of the chemical product;</w:t>
      </w:r>
    </w:p>
    <w:p w14:paraId="3ADBC8B3" w14:textId="77777777" w:rsidR="008E67EA" w:rsidRPr="000305BA" w:rsidRDefault="008E67EA">
      <w:pPr>
        <w:pStyle w:val="Leg5Paraa"/>
        <w:numPr>
          <w:ilvl w:val="0"/>
          <w:numId w:val="31"/>
        </w:numPr>
        <w:rPr>
          <w:sz w:val="18"/>
          <w:szCs w:val="20"/>
        </w:rPr>
      </w:pPr>
      <w:r w:rsidRPr="000305BA">
        <w:rPr>
          <w:sz w:val="18"/>
          <w:szCs w:val="20"/>
        </w:rPr>
        <w:t>the name of each active constituent of the product;</w:t>
      </w:r>
    </w:p>
    <w:p w14:paraId="1CAF3F5D" w14:textId="77777777" w:rsidR="008E67EA" w:rsidRPr="000305BA" w:rsidRDefault="008E67EA">
      <w:pPr>
        <w:pStyle w:val="Leg5Paraa"/>
        <w:numPr>
          <w:ilvl w:val="0"/>
          <w:numId w:val="31"/>
        </w:numPr>
        <w:rPr>
          <w:sz w:val="18"/>
          <w:szCs w:val="20"/>
        </w:rPr>
      </w:pPr>
      <w:r w:rsidRPr="000305BA">
        <w:rPr>
          <w:sz w:val="18"/>
          <w:szCs w:val="20"/>
        </w:rPr>
        <w:t>the proportion of each active constituent of the product;</w:t>
      </w:r>
    </w:p>
    <w:p w14:paraId="0A1E9F71" w14:textId="77777777" w:rsidR="008E67EA" w:rsidRPr="000305BA" w:rsidRDefault="008E67EA">
      <w:pPr>
        <w:pStyle w:val="Leg5Paraa"/>
        <w:numPr>
          <w:ilvl w:val="0"/>
          <w:numId w:val="31"/>
        </w:numPr>
        <w:rPr>
          <w:sz w:val="18"/>
          <w:szCs w:val="20"/>
        </w:rPr>
      </w:pPr>
      <w:r w:rsidRPr="000305BA">
        <w:rPr>
          <w:sz w:val="18"/>
          <w:szCs w:val="20"/>
        </w:rPr>
        <w:t>the name of each constituent for the product that is:</w:t>
      </w:r>
    </w:p>
    <w:p w14:paraId="53D75E8F" w14:textId="77777777" w:rsidR="008E67EA" w:rsidRPr="000305BA" w:rsidRDefault="008E67EA">
      <w:pPr>
        <w:pStyle w:val="Leg5Paraa"/>
        <w:numPr>
          <w:ilvl w:val="0"/>
          <w:numId w:val="32"/>
        </w:numPr>
        <w:rPr>
          <w:sz w:val="18"/>
          <w:szCs w:val="20"/>
        </w:rPr>
      </w:pPr>
      <w:r w:rsidRPr="000305BA">
        <w:rPr>
          <w:sz w:val="18"/>
          <w:szCs w:val="20"/>
        </w:rPr>
        <w:t>not an active constituent; and</w:t>
      </w:r>
    </w:p>
    <w:p w14:paraId="085369BF" w14:textId="77777777" w:rsidR="008E67EA" w:rsidRPr="000305BA" w:rsidRDefault="008E67EA">
      <w:pPr>
        <w:pStyle w:val="Leg5Paraa"/>
        <w:numPr>
          <w:ilvl w:val="0"/>
          <w:numId w:val="32"/>
        </w:numPr>
        <w:rPr>
          <w:sz w:val="18"/>
          <w:szCs w:val="20"/>
        </w:rPr>
      </w:pPr>
      <w:r w:rsidRPr="000305BA">
        <w:rPr>
          <w:sz w:val="18"/>
          <w:szCs w:val="20"/>
        </w:rPr>
        <w:t>classified as a poison in the current Poisons Standard;</w:t>
      </w:r>
    </w:p>
    <w:p w14:paraId="030C770B" w14:textId="77777777" w:rsidR="008E67EA" w:rsidRPr="000305BA" w:rsidRDefault="008E67EA">
      <w:pPr>
        <w:pStyle w:val="Leg5Paraa"/>
        <w:numPr>
          <w:ilvl w:val="0"/>
          <w:numId w:val="31"/>
        </w:numPr>
        <w:rPr>
          <w:sz w:val="18"/>
          <w:szCs w:val="20"/>
        </w:rPr>
      </w:pPr>
      <w:r w:rsidRPr="000305BA">
        <w:rPr>
          <w:sz w:val="18"/>
          <w:szCs w:val="20"/>
        </w:rPr>
        <w:t> the proportion of each constituent referred to in paragraph (e);</w:t>
      </w:r>
    </w:p>
    <w:p w14:paraId="103F8C62" w14:textId="77777777" w:rsidR="008E67EA" w:rsidRDefault="008E67EA" w:rsidP="008E67EA">
      <w:pPr>
        <w:pStyle w:val="Leg5Paraa"/>
        <w:ind w:left="1418" w:hanging="142"/>
        <w:rPr>
          <w:sz w:val="18"/>
          <w:szCs w:val="20"/>
        </w:rPr>
      </w:pPr>
      <w:r w:rsidRPr="000305BA">
        <w:rPr>
          <w:sz w:val="18"/>
          <w:szCs w:val="20"/>
        </w:rPr>
        <w:t>(h) </w:t>
      </w:r>
      <w:r>
        <w:rPr>
          <w:sz w:val="18"/>
          <w:szCs w:val="20"/>
        </w:rPr>
        <w:t xml:space="preserve">   </w:t>
      </w:r>
      <w:r w:rsidRPr="000305BA">
        <w:rPr>
          <w:sz w:val="18"/>
          <w:szCs w:val="20"/>
        </w:rPr>
        <w:t>the net contents of the product;</w:t>
      </w:r>
    </w:p>
    <w:p w14:paraId="70F94599" w14:textId="77777777" w:rsidR="008E67EA" w:rsidRPr="000305BA" w:rsidRDefault="008E67EA" w:rsidP="008E67EA">
      <w:pPr>
        <w:pStyle w:val="Leg5Paraa"/>
        <w:rPr>
          <w:sz w:val="18"/>
          <w:szCs w:val="20"/>
        </w:rPr>
      </w:pPr>
      <w:r w:rsidRPr="000305BA">
        <w:rPr>
          <w:sz w:val="18"/>
          <w:szCs w:val="20"/>
        </w:rPr>
        <w:t>(j) </w:t>
      </w:r>
      <w:r>
        <w:rPr>
          <w:sz w:val="18"/>
          <w:szCs w:val="20"/>
        </w:rPr>
        <w:t xml:space="preserve">    </w:t>
      </w:r>
      <w:r w:rsidRPr="000305BA">
        <w:rPr>
          <w:sz w:val="18"/>
          <w:szCs w:val="20"/>
        </w:rPr>
        <w:t>particulars determined by the APVMA CEO under subregulation (2).</w:t>
      </w:r>
    </w:p>
    <w:p w14:paraId="25EFDFB1" w14:textId="77777777" w:rsidR="008E67EA" w:rsidRPr="000305BA" w:rsidRDefault="008E67EA">
      <w:pPr>
        <w:pStyle w:val="Leg4Subsec1"/>
        <w:numPr>
          <w:ilvl w:val="0"/>
          <w:numId w:val="33"/>
        </w:numPr>
        <w:rPr>
          <w:sz w:val="18"/>
          <w:szCs w:val="20"/>
        </w:rPr>
      </w:pPr>
      <w:r w:rsidRPr="000305BA">
        <w:rPr>
          <w:sz w:val="18"/>
          <w:szCs w:val="20"/>
        </w:rPr>
        <w:lastRenderedPageBreak/>
        <w:t>For paragraph 6(2)(c) of the Act, the APVMA CEO may determine additional particulars to be placed on a label for a product.</w:t>
      </w:r>
    </w:p>
    <w:p w14:paraId="7E654C5C" w14:textId="77777777" w:rsidR="008E67EA" w:rsidRPr="000305BA" w:rsidRDefault="008E67EA">
      <w:pPr>
        <w:pStyle w:val="Leg4Subsec1"/>
        <w:numPr>
          <w:ilvl w:val="0"/>
          <w:numId w:val="33"/>
        </w:numPr>
        <w:rPr>
          <w:sz w:val="18"/>
          <w:szCs w:val="20"/>
        </w:rPr>
      </w:pPr>
      <w:r w:rsidRPr="000305BA">
        <w:rPr>
          <w:sz w:val="18"/>
          <w:szCs w:val="20"/>
        </w:rPr>
        <w:t>For subparagraph 21(c)(iva) of the Code, the following information is prescribed in relation to the approval of a label for a chemical product, unless the information has already been recorded for the approval of the label as part of the registration of the chemical product:</w:t>
      </w:r>
    </w:p>
    <w:p w14:paraId="0F2F5511" w14:textId="77777777" w:rsidR="008E67EA" w:rsidRPr="000305BA" w:rsidRDefault="008E67EA">
      <w:pPr>
        <w:pStyle w:val="Leg5Paraa"/>
        <w:numPr>
          <w:ilvl w:val="0"/>
          <w:numId w:val="34"/>
        </w:numPr>
        <w:rPr>
          <w:sz w:val="18"/>
          <w:szCs w:val="20"/>
        </w:rPr>
      </w:pPr>
      <w:r w:rsidRPr="000305BA">
        <w:rPr>
          <w:sz w:val="18"/>
          <w:szCs w:val="20"/>
        </w:rPr>
        <w:t>identifying information for the holder of the approval;</w:t>
      </w:r>
    </w:p>
    <w:p w14:paraId="25DF3988" w14:textId="77777777" w:rsidR="008E67EA" w:rsidRPr="000305BA" w:rsidRDefault="008E67EA">
      <w:pPr>
        <w:pStyle w:val="Leg5Paraa"/>
        <w:numPr>
          <w:ilvl w:val="0"/>
          <w:numId w:val="34"/>
        </w:numPr>
        <w:rPr>
          <w:sz w:val="18"/>
          <w:szCs w:val="20"/>
        </w:rPr>
      </w:pPr>
      <w:r w:rsidRPr="000305BA">
        <w:rPr>
          <w:sz w:val="18"/>
          <w:szCs w:val="20"/>
        </w:rPr>
        <w:t>identifying information for any nominated agent for the approval;</w:t>
      </w:r>
    </w:p>
    <w:p w14:paraId="7FAECD66" w14:textId="77777777" w:rsidR="008E67EA" w:rsidRPr="000305BA" w:rsidRDefault="008E67EA">
      <w:pPr>
        <w:pStyle w:val="Leg5Paraa"/>
        <w:numPr>
          <w:ilvl w:val="0"/>
          <w:numId w:val="34"/>
        </w:numPr>
        <w:rPr>
          <w:sz w:val="18"/>
          <w:szCs w:val="20"/>
        </w:rPr>
      </w:pPr>
      <w:r w:rsidRPr="000305BA">
        <w:rPr>
          <w:sz w:val="18"/>
          <w:szCs w:val="20"/>
        </w:rPr>
        <w:t>the distinguishing name of the chemical product that is prescribed under paragraph 16(a) and entered in the Register;</w:t>
      </w:r>
    </w:p>
    <w:p w14:paraId="700ACEB1" w14:textId="77777777" w:rsidR="008E67EA" w:rsidRPr="000305BA" w:rsidRDefault="008E67EA">
      <w:pPr>
        <w:pStyle w:val="Leg5Paraa"/>
        <w:numPr>
          <w:ilvl w:val="0"/>
          <w:numId w:val="34"/>
        </w:numPr>
        <w:rPr>
          <w:sz w:val="18"/>
          <w:szCs w:val="20"/>
        </w:rPr>
      </w:pPr>
      <w:r w:rsidRPr="000305BA">
        <w:rPr>
          <w:sz w:val="18"/>
          <w:szCs w:val="20"/>
        </w:rPr>
        <w:t>the distinguishing number of the chemical product that is entered in the Register.</w:t>
      </w:r>
    </w:p>
    <w:p w14:paraId="69A85A41" w14:textId="77777777" w:rsidR="008E67EA" w:rsidRDefault="008E67EA" w:rsidP="008E67EA">
      <w:pPr>
        <w:pStyle w:val="StatementofReasonsHeading2"/>
      </w:pPr>
      <w:bookmarkStart w:id="392" w:name="_Toc216200996"/>
      <w:r>
        <w:t>Phase-out provisions</w:t>
      </w:r>
      <w:bookmarkEnd w:id="392"/>
    </w:p>
    <w:p w14:paraId="7A9B567D" w14:textId="77777777" w:rsidR="008E67EA" w:rsidRPr="000A1139" w:rsidRDefault="008E67EA">
      <w:pPr>
        <w:pStyle w:val="NumberLevel1"/>
        <w:numPr>
          <w:ilvl w:val="0"/>
          <w:numId w:val="46"/>
        </w:numPr>
        <w:rPr>
          <w:color w:val="000000" w:themeColor="text1"/>
        </w:rPr>
      </w:pPr>
      <w:r>
        <w:rPr>
          <w:color w:val="000000" w:themeColor="text1"/>
        </w:rPr>
        <w:t>T</w:t>
      </w:r>
      <w:r w:rsidRPr="000A1139">
        <w:rPr>
          <w:color w:val="000000" w:themeColor="text1"/>
        </w:rPr>
        <w:t>he provisions of the Agvet Code which relate to “phase-out” of cancelled products or products bearing cancelled labels</w:t>
      </w:r>
      <w:r>
        <w:rPr>
          <w:color w:val="000000" w:themeColor="text1"/>
        </w:rPr>
        <w:t xml:space="preserve"> are set out below</w:t>
      </w:r>
      <w:r w:rsidRPr="000A1139">
        <w:rPr>
          <w:color w:val="000000" w:themeColor="text1"/>
        </w:rPr>
        <w:t>.</w:t>
      </w:r>
    </w:p>
    <w:p w14:paraId="3451E250" w14:textId="77777777" w:rsidR="008E67EA" w:rsidRPr="008671F5" w:rsidRDefault="008E67EA" w:rsidP="008E67EA">
      <w:pPr>
        <w:pStyle w:val="StatementofReasonsHeading3"/>
      </w:pPr>
      <w:bookmarkStart w:id="393" w:name="_Toc216200997"/>
      <w:r w:rsidRPr="008671F5">
        <w:t>Phase-out of cancelled products and labels</w:t>
      </w:r>
      <w:bookmarkEnd w:id="393"/>
    </w:p>
    <w:p w14:paraId="4463D5ED" w14:textId="77777777" w:rsidR="008E67EA" w:rsidRPr="00694123" w:rsidRDefault="008E67EA">
      <w:pPr>
        <w:pStyle w:val="NumberLevel1"/>
        <w:numPr>
          <w:ilvl w:val="0"/>
          <w:numId w:val="46"/>
        </w:numPr>
        <w:rPr>
          <w:color w:val="000000" w:themeColor="text1"/>
        </w:rPr>
      </w:pPr>
      <w:r w:rsidRPr="00694123">
        <w:rPr>
          <w:color w:val="000000" w:themeColor="text1"/>
        </w:rPr>
        <w:t>If the APVMA cancels the registration of a product or approval of the label, it must give notice in accordance with the provisions in Division 5 of Part 2 of the Code. Relevantly, section 45B of the Code provides in effect that the APVMA may cause a permit to be deemed to have been granted to persons which would permit the possession, custody or use of a product which has been cancelled (or a product bearing a label whose approval has been cancelled). As set out in subsection 45B(2) of the Agvet code, this deemed permit (be it taken to have been issued under subsection 45B(1) or subsection 45B(3) of the Code) remains in force until whichever of the following events first occurs:</w:t>
      </w:r>
    </w:p>
    <w:p w14:paraId="4512CE26" w14:textId="77777777" w:rsidR="008E67EA" w:rsidRPr="00694123" w:rsidRDefault="008E67EA">
      <w:pPr>
        <w:pStyle w:val="NumberLevel2"/>
        <w:numPr>
          <w:ilvl w:val="1"/>
          <w:numId w:val="46"/>
        </w:numPr>
        <w:ind w:left="1134"/>
        <w:rPr>
          <w:color w:val="000000" w:themeColor="text1"/>
        </w:rPr>
      </w:pPr>
      <w:r w:rsidRPr="00694123">
        <w:rPr>
          <w:color w:val="000000" w:themeColor="text1"/>
        </w:rPr>
        <w:t>the expiration of a period of 1 year after the day of the cancellation; or</w:t>
      </w:r>
    </w:p>
    <w:p w14:paraId="7D7B549A" w14:textId="77777777" w:rsidR="008E67EA" w:rsidRPr="00694123" w:rsidRDefault="008E67EA">
      <w:pPr>
        <w:pStyle w:val="NumberLevel2"/>
        <w:numPr>
          <w:ilvl w:val="1"/>
          <w:numId w:val="46"/>
        </w:numPr>
        <w:ind w:left="1134"/>
        <w:rPr>
          <w:color w:val="000000" w:themeColor="text1"/>
        </w:rPr>
      </w:pPr>
      <w:r w:rsidRPr="00694123">
        <w:rPr>
          <w:color w:val="000000" w:themeColor="text1"/>
        </w:rPr>
        <w:t xml:space="preserve">the revocation of the cancellation by the APVMA; </w:t>
      </w:r>
    </w:p>
    <w:p w14:paraId="7F699F1D" w14:textId="77777777" w:rsidR="008E67EA" w:rsidRPr="00694123" w:rsidRDefault="008E67EA">
      <w:pPr>
        <w:pStyle w:val="NumberLevel2"/>
        <w:numPr>
          <w:ilvl w:val="1"/>
          <w:numId w:val="46"/>
        </w:numPr>
        <w:ind w:left="1134"/>
        <w:rPr>
          <w:color w:val="000000" w:themeColor="text1"/>
        </w:rPr>
      </w:pPr>
      <w:r w:rsidRPr="00694123">
        <w:rPr>
          <w:color w:val="000000" w:themeColor="text1"/>
        </w:rPr>
        <w:t>the publication, by APVMA, of a notice in the Gazette, declaring that subsection 45B(2) of the Code ceases to apply in respect of the product.</w:t>
      </w:r>
    </w:p>
    <w:p w14:paraId="120A0F74" w14:textId="77777777" w:rsidR="008E67EA" w:rsidRPr="00694123" w:rsidRDefault="008E67EA">
      <w:pPr>
        <w:pStyle w:val="NumberLevel1"/>
        <w:numPr>
          <w:ilvl w:val="0"/>
          <w:numId w:val="46"/>
        </w:numPr>
        <w:rPr>
          <w:color w:val="000000" w:themeColor="text1"/>
        </w:rPr>
      </w:pPr>
      <w:r>
        <w:rPr>
          <w:color w:val="000000" w:themeColor="text1"/>
        </w:rPr>
        <w:t>W</w:t>
      </w:r>
      <w:r w:rsidRPr="00694123">
        <w:rPr>
          <w:color w:val="000000" w:themeColor="text1"/>
        </w:rPr>
        <w:t>hile the Code does not prescribe matters to be taken into account in the making of decisions in relation to the phase-out of cancelled products and labels, it is clear that such decisions are to be made based on considerations of risk.</w:t>
      </w:r>
    </w:p>
    <w:p w14:paraId="26FF889E" w14:textId="74B5B00A" w:rsidR="008E67EA" w:rsidRPr="007662AE" w:rsidRDefault="008E67EA" w:rsidP="008E67EA">
      <w:pPr>
        <w:pStyle w:val="StatementofReasonsHeading1"/>
      </w:pPr>
      <w:bookmarkStart w:id="394" w:name="_Toc216200998"/>
      <w:r w:rsidRPr="007662AE">
        <w:t>F</w:t>
      </w:r>
      <w:r w:rsidR="0071188C" w:rsidRPr="007662AE">
        <w:t>indings on material questions of fact</w:t>
      </w:r>
      <w:bookmarkEnd w:id="394"/>
    </w:p>
    <w:p w14:paraId="3428E712" w14:textId="77777777" w:rsidR="008E67EA" w:rsidRPr="00A00B7E" w:rsidRDefault="008E67EA">
      <w:pPr>
        <w:pStyle w:val="NumberLevel1"/>
        <w:numPr>
          <w:ilvl w:val="0"/>
          <w:numId w:val="46"/>
        </w:numPr>
        <w:rPr>
          <w:color w:val="000000" w:themeColor="text1"/>
        </w:rPr>
      </w:pPr>
      <w:r w:rsidRPr="004977DD">
        <w:rPr>
          <w:color w:val="000000" w:themeColor="text1"/>
        </w:rPr>
        <w:t xml:space="preserve">In </w:t>
      </w:r>
      <w:r w:rsidRPr="00A00B7E">
        <w:rPr>
          <w:color w:val="000000" w:themeColor="text1"/>
        </w:rPr>
        <w:t>relation to the anticoagulant rodenticide chemical products listed in Attachment A of this notice:</w:t>
      </w:r>
    </w:p>
    <w:p w14:paraId="203576EE" w14:textId="792F5F1F" w:rsidR="008E67EA" w:rsidRPr="00A00B7E" w:rsidRDefault="008E67EA">
      <w:pPr>
        <w:pStyle w:val="NumberLevel2"/>
        <w:numPr>
          <w:ilvl w:val="1"/>
          <w:numId w:val="46"/>
        </w:numPr>
        <w:ind w:left="1134"/>
        <w:rPr>
          <w:color w:val="000000" w:themeColor="text1"/>
        </w:rPr>
      </w:pPr>
      <w:r w:rsidRPr="00A00B7E">
        <w:rPr>
          <w:color w:val="000000" w:themeColor="text1"/>
        </w:rPr>
        <w:t xml:space="preserve">I </w:t>
      </w:r>
      <w:r w:rsidRPr="00305D26">
        <w:rPr>
          <w:color w:val="000000" w:themeColor="text1"/>
        </w:rPr>
        <w:t xml:space="preserve">am </w:t>
      </w:r>
      <w:r w:rsidRPr="00424BB5">
        <w:rPr>
          <w:b/>
          <w:bCs/>
          <w:color w:val="000000" w:themeColor="text1"/>
        </w:rPr>
        <w:t>not satisfied</w:t>
      </w:r>
      <w:r w:rsidRPr="00A00B7E">
        <w:rPr>
          <w:color w:val="000000" w:themeColor="text1"/>
        </w:rPr>
        <w:t xml:space="preserve"> that the chemical products meet the safety criteria, nor that the relevant particulars or conditions of the chemical product</w:t>
      </w:r>
      <w:r>
        <w:rPr>
          <w:color w:val="000000" w:themeColor="text1"/>
        </w:rPr>
        <w:t xml:space="preserve"> registration</w:t>
      </w:r>
      <w:r w:rsidRPr="00A00B7E">
        <w:rPr>
          <w:color w:val="000000" w:themeColor="text1"/>
        </w:rPr>
        <w:t>s could be varied in such as way so that the products meet the safety criteria</w:t>
      </w:r>
      <w:r>
        <w:rPr>
          <w:color w:val="000000" w:themeColor="text1"/>
        </w:rPr>
        <w:t xml:space="preserve"> so as to allow the registrations to be affirmed. This is</w:t>
      </w:r>
      <w:r w:rsidRPr="00A00B7E">
        <w:rPr>
          <w:color w:val="000000" w:themeColor="text1"/>
        </w:rPr>
        <w:t xml:space="preserve"> due to an unacceptable likelihood of an effect that is harmful to </w:t>
      </w:r>
      <w:r>
        <w:rPr>
          <w:color w:val="000000" w:themeColor="text1"/>
        </w:rPr>
        <w:t>human beings</w:t>
      </w:r>
      <w:r w:rsidRPr="00A00B7E">
        <w:rPr>
          <w:color w:val="000000" w:themeColor="text1"/>
        </w:rPr>
        <w:t xml:space="preserve"> and/or an unintended effect that is harmful to non-target terrestrial vertebrates.</w:t>
      </w:r>
    </w:p>
    <w:p w14:paraId="3E2056B0" w14:textId="29613341" w:rsidR="008E67EA" w:rsidRPr="00825CB4" w:rsidRDefault="008E67EA">
      <w:pPr>
        <w:pStyle w:val="NumberLevel2"/>
        <w:numPr>
          <w:ilvl w:val="1"/>
          <w:numId w:val="46"/>
        </w:numPr>
        <w:ind w:left="1134"/>
        <w:rPr>
          <w:color w:val="000000" w:themeColor="text1"/>
        </w:rPr>
      </w:pPr>
      <w:r w:rsidRPr="00825CB4">
        <w:rPr>
          <w:color w:val="000000" w:themeColor="text1"/>
        </w:rPr>
        <w:t xml:space="preserve">Under section 34AA of the Agvet Code, I propose to </w:t>
      </w:r>
      <w:r w:rsidRPr="00825CB4">
        <w:rPr>
          <w:b/>
          <w:bCs/>
          <w:color w:val="000000" w:themeColor="text1"/>
        </w:rPr>
        <w:t>cancel</w:t>
      </w:r>
      <w:r w:rsidRPr="00825CB4">
        <w:rPr>
          <w:color w:val="000000" w:themeColor="text1"/>
        </w:rPr>
        <w:t xml:space="preserve"> these chemical product registrations on the basis that I have not affirmed the chemical products registrations</w:t>
      </w:r>
      <w:r>
        <w:rPr>
          <w:color w:val="000000" w:themeColor="text1"/>
        </w:rPr>
        <w:t>,</w:t>
      </w:r>
      <w:r w:rsidRPr="00825CB4">
        <w:rPr>
          <w:color w:val="000000" w:themeColor="text1"/>
        </w:rPr>
        <w:t xml:space="preserve"> and </w:t>
      </w:r>
      <w:r>
        <w:rPr>
          <w:color w:val="000000" w:themeColor="text1"/>
        </w:rPr>
        <w:t xml:space="preserve">I do not consider that </w:t>
      </w:r>
      <w:r w:rsidRPr="00825CB4">
        <w:rPr>
          <w:color w:val="000000" w:themeColor="text1"/>
        </w:rPr>
        <w:t xml:space="preserve">suspension for </w:t>
      </w:r>
      <w:r w:rsidRPr="00825CB4">
        <w:rPr>
          <w:color w:val="000000" w:themeColor="text1"/>
        </w:rPr>
        <w:lastRenderedPageBreak/>
        <w:t>a stated period of time is a viable pathway to resolve the potential safety risks to human beings and/or non-target terrestrial vertebrates.</w:t>
      </w:r>
    </w:p>
    <w:p w14:paraId="79AA69B0" w14:textId="77777777" w:rsidR="008E67EA" w:rsidRPr="00A00B7E" w:rsidRDefault="008E67EA">
      <w:pPr>
        <w:pStyle w:val="NumberLevel1"/>
        <w:numPr>
          <w:ilvl w:val="0"/>
          <w:numId w:val="46"/>
        </w:numPr>
        <w:rPr>
          <w:color w:val="000000" w:themeColor="text1"/>
        </w:rPr>
      </w:pPr>
      <w:r w:rsidRPr="00A00B7E">
        <w:rPr>
          <w:color w:val="000000" w:themeColor="text1"/>
        </w:rPr>
        <w:t>In relation to the labels for anticoagulant rodenticide chemical products listed in Attachment A of this notice:</w:t>
      </w:r>
    </w:p>
    <w:p w14:paraId="19A57748" w14:textId="77777777" w:rsidR="008E67EA" w:rsidRPr="00146E7F" w:rsidRDefault="008E67EA">
      <w:pPr>
        <w:pStyle w:val="NumberLevel2"/>
        <w:numPr>
          <w:ilvl w:val="1"/>
          <w:numId w:val="46"/>
        </w:numPr>
        <w:ind w:left="1134"/>
        <w:rPr>
          <w:color w:val="000000" w:themeColor="text1"/>
        </w:rPr>
      </w:pPr>
      <w:r w:rsidRPr="00146E7F">
        <w:rPr>
          <w:color w:val="000000" w:themeColor="text1"/>
        </w:rPr>
        <w:t xml:space="preserve">I am </w:t>
      </w:r>
      <w:r w:rsidRPr="00146E7F">
        <w:rPr>
          <w:b/>
          <w:bCs/>
          <w:color w:val="000000" w:themeColor="text1"/>
        </w:rPr>
        <w:t>not satisfied</w:t>
      </w:r>
      <w:r w:rsidRPr="00146E7F">
        <w:rPr>
          <w:color w:val="000000" w:themeColor="text1"/>
        </w:rPr>
        <w:t xml:space="preserve"> that the labels meet the labelling criteria, nor that the relevant particulars or conditions of the label approvals could be varied in such as way so that the labels meet the labelling criteria so as to allow the approvals to be affirmed.</w:t>
      </w:r>
    </w:p>
    <w:p w14:paraId="7BDDBFD2" w14:textId="10F81C5C" w:rsidR="008E67EA" w:rsidRPr="00825CB4" w:rsidRDefault="008E67EA">
      <w:pPr>
        <w:pStyle w:val="NumberLevel2"/>
        <w:numPr>
          <w:ilvl w:val="1"/>
          <w:numId w:val="46"/>
        </w:numPr>
        <w:ind w:left="1134"/>
        <w:rPr>
          <w:color w:val="000000" w:themeColor="text1"/>
        </w:rPr>
      </w:pPr>
      <w:r w:rsidRPr="00825CB4">
        <w:rPr>
          <w:color w:val="000000" w:themeColor="text1"/>
        </w:rPr>
        <w:t xml:space="preserve">Under section 34AA of the Agvet Code, I propose to </w:t>
      </w:r>
      <w:r w:rsidRPr="00825CB4">
        <w:rPr>
          <w:b/>
          <w:bCs/>
          <w:color w:val="000000" w:themeColor="text1"/>
        </w:rPr>
        <w:t>cancel</w:t>
      </w:r>
      <w:r w:rsidRPr="00825CB4">
        <w:rPr>
          <w:color w:val="000000" w:themeColor="text1"/>
        </w:rPr>
        <w:t xml:space="preserve"> the label approvals on the basis that I have not affirmed the label approvals, and I do not consider that suspension for a stated period of time is a viable pathway to resolve the inadequacy of instructions on labels.</w:t>
      </w:r>
    </w:p>
    <w:p w14:paraId="0514E41D" w14:textId="487F7CD2" w:rsidR="008E67EA" w:rsidRPr="00B418E9" w:rsidRDefault="008E67EA" w:rsidP="008E67EA">
      <w:pPr>
        <w:pStyle w:val="StatementofReasonsHeading1"/>
      </w:pPr>
      <w:bookmarkStart w:id="395" w:name="_Toc216200999"/>
      <w:r w:rsidRPr="00B418E9">
        <w:t>R</w:t>
      </w:r>
      <w:r w:rsidR="0071188C" w:rsidRPr="00B418E9">
        <w:t>easons</w:t>
      </w:r>
      <w:bookmarkEnd w:id="395"/>
    </w:p>
    <w:p w14:paraId="0D7FD3BA" w14:textId="77777777" w:rsidR="008E67EA" w:rsidRDefault="008E67EA" w:rsidP="008E67EA">
      <w:pPr>
        <w:pStyle w:val="StatementofReasonsHeading2"/>
      </w:pPr>
      <w:bookmarkStart w:id="396" w:name="_Toc216201000"/>
      <w:r>
        <w:t>Chemical products</w:t>
      </w:r>
      <w:bookmarkEnd w:id="396"/>
    </w:p>
    <w:p w14:paraId="7BEA39F8" w14:textId="28EB370C" w:rsidR="008E67EA" w:rsidRPr="006A3DE6" w:rsidRDefault="008E67EA">
      <w:pPr>
        <w:pStyle w:val="NumberLevel1"/>
        <w:numPr>
          <w:ilvl w:val="0"/>
          <w:numId w:val="46"/>
        </w:numPr>
        <w:rPr>
          <w:color w:val="000000" w:themeColor="text1"/>
        </w:rPr>
      </w:pPr>
      <w:bookmarkStart w:id="397" w:name="_Ref211889867"/>
      <w:r w:rsidRPr="006A3DE6">
        <w:rPr>
          <w:color w:val="000000" w:themeColor="text1"/>
        </w:rPr>
        <w:t xml:space="preserve">For the purposes of proposing a course of action in relation to the chemical product registrations listed in Attachment A of this notice, I must determine whether I can affirm the registration of these chemical products or whether I can vary the relevant particulars and conditions in such a way as to allow the registrations to be affirmed. </w:t>
      </w:r>
      <w:bookmarkEnd w:id="397"/>
      <w:r>
        <w:t>If I do not affirm the registration of the chemical products listed in Attachment A of this notice, I must cancel or suspend the registration of the chemical products.</w:t>
      </w:r>
    </w:p>
    <w:p w14:paraId="63BED029" w14:textId="77777777" w:rsidR="008E67EA" w:rsidRDefault="008E67EA" w:rsidP="008E67EA">
      <w:pPr>
        <w:pStyle w:val="StatementofReasonsHeading3"/>
      </w:pPr>
      <w:bookmarkStart w:id="398" w:name="_Toc216201001"/>
      <w:r>
        <w:t>Consideration of the safety criteria</w:t>
      </w:r>
      <w:bookmarkEnd w:id="398"/>
    </w:p>
    <w:p w14:paraId="2A44927B" w14:textId="62AB955C" w:rsidR="008E67EA" w:rsidRDefault="008E67EA">
      <w:pPr>
        <w:pStyle w:val="NumberLevel1"/>
        <w:numPr>
          <w:ilvl w:val="0"/>
          <w:numId w:val="46"/>
        </w:numPr>
      </w:pPr>
      <w:r w:rsidRPr="00A617FD">
        <w:t xml:space="preserve">In determining whether </w:t>
      </w:r>
      <w:r>
        <w:t xml:space="preserve">I am satisfied that </w:t>
      </w:r>
      <w:r w:rsidRPr="00A617FD">
        <w:t>the chemical products listed in Attachment A of this notice meet the safety criteria, I note that anticoagulant rodenticides are not listed chemical products and no established standard containing instructions has been made in accordance with section 8U(7) of the Agvet Code. Therefore, I have considered whether the products listed in Attachment A of this notice meet the safety criteria with respect to the use of the product in accordance with any instructions approved, or to be approved, by the APVMA.</w:t>
      </w:r>
    </w:p>
    <w:p w14:paraId="23B44D81" w14:textId="77777777" w:rsidR="008E67EA" w:rsidRPr="00EC2FC9" w:rsidRDefault="008E67EA">
      <w:pPr>
        <w:pStyle w:val="NumberLevel1"/>
        <w:numPr>
          <w:ilvl w:val="0"/>
          <w:numId w:val="46"/>
        </w:numPr>
        <w:rPr>
          <w:color w:val="000000" w:themeColor="text1"/>
        </w:rPr>
      </w:pPr>
      <w:bookmarkStart w:id="399" w:name="_Ref212826564"/>
      <w:bookmarkStart w:id="400" w:name="_Hlk212897415"/>
      <w:r>
        <w:t>Further, in relation to whether the chemical products listed in Attachment A of this notice meet the safety criteria</w:t>
      </w:r>
      <w:r>
        <w:rPr>
          <w:color w:val="000000" w:themeColor="text1"/>
        </w:rPr>
        <w:t>, I have considered the following matters set out in section 5A(3)(a) of the Agvet Code</w:t>
      </w:r>
      <w:r w:rsidRPr="00EC2FC9">
        <w:rPr>
          <w:color w:val="000000" w:themeColor="text1"/>
        </w:rPr>
        <w:t>:</w:t>
      </w:r>
      <w:bookmarkEnd w:id="399"/>
    </w:p>
    <w:p w14:paraId="570E1904" w14:textId="39306A31" w:rsidR="008E67EA" w:rsidRPr="00767DE4" w:rsidRDefault="008E67EA">
      <w:pPr>
        <w:pStyle w:val="NumberLevel2"/>
        <w:numPr>
          <w:ilvl w:val="1"/>
          <w:numId w:val="46"/>
        </w:numPr>
        <w:ind w:left="1134"/>
      </w:pPr>
      <w:bookmarkStart w:id="401" w:name="_Hlk212897517"/>
      <w:r>
        <w:t>T</w:t>
      </w:r>
      <w:r w:rsidRPr="00767DE4">
        <w:t>he toxicity of the product and its residues, including metabolites and degradation products, in relation to relevant organisms and ecosystems, including human beings (s 5A(3)(a)(i)</w:t>
      </w:r>
      <w:r>
        <w:t xml:space="preserve"> of the Agvet Code</w:t>
      </w:r>
      <w:r w:rsidRPr="00767DE4">
        <w:t>)</w:t>
      </w:r>
      <w:r>
        <w:t>. This consideration has been specifically limited to the toxicity of the chemical products to human beings and non-target terrestrial vertebrates, noting that anticoagulant rodenticides are vertebrate poisons that pose the greatest risk to non-target vertebrate species, rather than insects or other invertebrates.</w:t>
      </w:r>
    </w:p>
    <w:bookmarkEnd w:id="400"/>
    <w:bookmarkEnd w:id="401"/>
    <w:p w14:paraId="52E28F69" w14:textId="77777777" w:rsidR="008E67EA" w:rsidRDefault="008E67EA">
      <w:pPr>
        <w:pStyle w:val="NumberLevel2"/>
        <w:numPr>
          <w:ilvl w:val="1"/>
          <w:numId w:val="46"/>
        </w:numPr>
        <w:ind w:left="1134"/>
      </w:pPr>
      <w:r>
        <w:t>H</w:t>
      </w:r>
      <w:r w:rsidRPr="00396B62">
        <w:t>ow the product is formulated</w:t>
      </w:r>
      <w:r>
        <w:t xml:space="preserve"> (s 5A(3)(a)</w:t>
      </w:r>
      <w:r w:rsidRPr="00396B62">
        <w:t>(iii)</w:t>
      </w:r>
      <w:r>
        <w:t xml:space="preserve"> of the Agvet Code). </w:t>
      </w:r>
      <w:r w:rsidRPr="00EC6935">
        <w:rPr>
          <w:color w:val="000000" w:themeColor="text1"/>
        </w:rPr>
        <w:t>Specifically</w:t>
      </w:r>
      <w:r>
        <w:rPr>
          <w:color w:val="000000" w:themeColor="text1"/>
        </w:rPr>
        <w:t xml:space="preserve">, </w:t>
      </w:r>
      <w:r>
        <w:t>whether the product is formulated to contain a bittering agent and dye as constituents, and whether the product is formulated as a liquid bait concentrate or powder bait concentrate that contains a relatively high concentration of the anticoagulant rodenticide active constituent.</w:t>
      </w:r>
    </w:p>
    <w:p w14:paraId="58A48AA1" w14:textId="77777777" w:rsidR="008E67EA" w:rsidRDefault="008E67EA">
      <w:pPr>
        <w:pStyle w:val="NumberLevel2"/>
        <w:numPr>
          <w:ilvl w:val="1"/>
          <w:numId w:val="46"/>
        </w:numPr>
        <w:ind w:left="1134"/>
      </w:pPr>
      <w:r>
        <w:t>The following relevant particulars that are</w:t>
      </w:r>
      <w:r w:rsidRPr="00444372">
        <w:rPr>
          <w:color w:val="000000" w:themeColor="text1"/>
        </w:rPr>
        <w:t xml:space="preserve">, or would be, </w:t>
      </w:r>
      <w:r>
        <w:t>entered into the Register for the product (</w:t>
      </w:r>
      <w:r w:rsidRPr="00EC6935">
        <w:rPr>
          <w:color w:val="000000" w:themeColor="text1"/>
        </w:rPr>
        <w:t>s 5A(3)(a)(vi) of the Agvet Code):</w:t>
      </w:r>
      <w:r>
        <w:rPr>
          <w:color w:val="000000" w:themeColor="text1"/>
        </w:rPr>
        <w:t xml:space="preserve"> </w:t>
      </w:r>
      <w:r w:rsidRPr="00444372">
        <w:rPr>
          <w:color w:val="000000" w:themeColor="text1"/>
        </w:rPr>
        <w:t>‘any instructions for use’</w:t>
      </w:r>
      <w:r>
        <w:rPr>
          <w:color w:val="000000" w:themeColor="text1"/>
        </w:rPr>
        <w:t>,</w:t>
      </w:r>
      <w:r w:rsidRPr="00EC6935">
        <w:rPr>
          <w:color w:val="000000" w:themeColor="text1"/>
        </w:rPr>
        <w:t xml:space="preserve"> ‘the constituents of the chemical product (r 16(b) of the Agvet Regulations)’, ‘the concentration of each constituent (r 16(c) of the Agvet Regulations)’ and ‘the formulation type’ (r 16(da) of the Agvet Regulations).</w:t>
      </w:r>
    </w:p>
    <w:p w14:paraId="3B673A60" w14:textId="267F7380" w:rsidR="008E67EA" w:rsidRPr="00274BA6" w:rsidRDefault="008E67EA">
      <w:pPr>
        <w:pStyle w:val="NumberLevel1"/>
        <w:numPr>
          <w:ilvl w:val="0"/>
          <w:numId w:val="46"/>
        </w:numPr>
        <w:rPr>
          <w:color w:val="000000" w:themeColor="text1"/>
        </w:rPr>
      </w:pPr>
      <w:bookmarkStart w:id="402" w:name="_Ref212826600"/>
      <w:r w:rsidRPr="00F037D2">
        <w:rPr>
          <w:color w:val="000000" w:themeColor="text1"/>
        </w:rPr>
        <w:lastRenderedPageBreak/>
        <w:t xml:space="preserve">My considerations of these matters are detailed in the </w:t>
      </w:r>
      <w:r w:rsidRPr="00F037D2">
        <w:rPr>
          <w:i/>
          <w:iCs/>
          <w:color w:val="000000" w:themeColor="text1"/>
        </w:rPr>
        <w:t>‘Toxicity of anticoagulant rodenticides to human beings and non-target terrestrial vertebrates’</w:t>
      </w:r>
      <w:r w:rsidRPr="00274BA6">
        <w:rPr>
          <w:i/>
          <w:iCs/>
          <w:color w:val="000000" w:themeColor="text1"/>
        </w:rPr>
        <w:t xml:space="preserve"> </w:t>
      </w:r>
      <w:r w:rsidRPr="00274BA6">
        <w:rPr>
          <w:color w:val="000000" w:themeColor="text1"/>
        </w:rPr>
        <w:t xml:space="preserve">(paragraphs </w:t>
      </w:r>
      <w:r>
        <w:rPr>
          <w:color w:val="000000" w:themeColor="text1"/>
        </w:rPr>
        <w:fldChar w:fldCharType="begin"/>
      </w:r>
      <w:r>
        <w:rPr>
          <w:color w:val="000000" w:themeColor="text1"/>
        </w:rPr>
        <w:instrText xml:space="preserve"> REF _Ref212898062 \r \h </w:instrText>
      </w:r>
      <w:r>
        <w:rPr>
          <w:color w:val="000000" w:themeColor="text1"/>
        </w:rPr>
      </w:r>
      <w:r>
        <w:rPr>
          <w:color w:val="000000" w:themeColor="text1"/>
        </w:rPr>
        <w:fldChar w:fldCharType="separate"/>
      </w:r>
      <w:r w:rsidR="002C0C2A">
        <w:rPr>
          <w:color w:val="000000" w:themeColor="text1"/>
        </w:rPr>
        <w:t>39</w:t>
      </w:r>
      <w:r>
        <w:rPr>
          <w:color w:val="000000" w:themeColor="text1"/>
        </w:rPr>
        <w:fldChar w:fldCharType="end"/>
      </w:r>
      <w:r w:rsidRPr="00F037D2">
        <w:rPr>
          <w:color w:val="000000" w:themeColor="text1"/>
        </w:rPr>
        <w:t xml:space="preserve"> –</w:t>
      </w:r>
      <w:r>
        <w:rPr>
          <w:color w:val="000000" w:themeColor="text1"/>
        </w:rPr>
        <w:t xml:space="preserve"> </w:t>
      </w:r>
      <w:r w:rsidRPr="00F037D2">
        <w:rPr>
          <w:color w:val="000000" w:themeColor="text1"/>
        </w:rPr>
        <w:fldChar w:fldCharType="begin"/>
      </w:r>
      <w:r w:rsidRPr="00F037D2">
        <w:rPr>
          <w:color w:val="000000" w:themeColor="text1"/>
        </w:rPr>
        <w:instrText xml:space="preserve"> REF _Ref212830068 \r \h </w:instrText>
      </w:r>
      <w:r w:rsidRPr="00F037D2">
        <w:rPr>
          <w:color w:val="000000" w:themeColor="text1"/>
        </w:rPr>
      </w:r>
      <w:r w:rsidRPr="00F037D2">
        <w:rPr>
          <w:color w:val="000000" w:themeColor="text1"/>
        </w:rPr>
        <w:fldChar w:fldCharType="separate"/>
      </w:r>
      <w:r w:rsidR="002C0C2A">
        <w:rPr>
          <w:color w:val="000000" w:themeColor="text1"/>
        </w:rPr>
        <w:t>40</w:t>
      </w:r>
      <w:r w:rsidRPr="00F037D2">
        <w:rPr>
          <w:color w:val="000000" w:themeColor="text1"/>
        </w:rPr>
        <w:fldChar w:fldCharType="end"/>
      </w:r>
      <w:r w:rsidRPr="00274BA6">
        <w:rPr>
          <w:color w:val="000000" w:themeColor="text1"/>
        </w:rPr>
        <w:t>)</w:t>
      </w:r>
      <w:r w:rsidRPr="00F037D2">
        <w:rPr>
          <w:i/>
          <w:iCs/>
          <w:color w:val="000000" w:themeColor="text1"/>
        </w:rPr>
        <w:t>,</w:t>
      </w:r>
      <w:r w:rsidRPr="00274BA6">
        <w:rPr>
          <w:color w:val="000000" w:themeColor="text1"/>
        </w:rPr>
        <w:t xml:space="preserve"> ‘</w:t>
      </w:r>
      <w:r w:rsidRPr="00F037D2">
        <w:rPr>
          <w:i/>
          <w:iCs/>
          <w:color w:val="000000" w:themeColor="text1"/>
        </w:rPr>
        <w:t>How the product is formulated</w:t>
      </w:r>
      <w:r w:rsidRPr="00274BA6">
        <w:rPr>
          <w:i/>
          <w:iCs/>
          <w:color w:val="000000" w:themeColor="text1"/>
        </w:rPr>
        <w:t>: bittering agent</w:t>
      </w:r>
      <w:r>
        <w:rPr>
          <w:i/>
          <w:iCs/>
          <w:color w:val="000000" w:themeColor="text1"/>
        </w:rPr>
        <w:t>s and dyes</w:t>
      </w:r>
      <w:r w:rsidRPr="00274BA6">
        <w:rPr>
          <w:i/>
          <w:iCs/>
          <w:color w:val="000000" w:themeColor="text1"/>
        </w:rPr>
        <w:t>’</w:t>
      </w:r>
      <w:r w:rsidRPr="00274BA6">
        <w:rPr>
          <w:color w:val="000000" w:themeColor="text1"/>
        </w:rPr>
        <w:t xml:space="preserve"> (paragraphs </w:t>
      </w:r>
      <w:r>
        <w:rPr>
          <w:color w:val="000000" w:themeColor="text1"/>
        </w:rPr>
        <w:fldChar w:fldCharType="begin"/>
      </w:r>
      <w:r>
        <w:rPr>
          <w:color w:val="000000" w:themeColor="text1"/>
        </w:rPr>
        <w:instrText xml:space="preserve"> REF _Ref212833471 \r \h </w:instrText>
      </w:r>
      <w:r>
        <w:rPr>
          <w:color w:val="000000" w:themeColor="text1"/>
        </w:rPr>
      </w:r>
      <w:r>
        <w:rPr>
          <w:color w:val="000000" w:themeColor="text1"/>
        </w:rPr>
        <w:fldChar w:fldCharType="separate"/>
      </w:r>
      <w:r w:rsidR="002C0C2A">
        <w:rPr>
          <w:color w:val="000000" w:themeColor="text1"/>
        </w:rPr>
        <w:t>41</w:t>
      </w:r>
      <w:r>
        <w:rPr>
          <w:color w:val="000000" w:themeColor="text1"/>
        </w:rPr>
        <w:fldChar w:fldCharType="end"/>
      </w:r>
      <w:r w:rsidRPr="00274BA6">
        <w:rPr>
          <w:color w:val="000000" w:themeColor="text1"/>
        </w:rPr>
        <w:t xml:space="preserve"> – </w:t>
      </w:r>
      <w:r w:rsidRPr="00274BA6">
        <w:rPr>
          <w:color w:val="000000" w:themeColor="text1"/>
        </w:rPr>
        <w:fldChar w:fldCharType="begin"/>
      </w:r>
      <w:r w:rsidRPr="00274BA6">
        <w:rPr>
          <w:color w:val="000000" w:themeColor="text1"/>
        </w:rPr>
        <w:instrText xml:space="preserve"> REF _Ref211872402 \r \h  \* MERGEFORMAT </w:instrText>
      </w:r>
      <w:r w:rsidRPr="00274BA6">
        <w:rPr>
          <w:color w:val="000000" w:themeColor="text1"/>
        </w:rPr>
      </w:r>
      <w:r w:rsidRPr="00274BA6">
        <w:rPr>
          <w:color w:val="000000" w:themeColor="text1"/>
        </w:rPr>
        <w:fldChar w:fldCharType="separate"/>
      </w:r>
      <w:r w:rsidR="002C0C2A">
        <w:rPr>
          <w:color w:val="000000" w:themeColor="text1"/>
        </w:rPr>
        <w:t>44</w:t>
      </w:r>
      <w:r w:rsidRPr="00274BA6">
        <w:rPr>
          <w:color w:val="000000" w:themeColor="text1"/>
        </w:rPr>
        <w:fldChar w:fldCharType="end"/>
      </w:r>
      <w:r w:rsidRPr="00274BA6">
        <w:rPr>
          <w:color w:val="000000" w:themeColor="text1"/>
        </w:rPr>
        <w:t xml:space="preserve">) and </w:t>
      </w:r>
      <w:r w:rsidRPr="00274BA6">
        <w:rPr>
          <w:i/>
          <w:iCs/>
          <w:color w:val="000000" w:themeColor="text1"/>
        </w:rPr>
        <w:t>‘</w:t>
      </w:r>
      <w:r w:rsidRPr="00F037D2">
        <w:rPr>
          <w:i/>
          <w:iCs/>
          <w:color w:val="000000" w:themeColor="text1"/>
        </w:rPr>
        <w:t>How the product is formulated: liquid and powder bait</w:t>
      </w:r>
      <w:r w:rsidRPr="00274BA6">
        <w:rPr>
          <w:i/>
          <w:iCs/>
          <w:color w:val="000000" w:themeColor="text1"/>
        </w:rPr>
        <w:t xml:space="preserve"> concentrates’</w:t>
      </w:r>
      <w:r w:rsidRPr="00274BA6">
        <w:rPr>
          <w:color w:val="000000" w:themeColor="text1"/>
        </w:rPr>
        <w:t xml:space="preserve"> (paragraphs </w:t>
      </w:r>
      <w:r>
        <w:rPr>
          <w:color w:val="000000" w:themeColor="text1"/>
        </w:rPr>
        <w:fldChar w:fldCharType="begin"/>
      </w:r>
      <w:r>
        <w:rPr>
          <w:color w:val="000000" w:themeColor="text1"/>
        </w:rPr>
        <w:instrText xml:space="preserve"> REF _Ref212833623 \r \h </w:instrText>
      </w:r>
      <w:r>
        <w:rPr>
          <w:color w:val="000000" w:themeColor="text1"/>
        </w:rPr>
      </w:r>
      <w:r>
        <w:rPr>
          <w:color w:val="000000" w:themeColor="text1"/>
        </w:rPr>
        <w:fldChar w:fldCharType="separate"/>
      </w:r>
      <w:r w:rsidR="002C0C2A">
        <w:rPr>
          <w:color w:val="000000" w:themeColor="text1"/>
        </w:rPr>
        <w:t>45</w:t>
      </w:r>
      <w:r>
        <w:rPr>
          <w:color w:val="000000" w:themeColor="text1"/>
        </w:rPr>
        <w:fldChar w:fldCharType="end"/>
      </w:r>
      <w:r w:rsidRPr="00274BA6">
        <w:rPr>
          <w:color w:val="000000" w:themeColor="text1"/>
        </w:rPr>
        <w:t xml:space="preserve"> – </w:t>
      </w:r>
      <w:r w:rsidRPr="00274BA6">
        <w:rPr>
          <w:color w:val="000000" w:themeColor="text1"/>
        </w:rPr>
        <w:fldChar w:fldCharType="begin"/>
      </w:r>
      <w:r w:rsidRPr="00274BA6">
        <w:rPr>
          <w:color w:val="000000" w:themeColor="text1"/>
        </w:rPr>
        <w:instrText xml:space="preserve"> REF _Ref211889517 \r \h  \* MERGEFORMAT </w:instrText>
      </w:r>
      <w:r w:rsidRPr="00274BA6">
        <w:rPr>
          <w:color w:val="000000" w:themeColor="text1"/>
        </w:rPr>
      </w:r>
      <w:r w:rsidRPr="00274BA6">
        <w:rPr>
          <w:color w:val="000000" w:themeColor="text1"/>
        </w:rPr>
        <w:fldChar w:fldCharType="separate"/>
      </w:r>
      <w:r w:rsidR="002C0C2A">
        <w:rPr>
          <w:color w:val="000000" w:themeColor="text1"/>
        </w:rPr>
        <w:t>47</w:t>
      </w:r>
      <w:r w:rsidRPr="00274BA6">
        <w:rPr>
          <w:color w:val="000000" w:themeColor="text1"/>
        </w:rPr>
        <w:fldChar w:fldCharType="end"/>
      </w:r>
      <w:r w:rsidRPr="00274BA6">
        <w:rPr>
          <w:color w:val="000000" w:themeColor="text1"/>
        </w:rPr>
        <w:t xml:space="preserve">) sections of these reasons below. Having considered these matters, I have formed the view that chemical products </w:t>
      </w:r>
      <w:r w:rsidRPr="00F037D2">
        <w:rPr>
          <w:b/>
          <w:bCs/>
          <w:color w:val="000000" w:themeColor="text1"/>
        </w:rPr>
        <w:t>cannot</w:t>
      </w:r>
      <w:r w:rsidRPr="00274BA6">
        <w:rPr>
          <w:color w:val="000000" w:themeColor="text1"/>
        </w:rPr>
        <w:t xml:space="preserve"> meet the safety criteria if:</w:t>
      </w:r>
      <w:bookmarkEnd w:id="402"/>
    </w:p>
    <w:p w14:paraId="02374055" w14:textId="77777777" w:rsidR="008E67EA" w:rsidRDefault="008E67EA">
      <w:pPr>
        <w:pStyle w:val="NumberLevel2"/>
        <w:numPr>
          <w:ilvl w:val="1"/>
          <w:numId w:val="46"/>
        </w:numPr>
        <w:ind w:left="1134"/>
      </w:pPr>
      <w:r>
        <w:t xml:space="preserve">The chemical product does not contain a bittering agent and dye as formulation constituents, due to </w:t>
      </w:r>
      <w:r w:rsidRPr="00461565">
        <w:rPr>
          <w:color w:val="000000" w:themeColor="text1"/>
        </w:rPr>
        <w:t xml:space="preserve">an </w:t>
      </w:r>
      <w:r w:rsidRPr="00461565">
        <w:rPr>
          <w:b/>
          <w:bCs/>
          <w:color w:val="000000" w:themeColor="text1"/>
        </w:rPr>
        <w:t>unacceptable</w:t>
      </w:r>
      <w:r w:rsidRPr="00461565">
        <w:rPr>
          <w:color w:val="000000" w:themeColor="text1"/>
        </w:rPr>
        <w:t xml:space="preserve"> likelihood of an effect that is harmful to human beings </w:t>
      </w:r>
      <w:r>
        <w:rPr>
          <w:color w:val="000000" w:themeColor="text1"/>
        </w:rPr>
        <w:t xml:space="preserve">(section 5A(1)(b) of the Agvet Code) </w:t>
      </w:r>
      <w:r w:rsidRPr="00461565">
        <w:rPr>
          <w:color w:val="000000" w:themeColor="text1"/>
        </w:rPr>
        <w:t>and an unintended effect that is harmful to non-target terrestrial vertebrates</w:t>
      </w:r>
      <w:r>
        <w:rPr>
          <w:color w:val="000000" w:themeColor="text1"/>
        </w:rPr>
        <w:t xml:space="preserve"> (component of section 5A(1)(c) of the Agvet Code)</w:t>
      </w:r>
      <w:r w:rsidRPr="00461565">
        <w:rPr>
          <w:color w:val="000000" w:themeColor="text1"/>
        </w:rPr>
        <w:t>.</w:t>
      </w:r>
    </w:p>
    <w:p w14:paraId="1CABACFC" w14:textId="77777777" w:rsidR="008E67EA" w:rsidRDefault="008E67EA">
      <w:pPr>
        <w:pStyle w:val="NumberLevel2"/>
        <w:numPr>
          <w:ilvl w:val="1"/>
          <w:numId w:val="46"/>
        </w:numPr>
        <w:ind w:left="1134"/>
      </w:pPr>
      <w:r>
        <w:t xml:space="preserve">The chemical product is formulated as either a liquid bait concentrate or a powder bait concentrate, due to an </w:t>
      </w:r>
      <w:r w:rsidRPr="00461565">
        <w:rPr>
          <w:b/>
          <w:bCs/>
          <w:color w:val="000000" w:themeColor="text1"/>
        </w:rPr>
        <w:t>unacceptable</w:t>
      </w:r>
      <w:r w:rsidRPr="00461565">
        <w:rPr>
          <w:color w:val="000000" w:themeColor="text1"/>
        </w:rPr>
        <w:t xml:space="preserve"> likelihood of</w:t>
      </w:r>
      <w:r>
        <w:rPr>
          <w:color w:val="000000" w:themeColor="text1"/>
        </w:rPr>
        <w:t xml:space="preserve"> </w:t>
      </w:r>
      <w:r w:rsidRPr="00461565">
        <w:rPr>
          <w:color w:val="000000" w:themeColor="text1"/>
        </w:rPr>
        <w:t>an unintended effect that is harmful to non-target terrestrial vertebrates</w:t>
      </w:r>
      <w:r>
        <w:rPr>
          <w:color w:val="000000" w:themeColor="text1"/>
        </w:rPr>
        <w:t xml:space="preserve"> (component of section 5A(1)(c) of the Agvet Code)</w:t>
      </w:r>
      <w:r w:rsidRPr="00461565">
        <w:rPr>
          <w:color w:val="000000" w:themeColor="text1"/>
        </w:rPr>
        <w:t>.</w:t>
      </w:r>
    </w:p>
    <w:p w14:paraId="01180A8E" w14:textId="247D50E6" w:rsidR="008E67EA" w:rsidRDefault="008E67EA">
      <w:pPr>
        <w:pStyle w:val="NumberLevel1"/>
        <w:numPr>
          <w:ilvl w:val="0"/>
          <w:numId w:val="46"/>
        </w:numPr>
        <w:rPr>
          <w:color w:val="000000" w:themeColor="text1"/>
        </w:rPr>
      </w:pPr>
      <w:r>
        <w:rPr>
          <w:color w:val="000000" w:themeColor="text1"/>
        </w:rPr>
        <w:t xml:space="preserve">Given that the chemical products listed in Attachment A of this notice are subject to a determination listed in paragraph </w:t>
      </w:r>
      <w:r>
        <w:rPr>
          <w:color w:val="000000" w:themeColor="text1"/>
        </w:rPr>
        <w:fldChar w:fldCharType="begin"/>
      </w:r>
      <w:r>
        <w:rPr>
          <w:color w:val="000000" w:themeColor="text1"/>
        </w:rPr>
        <w:instrText xml:space="preserve"> REF _Ref212826600 \r \h </w:instrText>
      </w:r>
      <w:r>
        <w:rPr>
          <w:color w:val="000000" w:themeColor="text1"/>
        </w:rPr>
      </w:r>
      <w:r>
        <w:rPr>
          <w:color w:val="000000" w:themeColor="text1"/>
        </w:rPr>
        <w:fldChar w:fldCharType="separate"/>
      </w:r>
      <w:r w:rsidR="002C0C2A">
        <w:rPr>
          <w:color w:val="000000" w:themeColor="text1"/>
        </w:rPr>
        <w:t>36</w:t>
      </w:r>
      <w:r>
        <w:rPr>
          <w:color w:val="000000" w:themeColor="text1"/>
        </w:rPr>
        <w:fldChar w:fldCharType="end"/>
      </w:r>
      <w:r>
        <w:rPr>
          <w:color w:val="000000" w:themeColor="text1"/>
        </w:rPr>
        <w:t xml:space="preserve"> of the reasons, I am </w:t>
      </w:r>
      <w:r w:rsidRPr="00F037D2">
        <w:rPr>
          <w:b/>
          <w:bCs/>
          <w:color w:val="000000" w:themeColor="text1"/>
        </w:rPr>
        <w:t>not satisfied</w:t>
      </w:r>
      <w:r>
        <w:rPr>
          <w:color w:val="000000" w:themeColor="text1"/>
        </w:rPr>
        <w:t xml:space="preserve"> that the chemical product meets the safety criteria. I am also </w:t>
      </w:r>
      <w:r w:rsidRPr="00461565">
        <w:rPr>
          <w:b/>
          <w:bCs/>
          <w:color w:val="000000" w:themeColor="text1"/>
        </w:rPr>
        <w:t xml:space="preserve">not satisfied </w:t>
      </w:r>
      <w:r w:rsidRPr="00461565">
        <w:rPr>
          <w:color w:val="000000" w:themeColor="text1"/>
        </w:rPr>
        <w:t>that any variation to th</w:t>
      </w:r>
      <w:r>
        <w:rPr>
          <w:color w:val="000000" w:themeColor="text1"/>
        </w:rPr>
        <w:t xml:space="preserve">e </w:t>
      </w:r>
      <w:r w:rsidRPr="00461565">
        <w:rPr>
          <w:color w:val="000000" w:themeColor="text1"/>
        </w:rPr>
        <w:t xml:space="preserve">relevant particulars or conditions </w:t>
      </w:r>
      <w:r>
        <w:rPr>
          <w:color w:val="000000" w:themeColor="text1"/>
        </w:rPr>
        <w:t xml:space="preserve">of the registration by the APVMA </w:t>
      </w:r>
      <w:r w:rsidRPr="00461565">
        <w:rPr>
          <w:color w:val="000000" w:themeColor="text1"/>
        </w:rPr>
        <w:t>would sufficiently lower the risks to an acceptable margin</w:t>
      </w:r>
      <w:r>
        <w:rPr>
          <w:color w:val="000000" w:themeColor="text1"/>
        </w:rPr>
        <w:t xml:space="preserve">, noting that </w:t>
      </w:r>
      <w:r w:rsidRPr="00461565">
        <w:rPr>
          <w:color w:val="000000" w:themeColor="text1"/>
        </w:rPr>
        <w:t>it is inappropriate for the APVMA to</w:t>
      </w:r>
      <w:r>
        <w:rPr>
          <w:color w:val="000000" w:themeColor="text1"/>
        </w:rPr>
        <w:t xml:space="preserve"> independently</w:t>
      </w:r>
      <w:r w:rsidRPr="00461565">
        <w:rPr>
          <w:color w:val="000000" w:themeColor="text1"/>
        </w:rPr>
        <w:t xml:space="preserve"> vary the details o</w:t>
      </w:r>
      <w:r>
        <w:rPr>
          <w:color w:val="000000" w:themeColor="text1"/>
        </w:rPr>
        <w:t>n</w:t>
      </w:r>
      <w:r w:rsidRPr="00461565">
        <w:rPr>
          <w:color w:val="000000" w:themeColor="text1"/>
        </w:rPr>
        <w:t xml:space="preserve"> </w:t>
      </w:r>
      <w:r>
        <w:rPr>
          <w:color w:val="000000" w:themeColor="text1"/>
        </w:rPr>
        <w:t>how a</w:t>
      </w:r>
      <w:r w:rsidRPr="00461565">
        <w:rPr>
          <w:color w:val="000000" w:themeColor="text1"/>
        </w:rPr>
        <w:t xml:space="preserve"> chemical product</w:t>
      </w:r>
      <w:r>
        <w:rPr>
          <w:color w:val="000000" w:themeColor="text1"/>
        </w:rPr>
        <w:t xml:space="preserve"> is formulated and/or that the formulation type is an intrinsic propertied of these chemical products.</w:t>
      </w:r>
    </w:p>
    <w:p w14:paraId="1259AD40" w14:textId="3FC2189E" w:rsidR="008E67EA" w:rsidRDefault="008E67EA">
      <w:pPr>
        <w:pStyle w:val="NumberLevel1"/>
        <w:numPr>
          <w:ilvl w:val="0"/>
          <w:numId w:val="46"/>
        </w:numPr>
      </w:pPr>
      <w:r>
        <w:t xml:space="preserve">Further, given that I have determined that I </w:t>
      </w:r>
      <w:r w:rsidRPr="00F037D2">
        <w:rPr>
          <w:b/>
          <w:bCs/>
        </w:rPr>
        <w:t>cannot affirm</w:t>
      </w:r>
      <w:r>
        <w:t xml:space="preserve"> the registrations of the chemical products listed in Attachment A of this notice based only on consideration of the matters set out in paragraph </w:t>
      </w:r>
      <w:r>
        <w:fldChar w:fldCharType="begin"/>
      </w:r>
      <w:r>
        <w:instrText xml:space="preserve"> REF _Ref212826564 \r \h </w:instrText>
      </w:r>
      <w:r>
        <w:fldChar w:fldCharType="separate"/>
      </w:r>
      <w:r w:rsidR="002C0C2A">
        <w:t>35</w:t>
      </w:r>
      <w:r>
        <w:fldChar w:fldCharType="end"/>
      </w:r>
      <w:r>
        <w:t xml:space="preserve"> and </w:t>
      </w:r>
      <w:r>
        <w:rPr>
          <w:color w:val="000000" w:themeColor="text1"/>
        </w:rPr>
        <w:fldChar w:fldCharType="begin"/>
      </w:r>
      <w:r>
        <w:rPr>
          <w:color w:val="000000" w:themeColor="text1"/>
        </w:rPr>
        <w:instrText xml:space="preserve"> REF _Ref212826600 \r \h </w:instrText>
      </w:r>
      <w:r>
        <w:rPr>
          <w:color w:val="000000" w:themeColor="text1"/>
        </w:rPr>
      </w:r>
      <w:r>
        <w:rPr>
          <w:color w:val="000000" w:themeColor="text1"/>
        </w:rPr>
        <w:fldChar w:fldCharType="separate"/>
      </w:r>
      <w:r w:rsidR="002C0C2A">
        <w:rPr>
          <w:color w:val="000000" w:themeColor="text1"/>
        </w:rPr>
        <w:t>36</w:t>
      </w:r>
      <w:r>
        <w:rPr>
          <w:color w:val="000000" w:themeColor="text1"/>
        </w:rPr>
        <w:fldChar w:fldCharType="end"/>
      </w:r>
      <w:r>
        <w:t xml:space="preserve"> of these reasons, I have not had </w:t>
      </w:r>
      <w:r w:rsidRPr="00E90202">
        <w:t>further regard to the legislative criteria listed in section 5A(1) of the Agvet Code related to whether a chemical product meets the safety criteria,</w:t>
      </w:r>
      <w:r>
        <w:t xml:space="preserve"> </w:t>
      </w:r>
      <w:r w:rsidRPr="00E90202">
        <w:t>the</w:t>
      </w:r>
      <w:r>
        <w:t xml:space="preserve"> remaining</w:t>
      </w:r>
      <w:r w:rsidRPr="00E90202">
        <w:t xml:space="preserve"> matters set out in section 5A(</w:t>
      </w:r>
      <w:r>
        <w:t>3</w:t>
      </w:r>
      <w:r w:rsidRPr="00E90202">
        <w:t>) of the Agvet Code</w:t>
      </w:r>
      <w:r>
        <w:t xml:space="preserve">, or whether a chemical product </w:t>
      </w:r>
      <w:r w:rsidRPr="00FE0598">
        <w:rPr>
          <w:color w:val="000000" w:themeColor="text1"/>
        </w:rPr>
        <w:t>complies with any requirement prescribed by the regulations</w:t>
      </w:r>
      <w:r>
        <w:t>.</w:t>
      </w:r>
    </w:p>
    <w:p w14:paraId="1558248E" w14:textId="77777777" w:rsidR="008E67EA" w:rsidRPr="00196CBA" w:rsidRDefault="008E67EA" w:rsidP="008E67EA">
      <w:pPr>
        <w:pStyle w:val="StatementofReasonsHeading4"/>
      </w:pPr>
      <w:bookmarkStart w:id="403" w:name="_Hlk211332450"/>
      <w:r>
        <w:t>Toxicity of anticoagulant rodenticides to human beings and non-target terrestrial vertebrates</w:t>
      </w:r>
    </w:p>
    <w:p w14:paraId="717F1252" w14:textId="77777777" w:rsidR="008E67EA" w:rsidRPr="00F037D2" w:rsidRDefault="008E67EA">
      <w:pPr>
        <w:pStyle w:val="NumberLevel1"/>
        <w:numPr>
          <w:ilvl w:val="0"/>
          <w:numId w:val="46"/>
        </w:numPr>
        <w:rPr>
          <w:color w:val="000000" w:themeColor="text1"/>
        </w:rPr>
      </w:pPr>
      <w:bookmarkStart w:id="404" w:name="_Ref212898062"/>
      <w:r w:rsidRPr="00825CB4">
        <w:t>I have considered and relied on the scientific expert assessment of the toxicity of brodifacoum, bromadiolone, coumatetralyl, difenacoum, diphacinone and warfarin (</w:t>
      </w:r>
      <w:r w:rsidRPr="00F037D2">
        <w:rPr>
          <w:b/>
          <w:bCs/>
          <w:i/>
          <w:iCs/>
        </w:rPr>
        <w:t>relevant active constituents</w:t>
      </w:r>
      <w:r w:rsidRPr="00825CB4">
        <w:t xml:space="preserve">), as summarised in the section </w:t>
      </w:r>
      <w:r>
        <w:t>‘</w:t>
      </w:r>
      <w:r w:rsidRPr="00F037D2">
        <w:rPr>
          <w:i/>
          <w:iCs/>
        </w:rPr>
        <w:t xml:space="preserve">4.2 </w:t>
      </w:r>
      <w:r w:rsidRPr="00F037D2">
        <w:rPr>
          <w:i/>
          <w:iCs/>
          <w:color w:val="000000" w:themeColor="text1"/>
        </w:rPr>
        <w:t>Summary of available toxicological studies’</w:t>
      </w:r>
      <w:r>
        <w:rPr>
          <w:i/>
          <w:iCs/>
          <w:color w:val="000000" w:themeColor="text1"/>
        </w:rPr>
        <w:t xml:space="preserve"> </w:t>
      </w:r>
      <w:r w:rsidRPr="00F037D2">
        <w:rPr>
          <w:color w:val="000000" w:themeColor="text1"/>
        </w:rPr>
        <w:t xml:space="preserve">of the </w:t>
      </w:r>
      <w:r w:rsidRPr="00F037D2">
        <w:rPr>
          <w:i/>
          <w:iCs/>
          <w:color w:val="000000" w:themeColor="text1"/>
        </w:rPr>
        <w:t>Anticoagulant Rodenticides Review Technical Report</w:t>
      </w:r>
      <w:r w:rsidRPr="00F037D2">
        <w:rPr>
          <w:color w:val="000000" w:themeColor="text1"/>
        </w:rPr>
        <w:t>, and I note the following with respect to oral toxicity:</w:t>
      </w:r>
      <w:bookmarkEnd w:id="404"/>
    </w:p>
    <w:p w14:paraId="32EEB4DC" w14:textId="77777777" w:rsidR="008E67EA" w:rsidRPr="00643A07" w:rsidRDefault="008E67EA">
      <w:pPr>
        <w:pStyle w:val="NumberLevel2"/>
        <w:numPr>
          <w:ilvl w:val="1"/>
          <w:numId w:val="46"/>
        </w:numPr>
        <w:ind w:left="1134"/>
        <w:rPr>
          <w:color w:val="000000" w:themeColor="text1"/>
        </w:rPr>
      </w:pPr>
      <w:bookmarkStart w:id="405" w:name="_Hlk211957728"/>
      <w:r w:rsidRPr="00643A07">
        <w:rPr>
          <w:color w:val="000000" w:themeColor="text1"/>
        </w:rPr>
        <w:t xml:space="preserve">The </w:t>
      </w:r>
      <w:r>
        <w:rPr>
          <w:color w:val="000000" w:themeColor="text1"/>
        </w:rPr>
        <w:t xml:space="preserve">relevant active constituents </w:t>
      </w:r>
      <w:r w:rsidRPr="00643A07">
        <w:rPr>
          <w:color w:val="000000" w:themeColor="text1"/>
        </w:rPr>
        <w:t>are all considered to have a high acute oral toxicity based on acute toxicity studies using rats. In regard to other test animal species, brodifacoum still ha</w:t>
      </w:r>
      <w:r>
        <w:rPr>
          <w:color w:val="000000" w:themeColor="text1"/>
        </w:rPr>
        <w:t>s</w:t>
      </w:r>
      <w:r w:rsidRPr="00643A07">
        <w:rPr>
          <w:color w:val="000000" w:themeColor="text1"/>
        </w:rPr>
        <w:t xml:space="preserve"> a high acute toxicity to dogs, whereas diphacinone ha</w:t>
      </w:r>
      <w:r>
        <w:rPr>
          <w:color w:val="000000" w:themeColor="text1"/>
        </w:rPr>
        <w:t>s</w:t>
      </w:r>
      <w:r w:rsidRPr="00643A07">
        <w:rPr>
          <w:color w:val="000000" w:themeColor="text1"/>
        </w:rPr>
        <w:t xml:space="preserve"> a moderate acute oral toxicity in mice and coumatetralyl has a low acute oral toxicity in rabbits. The acute oral </w:t>
      </w:r>
      <w:r>
        <w:rPr>
          <w:color w:val="000000" w:themeColor="text1"/>
        </w:rPr>
        <w:t>toxicological</w:t>
      </w:r>
      <w:r w:rsidRPr="00643A07">
        <w:rPr>
          <w:color w:val="000000" w:themeColor="text1"/>
        </w:rPr>
        <w:t xml:space="preserve"> </w:t>
      </w:r>
      <w:r>
        <w:rPr>
          <w:color w:val="000000" w:themeColor="text1"/>
        </w:rPr>
        <w:t xml:space="preserve">potential </w:t>
      </w:r>
      <w:r w:rsidRPr="00643A07">
        <w:rPr>
          <w:color w:val="000000" w:themeColor="text1"/>
        </w:rPr>
        <w:t>of chemical products containing low levels of these active constituents is reduced, with chemical products containing 0.25% w/w brodifacoum, 0.005% w/w bromadiolone, 0.75% w/w coumatetralyl, 0.005% w/w difenacoum and 0.05% w/w diphacinone considered to have a low acute oral toxicity based on studies using mice and/or rats.</w:t>
      </w:r>
    </w:p>
    <w:p w14:paraId="0A9D2EB9" w14:textId="2CEC61E8" w:rsidR="008E67EA" w:rsidRPr="00257FD7" w:rsidRDefault="008E67EA">
      <w:pPr>
        <w:pStyle w:val="NumberLevel2"/>
        <w:numPr>
          <w:ilvl w:val="1"/>
          <w:numId w:val="46"/>
        </w:numPr>
        <w:ind w:left="1134"/>
        <w:rPr>
          <w:color w:val="000000" w:themeColor="text1"/>
        </w:rPr>
      </w:pPr>
      <w:r w:rsidRPr="00257FD7">
        <w:rPr>
          <w:color w:val="000000" w:themeColor="text1"/>
        </w:rPr>
        <w:t xml:space="preserve">In relation to the active constituent warfarin, I note that the APVMA does not have access to the standard acute oral toxicity studies typically used for quantitative risk assessments. However, I note that the warfarin (as the sodium salt) has been used extensively as a human anticoagulant therapeutic drug for many years and the potential hazards associated with exposure are well understood from a toxicological perspective. Given the mode of action of warfarin as a vitamin </w:t>
      </w:r>
      <w:r>
        <w:rPr>
          <w:color w:val="000000" w:themeColor="text1"/>
        </w:rPr>
        <w:t xml:space="preserve">K </w:t>
      </w:r>
      <w:r w:rsidRPr="00257FD7">
        <w:rPr>
          <w:color w:val="000000" w:themeColor="text1"/>
        </w:rPr>
        <w:t xml:space="preserve">antagonist, it is evident that warfarin has hazardous acute oral potential for human </w:t>
      </w:r>
      <w:r>
        <w:rPr>
          <w:color w:val="000000" w:themeColor="text1"/>
        </w:rPr>
        <w:t>beings</w:t>
      </w:r>
      <w:r w:rsidRPr="00257FD7">
        <w:rPr>
          <w:color w:val="000000" w:themeColor="text1"/>
        </w:rPr>
        <w:t xml:space="preserve"> and </w:t>
      </w:r>
      <w:r>
        <w:rPr>
          <w:color w:val="000000" w:themeColor="text1"/>
        </w:rPr>
        <w:t xml:space="preserve">that </w:t>
      </w:r>
      <w:r w:rsidRPr="00257FD7">
        <w:rPr>
          <w:color w:val="000000" w:themeColor="text1"/>
        </w:rPr>
        <w:t>risk</w:t>
      </w:r>
      <w:r>
        <w:rPr>
          <w:color w:val="000000" w:themeColor="text1"/>
        </w:rPr>
        <w:t>s</w:t>
      </w:r>
      <w:r w:rsidRPr="00257FD7">
        <w:rPr>
          <w:color w:val="000000" w:themeColor="text1"/>
        </w:rPr>
        <w:t xml:space="preserve"> of unintended oral exposure should be mitigated.</w:t>
      </w:r>
    </w:p>
    <w:p w14:paraId="4B1617AB" w14:textId="77777777" w:rsidR="008E67EA" w:rsidRPr="00643C38" w:rsidRDefault="008E67EA">
      <w:pPr>
        <w:pStyle w:val="NumberLevel1"/>
        <w:numPr>
          <w:ilvl w:val="0"/>
          <w:numId w:val="46"/>
        </w:numPr>
        <w:rPr>
          <w:color w:val="000000" w:themeColor="text1"/>
        </w:rPr>
      </w:pPr>
      <w:bookmarkStart w:id="406" w:name="_Ref212830068"/>
      <w:bookmarkEnd w:id="405"/>
      <w:r>
        <w:rPr>
          <w:color w:val="000000" w:themeColor="text1"/>
        </w:rPr>
        <w:lastRenderedPageBreak/>
        <w:t xml:space="preserve">I have considered and relied on the scientific expert assessment of the </w:t>
      </w:r>
      <w:r w:rsidRPr="00825CB4">
        <w:rPr>
          <w:color w:val="000000" w:themeColor="text1"/>
        </w:rPr>
        <w:t xml:space="preserve">environmental toxicology of the </w:t>
      </w:r>
      <w:r w:rsidRPr="00825CB4">
        <w:rPr>
          <w:b/>
          <w:bCs/>
          <w:i/>
          <w:iCs/>
          <w:color w:val="000000" w:themeColor="text1"/>
        </w:rPr>
        <w:t>relevant active constituents</w:t>
      </w:r>
      <w:r w:rsidRPr="00825CB4">
        <w:rPr>
          <w:color w:val="000000" w:themeColor="text1"/>
        </w:rPr>
        <w:t xml:space="preserve"> to terrestrial vertebrates, as summarised in section </w:t>
      </w:r>
      <w:r>
        <w:rPr>
          <w:color w:val="000000" w:themeColor="text1"/>
        </w:rPr>
        <w:t>‘</w:t>
      </w:r>
      <w:r w:rsidRPr="00825CB4">
        <w:rPr>
          <w:i/>
          <w:iCs/>
          <w:color w:val="000000" w:themeColor="text1"/>
        </w:rPr>
        <w:t>3</w:t>
      </w:r>
      <w:r w:rsidRPr="00965A79">
        <w:rPr>
          <w:i/>
          <w:iCs/>
          <w:color w:val="000000" w:themeColor="text1"/>
        </w:rPr>
        <w:t>.2.1 Effects on terrestrial vertebrate</w:t>
      </w:r>
      <w:r w:rsidRPr="00825CB4">
        <w:rPr>
          <w:i/>
          <w:iCs/>
          <w:color w:val="000000" w:themeColor="text1"/>
        </w:rPr>
        <w:t>s</w:t>
      </w:r>
      <w:r>
        <w:rPr>
          <w:i/>
          <w:iCs/>
          <w:color w:val="000000" w:themeColor="text1"/>
        </w:rPr>
        <w:t>’</w:t>
      </w:r>
      <w:r w:rsidRPr="00825CB4">
        <w:rPr>
          <w:i/>
          <w:iCs/>
          <w:color w:val="000000" w:themeColor="text1"/>
        </w:rPr>
        <w:t xml:space="preserve"> </w:t>
      </w:r>
      <w:r w:rsidRPr="00825CB4">
        <w:rPr>
          <w:color w:val="000000" w:themeColor="text1"/>
        </w:rPr>
        <w:t xml:space="preserve">of the </w:t>
      </w:r>
      <w:r w:rsidRPr="00825CB4">
        <w:rPr>
          <w:i/>
          <w:iCs/>
          <w:color w:val="000000" w:themeColor="text1"/>
        </w:rPr>
        <w:t xml:space="preserve">Anticoagulant </w:t>
      </w:r>
      <w:r w:rsidRPr="00643C38">
        <w:rPr>
          <w:i/>
          <w:iCs/>
          <w:color w:val="000000" w:themeColor="text1"/>
        </w:rPr>
        <w:t xml:space="preserve">Rodenticides Review Technical </w:t>
      </w:r>
      <w:r w:rsidRPr="00A617FD">
        <w:rPr>
          <w:i/>
          <w:iCs/>
          <w:color w:val="000000" w:themeColor="text1"/>
        </w:rPr>
        <w:t>Report</w:t>
      </w:r>
      <w:r w:rsidRPr="00A617FD">
        <w:rPr>
          <w:color w:val="000000" w:themeColor="text1"/>
        </w:rPr>
        <w:t xml:space="preserve">, </w:t>
      </w:r>
      <w:r>
        <w:rPr>
          <w:color w:val="000000" w:themeColor="text1"/>
        </w:rPr>
        <w:t xml:space="preserve">and </w:t>
      </w:r>
      <w:r w:rsidRPr="00A617FD">
        <w:rPr>
          <w:color w:val="000000" w:themeColor="text1"/>
        </w:rPr>
        <w:t>I note that</w:t>
      </w:r>
      <w:r w:rsidRPr="00643C38">
        <w:rPr>
          <w:color w:val="000000" w:themeColor="text1"/>
        </w:rPr>
        <w:t>:</w:t>
      </w:r>
      <w:bookmarkEnd w:id="406"/>
    </w:p>
    <w:p w14:paraId="2996D842" w14:textId="0374C3E6" w:rsidR="008E67EA" w:rsidRPr="00C11AD9" w:rsidRDefault="008E67EA">
      <w:pPr>
        <w:pStyle w:val="NumberLevel2"/>
        <w:numPr>
          <w:ilvl w:val="1"/>
          <w:numId w:val="46"/>
        </w:numPr>
        <w:ind w:left="1134"/>
      </w:pPr>
      <w:r w:rsidRPr="00C11AD9">
        <w:rPr>
          <w:color w:val="000000" w:themeColor="text1"/>
        </w:rPr>
        <w:t xml:space="preserve">The anticoagulant rodenticides </w:t>
      </w:r>
      <w:r w:rsidRPr="00C11AD9">
        <w:t>brodifacoum, bromadiolone, coumatetralyl, difenacoum, diphacinone and warfarin</w:t>
      </w:r>
      <w:r w:rsidRPr="00C11AD9">
        <w:rPr>
          <w:color w:val="000000" w:themeColor="text1"/>
        </w:rPr>
        <w:t xml:space="preserve"> have a high toxicity to mammals via </w:t>
      </w:r>
      <w:r w:rsidRPr="00C11AD9">
        <w:t>acute exposure (i.e. gavage administration) and/or dietary exposure when rodents are considered the representative species (LD</w:t>
      </w:r>
      <w:r w:rsidRPr="00C11AD9">
        <w:rPr>
          <w:vertAlign w:val="subscript"/>
        </w:rPr>
        <w:t>50</w:t>
      </w:r>
      <w:r w:rsidRPr="00C11AD9">
        <w:t xml:space="preserve"> or LC</w:t>
      </w:r>
      <w:r w:rsidRPr="00C11AD9">
        <w:rPr>
          <w:vertAlign w:val="subscript"/>
        </w:rPr>
        <w:t>50</w:t>
      </w:r>
      <w:r w:rsidRPr="00C11AD9">
        <w:t xml:space="preserve"> &lt; 100 mg/kg bw or mg/kg food; LDD</w:t>
      </w:r>
      <w:r w:rsidRPr="00C11AD9">
        <w:rPr>
          <w:vertAlign w:val="subscript"/>
        </w:rPr>
        <w:t>50</w:t>
      </w:r>
      <w:r w:rsidRPr="00C11AD9">
        <w:t xml:space="preserve"> &lt; 10 mg/kg bw/day). </w:t>
      </w:r>
      <w:r>
        <w:t>Most</w:t>
      </w:r>
      <w:r w:rsidRPr="00C11AD9">
        <w:t xml:space="preserve"> anticoagulant rodenticides where acute and/or dietary toxicity has been studied in non-rodent mammalian species, brodifacoum (rabbits), bromadiolone (dogs and ferrets), difenacoum (dogs), diphacinone (ferrets) and warfarin (minks) were still determined to have a high toxicity to mammals. However, warfarin only had a moderate toxicity to dogs with acute exposure (LD</w:t>
      </w:r>
      <w:r w:rsidRPr="00C11AD9">
        <w:rPr>
          <w:vertAlign w:val="subscript"/>
        </w:rPr>
        <w:t>50</w:t>
      </w:r>
      <w:r w:rsidRPr="00C11AD9">
        <w:t xml:space="preserve"> 100 – 2000 mg/kg bw).</w:t>
      </w:r>
    </w:p>
    <w:p w14:paraId="1AF32D5A" w14:textId="77777777" w:rsidR="008E67EA" w:rsidRPr="000B60B6" w:rsidRDefault="008E67EA">
      <w:pPr>
        <w:pStyle w:val="NumberLevel2"/>
        <w:numPr>
          <w:ilvl w:val="1"/>
          <w:numId w:val="46"/>
        </w:numPr>
        <w:ind w:left="1134"/>
      </w:pPr>
      <w:r>
        <w:t xml:space="preserve">Anticoagulant rodenticides also pose a secondary poisoning risk to mammals if they consume poisoned rats or mice, poisoned non-target animals or insects. </w:t>
      </w:r>
      <w:r w:rsidRPr="000B60B6">
        <w:t xml:space="preserve">Secondary poisoning studies </w:t>
      </w:r>
      <w:r>
        <w:t>with</w:t>
      </w:r>
      <w:r w:rsidRPr="000B60B6">
        <w:t xml:space="preserve"> mammal</w:t>
      </w:r>
      <w:r>
        <w:t>s indicate that mortality of the test animal is possible if they consume prey with a high body burden (i.e. high levels of the anticoagulant rodenticide are present within the prey animal), and that mortality of mammals generally occurred after a feeding period of 3 days onwards with no clear distinction between first-generation and second-generation anticoagulant rodenticides.</w:t>
      </w:r>
    </w:p>
    <w:p w14:paraId="7E1F9335" w14:textId="6037411B" w:rsidR="008E67EA" w:rsidRPr="002275A8" w:rsidRDefault="008E67EA">
      <w:pPr>
        <w:pStyle w:val="NumberLevel2"/>
        <w:numPr>
          <w:ilvl w:val="1"/>
          <w:numId w:val="46"/>
        </w:numPr>
        <w:ind w:left="1134"/>
      </w:pPr>
      <w:r w:rsidRPr="002275A8">
        <w:t>The toxicity of anticoagulant rodenticides to birds ranged from low to high dependant on the active constituent, type of exposure and species of bird involved in the study. Based on acute exposure studies</w:t>
      </w:r>
      <w:r>
        <w:t xml:space="preserve"> </w:t>
      </w:r>
      <w:r w:rsidRPr="00C11AD9">
        <w:t>(i.e. gavage administration)</w:t>
      </w:r>
      <w:r w:rsidRPr="002275A8">
        <w:t>, brodifacoum and difenacoum were determined to have a high toxicity to birds (LD</w:t>
      </w:r>
      <w:r w:rsidRPr="002275A8">
        <w:rPr>
          <w:vertAlign w:val="subscript"/>
        </w:rPr>
        <w:t>50</w:t>
      </w:r>
      <w:r w:rsidRPr="002275A8">
        <w:t xml:space="preserve"> &lt; 100 mg/kg bw), bromadiolone was determined to have a moderate toxicity to birds (LD</w:t>
      </w:r>
      <w:r w:rsidRPr="002275A8">
        <w:rPr>
          <w:vertAlign w:val="subscript"/>
        </w:rPr>
        <w:t>50</w:t>
      </w:r>
      <w:r w:rsidRPr="002275A8">
        <w:t xml:space="preserve"> 100 – 2000 mg/kg bw), and the first-generation anticoagulant rodenticides coumatetralyl, diphacinone and warfarin were found to have a low toxicity to birds (LD</w:t>
      </w:r>
      <w:r w:rsidRPr="002275A8">
        <w:rPr>
          <w:vertAlign w:val="subscript"/>
        </w:rPr>
        <w:t>50</w:t>
      </w:r>
      <w:r w:rsidRPr="002275A8">
        <w:t xml:space="preserve"> &gt; 2000 mg/kg bw). Alternatively, based on dietary exposure studies, brodifacoum, bromadiolone, coumatetralyl and difenacoum were all determined to have a high toxicity to birds (LC</w:t>
      </w:r>
      <w:r w:rsidRPr="002275A8">
        <w:rPr>
          <w:vertAlign w:val="subscript"/>
        </w:rPr>
        <w:t>50</w:t>
      </w:r>
      <w:r w:rsidRPr="002275A8">
        <w:t xml:space="preserve"> &lt; 100 mg/kg food; LDD</w:t>
      </w:r>
      <w:r w:rsidRPr="002275A8">
        <w:rPr>
          <w:vertAlign w:val="subscript"/>
        </w:rPr>
        <w:t>50</w:t>
      </w:r>
      <w:r w:rsidRPr="002275A8">
        <w:t xml:space="preserve"> &lt; 10 mg/kg bw/d) and diphacinone was determined to have a moderate toxicity to birds (LC</w:t>
      </w:r>
      <w:r w:rsidRPr="002275A8">
        <w:rPr>
          <w:vertAlign w:val="subscript"/>
        </w:rPr>
        <w:t>50</w:t>
      </w:r>
      <w:r w:rsidRPr="002275A8">
        <w:t xml:space="preserve"> 100 – 2000 mg/kg food). Further, in a reproductive study with coumatetralyl, parental death was observed in birds with low dietary concentrations of 60 mg/kg feed.</w:t>
      </w:r>
    </w:p>
    <w:p w14:paraId="1C5F5D54" w14:textId="42C99C59" w:rsidR="008E67EA" w:rsidRPr="00655F8E" w:rsidRDefault="008E67EA">
      <w:pPr>
        <w:pStyle w:val="NumberLevel2"/>
        <w:numPr>
          <w:ilvl w:val="1"/>
          <w:numId w:val="46"/>
        </w:numPr>
        <w:ind w:left="1134"/>
      </w:pPr>
      <w:r>
        <w:t xml:space="preserve">In relation to secondary poisoning of birds, only second-generation anticoagulant rodenticides appear to pose a significant risk. </w:t>
      </w:r>
      <w:r w:rsidRPr="000B60B6">
        <w:t>Secondary poisoning studies</w:t>
      </w:r>
      <w:r>
        <w:t xml:space="preserve"> with the first-generation</w:t>
      </w:r>
      <w:r w:rsidRPr="005C38ED">
        <w:t xml:space="preserve"> </w:t>
      </w:r>
      <w:r>
        <w:t xml:space="preserve">anticoagulant rodenticides coumatetralyl, </w:t>
      </w:r>
      <w:r w:rsidRPr="00655F8E">
        <w:t xml:space="preserve">diphacinone </w:t>
      </w:r>
      <w:r>
        <w:t>and warfarin indicate that mortality of the test bird is unlikely if they consume poisoned animals. However, s</w:t>
      </w:r>
      <w:r w:rsidRPr="000B60B6">
        <w:t>econdary poisoning studies</w:t>
      </w:r>
      <w:r>
        <w:t xml:space="preserve"> with second-generation anticoagulant rodenticides indicate that mortality of the test bird is possible if they consume animals with high body burdens, with the secondary poisoning hazard potential being the highest for the active constituents brodifacoum and difenacoum.</w:t>
      </w:r>
    </w:p>
    <w:p w14:paraId="118C29C6" w14:textId="4B7FDF9E" w:rsidR="008E67EA" w:rsidRPr="0067031E" w:rsidRDefault="008E67EA">
      <w:pPr>
        <w:pStyle w:val="NumberLevel2"/>
        <w:numPr>
          <w:ilvl w:val="1"/>
          <w:numId w:val="46"/>
        </w:numPr>
        <w:ind w:left="1134"/>
      </w:pPr>
      <w:r w:rsidRPr="0067031E">
        <w:t xml:space="preserve">A number of sub-lethal effects have also been observed in primary and secondary </w:t>
      </w:r>
      <w:r>
        <w:t xml:space="preserve">poisoning </w:t>
      </w:r>
      <w:r w:rsidRPr="0067031E">
        <w:t>studies</w:t>
      </w:r>
      <w:r w:rsidRPr="00613D51">
        <w:t xml:space="preserve"> </w:t>
      </w:r>
      <w:r>
        <w:t>with</w:t>
      </w:r>
      <w:r w:rsidRPr="0067031E">
        <w:t xml:space="preserve"> mammals and birds. This includes sub-lethal effects </w:t>
      </w:r>
      <w:r>
        <w:t>that appear to directly relate to</w:t>
      </w:r>
      <w:r w:rsidRPr="0067031E">
        <w:t xml:space="preserve"> vitamin </w:t>
      </w:r>
      <w:r>
        <w:t>K</w:t>
      </w:r>
      <w:r w:rsidRPr="0067031E">
        <w:t xml:space="preserve"> antagonism</w:t>
      </w:r>
      <w:r>
        <w:t xml:space="preserve"> (</w:t>
      </w:r>
      <w:r w:rsidRPr="0067031E">
        <w:t>the mode of action of anticoagulant rodenticides</w:t>
      </w:r>
      <w:r>
        <w:t>)</w:t>
      </w:r>
      <w:r w:rsidRPr="0067031E">
        <w:t xml:space="preserve"> such as bleeding around body orifices, metrorrhagia, blood clots and internal hematomas. </w:t>
      </w:r>
      <w:r>
        <w:t>Further, i</w:t>
      </w:r>
      <w:r w:rsidRPr="0067031E">
        <w:t>n reproductive</w:t>
      </w:r>
      <w:r>
        <w:t xml:space="preserve"> toxicity</w:t>
      </w:r>
      <w:r w:rsidRPr="0067031E">
        <w:t xml:space="preserve"> studies</w:t>
      </w:r>
      <w:r>
        <w:t xml:space="preserve">, </w:t>
      </w:r>
      <w:r w:rsidRPr="00777CE5">
        <w:rPr>
          <w:szCs w:val="20"/>
        </w:rPr>
        <w:t>possible effects on the ovarian function of rats were observed with long-term exposure to difenacoum, and a decreased numbers of surviving 14-day old chicks wa</w:t>
      </w:r>
      <w:r>
        <w:t>s observed with l</w:t>
      </w:r>
      <w:r w:rsidRPr="0067031E">
        <w:t>ong-term exposure</w:t>
      </w:r>
      <w:r>
        <w:t xml:space="preserve"> of birds</w:t>
      </w:r>
      <w:r w:rsidRPr="0067031E">
        <w:t xml:space="preserve"> to difenacoum </w:t>
      </w:r>
      <w:r>
        <w:t>or</w:t>
      </w:r>
      <w:r w:rsidRPr="0067031E">
        <w:t xml:space="preserve"> bromadiolone in drinking water</w:t>
      </w:r>
      <w:r>
        <w:t>.</w:t>
      </w:r>
    </w:p>
    <w:p w14:paraId="492B44A1" w14:textId="77777777" w:rsidR="008E67EA" w:rsidRPr="00301214" w:rsidRDefault="008E67EA">
      <w:pPr>
        <w:pStyle w:val="NumberLevel2"/>
        <w:numPr>
          <w:ilvl w:val="1"/>
          <w:numId w:val="46"/>
        </w:numPr>
        <w:ind w:left="1134"/>
      </w:pPr>
      <w:r>
        <w:t>The limited reptile toxicity studies support the position that r</w:t>
      </w:r>
      <w:r w:rsidRPr="008917B7">
        <w:t>eptiles have a high tolerance to anticoagulant rodenticides poisoning. Coumatetralyl, diphacinone and brodifacoum were determined to have low toxicity to fence lizards with acute exposure.</w:t>
      </w:r>
      <w:r w:rsidRPr="00287F19">
        <w:t xml:space="preserve"> Turtles and boas have exhibited a relative insensitivity to diphacinone </w:t>
      </w:r>
      <w:r w:rsidRPr="00287F19">
        <w:lastRenderedPageBreak/>
        <w:t>and brodifacoum, while lizards appeared to be somewhat more sensitive</w:t>
      </w:r>
      <w:r>
        <w:t>.</w:t>
      </w:r>
      <w:r w:rsidRPr="008917B7">
        <w:t xml:space="preserve"> </w:t>
      </w:r>
      <w:r>
        <w:t>Further, i</w:t>
      </w:r>
      <w:r w:rsidRPr="008917B7">
        <w:t xml:space="preserve">n relation to the effects of diphacinone and warfarin on the brown tree snake, </w:t>
      </w:r>
      <w:r>
        <w:t xml:space="preserve">respective </w:t>
      </w:r>
      <w:r w:rsidRPr="008917B7">
        <w:t>lowest lethal doses of 10 and 40 mg/kg bw were determined.</w:t>
      </w:r>
    </w:p>
    <w:p w14:paraId="1BF4BB11" w14:textId="77777777" w:rsidR="008E67EA" w:rsidRDefault="008E67EA" w:rsidP="008E67EA">
      <w:pPr>
        <w:pStyle w:val="StatementofReasonsHeading4"/>
      </w:pPr>
      <w:bookmarkStart w:id="407" w:name="_Hlk211872310"/>
      <w:r>
        <w:t>How the product is formulated: bittering agents and dyes</w:t>
      </w:r>
    </w:p>
    <w:p w14:paraId="16B94834" w14:textId="77777777" w:rsidR="008E67EA" w:rsidRPr="00A617FD" w:rsidRDefault="008E67EA">
      <w:pPr>
        <w:pStyle w:val="NumberLevel1"/>
        <w:numPr>
          <w:ilvl w:val="0"/>
          <w:numId w:val="46"/>
        </w:numPr>
        <w:rPr>
          <w:color w:val="000000" w:themeColor="text1"/>
        </w:rPr>
      </w:pPr>
      <w:bookmarkStart w:id="408" w:name="_Ref212833471"/>
      <w:bookmarkEnd w:id="407"/>
      <w:r w:rsidRPr="00A617FD">
        <w:rPr>
          <w:color w:val="000000" w:themeColor="text1"/>
        </w:rPr>
        <w:t>Based on my review and consideration of</w:t>
      </w:r>
      <w:r w:rsidRPr="00007D20">
        <w:rPr>
          <w:color w:val="000000" w:themeColor="text1"/>
        </w:rPr>
        <w:t xml:space="preserve"> </w:t>
      </w:r>
      <w:r>
        <w:rPr>
          <w:color w:val="000000" w:themeColor="text1"/>
        </w:rPr>
        <w:t>human health and environment scientific assessment reports,</w:t>
      </w:r>
      <w:r w:rsidRPr="00A617FD">
        <w:rPr>
          <w:i/>
          <w:iCs/>
          <w:color w:val="000000" w:themeColor="text1"/>
        </w:rPr>
        <w:t xml:space="preserve"> </w:t>
      </w:r>
      <w:r w:rsidRPr="00A617FD">
        <w:rPr>
          <w:color w:val="000000" w:themeColor="text1"/>
        </w:rPr>
        <w:t xml:space="preserve">I consider that a bittering agent and dye are critical formulation components of anticoagulant rodenticide chemical products to reduce the likelihood of an effect that is harmful to </w:t>
      </w:r>
      <w:r>
        <w:rPr>
          <w:color w:val="000000" w:themeColor="text1"/>
        </w:rPr>
        <w:t>human beings</w:t>
      </w:r>
      <w:r w:rsidRPr="00A617FD">
        <w:rPr>
          <w:color w:val="000000" w:themeColor="text1"/>
        </w:rPr>
        <w:t xml:space="preserve"> or an unintended effect that is harmful to non-target terrestrial vertebrates.</w:t>
      </w:r>
      <w:bookmarkEnd w:id="408"/>
    </w:p>
    <w:p w14:paraId="5D13C23D" w14:textId="77777777" w:rsidR="008E67EA" w:rsidRPr="00A617FD" w:rsidRDefault="008E67EA">
      <w:pPr>
        <w:pStyle w:val="NumberLevel2"/>
        <w:numPr>
          <w:ilvl w:val="1"/>
          <w:numId w:val="46"/>
        </w:numPr>
        <w:ind w:left="1134"/>
      </w:pPr>
      <w:r>
        <w:t>As summarised in sections ‘</w:t>
      </w:r>
      <w:r w:rsidRPr="00825CB4">
        <w:rPr>
          <w:i/>
          <w:iCs/>
        </w:rPr>
        <w:t>4.3 Human adverse events involving anticoagulant rodenticide exposure in Australia</w:t>
      </w:r>
      <w:r>
        <w:rPr>
          <w:i/>
          <w:iCs/>
        </w:rPr>
        <w:t>’</w:t>
      </w:r>
      <w:r>
        <w:t xml:space="preserve"> and ‘</w:t>
      </w:r>
      <w:r w:rsidRPr="00825CB4">
        <w:rPr>
          <w:i/>
          <w:iCs/>
        </w:rPr>
        <w:t>4.8.3 Bystander exposure</w:t>
      </w:r>
      <w:r>
        <w:rPr>
          <w:i/>
          <w:iCs/>
        </w:rPr>
        <w:t>’</w:t>
      </w:r>
      <w:r>
        <w:t xml:space="preserve"> of the </w:t>
      </w:r>
      <w:r w:rsidRPr="00007D20">
        <w:rPr>
          <w:i/>
          <w:iCs/>
          <w:color w:val="000000" w:themeColor="text1"/>
        </w:rPr>
        <w:t xml:space="preserve">Anticoagulant Rodenticides Review Technical </w:t>
      </w:r>
      <w:r w:rsidRPr="00A617FD">
        <w:rPr>
          <w:i/>
          <w:iCs/>
          <w:color w:val="000000" w:themeColor="text1"/>
        </w:rPr>
        <w:t>Report</w:t>
      </w:r>
      <w:r>
        <w:rPr>
          <w:i/>
          <w:iCs/>
          <w:color w:val="000000" w:themeColor="text1"/>
        </w:rPr>
        <w:t>,</w:t>
      </w:r>
      <w:r w:rsidRPr="00A617FD">
        <w:t xml:space="preserve"> I note that there is the potential for </w:t>
      </w:r>
      <w:r>
        <w:t xml:space="preserve">human </w:t>
      </w:r>
      <w:r w:rsidRPr="00A617FD">
        <w:t>bystanders to be exposed to anticoagulant rodenticide chemical products once the baits have been applied in either indoor or outdoor areas</w:t>
      </w:r>
      <w:r>
        <w:t>,</w:t>
      </w:r>
      <w:r w:rsidRPr="00A617FD">
        <w:t xml:space="preserve"> and that infor</w:t>
      </w:r>
      <w:r w:rsidRPr="00A617FD">
        <w:rPr>
          <w:color w:val="000000" w:themeColor="text1"/>
        </w:rPr>
        <w:t xml:space="preserve">mation on accidental exposures of </w:t>
      </w:r>
      <w:r>
        <w:rPr>
          <w:color w:val="000000" w:themeColor="text1"/>
        </w:rPr>
        <w:t>human beings</w:t>
      </w:r>
      <w:r w:rsidRPr="00A617FD">
        <w:rPr>
          <w:color w:val="000000" w:themeColor="text1"/>
        </w:rPr>
        <w:t xml:space="preserve"> to anticoagulant chemical products indicates that the majority of incidents have involved young children inadvertently accessing the baits. Further, I note that inclusion of a bittering agent as a constituent of a chemical product is intended to reduce the likelihood of ingestion of a bait by a </w:t>
      </w:r>
      <w:r>
        <w:rPr>
          <w:color w:val="000000" w:themeColor="text1"/>
        </w:rPr>
        <w:t>human being</w:t>
      </w:r>
      <w:r w:rsidRPr="00A617FD">
        <w:rPr>
          <w:color w:val="000000" w:themeColor="text1"/>
        </w:rPr>
        <w:t xml:space="preserve">, as they are likely to stop consuming an unpalatable item if accidentally accessed, and inclusion of a dye as a constituent of a chemical product is intended to provide a visual reference to indicate a </w:t>
      </w:r>
      <w:r>
        <w:rPr>
          <w:color w:val="000000" w:themeColor="text1"/>
        </w:rPr>
        <w:t>human being</w:t>
      </w:r>
      <w:r w:rsidRPr="00A617FD">
        <w:rPr>
          <w:color w:val="000000" w:themeColor="text1"/>
        </w:rPr>
        <w:t xml:space="preserve"> may have ingested some of the bait. While I note most accidental exposure incidents in children reviewed as part of this reconsideration have resulted in either no adverse effects or relatively minor effects, </w:t>
      </w:r>
      <w:r>
        <w:rPr>
          <w:color w:val="000000" w:themeColor="text1"/>
        </w:rPr>
        <w:t xml:space="preserve">exposure to anticoagulant rodenticides has the potential to result in the need for medical care. Therefore, </w:t>
      </w:r>
      <w:r w:rsidRPr="00A617FD">
        <w:rPr>
          <w:color w:val="000000" w:themeColor="text1"/>
        </w:rPr>
        <w:t xml:space="preserve">I consider that inclusion of a bittering agent and dye as constituents in an anticoagulant rodenticide chemical product formulation is critical to reduce the potential for poisoning incidents and the likelihood that use of chemical products may have an effect that is harmful to </w:t>
      </w:r>
      <w:r>
        <w:rPr>
          <w:color w:val="000000" w:themeColor="text1"/>
        </w:rPr>
        <w:t>human beings</w:t>
      </w:r>
      <w:r w:rsidRPr="00A617FD">
        <w:rPr>
          <w:color w:val="000000" w:themeColor="text1"/>
        </w:rPr>
        <w:t>.</w:t>
      </w:r>
    </w:p>
    <w:p w14:paraId="5A0F85B6" w14:textId="77777777" w:rsidR="008E67EA" w:rsidRPr="00A617FD" w:rsidRDefault="008E67EA">
      <w:pPr>
        <w:pStyle w:val="NumberLevel2"/>
        <w:numPr>
          <w:ilvl w:val="1"/>
          <w:numId w:val="46"/>
        </w:numPr>
        <w:ind w:left="1134"/>
        <w:rPr>
          <w:color w:val="000000" w:themeColor="text1"/>
        </w:rPr>
      </w:pPr>
      <w:r>
        <w:t>As summarised in sections ‘</w:t>
      </w:r>
      <w:r w:rsidRPr="00862B2F">
        <w:rPr>
          <w:i/>
          <w:iCs/>
        </w:rPr>
        <w:t>3.</w:t>
      </w:r>
      <w:r>
        <w:rPr>
          <w:i/>
          <w:iCs/>
        </w:rPr>
        <w:t>3</w:t>
      </w:r>
      <w:r w:rsidRPr="00862B2F">
        <w:rPr>
          <w:i/>
          <w:iCs/>
        </w:rPr>
        <w:t xml:space="preserve">.2 </w:t>
      </w:r>
      <w:r>
        <w:rPr>
          <w:i/>
          <w:iCs/>
        </w:rPr>
        <w:t xml:space="preserve">Risk to </w:t>
      </w:r>
      <w:r w:rsidRPr="00862B2F">
        <w:rPr>
          <w:i/>
          <w:iCs/>
        </w:rPr>
        <w:t>terrestrial vertebrates’ and ‘</w:t>
      </w:r>
      <w:r>
        <w:rPr>
          <w:i/>
          <w:iCs/>
        </w:rPr>
        <w:t>3</w:t>
      </w:r>
      <w:r w:rsidRPr="00862B2F">
        <w:rPr>
          <w:i/>
          <w:iCs/>
        </w:rPr>
        <w:t xml:space="preserve">.4.1 Products and uses not supported’ </w:t>
      </w:r>
      <w:r>
        <w:t xml:space="preserve">of the </w:t>
      </w:r>
      <w:r w:rsidRPr="00007D20">
        <w:rPr>
          <w:i/>
          <w:iCs/>
          <w:color w:val="000000" w:themeColor="text1"/>
        </w:rPr>
        <w:t xml:space="preserve">Anticoagulant Rodenticides Review Technical </w:t>
      </w:r>
      <w:r w:rsidRPr="00A617FD">
        <w:rPr>
          <w:i/>
          <w:iCs/>
          <w:color w:val="000000" w:themeColor="text1"/>
        </w:rPr>
        <w:t>Report</w:t>
      </w:r>
      <w:r>
        <w:rPr>
          <w:i/>
          <w:iCs/>
          <w:color w:val="000000" w:themeColor="text1"/>
        </w:rPr>
        <w:t>,</w:t>
      </w:r>
      <w:r w:rsidRPr="00A617FD">
        <w:t xml:space="preserve"> </w:t>
      </w:r>
      <w:r w:rsidRPr="00A617FD">
        <w:rPr>
          <w:color w:val="000000" w:themeColor="text1"/>
        </w:rPr>
        <w:t>I note that bittering agents are well-known repellents to a number of non-target terrestrial vertebrate species such as cats, dogs, horses</w:t>
      </w:r>
      <w:r w:rsidRPr="00BF7B9D">
        <w:rPr>
          <w:color w:val="000000" w:themeColor="text1"/>
        </w:rPr>
        <w:t xml:space="preserve"> </w:t>
      </w:r>
      <w:r w:rsidRPr="00A617FD">
        <w:rPr>
          <w:color w:val="000000" w:themeColor="text1"/>
        </w:rPr>
        <w:t>and birds, but do not change the efficacy of baits against target rodent species. Further, I note that the colouring of baits (in particular, yellow and green) has been shown to have a consumption deterrent effect for certain species of birds, which is important for outdoor baiting situations where small non-target species may be able to enter bait stations and/or bait may be spilled or expelled from bait stations by the target species. Therefore, I also consider that inclusion of a bittering agent and dye as constituents in an anticoagulant rodenticide chemical product formulation is critical to reduce the likelihood that use of the chemical products may have an unintended effect that is harmful to non-target terrestrial vertebrates</w:t>
      </w:r>
    </w:p>
    <w:p w14:paraId="20897202" w14:textId="77777777" w:rsidR="008E67EA" w:rsidRPr="00A617FD" w:rsidRDefault="008E67EA">
      <w:pPr>
        <w:pStyle w:val="NumberLevel1"/>
        <w:numPr>
          <w:ilvl w:val="0"/>
          <w:numId w:val="46"/>
        </w:numPr>
      </w:pPr>
      <w:r w:rsidRPr="00A617FD">
        <w:t xml:space="preserve">Based on a review of the details of the </w:t>
      </w:r>
      <w:r w:rsidRPr="00A617FD">
        <w:rPr>
          <w:color w:val="000000" w:themeColor="text1"/>
        </w:rPr>
        <w:t>constituents of the chemical products that are entered into the Register for the chemical products listed in Attachment A, I note:</w:t>
      </w:r>
    </w:p>
    <w:p w14:paraId="53E776DD" w14:textId="77777777" w:rsidR="008E67EA" w:rsidRPr="009E2E98" w:rsidRDefault="008E67EA">
      <w:pPr>
        <w:pStyle w:val="NumberLevel2"/>
        <w:numPr>
          <w:ilvl w:val="1"/>
          <w:numId w:val="46"/>
        </w:numPr>
        <w:ind w:left="1134"/>
      </w:pPr>
      <w:r>
        <w:t xml:space="preserve">a number of chemical products containing the anticoagulant rodenticide brodifacoum </w:t>
      </w:r>
      <w:r w:rsidRPr="00120DBF">
        <w:t>(48332,</w:t>
      </w:r>
      <w:r>
        <w:rPr>
          <w:color w:val="2E74B5" w:themeColor="accent1" w:themeShade="BF"/>
        </w:rPr>
        <w:t xml:space="preserve"> </w:t>
      </w:r>
      <w:r>
        <w:t xml:space="preserve">57805, 63625, 69942, 87657, 87659 and 94213), bromadiolone (33908, 33911, 47484, 48145, 51245, 61668, 64931, 65675, 67142, 67578 and 69641), coumatetralyl (42040, 49256, 52182 and 86417), difenacoum (65672), diphacinone (54756) or warfarin (33942, 33945, 42368 and 60285) do not appear to contain a bittering agent that is required to reduce the likelihood of an </w:t>
      </w:r>
      <w:r w:rsidRPr="00AC0C41">
        <w:rPr>
          <w:color w:val="000000" w:themeColor="text1"/>
        </w:rPr>
        <w:t xml:space="preserve">effect that is harmful to </w:t>
      </w:r>
      <w:r>
        <w:rPr>
          <w:color w:val="000000" w:themeColor="text1"/>
        </w:rPr>
        <w:t>human beings</w:t>
      </w:r>
      <w:r w:rsidRPr="00AC0C41">
        <w:rPr>
          <w:color w:val="000000" w:themeColor="text1"/>
        </w:rPr>
        <w:t xml:space="preserve"> or an unintended effect that is harmful to terrestrial vertebrates; and</w:t>
      </w:r>
    </w:p>
    <w:p w14:paraId="71C7E8B4" w14:textId="77777777" w:rsidR="008E67EA" w:rsidRPr="00B42D5D" w:rsidRDefault="008E67EA">
      <w:pPr>
        <w:pStyle w:val="NumberLevel2"/>
        <w:numPr>
          <w:ilvl w:val="1"/>
          <w:numId w:val="46"/>
        </w:numPr>
        <w:ind w:left="1134"/>
      </w:pPr>
      <w:r w:rsidRPr="00AC0C41">
        <w:lastRenderedPageBreak/>
        <w:t xml:space="preserve">a number of chemical products </w:t>
      </w:r>
      <w:r>
        <w:t>containing the anticoagulant rodenticide brodifacoum</w:t>
      </w:r>
      <w:r w:rsidRPr="00AC0C41">
        <w:t xml:space="preserve"> (57805 and 65423), </w:t>
      </w:r>
      <w:r>
        <w:t>difenacoum (</w:t>
      </w:r>
      <w:r w:rsidRPr="00AC0C41">
        <w:t>85513</w:t>
      </w:r>
      <w:r>
        <w:t>) or warfarin (33942, 33945 and 42368)</w:t>
      </w:r>
      <w:r w:rsidRPr="00AC0C41">
        <w:t xml:space="preserve"> do not contain a dye that is </w:t>
      </w:r>
      <w:r>
        <w:t xml:space="preserve">required to reduce the likelihood of an </w:t>
      </w:r>
      <w:r w:rsidRPr="00AC0C41">
        <w:t xml:space="preserve">effect that is harmful to </w:t>
      </w:r>
      <w:r>
        <w:t>human beings</w:t>
      </w:r>
      <w:r w:rsidRPr="00AC0C41">
        <w:t xml:space="preserve"> or an unintended effect that is harmful to terrestrial vertebrates</w:t>
      </w:r>
      <w:r>
        <w:t>; and</w:t>
      </w:r>
    </w:p>
    <w:p w14:paraId="1D373B3A" w14:textId="03B28FB6" w:rsidR="008E67EA" w:rsidRPr="009E2E98" w:rsidRDefault="008E67EA">
      <w:pPr>
        <w:pStyle w:val="NumberLevel2"/>
        <w:numPr>
          <w:ilvl w:val="1"/>
          <w:numId w:val="46"/>
        </w:numPr>
        <w:ind w:left="1134"/>
      </w:pPr>
      <w:r>
        <w:rPr>
          <w:color w:val="000000" w:themeColor="text1"/>
        </w:rPr>
        <w:t>one chemical product formulated as a liquid bait concentrate (</w:t>
      </w:r>
      <w:r w:rsidRPr="004E6D44">
        <w:rPr>
          <w:color w:val="000000" w:themeColor="text1"/>
        </w:rPr>
        <w:t>93518</w:t>
      </w:r>
      <w:r>
        <w:rPr>
          <w:color w:val="000000" w:themeColor="text1"/>
        </w:rPr>
        <w:t>) contains both the requisite bittering agent and</w:t>
      </w:r>
      <w:r w:rsidRPr="004E6D44">
        <w:rPr>
          <w:color w:val="000000" w:themeColor="text1"/>
        </w:rPr>
        <w:t xml:space="preserve"> </w:t>
      </w:r>
      <w:r>
        <w:rPr>
          <w:color w:val="000000" w:themeColor="text1"/>
        </w:rPr>
        <w:t>dye.</w:t>
      </w:r>
    </w:p>
    <w:p w14:paraId="6AE7E108" w14:textId="743FEE63" w:rsidR="008E67EA" w:rsidRPr="00643C38" w:rsidRDefault="008E67EA">
      <w:pPr>
        <w:pStyle w:val="NumberLevel1"/>
        <w:numPr>
          <w:ilvl w:val="0"/>
          <w:numId w:val="46"/>
        </w:numPr>
      </w:pPr>
      <w:r>
        <w:t xml:space="preserve">Based on the toxicity of anticoagulant rodenticides and potential exposure pathways for human beings and non-target terrestrial vertebrates from use of chemical products, as detailed above, I consider that the use of anticoagulant chemical products that do not contain the requisite dye and/or bittering agent in accordance with any instructions approved, or to be approved, by the APVMA have an </w:t>
      </w:r>
      <w:r w:rsidRPr="008A7357">
        <w:rPr>
          <w:b/>
          <w:bCs/>
          <w:color w:val="000000" w:themeColor="text1"/>
        </w:rPr>
        <w:t>unacceptable</w:t>
      </w:r>
      <w:r w:rsidRPr="008A7357">
        <w:rPr>
          <w:color w:val="000000" w:themeColor="text1"/>
        </w:rPr>
        <w:t xml:space="preserve"> likelihood of an effect that is harmful to </w:t>
      </w:r>
      <w:r>
        <w:rPr>
          <w:color w:val="000000" w:themeColor="text1"/>
        </w:rPr>
        <w:t>human beings</w:t>
      </w:r>
      <w:r w:rsidRPr="008A7357">
        <w:rPr>
          <w:color w:val="000000" w:themeColor="text1"/>
        </w:rPr>
        <w:t xml:space="preserve"> and an unintended effect that is harmful to non-target terrestrial vertebrates. Further, I am </w:t>
      </w:r>
      <w:r w:rsidRPr="008A7357">
        <w:rPr>
          <w:b/>
          <w:bCs/>
          <w:color w:val="000000" w:themeColor="text1"/>
        </w:rPr>
        <w:t xml:space="preserve">not satisfied </w:t>
      </w:r>
      <w:r w:rsidRPr="008A7357">
        <w:rPr>
          <w:color w:val="000000" w:themeColor="text1"/>
        </w:rPr>
        <w:t xml:space="preserve">that any variation to the relevant particulars or conditions of </w:t>
      </w:r>
      <w:r>
        <w:rPr>
          <w:color w:val="000000" w:themeColor="text1"/>
        </w:rPr>
        <w:t>relevant</w:t>
      </w:r>
      <w:r w:rsidRPr="008A7357">
        <w:rPr>
          <w:color w:val="000000" w:themeColor="text1"/>
        </w:rPr>
        <w:t xml:space="preserve"> chemical products</w:t>
      </w:r>
      <w:r>
        <w:rPr>
          <w:color w:val="000000" w:themeColor="text1"/>
        </w:rPr>
        <w:t xml:space="preserve"> made as part of this reconsideration</w:t>
      </w:r>
      <w:r w:rsidRPr="008A7357">
        <w:rPr>
          <w:color w:val="000000" w:themeColor="text1"/>
        </w:rPr>
        <w:t xml:space="preserve"> would reduce the likelihood of an effect that is harmful to </w:t>
      </w:r>
      <w:r>
        <w:rPr>
          <w:color w:val="000000" w:themeColor="text1"/>
        </w:rPr>
        <w:t>human beings</w:t>
      </w:r>
      <w:r w:rsidRPr="008A7357">
        <w:rPr>
          <w:color w:val="000000" w:themeColor="text1"/>
        </w:rPr>
        <w:t xml:space="preserve"> and an unintended effect that is harmful to non-target terrestrial vertebrates</w:t>
      </w:r>
      <w:r>
        <w:rPr>
          <w:color w:val="000000" w:themeColor="text1"/>
        </w:rPr>
        <w:t xml:space="preserve"> to an acceptable margin.</w:t>
      </w:r>
    </w:p>
    <w:p w14:paraId="5CB0DC40" w14:textId="77777777" w:rsidR="008E67EA" w:rsidRDefault="008E67EA">
      <w:pPr>
        <w:pStyle w:val="NumberLevel1"/>
        <w:numPr>
          <w:ilvl w:val="0"/>
          <w:numId w:val="46"/>
        </w:numPr>
      </w:pPr>
      <w:bookmarkStart w:id="409" w:name="_Ref211872402"/>
      <w:bookmarkStart w:id="410" w:name="_Ref212833475"/>
      <w:r>
        <w:t xml:space="preserve">As such, </w:t>
      </w:r>
      <w:r w:rsidRPr="004E6D44">
        <w:rPr>
          <w:b/>
          <w:bCs/>
        </w:rPr>
        <w:t>I am not satisfied</w:t>
      </w:r>
      <w:r>
        <w:t xml:space="preserve"> that chemical products that do not contain a dye and/or bittering agent as a formulation constituent (33908, 33911, 33942, 33945, 42040, 42368, 47484, </w:t>
      </w:r>
      <w:r w:rsidRPr="00120DBF">
        <w:t>48145, 48332, 49256</w:t>
      </w:r>
      <w:r>
        <w:t xml:space="preserve">, 51245, 52182, 54756, 57805, 60285, 61668, 63625, 64931, 65423, 65672, 65675, 67142, 67578, 69641, 69942, 85513, 86417, 87657, 87659 and 94213) meet the safety criteria. </w:t>
      </w:r>
      <w:bookmarkStart w:id="411" w:name="_Hlk212896985"/>
      <w:r>
        <w:rPr>
          <w:color w:val="000000" w:themeColor="text1"/>
        </w:rPr>
        <w:t xml:space="preserve">I am also </w:t>
      </w:r>
      <w:r w:rsidRPr="00965A79">
        <w:rPr>
          <w:b/>
          <w:bCs/>
          <w:color w:val="000000" w:themeColor="text1"/>
        </w:rPr>
        <w:t>not satisfied</w:t>
      </w:r>
      <w:r>
        <w:rPr>
          <w:color w:val="000000" w:themeColor="text1"/>
        </w:rPr>
        <w:t xml:space="preserve"> that</w:t>
      </w:r>
      <w:r w:rsidRPr="004E6D44">
        <w:rPr>
          <w:color w:val="000000" w:themeColor="text1"/>
        </w:rPr>
        <w:t xml:space="preserve"> the relevant particulars or conditions of the chemical products could be varied in such as way so that the products meet the safety criteria</w:t>
      </w:r>
      <w:bookmarkEnd w:id="409"/>
      <w:r>
        <w:rPr>
          <w:color w:val="000000" w:themeColor="text1"/>
        </w:rPr>
        <w:t>,</w:t>
      </w:r>
      <w:r w:rsidRPr="006B37ED">
        <w:rPr>
          <w:color w:val="000000" w:themeColor="text1"/>
        </w:rPr>
        <w:t xml:space="preserve"> </w:t>
      </w:r>
      <w:r w:rsidRPr="00461565">
        <w:rPr>
          <w:color w:val="000000" w:themeColor="text1"/>
        </w:rPr>
        <w:t>noting that it is inappropriate for the APVMA to</w:t>
      </w:r>
      <w:r>
        <w:rPr>
          <w:color w:val="000000" w:themeColor="text1"/>
        </w:rPr>
        <w:t xml:space="preserve"> independently</w:t>
      </w:r>
      <w:r w:rsidRPr="00461565">
        <w:rPr>
          <w:color w:val="000000" w:themeColor="text1"/>
        </w:rPr>
        <w:t xml:space="preserve"> vary the details o</w:t>
      </w:r>
      <w:r>
        <w:rPr>
          <w:color w:val="000000" w:themeColor="text1"/>
        </w:rPr>
        <w:t>n</w:t>
      </w:r>
      <w:r w:rsidRPr="00461565">
        <w:rPr>
          <w:color w:val="000000" w:themeColor="text1"/>
        </w:rPr>
        <w:t xml:space="preserve"> </w:t>
      </w:r>
      <w:r>
        <w:rPr>
          <w:color w:val="000000" w:themeColor="text1"/>
        </w:rPr>
        <w:t>how a</w:t>
      </w:r>
      <w:r w:rsidRPr="00461565">
        <w:rPr>
          <w:color w:val="000000" w:themeColor="text1"/>
        </w:rPr>
        <w:t xml:space="preserve"> chemical product</w:t>
      </w:r>
      <w:r>
        <w:rPr>
          <w:color w:val="000000" w:themeColor="text1"/>
        </w:rPr>
        <w:t xml:space="preserve"> is formulated.</w:t>
      </w:r>
      <w:bookmarkEnd w:id="410"/>
      <w:bookmarkEnd w:id="411"/>
    </w:p>
    <w:p w14:paraId="07FE7645" w14:textId="77777777" w:rsidR="008E67EA" w:rsidRDefault="008E67EA" w:rsidP="008E67EA">
      <w:pPr>
        <w:pStyle w:val="StatementofReasonsHeading4"/>
      </w:pPr>
      <w:r>
        <w:t xml:space="preserve">How the product is formulated: liquid and powder bait concentrates </w:t>
      </w:r>
    </w:p>
    <w:p w14:paraId="480BE193" w14:textId="77777777" w:rsidR="008E67EA" w:rsidRPr="00862B2F" w:rsidRDefault="008E67EA">
      <w:pPr>
        <w:pStyle w:val="NumberLevel1"/>
        <w:numPr>
          <w:ilvl w:val="0"/>
          <w:numId w:val="46"/>
        </w:numPr>
        <w:rPr>
          <w:color w:val="000000" w:themeColor="text1"/>
        </w:rPr>
      </w:pPr>
      <w:bookmarkStart w:id="412" w:name="_Ref212833623"/>
      <w:bookmarkEnd w:id="403"/>
      <w:r w:rsidRPr="00862B2F">
        <w:rPr>
          <w:color w:val="000000" w:themeColor="text1"/>
        </w:rPr>
        <w:t>Based on my review and consideration of the environment scientific assessment, summarised in sections</w:t>
      </w:r>
      <w:r w:rsidRPr="00862B2F">
        <w:rPr>
          <w:i/>
          <w:iCs/>
          <w:color w:val="000000" w:themeColor="text1"/>
        </w:rPr>
        <w:t xml:space="preserve"> </w:t>
      </w:r>
      <w:r w:rsidRPr="00965A79">
        <w:rPr>
          <w:i/>
          <w:iCs/>
          <w:color w:val="000000" w:themeColor="text1"/>
        </w:rPr>
        <w:t>‘</w:t>
      </w:r>
      <w:r w:rsidRPr="00862B2F">
        <w:rPr>
          <w:i/>
          <w:iCs/>
          <w:color w:val="000000" w:themeColor="text1"/>
        </w:rPr>
        <w:t>3</w:t>
      </w:r>
      <w:r w:rsidRPr="00965A79">
        <w:rPr>
          <w:i/>
          <w:iCs/>
          <w:color w:val="000000" w:themeColor="text1"/>
        </w:rPr>
        <w:t>.3.2 Risks to terrestrial vertebrates’</w:t>
      </w:r>
      <w:r w:rsidRPr="00862B2F">
        <w:rPr>
          <w:i/>
          <w:iCs/>
          <w:color w:val="000000" w:themeColor="text1"/>
        </w:rPr>
        <w:t xml:space="preserve"> </w:t>
      </w:r>
      <w:r w:rsidRPr="00862B2F">
        <w:rPr>
          <w:color w:val="000000" w:themeColor="text1"/>
        </w:rPr>
        <w:t xml:space="preserve">and </w:t>
      </w:r>
      <w:r w:rsidRPr="00965A79">
        <w:rPr>
          <w:i/>
          <w:iCs/>
          <w:color w:val="000000" w:themeColor="text1"/>
        </w:rPr>
        <w:t>‘</w:t>
      </w:r>
      <w:r w:rsidRPr="00862B2F">
        <w:rPr>
          <w:i/>
          <w:iCs/>
          <w:color w:val="000000" w:themeColor="text1"/>
        </w:rPr>
        <w:t>3</w:t>
      </w:r>
      <w:r w:rsidRPr="00965A79">
        <w:rPr>
          <w:i/>
          <w:iCs/>
          <w:color w:val="000000" w:themeColor="text1"/>
        </w:rPr>
        <w:t>.4.1 Products and uses not supported’</w:t>
      </w:r>
      <w:r w:rsidRPr="00862B2F">
        <w:rPr>
          <w:color w:val="000000" w:themeColor="text1"/>
        </w:rPr>
        <w:t xml:space="preserve"> of the </w:t>
      </w:r>
      <w:r w:rsidRPr="00862B2F">
        <w:rPr>
          <w:i/>
          <w:iCs/>
          <w:color w:val="000000" w:themeColor="text1"/>
        </w:rPr>
        <w:t>Anticoagulant Rodenticides Review Technical Report:</w:t>
      </w:r>
      <w:bookmarkEnd w:id="412"/>
    </w:p>
    <w:p w14:paraId="0AD99A33" w14:textId="53A951C9" w:rsidR="008E67EA" w:rsidRPr="00A617FD" w:rsidRDefault="008E67EA">
      <w:pPr>
        <w:pStyle w:val="NumberLevel2"/>
        <w:numPr>
          <w:ilvl w:val="1"/>
          <w:numId w:val="46"/>
        </w:numPr>
        <w:ind w:left="1134"/>
      </w:pPr>
      <w:r w:rsidRPr="00A617FD">
        <w:t xml:space="preserve">I note that powder bait concentrates with a </w:t>
      </w:r>
      <w:r>
        <w:t xml:space="preserve">relatively </w:t>
      </w:r>
      <w:r w:rsidRPr="00A617FD">
        <w:t>high concentration of coumatetralyl have the potential to become airborne, and that there</w:t>
      </w:r>
      <w:r>
        <w:t xml:space="preserve"> is</w:t>
      </w:r>
      <w:r w:rsidRPr="00A617FD">
        <w:t xml:space="preserve"> a high risk of unintentional environmental exposure and misuse associated with use of bait concentrate chemical products formulated as either a liquid or powder. Further, I consider that the potential for unintentional environmental exposure stems from the fact that anticoagulant rodenticide liquids</w:t>
      </w:r>
      <w:r>
        <w:t xml:space="preserve"> and powders</w:t>
      </w:r>
      <w:r w:rsidRPr="00A617FD">
        <w:t xml:space="preserve"> are unlikely to be effectively contained during their use</w:t>
      </w:r>
      <w:r>
        <w:t xml:space="preserve"> due to their easily spreadable nature. This </w:t>
      </w:r>
      <w:r w:rsidRPr="00A617FD">
        <w:t>can result in significant contamination of the treatment site and further widespread environmental contamination through both primary and secondary exposure pathways for non-target terrestrial vertebrates.</w:t>
      </w:r>
    </w:p>
    <w:p w14:paraId="58FD492D" w14:textId="77777777" w:rsidR="008E67EA" w:rsidRPr="00A617FD" w:rsidRDefault="008E67EA">
      <w:pPr>
        <w:pStyle w:val="NumberLevel2"/>
        <w:numPr>
          <w:ilvl w:val="1"/>
          <w:numId w:val="46"/>
        </w:numPr>
        <w:ind w:left="1134"/>
      </w:pPr>
      <w:r w:rsidRPr="00A617FD">
        <w:t>I note that primary and secondary exposure of non-target terrestrial vertebrates to the anticoagulant rodenticides bromadiolone and coumatetralyl has the potential to result in death or harmful sub-lethal effects. I also note that anticoagulant rodenticide residue burdens in wildlife can accumulate over time with repeat exposures, which may result in the accumulation of sufficient levels of anticoagulant rodenticide residues to cause death or morbidity resulting in death by other means. Further, I consider that an appreciable mortality of wildlife from use of anticoagulant rodenticide chemical products is an unintended effect that is harmful to non-target terrestrial vertebrates, even if potential population level effects have not been established.</w:t>
      </w:r>
    </w:p>
    <w:p w14:paraId="07ED3B76" w14:textId="21B375BF" w:rsidR="008E67EA" w:rsidRPr="00A617FD" w:rsidRDefault="008E67EA">
      <w:pPr>
        <w:pStyle w:val="NumberLevel1"/>
        <w:numPr>
          <w:ilvl w:val="0"/>
          <w:numId w:val="46"/>
        </w:numPr>
        <w:rPr>
          <w:color w:val="000000" w:themeColor="text1"/>
        </w:rPr>
      </w:pPr>
      <w:bookmarkStart w:id="413" w:name="_Ref211872434"/>
      <w:r w:rsidRPr="00A617FD">
        <w:rPr>
          <w:color w:val="000000" w:themeColor="text1"/>
        </w:rPr>
        <w:lastRenderedPageBreak/>
        <w:t xml:space="preserve">Based on the toxicity of anticoagulant rodenticides and the potential for widespread environmental contamination from use of chemical products formulated as a liquid or powder bait concentrate, as detailed above, </w:t>
      </w:r>
      <w:bookmarkStart w:id="414" w:name="_Hlk211889900"/>
      <w:r w:rsidRPr="00A617FD">
        <w:rPr>
          <w:color w:val="000000" w:themeColor="text1"/>
        </w:rPr>
        <w:t xml:space="preserve">I consider that the use anticoagulant chemical products formulated as a bait concentrate in accordance with any instructions approved, or to be approved, by the APVMA have an </w:t>
      </w:r>
      <w:r w:rsidRPr="00A617FD">
        <w:rPr>
          <w:b/>
          <w:bCs/>
          <w:color w:val="000000" w:themeColor="text1"/>
        </w:rPr>
        <w:t>unacceptable</w:t>
      </w:r>
      <w:r w:rsidRPr="00A617FD">
        <w:rPr>
          <w:color w:val="000000" w:themeColor="text1"/>
        </w:rPr>
        <w:t xml:space="preserve"> likelihood of an unintended effect that is harmful to non-target terrestrial vertebrates. Further, I am </w:t>
      </w:r>
      <w:r w:rsidRPr="00A617FD">
        <w:rPr>
          <w:b/>
          <w:bCs/>
          <w:color w:val="000000" w:themeColor="text1"/>
        </w:rPr>
        <w:t xml:space="preserve">not satisfied </w:t>
      </w:r>
      <w:r w:rsidRPr="00A617FD">
        <w:rPr>
          <w:color w:val="000000" w:themeColor="text1"/>
        </w:rPr>
        <w:t>that any variation to the relevant particulars or conditions of relevant chemical products would reduce the likelihood of an unintended effect that is harmful to non-target terrestrial vertebrates to an acceptable margin.</w:t>
      </w:r>
      <w:bookmarkEnd w:id="413"/>
    </w:p>
    <w:p w14:paraId="330ED7DD" w14:textId="77777777" w:rsidR="008E67EA" w:rsidRPr="00965A79" w:rsidRDefault="008E67EA">
      <w:pPr>
        <w:pStyle w:val="NumberLevel1"/>
        <w:numPr>
          <w:ilvl w:val="0"/>
          <w:numId w:val="46"/>
        </w:numPr>
        <w:rPr>
          <w:color w:val="000000" w:themeColor="text1"/>
        </w:rPr>
      </w:pPr>
      <w:bookmarkStart w:id="415" w:name="_Ref211889517"/>
      <w:bookmarkStart w:id="416" w:name="_Ref212833626"/>
      <w:bookmarkEnd w:id="414"/>
      <w:r>
        <w:t xml:space="preserve">As such, I am </w:t>
      </w:r>
      <w:r w:rsidRPr="00784955">
        <w:rPr>
          <w:b/>
          <w:bCs/>
        </w:rPr>
        <w:t>not satisfied</w:t>
      </w:r>
      <w:r>
        <w:t xml:space="preserve"> that chemical products formulated as a</w:t>
      </w:r>
      <w:r w:rsidRPr="002D65A3">
        <w:rPr>
          <w:color w:val="000000" w:themeColor="text1"/>
        </w:rPr>
        <w:t xml:space="preserve"> </w:t>
      </w:r>
      <w:r>
        <w:rPr>
          <w:color w:val="000000" w:themeColor="text1"/>
        </w:rPr>
        <w:t xml:space="preserve">liquid bait concentration </w:t>
      </w:r>
      <w:r w:rsidRPr="009C04BB">
        <w:rPr>
          <w:color w:val="000000" w:themeColor="text1"/>
        </w:rPr>
        <w:t xml:space="preserve">containing bromadiolone (47484 and 93518) </w:t>
      </w:r>
      <w:r>
        <w:rPr>
          <w:color w:val="000000" w:themeColor="text1"/>
        </w:rPr>
        <w:t>and</w:t>
      </w:r>
      <w:r w:rsidRPr="009C04BB">
        <w:rPr>
          <w:color w:val="000000" w:themeColor="text1"/>
        </w:rPr>
        <w:t xml:space="preserve"> </w:t>
      </w:r>
      <w:r>
        <w:rPr>
          <w:color w:val="000000" w:themeColor="text1"/>
        </w:rPr>
        <w:t xml:space="preserve">as a powder bait concentrate </w:t>
      </w:r>
      <w:r w:rsidRPr="009C04BB">
        <w:rPr>
          <w:color w:val="000000" w:themeColor="text1"/>
        </w:rPr>
        <w:t xml:space="preserve">containing coumatetralyl </w:t>
      </w:r>
      <w:r>
        <w:rPr>
          <w:color w:val="000000" w:themeColor="text1"/>
        </w:rPr>
        <w:t>(</w:t>
      </w:r>
      <w:r w:rsidRPr="009C04BB">
        <w:rPr>
          <w:color w:val="000000" w:themeColor="text1"/>
        </w:rPr>
        <w:t>52182 and 86417)</w:t>
      </w:r>
      <w:r>
        <w:t xml:space="preserve"> meet the safety criteria. </w:t>
      </w:r>
      <w:bookmarkStart w:id="417" w:name="_Hlk212897013"/>
      <w:r>
        <w:t xml:space="preserve">I am also </w:t>
      </w:r>
      <w:r w:rsidRPr="00965A79">
        <w:rPr>
          <w:b/>
          <w:bCs/>
        </w:rPr>
        <w:t>not satisfied</w:t>
      </w:r>
      <w:r>
        <w:t xml:space="preserve"> that </w:t>
      </w:r>
      <w:r w:rsidRPr="004E6D44">
        <w:t>the relevant particulars or conditions of the chemical products could be varied in such as way so that the products meet the safety criteria</w:t>
      </w:r>
      <w:r>
        <w:t>,</w:t>
      </w:r>
      <w:bookmarkEnd w:id="415"/>
      <w:r>
        <w:rPr>
          <w:color w:val="000000" w:themeColor="text1"/>
        </w:rPr>
        <w:t xml:space="preserve"> noting that the formulation type is an intrinsic property of these chemical products</w:t>
      </w:r>
      <w:r w:rsidRPr="002D65A3">
        <w:rPr>
          <w:color w:val="000000" w:themeColor="text1"/>
        </w:rPr>
        <w:t>.</w:t>
      </w:r>
      <w:bookmarkEnd w:id="416"/>
      <w:bookmarkEnd w:id="417"/>
    </w:p>
    <w:p w14:paraId="5B7C0363" w14:textId="77777777" w:rsidR="008E67EA" w:rsidRPr="006B5885" w:rsidRDefault="008E67EA" w:rsidP="008E67EA">
      <w:pPr>
        <w:pStyle w:val="StatementofReasonsHeading4"/>
      </w:pPr>
      <w:r>
        <w:t>Safety criteria conclusions</w:t>
      </w:r>
    </w:p>
    <w:p w14:paraId="3F9ADF75" w14:textId="7CB8DF2C" w:rsidR="008E67EA" w:rsidRPr="00E306A2" w:rsidRDefault="008E67EA">
      <w:pPr>
        <w:pStyle w:val="NumberLevel1"/>
        <w:numPr>
          <w:ilvl w:val="0"/>
          <w:numId w:val="46"/>
        </w:numPr>
        <w:rPr>
          <w:color w:val="000000" w:themeColor="text1"/>
        </w:rPr>
      </w:pPr>
      <w:bookmarkStart w:id="418" w:name="_Ref211889824"/>
      <w:r w:rsidRPr="00E306A2">
        <w:rPr>
          <w:color w:val="000000" w:themeColor="text1"/>
        </w:rPr>
        <w:t xml:space="preserve">I am </w:t>
      </w:r>
      <w:r w:rsidRPr="00E306A2">
        <w:rPr>
          <w:b/>
          <w:bCs/>
          <w:color w:val="000000" w:themeColor="text1"/>
        </w:rPr>
        <w:t>not satisfied</w:t>
      </w:r>
      <w:r w:rsidRPr="00E306A2">
        <w:rPr>
          <w:color w:val="000000" w:themeColor="text1"/>
        </w:rPr>
        <w:t xml:space="preserve"> that the </w:t>
      </w:r>
      <w:r>
        <w:rPr>
          <w:color w:val="000000" w:themeColor="text1"/>
        </w:rPr>
        <w:t xml:space="preserve">anticoagulant rodenticide </w:t>
      </w:r>
      <w:r w:rsidRPr="00E306A2">
        <w:rPr>
          <w:color w:val="000000" w:themeColor="text1"/>
        </w:rPr>
        <w:t xml:space="preserve">chemical products </w:t>
      </w:r>
      <w:r>
        <w:rPr>
          <w:color w:val="000000" w:themeColor="text1"/>
        </w:rPr>
        <w:t xml:space="preserve">listed in Attachment A of this notice </w:t>
      </w:r>
      <w:r w:rsidRPr="00E306A2">
        <w:rPr>
          <w:color w:val="000000" w:themeColor="text1"/>
        </w:rPr>
        <w:t xml:space="preserve">meet the safety criteria, nor that the relevant particulars or conditions of the chemical products could be varied in such as way so that the products meet the safety criteria, due to an unacceptable likelihood of an effect that is harmful to </w:t>
      </w:r>
      <w:r>
        <w:rPr>
          <w:color w:val="000000" w:themeColor="text1"/>
        </w:rPr>
        <w:t>human beings</w:t>
      </w:r>
      <w:r w:rsidRPr="00E306A2">
        <w:rPr>
          <w:color w:val="000000" w:themeColor="text1"/>
        </w:rPr>
        <w:t xml:space="preserve"> and/or an unintended effect that is harmful to non-target terrestrial vertebrates.</w:t>
      </w:r>
      <w:bookmarkEnd w:id="418"/>
    </w:p>
    <w:p w14:paraId="337B53F6" w14:textId="77777777" w:rsidR="008E67EA" w:rsidRPr="0071188C" w:rsidRDefault="008E67EA" w:rsidP="008E67EA">
      <w:pPr>
        <w:pStyle w:val="StatementofReasonsHeading2"/>
      </w:pPr>
      <w:bookmarkStart w:id="419" w:name="_Toc216201002"/>
      <w:r>
        <w:t>Label approvals</w:t>
      </w:r>
      <w:bookmarkEnd w:id="419"/>
      <w:r w:rsidRPr="0071188C">
        <w:t xml:space="preserve"> </w:t>
      </w:r>
    </w:p>
    <w:p w14:paraId="1D50D0A6" w14:textId="77777777" w:rsidR="008E67EA" w:rsidRPr="001D74A7" w:rsidRDefault="008E67EA">
      <w:pPr>
        <w:pStyle w:val="NumberLevel1"/>
        <w:numPr>
          <w:ilvl w:val="0"/>
          <w:numId w:val="46"/>
        </w:numPr>
        <w:rPr>
          <w:color w:val="000000" w:themeColor="text1"/>
        </w:rPr>
      </w:pPr>
      <w:r w:rsidRPr="001D74A7">
        <w:rPr>
          <w:color w:val="000000" w:themeColor="text1"/>
        </w:rPr>
        <w:t xml:space="preserve">For the purposes of proposing a course of action in relation to the label approvals listed in Attachment A of this notice, I must determine whether I can affirm the approval of these labels or whether I can vary the relevant particulars and conditions in such a way as to allow the approvals to be affirmed. </w:t>
      </w:r>
      <w:r>
        <w:t>If I do not affirm the</w:t>
      </w:r>
      <w:r w:rsidRPr="00444372">
        <w:t xml:space="preserve"> </w:t>
      </w:r>
      <w:r>
        <w:t>affirm the approval for the labels listed in Attachment A of this notice, I must cancel or suspend the approval of the labels.</w:t>
      </w:r>
    </w:p>
    <w:p w14:paraId="40612056" w14:textId="2887418E" w:rsidR="008E67EA" w:rsidRPr="001D74A7" w:rsidRDefault="008E67EA">
      <w:pPr>
        <w:pStyle w:val="NumberLevel1"/>
        <w:numPr>
          <w:ilvl w:val="0"/>
          <w:numId w:val="46"/>
        </w:numPr>
        <w:rPr>
          <w:color w:val="000000" w:themeColor="text1"/>
        </w:rPr>
      </w:pPr>
      <w:r>
        <w:rPr>
          <w:color w:val="000000" w:themeColor="text1"/>
        </w:rPr>
        <w:t xml:space="preserve">In making a determination on the proposed course of action, </w:t>
      </w:r>
      <w:r w:rsidRPr="00FE0598">
        <w:rPr>
          <w:color w:val="000000" w:themeColor="text1"/>
        </w:rPr>
        <w:t xml:space="preserve">I have considered whether </w:t>
      </w:r>
      <w:r>
        <w:rPr>
          <w:color w:val="000000" w:themeColor="text1"/>
        </w:rPr>
        <w:t>each</w:t>
      </w:r>
      <w:r w:rsidRPr="00FE0598">
        <w:rPr>
          <w:color w:val="000000" w:themeColor="text1"/>
        </w:rPr>
        <w:t xml:space="preserve"> </w:t>
      </w:r>
      <w:r>
        <w:rPr>
          <w:color w:val="000000" w:themeColor="text1"/>
        </w:rPr>
        <w:t>label</w:t>
      </w:r>
      <w:r w:rsidRPr="00FE0598">
        <w:rPr>
          <w:color w:val="000000" w:themeColor="text1"/>
        </w:rPr>
        <w:t xml:space="preserve"> meets the </w:t>
      </w:r>
      <w:r>
        <w:rPr>
          <w:color w:val="000000" w:themeColor="text1"/>
        </w:rPr>
        <w:t>labelling</w:t>
      </w:r>
      <w:r w:rsidRPr="00FE0598">
        <w:rPr>
          <w:color w:val="000000" w:themeColor="text1"/>
        </w:rPr>
        <w:t xml:space="preserve"> criteria</w:t>
      </w:r>
      <w:r>
        <w:rPr>
          <w:color w:val="000000" w:themeColor="text1"/>
        </w:rPr>
        <w:t xml:space="preserve">. Specifically, whether each label contains adequate instructions on the appropriate matters listed in sections 5D(1) of the Agvet Code </w:t>
      </w:r>
      <w:r w:rsidRPr="008400D2">
        <w:rPr>
          <w:color w:val="000000" w:themeColor="text1"/>
        </w:rPr>
        <w:t>to ensure, as far as reasonably practicable, that the product meets the safety criteria</w:t>
      </w:r>
      <w:r>
        <w:rPr>
          <w:color w:val="000000" w:themeColor="text1"/>
        </w:rPr>
        <w:t xml:space="preserve"> (further discussed above in paragraph </w:t>
      </w:r>
      <w:r>
        <w:rPr>
          <w:color w:val="000000" w:themeColor="text1"/>
        </w:rPr>
        <w:fldChar w:fldCharType="begin"/>
      </w:r>
      <w:r>
        <w:rPr>
          <w:color w:val="000000" w:themeColor="text1"/>
        </w:rPr>
        <w:instrText xml:space="preserve"> REF _Ref212898720 \r \h </w:instrText>
      </w:r>
      <w:r>
        <w:rPr>
          <w:color w:val="000000" w:themeColor="text1"/>
        </w:rPr>
      </w:r>
      <w:r>
        <w:rPr>
          <w:color w:val="000000" w:themeColor="text1"/>
        </w:rPr>
        <w:fldChar w:fldCharType="separate"/>
      </w:r>
      <w:r w:rsidR="002C0C2A">
        <w:rPr>
          <w:color w:val="000000" w:themeColor="text1"/>
        </w:rPr>
        <w:t>6</w:t>
      </w:r>
      <w:r>
        <w:rPr>
          <w:color w:val="000000" w:themeColor="text1"/>
        </w:rPr>
        <w:fldChar w:fldCharType="end"/>
      </w:r>
      <w:r>
        <w:rPr>
          <w:color w:val="000000" w:themeColor="text1"/>
        </w:rPr>
        <w:t xml:space="preserve"> of these reasons).</w:t>
      </w:r>
    </w:p>
    <w:p w14:paraId="69224746" w14:textId="074F57A4" w:rsidR="008E67EA" w:rsidRPr="00FA3477" w:rsidRDefault="008E67EA">
      <w:pPr>
        <w:pStyle w:val="NumberLevel2"/>
        <w:numPr>
          <w:ilvl w:val="1"/>
          <w:numId w:val="46"/>
        </w:numPr>
        <w:ind w:left="1134"/>
        <w:rPr>
          <w:color w:val="000000" w:themeColor="text1"/>
        </w:rPr>
      </w:pPr>
      <w:r w:rsidRPr="00784955">
        <w:t>As set out in the ‘</w:t>
      </w:r>
      <w:r w:rsidRPr="00FA3477">
        <w:rPr>
          <w:i/>
          <w:iCs/>
        </w:rPr>
        <w:t>Chemical products’</w:t>
      </w:r>
      <w:r w:rsidRPr="00784955">
        <w:t xml:space="preserve"> (paragraphs</w:t>
      </w:r>
      <w:r>
        <w:t xml:space="preserve"> </w:t>
      </w:r>
      <w:r>
        <w:fldChar w:fldCharType="begin"/>
      </w:r>
      <w:r>
        <w:instrText xml:space="preserve"> REF _Ref211889867 \r \h </w:instrText>
      </w:r>
      <w:r>
        <w:fldChar w:fldCharType="separate"/>
      </w:r>
      <w:r w:rsidR="002C0C2A">
        <w:t>33</w:t>
      </w:r>
      <w:r>
        <w:fldChar w:fldCharType="end"/>
      </w:r>
      <w:r>
        <w:t xml:space="preserve"> </w:t>
      </w:r>
      <w:r w:rsidRPr="00784955">
        <w:t>–</w:t>
      </w:r>
      <w:r>
        <w:t xml:space="preserve"> </w:t>
      </w:r>
      <w:r>
        <w:fldChar w:fldCharType="begin"/>
      </w:r>
      <w:r>
        <w:instrText xml:space="preserve"> REF _Ref211889824 \r \h </w:instrText>
      </w:r>
      <w:r>
        <w:fldChar w:fldCharType="separate"/>
      </w:r>
      <w:r w:rsidR="002C0C2A">
        <w:t>48</w:t>
      </w:r>
      <w:r>
        <w:fldChar w:fldCharType="end"/>
      </w:r>
      <w:r w:rsidRPr="00784955">
        <w:t>) section of these reasons above,</w:t>
      </w:r>
      <w:r w:rsidRPr="00FA3477">
        <w:t xml:space="preserve"> </w:t>
      </w:r>
      <w:r>
        <w:t xml:space="preserve">I am </w:t>
      </w:r>
      <w:r w:rsidRPr="00FA3477">
        <w:rPr>
          <w:b/>
          <w:bCs/>
        </w:rPr>
        <w:t>not satisfied</w:t>
      </w:r>
      <w:r>
        <w:t xml:space="preserve"> that the </w:t>
      </w:r>
      <w:r w:rsidRPr="00FA3477">
        <w:rPr>
          <w:color w:val="000000" w:themeColor="text1"/>
        </w:rPr>
        <w:t xml:space="preserve">anticoagulant chemical products listed an Attachment A of this notice </w:t>
      </w:r>
      <w:r>
        <w:t xml:space="preserve">meet the safety criteria, nor that </w:t>
      </w:r>
      <w:r w:rsidRPr="00FA3477">
        <w:rPr>
          <w:color w:val="000000" w:themeColor="text1"/>
        </w:rPr>
        <w:t>the relevant particulars</w:t>
      </w:r>
      <w:r>
        <w:rPr>
          <w:color w:val="000000" w:themeColor="text1"/>
        </w:rPr>
        <w:t xml:space="preserve"> (including any instruction for use)</w:t>
      </w:r>
      <w:r w:rsidRPr="00FA3477">
        <w:rPr>
          <w:color w:val="000000" w:themeColor="text1"/>
        </w:rPr>
        <w:t xml:space="preserve"> or conditions of the products could be varied in such as way so that the products meet the safety criteria. This is because I consider that the use </w:t>
      </w:r>
      <w:r>
        <w:rPr>
          <w:color w:val="000000" w:themeColor="text1"/>
        </w:rPr>
        <w:t xml:space="preserve">of the product </w:t>
      </w:r>
      <w:r w:rsidRPr="00FA3477">
        <w:rPr>
          <w:color w:val="000000" w:themeColor="text1"/>
        </w:rPr>
        <w:t xml:space="preserve">in accordance with any instructions approved, or to be approved, by the APVMA has an </w:t>
      </w:r>
      <w:r w:rsidRPr="00FA3477">
        <w:rPr>
          <w:b/>
          <w:bCs/>
          <w:color w:val="000000" w:themeColor="text1"/>
        </w:rPr>
        <w:t>unacceptable</w:t>
      </w:r>
      <w:r w:rsidRPr="00FA3477">
        <w:rPr>
          <w:color w:val="000000" w:themeColor="text1"/>
        </w:rPr>
        <w:t xml:space="preserve"> likelihood of an effect that is harmful to </w:t>
      </w:r>
      <w:r>
        <w:rPr>
          <w:color w:val="000000" w:themeColor="text1"/>
        </w:rPr>
        <w:t>human beings</w:t>
      </w:r>
      <w:r w:rsidRPr="00FA3477">
        <w:rPr>
          <w:color w:val="000000" w:themeColor="text1"/>
        </w:rPr>
        <w:t xml:space="preserve"> and/or an unintended effect that is harmful to non-target terrestrial vertebrates.</w:t>
      </w:r>
    </w:p>
    <w:p w14:paraId="631545EF" w14:textId="5B56A36D" w:rsidR="008E67EA" w:rsidRDefault="008E67EA">
      <w:pPr>
        <w:pStyle w:val="NumberLevel2"/>
        <w:numPr>
          <w:ilvl w:val="1"/>
          <w:numId w:val="46"/>
        </w:numPr>
        <w:ind w:left="1134"/>
      </w:pPr>
      <w:r>
        <w:t xml:space="preserve">Based on these chemical product determinations, I consider that adequate label instructions related to the </w:t>
      </w:r>
      <w:r w:rsidRPr="00FA3477">
        <w:t>circumstances in which the product should be used (section 5D(1)(a) of the Agvet Code) and how the product should be used (section 5D(1)(b) of the Agvet Code)</w:t>
      </w:r>
      <w:r>
        <w:t xml:space="preserve"> </w:t>
      </w:r>
      <w:r w:rsidRPr="00F158F7">
        <w:rPr>
          <w:b/>
          <w:bCs/>
        </w:rPr>
        <w:t>cannot</w:t>
      </w:r>
      <w:r>
        <w:t xml:space="preserve"> be established to ensure, as far as reasonably practicable, that the product would not be likely to have an </w:t>
      </w:r>
      <w:r w:rsidRPr="00953D01">
        <w:t xml:space="preserve">effect that is harmful to human </w:t>
      </w:r>
      <w:r>
        <w:t>beings</w:t>
      </w:r>
      <w:r w:rsidRPr="00953D01">
        <w:t xml:space="preserve"> and/or </w:t>
      </w:r>
      <w:r>
        <w:t xml:space="preserve">would not be likely to have </w:t>
      </w:r>
      <w:r w:rsidRPr="00953D01">
        <w:t>an unintended effect that is harmful to non-target terrestrial vertebrates</w:t>
      </w:r>
      <w:r>
        <w:t>.</w:t>
      </w:r>
    </w:p>
    <w:p w14:paraId="4228C52E" w14:textId="187B3568" w:rsidR="008E67EA" w:rsidRDefault="008E67EA">
      <w:pPr>
        <w:pStyle w:val="NumberLevel1"/>
        <w:numPr>
          <w:ilvl w:val="0"/>
          <w:numId w:val="46"/>
        </w:numPr>
      </w:pPr>
      <w:r>
        <w:t>Therefore, for the label approvals listed in Attachment A of these reasons, I a</w:t>
      </w:r>
      <w:r>
        <w:rPr>
          <w:color w:val="000000" w:themeColor="text1"/>
        </w:rPr>
        <w:t xml:space="preserve">m </w:t>
      </w:r>
      <w:r w:rsidRPr="00484BEA">
        <w:rPr>
          <w:b/>
          <w:bCs/>
          <w:color w:val="000000" w:themeColor="text1"/>
        </w:rPr>
        <w:t>not satisfied</w:t>
      </w:r>
      <w:r>
        <w:rPr>
          <w:color w:val="000000" w:themeColor="text1"/>
        </w:rPr>
        <w:t xml:space="preserve"> that the labels meet the labelling criteria as </w:t>
      </w:r>
      <w:r>
        <w:t xml:space="preserve">I am </w:t>
      </w:r>
      <w:r w:rsidRPr="00953D01">
        <w:rPr>
          <w:b/>
          <w:bCs/>
        </w:rPr>
        <w:t>not satisfied</w:t>
      </w:r>
      <w:r>
        <w:t xml:space="preserve"> that the current instructions on the label are adequate </w:t>
      </w:r>
      <w:r w:rsidRPr="008400D2">
        <w:rPr>
          <w:color w:val="000000" w:themeColor="text1"/>
        </w:rPr>
        <w:t xml:space="preserve">to ensure, as far </w:t>
      </w:r>
      <w:r w:rsidRPr="008400D2">
        <w:rPr>
          <w:color w:val="000000" w:themeColor="text1"/>
        </w:rPr>
        <w:lastRenderedPageBreak/>
        <w:t>as reasonably practicable, that the product meets the safety criteria</w:t>
      </w:r>
      <w:r>
        <w:t>. Further, as I</w:t>
      </w:r>
      <w:r w:rsidRPr="00484BEA">
        <w:rPr>
          <w:b/>
          <w:bCs/>
        </w:rPr>
        <w:t xml:space="preserve"> </w:t>
      </w:r>
      <w:r>
        <w:t xml:space="preserve">consider that adequate label instructions related to the </w:t>
      </w:r>
      <w:r w:rsidRPr="00FA3477">
        <w:t>circumstances in which the product should be used (section 5D(1)(a) of the Agvet Code) and how the product should be used (section 5D(1)(b) of the Agvet Code)</w:t>
      </w:r>
      <w:r>
        <w:t xml:space="preserve"> </w:t>
      </w:r>
      <w:r w:rsidRPr="00484BEA">
        <w:rPr>
          <w:b/>
          <w:bCs/>
        </w:rPr>
        <w:t>cannot</w:t>
      </w:r>
      <w:r>
        <w:t xml:space="preserve"> be established, I am </w:t>
      </w:r>
      <w:r w:rsidRPr="00484BEA">
        <w:rPr>
          <w:b/>
          <w:bCs/>
        </w:rPr>
        <w:t>not satisfied</w:t>
      </w:r>
      <w:r>
        <w:t xml:space="preserve"> that relevant particulars or conditions of the label approvals can be varied so the labels meet the labelling criteria.</w:t>
      </w:r>
    </w:p>
    <w:p w14:paraId="31214A02" w14:textId="77777777" w:rsidR="008E67EA" w:rsidRDefault="008E67EA">
      <w:pPr>
        <w:pStyle w:val="NumberLevel1"/>
        <w:numPr>
          <w:ilvl w:val="0"/>
          <w:numId w:val="46"/>
        </w:numPr>
      </w:pPr>
      <w:r>
        <w:t xml:space="preserve">Finally, given that I have determined that I </w:t>
      </w:r>
      <w:r w:rsidRPr="00484BEA">
        <w:rPr>
          <w:b/>
          <w:bCs/>
        </w:rPr>
        <w:t>cannot affirm</w:t>
      </w:r>
      <w:r>
        <w:t xml:space="preserve"> the approval of the labels listed in Attachment A of these reasons based on only my consideration of instructions related to the </w:t>
      </w:r>
      <w:r w:rsidRPr="00E57CAD">
        <w:t>circumstances in which the product should be used (section 5D(1)(a) of the Agvet Code) and how the product should be used (section 5D(1)(b) of the Agvet Code)</w:t>
      </w:r>
      <w:r>
        <w:t xml:space="preserve">, I have not had further regard to whether a label contains adequate instructions related to remaining matters listed in sections 5D(1) of the Agvet Code, nor whether the label complies with </w:t>
      </w:r>
      <w:r w:rsidRPr="00FE0598">
        <w:t>any requirement prescribed by the regulations</w:t>
      </w:r>
      <w:r>
        <w:t>.</w:t>
      </w:r>
    </w:p>
    <w:p w14:paraId="6520EF76" w14:textId="75352E72" w:rsidR="008E67EA" w:rsidRPr="00B418E9" w:rsidRDefault="008E67EA" w:rsidP="008E67EA">
      <w:pPr>
        <w:pStyle w:val="StatementofReasonsHeading1"/>
      </w:pPr>
      <w:bookmarkStart w:id="420" w:name="_Toc216201003"/>
      <w:r w:rsidRPr="00B418E9">
        <w:t>C</w:t>
      </w:r>
      <w:r w:rsidR="0071188C" w:rsidRPr="00B418E9">
        <w:t>onclusion</w:t>
      </w:r>
      <w:r w:rsidR="0071188C">
        <w:t>s</w:t>
      </w:r>
      <w:bookmarkEnd w:id="420"/>
    </w:p>
    <w:p w14:paraId="3B8F7FAC" w14:textId="1443C147" w:rsidR="008E67EA" w:rsidRPr="00D27DD3" w:rsidRDefault="008E67EA">
      <w:pPr>
        <w:pStyle w:val="NumberLevel1"/>
        <w:numPr>
          <w:ilvl w:val="0"/>
          <w:numId w:val="46"/>
        </w:numPr>
        <w:rPr>
          <w:color w:val="000000" w:themeColor="text1"/>
        </w:rPr>
      </w:pPr>
      <w:r>
        <w:t xml:space="preserve">I am </w:t>
      </w:r>
      <w:r w:rsidRPr="00D27DD3">
        <w:rPr>
          <w:b/>
          <w:bCs/>
        </w:rPr>
        <w:t>not satisfied</w:t>
      </w:r>
      <w:r>
        <w:t xml:space="preserve"> that the chemical products </w:t>
      </w:r>
      <w:r w:rsidRPr="00A00B7E">
        <w:t>listed in Attachment A of this notice</w:t>
      </w:r>
      <w:r w:rsidRPr="00F36C07">
        <w:t xml:space="preserve"> </w:t>
      </w:r>
      <w:r>
        <w:t xml:space="preserve">meet the safety criteria, nor that </w:t>
      </w:r>
      <w:r w:rsidRPr="00D27DD3">
        <w:rPr>
          <w:color w:val="000000" w:themeColor="text1"/>
        </w:rPr>
        <w:t>the relevant particulars or conditions of the product</w:t>
      </w:r>
      <w:r>
        <w:rPr>
          <w:color w:val="000000" w:themeColor="text1"/>
        </w:rPr>
        <w:t xml:space="preserve"> registration</w:t>
      </w:r>
      <w:r w:rsidRPr="00D27DD3">
        <w:rPr>
          <w:color w:val="000000" w:themeColor="text1"/>
        </w:rPr>
        <w:t>s could be varied in such as way so that the products meet the safety criteria</w:t>
      </w:r>
      <w:r>
        <w:rPr>
          <w:color w:val="000000" w:themeColor="text1"/>
        </w:rPr>
        <w:t xml:space="preserve"> so as to allow the registrations to be affirmed. This is</w:t>
      </w:r>
      <w:r w:rsidRPr="00D27DD3">
        <w:rPr>
          <w:color w:val="000000" w:themeColor="text1"/>
        </w:rPr>
        <w:t xml:space="preserve"> due to an unacceptable likelihood of an effect that is harmful to </w:t>
      </w:r>
      <w:r>
        <w:rPr>
          <w:color w:val="000000" w:themeColor="text1"/>
        </w:rPr>
        <w:t>human beings</w:t>
      </w:r>
      <w:r w:rsidRPr="00D27DD3">
        <w:rPr>
          <w:color w:val="000000" w:themeColor="text1"/>
        </w:rPr>
        <w:t xml:space="preserve"> and/or an unintended effect that is harmful to non-target terrestrial vertebrates.</w:t>
      </w:r>
    </w:p>
    <w:p w14:paraId="0B21C25A" w14:textId="77777777" w:rsidR="008E67EA" w:rsidRPr="00D27DD3" w:rsidRDefault="008E67EA">
      <w:pPr>
        <w:pStyle w:val="NumberLevel1"/>
        <w:numPr>
          <w:ilvl w:val="0"/>
          <w:numId w:val="46"/>
        </w:numPr>
      </w:pPr>
      <w:r>
        <w:t xml:space="preserve">I </w:t>
      </w:r>
      <w:r w:rsidRPr="00D27DD3">
        <w:t xml:space="preserve">am </w:t>
      </w:r>
      <w:r w:rsidRPr="00D27DD3">
        <w:rPr>
          <w:b/>
          <w:bCs/>
        </w:rPr>
        <w:t xml:space="preserve">not satisfied </w:t>
      </w:r>
      <w:r w:rsidRPr="00D27DD3">
        <w:t xml:space="preserve">that the labels </w:t>
      </w:r>
      <w:r>
        <w:t>listed in Attachment A of this notice</w:t>
      </w:r>
      <w:r w:rsidRPr="00D27DD3">
        <w:t xml:space="preserve"> meet the labelling criteria, nor that the relevant particulars or conditions of the label</w:t>
      </w:r>
      <w:r>
        <w:t xml:space="preserve"> approval</w:t>
      </w:r>
      <w:r w:rsidRPr="00D27DD3">
        <w:t>s could be varied in such as way so that the labels meet the labelling criteria</w:t>
      </w:r>
      <w:r>
        <w:t xml:space="preserve"> so as to allow the approvals to be affirmed</w:t>
      </w:r>
      <w:r w:rsidRPr="00D27DD3">
        <w:t>.</w:t>
      </w:r>
    </w:p>
    <w:p w14:paraId="2929BA82" w14:textId="065A8FFF" w:rsidR="008E67EA" w:rsidRDefault="008E67EA">
      <w:pPr>
        <w:pStyle w:val="NumberLevel1"/>
        <w:numPr>
          <w:ilvl w:val="0"/>
          <w:numId w:val="46"/>
        </w:numPr>
      </w:pPr>
      <w:r>
        <w:t>Therefore, pursuant to section 34AA of the Agvet Code, I propose to:</w:t>
      </w:r>
    </w:p>
    <w:p w14:paraId="40E4CF77" w14:textId="5B52DCE3" w:rsidR="008E67EA" w:rsidRPr="00825CB4" w:rsidRDefault="008E67EA">
      <w:pPr>
        <w:pStyle w:val="NumberLevel2"/>
        <w:numPr>
          <w:ilvl w:val="1"/>
          <w:numId w:val="46"/>
        </w:numPr>
        <w:ind w:left="1134"/>
        <w:rPr>
          <w:color w:val="000000" w:themeColor="text1"/>
        </w:rPr>
      </w:pPr>
      <w:r w:rsidRPr="00825CB4">
        <w:rPr>
          <w:b/>
          <w:bCs/>
          <w:color w:val="000000" w:themeColor="text1"/>
        </w:rPr>
        <w:t>cancel</w:t>
      </w:r>
      <w:r w:rsidRPr="00825CB4">
        <w:rPr>
          <w:color w:val="000000" w:themeColor="text1"/>
        </w:rPr>
        <w:t xml:space="preserve"> the chemical product registrations listed in Attachment A of this notice on the basis that I have not affirmed the chemical products registrations, and I do not consider that the that suspension for a stated period of time is a viable pathway to resolve the potential safety risks to human beings and/or non-target terrestrial vertebrates.</w:t>
      </w:r>
    </w:p>
    <w:p w14:paraId="6512B1D4" w14:textId="77777777" w:rsidR="0071188C" w:rsidRDefault="008E67EA">
      <w:pPr>
        <w:pStyle w:val="NumberLevel2"/>
        <w:numPr>
          <w:ilvl w:val="1"/>
          <w:numId w:val="46"/>
        </w:numPr>
        <w:ind w:left="1134"/>
        <w:rPr>
          <w:color w:val="000000" w:themeColor="text1"/>
        </w:rPr>
        <w:sectPr w:rsidR="0071188C" w:rsidSect="00CB73E0">
          <w:headerReference w:type="even" r:id="rId59"/>
          <w:pgSz w:w="11906" w:h="16838"/>
          <w:pgMar w:top="1440" w:right="1134" w:bottom="1440" w:left="1134" w:header="794" w:footer="737" w:gutter="0"/>
          <w:cols w:space="708"/>
          <w:docGrid w:linePitch="360"/>
        </w:sectPr>
      </w:pPr>
      <w:r w:rsidRPr="0071188C">
        <w:rPr>
          <w:b/>
          <w:bCs/>
          <w:color w:val="000000" w:themeColor="text1"/>
        </w:rPr>
        <w:t>cancel</w:t>
      </w:r>
      <w:r w:rsidRPr="0071188C">
        <w:rPr>
          <w:color w:val="000000" w:themeColor="text1"/>
        </w:rPr>
        <w:t xml:space="preserve"> the label approvals listed in Attachment A of this notice on the basis that I have not affirmed the label approvals, and I do not consider that suspension for a stated period of time is a viable pathway to resolve the inadequacy of instructions on labels.</w:t>
      </w:r>
    </w:p>
    <w:p w14:paraId="1F475710" w14:textId="77777777" w:rsidR="008E67EA" w:rsidRPr="00D4624B" w:rsidRDefault="008E67EA" w:rsidP="00D4624B">
      <w:pPr>
        <w:pStyle w:val="GazetteHeading1"/>
      </w:pPr>
      <w:bookmarkStart w:id="421" w:name="_Toc216282371"/>
      <w:r w:rsidRPr="00D4624B">
        <w:lastRenderedPageBreak/>
        <w:t>Attachment C: Information on which the reasons are based</w:t>
      </w:r>
      <w:bookmarkEnd w:id="421"/>
    </w:p>
    <w:p w14:paraId="0EE3C959" w14:textId="77777777" w:rsidR="008E67EA" w:rsidRPr="00011C46" w:rsidRDefault="008E67EA" w:rsidP="008E67EA">
      <w:pPr>
        <w:pStyle w:val="GazetteNormalText"/>
      </w:pPr>
      <w:r w:rsidRPr="00011C46">
        <w:t>The</w:t>
      </w:r>
      <w:r w:rsidRPr="00011C46">
        <w:rPr>
          <w:sz w:val="22"/>
        </w:rPr>
        <w:t xml:space="preserve"> </w:t>
      </w:r>
      <w:r w:rsidRPr="00011C46">
        <w:rPr>
          <w:rFonts w:hAnsi="Arial"/>
        </w:rPr>
        <w:t>information on which the reasons</w:t>
      </w:r>
      <w:r w:rsidRPr="00011C46">
        <w:t xml:space="preserve"> in the draft statement of reasons for proposed course of action</w:t>
      </w:r>
      <w:r w:rsidRPr="00011C46">
        <w:rPr>
          <w:rFonts w:hAnsi="Arial"/>
        </w:rPr>
        <w:t xml:space="preserve"> are </w:t>
      </w:r>
      <w:r w:rsidRPr="00011C46">
        <w:t>set out below.</w:t>
      </w:r>
    </w:p>
    <w:p w14:paraId="53B00837" w14:textId="4CFF981D" w:rsidR="008E67EA" w:rsidRPr="000B255E" w:rsidRDefault="008E67EA">
      <w:pPr>
        <w:pStyle w:val="GazetteListNumbered"/>
        <w:numPr>
          <w:ilvl w:val="0"/>
          <w:numId w:val="47"/>
        </w:numPr>
        <w:ind w:left="357" w:hanging="357"/>
      </w:pPr>
      <w:r>
        <w:t xml:space="preserve">Information provided to the APVMA in response </w:t>
      </w:r>
      <w:r w:rsidRPr="000B255E">
        <w:t xml:space="preserve">to notices </w:t>
      </w:r>
      <w:bookmarkStart w:id="422" w:name="_Hlk216083232"/>
      <w:r>
        <w:t>as</w:t>
      </w:r>
      <w:r w:rsidRPr="000B255E">
        <w:t xml:space="preserve"> listed in </w:t>
      </w:r>
      <w:r>
        <w:t xml:space="preserve">the </w:t>
      </w:r>
      <w:hyperlink r:id="rId60" w:history="1">
        <w:r w:rsidRPr="00477E90">
          <w:rPr>
            <w:rStyle w:val="Hyperlink"/>
          </w:rPr>
          <w:t>Anticoagulant Rodenticides Data List</w:t>
        </w:r>
      </w:hyperlink>
      <w:r w:rsidRPr="000B255E">
        <w:t xml:space="preserve"> and cited in the </w:t>
      </w:r>
      <w:r>
        <w:t>R</w:t>
      </w:r>
      <w:r w:rsidRPr="000B255E">
        <w:t xml:space="preserve">eview </w:t>
      </w:r>
      <w:r>
        <w:t>T</w:t>
      </w:r>
      <w:r w:rsidRPr="000B255E">
        <w:t xml:space="preserve">echnical </w:t>
      </w:r>
      <w:r>
        <w:t>R</w:t>
      </w:r>
      <w:r w:rsidRPr="000B255E">
        <w:t xml:space="preserve">eport, noting that </w:t>
      </w:r>
      <w:r>
        <w:t xml:space="preserve">Confidential Commercial Information </w:t>
      </w:r>
      <w:r w:rsidRPr="000B255E">
        <w:t xml:space="preserve">restrictions limit access to </w:t>
      </w:r>
      <w:r>
        <w:t xml:space="preserve">some of </w:t>
      </w:r>
      <w:r w:rsidRPr="000B255E">
        <w:t>these data</w:t>
      </w:r>
      <w:bookmarkEnd w:id="422"/>
      <w:r w:rsidRPr="000B255E">
        <w:t>:</w:t>
      </w:r>
    </w:p>
    <w:p w14:paraId="2337F841" w14:textId="4FF626C0" w:rsidR="008E67EA" w:rsidRDefault="008E67EA" w:rsidP="00011C46">
      <w:pPr>
        <w:pStyle w:val="GazetteListNumbered"/>
        <w:numPr>
          <w:ilvl w:val="1"/>
          <w:numId w:val="1"/>
        </w:numPr>
      </w:pPr>
      <w:r>
        <w:t>Issued to holders of anticoagulant rodenticide approvals and registrations on 21 November 2021 and 17 March 2025 under section 32 of the Agvet Code.</w:t>
      </w:r>
    </w:p>
    <w:p w14:paraId="353B9A06" w14:textId="193CEF27" w:rsidR="008E67EA" w:rsidRDefault="008E67EA" w:rsidP="00011C46">
      <w:pPr>
        <w:pStyle w:val="GazetteListNumbered"/>
        <w:numPr>
          <w:ilvl w:val="1"/>
          <w:numId w:val="1"/>
        </w:numPr>
      </w:pPr>
      <w:r>
        <w:t>Published in the APVMA Gazette on 21 November 2021 under section 32 of the Agvet Code.</w:t>
      </w:r>
    </w:p>
    <w:p w14:paraId="4A90ABCD" w14:textId="77777777" w:rsidR="008E67EA" w:rsidRDefault="008E67EA" w:rsidP="00011C46">
      <w:pPr>
        <w:pStyle w:val="GazetteListNumbered"/>
        <w:numPr>
          <w:ilvl w:val="1"/>
          <w:numId w:val="1"/>
        </w:numPr>
      </w:pPr>
      <w:r w:rsidRPr="009F14CD">
        <w:t xml:space="preserve">Issued to </w:t>
      </w:r>
      <w:r>
        <w:t xml:space="preserve">holders of anticoagulant rodenticide approvals and registrations </w:t>
      </w:r>
      <w:r w:rsidRPr="009F14CD">
        <w:t xml:space="preserve">under section 33 of the Agvet Code on </w:t>
      </w:r>
      <w:r>
        <w:t>28 November 2022, 27 June 2024 and 4 July 2024.</w:t>
      </w:r>
    </w:p>
    <w:p w14:paraId="2B1BA639" w14:textId="77777777" w:rsidR="008E67EA" w:rsidRDefault="008E67EA" w:rsidP="00011C46">
      <w:pPr>
        <w:pStyle w:val="GazetteListNumbered"/>
        <w:ind w:left="357" w:hanging="357"/>
      </w:pPr>
      <w:r>
        <w:t xml:space="preserve">The APVMA records for the registration of relevant products and approval of relevant labels, including information submitted and assessed at the time of registration and approval. </w:t>
      </w:r>
    </w:p>
    <w:p w14:paraId="5EC4AEDF" w14:textId="77777777" w:rsidR="008E67EA" w:rsidRDefault="008E67EA" w:rsidP="00011C46">
      <w:pPr>
        <w:pStyle w:val="GazetteListNumbered"/>
        <w:ind w:left="357" w:hanging="357"/>
      </w:pPr>
      <w:r>
        <w:t>Information assessed by the APVMA and summarised in the following published report:</w:t>
      </w:r>
    </w:p>
    <w:p w14:paraId="3A759CDE" w14:textId="4E1E0F17" w:rsidR="008E67EA" w:rsidRDefault="008E67EA" w:rsidP="00011C46">
      <w:pPr>
        <w:pStyle w:val="GazetteListNumbered"/>
        <w:numPr>
          <w:ilvl w:val="1"/>
          <w:numId w:val="1"/>
        </w:numPr>
      </w:pPr>
      <w:r>
        <w:t xml:space="preserve">Anticoagulant Rodenticides </w:t>
      </w:r>
      <w:hyperlink r:id="rId61" w:history="1">
        <w:r w:rsidRPr="00477E90">
          <w:rPr>
            <w:rStyle w:val="Hyperlink"/>
          </w:rPr>
          <w:t>Review Technical Report</w:t>
        </w:r>
      </w:hyperlink>
      <w:r>
        <w:t xml:space="preserve"> </w:t>
      </w:r>
    </w:p>
    <w:p w14:paraId="4D0FD427" w14:textId="77777777" w:rsidR="008E67EA" w:rsidRDefault="008E67EA" w:rsidP="00011C46">
      <w:pPr>
        <w:pStyle w:val="GazetteListNumbered"/>
        <w:ind w:left="357" w:hanging="357"/>
      </w:pPr>
      <w:r>
        <w:t>Information assessed by the APVMA in the following unpublished reports (these are internal APVMA reports which include confidential commercial information belonging to multiple parties):</w:t>
      </w:r>
    </w:p>
    <w:p w14:paraId="734ABE65" w14:textId="77777777" w:rsidR="008E67EA" w:rsidRDefault="008E67EA" w:rsidP="00011C46">
      <w:pPr>
        <w:pStyle w:val="GazetteListNumbered"/>
        <w:numPr>
          <w:ilvl w:val="1"/>
          <w:numId w:val="1"/>
        </w:numPr>
      </w:pPr>
      <w:r>
        <w:t xml:space="preserve">Anticoagulant rodenticides </w:t>
      </w:r>
      <w:r>
        <w:t>–</w:t>
      </w:r>
      <w:r>
        <w:t xml:space="preserve"> chemistry and manufacture</w:t>
      </w:r>
      <w:r w:rsidRPr="00EC3B14">
        <w:t xml:space="preserve"> </w:t>
      </w:r>
      <w:r>
        <w:t xml:space="preserve">risk </w:t>
      </w:r>
      <w:r w:rsidRPr="00EC3B14">
        <w:t>assessment</w:t>
      </w:r>
      <w:r>
        <w:t xml:space="preserve"> (Ref: </w:t>
      </w:r>
      <w:r w:rsidRPr="00E14A32">
        <w:t>A3652378</w:t>
      </w:r>
      <w:r>
        <w:t xml:space="preserve">, </w:t>
      </w:r>
      <w:r w:rsidRPr="00E14A32">
        <w:t>A3537438</w:t>
      </w:r>
      <w:r>
        <w:t>)</w:t>
      </w:r>
    </w:p>
    <w:p w14:paraId="15772DEB" w14:textId="77777777" w:rsidR="008E67EA" w:rsidRDefault="008E67EA" w:rsidP="00011C46">
      <w:pPr>
        <w:pStyle w:val="GazetteListNumbered"/>
        <w:numPr>
          <w:ilvl w:val="1"/>
          <w:numId w:val="1"/>
        </w:numPr>
      </w:pPr>
      <w:r>
        <w:t xml:space="preserve">Anticoagulant rodenticides </w:t>
      </w:r>
      <w:r>
        <w:t>–</w:t>
      </w:r>
      <w:r>
        <w:t xml:space="preserve"> h</w:t>
      </w:r>
      <w:r w:rsidRPr="00EC3B14">
        <w:t>uman health risk assessment</w:t>
      </w:r>
      <w:r>
        <w:t xml:space="preserve"> (Ref: </w:t>
      </w:r>
      <w:r w:rsidRPr="00E14A32">
        <w:t>A3429050</w:t>
      </w:r>
      <w:r>
        <w:t>)</w:t>
      </w:r>
    </w:p>
    <w:p w14:paraId="1829425A" w14:textId="77777777" w:rsidR="008E67EA" w:rsidRDefault="008E67EA" w:rsidP="00011C46">
      <w:pPr>
        <w:pStyle w:val="GazetteListNumbered"/>
        <w:numPr>
          <w:ilvl w:val="1"/>
          <w:numId w:val="1"/>
        </w:numPr>
      </w:pPr>
      <w:r w:rsidRPr="00EC3B14">
        <w:t xml:space="preserve">Anticoagulant rodenticides </w:t>
      </w:r>
      <w:r>
        <w:t>–</w:t>
      </w:r>
      <w:r>
        <w:t xml:space="preserve"> fate and behaviour in the environment (Ref: </w:t>
      </w:r>
      <w:r w:rsidRPr="00E14A32">
        <w:t>A3217354</w:t>
      </w:r>
      <w:r>
        <w:t>)</w:t>
      </w:r>
    </w:p>
    <w:p w14:paraId="01E33018" w14:textId="77777777" w:rsidR="008E67EA" w:rsidRDefault="008E67EA" w:rsidP="00011C46">
      <w:pPr>
        <w:pStyle w:val="GazetteListNumbered"/>
        <w:numPr>
          <w:ilvl w:val="1"/>
          <w:numId w:val="1"/>
        </w:numPr>
      </w:pPr>
      <w:r w:rsidRPr="00EC3B14">
        <w:t xml:space="preserve">Anticoagulant rodenticides </w:t>
      </w:r>
      <w:r>
        <w:t>–</w:t>
      </w:r>
      <w:r>
        <w:t xml:space="preserve"> effects on non-target species (Ref: </w:t>
      </w:r>
      <w:r w:rsidRPr="00E14A32">
        <w:t>A3218224</w:t>
      </w:r>
      <w:r>
        <w:t>)</w:t>
      </w:r>
    </w:p>
    <w:p w14:paraId="03B8C172" w14:textId="77777777" w:rsidR="008E67EA" w:rsidRDefault="008E67EA" w:rsidP="00011C46">
      <w:pPr>
        <w:pStyle w:val="GazetteListNumbered"/>
        <w:numPr>
          <w:ilvl w:val="1"/>
          <w:numId w:val="1"/>
        </w:numPr>
      </w:pPr>
      <w:r w:rsidRPr="00EC3B14">
        <w:t xml:space="preserve">Anticoagulant rodenticides </w:t>
      </w:r>
      <w:r>
        <w:t>–</w:t>
      </w:r>
      <w:r>
        <w:t xml:space="preserve"> environment assessment report (Ref: </w:t>
      </w:r>
      <w:r w:rsidRPr="00E14A32">
        <w:t>A2913026</w:t>
      </w:r>
      <w:r>
        <w:t>)</w:t>
      </w:r>
    </w:p>
    <w:p w14:paraId="61E1D2C9" w14:textId="77777777" w:rsidR="008E67EA" w:rsidRDefault="008E67EA" w:rsidP="00011C46">
      <w:pPr>
        <w:pStyle w:val="GazetteListNumbered"/>
        <w:ind w:left="357" w:hanging="357"/>
      </w:pPr>
      <w:r>
        <w:t>The relevant provisions of the Agvet Code and instruments under that Code, in particular those set out in the tables below:</w:t>
      </w:r>
    </w:p>
    <w:p w14:paraId="2F604579" w14:textId="2368DB47" w:rsidR="008E67EA" w:rsidRPr="00BD0F4B" w:rsidRDefault="008E67EA" w:rsidP="008E67EA">
      <w:pPr>
        <w:pStyle w:val="StatementofReasonsTableCaption"/>
        <w:ind w:left="567"/>
      </w:pPr>
      <w:r w:rsidRPr="00BD0F4B">
        <w:t>Table C</w:t>
      </w:r>
      <w:r w:rsidRPr="00BD0F4B">
        <w:fldChar w:fldCharType="begin"/>
      </w:r>
      <w:r w:rsidRPr="00BD0F4B">
        <w:instrText xml:space="preserve"> SEQ Table_A \* ARABIC </w:instrText>
      </w:r>
      <w:r w:rsidRPr="00BD0F4B">
        <w:fldChar w:fldCharType="separate"/>
      </w:r>
      <w:r w:rsidR="002C0C2A">
        <w:rPr>
          <w:noProof/>
        </w:rPr>
        <w:t>7</w:t>
      </w:r>
      <w:r w:rsidRPr="00BD0F4B">
        <w:fldChar w:fldCharType="end"/>
      </w:r>
      <w:r w:rsidRPr="00BD0F4B">
        <w:t xml:space="preserve">: </w:t>
      </w:r>
      <w:r w:rsidRPr="00BD0F4B">
        <w:rPr>
          <w:i/>
          <w:iCs w:val="0"/>
        </w:rPr>
        <w:t>Agricultural and Veterinary Chemicals Code Act 1994</w:t>
      </w:r>
    </w:p>
    <w:tbl>
      <w:tblPr>
        <w:tblStyle w:val="TableGrid"/>
        <w:tblW w:w="4490" w:type="pct"/>
        <w:tblInd w:w="562" w:type="dxa"/>
        <w:shd w:val="clear" w:color="auto" w:fill="D9D9D9" w:themeFill="background1" w:themeFillShade="D9"/>
        <w:tblLook w:val="04A0" w:firstRow="1" w:lastRow="0" w:firstColumn="1" w:lastColumn="0" w:noHBand="0" w:noVBand="1"/>
      </w:tblPr>
      <w:tblGrid>
        <w:gridCol w:w="1702"/>
        <w:gridCol w:w="6944"/>
      </w:tblGrid>
      <w:tr w:rsidR="008E67EA" w14:paraId="5C496F42" w14:textId="77777777" w:rsidTr="00B44A74">
        <w:trPr>
          <w:tblHeader/>
        </w:trPr>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56030F" w14:textId="77777777" w:rsidR="008E67EA" w:rsidRPr="00BD0F4B" w:rsidRDefault="008E67EA" w:rsidP="00B44A74">
            <w:pPr>
              <w:pStyle w:val="GazetteTableHeading"/>
            </w:pPr>
            <w:r w:rsidRPr="00BD0F4B">
              <w:t>Section</w:t>
            </w:r>
          </w:p>
        </w:tc>
        <w:tc>
          <w:tcPr>
            <w:tcW w:w="401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C01098" w14:textId="77777777" w:rsidR="008E67EA" w:rsidRPr="00BD0F4B" w:rsidRDefault="008E67EA" w:rsidP="00B44A74">
            <w:pPr>
              <w:pStyle w:val="GazetteTableHeading"/>
            </w:pPr>
            <w:r w:rsidRPr="00BD0F4B">
              <w:t>Section Heading</w:t>
            </w:r>
          </w:p>
        </w:tc>
      </w:tr>
      <w:tr w:rsidR="008E67EA" w14:paraId="1825A408"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tcPr>
          <w:p w14:paraId="083E213B" w14:textId="77777777" w:rsidR="008E67EA" w:rsidRDefault="008E67EA" w:rsidP="00B44A74">
            <w:pPr>
              <w:pStyle w:val="GazetteTableText"/>
              <w:rPr>
                <w:b/>
                <w:bCs/>
                <w:sz w:val="18"/>
                <w:szCs w:val="20"/>
              </w:rPr>
            </w:pPr>
            <w:r>
              <w:rPr>
                <w:b/>
                <w:color w:val="000000" w:themeColor="text1"/>
                <w:sz w:val="18"/>
                <w:szCs w:val="22"/>
              </w:rPr>
              <w:t>3</w:t>
            </w:r>
          </w:p>
        </w:tc>
        <w:tc>
          <w:tcPr>
            <w:tcW w:w="4016" w:type="pct"/>
            <w:tcBorders>
              <w:top w:val="single" w:sz="4" w:space="0" w:color="auto"/>
              <w:left w:val="single" w:sz="4" w:space="0" w:color="auto"/>
              <w:bottom w:val="single" w:sz="4" w:space="0" w:color="auto"/>
              <w:right w:val="single" w:sz="4" w:space="0" w:color="auto"/>
            </w:tcBorders>
          </w:tcPr>
          <w:p w14:paraId="528D7746" w14:textId="77777777" w:rsidR="008E67EA" w:rsidRDefault="008E67EA" w:rsidP="00B44A74">
            <w:pPr>
              <w:pStyle w:val="GazetteTableText"/>
              <w:rPr>
                <w:sz w:val="18"/>
                <w:szCs w:val="20"/>
              </w:rPr>
            </w:pPr>
            <w:r>
              <w:rPr>
                <w:color w:val="000000" w:themeColor="text1"/>
                <w:sz w:val="18"/>
                <w:szCs w:val="19"/>
              </w:rPr>
              <w:t>Definitions</w:t>
            </w:r>
          </w:p>
        </w:tc>
      </w:tr>
      <w:tr w:rsidR="008E67EA" w14:paraId="01B43F28"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tcPr>
          <w:p w14:paraId="77127416" w14:textId="77777777" w:rsidR="008E67EA" w:rsidRDefault="008E67EA" w:rsidP="00B44A74">
            <w:pPr>
              <w:pStyle w:val="GazetteTableText"/>
              <w:rPr>
                <w:b/>
                <w:bCs/>
                <w:sz w:val="18"/>
                <w:szCs w:val="20"/>
              </w:rPr>
            </w:pPr>
            <w:r>
              <w:rPr>
                <w:b/>
                <w:bCs/>
                <w:color w:val="000000" w:themeColor="text1"/>
                <w:sz w:val="18"/>
                <w:szCs w:val="22"/>
              </w:rPr>
              <w:t>5A</w:t>
            </w:r>
          </w:p>
        </w:tc>
        <w:tc>
          <w:tcPr>
            <w:tcW w:w="4016" w:type="pct"/>
            <w:tcBorders>
              <w:top w:val="single" w:sz="4" w:space="0" w:color="auto"/>
              <w:left w:val="single" w:sz="4" w:space="0" w:color="auto"/>
              <w:bottom w:val="single" w:sz="4" w:space="0" w:color="auto"/>
              <w:right w:val="single" w:sz="4" w:space="0" w:color="auto"/>
            </w:tcBorders>
          </w:tcPr>
          <w:p w14:paraId="19FC5E24" w14:textId="77777777" w:rsidR="008E67EA" w:rsidRDefault="008E67EA" w:rsidP="00B44A74">
            <w:pPr>
              <w:pStyle w:val="GazetteTableText"/>
              <w:rPr>
                <w:sz w:val="18"/>
                <w:szCs w:val="20"/>
              </w:rPr>
            </w:pPr>
            <w:r>
              <w:rPr>
                <w:color w:val="000000" w:themeColor="text1"/>
                <w:sz w:val="18"/>
                <w:szCs w:val="19"/>
              </w:rPr>
              <w:t xml:space="preserve">Definition of </w:t>
            </w:r>
            <w:r>
              <w:rPr>
                <w:i/>
                <w:color w:val="000000" w:themeColor="text1"/>
                <w:sz w:val="18"/>
                <w:szCs w:val="19"/>
              </w:rPr>
              <w:t>meets the safety criteria</w:t>
            </w:r>
          </w:p>
        </w:tc>
      </w:tr>
      <w:tr w:rsidR="008E67EA" w14:paraId="00FDFD01"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tcPr>
          <w:p w14:paraId="7AE79E38" w14:textId="77777777" w:rsidR="008E67EA" w:rsidRDefault="008E67EA" w:rsidP="00B44A74">
            <w:pPr>
              <w:pStyle w:val="GazetteTableText"/>
              <w:rPr>
                <w:b/>
                <w:bCs/>
                <w:sz w:val="18"/>
                <w:szCs w:val="20"/>
              </w:rPr>
            </w:pPr>
            <w:r>
              <w:rPr>
                <w:b/>
                <w:bCs/>
                <w:color w:val="000000" w:themeColor="text1"/>
                <w:sz w:val="18"/>
                <w:szCs w:val="22"/>
              </w:rPr>
              <w:t>5B</w:t>
            </w:r>
          </w:p>
        </w:tc>
        <w:tc>
          <w:tcPr>
            <w:tcW w:w="4016" w:type="pct"/>
            <w:tcBorders>
              <w:top w:val="single" w:sz="4" w:space="0" w:color="auto"/>
              <w:left w:val="single" w:sz="4" w:space="0" w:color="auto"/>
              <w:bottom w:val="single" w:sz="4" w:space="0" w:color="auto"/>
              <w:right w:val="single" w:sz="4" w:space="0" w:color="auto"/>
            </w:tcBorders>
          </w:tcPr>
          <w:p w14:paraId="22ADCF7F" w14:textId="77777777" w:rsidR="008E67EA" w:rsidRDefault="008E67EA" w:rsidP="00B44A74">
            <w:pPr>
              <w:pStyle w:val="GazetteTableText"/>
              <w:rPr>
                <w:sz w:val="18"/>
                <w:szCs w:val="20"/>
              </w:rPr>
            </w:pPr>
            <w:r>
              <w:rPr>
                <w:color w:val="000000" w:themeColor="text1"/>
                <w:sz w:val="18"/>
                <w:szCs w:val="19"/>
              </w:rPr>
              <w:t xml:space="preserve">Definition of </w:t>
            </w:r>
            <w:r>
              <w:rPr>
                <w:i/>
                <w:color w:val="000000" w:themeColor="text1"/>
                <w:sz w:val="18"/>
                <w:szCs w:val="19"/>
              </w:rPr>
              <w:t>meets the efficacy criteria</w:t>
            </w:r>
          </w:p>
        </w:tc>
      </w:tr>
      <w:tr w:rsidR="008E67EA" w14:paraId="3E30BF1A"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tcPr>
          <w:p w14:paraId="2ADFB5E1" w14:textId="77777777" w:rsidR="008E67EA" w:rsidRDefault="008E67EA" w:rsidP="00B44A74">
            <w:pPr>
              <w:pStyle w:val="GazetteTableText"/>
              <w:rPr>
                <w:b/>
                <w:bCs/>
                <w:sz w:val="18"/>
                <w:szCs w:val="20"/>
              </w:rPr>
            </w:pPr>
            <w:r>
              <w:rPr>
                <w:b/>
                <w:bCs/>
                <w:color w:val="000000" w:themeColor="text1"/>
                <w:sz w:val="18"/>
                <w:szCs w:val="22"/>
              </w:rPr>
              <w:t>5C</w:t>
            </w:r>
          </w:p>
        </w:tc>
        <w:tc>
          <w:tcPr>
            <w:tcW w:w="4016" w:type="pct"/>
            <w:tcBorders>
              <w:top w:val="single" w:sz="4" w:space="0" w:color="auto"/>
              <w:left w:val="single" w:sz="4" w:space="0" w:color="auto"/>
              <w:bottom w:val="single" w:sz="4" w:space="0" w:color="auto"/>
              <w:right w:val="single" w:sz="4" w:space="0" w:color="auto"/>
            </w:tcBorders>
          </w:tcPr>
          <w:p w14:paraId="63513A26" w14:textId="77777777" w:rsidR="008E67EA" w:rsidRDefault="008E67EA" w:rsidP="00B44A74">
            <w:pPr>
              <w:pStyle w:val="GazetteTableText"/>
              <w:rPr>
                <w:sz w:val="18"/>
                <w:szCs w:val="20"/>
              </w:rPr>
            </w:pPr>
            <w:r>
              <w:rPr>
                <w:rFonts w:eastAsiaTheme="minorEastAsia"/>
                <w:bCs/>
                <w:color w:val="000000" w:themeColor="text1"/>
                <w:sz w:val="18"/>
                <w:szCs w:val="19"/>
              </w:rPr>
              <w:t xml:space="preserve">Definition of </w:t>
            </w:r>
            <w:r>
              <w:rPr>
                <w:rFonts w:eastAsiaTheme="minorEastAsia"/>
                <w:bCs/>
                <w:i/>
                <w:color w:val="000000" w:themeColor="text1"/>
                <w:sz w:val="18"/>
                <w:szCs w:val="19"/>
              </w:rPr>
              <w:t>meets the trade criteria</w:t>
            </w:r>
          </w:p>
        </w:tc>
      </w:tr>
      <w:tr w:rsidR="008E67EA" w14:paraId="7CBEE57C"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tcPr>
          <w:p w14:paraId="6F200AD4" w14:textId="77777777" w:rsidR="008E67EA" w:rsidRDefault="008E67EA" w:rsidP="00B44A74">
            <w:pPr>
              <w:pStyle w:val="GazetteTableText"/>
              <w:rPr>
                <w:b/>
                <w:bCs/>
                <w:sz w:val="18"/>
                <w:szCs w:val="20"/>
              </w:rPr>
            </w:pPr>
            <w:r>
              <w:rPr>
                <w:b/>
                <w:bCs/>
                <w:color w:val="000000" w:themeColor="text1"/>
                <w:sz w:val="18"/>
                <w:szCs w:val="22"/>
              </w:rPr>
              <w:t>5D</w:t>
            </w:r>
          </w:p>
        </w:tc>
        <w:tc>
          <w:tcPr>
            <w:tcW w:w="4016" w:type="pct"/>
            <w:tcBorders>
              <w:top w:val="single" w:sz="4" w:space="0" w:color="auto"/>
              <w:left w:val="single" w:sz="4" w:space="0" w:color="auto"/>
              <w:bottom w:val="single" w:sz="4" w:space="0" w:color="auto"/>
              <w:right w:val="single" w:sz="4" w:space="0" w:color="auto"/>
            </w:tcBorders>
          </w:tcPr>
          <w:p w14:paraId="3B4C64AC" w14:textId="77777777" w:rsidR="008E67EA" w:rsidRDefault="008E67EA" w:rsidP="00B44A74">
            <w:pPr>
              <w:pStyle w:val="GazetteTableText"/>
              <w:rPr>
                <w:sz w:val="18"/>
                <w:szCs w:val="20"/>
              </w:rPr>
            </w:pPr>
            <w:r>
              <w:rPr>
                <w:rFonts w:eastAsiaTheme="minorEastAsia"/>
                <w:bCs/>
                <w:color w:val="000000" w:themeColor="text1"/>
                <w:sz w:val="18"/>
                <w:szCs w:val="19"/>
              </w:rPr>
              <w:t xml:space="preserve">Definition of </w:t>
            </w:r>
            <w:r>
              <w:rPr>
                <w:rFonts w:eastAsiaTheme="minorEastAsia"/>
                <w:bCs/>
                <w:i/>
                <w:color w:val="000000" w:themeColor="text1"/>
                <w:sz w:val="18"/>
                <w:szCs w:val="19"/>
              </w:rPr>
              <w:t>meets the labelling criteria</w:t>
            </w:r>
          </w:p>
        </w:tc>
      </w:tr>
      <w:tr w:rsidR="008E67EA" w14:paraId="2C2BD113"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tcPr>
          <w:p w14:paraId="4276BF6E" w14:textId="77777777" w:rsidR="008E67EA" w:rsidRDefault="008E67EA" w:rsidP="00B44A74">
            <w:pPr>
              <w:pStyle w:val="GazetteTableText"/>
              <w:rPr>
                <w:b/>
                <w:bCs/>
                <w:sz w:val="18"/>
                <w:szCs w:val="20"/>
              </w:rPr>
            </w:pPr>
            <w:r>
              <w:rPr>
                <w:b/>
                <w:bCs/>
                <w:color w:val="000000" w:themeColor="text1"/>
                <w:sz w:val="18"/>
                <w:szCs w:val="22"/>
              </w:rPr>
              <w:t>6E</w:t>
            </w:r>
          </w:p>
        </w:tc>
        <w:tc>
          <w:tcPr>
            <w:tcW w:w="4016" w:type="pct"/>
            <w:tcBorders>
              <w:top w:val="single" w:sz="4" w:space="0" w:color="auto"/>
              <w:left w:val="single" w:sz="4" w:space="0" w:color="auto"/>
              <w:bottom w:val="single" w:sz="4" w:space="0" w:color="auto"/>
              <w:right w:val="single" w:sz="4" w:space="0" w:color="auto"/>
            </w:tcBorders>
          </w:tcPr>
          <w:p w14:paraId="609AC2B0" w14:textId="77777777" w:rsidR="008E67EA" w:rsidRDefault="008E67EA" w:rsidP="00B44A74">
            <w:pPr>
              <w:pStyle w:val="GazetteTableText"/>
              <w:rPr>
                <w:sz w:val="18"/>
                <w:szCs w:val="20"/>
              </w:rPr>
            </w:pPr>
            <w:r>
              <w:rPr>
                <w:rFonts w:eastAsiaTheme="minorEastAsia"/>
                <w:bCs/>
                <w:color w:val="000000" w:themeColor="text1"/>
                <w:sz w:val="18"/>
                <w:szCs w:val="19"/>
              </w:rPr>
              <w:t>The APVMA may make standards</w:t>
            </w:r>
          </w:p>
        </w:tc>
      </w:tr>
      <w:tr w:rsidR="008E67EA" w14:paraId="620EB5C4"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tcPr>
          <w:p w14:paraId="28009866" w14:textId="77777777" w:rsidR="008E67EA" w:rsidRDefault="008E67EA" w:rsidP="00B44A74">
            <w:pPr>
              <w:pStyle w:val="GazetteTableText"/>
              <w:rPr>
                <w:b/>
                <w:bCs/>
                <w:sz w:val="18"/>
                <w:szCs w:val="20"/>
              </w:rPr>
            </w:pPr>
            <w:r>
              <w:rPr>
                <w:rFonts w:eastAsiaTheme="minorEastAsia"/>
                <w:b/>
                <w:bCs/>
                <w:color w:val="000000" w:themeColor="text1"/>
                <w:sz w:val="18"/>
                <w:szCs w:val="22"/>
              </w:rPr>
              <w:t>20</w:t>
            </w:r>
          </w:p>
        </w:tc>
        <w:tc>
          <w:tcPr>
            <w:tcW w:w="4016" w:type="pct"/>
            <w:tcBorders>
              <w:top w:val="single" w:sz="4" w:space="0" w:color="auto"/>
              <w:left w:val="single" w:sz="4" w:space="0" w:color="auto"/>
              <w:bottom w:val="single" w:sz="4" w:space="0" w:color="auto"/>
              <w:right w:val="single" w:sz="4" w:space="0" w:color="auto"/>
            </w:tcBorders>
          </w:tcPr>
          <w:p w14:paraId="39E35A5F" w14:textId="77777777" w:rsidR="008E67EA" w:rsidRDefault="008E67EA" w:rsidP="00B44A74">
            <w:pPr>
              <w:pStyle w:val="GazetteTableText"/>
              <w:rPr>
                <w:sz w:val="18"/>
                <w:szCs w:val="20"/>
              </w:rPr>
            </w:pPr>
            <w:r>
              <w:rPr>
                <w:rFonts w:eastAsiaTheme="minorEastAsia"/>
                <w:bCs/>
                <w:color w:val="000000" w:themeColor="text1"/>
                <w:sz w:val="18"/>
                <w:szCs w:val="19"/>
              </w:rPr>
              <w:t>How registration of chemical product takes place</w:t>
            </w:r>
          </w:p>
        </w:tc>
      </w:tr>
      <w:tr w:rsidR="008E67EA" w14:paraId="753DC312"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tcPr>
          <w:p w14:paraId="69601670" w14:textId="77777777" w:rsidR="008E67EA" w:rsidRDefault="008E67EA" w:rsidP="00B44A74">
            <w:pPr>
              <w:pStyle w:val="GazetteTableText"/>
              <w:rPr>
                <w:b/>
                <w:bCs/>
                <w:sz w:val="18"/>
                <w:szCs w:val="20"/>
              </w:rPr>
            </w:pPr>
            <w:r>
              <w:rPr>
                <w:rFonts w:eastAsiaTheme="minorEastAsia"/>
                <w:b/>
                <w:bCs/>
                <w:color w:val="000000" w:themeColor="text1"/>
                <w:sz w:val="18"/>
                <w:szCs w:val="22"/>
              </w:rPr>
              <w:t>21</w:t>
            </w:r>
          </w:p>
        </w:tc>
        <w:tc>
          <w:tcPr>
            <w:tcW w:w="4016" w:type="pct"/>
            <w:tcBorders>
              <w:top w:val="single" w:sz="4" w:space="0" w:color="auto"/>
              <w:left w:val="single" w:sz="4" w:space="0" w:color="auto"/>
              <w:bottom w:val="single" w:sz="4" w:space="0" w:color="auto"/>
              <w:right w:val="single" w:sz="4" w:space="0" w:color="auto"/>
            </w:tcBorders>
          </w:tcPr>
          <w:p w14:paraId="2649B8A8" w14:textId="77777777" w:rsidR="008E67EA" w:rsidRDefault="008E67EA" w:rsidP="00B44A74">
            <w:pPr>
              <w:pStyle w:val="GazetteTableText"/>
              <w:rPr>
                <w:sz w:val="18"/>
                <w:szCs w:val="20"/>
              </w:rPr>
            </w:pPr>
            <w:r>
              <w:rPr>
                <w:rFonts w:eastAsiaTheme="minorEastAsia"/>
                <w:bCs/>
                <w:color w:val="000000" w:themeColor="text1"/>
                <w:sz w:val="18"/>
                <w:szCs w:val="19"/>
              </w:rPr>
              <w:t>How approval of label takes place</w:t>
            </w:r>
          </w:p>
        </w:tc>
      </w:tr>
      <w:tr w:rsidR="008E67EA" w14:paraId="54B87299"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tcPr>
          <w:p w14:paraId="5D7172A9" w14:textId="77777777" w:rsidR="008E67EA" w:rsidRDefault="008E67EA" w:rsidP="00B44A74">
            <w:pPr>
              <w:pStyle w:val="GazetteTableText"/>
              <w:rPr>
                <w:b/>
                <w:bCs/>
                <w:sz w:val="18"/>
                <w:szCs w:val="20"/>
              </w:rPr>
            </w:pPr>
            <w:r>
              <w:rPr>
                <w:rFonts w:eastAsiaTheme="minorEastAsia"/>
                <w:b/>
                <w:bCs/>
                <w:color w:val="000000" w:themeColor="text1"/>
                <w:sz w:val="18"/>
                <w:szCs w:val="22"/>
              </w:rPr>
              <w:t>23</w:t>
            </w:r>
          </w:p>
        </w:tc>
        <w:tc>
          <w:tcPr>
            <w:tcW w:w="4016" w:type="pct"/>
            <w:tcBorders>
              <w:top w:val="single" w:sz="4" w:space="0" w:color="auto"/>
              <w:left w:val="single" w:sz="4" w:space="0" w:color="auto"/>
              <w:bottom w:val="single" w:sz="4" w:space="0" w:color="auto"/>
              <w:right w:val="single" w:sz="4" w:space="0" w:color="auto"/>
            </w:tcBorders>
          </w:tcPr>
          <w:p w14:paraId="6448B79A" w14:textId="77777777" w:rsidR="008E67EA" w:rsidRDefault="008E67EA" w:rsidP="00B44A74">
            <w:pPr>
              <w:pStyle w:val="GazetteTableText"/>
              <w:rPr>
                <w:sz w:val="18"/>
                <w:szCs w:val="20"/>
              </w:rPr>
            </w:pPr>
            <w:r>
              <w:rPr>
                <w:rFonts w:eastAsiaTheme="minorEastAsia"/>
                <w:bCs/>
                <w:color w:val="000000" w:themeColor="text1"/>
                <w:sz w:val="18"/>
                <w:szCs w:val="19"/>
              </w:rPr>
              <w:t>Conditions of approval or registration</w:t>
            </w:r>
          </w:p>
        </w:tc>
      </w:tr>
      <w:tr w:rsidR="008E67EA" w14:paraId="095C5A18"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tcPr>
          <w:p w14:paraId="431147C0" w14:textId="77777777" w:rsidR="008E67EA" w:rsidRDefault="008E67EA" w:rsidP="00B44A74">
            <w:pPr>
              <w:pStyle w:val="GazetteTableText"/>
              <w:rPr>
                <w:b/>
                <w:bCs/>
                <w:sz w:val="18"/>
                <w:szCs w:val="20"/>
              </w:rPr>
            </w:pPr>
            <w:r>
              <w:rPr>
                <w:b/>
                <w:bCs/>
                <w:color w:val="000000" w:themeColor="text1"/>
                <w:sz w:val="18"/>
                <w:szCs w:val="22"/>
              </w:rPr>
              <w:lastRenderedPageBreak/>
              <w:t>31</w:t>
            </w:r>
          </w:p>
        </w:tc>
        <w:tc>
          <w:tcPr>
            <w:tcW w:w="4016" w:type="pct"/>
            <w:tcBorders>
              <w:top w:val="single" w:sz="4" w:space="0" w:color="auto"/>
              <w:left w:val="single" w:sz="4" w:space="0" w:color="auto"/>
              <w:bottom w:val="single" w:sz="4" w:space="0" w:color="auto"/>
              <w:right w:val="single" w:sz="4" w:space="0" w:color="auto"/>
            </w:tcBorders>
          </w:tcPr>
          <w:p w14:paraId="08FA675F" w14:textId="77777777" w:rsidR="008E67EA" w:rsidRDefault="008E67EA" w:rsidP="00B44A74">
            <w:pPr>
              <w:pStyle w:val="GazetteTableText"/>
              <w:rPr>
                <w:sz w:val="18"/>
                <w:szCs w:val="20"/>
              </w:rPr>
            </w:pPr>
            <w:r>
              <w:rPr>
                <w:color w:val="000000" w:themeColor="text1"/>
                <w:sz w:val="18"/>
                <w:szCs w:val="19"/>
              </w:rPr>
              <w:t>APVMA may reconsider an approval or registration</w:t>
            </w:r>
          </w:p>
        </w:tc>
      </w:tr>
      <w:tr w:rsidR="008E67EA" w14:paraId="5F03E81B"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tcPr>
          <w:p w14:paraId="36F8EF23" w14:textId="77777777" w:rsidR="008E67EA" w:rsidRDefault="008E67EA" w:rsidP="00B44A74">
            <w:pPr>
              <w:pStyle w:val="GazetteTableText"/>
              <w:rPr>
                <w:b/>
                <w:bCs/>
                <w:sz w:val="18"/>
                <w:szCs w:val="20"/>
              </w:rPr>
            </w:pPr>
            <w:r>
              <w:rPr>
                <w:b/>
                <w:bCs/>
                <w:color w:val="000000" w:themeColor="text1"/>
                <w:sz w:val="18"/>
                <w:szCs w:val="22"/>
              </w:rPr>
              <w:t>33</w:t>
            </w:r>
          </w:p>
        </w:tc>
        <w:tc>
          <w:tcPr>
            <w:tcW w:w="4016" w:type="pct"/>
            <w:tcBorders>
              <w:top w:val="single" w:sz="4" w:space="0" w:color="auto"/>
              <w:left w:val="single" w:sz="4" w:space="0" w:color="auto"/>
              <w:bottom w:val="single" w:sz="4" w:space="0" w:color="auto"/>
              <w:right w:val="single" w:sz="4" w:space="0" w:color="auto"/>
            </w:tcBorders>
          </w:tcPr>
          <w:p w14:paraId="06FACFD6" w14:textId="77777777" w:rsidR="008E67EA" w:rsidRDefault="008E67EA" w:rsidP="00B44A74">
            <w:pPr>
              <w:pStyle w:val="GazetteTableText"/>
              <w:rPr>
                <w:sz w:val="18"/>
                <w:szCs w:val="20"/>
              </w:rPr>
            </w:pPr>
            <w:r>
              <w:rPr>
                <w:color w:val="000000" w:themeColor="text1"/>
                <w:sz w:val="18"/>
                <w:szCs w:val="19"/>
              </w:rPr>
              <w:t>APVMA may require information, reports, results or samples</w:t>
            </w:r>
          </w:p>
        </w:tc>
      </w:tr>
      <w:tr w:rsidR="008E67EA" w14:paraId="3C3D791A"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tcPr>
          <w:p w14:paraId="33EC49D2" w14:textId="77777777" w:rsidR="008E67EA" w:rsidRDefault="008E67EA" w:rsidP="00B44A74">
            <w:pPr>
              <w:pStyle w:val="GazetteTableText"/>
              <w:rPr>
                <w:b/>
                <w:bCs/>
                <w:sz w:val="18"/>
                <w:szCs w:val="20"/>
              </w:rPr>
            </w:pPr>
            <w:r>
              <w:rPr>
                <w:b/>
                <w:bCs/>
                <w:color w:val="000000" w:themeColor="text1"/>
                <w:sz w:val="18"/>
                <w:szCs w:val="22"/>
              </w:rPr>
              <w:t>34</w:t>
            </w:r>
          </w:p>
        </w:tc>
        <w:tc>
          <w:tcPr>
            <w:tcW w:w="4016" w:type="pct"/>
            <w:tcBorders>
              <w:top w:val="single" w:sz="4" w:space="0" w:color="auto"/>
              <w:left w:val="single" w:sz="4" w:space="0" w:color="auto"/>
              <w:bottom w:val="single" w:sz="4" w:space="0" w:color="auto"/>
              <w:right w:val="single" w:sz="4" w:space="0" w:color="auto"/>
            </w:tcBorders>
          </w:tcPr>
          <w:p w14:paraId="0AD8DA5B" w14:textId="77777777" w:rsidR="008E67EA" w:rsidRDefault="008E67EA" w:rsidP="00B44A74">
            <w:pPr>
              <w:pStyle w:val="GazetteTableText"/>
              <w:rPr>
                <w:sz w:val="18"/>
                <w:szCs w:val="20"/>
              </w:rPr>
            </w:pPr>
            <w:r>
              <w:rPr>
                <w:color w:val="000000" w:themeColor="text1"/>
                <w:sz w:val="18"/>
                <w:szCs w:val="19"/>
              </w:rPr>
              <w:t>Reconsideration by APVMA</w:t>
            </w:r>
          </w:p>
        </w:tc>
      </w:tr>
      <w:tr w:rsidR="008E67EA" w14:paraId="638E6481"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tcPr>
          <w:p w14:paraId="1D5B9C16" w14:textId="77777777" w:rsidR="008E67EA" w:rsidRDefault="008E67EA" w:rsidP="00B44A74">
            <w:pPr>
              <w:pStyle w:val="GazetteTableText"/>
              <w:rPr>
                <w:b/>
                <w:bCs/>
                <w:sz w:val="18"/>
                <w:szCs w:val="20"/>
              </w:rPr>
            </w:pPr>
            <w:r>
              <w:rPr>
                <w:b/>
                <w:bCs/>
                <w:color w:val="000000" w:themeColor="text1"/>
                <w:sz w:val="18"/>
                <w:szCs w:val="22"/>
              </w:rPr>
              <w:t>34A</w:t>
            </w:r>
          </w:p>
        </w:tc>
        <w:tc>
          <w:tcPr>
            <w:tcW w:w="4016" w:type="pct"/>
            <w:tcBorders>
              <w:top w:val="single" w:sz="4" w:space="0" w:color="auto"/>
              <w:left w:val="single" w:sz="4" w:space="0" w:color="auto"/>
              <w:bottom w:val="single" w:sz="4" w:space="0" w:color="auto"/>
              <w:right w:val="single" w:sz="4" w:space="0" w:color="auto"/>
            </w:tcBorders>
          </w:tcPr>
          <w:p w14:paraId="5E7FAFF6" w14:textId="77777777" w:rsidR="008E67EA" w:rsidRDefault="008E67EA" w:rsidP="00B44A74">
            <w:pPr>
              <w:pStyle w:val="GazetteTableText"/>
              <w:rPr>
                <w:sz w:val="18"/>
                <w:szCs w:val="20"/>
              </w:rPr>
            </w:pPr>
            <w:r>
              <w:rPr>
                <w:color w:val="000000" w:themeColor="text1"/>
                <w:sz w:val="18"/>
                <w:szCs w:val="19"/>
              </w:rPr>
              <w:t>Varying relevant particulars or conditions to allow affirmation</w:t>
            </w:r>
          </w:p>
        </w:tc>
      </w:tr>
      <w:tr w:rsidR="008E67EA" w14:paraId="1D3F0DCF"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tcPr>
          <w:p w14:paraId="68B29788" w14:textId="77777777" w:rsidR="008E67EA" w:rsidRDefault="008E67EA" w:rsidP="00B44A74">
            <w:pPr>
              <w:pStyle w:val="GazetteTableText"/>
              <w:rPr>
                <w:b/>
                <w:bCs/>
                <w:color w:val="000000" w:themeColor="text1"/>
                <w:sz w:val="18"/>
                <w:szCs w:val="22"/>
              </w:rPr>
            </w:pPr>
            <w:r>
              <w:rPr>
                <w:b/>
                <w:bCs/>
                <w:color w:val="000000" w:themeColor="text1"/>
                <w:sz w:val="18"/>
                <w:szCs w:val="22"/>
              </w:rPr>
              <w:t>34AA</w:t>
            </w:r>
          </w:p>
        </w:tc>
        <w:tc>
          <w:tcPr>
            <w:tcW w:w="4016" w:type="pct"/>
            <w:tcBorders>
              <w:top w:val="single" w:sz="4" w:space="0" w:color="auto"/>
              <w:left w:val="single" w:sz="4" w:space="0" w:color="auto"/>
              <w:bottom w:val="single" w:sz="4" w:space="0" w:color="auto"/>
              <w:right w:val="single" w:sz="4" w:space="0" w:color="auto"/>
            </w:tcBorders>
          </w:tcPr>
          <w:p w14:paraId="266C211D" w14:textId="77777777" w:rsidR="008E67EA" w:rsidRDefault="008E67EA" w:rsidP="00B44A74">
            <w:pPr>
              <w:pStyle w:val="GazetteTableText"/>
              <w:rPr>
                <w:color w:val="000000" w:themeColor="text1"/>
                <w:sz w:val="18"/>
                <w:szCs w:val="19"/>
              </w:rPr>
            </w:pPr>
            <w:r>
              <w:rPr>
                <w:color w:val="000000" w:themeColor="text1"/>
                <w:sz w:val="18"/>
                <w:szCs w:val="19"/>
              </w:rPr>
              <w:t>Suspension or cancellation</w:t>
            </w:r>
          </w:p>
        </w:tc>
      </w:tr>
      <w:tr w:rsidR="008E67EA" w14:paraId="0BFFCDA4"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tcPr>
          <w:p w14:paraId="1701817D" w14:textId="77777777" w:rsidR="008E67EA" w:rsidRDefault="008E67EA" w:rsidP="00B44A74">
            <w:pPr>
              <w:pStyle w:val="GazetteTableText"/>
              <w:rPr>
                <w:b/>
                <w:bCs/>
                <w:color w:val="000000" w:themeColor="text1"/>
                <w:sz w:val="18"/>
                <w:szCs w:val="22"/>
              </w:rPr>
            </w:pPr>
            <w:r>
              <w:rPr>
                <w:b/>
                <w:bCs/>
                <w:color w:val="000000" w:themeColor="text1"/>
                <w:sz w:val="18"/>
                <w:szCs w:val="22"/>
              </w:rPr>
              <w:t>34AB</w:t>
            </w:r>
          </w:p>
        </w:tc>
        <w:tc>
          <w:tcPr>
            <w:tcW w:w="4016" w:type="pct"/>
            <w:tcBorders>
              <w:top w:val="single" w:sz="4" w:space="0" w:color="auto"/>
              <w:left w:val="single" w:sz="4" w:space="0" w:color="auto"/>
              <w:bottom w:val="single" w:sz="4" w:space="0" w:color="auto"/>
              <w:right w:val="single" w:sz="4" w:space="0" w:color="auto"/>
            </w:tcBorders>
          </w:tcPr>
          <w:p w14:paraId="2FD1503C" w14:textId="77777777" w:rsidR="008E67EA" w:rsidRDefault="008E67EA" w:rsidP="00B44A74">
            <w:pPr>
              <w:pStyle w:val="GazetteTableText"/>
              <w:rPr>
                <w:color w:val="000000" w:themeColor="text1"/>
                <w:sz w:val="18"/>
                <w:szCs w:val="19"/>
              </w:rPr>
            </w:pPr>
            <w:r>
              <w:rPr>
                <w:color w:val="000000" w:themeColor="text1"/>
                <w:sz w:val="18"/>
                <w:szCs w:val="19"/>
              </w:rPr>
              <w:t>Notice of proposed decision</w:t>
            </w:r>
          </w:p>
        </w:tc>
      </w:tr>
    </w:tbl>
    <w:p w14:paraId="6F80B6C3" w14:textId="08B6D6DC" w:rsidR="008E67EA" w:rsidRPr="00816AF3" w:rsidRDefault="008E67EA" w:rsidP="008E67EA">
      <w:pPr>
        <w:pStyle w:val="StatementofReasonsTableCaption"/>
        <w:ind w:left="567"/>
      </w:pPr>
      <w:r w:rsidRPr="00816AF3">
        <w:t>Table C</w:t>
      </w:r>
      <w:r w:rsidRPr="00816AF3">
        <w:fldChar w:fldCharType="begin"/>
      </w:r>
      <w:r w:rsidRPr="00816AF3">
        <w:instrText xml:space="preserve"> SEQ Table_A \* ARABIC </w:instrText>
      </w:r>
      <w:r w:rsidRPr="00816AF3">
        <w:fldChar w:fldCharType="separate"/>
      </w:r>
      <w:r w:rsidR="002C0C2A">
        <w:rPr>
          <w:noProof/>
        </w:rPr>
        <w:t>8</w:t>
      </w:r>
      <w:r w:rsidRPr="00816AF3">
        <w:rPr>
          <w:noProof/>
        </w:rPr>
        <w:fldChar w:fldCharType="end"/>
      </w:r>
      <w:r w:rsidRPr="00816AF3">
        <w:t xml:space="preserve">: </w:t>
      </w:r>
      <w:r w:rsidRPr="00BD0F4B">
        <w:rPr>
          <w:i/>
          <w:iCs w:val="0"/>
        </w:rPr>
        <w:t>Agricultural and Veterinary Chemicals Code Regulations 1995</w:t>
      </w:r>
    </w:p>
    <w:tbl>
      <w:tblPr>
        <w:tblStyle w:val="TableGrid"/>
        <w:tblW w:w="4490" w:type="pct"/>
        <w:tblInd w:w="562" w:type="dxa"/>
        <w:shd w:val="clear" w:color="auto" w:fill="D9D9D9" w:themeFill="background1" w:themeFillShade="D9"/>
        <w:tblLook w:val="04A0" w:firstRow="1" w:lastRow="0" w:firstColumn="1" w:lastColumn="0" w:noHBand="0" w:noVBand="1"/>
      </w:tblPr>
      <w:tblGrid>
        <w:gridCol w:w="1702"/>
        <w:gridCol w:w="6944"/>
      </w:tblGrid>
      <w:tr w:rsidR="008E67EA" w14:paraId="7454D278" w14:textId="77777777" w:rsidTr="00B44A74">
        <w:trPr>
          <w:tblHeader/>
        </w:trPr>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F03ACC" w14:textId="77777777" w:rsidR="008E67EA" w:rsidRPr="00BD0F4B" w:rsidRDefault="008E67EA" w:rsidP="00B44A74">
            <w:pPr>
              <w:pStyle w:val="GazetteTableHeading"/>
            </w:pPr>
            <w:r w:rsidRPr="00BD0F4B">
              <w:t>Section</w:t>
            </w:r>
          </w:p>
        </w:tc>
        <w:tc>
          <w:tcPr>
            <w:tcW w:w="401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0C6394" w14:textId="77777777" w:rsidR="008E67EA" w:rsidRPr="00BD0F4B" w:rsidRDefault="008E67EA" w:rsidP="00B44A74">
            <w:pPr>
              <w:pStyle w:val="GazetteTableHeading"/>
            </w:pPr>
            <w:r w:rsidRPr="00BD0F4B">
              <w:t>Section Heading</w:t>
            </w:r>
          </w:p>
        </w:tc>
      </w:tr>
      <w:tr w:rsidR="008E67EA" w14:paraId="09EEA526"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tcPr>
          <w:p w14:paraId="751B3E27" w14:textId="77777777" w:rsidR="008E67EA" w:rsidRDefault="008E67EA" w:rsidP="00B44A74">
            <w:pPr>
              <w:pStyle w:val="GazetteTableText"/>
              <w:rPr>
                <w:b/>
                <w:bCs/>
                <w:sz w:val="18"/>
                <w:szCs w:val="20"/>
              </w:rPr>
            </w:pPr>
            <w:r>
              <w:rPr>
                <w:b/>
                <w:bCs/>
                <w:color w:val="000000" w:themeColor="text1"/>
                <w:sz w:val="18"/>
                <w:szCs w:val="22"/>
              </w:rPr>
              <w:t>8AB</w:t>
            </w:r>
          </w:p>
        </w:tc>
        <w:tc>
          <w:tcPr>
            <w:tcW w:w="4016" w:type="pct"/>
            <w:tcBorders>
              <w:top w:val="single" w:sz="4" w:space="0" w:color="auto"/>
              <w:left w:val="single" w:sz="4" w:space="0" w:color="auto"/>
              <w:bottom w:val="single" w:sz="4" w:space="0" w:color="auto"/>
              <w:right w:val="single" w:sz="4" w:space="0" w:color="auto"/>
            </w:tcBorders>
          </w:tcPr>
          <w:p w14:paraId="312C420C" w14:textId="77777777" w:rsidR="008E67EA" w:rsidRDefault="008E67EA" w:rsidP="00B44A74">
            <w:pPr>
              <w:pStyle w:val="GazetteTableText"/>
              <w:rPr>
                <w:sz w:val="18"/>
                <w:szCs w:val="20"/>
              </w:rPr>
            </w:pPr>
            <w:r>
              <w:rPr>
                <w:color w:val="000000" w:themeColor="text1"/>
                <w:sz w:val="18"/>
                <w:szCs w:val="19"/>
              </w:rPr>
              <w:t xml:space="preserve">Safety Criteria </w:t>
            </w:r>
            <w:r>
              <w:rPr>
                <w:rFonts w:hint="eastAsia"/>
                <w:color w:val="000000" w:themeColor="text1"/>
                <w:sz w:val="18"/>
                <w:szCs w:val="19"/>
              </w:rPr>
              <w:t>–</w:t>
            </w:r>
            <w:r>
              <w:rPr>
                <w:color w:val="000000" w:themeColor="text1"/>
                <w:sz w:val="18"/>
                <w:szCs w:val="19"/>
              </w:rPr>
              <w:t xml:space="preserve"> chemical products</w:t>
            </w:r>
          </w:p>
        </w:tc>
      </w:tr>
      <w:tr w:rsidR="008E67EA" w14:paraId="3CB3E1FB"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tcPr>
          <w:p w14:paraId="23424DAA" w14:textId="77777777" w:rsidR="008E67EA" w:rsidRDefault="008E67EA" w:rsidP="00B44A74">
            <w:pPr>
              <w:pStyle w:val="GazetteTableText"/>
              <w:rPr>
                <w:b/>
                <w:bCs/>
                <w:color w:val="000000" w:themeColor="text1"/>
                <w:sz w:val="18"/>
                <w:szCs w:val="22"/>
              </w:rPr>
            </w:pPr>
            <w:r>
              <w:rPr>
                <w:b/>
                <w:bCs/>
                <w:color w:val="000000" w:themeColor="text1"/>
                <w:sz w:val="18"/>
                <w:szCs w:val="22"/>
              </w:rPr>
              <w:t>16</w:t>
            </w:r>
          </w:p>
        </w:tc>
        <w:tc>
          <w:tcPr>
            <w:tcW w:w="4016" w:type="pct"/>
            <w:tcBorders>
              <w:top w:val="single" w:sz="4" w:space="0" w:color="auto"/>
              <w:left w:val="single" w:sz="4" w:space="0" w:color="auto"/>
              <w:bottom w:val="single" w:sz="4" w:space="0" w:color="auto"/>
              <w:right w:val="single" w:sz="4" w:space="0" w:color="auto"/>
            </w:tcBorders>
          </w:tcPr>
          <w:p w14:paraId="41AA48B3" w14:textId="77777777" w:rsidR="008E67EA" w:rsidRDefault="008E67EA" w:rsidP="00B44A74">
            <w:pPr>
              <w:pStyle w:val="GazetteTableText"/>
              <w:rPr>
                <w:color w:val="000000" w:themeColor="text1"/>
                <w:sz w:val="18"/>
                <w:szCs w:val="19"/>
              </w:rPr>
            </w:pPr>
            <w:r>
              <w:rPr>
                <w:color w:val="000000" w:themeColor="text1"/>
                <w:sz w:val="18"/>
                <w:szCs w:val="19"/>
              </w:rPr>
              <w:t>Particulars of registered chemical products to be recorded</w:t>
            </w:r>
          </w:p>
        </w:tc>
      </w:tr>
      <w:tr w:rsidR="008E67EA" w14:paraId="2022A76C"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tcPr>
          <w:p w14:paraId="5BF123B0" w14:textId="77777777" w:rsidR="008E67EA" w:rsidRDefault="008E67EA" w:rsidP="00B44A74">
            <w:pPr>
              <w:pStyle w:val="GazetteTableText"/>
              <w:rPr>
                <w:b/>
                <w:bCs/>
                <w:color w:val="000000" w:themeColor="text1"/>
                <w:sz w:val="18"/>
                <w:szCs w:val="22"/>
              </w:rPr>
            </w:pPr>
            <w:r>
              <w:rPr>
                <w:b/>
                <w:bCs/>
                <w:color w:val="000000" w:themeColor="text1"/>
                <w:sz w:val="18"/>
                <w:szCs w:val="22"/>
              </w:rPr>
              <w:t>17</w:t>
            </w:r>
          </w:p>
        </w:tc>
        <w:tc>
          <w:tcPr>
            <w:tcW w:w="4016" w:type="pct"/>
            <w:tcBorders>
              <w:top w:val="single" w:sz="4" w:space="0" w:color="auto"/>
              <w:left w:val="single" w:sz="4" w:space="0" w:color="auto"/>
              <w:bottom w:val="single" w:sz="4" w:space="0" w:color="auto"/>
              <w:right w:val="single" w:sz="4" w:space="0" w:color="auto"/>
            </w:tcBorders>
          </w:tcPr>
          <w:p w14:paraId="4CF2F80B" w14:textId="77777777" w:rsidR="008E67EA" w:rsidRDefault="008E67EA" w:rsidP="00B44A74">
            <w:pPr>
              <w:pStyle w:val="GazetteTableText"/>
              <w:rPr>
                <w:color w:val="000000" w:themeColor="text1"/>
                <w:sz w:val="18"/>
                <w:szCs w:val="19"/>
              </w:rPr>
            </w:pPr>
            <w:r>
              <w:rPr>
                <w:color w:val="000000" w:themeColor="text1"/>
                <w:sz w:val="18"/>
                <w:szCs w:val="19"/>
              </w:rPr>
              <w:t>Particulars for label</w:t>
            </w:r>
          </w:p>
        </w:tc>
      </w:tr>
      <w:tr w:rsidR="008E67EA" w14:paraId="58DC8D07"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tcPr>
          <w:p w14:paraId="6C7DA383" w14:textId="77777777" w:rsidR="008E67EA" w:rsidRDefault="008E67EA" w:rsidP="00B44A74">
            <w:pPr>
              <w:pStyle w:val="GazetteTableText"/>
              <w:rPr>
                <w:b/>
                <w:bCs/>
                <w:color w:val="000000" w:themeColor="text1"/>
                <w:sz w:val="18"/>
                <w:szCs w:val="22"/>
              </w:rPr>
            </w:pPr>
            <w:r>
              <w:rPr>
                <w:b/>
                <w:bCs/>
                <w:color w:val="000000" w:themeColor="text1"/>
                <w:sz w:val="18"/>
                <w:szCs w:val="22"/>
              </w:rPr>
              <w:t>17C</w:t>
            </w:r>
          </w:p>
        </w:tc>
        <w:tc>
          <w:tcPr>
            <w:tcW w:w="4016" w:type="pct"/>
            <w:tcBorders>
              <w:top w:val="single" w:sz="4" w:space="0" w:color="auto"/>
              <w:left w:val="single" w:sz="4" w:space="0" w:color="auto"/>
              <w:bottom w:val="single" w:sz="4" w:space="0" w:color="auto"/>
              <w:right w:val="single" w:sz="4" w:space="0" w:color="auto"/>
            </w:tcBorders>
          </w:tcPr>
          <w:p w14:paraId="2AF6CB28" w14:textId="77777777" w:rsidR="008E67EA" w:rsidRDefault="008E67EA" w:rsidP="00B44A74">
            <w:pPr>
              <w:pStyle w:val="GazetteTableText"/>
              <w:rPr>
                <w:color w:val="000000" w:themeColor="text1"/>
                <w:sz w:val="18"/>
                <w:szCs w:val="19"/>
              </w:rPr>
            </w:pPr>
            <w:r>
              <w:rPr>
                <w:color w:val="000000" w:themeColor="text1"/>
                <w:sz w:val="18"/>
                <w:szCs w:val="19"/>
              </w:rPr>
              <w:t xml:space="preserve">Conditions of approval or registration </w:t>
            </w:r>
            <w:r>
              <w:rPr>
                <w:rFonts w:hint="eastAsia"/>
                <w:color w:val="000000" w:themeColor="text1"/>
                <w:sz w:val="18"/>
                <w:szCs w:val="19"/>
              </w:rPr>
              <w:t>–</w:t>
            </w:r>
            <w:r>
              <w:rPr>
                <w:color w:val="000000" w:themeColor="text1"/>
                <w:sz w:val="18"/>
                <w:szCs w:val="19"/>
              </w:rPr>
              <w:t xml:space="preserve"> active constituents and chemical products</w:t>
            </w:r>
          </w:p>
        </w:tc>
      </w:tr>
      <w:tr w:rsidR="008E67EA" w14:paraId="58E82C79"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tcPr>
          <w:p w14:paraId="201B3B08" w14:textId="77777777" w:rsidR="008E67EA" w:rsidRDefault="008E67EA" w:rsidP="00B44A74">
            <w:pPr>
              <w:pStyle w:val="GazetteTableText"/>
              <w:rPr>
                <w:b/>
                <w:bCs/>
                <w:color w:val="000000" w:themeColor="text1"/>
                <w:sz w:val="18"/>
                <w:szCs w:val="22"/>
              </w:rPr>
            </w:pPr>
            <w:r>
              <w:rPr>
                <w:b/>
                <w:bCs/>
                <w:color w:val="000000" w:themeColor="text1"/>
                <w:sz w:val="18"/>
                <w:szCs w:val="22"/>
              </w:rPr>
              <w:t>18</w:t>
            </w:r>
          </w:p>
        </w:tc>
        <w:tc>
          <w:tcPr>
            <w:tcW w:w="4016" w:type="pct"/>
            <w:tcBorders>
              <w:top w:val="single" w:sz="4" w:space="0" w:color="auto"/>
              <w:left w:val="single" w:sz="4" w:space="0" w:color="auto"/>
              <w:bottom w:val="single" w:sz="4" w:space="0" w:color="auto"/>
              <w:right w:val="single" w:sz="4" w:space="0" w:color="auto"/>
            </w:tcBorders>
          </w:tcPr>
          <w:p w14:paraId="4FB4748D" w14:textId="77777777" w:rsidR="008E67EA" w:rsidRDefault="008E67EA" w:rsidP="00B44A74">
            <w:pPr>
              <w:pStyle w:val="GazetteTableText"/>
              <w:rPr>
                <w:color w:val="000000" w:themeColor="text1"/>
                <w:sz w:val="18"/>
                <w:szCs w:val="19"/>
              </w:rPr>
            </w:pPr>
            <w:r>
              <w:rPr>
                <w:color w:val="000000" w:themeColor="text1"/>
                <w:sz w:val="18"/>
                <w:szCs w:val="19"/>
              </w:rPr>
              <w:t xml:space="preserve">Conditions of registration of chemical products </w:t>
            </w:r>
            <w:r>
              <w:rPr>
                <w:color w:val="000000" w:themeColor="text1"/>
                <w:sz w:val="18"/>
                <w:szCs w:val="19"/>
              </w:rPr>
              <w:t>–</w:t>
            </w:r>
            <w:r>
              <w:rPr>
                <w:color w:val="000000" w:themeColor="text1"/>
                <w:sz w:val="18"/>
                <w:szCs w:val="19"/>
              </w:rPr>
              <w:t xml:space="preserve"> containers</w:t>
            </w:r>
          </w:p>
        </w:tc>
      </w:tr>
      <w:tr w:rsidR="008E67EA" w14:paraId="13866B36" w14:textId="77777777" w:rsidTr="00B44A74">
        <w:trPr>
          <w:trHeight w:val="463"/>
        </w:trPr>
        <w:tc>
          <w:tcPr>
            <w:tcW w:w="984" w:type="pct"/>
            <w:tcBorders>
              <w:top w:val="single" w:sz="4" w:space="0" w:color="auto"/>
              <w:left w:val="single" w:sz="4" w:space="0" w:color="auto"/>
              <w:bottom w:val="single" w:sz="4" w:space="0" w:color="auto"/>
              <w:right w:val="single" w:sz="4" w:space="0" w:color="auto"/>
            </w:tcBorders>
          </w:tcPr>
          <w:p w14:paraId="5DFF0355" w14:textId="77777777" w:rsidR="008E67EA" w:rsidRDefault="008E67EA" w:rsidP="00B44A74">
            <w:pPr>
              <w:pStyle w:val="GazetteTableText"/>
              <w:rPr>
                <w:b/>
                <w:bCs/>
                <w:sz w:val="18"/>
                <w:szCs w:val="20"/>
              </w:rPr>
            </w:pPr>
            <w:r>
              <w:rPr>
                <w:b/>
                <w:color w:val="000000" w:themeColor="text1"/>
                <w:sz w:val="18"/>
                <w:szCs w:val="20"/>
              </w:rPr>
              <w:t>18E</w:t>
            </w:r>
            <w:r>
              <w:rPr>
                <w:rFonts w:hint="eastAsia"/>
                <w:b/>
                <w:color w:val="000000" w:themeColor="text1"/>
                <w:sz w:val="18"/>
                <w:szCs w:val="22"/>
              </w:rPr>
              <w:t> </w:t>
            </w:r>
          </w:p>
        </w:tc>
        <w:tc>
          <w:tcPr>
            <w:tcW w:w="4016" w:type="pct"/>
            <w:tcBorders>
              <w:top w:val="single" w:sz="4" w:space="0" w:color="auto"/>
              <w:left w:val="single" w:sz="4" w:space="0" w:color="auto"/>
              <w:bottom w:val="single" w:sz="4" w:space="0" w:color="auto"/>
              <w:right w:val="single" w:sz="4" w:space="0" w:color="auto"/>
            </w:tcBorders>
          </w:tcPr>
          <w:p w14:paraId="1B2FCADE" w14:textId="77777777" w:rsidR="008E67EA" w:rsidRDefault="008E67EA" w:rsidP="00B44A74">
            <w:pPr>
              <w:pStyle w:val="GazetteTableText"/>
              <w:rPr>
                <w:sz w:val="18"/>
                <w:szCs w:val="20"/>
              </w:rPr>
            </w:pPr>
            <w:r>
              <w:rPr>
                <w:color w:val="000000" w:themeColor="text1"/>
                <w:sz w:val="18"/>
                <w:szCs w:val="19"/>
              </w:rPr>
              <w:t>Labelling standards and requirements</w:t>
            </w:r>
          </w:p>
        </w:tc>
      </w:tr>
    </w:tbl>
    <w:p w14:paraId="26CBB1D0" w14:textId="77777777" w:rsidR="008E67EA" w:rsidRDefault="008E67EA" w:rsidP="00011C46">
      <w:pPr>
        <w:pStyle w:val="GazetteListNumbered"/>
        <w:ind w:left="357" w:hanging="357"/>
      </w:pPr>
      <w:r>
        <w:t>Relevant APVMA risk assessment manuals, as published on the APVMA website:</w:t>
      </w:r>
    </w:p>
    <w:p w14:paraId="6F713F11" w14:textId="77777777" w:rsidR="008E67EA" w:rsidRDefault="008E67EA" w:rsidP="00011C46">
      <w:pPr>
        <w:pStyle w:val="GazetteListNumbered"/>
        <w:numPr>
          <w:ilvl w:val="1"/>
          <w:numId w:val="1"/>
        </w:numPr>
      </w:pPr>
      <w:r>
        <w:t>Chemistry and manufacture (</w:t>
      </w:r>
      <w:hyperlink r:id="rId62" w:history="1">
        <w:r w:rsidRPr="001B2CB7">
          <w:rPr>
            <w:rStyle w:val="Hyperlink"/>
          </w:rPr>
          <w:t>https://www.apvma.gov.au/registrations-and-permits/data-guidelines/risk-assessment-manuals/chemistry-manufacture</w:t>
        </w:r>
      </w:hyperlink>
      <w:r>
        <w:t>)</w:t>
      </w:r>
    </w:p>
    <w:p w14:paraId="668D6C74" w14:textId="77777777" w:rsidR="008E67EA" w:rsidRDefault="008E67EA" w:rsidP="00011C46">
      <w:pPr>
        <w:pStyle w:val="GazetteListNumbered"/>
        <w:numPr>
          <w:ilvl w:val="1"/>
          <w:numId w:val="1"/>
        </w:numPr>
      </w:pPr>
      <w:r>
        <w:t>Environment (</w:t>
      </w:r>
      <w:hyperlink r:id="rId63" w:history="1">
        <w:r w:rsidRPr="001B2CB7">
          <w:rPr>
            <w:rStyle w:val="Hyperlink"/>
          </w:rPr>
          <w:t>https://www.apvma.gov.au/registrations-and-permits/data-guidelines/risk-assessment-manuals/environment</w:t>
        </w:r>
      </w:hyperlink>
      <w:r>
        <w:t>)</w:t>
      </w:r>
    </w:p>
    <w:p w14:paraId="62708115" w14:textId="6860C358" w:rsidR="00712F84" w:rsidRPr="00B23850" w:rsidRDefault="008E67EA" w:rsidP="00011C46">
      <w:pPr>
        <w:pStyle w:val="GazetteListNumbered"/>
        <w:numPr>
          <w:ilvl w:val="1"/>
          <w:numId w:val="1"/>
        </w:numPr>
      </w:pPr>
      <w:r>
        <w:t>Human health (</w:t>
      </w:r>
      <w:hyperlink r:id="rId64" w:history="1">
        <w:r w:rsidRPr="001B2CB7">
          <w:rPr>
            <w:rStyle w:val="Hyperlink"/>
          </w:rPr>
          <w:t>https://www.apvma.gov.au/registrations-and-permits/data-guidelines/risk-assessment-manuals/human-health</w:t>
        </w:r>
      </w:hyperlink>
      <w:r>
        <w:t>)</w:t>
      </w:r>
    </w:p>
    <w:sectPr w:rsidR="00712F84" w:rsidRPr="00B23850" w:rsidSect="00CB73E0">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33D4B" w14:textId="77777777" w:rsidR="00F522C3" w:rsidRDefault="00F522C3" w:rsidP="002C53E5">
      <w:r>
        <w:separator/>
      </w:r>
    </w:p>
  </w:endnote>
  <w:endnote w:type="continuationSeparator" w:id="0">
    <w:p w14:paraId="54220688" w14:textId="77777777" w:rsidR="00F522C3" w:rsidRDefault="00F522C3"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EE829" w14:textId="77777777" w:rsidR="00F522C3" w:rsidRDefault="00F522C3" w:rsidP="002C53E5">
      <w:r>
        <w:separator/>
      </w:r>
    </w:p>
  </w:footnote>
  <w:footnote w:type="continuationSeparator" w:id="0">
    <w:p w14:paraId="657281C0" w14:textId="77777777" w:rsidR="00F522C3" w:rsidRDefault="00F522C3" w:rsidP="002C53E5">
      <w:r>
        <w:continuationSeparator/>
      </w:r>
    </w:p>
  </w:footnote>
  <w:footnote w:id="1">
    <w:p w14:paraId="5169C0FE" w14:textId="77777777" w:rsidR="008E67EA" w:rsidRPr="002A7D00" w:rsidRDefault="008E67EA" w:rsidP="008E67EA">
      <w:pPr>
        <w:pStyle w:val="FootnoteText"/>
        <w:rPr>
          <w:sz w:val="16"/>
          <w:szCs w:val="16"/>
        </w:rPr>
      </w:pPr>
      <w:r w:rsidRPr="002A7D00">
        <w:rPr>
          <w:rStyle w:val="FootnoteReference"/>
          <w:sz w:val="16"/>
          <w:szCs w:val="16"/>
        </w:rPr>
        <w:footnoteRef/>
      </w:r>
      <w:r w:rsidRPr="002A7D00">
        <w:rPr>
          <w:sz w:val="16"/>
          <w:szCs w:val="16"/>
        </w:rPr>
        <w:t xml:space="preserve"> UF - Uncertainty factor (or safety factor): a reductive factor by which an observed or estimated no-observed adverse-effect level or other reference point, such as the benchmark dose or benchmark dose lower confidence limit, is divided to arrive at a reference dose or standard that is considered safe or without appreciable risk.</w:t>
      </w:r>
    </w:p>
  </w:footnote>
  <w:footnote w:id="2">
    <w:p w14:paraId="611DA40B" w14:textId="77777777" w:rsidR="008E67EA" w:rsidRPr="00EC1704" w:rsidRDefault="008E67EA" w:rsidP="008E67EA">
      <w:pPr>
        <w:pStyle w:val="FootnoteText"/>
        <w:rPr>
          <w:sz w:val="16"/>
          <w:szCs w:val="16"/>
          <w:lang w:val="en-AU"/>
        </w:rPr>
      </w:pPr>
      <w:r w:rsidRPr="00EC1704">
        <w:rPr>
          <w:rStyle w:val="FootnoteReference"/>
          <w:sz w:val="16"/>
          <w:szCs w:val="16"/>
        </w:rPr>
        <w:footnoteRef/>
      </w:r>
      <w:r w:rsidRPr="00EC1704">
        <w:rPr>
          <w:sz w:val="16"/>
          <w:szCs w:val="16"/>
        </w:rPr>
        <w:t xml:space="preserve"> </w:t>
      </w:r>
      <w:r w:rsidRPr="00EC1704">
        <w:rPr>
          <w:color w:val="000000" w:themeColor="text1"/>
          <w:sz w:val="16"/>
          <w:szCs w:val="16"/>
        </w:rPr>
        <w:t>TDI</w:t>
      </w:r>
      <w:r w:rsidRPr="00EC1704">
        <w:rPr>
          <w:sz w:val="16"/>
          <w:szCs w:val="16"/>
        </w:rPr>
        <w:t xml:space="preserve"> - to</w:t>
      </w:r>
      <w:r w:rsidRPr="00EC1704">
        <w:rPr>
          <w:color w:val="000000" w:themeColor="text1"/>
          <w:sz w:val="16"/>
          <w:szCs w:val="16"/>
        </w:rPr>
        <w:t>lerable daily intake (for humans): a level of intake of a chemical contaminant (expressed mg/kg bw/day; milligrams per kilogram of body weight per day) that can be ingested daily over an entire lifetime without any appreciable risk to health,</w:t>
      </w:r>
    </w:p>
  </w:footnote>
  <w:footnote w:id="3">
    <w:p w14:paraId="492B16AF" w14:textId="77777777" w:rsidR="008E67EA" w:rsidRPr="00EC1704" w:rsidRDefault="008E67EA" w:rsidP="008E67EA">
      <w:pPr>
        <w:pStyle w:val="FootnoteText"/>
        <w:rPr>
          <w:lang w:val="en-AU"/>
        </w:rPr>
      </w:pPr>
      <w:r>
        <w:rPr>
          <w:rStyle w:val="FootnoteReference"/>
        </w:rPr>
        <w:footnoteRef/>
      </w:r>
      <w:r>
        <w:t xml:space="preserve"> </w:t>
      </w:r>
      <w:r>
        <w:rPr>
          <w:sz w:val="16"/>
          <w:szCs w:val="16"/>
        </w:rPr>
        <w:t>Acute tolerable intake</w:t>
      </w:r>
      <w:r w:rsidRPr="00A762AA">
        <w:rPr>
          <w:sz w:val="16"/>
          <w:szCs w:val="16"/>
        </w:rPr>
        <w:t xml:space="preserve"> (for humans): the amount of a </w:t>
      </w:r>
      <w:r w:rsidRPr="00EC1704">
        <w:rPr>
          <w:color w:val="000000" w:themeColor="text1"/>
          <w:sz w:val="16"/>
          <w:szCs w:val="16"/>
        </w:rPr>
        <w:t xml:space="preserve">chemical contaminant </w:t>
      </w:r>
      <w:r w:rsidRPr="00A762AA">
        <w:rPr>
          <w:sz w:val="16"/>
          <w:szCs w:val="16"/>
        </w:rPr>
        <w:t>in food or drinking-water, (expressed as mg/kg of body weight), that can be ingested or absorbed over 24 hours or less, without appreciable health risk.</w:t>
      </w:r>
    </w:p>
  </w:footnote>
  <w:footnote w:id="4">
    <w:p w14:paraId="2224606B" w14:textId="77777777" w:rsidR="008E67EA" w:rsidRPr="00373FAA" w:rsidRDefault="008E67EA" w:rsidP="008E67EA">
      <w:pPr>
        <w:pStyle w:val="FootnoteText"/>
        <w:rPr>
          <w:lang w:val="en-AU"/>
        </w:rPr>
      </w:pPr>
      <w:r>
        <w:rPr>
          <w:rStyle w:val="FootnoteReference"/>
        </w:rPr>
        <w:footnoteRef/>
      </w:r>
      <w:r>
        <w:t xml:space="preserve"> </w:t>
      </w:r>
      <w:r>
        <w:rPr>
          <w:lang w:val="en-AU"/>
        </w:rPr>
        <w:t>Section 5A(1)(c) Agvet Code.</w:t>
      </w:r>
    </w:p>
  </w:footnote>
  <w:footnote w:id="5">
    <w:p w14:paraId="6893B8D1" w14:textId="77777777" w:rsidR="008E67EA" w:rsidRPr="00373FAA" w:rsidRDefault="008E67EA" w:rsidP="008E67EA">
      <w:pPr>
        <w:pStyle w:val="FootnoteText"/>
        <w:rPr>
          <w:lang w:val="en-AU"/>
        </w:rPr>
      </w:pPr>
      <w:r>
        <w:rPr>
          <w:rStyle w:val="FootnoteReference"/>
        </w:rPr>
        <w:footnoteRef/>
      </w:r>
      <w:r>
        <w:t xml:space="preserve"> </w:t>
      </w:r>
      <w:r>
        <w:rPr>
          <w:lang w:val="en-AU"/>
        </w:rPr>
        <w:t>Section 5A(1)(a) Agvet Code.</w:t>
      </w:r>
    </w:p>
  </w:footnote>
  <w:footnote w:id="6">
    <w:p w14:paraId="062622DD" w14:textId="77777777" w:rsidR="008E67EA" w:rsidRPr="00373FAA" w:rsidRDefault="008E67EA" w:rsidP="008E67EA">
      <w:pPr>
        <w:pStyle w:val="FootnoteText"/>
        <w:rPr>
          <w:lang w:val="en-AU"/>
        </w:rPr>
      </w:pPr>
      <w:r>
        <w:rPr>
          <w:rStyle w:val="FootnoteReference"/>
        </w:rPr>
        <w:footnoteRef/>
      </w:r>
      <w:r>
        <w:t xml:space="preserve"> </w:t>
      </w:r>
      <w:r>
        <w:rPr>
          <w:lang w:val="en-AU"/>
        </w:rPr>
        <w:t>Section 5A(1)(b) Agvet Code.</w:t>
      </w:r>
    </w:p>
  </w:footnote>
  <w:footnote w:id="7">
    <w:p w14:paraId="00143235" w14:textId="77777777" w:rsidR="008E67EA" w:rsidRPr="00577C04" w:rsidRDefault="008E67EA" w:rsidP="008E67EA">
      <w:pPr>
        <w:pStyle w:val="FootnoteText"/>
        <w:rPr>
          <w:lang w:val="en-AU"/>
        </w:rPr>
      </w:pPr>
      <w:r>
        <w:rPr>
          <w:rStyle w:val="FootnoteReference"/>
        </w:rPr>
        <w:footnoteRef/>
      </w:r>
      <w:r>
        <w:t xml:space="preserve"> </w:t>
      </w:r>
      <w:bookmarkStart w:id="188" w:name="_Hlk213603745"/>
      <w:r w:rsidRPr="00577C04">
        <w:rPr>
          <w:lang w:val="en-AU"/>
        </w:rPr>
        <w:t xml:space="preserve">Berny Ph, Esther A, Jacob J, Prescott C, 2014. </w:t>
      </w:r>
      <w:hyperlink r:id="rId1" w:history="1">
        <w:r w:rsidRPr="00577C04">
          <w:rPr>
            <w:rStyle w:val="Hyperlink"/>
            <w:lang w:val="en-AU"/>
          </w:rPr>
          <w:t>Risk mitigation measures for anticoagulant rodenticides as biocidal products.</w:t>
        </w:r>
      </w:hyperlink>
      <w:r w:rsidRPr="00577C04">
        <w:rPr>
          <w:lang w:val="en-AU"/>
        </w:rPr>
        <w:t xml:space="preserve"> European Commission contract no 07-0307/2012/638259/ETU/D3</w:t>
      </w:r>
      <w:r>
        <w:rPr>
          <w:lang w:val="en-AU"/>
        </w:rPr>
        <w:t>.</w:t>
      </w:r>
      <w:bookmarkEnd w:id="188"/>
    </w:p>
  </w:footnote>
  <w:footnote w:id="8">
    <w:p w14:paraId="21D6DE64" w14:textId="77777777" w:rsidR="008E67EA" w:rsidRPr="00577C04" w:rsidRDefault="008E67EA" w:rsidP="008E67EA">
      <w:pPr>
        <w:pStyle w:val="FootnoteText"/>
        <w:rPr>
          <w:lang w:val="en-AU"/>
        </w:rPr>
      </w:pPr>
      <w:r>
        <w:rPr>
          <w:rStyle w:val="FootnoteReference"/>
        </w:rPr>
        <w:footnoteRef/>
      </w:r>
      <w:r>
        <w:t xml:space="preserve"> </w:t>
      </w:r>
      <w:r w:rsidRPr="00577C04">
        <w:rPr>
          <w:lang w:val="en-AU"/>
        </w:rPr>
        <w:t xml:space="preserve">Berny Ph, Esther A, Jacob J, Prescott C, 2014. </w:t>
      </w:r>
      <w:hyperlink r:id="rId2" w:history="1">
        <w:r w:rsidRPr="00577C04">
          <w:rPr>
            <w:rStyle w:val="Hyperlink"/>
            <w:lang w:val="en-AU"/>
          </w:rPr>
          <w:t>Risk mitigation measures for anticoagulant rodenticides as biocidal products.</w:t>
        </w:r>
      </w:hyperlink>
      <w:r w:rsidRPr="00577C04">
        <w:rPr>
          <w:lang w:val="en-AU"/>
        </w:rPr>
        <w:t xml:space="preserve"> European Commission contract no 07-0307/2012/638259/ETU/D3</w:t>
      </w:r>
      <w:r>
        <w:rPr>
          <w:lang w:val="en-AU"/>
        </w:rPr>
        <w:t>.</w:t>
      </w:r>
    </w:p>
  </w:footnote>
  <w:footnote w:id="9">
    <w:p w14:paraId="4B1E7294" w14:textId="77777777" w:rsidR="008E67EA" w:rsidRPr="00EC1704" w:rsidRDefault="008E67EA" w:rsidP="008E67EA">
      <w:pPr>
        <w:pStyle w:val="FootnoteText"/>
        <w:rPr>
          <w:sz w:val="16"/>
          <w:szCs w:val="16"/>
          <w:lang w:val="en-AU"/>
        </w:rPr>
      </w:pPr>
      <w:r w:rsidRPr="00EC1704">
        <w:rPr>
          <w:rStyle w:val="FootnoteReference"/>
          <w:sz w:val="16"/>
          <w:szCs w:val="16"/>
        </w:rPr>
        <w:footnoteRef/>
      </w:r>
      <w:r w:rsidRPr="00EC1704">
        <w:rPr>
          <w:sz w:val="16"/>
          <w:szCs w:val="16"/>
        </w:rPr>
        <w:t xml:space="preserve"> </w:t>
      </w:r>
      <w:r w:rsidRPr="00EC1704">
        <w:rPr>
          <w:color w:val="000000" w:themeColor="text1"/>
          <w:sz w:val="16"/>
          <w:szCs w:val="16"/>
        </w:rPr>
        <w:t>TDI</w:t>
      </w:r>
      <w:r w:rsidRPr="00EC1704">
        <w:rPr>
          <w:sz w:val="16"/>
          <w:szCs w:val="16"/>
        </w:rPr>
        <w:t xml:space="preserve"> - to</w:t>
      </w:r>
      <w:r w:rsidRPr="00EC1704">
        <w:rPr>
          <w:color w:val="000000" w:themeColor="text1"/>
          <w:sz w:val="16"/>
          <w:szCs w:val="16"/>
        </w:rPr>
        <w:t>lerable daily intake (for humans): a level of intake of a chemical contaminant (expressed mg/kg bw/day; milligrams per kilogram of body weight per day) that can be ingested daily over an entire lifetime without any appreciable risk to health,</w:t>
      </w:r>
    </w:p>
  </w:footnote>
  <w:footnote w:id="10">
    <w:p w14:paraId="6A1E6D7B" w14:textId="77777777" w:rsidR="008E67EA" w:rsidRPr="00EC1704" w:rsidRDefault="008E67EA" w:rsidP="008E67EA">
      <w:pPr>
        <w:pStyle w:val="FootnoteText"/>
        <w:rPr>
          <w:lang w:val="en-AU"/>
        </w:rPr>
      </w:pPr>
      <w:r>
        <w:rPr>
          <w:rStyle w:val="FootnoteReference"/>
        </w:rPr>
        <w:footnoteRef/>
      </w:r>
      <w:r>
        <w:t xml:space="preserve"> </w:t>
      </w:r>
      <w:r>
        <w:rPr>
          <w:sz w:val="16"/>
          <w:szCs w:val="16"/>
        </w:rPr>
        <w:t>Acute tolerable intake</w:t>
      </w:r>
      <w:r w:rsidRPr="00A762AA">
        <w:rPr>
          <w:sz w:val="16"/>
          <w:szCs w:val="16"/>
        </w:rPr>
        <w:t xml:space="preserve"> (for humans): the amount of a </w:t>
      </w:r>
      <w:r w:rsidRPr="00EC1704">
        <w:rPr>
          <w:color w:val="000000" w:themeColor="text1"/>
          <w:sz w:val="16"/>
          <w:szCs w:val="16"/>
        </w:rPr>
        <w:t xml:space="preserve">chemical contaminant </w:t>
      </w:r>
      <w:r w:rsidRPr="00A762AA">
        <w:rPr>
          <w:sz w:val="16"/>
          <w:szCs w:val="16"/>
        </w:rPr>
        <w:t>in food or drinking-water, (expressed as mg/kg of body weight), that can be ingested or absorbed over 24 hours or less, without appreciable health risk.</w:t>
      </w:r>
    </w:p>
  </w:footnote>
  <w:footnote w:id="11">
    <w:p w14:paraId="2C5B0018" w14:textId="77777777" w:rsidR="008E67EA" w:rsidRPr="00373FAA" w:rsidRDefault="008E67EA" w:rsidP="008E67EA">
      <w:pPr>
        <w:pStyle w:val="FootnoteText"/>
        <w:rPr>
          <w:lang w:val="en-AU"/>
        </w:rPr>
      </w:pPr>
      <w:r>
        <w:rPr>
          <w:rStyle w:val="FootnoteReference"/>
        </w:rPr>
        <w:footnoteRef/>
      </w:r>
      <w:r>
        <w:t xml:space="preserve"> </w:t>
      </w:r>
      <w:r>
        <w:rPr>
          <w:lang w:val="en-AU"/>
        </w:rPr>
        <w:t>Section 5A(1)(c) Agvet Code.</w:t>
      </w:r>
    </w:p>
  </w:footnote>
  <w:footnote w:id="12">
    <w:p w14:paraId="3A1F6E96" w14:textId="77777777" w:rsidR="008E67EA" w:rsidRPr="00373FAA" w:rsidRDefault="008E67EA" w:rsidP="008E67EA">
      <w:pPr>
        <w:pStyle w:val="FootnoteText"/>
        <w:rPr>
          <w:lang w:val="en-AU"/>
        </w:rPr>
      </w:pPr>
      <w:r>
        <w:rPr>
          <w:rStyle w:val="FootnoteReference"/>
        </w:rPr>
        <w:footnoteRef/>
      </w:r>
      <w:r>
        <w:t xml:space="preserve"> </w:t>
      </w:r>
      <w:r>
        <w:rPr>
          <w:lang w:val="en-AU"/>
        </w:rPr>
        <w:t>Section 5A(1)(a) Agvet Code.</w:t>
      </w:r>
    </w:p>
  </w:footnote>
  <w:footnote w:id="13">
    <w:p w14:paraId="62E25079" w14:textId="77777777" w:rsidR="008E67EA" w:rsidRPr="00373FAA" w:rsidRDefault="008E67EA" w:rsidP="008E67EA">
      <w:pPr>
        <w:pStyle w:val="FootnoteText"/>
        <w:rPr>
          <w:lang w:val="en-AU"/>
        </w:rPr>
      </w:pPr>
      <w:r>
        <w:rPr>
          <w:rStyle w:val="FootnoteReference"/>
        </w:rPr>
        <w:footnoteRef/>
      </w:r>
      <w:r>
        <w:t xml:space="preserve"> </w:t>
      </w:r>
      <w:r>
        <w:rPr>
          <w:lang w:val="en-AU"/>
        </w:rPr>
        <w:t>Section 5A(1)(b) Agvet Code.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5C48"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117378"/>
      <w:docPartObj>
        <w:docPartGallery w:val="Page Numbers (Top of Page)"/>
        <w:docPartUnique/>
      </w:docPartObj>
    </w:sdtPr>
    <w:sdtEndPr>
      <w:rPr>
        <w:rFonts w:cs="Times New Roman"/>
        <w:sz w:val="18"/>
        <w:szCs w:val="24"/>
      </w:rPr>
    </w:sdtEndPr>
    <w:sdtContent>
      <w:p w14:paraId="685AF5CB" w14:textId="20EE3F45" w:rsidR="00D85218" w:rsidRPr="00335FCB" w:rsidRDefault="00D85218" w:rsidP="00D4624B">
        <w:pPr>
          <w:pStyle w:val="GazetteHeaderOdd"/>
          <w:tabs>
            <w:tab w:val="clear" w:pos="4513"/>
            <w:tab w:val="clear" w:pos="9026"/>
            <w:tab w:val="center" w:pos="1418"/>
            <w:tab w:val="right" w:pos="3969"/>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2C0C2A">
          <w:rPr>
            <w:rStyle w:val="PageNumber"/>
            <w:bCs/>
            <w:noProof/>
          </w:rPr>
          <w:t>Attachment A: Anticoagulant rodenticide product registrations and label approvals under reconsideration that the APVMA is proposing to vary and then affirm pursuant to sections 34A(1) and 34(1) of the Agvet Code</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6913784"/>
      <w:docPartObj>
        <w:docPartGallery w:val="Page Numbers (Top of Page)"/>
        <w:docPartUnique/>
      </w:docPartObj>
    </w:sdtPr>
    <w:sdtEndPr>
      <w:rPr>
        <w:noProof/>
      </w:rPr>
    </w:sdtEndPr>
    <w:sdtContent>
      <w:p w14:paraId="182A13C2" w14:textId="38F9E19E" w:rsidR="00D85218" w:rsidRDefault="00D85218" w:rsidP="00D85218">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2C0C2A">
            <w:rPr>
              <w:noProof/>
            </w:rPr>
            <w:t>APVMA Special Gazette, 16 December 2025</w:t>
          </w:r>
        </w:fldSimple>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071230"/>
      <w:docPartObj>
        <w:docPartGallery w:val="Page Numbers (Top of Page)"/>
        <w:docPartUnique/>
      </w:docPartObj>
    </w:sdtPr>
    <w:sdtEndPr>
      <w:rPr>
        <w:rFonts w:cs="Times New Roman"/>
        <w:sz w:val="18"/>
        <w:szCs w:val="24"/>
      </w:rPr>
    </w:sdtEndPr>
    <w:sdtContent>
      <w:p w14:paraId="6D17FA3D" w14:textId="78CDB42D" w:rsidR="00D85218" w:rsidRPr="00335FCB" w:rsidRDefault="00D85218" w:rsidP="00D85218">
        <w:pPr>
          <w:pStyle w:val="GazetteHeaderOdd"/>
          <w:tabs>
            <w:tab w:val="clear" w:pos="4513"/>
            <w:tab w:val="clear" w:pos="9026"/>
            <w:tab w:val="center" w:pos="1418"/>
            <w:tab w:val="right" w:pos="2835"/>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2C0C2A">
          <w:rPr>
            <w:rStyle w:val="PageNumber"/>
            <w:bCs/>
            <w:noProof/>
          </w:rPr>
          <w:t>Attachment D: Templates for proposed varied anticoagulant rodenticide labels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4706588"/>
      <w:docPartObj>
        <w:docPartGallery w:val="Page Numbers (Top of Page)"/>
        <w:docPartUnique/>
      </w:docPartObj>
    </w:sdtPr>
    <w:sdtEndPr>
      <w:rPr>
        <w:rFonts w:cs="Times New Roman"/>
        <w:sz w:val="18"/>
        <w:szCs w:val="24"/>
      </w:rPr>
    </w:sdtEndPr>
    <w:sdtContent>
      <w:p w14:paraId="14F595C4" w14:textId="4097A81E" w:rsidR="00060DA7" w:rsidRPr="00335FCB" w:rsidRDefault="00060DA7" w:rsidP="00060DA7">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002C0C2A">
          <w:rPr>
            <w:rStyle w:val="PageNumber"/>
            <w:bCs/>
          </w:rPr>
          <w:fldChar w:fldCharType="separate"/>
        </w:r>
        <w:r w:rsidR="002C0C2A">
          <w:rPr>
            <w:rStyle w:val="PageNumber"/>
            <w:bCs/>
            <w:noProof/>
          </w:rPr>
          <w:t>Attachment A: Anticoagulant rodenticide product registrations and label approvals under reconsideration that the APVMA is proposing to cancel</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661776"/>
      <w:docPartObj>
        <w:docPartGallery w:val="Page Numbers (Top of Page)"/>
        <w:docPartUnique/>
      </w:docPartObj>
    </w:sdtPr>
    <w:sdtEndPr>
      <w:rPr>
        <w:noProof/>
      </w:rPr>
    </w:sdtEndPr>
    <w:sdtContent>
      <w:p w14:paraId="5A157EF8" w14:textId="3F4B1FAD" w:rsidR="00060DA7" w:rsidRDefault="00060DA7" w:rsidP="00060DA7">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2C0C2A">
            <w:rPr>
              <w:noProof/>
            </w:rPr>
            <w:t>APVMA Special Gazette, 16 December 2025</w:t>
          </w:r>
        </w:fldSimple>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466912"/>
      <w:docPartObj>
        <w:docPartGallery w:val="Page Numbers (Top of Page)"/>
        <w:docPartUnique/>
      </w:docPartObj>
    </w:sdtPr>
    <w:sdtEndPr>
      <w:rPr>
        <w:rFonts w:cs="Times New Roman"/>
        <w:sz w:val="18"/>
        <w:szCs w:val="24"/>
      </w:rPr>
    </w:sdtEndPr>
    <w:sdtContent>
      <w:p w14:paraId="4789BE3B" w14:textId="004EEFD5" w:rsidR="00060DA7" w:rsidRPr="00335FCB" w:rsidRDefault="00060DA7" w:rsidP="00060DA7">
        <w:pPr>
          <w:pStyle w:val="GazetteHeaderOdd"/>
          <w:tabs>
            <w:tab w:val="clear" w:pos="4513"/>
            <w:tab w:val="clear" w:pos="9026"/>
            <w:tab w:val="center" w:pos="1276"/>
            <w:tab w:val="right" w:pos="1418"/>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2C0C2A">
          <w:rPr>
            <w:rStyle w:val="PageNumber"/>
            <w:bCs/>
            <w:noProof/>
          </w:rPr>
          <w:t>Attachment C: Information on which the reasons are based</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591C" w14:textId="77777777" w:rsidR="00FD71D4" w:rsidRPr="003F2769" w:rsidRDefault="00FD71D4" w:rsidP="00FD71D4">
    <w:pPr>
      <w:pStyle w:val="Header"/>
      <w:rPr>
        <w:i/>
      </w:rPr>
    </w:pPr>
    <w:r w:rsidRPr="003F2769">
      <w:t>Commonwealth of Australia Gazette</w:t>
    </w:r>
  </w:p>
  <w:p w14:paraId="7158673A" w14:textId="48716731"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2C0C2A">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797469"/>
      <w:docPartObj>
        <w:docPartGallery w:val="Page Numbers (Top of Page)"/>
        <w:docPartUnique/>
      </w:docPartObj>
    </w:sdtPr>
    <w:sdtEndPr>
      <w:rPr>
        <w:rFonts w:cs="Times New Roman"/>
        <w:sz w:val="18"/>
        <w:szCs w:val="24"/>
      </w:rPr>
    </w:sdtEndPr>
    <w:sdtContent>
      <w:p w14:paraId="67E4594A" w14:textId="0F090EB1" w:rsidR="00D85218" w:rsidRPr="00335FCB" w:rsidRDefault="00D85218" w:rsidP="00D85218">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2C0C2A">
          <w:rPr>
            <w:rStyle w:val="PageNumber"/>
            <w:bCs/>
            <w:noProof/>
          </w:rPr>
          <w:t>Notice under section 34AB of the Agricultural and Veterinary Chemicals Code scheduled to the Agricultural and Veterinary Chemicals Code Act 1994: anticoagulant rodenticides reconsideration - proposed decision to vary and affirm active constituent approvals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394404"/>
      <w:docPartObj>
        <w:docPartGallery w:val="Page Numbers (Top of Page)"/>
        <w:docPartUnique/>
      </w:docPartObj>
    </w:sdtPr>
    <w:sdtEndPr>
      <w:rPr>
        <w:noProof/>
      </w:rPr>
    </w:sdtEndPr>
    <w:sdtContent>
      <w:p w14:paraId="46FD5BC7" w14:textId="2294ACEA" w:rsidR="00D85218" w:rsidRDefault="00D85218" w:rsidP="00D85218">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2C0C2A">
            <w:rPr>
              <w:noProof/>
            </w:rPr>
            <w:t>APVMA Special Gazette, 16 December 2025</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567091"/>
      <w:docPartObj>
        <w:docPartGallery w:val="Page Numbers (Top of Page)"/>
        <w:docPartUnique/>
      </w:docPartObj>
    </w:sdtPr>
    <w:sdtEndPr>
      <w:rPr>
        <w:noProof/>
      </w:rPr>
    </w:sdtEndPr>
    <w:sdtContent>
      <w:p w14:paraId="4AC3AF60" w14:textId="566AE942" w:rsidR="00712F84" w:rsidRDefault="00712F84" w:rsidP="00B44029">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rsidR="0072056F">
          <w:rPr>
            <w:noProof/>
          </w:rPr>
          <w:t>4</w:t>
        </w:r>
        <w:r>
          <w:rPr>
            <w:noProof/>
          </w:rPr>
          <w:fldChar w:fldCharType="end"/>
        </w:r>
        <w:r>
          <w:rPr>
            <w:noProof/>
          </w:rPr>
          <w:tab/>
        </w:r>
        <w:r w:rsidRPr="002C53E5">
          <w:t xml:space="preserve">Commonwealth of Australia </w:t>
        </w:r>
        <w:fldSimple w:instr=" STYLEREF  &quot;Gazette Cover H3&quot;  \* MERGEFORMAT ">
          <w:r w:rsidR="002C0C2A">
            <w:rPr>
              <w:noProof/>
            </w:rPr>
            <w:t>APVMA Special Gazette, 16 December 2025</w:t>
          </w:r>
        </w:fldSimple>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224220"/>
      <w:docPartObj>
        <w:docPartGallery w:val="Page Numbers (Top of Page)"/>
        <w:docPartUnique/>
      </w:docPartObj>
    </w:sdtPr>
    <w:sdtEndPr>
      <w:rPr>
        <w:noProof/>
      </w:rPr>
    </w:sdtEndPr>
    <w:sdtContent>
      <w:p w14:paraId="2D9435B1" w14:textId="3A387821" w:rsidR="00D85218" w:rsidRDefault="00D85218" w:rsidP="00D85218">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2C0C2A">
            <w:rPr>
              <w:noProof/>
            </w:rPr>
            <w:t>APVMA Special Gazette, 16 December 2025</w:t>
          </w:r>
        </w:fldSimple>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421514"/>
      <w:docPartObj>
        <w:docPartGallery w:val="Page Numbers (Top of Page)"/>
        <w:docPartUnique/>
      </w:docPartObj>
    </w:sdtPr>
    <w:sdtEndPr>
      <w:rPr>
        <w:rFonts w:cs="Times New Roman"/>
        <w:sz w:val="18"/>
        <w:szCs w:val="24"/>
      </w:rPr>
    </w:sdtEndPr>
    <w:sdtContent>
      <w:p w14:paraId="715F3E55" w14:textId="36A7F056" w:rsidR="00D85218" w:rsidRPr="00335FCB" w:rsidRDefault="00D85218" w:rsidP="00D85218">
        <w:pPr>
          <w:pStyle w:val="GazetteHeaderOdd"/>
          <w:tabs>
            <w:tab w:val="clear" w:pos="4513"/>
            <w:tab w:val="clear" w:pos="9026"/>
            <w:tab w:val="right" w:pos="284"/>
            <w:tab w:val="center" w:pos="2127"/>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2C0C2A">
          <w:rPr>
            <w:rStyle w:val="PageNumber"/>
            <w:bCs/>
            <w:noProof/>
          </w:rPr>
          <w:t>Attachment B: Draft statement of reasons for proposed decision to vary and affirm anticoagulant rodenticide active constituents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0F38"/>
    <w:multiLevelType w:val="hybridMultilevel"/>
    <w:tmpl w:val="E7F8AFEA"/>
    <w:lvl w:ilvl="0" w:tplc="FFFFFFFF">
      <w:start w:val="1"/>
      <w:numFmt w:val="decimal"/>
      <w:lvlText w:val="(%1)"/>
      <w:lvlJc w:val="left"/>
      <w:pPr>
        <w:ind w:left="1211"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 w15:restartNumberingAfterBreak="0">
    <w:nsid w:val="01CE5AFD"/>
    <w:multiLevelType w:val="multilevel"/>
    <w:tmpl w:val="F3C67B8C"/>
    <w:lvl w:ilvl="0">
      <w:start w:val="1"/>
      <w:numFmt w:val="decimal"/>
      <w:lvlText w:val="%1."/>
      <w:lvlJc w:val="left"/>
      <w:pPr>
        <w:tabs>
          <w:tab w:val="num" w:pos="709"/>
        </w:tabs>
        <w:ind w:left="567" w:hanging="567"/>
      </w:pPr>
      <w:rPr>
        <w:rFonts w:hint="default"/>
        <w:b w:val="0"/>
        <w:i w:val="0"/>
        <w:caps w:val="0"/>
        <w:strike w:val="0"/>
        <w:dstrike w:val="0"/>
        <w:vanish w:val="0"/>
        <w:sz w:val="18"/>
        <w:u w:val="none"/>
        <w:vertAlign w:val="baseline"/>
      </w:rPr>
    </w:lvl>
    <w:lvl w:ilvl="1">
      <w:start w:val="1"/>
      <w:numFmt w:val="decimal"/>
      <w:lvlText w:val="%1.%2."/>
      <w:lvlJc w:val="left"/>
      <w:pPr>
        <w:tabs>
          <w:tab w:val="num" w:pos="1135"/>
        </w:tabs>
        <w:ind w:left="1135" w:hanging="567"/>
      </w:pPr>
      <w:rPr>
        <w:rFonts w:ascii="Arial" w:hAnsi="Arial" w:hint="default"/>
        <w:b w:val="0"/>
        <w:bCs w:val="0"/>
        <w:i w:val="0"/>
        <w:iCs w:val="0"/>
        <w:sz w:val="18"/>
      </w:rPr>
    </w:lvl>
    <w:lvl w:ilvl="2">
      <w:start w:val="1"/>
      <w:numFmt w:val="lowerLetter"/>
      <w:lvlText w:val="%3."/>
      <w:lvlJc w:val="left"/>
      <w:pPr>
        <w:tabs>
          <w:tab w:val="num" w:pos="1701"/>
        </w:tabs>
        <w:ind w:left="1701" w:hanging="567"/>
      </w:pPr>
      <w:rPr>
        <w:rFonts w:ascii="Arial" w:hAnsi="Arial" w:hint="default"/>
        <w:sz w:val="18"/>
      </w:rPr>
    </w:lvl>
    <w:lvl w:ilvl="3">
      <w:start w:val="1"/>
      <w:numFmt w:val="bullet"/>
      <w:lvlText w:val=""/>
      <w:lvlJc w:val="left"/>
      <w:pPr>
        <w:tabs>
          <w:tab w:val="num" w:pos="2268"/>
        </w:tabs>
        <w:ind w:left="2268" w:hanging="567"/>
      </w:pPr>
      <w:rPr>
        <w:rFonts w:ascii="Symbol" w:hAnsi="Symbol" w:hint="default"/>
        <w:color w:val="auto"/>
        <w:sz w:val="20"/>
      </w:rPr>
    </w:lvl>
    <w:lvl w:ilvl="4">
      <w:start w:val="1"/>
      <w:numFmt w:val="bullet"/>
      <w:lvlText w:val=""/>
      <w:lvlJc w:val="left"/>
      <w:pPr>
        <w:tabs>
          <w:tab w:val="num" w:pos="709"/>
        </w:tabs>
        <w:ind w:left="425" w:hanging="425"/>
      </w:pPr>
      <w:rPr>
        <w:rFonts w:ascii="Symbol" w:hAnsi="Symbol" w:hint="default"/>
        <w:b w:val="0"/>
        <w:i w:val="0"/>
        <w:color w:val="auto"/>
      </w:rPr>
    </w:lvl>
    <w:lvl w:ilvl="5">
      <w:start w:val="1"/>
      <w:numFmt w:val="bullet"/>
      <w:lvlText w:val="–"/>
      <w:lvlJc w:val="left"/>
      <w:pPr>
        <w:tabs>
          <w:tab w:val="num" w:pos="1418"/>
        </w:tabs>
        <w:ind w:left="851" w:hanging="426"/>
      </w:pPr>
      <w:rPr>
        <w:rFonts w:hint="default"/>
        <w:b w:val="0"/>
        <w:i w:val="0"/>
      </w:rPr>
    </w:lvl>
    <w:lvl w:ilvl="6">
      <w:start w:val="1"/>
      <w:numFmt w:val="bullet"/>
      <w:lvlText w:val="–"/>
      <w:lvlJc w:val="left"/>
      <w:pPr>
        <w:tabs>
          <w:tab w:val="num" w:pos="1843"/>
        </w:tabs>
        <w:ind w:left="1276" w:hanging="425"/>
      </w:pPr>
      <w:rPr>
        <w:rFonts w:hint="default"/>
        <w:b w:val="0"/>
        <w:i w:val="0"/>
      </w:rPr>
    </w:lvl>
    <w:lvl w:ilvl="7">
      <w:start w:val="1"/>
      <w:numFmt w:val="bullet"/>
      <w:lvlText w:val="–"/>
      <w:lvlJc w:val="left"/>
      <w:pPr>
        <w:tabs>
          <w:tab w:val="num" w:pos="2410"/>
        </w:tabs>
        <w:ind w:left="1701" w:hanging="425"/>
      </w:pPr>
      <w:rPr>
        <w:rFonts w:hint="default"/>
        <w:b w:val="0"/>
        <w:i w:val="0"/>
      </w:rPr>
    </w:lvl>
    <w:lvl w:ilvl="8">
      <w:start w:val="1"/>
      <w:numFmt w:val="bullet"/>
      <w:lvlText w:val="–"/>
      <w:lvlJc w:val="left"/>
      <w:pPr>
        <w:tabs>
          <w:tab w:val="num" w:pos="2835"/>
        </w:tabs>
        <w:ind w:left="2126" w:hanging="425"/>
      </w:pPr>
      <w:rPr>
        <w:rFonts w:hint="default"/>
        <w:b w:val="0"/>
        <w:i w:val="0"/>
      </w:rPr>
    </w:lvl>
  </w:abstractNum>
  <w:abstractNum w:abstractNumId="2"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6FB7084"/>
    <w:multiLevelType w:val="hybridMultilevel"/>
    <w:tmpl w:val="E7F8AFEA"/>
    <w:lvl w:ilvl="0" w:tplc="FFFFFFFF">
      <w:start w:val="1"/>
      <w:numFmt w:val="decimal"/>
      <w:lvlText w:val="(%1)"/>
      <w:lvlJc w:val="left"/>
      <w:pPr>
        <w:ind w:left="1211"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296B7A"/>
    <w:multiLevelType w:val="hybridMultilevel"/>
    <w:tmpl w:val="E7F8AFEA"/>
    <w:lvl w:ilvl="0" w:tplc="FFFFFFFF">
      <w:start w:val="1"/>
      <w:numFmt w:val="decimal"/>
      <w:lvlText w:val="(%1)"/>
      <w:lvlJc w:val="left"/>
      <w:pPr>
        <w:ind w:left="1211"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6" w15:restartNumberingAfterBreak="0">
    <w:nsid w:val="12C26033"/>
    <w:multiLevelType w:val="multilevel"/>
    <w:tmpl w:val="AB44D018"/>
    <w:lvl w:ilvl="0">
      <w:start w:val="2"/>
      <w:numFmt w:val="decimal"/>
      <w:pStyle w:val="NumberLevel1"/>
      <w:lvlText w:val="%1."/>
      <w:lvlJc w:val="left"/>
      <w:pPr>
        <w:tabs>
          <w:tab w:val="num" w:pos="709"/>
        </w:tabs>
        <w:ind w:left="567" w:hanging="567"/>
      </w:pPr>
      <w:rPr>
        <w:rFonts w:ascii="Arial" w:hAnsi="Arial" w:hint="default"/>
        <w:b w:val="0"/>
        <w:i w:val="0"/>
        <w:caps w:val="0"/>
        <w:strike w:val="0"/>
        <w:dstrike w:val="0"/>
        <w:vanish w:val="0"/>
        <w:sz w:val="20"/>
        <w:u w:val="none"/>
        <w:vertAlign w:val="baseline"/>
      </w:rPr>
    </w:lvl>
    <w:lvl w:ilvl="1">
      <w:start w:val="1"/>
      <w:numFmt w:val="decimal"/>
      <w:pStyle w:val="NumberLevel2"/>
      <w:lvlText w:val="%1.%2."/>
      <w:lvlJc w:val="left"/>
      <w:pPr>
        <w:tabs>
          <w:tab w:val="num" w:pos="1134"/>
        </w:tabs>
        <w:ind w:left="1134" w:hanging="567"/>
      </w:pPr>
      <w:rPr>
        <w:rFonts w:ascii="Arial" w:hAnsi="Arial" w:hint="default"/>
        <w:i w:val="0"/>
        <w:iCs w:val="0"/>
        <w:sz w:val="20"/>
      </w:rPr>
    </w:lvl>
    <w:lvl w:ilvl="2">
      <w:start w:val="1"/>
      <w:numFmt w:val="lowerLetter"/>
      <w:pStyle w:val="NumberLevel3"/>
      <w:lvlText w:val="%3."/>
      <w:lvlJc w:val="left"/>
      <w:pPr>
        <w:tabs>
          <w:tab w:val="num" w:pos="1701"/>
        </w:tabs>
        <w:ind w:left="1701" w:hanging="567"/>
      </w:pPr>
      <w:rPr>
        <w:rFonts w:ascii="Arial" w:hAnsi="Arial" w:hint="default"/>
        <w:sz w:val="20"/>
      </w:rPr>
    </w:lvl>
    <w:lvl w:ilvl="3">
      <w:start w:val="1"/>
      <w:numFmt w:val="bullet"/>
      <w:pStyle w:val="NumberLevel4"/>
      <w:lvlText w:val=""/>
      <w:lvlJc w:val="left"/>
      <w:pPr>
        <w:tabs>
          <w:tab w:val="num" w:pos="2268"/>
        </w:tabs>
        <w:ind w:left="2268" w:hanging="567"/>
      </w:pPr>
      <w:rPr>
        <w:rFonts w:ascii="Symbol" w:hAnsi="Symbol" w:hint="default"/>
        <w:color w:val="auto"/>
        <w:sz w:val="20"/>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7"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8" w15:restartNumberingAfterBreak="0">
    <w:nsid w:val="18AF36E0"/>
    <w:multiLevelType w:val="hybridMultilevel"/>
    <w:tmpl w:val="E7F8AFEA"/>
    <w:lvl w:ilvl="0" w:tplc="FFFFFFFF">
      <w:start w:val="1"/>
      <w:numFmt w:val="decimal"/>
      <w:lvlText w:val="(%1)"/>
      <w:lvlJc w:val="left"/>
      <w:pPr>
        <w:ind w:left="1211"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9" w15:restartNumberingAfterBreak="0">
    <w:nsid w:val="1B3F08B3"/>
    <w:multiLevelType w:val="hybridMultilevel"/>
    <w:tmpl w:val="E7F8AFEA"/>
    <w:lvl w:ilvl="0" w:tplc="FFFFFFFF">
      <w:start w:val="1"/>
      <w:numFmt w:val="decimal"/>
      <w:lvlText w:val="(%1)"/>
      <w:lvlJc w:val="left"/>
      <w:pPr>
        <w:ind w:left="1211"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0" w15:restartNumberingAfterBreak="0">
    <w:nsid w:val="1B431966"/>
    <w:multiLevelType w:val="multilevel"/>
    <w:tmpl w:val="3CB690F6"/>
    <w:styleLink w:val="ChemicalRevew-StatementofReasons"/>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620" w:hanging="180"/>
      </w:pPr>
      <w:rPr>
        <w:rFont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780" w:hanging="180"/>
      </w:pPr>
      <w:rPr>
        <w:rFonts w:ascii="Wingdings" w:hAnsi="Wingdings" w:hint="default"/>
      </w:rPr>
    </w:lvl>
    <w:lvl w:ilvl="6">
      <w:start w:val="1"/>
      <w:numFmt w:val="decimal"/>
      <w:lvlText w:val="%7."/>
      <w:lvlJc w:val="left"/>
      <w:pPr>
        <w:ind w:left="6840" w:hanging="360"/>
      </w:pPr>
      <w:rPr>
        <w:rFonts w:hint="default"/>
      </w:rPr>
    </w:lvl>
    <w:lvl w:ilvl="7">
      <w:start w:val="1"/>
      <w:numFmt w:val="lowerLetter"/>
      <w:lvlText w:val="%8."/>
      <w:lvlJc w:val="left"/>
      <w:pPr>
        <w:ind w:left="7560" w:hanging="360"/>
      </w:pPr>
      <w:rPr>
        <w:rFonts w:hint="default"/>
      </w:rPr>
    </w:lvl>
    <w:lvl w:ilvl="8">
      <w:start w:val="1"/>
      <w:numFmt w:val="lowerRoman"/>
      <w:lvlText w:val="%9."/>
      <w:lvlJc w:val="right"/>
      <w:pPr>
        <w:ind w:left="8280" w:hanging="180"/>
      </w:pPr>
      <w:rPr>
        <w:rFonts w:hint="default"/>
      </w:rPr>
    </w:lvl>
  </w:abstractNum>
  <w:abstractNum w:abstractNumId="11" w15:restartNumberingAfterBreak="0">
    <w:nsid w:val="1EF715F4"/>
    <w:multiLevelType w:val="hybridMultilevel"/>
    <w:tmpl w:val="31722E18"/>
    <w:lvl w:ilvl="0" w:tplc="FFFFFFFF">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2" w15:restartNumberingAfterBreak="0">
    <w:nsid w:val="23F63E6E"/>
    <w:multiLevelType w:val="hybridMultilevel"/>
    <w:tmpl w:val="B6A219BE"/>
    <w:lvl w:ilvl="0" w:tplc="FFFFFFFF">
      <w:start w:val="1"/>
      <w:numFmt w:val="lowerLetter"/>
      <w:lvlText w:val="(%1)"/>
      <w:lvlJc w:val="left"/>
      <w:pPr>
        <w:ind w:left="1636" w:hanging="360"/>
      </w:pPr>
      <w:rPr>
        <w:rFonts w:hint="default"/>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13" w15:restartNumberingAfterBreak="0">
    <w:nsid w:val="267D4D3D"/>
    <w:multiLevelType w:val="hybridMultilevel"/>
    <w:tmpl w:val="1B6A23C0"/>
    <w:lvl w:ilvl="0" w:tplc="8AEAD88C">
      <w:start w:val="1"/>
      <w:numFmt w:val="lowerRoman"/>
      <w:pStyle w:val="GazetteList-RomanNumerals"/>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BE7751"/>
    <w:multiLevelType w:val="hybridMultilevel"/>
    <w:tmpl w:val="546E891A"/>
    <w:lvl w:ilvl="0" w:tplc="B900A742">
      <w:start w:val="3"/>
      <w:numFmt w:val="decimal"/>
      <w:lvlText w:val="(%1)"/>
      <w:lvlJc w:val="left"/>
      <w:pPr>
        <w:ind w:left="163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AFF3677"/>
    <w:multiLevelType w:val="hybridMultilevel"/>
    <w:tmpl w:val="B6A219BE"/>
    <w:lvl w:ilvl="0" w:tplc="FFFFFFFF">
      <w:start w:val="1"/>
      <w:numFmt w:val="lowerLetter"/>
      <w:lvlText w:val="(%1)"/>
      <w:lvlJc w:val="left"/>
      <w:pPr>
        <w:ind w:left="1636" w:hanging="360"/>
      </w:pPr>
      <w:rPr>
        <w:rFonts w:hint="default"/>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16"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203C87"/>
    <w:multiLevelType w:val="multilevel"/>
    <w:tmpl w:val="F3C67B8C"/>
    <w:lvl w:ilvl="0">
      <w:start w:val="1"/>
      <w:numFmt w:val="decimal"/>
      <w:lvlText w:val="%1."/>
      <w:lvlJc w:val="left"/>
      <w:pPr>
        <w:tabs>
          <w:tab w:val="num" w:pos="709"/>
        </w:tabs>
        <w:ind w:left="567" w:hanging="567"/>
      </w:pPr>
      <w:rPr>
        <w:rFonts w:hint="default"/>
        <w:b w:val="0"/>
        <w:i w:val="0"/>
        <w:caps w:val="0"/>
        <w:strike w:val="0"/>
        <w:dstrike w:val="0"/>
        <w:vanish w:val="0"/>
        <w:sz w:val="18"/>
        <w:u w:val="none"/>
        <w:vertAlign w:val="baseline"/>
      </w:rPr>
    </w:lvl>
    <w:lvl w:ilvl="1">
      <w:start w:val="1"/>
      <w:numFmt w:val="decimal"/>
      <w:lvlText w:val="%1.%2."/>
      <w:lvlJc w:val="left"/>
      <w:pPr>
        <w:tabs>
          <w:tab w:val="num" w:pos="1135"/>
        </w:tabs>
        <w:ind w:left="1135" w:hanging="567"/>
      </w:pPr>
      <w:rPr>
        <w:rFonts w:ascii="Arial" w:hAnsi="Arial" w:hint="default"/>
        <w:b w:val="0"/>
        <w:bCs w:val="0"/>
        <w:i w:val="0"/>
        <w:iCs w:val="0"/>
        <w:sz w:val="18"/>
      </w:rPr>
    </w:lvl>
    <w:lvl w:ilvl="2">
      <w:start w:val="1"/>
      <w:numFmt w:val="lowerLetter"/>
      <w:lvlText w:val="%3."/>
      <w:lvlJc w:val="left"/>
      <w:pPr>
        <w:tabs>
          <w:tab w:val="num" w:pos="1701"/>
        </w:tabs>
        <w:ind w:left="1701" w:hanging="567"/>
      </w:pPr>
      <w:rPr>
        <w:rFonts w:ascii="Arial" w:hAnsi="Arial" w:hint="default"/>
        <w:sz w:val="18"/>
      </w:rPr>
    </w:lvl>
    <w:lvl w:ilvl="3">
      <w:start w:val="1"/>
      <w:numFmt w:val="bullet"/>
      <w:lvlText w:val=""/>
      <w:lvlJc w:val="left"/>
      <w:pPr>
        <w:tabs>
          <w:tab w:val="num" w:pos="2268"/>
        </w:tabs>
        <w:ind w:left="2268" w:hanging="567"/>
      </w:pPr>
      <w:rPr>
        <w:rFonts w:ascii="Symbol" w:hAnsi="Symbol" w:hint="default"/>
        <w:color w:val="auto"/>
        <w:sz w:val="20"/>
      </w:rPr>
    </w:lvl>
    <w:lvl w:ilvl="4">
      <w:start w:val="1"/>
      <w:numFmt w:val="bullet"/>
      <w:lvlText w:val=""/>
      <w:lvlJc w:val="left"/>
      <w:pPr>
        <w:tabs>
          <w:tab w:val="num" w:pos="709"/>
        </w:tabs>
        <w:ind w:left="425" w:hanging="425"/>
      </w:pPr>
      <w:rPr>
        <w:rFonts w:ascii="Symbol" w:hAnsi="Symbol" w:hint="default"/>
        <w:b w:val="0"/>
        <w:i w:val="0"/>
        <w:color w:val="auto"/>
      </w:rPr>
    </w:lvl>
    <w:lvl w:ilvl="5">
      <w:start w:val="1"/>
      <w:numFmt w:val="bullet"/>
      <w:lvlText w:val="–"/>
      <w:lvlJc w:val="left"/>
      <w:pPr>
        <w:tabs>
          <w:tab w:val="num" w:pos="1418"/>
        </w:tabs>
        <w:ind w:left="851" w:hanging="426"/>
      </w:pPr>
      <w:rPr>
        <w:rFonts w:hint="default"/>
        <w:b w:val="0"/>
        <w:i w:val="0"/>
      </w:rPr>
    </w:lvl>
    <w:lvl w:ilvl="6">
      <w:start w:val="1"/>
      <w:numFmt w:val="bullet"/>
      <w:lvlText w:val="–"/>
      <w:lvlJc w:val="left"/>
      <w:pPr>
        <w:tabs>
          <w:tab w:val="num" w:pos="1843"/>
        </w:tabs>
        <w:ind w:left="1276" w:hanging="425"/>
      </w:pPr>
      <w:rPr>
        <w:rFonts w:hint="default"/>
        <w:b w:val="0"/>
        <w:i w:val="0"/>
      </w:rPr>
    </w:lvl>
    <w:lvl w:ilvl="7">
      <w:start w:val="1"/>
      <w:numFmt w:val="bullet"/>
      <w:lvlText w:val="–"/>
      <w:lvlJc w:val="left"/>
      <w:pPr>
        <w:tabs>
          <w:tab w:val="num" w:pos="2410"/>
        </w:tabs>
        <w:ind w:left="1701" w:hanging="425"/>
      </w:pPr>
      <w:rPr>
        <w:rFonts w:hint="default"/>
        <w:b w:val="0"/>
        <w:i w:val="0"/>
      </w:rPr>
    </w:lvl>
    <w:lvl w:ilvl="8">
      <w:start w:val="1"/>
      <w:numFmt w:val="bullet"/>
      <w:lvlText w:val="–"/>
      <w:lvlJc w:val="left"/>
      <w:pPr>
        <w:tabs>
          <w:tab w:val="num" w:pos="2835"/>
        </w:tabs>
        <w:ind w:left="2126" w:hanging="425"/>
      </w:pPr>
      <w:rPr>
        <w:rFonts w:hint="default"/>
        <w:b w:val="0"/>
        <w:i w:val="0"/>
      </w:rPr>
    </w:lvl>
  </w:abstractNum>
  <w:abstractNum w:abstractNumId="18" w15:restartNumberingAfterBreak="0">
    <w:nsid w:val="397C7A50"/>
    <w:multiLevelType w:val="hybridMultilevel"/>
    <w:tmpl w:val="82A0DD82"/>
    <w:lvl w:ilvl="0" w:tplc="FFFFFFFF">
      <w:start w:val="1"/>
      <w:numFmt w:val="lowerLetter"/>
      <w:lvlText w:val="(%1)"/>
      <w:lvlJc w:val="left"/>
      <w:pPr>
        <w:ind w:left="1636" w:hanging="360"/>
      </w:pPr>
      <w:rPr>
        <w:rFonts w:hint="default"/>
      </w:rPr>
    </w:lvl>
    <w:lvl w:ilvl="1" w:tplc="FFFFFFFF">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19" w15:restartNumberingAfterBreak="0">
    <w:nsid w:val="413956CC"/>
    <w:multiLevelType w:val="hybridMultilevel"/>
    <w:tmpl w:val="3050F89A"/>
    <w:lvl w:ilvl="0" w:tplc="FFFFFFFF">
      <w:start w:val="1"/>
      <w:numFmt w:val="lowerRoman"/>
      <w:lvlText w:val="(%1)"/>
      <w:lvlJc w:val="left"/>
      <w:pPr>
        <w:ind w:left="235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1C0921"/>
    <w:multiLevelType w:val="hybridMultilevel"/>
    <w:tmpl w:val="F8603D62"/>
    <w:lvl w:ilvl="0" w:tplc="FFFFFFFF">
      <w:start w:val="1"/>
      <w:numFmt w:val="lowerLetter"/>
      <w:lvlText w:val="(%1)"/>
      <w:lvlJc w:val="left"/>
      <w:pPr>
        <w:ind w:left="1636" w:hanging="360"/>
      </w:pPr>
      <w:rPr>
        <w:rFonts w:hint="default"/>
      </w:rPr>
    </w:lvl>
    <w:lvl w:ilvl="1" w:tplc="FFFFFFFF">
      <w:start w:val="1"/>
      <w:numFmt w:val="lowerRoman"/>
      <w:lvlText w:val="(%2)"/>
      <w:lvlJc w:val="left"/>
      <w:pPr>
        <w:ind w:left="2356" w:hanging="360"/>
      </w:pPr>
      <w:rPr>
        <w:rFonts w:hint="default"/>
      </w:r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21" w15:restartNumberingAfterBreak="0">
    <w:nsid w:val="46200BB4"/>
    <w:multiLevelType w:val="hybridMultilevel"/>
    <w:tmpl w:val="5DFCEA22"/>
    <w:lvl w:ilvl="0" w:tplc="FFFFFFFF">
      <w:start w:val="1"/>
      <w:numFmt w:val="lowerLetter"/>
      <w:lvlText w:val="(%1)"/>
      <w:lvlJc w:val="left"/>
      <w:pPr>
        <w:ind w:left="1636" w:hanging="360"/>
      </w:pPr>
      <w:rPr>
        <w:rFonts w:hint="default"/>
      </w:rPr>
    </w:lvl>
    <w:lvl w:ilvl="1" w:tplc="FFFFFFFF">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22" w15:restartNumberingAfterBreak="0">
    <w:nsid w:val="486647E7"/>
    <w:multiLevelType w:val="hybridMultilevel"/>
    <w:tmpl w:val="B6A219BE"/>
    <w:lvl w:ilvl="0" w:tplc="FFFFFFFF">
      <w:start w:val="1"/>
      <w:numFmt w:val="lowerLetter"/>
      <w:lvlText w:val="(%1)"/>
      <w:lvlJc w:val="left"/>
      <w:pPr>
        <w:ind w:left="1636" w:hanging="360"/>
      </w:pPr>
      <w:rPr>
        <w:rFonts w:hint="default"/>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23" w15:restartNumberingAfterBreak="0">
    <w:nsid w:val="4D5F697D"/>
    <w:multiLevelType w:val="hybridMultilevel"/>
    <w:tmpl w:val="3050F89A"/>
    <w:lvl w:ilvl="0" w:tplc="FFFFFFFF">
      <w:start w:val="1"/>
      <w:numFmt w:val="lowerRoman"/>
      <w:lvlText w:val="(%1)"/>
      <w:lvlJc w:val="left"/>
      <w:pPr>
        <w:ind w:left="235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DA87436"/>
    <w:multiLevelType w:val="hybridMultilevel"/>
    <w:tmpl w:val="3050F89A"/>
    <w:lvl w:ilvl="0" w:tplc="FD646E6C">
      <w:start w:val="1"/>
      <w:numFmt w:val="lowerRoman"/>
      <w:lvlText w:val="(%1)"/>
      <w:lvlJc w:val="left"/>
      <w:pPr>
        <w:ind w:left="235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3EF4859"/>
    <w:multiLevelType w:val="hybridMultilevel"/>
    <w:tmpl w:val="E7F8AFEA"/>
    <w:lvl w:ilvl="0" w:tplc="FFFFFFFF">
      <w:start w:val="1"/>
      <w:numFmt w:val="decimal"/>
      <w:lvlText w:val="(%1)"/>
      <w:lvlJc w:val="left"/>
      <w:pPr>
        <w:ind w:left="1211"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6" w15:restartNumberingAfterBreak="0">
    <w:nsid w:val="54C71723"/>
    <w:multiLevelType w:val="hybridMultilevel"/>
    <w:tmpl w:val="B6A219BE"/>
    <w:lvl w:ilvl="0" w:tplc="FFFFFFFF">
      <w:start w:val="1"/>
      <w:numFmt w:val="lowerLetter"/>
      <w:lvlText w:val="(%1)"/>
      <w:lvlJc w:val="left"/>
      <w:pPr>
        <w:ind w:left="1636" w:hanging="360"/>
      </w:pPr>
      <w:rPr>
        <w:rFonts w:hint="default"/>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27" w15:restartNumberingAfterBreak="0">
    <w:nsid w:val="556B3477"/>
    <w:multiLevelType w:val="hybridMultilevel"/>
    <w:tmpl w:val="ECE8286A"/>
    <w:lvl w:ilvl="0" w:tplc="20942A96">
      <w:start w:val="3"/>
      <w:numFmt w:val="decimal"/>
      <w:lvlText w:val="(%1)"/>
      <w:lvlJc w:val="left"/>
      <w:pPr>
        <w:ind w:left="163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6524A6B"/>
    <w:multiLevelType w:val="hybridMultilevel"/>
    <w:tmpl w:val="B6A219BE"/>
    <w:lvl w:ilvl="0" w:tplc="FFFFFFFF">
      <w:start w:val="1"/>
      <w:numFmt w:val="lowerLetter"/>
      <w:lvlText w:val="(%1)"/>
      <w:lvlJc w:val="left"/>
      <w:pPr>
        <w:ind w:left="1636" w:hanging="360"/>
      </w:pPr>
      <w:rPr>
        <w:rFonts w:hint="default"/>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29" w15:restartNumberingAfterBreak="0">
    <w:nsid w:val="5A4F5292"/>
    <w:multiLevelType w:val="hybridMultilevel"/>
    <w:tmpl w:val="82A0DD82"/>
    <w:lvl w:ilvl="0" w:tplc="FFFFFFFF">
      <w:start w:val="1"/>
      <w:numFmt w:val="lowerLetter"/>
      <w:lvlText w:val="(%1)"/>
      <w:lvlJc w:val="left"/>
      <w:pPr>
        <w:ind w:left="1636" w:hanging="360"/>
      </w:pPr>
      <w:rPr>
        <w:rFonts w:hint="default"/>
      </w:rPr>
    </w:lvl>
    <w:lvl w:ilvl="1" w:tplc="FFFFFFFF">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30"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F811CE8"/>
    <w:multiLevelType w:val="hybridMultilevel"/>
    <w:tmpl w:val="3050F89A"/>
    <w:lvl w:ilvl="0" w:tplc="FFFFFFFF">
      <w:start w:val="1"/>
      <w:numFmt w:val="lowerRoman"/>
      <w:lvlText w:val="(%1)"/>
      <w:lvlJc w:val="left"/>
      <w:pPr>
        <w:ind w:left="235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6A6E58"/>
    <w:multiLevelType w:val="hybridMultilevel"/>
    <w:tmpl w:val="F8603D62"/>
    <w:lvl w:ilvl="0" w:tplc="FFFFFFFF">
      <w:start w:val="1"/>
      <w:numFmt w:val="lowerLetter"/>
      <w:lvlText w:val="(%1)"/>
      <w:lvlJc w:val="left"/>
      <w:pPr>
        <w:ind w:left="1636" w:hanging="360"/>
      </w:pPr>
      <w:rPr>
        <w:rFonts w:hint="default"/>
      </w:rPr>
    </w:lvl>
    <w:lvl w:ilvl="1" w:tplc="FD646E6C">
      <w:start w:val="1"/>
      <w:numFmt w:val="lowerRoman"/>
      <w:lvlText w:val="(%2)"/>
      <w:lvlJc w:val="left"/>
      <w:pPr>
        <w:ind w:left="2356" w:hanging="360"/>
      </w:pPr>
      <w:rPr>
        <w:rFonts w:hint="default"/>
      </w:r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33" w15:restartNumberingAfterBreak="0">
    <w:nsid w:val="61B51EC2"/>
    <w:multiLevelType w:val="hybridMultilevel"/>
    <w:tmpl w:val="31722E18"/>
    <w:lvl w:ilvl="0" w:tplc="FFFFFFFF">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4" w15:restartNumberingAfterBreak="0">
    <w:nsid w:val="64A37B26"/>
    <w:multiLevelType w:val="hybridMultilevel"/>
    <w:tmpl w:val="E7F8AFEA"/>
    <w:lvl w:ilvl="0" w:tplc="FFFFFFFF">
      <w:start w:val="1"/>
      <w:numFmt w:val="decimal"/>
      <w:lvlText w:val="(%1)"/>
      <w:lvlJc w:val="left"/>
      <w:pPr>
        <w:ind w:left="1211"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5" w15:restartNumberingAfterBreak="0">
    <w:nsid w:val="66B04048"/>
    <w:multiLevelType w:val="hybridMultilevel"/>
    <w:tmpl w:val="9D94D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8" w15:restartNumberingAfterBreak="0">
    <w:nsid w:val="7441376B"/>
    <w:multiLevelType w:val="multilevel"/>
    <w:tmpl w:val="48EE3672"/>
    <w:lvl w:ilvl="0">
      <w:start w:val="1"/>
      <w:numFmt w:val="decimal"/>
      <w:lvlText w:val="%1."/>
      <w:lvlJc w:val="left"/>
      <w:pPr>
        <w:tabs>
          <w:tab w:val="num" w:pos="709"/>
        </w:tabs>
        <w:ind w:left="567" w:hanging="567"/>
      </w:pPr>
      <w:rPr>
        <w:rFonts w:ascii="Arial" w:hAnsi="Arial" w:hint="default"/>
        <w:b w:val="0"/>
        <w:i w:val="0"/>
        <w:caps w:val="0"/>
        <w:strike w:val="0"/>
        <w:dstrike w:val="0"/>
        <w:vanish w:val="0"/>
        <w:sz w:val="18"/>
        <w:u w:val="none"/>
        <w:vertAlign w:val="baseline"/>
      </w:rPr>
    </w:lvl>
    <w:lvl w:ilvl="1">
      <w:start w:val="1"/>
      <w:numFmt w:val="decimal"/>
      <w:lvlText w:val="%1.%2."/>
      <w:lvlJc w:val="left"/>
      <w:pPr>
        <w:tabs>
          <w:tab w:val="num" w:pos="1134"/>
        </w:tabs>
        <w:ind w:left="1134" w:hanging="567"/>
      </w:pPr>
      <w:rPr>
        <w:rFonts w:ascii="Arial" w:hAnsi="Arial" w:hint="default"/>
        <w:i w:val="0"/>
        <w:iCs w:val="0"/>
        <w:sz w:val="18"/>
      </w:rPr>
    </w:lvl>
    <w:lvl w:ilvl="2">
      <w:start w:val="1"/>
      <w:numFmt w:val="lowerLetter"/>
      <w:lvlText w:val="%3."/>
      <w:lvlJc w:val="left"/>
      <w:pPr>
        <w:tabs>
          <w:tab w:val="num" w:pos="1701"/>
        </w:tabs>
        <w:ind w:left="1701" w:hanging="567"/>
      </w:pPr>
      <w:rPr>
        <w:rFonts w:ascii="Arial" w:hAnsi="Arial" w:hint="default"/>
        <w:i w:val="0"/>
        <w:iCs w:val="0"/>
        <w:color w:val="000000" w:themeColor="text1"/>
        <w:sz w:val="18"/>
      </w:rPr>
    </w:lvl>
    <w:lvl w:ilvl="3">
      <w:start w:val="1"/>
      <w:numFmt w:val="bullet"/>
      <w:lvlText w:val=""/>
      <w:lvlJc w:val="left"/>
      <w:pPr>
        <w:tabs>
          <w:tab w:val="num" w:pos="2268"/>
        </w:tabs>
        <w:ind w:left="2268" w:hanging="567"/>
      </w:pPr>
      <w:rPr>
        <w:rFonts w:ascii="Symbol" w:hAnsi="Symbol" w:hint="default"/>
        <w:color w:val="auto"/>
        <w:sz w:val="20"/>
      </w:rPr>
    </w:lvl>
    <w:lvl w:ilvl="4">
      <w:start w:val="1"/>
      <w:numFmt w:val="bullet"/>
      <w:lvlText w:val=""/>
      <w:lvlJc w:val="left"/>
      <w:pPr>
        <w:tabs>
          <w:tab w:val="num" w:pos="709"/>
        </w:tabs>
        <w:ind w:left="425" w:hanging="425"/>
      </w:pPr>
      <w:rPr>
        <w:rFonts w:ascii="Symbol" w:hAnsi="Symbol" w:hint="default"/>
        <w:b w:val="0"/>
        <w:i w:val="0"/>
        <w:color w:val="auto"/>
      </w:rPr>
    </w:lvl>
    <w:lvl w:ilvl="5">
      <w:start w:val="1"/>
      <w:numFmt w:val="bullet"/>
      <w:lvlText w:val="–"/>
      <w:lvlJc w:val="left"/>
      <w:pPr>
        <w:tabs>
          <w:tab w:val="num" w:pos="1418"/>
        </w:tabs>
        <w:ind w:left="851" w:hanging="426"/>
      </w:pPr>
      <w:rPr>
        <w:rFonts w:hint="default"/>
        <w:b w:val="0"/>
        <w:i w:val="0"/>
      </w:rPr>
    </w:lvl>
    <w:lvl w:ilvl="6">
      <w:start w:val="1"/>
      <w:numFmt w:val="bullet"/>
      <w:lvlText w:val="–"/>
      <w:lvlJc w:val="left"/>
      <w:pPr>
        <w:tabs>
          <w:tab w:val="num" w:pos="1843"/>
        </w:tabs>
        <w:ind w:left="1276" w:hanging="425"/>
      </w:pPr>
      <w:rPr>
        <w:rFonts w:hint="default"/>
        <w:b w:val="0"/>
        <w:i w:val="0"/>
      </w:rPr>
    </w:lvl>
    <w:lvl w:ilvl="7">
      <w:start w:val="1"/>
      <w:numFmt w:val="bullet"/>
      <w:lvlText w:val="–"/>
      <w:lvlJc w:val="left"/>
      <w:pPr>
        <w:tabs>
          <w:tab w:val="num" w:pos="2410"/>
        </w:tabs>
        <w:ind w:left="1701" w:hanging="425"/>
      </w:pPr>
      <w:rPr>
        <w:rFonts w:hint="default"/>
        <w:b w:val="0"/>
        <w:i w:val="0"/>
      </w:rPr>
    </w:lvl>
    <w:lvl w:ilvl="8">
      <w:start w:val="1"/>
      <w:numFmt w:val="bullet"/>
      <w:lvlText w:val="–"/>
      <w:lvlJc w:val="left"/>
      <w:pPr>
        <w:tabs>
          <w:tab w:val="num" w:pos="2835"/>
        </w:tabs>
        <w:ind w:left="2126" w:hanging="425"/>
      </w:pPr>
      <w:rPr>
        <w:rFonts w:hint="default"/>
        <w:b w:val="0"/>
        <w:i w:val="0"/>
      </w:rPr>
    </w:lvl>
  </w:abstractNum>
  <w:abstractNum w:abstractNumId="39" w15:restartNumberingAfterBreak="0">
    <w:nsid w:val="7A2817C9"/>
    <w:multiLevelType w:val="hybridMultilevel"/>
    <w:tmpl w:val="3050F89A"/>
    <w:lvl w:ilvl="0" w:tplc="FFFFFFFF">
      <w:start w:val="1"/>
      <w:numFmt w:val="lowerRoman"/>
      <w:lvlText w:val="(%1)"/>
      <w:lvlJc w:val="left"/>
      <w:pPr>
        <w:ind w:left="235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CD676FF"/>
    <w:multiLevelType w:val="hybridMultilevel"/>
    <w:tmpl w:val="5DFCEA22"/>
    <w:lvl w:ilvl="0" w:tplc="FFFFFFFF">
      <w:start w:val="1"/>
      <w:numFmt w:val="lowerLetter"/>
      <w:lvlText w:val="(%1)"/>
      <w:lvlJc w:val="left"/>
      <w:pPr>
        <w:ind w:left="1636" w:hanging="360"/>
      </w:pPr>
      <w:rPr>
        <w:rFonts w:hint="default"/>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num w:numId="1" w16cid:durableId="2012877174">
    <w:abstractNumId w:val="4"/>
  </w:num>
  <w:num w:numId="2" w16cid:durableId="2094549794">
    <w:abstractNumId w:val="16"/>
  </w:num>
  <w:num w:numId="3" w16cid:durableId="2026127260">
    <w:abstractNumId w:val="30"/>
  </w:num>
  <w:num w:numId="4" w16cid:durableId="1938126673">
    <w:abstractNumId w:val="2"/>
  </w:num>
  <w:num w:numId="5" w16cid:durableId="613485662">
    <w:abstractNumId w:val="36"/>
  </w:num>
  <w:num w:numId="6" w16cid:durableId="262569842">
    <w:abstractNumId w:val="7"/>
  </w:num>
  <w:num w:numId="7" w16cid:durableId="1302885973">
    <w:abstractNumId w:val="37"/>
  </w:num>
  <w:num w:numId="8" w16cid:durableId="2104639632">
    <w:abstractNumId w:val="13"/>
  </w:num>
  <w:num w:numId="9" w16cid:durableId="2033920163">
    <w:abstractNumId w:val="10"/>
  </w:num>
  <w:num w:numId="10" w16cid:durableId="1913616815">
    <w:abstractNumId w:val="32"/>
  </w:num>
  <w:num w:numId="11" w16cid:durableId="1634481993">
    <w:abstractNumId w:val="40"/>
  </w:num>
  <w:num w:numId="12" w16cid:durableId="573781375">
    <w:abstractNumId w:val="21"/>
  </w:num>
  <w:num w:numId="13" w16cid:durableId="2035181175">
    <w:abstractNumId w:val="9"/>
  </w:num>
  <w:num w:numId="14" w16cid:durableId="1899318821">
    <w:abstractNumId w:val="8"/>
  </w:num>
  <w:num w:numId="15" w16cid:durableId="1121652649">
    <w:abstractNumId w:val="38"/>
  </w:num>
  <w:num w:numId="16" w16cid:durableId="251663090">
    <w:abstractNumId w:val="6"/>
  </w:num>
  <w:num w:numId="17" w16cid:durableId="1404335713">
    <w:abstractNumId w:val="17"/>
  </w:num>
  <w:num w:numId="18" w16cid:durableId="1064063816">
    <w:abstractNumId w:val="15"/>
  </w:num>
  <w:num w:numId="19" w16cid:durableId="1605334522">
    <w:abstractNumId w:val="20"/>
  </w:num>
  <w:num w:numId="20" w16cid:durableId="2125298296">
    <w:abstractNumId w:val="29"/>
  </w:num>
  <w:num w:numId="21" w16cid:durableId="1121416928">
    <w:abstractNumId w:val="24"/>
  </w:num>
  <w:num w:numId="22" w16cid:durableId="435684730">
    <w:abstractNumId w:val="31"/>
  </w:num>
  <w:num w:numId="23" w16cid:durableId="1636524052">
    <w:abstractNumId w:val="26"/>
  </w:num>
  <w:num w:numId="24" w16cid:durableId="586964047">
    <w:abstractNumId w:val="22"/>
  </w:num>
  <w:num w:numId="25" w16cid:durableId="785730409">
    <w:abstractNumId w:val="18"/>
  </w:num>
  <w:num w:numId="26" w16cid:durableId="1049183825">
    <w:abstractNumId w:val="23"/>
  </w:num>
  <w:num w:numId="27" w16cid:durableId="655842416">
    <w:abstractNumId w:val="39"/>
  </w:num>
  <w:num w:numId="28" w16cid:durableId="1132331196">
    <w:abstractNumId w:val="34"/>
  </w:num>
  <w:num w:numId="29" w16cid:durableId="2032873306">
    <w:abstractNumId w:val="0"/>
  </w:num>
  <w:num w:numId="30" w16cid:durableId="33849092">
    <w:abstractNumId w:val="5"/>
  </w:num>
  <w:num w:numId="31" w16cid:durableId="1350139590">
    <w:abstractNumId w:val="12"/>
  </w:num>
  <w:num w:numId="32" w16cid:durableId="87772031">
    <w:abstractNumId w:val="19"/>
  </w:num>
  <w:num w:numId="33" w16cid:durableId="1418988010">
    <w:abstractNumId w:val="3"/>
  </w:num>
  <w:num w:numId="34" w16cid:durableId="603805642">
    <w:abstractNumId w:val="28"/>
  </w:num>
  <w:num w:numId="35" w16cid:durableId="65996485">
    <w:abstractNumId w:val="27"/>
  </w:num>
  <w:num w:numId="36" w16cid:durableId="2116824312">
    <w:abstractNumId w:val="35"/>
  </w:num>
  <w:num w:numId="37" w16cid:durableId="2079277924">
    <w:abstractNumId w:val="14"/>
  </w:num>
  <w:num w:numId="38" w16cid:durableId="127417229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02110953">
    <w:abstractNumId w:val="11"/>
  </w:num>
  <w:num w:numId="40" w16cid:durableId="795300242">
    <w:abstractNumId w:val="33"/>
  </w:num>
  <w:num w:numId="41" w16cid:durableId="1127817232">
    <w:abstractNumId w:val="25"/>
  </w:num>
  <w:num w:numId="42" w16cid:durableId="1326590578">
    <w:abstractNumId w:val="4"/>
    <w:lvlOverride w:ilvl="0">
      <w:startOverride w:val="1"/>
    </w:lvlOverride>
  </w:num>
  <w:num w:numId="43" w16cid:durableId="1798990134">
    <w:abstractNumId w:val="4"/>
    <w:lvlOverride w:ilvl="0">
      <w:startOverride w:val="1"/>
    </w:lvlOverride>
  </w:num>
  <w:num w:numId="44" w16cid:durableId="1028213085">
    <w:abstractNumId w:val="4"/>
    <w:lvlOverride w:ilvl="0">
      <w:startOverride w:val="1"/>
    </w:lvlOverride>
  </w:num>
  <w:num w:numId="45" w16cid:durableId="2129886291">
    <w:abstractNumId w:val="4"/>
    <w:lvlOverride w:ilvl="0">
      <w:startOverride w:val="1"/>
    </w:lvlOverride>
  </w:num>
  <w:num w:numId="46" w16cid:durableId="1384720720">
    <w:abstractNumId w:val="1"/>
  </w:num>
  <w:num w:numId="47" w16cid:durableId="1396008981">
    <w:abstractNumId w:val="4"/>
    <w:lvlOverride w:ilvl="0">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11C46"/>
    <w:rsid w:val="000474DA"/>
    <w:rsid w:val="00060DA7"/>
    <w:rsid w:val="00063C2A"/>
    <w:rsid w:val="000A1EF3"/>
    <w:rsid w:val="000E4BB3"/>
    <w:rsid w:val="00153604"/>
    <w:rsid w:val="00164325"/>
    <w:rsid w:val="001F33E9"/>
    <w:rsid w:val="00203C18"/>
    <w:rsid w:val="00244455"/>
    <w:rsid w:val="002529EA"/>
    <w:rsid w:val="0027119F"/>
    <w:rsid w:val="00271343"/>
    <w:rsid w:val="002760FD"/>
    <w:rsid w:val="002A01D5"/>
    <w:rsid w:val="002C0C2A"/>
    <w:rsid w:val="002C111B"/>
    <w:rsid w:val="002C53E5"/>
    <w:rsid w:val="002C5418"/>
    <w:rsid w:val="002E77C5"/>
    <w:rsid w:val="00304C66"/>
    <w:rsid w:val="0032095E"/>
    <w:rsid w:val="00322828"/>
    <w:rsid w:val="00336B4E"/>
    <w:rsid w:val="003602C8"/>
    <w:rsid w:val="003636FE"/>
    <w:rsid w:val="003B141E"/>
    <w:rsid w:val="003C1999"/>
    <w:rsid w:val="00423E6E"/>
    <w:rsid w:val="00427975"/>
    <w:rsid w:val="00427F79"/>
    <w:rsid w:val="00435F2E"/>
    <w:rsid w:val="00442F77"/>
    <w:rsid w:val="00477E90"/>
    <w:rsid w:val="004B2942"/>
    <w:rsid w:val="004E2DD3"/>
    <w:rsid w:val="004E4EB1"/>
    <w:rsid w:val="00510E14"/>
    <w:rsid w:val="005164EF"/>
    <w:rsid w:val="005168F7"/>
    <w:rsid w:val="005340F9"/>
    <w:rsid w:val="00535CE3"/>
    <w:rsid w:val="00546A23"/>
    <w:rsid w:val="00553BB1"/>
    <w:rsid w:val="00557AEB"/>
    <w:rsid w:val="0056456A"/>
    <w:rsid w:val="00566E88"/>
    <w:rsid w:val="005813D1"/>
    <w:rsid w:val="00593D79"/>
    <w:rsid w:val="005A5F45"/>
    <w:rsid w:val="005C234E"/>
    <w:rsid w:val="00604F9D"/>
    <w:rsid w:val="00610B1A"/>
    <w:rsid w:val="00610E13"/>
    <w:rsid w:val="00616EBE"/>
    <w:rsid w:val="006512C6"/>
    <w:rsid w:val="00662C9E"/>
    <w:rsid w:val="006636BA"/>
    <w:rsid w:val="00674B10"/>
    <w:rsid w:val="00674EE9"/>
    <w:rsid w:val="0071188C"/>
    <w:rsid w:val="00712F84"/>
    <w:rsid w:val="0072056F"/>
    <w:rsid w:val="007229E3"/>
    <w:rsid w:val="00731415"/>
    <w:rsid w:val="00731EFD"/>
    <w:rsid w:val="00743A86"/>
    <w:rsid w:val="007757F8"/>
    <w:rsid w:val="00790F1C"/>
    <w:rsid w:val="007D7059"/>
    <w:rsid w:val="00806AAB"/>
    <w:rsid w:val="00807954"/>
    <w:rsid w:val="00834983"/>
    <w:rsid w:val="0083646A"/>
    <w:rsid w:val="008503EB"/>
    <w:rsid w:val="00886039"/>
    <w:rsid w:val="008929E3"/>
    <w:rsid w:val="008E67EA"/>
    <w:rsid w:val="008F5C49"/>
    <w:rsid w:val="008F6288"/>
    <w:rsid w:val="00903679"/>
    <w:rsid w:val="0094143F"/>
    <w:rsid w:val="00951DA1"/>
    <w:rsid w:val="009C4F64"/>
    <w:rsid w:val="009D1601"/>
    <w:rsid w:val="009E098B"/>
    <w:rsid w:val="00A0738F"/>
    <w:rsid w:val="00A34D88"/>
    <w:rsid w:val="00A355AE"/>
    <w:rsid w:val="00A66AB1"/>
    <w:rsid w:val="00A73DFF"/>
    <w:rsid w:val="00AA4789"/>
    <w:rsid w:val="00AE0B81"/>
    <w:rsid w:val="00AE1D5C"/>
    <w:rsid w:val="00AE35D7"/>
    <w:rsid w:val="00AE56F2"/>
    <w:rsid w:val="00B04A06"/>
    <w:rsid w:val="00B23850"/>
    <w:rsid w:val="00B33ED7"/>
    <w:rsid w:val="00B347E8"/>
    <w:rsid w:val="00B41898"/>
    <w:rsid w:val="00B44029"/>
    <w:rsid w:val="00BA2F5C"/>
    <w:rsid w:val="00BE17EF"/>
    <w:rsid w:val="00C322D4"/>
    <w:rsid w:val="00C70CE8"/>
    <w:rsid w:val="00C95AA6"/>
    <w:rsid w:val="00CA3C84"/>
    <w:rsid w:val="00CA67F1"/>
    <w:rsid w:val="00CB73E0"/>
    <w:rsid w:val="00D34675"/>
    <w:rsid w:val="00D411B4"/>
    <w:rsid w:val="00D4624B"/>
    <w:rsid w:val="00D5006D"/>
    <w:rsid w:val="00D73255"/>
    <w:rsid w:val="00D83123"/>
    <w:rsid w:val="00D85218"/>
    <w:rsid w:val="00D8615C"/>
    <w:rsid w:val="00DC3817"/>
    <w:rsid w:val="00DE6C25"/>
    <w:rsid w:val="00E73E38"/>
    <w:rsid w:val="00E73FCE"/>
    <w:rsid w:val="00E84DF8"/>
    <w:rsid w:val="00E8531E"/>
    <w:rsid w:val="00EC1414"/>
    <w:rsid w:val="00ED10BB"/>
    <w:rsid w:val="00ED5D1B"/>
    <w:rsid w:val="00EF40BB"/>
    <w:rsid w:val="00EF4D7E"/>
    <w:rsid w:val="00EF51BE"/>
    <w:rsid w:val="00EF7B85"/>
    <w:rsid w:val="00F522C3"/>
    <w:rsid w:val="00F768F2"/>
    <w:rsid w:val="00F83065"/>
    <w:rsid w:val="00FA4500"/>
    <w:rsid w:val="00FC0551"/>
    <w:rsid w:val="00FC2717"/>
    <w:rsid w:val="00FD34D7"/>
    <w:rsid w:val="00FD71D4"/>
    <w:rsid w:val="00FE034F"/>
    <w:rsid w:val="00FF70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aliases w:val="APVMA Page Number"/>
    <w:basedOn w:val="DefaultParagraphFont"/>
    <w:uiPriority w:val="99"/>
    <w:rsid w:val="002C53E5"/>
  </w:style>
  <w:style w:type="paragraph" w:customStyle="1" w:styleId="GazetteHeading1">
    <w:name w:val="Gazette Heading 1"/>
    <w:basedOn w:val="Heading1"/>
    <w:link w:val="GazetteHeading1Char"/>
    <w:qFormat/>
    <w:rsid w:val="008E67EA"/>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link w:val="GazetteHeading2Char"/>
    <w:qFormat/>
    <w:rsid w:val="008E67EA"/>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8E67EA"/>
    <w:pPr>
      <w:spacing w:before="240" w:after="120" w:line="280" w:lineRule="exact"/>
    </w:pPr>
    <w:rPr>
      <w:rFonts w:ascii="Franklin Gothic Medium" w:hAnsi="Franklin Gothic Medium"/>
      <w:color w:val="auto"/>
      <w:sz w:val="22"/>
    </w:rPr>
  </w:style>
  <w:style w:type="paragraph" w:customStyle="1" w:styleId="GazetteListNumbered">
    <w:name w:val="Gazette List Numbered"/>
    <w:basedOn w:val="GazetteNormalText"/>
    <w:link w:val="GazetteListNumberedChar"/>
    <w:qFormat/>
    <w:rsid w:val="00553BB1"/>
    <w:pPr>
      <w:numPr>
        <w:numId w:val="1"/>
      </w:numPr>
      <w:tabs>
        <w:tab w:val="left" w:pos="720"/>
      </w:tabs>
      <w:spacing w:before="120" w:after="120"/>
    </w:pPr>
  </w:style>
  <w:style w:type="paragraph" w:customStyle="1" w:styleId="GazetteInstructionalText">
    <w:name w:val="Gazette Instructional Text"/>
    <w:basedOn w:val="Normal"/>
    <w:qFormat/>
    <w:rsid w:val="002C53E5"/>
    <w:pPr>
      <w:widowControl w:val="0"/>
      <w:numPr>
        <w:ilvl w:val="8"/>
        <w:numId w:val="6"/>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aliases w:val="DAR007,Signature Table,MyTable,Tabellenraster1"/>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unhideWhenUsed/>
    <w:rsid w:val="00E73E38"/>
    <w:pPr>
      <w:spacing w:after="100"/>
      <w:ind w:left="360"/>
    </w:pPr>
  </w:style>
  <w:style w:type="paragraph" w:customStyle="1" w:styleId="GazetteCoverH1">
    <w:name w:val="Gazette Cover H1"/>
    <w:basedOn w:val="GazetteHeading1"/>
    <w:qFormat/>
    <w:rsid w:val="00D85218"/>
    <w:pPr>
      <w:spacing w:before="480" w:after="360" w:line="600" w:lineRule="exact"/>
    </w:pPr>
    <w:rPr>
      <w:sz w:val="72"/>
    </w:rPr>
  </w:style>
  <w:style w:type="paragraph" w:customStyle="1" w:styleId="GazetteCoverH2">
    <w:name w:val="Gazette Cover H2"/>
    <w:basedOn w:val="GazetteHeading2"/>
    <w:qFormat/>
    <w:rsid w:val="00D85218"/>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F6288"/>
    <w:pPr>
      <w:tabs>
        <w:tab w:val="left" w:pos="709"/>
        <w:tab w:val="left" w:pos="1134"/>
      </w:tabs>
      <w:spacing w:after="100"/>
    </w:pPr>
    <w:rPr>
      <w:rFonts w:eastAsia="Arial Unicode MS"/>
      <w:noProof/>
    </w:rPr>
  </w:style>
  <w:style w:type="paragraph" w:styleId="Caption">
    <w:name w:val="caption"/>
    <w:aliases w:val="APVMA_Caption,o,Beschriftung Char,Beschriftung Char1 Char,Beschriftung Char Char Char,Char,Bayer Caption,o + Links,! Q,1,Beschriftung Appendix,Légende Car Car Car,Beschriftung Appendix Car Car Car,Légende Car Car Car Car,Table caption, Char"/>
    <w:basedOn w:val="Normal"/>
    <w:next w:val="Normal"/>
    <w:link w:val="CaptionChar"/>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GaztteCoverH1">
    <w:name w:val="Gaztte Cover H1"/>
    <w:basedOn w:val="GazetteHeading1"/>
    <w:qFormat/>
    <w:rsid w:val="008E67EA"/>
    <w:pPr>
      <w:spacing w:before="480" w:after="360" w:line="600" w:lineRule="exact"/>
    </w:pPr>
    <w:rPr>
      <w:b/>
      <w:sz w:val="72"/>
    </w:rPr>
  </w:style>
  <w:style w:type="paragraph" w:customStyle="1" w:styleId="GazettecoverH20">
    <w:name w:val="Gazette cover H2"/>
    <w:basedOn w:val="GaztteCoverH1"/>
    <w:qFormat/>
    <w:rsid w:val="008E67EA"/>
    <w:pPr>
      <w:spacing w:before="240" w:after="240" w:line="520" w:lineRule="exact"/>
    </w:pPr>
    <w:rPr>
      <w:sz w:val="48"/>
    </w:rPr>
  </w:style>
  <w:style w:type="paragraph" w:styleId="BalloonText">
    <w:name w:val="Balloon Text"/>
    <w:basedOn w:val="Normal"/>
    <w:link w:val="BalloonTextChar"/>
    <w:uiPriority w:val="99"/>
    <w:semiHidden/>
    <w:unhideWhenUsed/>
    <w:rsid w:val="008E67EA"/>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8E67EA"/>
    <w:rPr>
      <w:rFonts w:ascii="Segoe UI" w:hAnsi="Segoe UI" w:cs="Segoe UI"/>
      <w:sz w:val="18"/>
      <w:szCs w:val="18"/>
    </w:rPr>
  </w:style>
  <w:style w:type="character" w:styleId="CommentReference">
    <w:name w:val="annotation reference"/>
    <w:basedOn w:val="DefaultParagraphFont"/>
    <w:uiPriority w:val="99"/>
    <w:semiHidden/>
    <w:unhideWhenUsed/>
    <w:rsid w:val="008E67EA"/>
    <w:rPr>
      <w:sz w:val="16"/>
      <w:szCs w:val="16"/>
    </w:rPr>
  </w:style>
  <w:style w:type="paragraph" w:styleId="CommentText">
    <w:name w:val="annotation text"/>
    <w:basedOn w:val="Normal"/>
    <w:link w:val="CommentTextChar"/>
    <w:uiPriority w:val="99"/>
    <w:unhideWhenUsed/>
    <w:rsid w:val="008E67EA"/>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8E67EA"/>
    <w:rPr>
      <w:sz w:val="20"/>
      <w:szCs w:val="20"/>
    </w:rPr>
  </w:style>
  <w:style w:type="paragraph" w:styleId="CommentSubject">
    <w:name w:val="annotation subject"/>
    <w:basedOn w:val="CommentText"/>
    <w:next w:val="CommentText"/>
    <w:link w:val="CommentSubjectChar"/>
    <w:uiPriority w:val="99"/>
    <w:semiHidden/>
    <w:unhideWhenUsed/>
    <w:rsid w:val="008E67EA"/>
    <w:rPr>
      <w:b/>
      <w:bCs/>
    </w:rPr>
  </w:style>
  <w:style w:type="character" w:customStyle="1" w:styleId="CommentSubjectChar">
    <w:name w:val="Comment Subject Char"/>
    <w:basedOn w:val="CommentTextChar"/>
    <w:link w:val="CommentSubject"/>
    <w:uiPriority w:val="99"/>
    <w:semiHidden/>
    <w:rsid w:val="008E67EA"/>
    <w:rPr>
      <w:b/>
      <w:bCs/>
      <w:sz w:val="20"/>
      <w:szCs w:val="20"/>
    </w:rPr>
  </w:style>
  <w:style w:type="paragraph" w:customStyle="1" w:styleId="GazetteNormalstrong">
    <w:name w:val="Gazette Normal strong"/>
    <w:basedOn w:val="GazetteNormalText"/>
    <w:qFormat/>
    <w:rsid w:val="008E67EA"/>
    <w:rPr>
      <w:rFonts w:ascii="Franklin Gothic Medium" w:hAnsi="Franklin Gothic Medium"/>
      <w:sz w:val="20"/>
    </w:rPr>
  </w:style>
  <w:style w:type="paragraph" w:customStyle="1" w:styleId="GazetteList-RomanNumerals">
    <w:name w:val="Gazette List - Roman Numerals"/>
    <w:basedOn w:val="BodyText"/>
    <w:rsid w:val="008E67EA"/>
    <w:pPr>
      <w:numPr>
        <w:numId w:val="8"/>
      </w:numPr>
      <w:spacing w:before="240" w:after="240" w:line="280" w:lineRule="exact"/>
    </w:pPr>
  </w:style>
  <w:style w:type="numbering" w:customStyle="1" w:styleId="ChemicalRevew-StatementofReasons">
    <w:name w:val="Chemical Revew - Statement of Reasons"/>
    <w:uiPriority w:val="99"/>
    <w:rsid w:val="008E67EA"/>
    <w:pPr>
      <w:numPr>
        <w:numId w:val="9"/>
      </w:numPr>
    </w:pPr>
  </w:style>
  <w:style w:type="paragraph" w:customStyle="1" w:styleId="StatementofReasonsLevel1">
    <w:name w:val="Statement of Reasons Level 1"/>
    <w:basedOn w:val="NumberLevel1"/>
    <w:link w:val="StatementofReasonsLevel1Char"/>
    <w:qFormat/>
    <w:rsid w:val="008E67EA"/>
    <w:rPr>
      <w:color w:val="000000"/>
      <w:szCs w:val="18"/>
      <w:u w:color="000000"/>
      <w:bdr w:val="nil"/>
      <w:lang w:val="en-GB"/>
    </w:rPr>
  </w:style>
  <w:style w:type="character" w:customStyle="1" w:styleId="GazetteListNumberedChar">
    <w:name w:val="Gazette List Numbered Char"/>
    <w:basedOn w:val="GazetteNormalTextChar"/>
    <w:link w:val="GazetteListNumbered"/>
    <w:rsid w:val="008E67EA"/>
    <w:rPr>
      <w:rFonts w:ascii="Arial" w:eastAsia="Arial Unicode MS" w:hAnsi="Arial Unicode MS" w:cs="Arial Unicode MS"/>
      <w:color w:val="000000"/>
      <w:sz w:val="18"/>
      <w:szCs w:val="18"/>
      <w:u w:color="000000"/>
      <w:bdr w:val="nil"/>
      <w:lang w:val="en-GB" w:eastAsia="en-AU"/>
    </w:rPr>
  </w:style>
  <w:style w:type="character" w:customStyle="1" w:styleId="StatementofReasonsLevel1Char">
    <w:name w:val="Statement of Reasons Level 1 Char"/>
    <w:basedOn w:val="GazetteListNumberedChar"/>
    <w:link w:val="StatementofReasonsLevel1"/>
    <w:rsid w:val="008E67EA"/>
    <w:rPr>
      <w:rFonts w:ascii="Arial" w:eastAsia="Times New Roman" w:hAnsi="Arial" w:cs="Arial"/>
      <w:color w:val="000000"/>
      <w:sz w:val="18"/>
      <w:szCs w:val="18"/>
      <w:u w:color="000000"/>
      <w:bdr w:val="nil"/>
      <w:lang w:val="en-GB" w:eastAsia="en-AU"/>
    </w:rPr>
  </w:style>
  <w:style w:type="character" w:styleId="UnresolvedMention">
    <w:name w:val="Unresolved Mention"/>
    <w:basedOn w:val="DefaultParagraphFont"/>
    <w:uiPriority w:val="99"/>
    <w:semiHidden/>
    <w:unhideWhenUsed/>
    <w:rsid w:val="008E67EA"/>
    <w:rPr>
      <w:color w:val="605E5C"/>
      <w:shd w:val="clear" w:color="auto" w:fill="E1DFDD"/>
    </w:rPr>
  </w:style>
  <w:style w:type="paragraph" w:customStyle="1" w:styleId="StatementofReasonsLevel2">
    <w:name w:val="Statement of Reasons Level 2"/>
    <w:basedOn w:val="StatementofReasonsLevel1"/>
    <w:link w:val="StatementofReasonsLevel2Char"/>
    <w:qFormat/>
    <w:rsid w:val="008E67EA"/>
    <w:pPr>
      <w:numPr>
        <w:numId w:val="0"/>
      </w:numPr>
      <w:tabs>
        <w:tab w:val="num" w:pos="1134"/>
      </w:tabs>
      <w:ind w:left="1134" w:hanging="567"/>
    </w:pPr>
  </w:style>
  <w:style w:type="character" w:customStyle="1" w:styleId="StatementofReasonsLevel2Char">
    <w:name w:val="Statement of Reasons Level 2 Char"/>
    <w:basedOn w:val="StatementofReasonsLevel1Char"/>
    <w:link w:val="StatementofReasonsLevel2"/>
    <w:rsid w:val="008E67EA"/>
    <w:rPr>
      <w:rFonts w:ascii="Arial" w:eastAsia="Times New Roman" w:hAnsi="Arial" w:cs="Arial"/>
      <w:color w:val="000000"/>
      <w:sz w:val="18"/>
      <w:szCs w:val="18"/>
      <w:u w:color="000000"/>
      <w:bdr w:val="nil"/>
      <w:lang w:val="en-GB" w:eastAsia="en-AU"/>
    </w:rPr>
  </w:style>
  <w:style w:type="paragraph" w:customStyle="1" w:styleId="StatementofReasonsLevel3">
    <w:name w:val="Statement of Reasons Level 3"/>
    <w:basedOn w:val="StatementofReasonsLevel1"/>
    <w:link w:val="StatementofReasonsLevel3Char"/>
    <w:qFormat/>
    <w:rsid w:val="008E67EA"/>
    <w:pPr>
      <w:numPr>
        <w:numId w:val="0"/>
      </w:numPr>
      <w:tabs>
        <w:tab w:val="num" w:pos="1701"/>
      </w:tabs>
      <w:ind w:left="1701" w:hanging="567"/>
    </w:pPr>
  </w:style>
  <w:style w:type="character" w:customStyle="1" w:styleId="StatementofReasonsLevel3Char">
    <w:name w:val="Statement of Reasons Level 3 Char"/>
    <w:basedOn w:val="StatementofReasonsLevel1Char"/>
    <w:link w:val="StatementofReasonsLevel3"/>
    <w:rsid w:val="008E67EA"/>
    <w:rPr>
      <w:rFonts w:ascii="Arial" w:eastAsia="Times New Roman" w:hAnsi="Arial" w:cs="Arial"/>
      <w:color w:val="000000"/>
      <w:sz w:val="18"/>
      <w:szCs w:val="18"/>
      <w:u w:color="000000"/>
      <w:bdr w:val="nil"/>
      <w:lang w:val="en-GB" w:eastAsia="en-AU"/>
    </w:rPr>
  </w:style>
  <w:style w:type="paragraph" w:customStyle="1" w:styleId="StatementofReasonsLevel4">
    <w:name w:val="Statement of Reasons Level 4"/>
    <w:basedOn w:val="StatementofReasonsLevel1"/>
    <w:link w:val="StatementofReasonsLevel4Char"/>
    <w:qFormat/>
    <w:rsid w:val="008E67EA"/>
    <w:pPr>
      <w:numPr>
        <w:numId w:val="0"/>
      </w:numPr>
      <w:tabs>
        <w:tab w:val="num" w:pos="2268"/>
      </w:tabs>
      <w:ind w:left="2268" w:hanging="567"/>
    </w:pPr>
  </w:style>
  <w:style w:type="character" w:customStyle="1" w:styleId="StatementofReasonsLevel4Char">
    <w:name w:val="Statement of Reasons Level 4 Char"/>
    <w:basedOn w:val="StatementofReasonsLevel1Char"/>
    <w:link w:val="StatementofReasonsLevel4"/>
    <w:rsid w:val="008E67EA"/>
    <w:rPr>
      <w:rFonts w:ascii="Arial" w:eastAsia="Times New Roman" w:hAnsi="Arial" w:cs="Arial"/>
      <w:color w:val="000000"/>
      <w:sz w:val="18"/>
      <w:szCs w:val="18"/>
      <w:u w:color="000000"/>
      <w:bdr w:val="nil"/>
      <w:lang w:val="en-GB" w:eastAsia="en-AU"/>
    </w:rPr>
  </w:style>
  <w:style w:type="paragraph" w:customStyle="1" w:styleId="StatementofReasonsLevel5">
    <w:name w:val="Statement of Reasons Level 5"/>
    <w:basedOn w:val="StatementofReasonsLevel1"/>
    <w:link w:val="StatementofReasonsLevel5Char"/>
    <w:qFormat/>
    <w:rsid w:val="008E67EA"/>
    <w:pPr>
      <w:numPr>
        <w:numId w:val="0"/>
      </w:numPr>
      <w:tabs>
        <w:tab w:val="num" w:pos="709"/>
      </w:tabs>
      <w:ind w:left="425" w:hanging="425"/>
    </w:pPr>
  </w:style>
  <w:style w:type="character" w:customStyle="1" w:styleId="StatementofReasonsLevel5Char">
    <w:name w:val="Statement of Reasons Level 5 Char"/>
    <w:basedOn w:val="StatementofReasonsLevel1Char"/>
    <w:link w:val="StatementofReasonsLevel5"/>
    <w:rsid w:val="008E67EA"/>
    <w:rPr>
      <w:rFonts w:ascii="Arial" w:eastAsia="Times New Roman" w:hAnsi="Arial" w:cs="Arial"/>
      <w:color w:val="000000"/>
      <w:sz w:val="18"/>
      <w:szCs w:val="18"/>
      <w:u w:color="000000"/>
      <w:bdr w:val="nil"/>
      <w:lang w:val="en-GB" w:eastAsia="en-AU"/>
    </w:rPr>
  </w:style>
  <w:style w:type="paragraph" w:customStyle="1" w:styleId="StatementofReasonsLevel6">
    <w:name w:val="Statement of Reasons Level 6"/>
    <w:basedOn w:val="StatementofReasonsLevel1"/>
    <w:link w:val="StatementofReasonsLevel6Char"/>
    <w:qFormat/>
    <w:rsid w:val="008E67EA"/>
    <w:pPr>
      <w:numPr>
        <w:numId w:val="0"/>
      </w:numPr>
      <w:tabs>
        <w:tab w:val="num" w:pos="1418"/>
      </w:tabs>
      <w:ind w:left="851" w:hanging="426"/>
    </w:pPr>
  </w:style>
  <w:style w:type="character" w:customStyle="1" w:styleId="StatementofReasonsLevel6Char">
    <w:name w:val="Statement of Reasons Level 6 Char"/>
    <w:basedOn w:val="StatementofReasonsLevel1Char"/>
    <w:link w:val="StatementofReasonsLevel6"/>
    <w:rsid w:val="008E67EA"/>
    <w:rPr>
      <w:rFonts w:ascii="Arial" w:eastAsia="Times New Roman" w:hAnsi="Arial" w:cs="Arial"/>
      <w:color w:val="000000"/>
      <w:sz w:val="18"/>
      <w:szCs w:val="18"/>
      <w:u w:color="000000"/>
      <w:bdr w:val="nil"/>
      <w:lang w:val="en-GB" w:eastAsia="en-AU"/>
    </w:rPr>
  </w:style>
  <w:style w:type="paragraph" w:styleId="TOCHeading">
    <w:name w:val="TOC Heading"/>
    <w:basedOn w:val="Heading1"/>
    <w:next w:val="Normal"/>
    <w:uiPriority w:val="39"/>
    <w:unhideWhenUsed/>
    <w:qFormat/>
    <w:rsid w:val="008E67EA"/>
    <w:pPr>
      <w:spacing w:line="259" w:lineRule="auto"/>
      <w:outlineLvl w:val="9"/>
    </w:pPr>
    <w:rPr>
      <w:lang w:val="en-US"/>
    </w:rPr>
  </w:style>
  <w:style w:type="paragraph" w:customStyle="1" w:styleId="StatementofReasonsHeading1">
    <w:name w:val="Statement of Reasons Heading 1"/>
    <w:basedOn w:val="GazetteHeading1"/>
    <w:link w:val="StatementofReasonsHeading1Char"/>
    <w:qFormat/>
    <w:rsid w:val="008E67EA"/>
    <w:pPr>
      <w:spacing w:before="360" w:after="360"/>
    </w:pPr>
  </w:style>
  <w:style w:type="character" w:customStyle="1" w:styleId="GazetteHeading1Char">
    <w:name w:val="Gazette Heading 1 Char"/>
    <w:basedOn w:val="Heading1Char"/>
    <w:link w:val="GazetteHeading1"/>
    <w:rsid w:val="008E67EA"/>
    <w:rPr>
      <w:rFonts w:ascii="Franklin Gothic Medium" w:eastAsiaTheme="majorEastAsia" w:hAnsi="Franklin Gothic Medium" w:cstheme="majorBidi"/>
      <w:color w:val="2E74B5" w:themeColor="accent1" w:themeShade="BF"/>
      <w:sz w:val="28"/>
      <w:szCs w:val="32"/>
    </w:rPr>
  </w:style>
  <w:style w:type="character" w:customStyle="1" w:styleId="StatementofReasonsHeading1Char">
    <w:name w:val="Statement of Reasons Heading 1 Char"/>
    <w:basedOn w:val="GazetteHeading1Char"/>
    <w:link w:val="StatementofReasonsHeading1"/>
    <w:rsid w:val="008E67EA"/>
    <w:rPr>
      <w:rFonts w:ascii="Franklin Gothic Medium" w:eastAsiaTheme="majorEastAsia" w:hAnsi="Franklin Gothic Medium" w:cstheme="majorBidi"/>
      <w:color w:val="2E74B5" w:themeColor="accent1" w:themeShade="BF"/>
      <w:sz w:val="28"/>
      <w:szCs w:val="32"/>
    </w:rPr>
  </w:style>
  <w:style w:type="paragraph" w:customStyle="1" w:styleId="StatementofReasonsHeading2">
    <w:name w:val="Statement of Reasons Heading 2"/>
    <w:basedOn w:val="GazetteHeading2"/>
    <w:link w:val="StatementofReasonsHeading2Char"/>
    <w:qFormat/>
    <w:rsid w:val="008E67EA"/>
    <w:pPr>
      <w:spacing w:before="400" w:after="240"/>
    </w:pPr>
  </w:style>
  <w:style w:type="character" w:customStyle="1" w:styleId="GazetteHeading2Char">
    <w:name w:val="Gazette Heading 2 Char"/>
    <w:basedOn w:val="Heading2Char"/>
    <w:link w:val="GazetteHeading2"/>
    <w:rsid w:val="008E67EA"/>
    <w:rPr>
      <w:rFonts w:ascii="Franklin Gothic Medium" w:eastAsiaTheme="majorEastAsia" w:hAnsi="Franklin Gothic Medium" w:cstheme="majorBidi"/>
      <w:bCs/>
      <w:iCs/>
      <w:color w:val="2E74B5" w:themeColor="accent1" w:themeShade="BF"/>
      <w:sz w:val="24"/>
      <w:szCs w:val="26"/>
      <w:lang w:val="en-GB"/>
    </w:rPr>
  </w:style>
  <w:style w:type="character" w:customStyle="1" w:styleId="StatementofReasonsHeading2Char">
    <w:name w:val="Statement of Reasons Heading 2 Char"/>
    <w:basedOn w:val="GazetteHeading2Char"/>
    <w:link w:val="StatementofReasonsHeading2"/>
    <w:rsid w:val="008E67EA"/>
    <w:rPr>
      <w:rFonts w:ascii="Franklin Gothic Medium" w:eastAsiaTheme="majorEastAsia" w:hAnsi="Franklin Gothic Medium" w:cstheme="majorBidi"/>
      <w:bCs/>
      <w:iCs/>
      <w:color w:val="2E74B5" w:themeColor="accent1" w:themeShade="BF"/>
      <w:sz w:val="24"/>
      <w:szCs w:val="26"/>
      <w:lang w:val="en-GB"/>
    </w:rPr>
  </w:style>
  <w:style w:type="paragraph" w:customStyle="1" w:styleId="StatementofReasonsHeading3">
    <w:name w:val="Statement of Reasons Heading 3"/>
    <w:basedOn w:val="StatementofReasonsLevel2"/>
    <w:link w:val="StatementofReasonsHeading3Char"/>
    <w:qFormat/>
    <w:rsid w:val="008E67EA"/>
    <w:pPr>
      <w:tabs>
        <w:tab w:val="clear" w:pos="1134"/>
      </w:tabs>
      <w:ind w:left="0" w:firstLine="0"/>
    </w:pPr>
    <w:rPr>
      <w:rFonts w:ascii="Franklin Gothic Medium" w:hAnsi="Franklin Gothic Medium"/>
      <w:sz w:val="22"/>
    </w:rPr>
  </w:style>
  <w:style w:type="character" w:customStyle="1" w:styleId="StatementofReasonsHeading3Char">
    <w:name w:val="Statement of Reasons Heading 3 Char"/>
    <w:basedOn w:val="StatementofReasonsLevel6Char"/>
    <w:link w:val="StatementofReasonsHeading3"/>
    <w:rsid w:val="008E67EA"/>
    <w:rPr>
      <w:rFonts w:ascii="Franklin Gothic Medium" w:eastAsia="Times New Roman" w:hAnsi="Franklin Gothic Medium" w:cs="Arial"/>
      <w:color w:val="000000"/>
      <w:sz w:val="18"/>
      <w:szCs w:val="18"/>
      <w:u w:color="000000"/>
      <w:bdr w:val="nil"/>
      <w:lang w:val="en-GB" w:eastAsia="en-AU"/>
    </w:rPr>
  </w:style>
  <w:style w:type="paragraph" w:customStyle="1" w:styleId="StatementofReasonsTableCaption">
    <w:name w:val="Statement of Reasons Table Caption"/>
    <w:basedOn w:val="Caption"/>
    <w:link w:val="StatementofReasonsTableCaptionChar"/>
    <w:qFormat/>
    <w:rsid w:val="008E67EA"/>
    <w:pPr>
      <w:keepNext/>
    </w:pPr>
  </w:style>
  <w:style w:type="character" w:customStyle="1" w:styleId="CaptionChar">
    <w:name w:val="Caption Char"/>
    <w:aliases w:val="APVMA_Caption Char,o Char,Beschriftung Char Char,Beschriftung Char1 Char Char,Beschriftung Char Char Char Char,Char Char,Bayer Caption Char,o + Links Char,! Q Char,1 Char,Beschriftung Appendix Char,Légende Car Car Car Char, Char Char"/>
    <w:basedOn w:val="DefaultParagraphFont"/>
    <w:link w:val="Caption"/>
    <w:rsid w:val="008E67EA"/>
    <w:rPr>
      <w:rFonts w:ascii="Franklin Gothic Medium" w:hAnsi="Franklin Gothic Medium"/>
      <w:iCs/>
      <w:sz w:val="20"/>
      <w:szCs w:val="18"/>
    </w:rPr>
  </w:style>
  <w:style w:type="character" w:customStyle="1" w:styleId="StatementofReasonsTableCaptionChar">
    <w:name w:val="Statement of Reasons Table Caption Char"/>
    <w:basedOn w:val="CaptionChar"/>
    <w:link w:val="StatementofReasonsTableCaption"/>
    <w:rsid w:val="008E67EA"/>
    <w:rPr>
      <w:rFonts w:ascii="Franklin Gothic Medium" w:hAnsi="Franklin Gothic Medium"/>
      <w:iCs/>
      <w:sz w:val="20"/>
      <w:szCs w:val="18"/>
    </w:rPr>
  </w:style>
  <w:style w:type="paragraph" w:customStyle="1" w:styleId="NumberLevel1">
    <w:name w:val="Number Level 1"/>
    <w:aliases w:val="N1"/>
    <w:basedOn w:val="Normal"/>
    <w:uiPriority w:val="1"/>
    <w:qFormat/>
    <w:rsid w:val="008E67EA"/>
    <w:pPr>
      <w:numPr>
        <w:numId w:val="16"/>
      </w:numPr>
      <w:spacing w:before="240" w:after="240" w:line="280" w:lineRule="atLeast"/>
    </w:pPr>
    <w:rPr>
      <w:rFonts w:cs="Arial"/>
      <w:szCs w:val="22"/>
      <w:lang w:eastAsia="en-AU"/>
    </w:rPr>
  </w:style>
  <w:style w:type="paragraph" w:customStyle="1" w:styleId="NumberLevel2">
    <w:name w:val="Number Level 2"/>
    <w:aliases w:val="N2"/>
    <w:basedOn w:val="Normal"/>
    <w:uiPriority w:val="1"/>
    <w:qFormat/>
    <w:rsid w:val="008E67EA"/>
    <w:pPr>
      <w:numPr>
        <w:ilvl w:val="1"/>
        <w:numId w:val="16"/>
      </w:numPr>
      <w:spacing w:before="240" w:after="240" w:line="280" w:lineRule="atLeast"/>
    </w:pPr>
    <w:rPr>
      <w:rFonts w:cs="Arial"/>
      <w:szCs w:val="22"/>
      <w:lang w:eastAsia="en-AU"/>
    </w:rPr>
  </w:style>
  <w:style w:type="paragraph" w:customStyle="1" w:styleId="NumberLevel3">
    <w:name w:val="Number Level 3"/>
    <w:aliases w:val="N3"/>
    <w:basedOn w:val="Normal"/>
    <w:uiPriority w:val="1"/>
    <w:qFormat/>
    <w:rsid w:val="008E67EA"/>
    <w:pPr>
      <w:numPr>
        <w:ilvl w:val="2"/>
        <w:numId w:val="16"/>
      </w:numPr>
      <w:spacing w:before="140" w:after="140" w:line="280" w:lineRule="atLeast"/>
    </w:pPr>
    <w:rPr>
      <w:rFonts w:cs="Arial"/>
      <w:szCs w:val="22"/>
      <w:lang w:eastAsia="en-AU"/>
    </w:rPr>
  </w:style>
  <w:style w:type="paragraph" w:customStyle="1" w:styleId="NumberLevel4">
    <w:name w:val="Number Level 4"/>
    <w:aliases w:val="N4"/>
    <w:basedOn w:val="Normal"/>
    <w:uiPriority w:val="1"/>
    <w:qFormat/>
    <w:rsid w:val="008E67EA"/>
    <w:pPr>
      <w:numPr>
        <w:ilvl w:val="3"/>
        <w:numId w:val="16"/>
      </w:numPr>
      <w:spacing w:after="140" w:line="280" w:lineRule="atLeast"/>
    </w:pPr>
    <w:rPr>
      <w:rFonts w:cs="Arial"/>
      <w:szCs w:val="22"/>
      <w:lang w:eastAsia="en-AU"/>
    </w:rPr>
  </w:style>
  <w:style w:type="paragraph" w:customStyle="1" w:styleId="NumberLevel5">
    <w:name w:val="Number Level 5"/>
    <w:aliases w:val="N5"/>
    <w:basedOn w:val="Normal"/>
    <w:uiPriority w:val="1"/>
    <w:semiHidden/>
    <w:rsid w:val="008E67EA"/>
    <w:pPr>
      <w:numPr>
        <w:ilvl w:val="4"/>
        <w:numId w:val="16"/>
      </w:numPr>
      <w:tabs>
        <w:tab w:val="clear" w:pos="709"/>
      </w:tabs>
      <w:spacing w:after="140" w:line="280" w:lineRule="atLeast"/>
      <w:ind w:left="4516" w:hanging="360"/>
    </w:pPr>
    <w:rPr>
      <w:rFonts w:cs="Arial"/>
      <w:sz w:val="20"/>
      <w:szCs w:val="22"/>
      <w:lang w:eastAsia="en-AU"/>
    </w:rPr>
  </w:style>
  <w:style w:type="paragraph" w:customStyle="1" w:styleId="NumberLevel6">
    <w:name w:val="Number Level 6"/>
    <w:basedOn w:val="NumberLevel5"/>
    <w:uiPriority w:val="1"/>
    <w:semiHidden/>
    <w:rsid w:val="008E67EA"/>
    <w:pPr>
      <w:numPr>
        <w:ilvl w:val="5"/>
      </w:numPr>
      <w:tabs>
        <w:tab w:val="clear" w:pos="1418"/>
      </w:tabs>
      <w:ind w:left="5236" w:hanging="180"/>
    </w:pPr>
  </w:style>
  <w:style w:type="paragraph" w:customStyle="1" w:styleId="NumberLevel7">
    <w:name w:val="Number Level 7"/>
    <w:basedOn w:val="NumberLevel6"/>
    <w:uiPriority w:val="1"/>
    <w:semiHidden/>
    <w:rsid w:val="008E67EA"/>
    <w:pPr>
      <w:numPr>
        <w:ilvl w:val="6"/>
      </w:numPr>
      <w:tabs>
        <w:tab w:val="clear" w:pos="1843"/>
      </w:tabs>
      <w:ind w:left="5956" w:hanging="360"/>
    </w:pPr>
  </w:style>
  <w:style w:type="paragraph" w:customStyle="1" w:styleId="NumberLevel8">
    <w:name w:val="Number Level 8"/>
    <w:basedOn w:val="NumberLevel7"/>
    <w:uiPriority w:val="1"/>
    <w:semiHidden/>
    <w:rsid w:val="008E67EA"/>
    <w:pPr>
      <w:numPr>
        <w:ilvl w:val="7"/>
      </w:numPr>
      <w:tabs>
        <w:tab w:val="clear" w:pos="2410"/>
      </w:tabs>
      <w:ind w:left="6676" w:hanging="360"/>
    </w:pPr>
  </w:style>
  <w:style w:type="paragraph" w:customStyle="1" w:styleId="NumberLevel9">
    <w:name w:val="Number Level 9"/>
    <w:basedOn w:val="NumberLevel8"/>
    <w:uiPriority w:val="1"/>
    <w:semiHidden/>
    <w:rsid w:val="008E67EA"/>
    <w:pPr>
      <w:numPr>
        <w:ilvl w:val="8"/>
      </w:numPr>
      <w:tabs>
        <w:tab w:val="clear" w:pos="2835"/>
      </w:tabs>
      <w:ind w:left="7396" w:hanging="180"/>
    </w:pPr>
  </w:style>
  <w:style w:type="paragraph" w:customStyle="1" w:styleId="StatementofReasonsHeading4">
    <w:name w:val="Statement of Reasons Heading 4"/>
    <w:basedOn w:val="StatementofReasonsLevel1"/>
    <w:link w:val="StatementofReasonsHeading4Char"/>
    <w:qFormat/>
    <w:rsid w:val="008E67EA"/>
    <w:pPr>
      <w:numPr>
        <w:numId w:val="0"/>
      </w:numPr>
    </w:pPr>
    <w:rPr>
      <w:rFonts w:ascii="Franklin Gothic Medium" w:hAnsi="Franklin Gothic Medium"/>
      <w:szCs w:val="20"/>
    </w:rPr>
  </w:style>
  <w:style w:type="character" w:customStyle="1" w:styleId="StatementofReasonsHeading4Char">
    <w:name w:val="Statement of Reasons Heading 4 Char"/>
    <w:basedOn w:val="StatementofReasonsLevel1Char"/>
    <w:link w:val="StatementofReasonsHeading4"/>
    <w:rsid w:val="008E67EA"/>
    <w:rPr>
      <w:rFonts w:ascii="Franklin Gothic Medium" w:eastAsia="Times New Roman" w:hAnsi="Franklin Gothic Medium" w:cs="Arial"/>
      <w:color w:val="000000"/>
      <w:sz w:val="18"/>
      <w:szCs w:val="20"/>
      <w:u w:color="000000"/>
      <w:bdr w:val="nil"/>
      <w:lang w:val="en-GB" w:eastAsia="en-AU"/>
    </w:rPr>
  </w:style>
  <w:style w:type="paragraph" w:customStyle="1" w:styleId="StatementofReasonsHeading5">
    <w:name w:val="Statement of Reasons Heading 5"/>
    <w:basedOn w:val="StatementofReasonsHeading4"/>
    <w:link w:val="StatementofReasonsHeading5Char"/>
    <w:qFormat/>
    <w:rsid w:val="008E67EA"/>
    <w:pPr>
      <w:ind w:left="1287"/>
    </w:pPr>
    <w:rPr>
      <w:i/>
      <w:iCs/>
    </w:rPr>
  </w:style>
  <w:style w:type="character" w:customStyle="1" w:styleId="StatementofReasonsHeading5Char">
    <w:name w:val="Statement of Reasons Heading 5 Char"/>
    <w:basedOn w:val="StatementofReasonsHeading4Char"/>
    <w:link w:val="StatementofReasonsHeading5"/>
    <w:rsid w:val="008E67EA"/>
    <w:rPr>
      <w:rFonts w:ascii="Franklin Gothic Medium" w:eastAsia="Times New Roman" w:hAnsi="Franklin Gothic Medium" w:cs="Arial"/>
      <w:i/>
      <w:iCs/>
      <w:color w:val="000000"/>
      <w:sz w:val="18"/>
      <w:szCs w:val="20"/>
      <w:u w:color="000000"/>
      <w:bdr w:val="nil"/>
      <w:lang w:val="en-GB" w:eastAsia="en-AU"/>
    </w:rPr>
  </w:style>
  <w:style w:type="paragraph" w:customStyle="1" w:styleId="t3subpara">
    <w:name w:val="t3subpara"/>
    <w:basedOn w:val="Normal"/>
    <w:rsid w:val="008E67EA"/>
    <w:pPr>
      <w:spacing w:before="100" w:beforeAutospacing="1" w:after="100" w:afterAutospacing="1"/>
    </w:pPr>
    <w:rPr>
      <w:rFonts w:ascii="Times New Roman" w:hAnsi="Times New Roman"/>
      <w:sz w:val="24"/>
      <w:lang w:eastAsia="en-AU"/>
    </w:rPr>
  </w:style>
  <w:style w:type="paragraph" w:customStyle="1" w:styleId="acthead5">
    <w:name w:val="acthead5"/>
    <w:basedOn w:val="Normal"/>
    <w:rsid w:val="008E67EA"/>
    <w:pPr>
      <w:spacing w:before="100" w:beforeAutospacing="1" w:after="100" w:afterAutospacing="1"/>
    </w:pPr>
    <w:rPr>
      <w:rFonts w:ascii="Times New Roman" w:hAnsi="Times New Roman"/>
      <w:sz w:val="24"/>
      <w:lang w:eastAsia="en-AU"/>
    </w:rPr>
  </w:style>
  <w:style w:type="character" w:customStyle="1" w:styleId="charsectno">
    <w:name w:val="charsectno"/>
    <w:basedOn w:val="DefaultParagraphFont"/>
    <w:rsid w:val="008E67EA"/>
  </w:style>
  <w:style w:type="paragraph" w:customStyle="1" w:styleId="subsection">
    <w:name w:val="subsection"/>
    <w:basedOn w:val="Normal"/>
    <w:rsid w:val="008E67EA"/>
    <w:pPr>
      <w:spacing w:before="100" w:beforeAutospacing="1" w:after="100" w:afterAutospacing="1"/>
    </w:pPr>
    <w:rPr>
      <w:rFonts w:ascii="Times New Roman" w:hAnsi="Times New Roman"/>
      <w:sz w:val="24"/>
      <w:lang w:eastAsia="en-AU"/>
    </w:rPr>
  </w:style>
  <w:style w:type="paragraph" w:customStyle="1" w:styleId="paragraph">
    <w:name w:val="paragraph"/>
    <w:basedOn w:val="Normal"/>
    <w:rsid w:val="008E67EA"/>
    <w:pPr>
      <w:spacing w:before="100" w:beforeAutospacing="1" w:after="100" w:afterAutospacing="1"/>
    </w:pPr>
    <w:rPr>
      <w:rFonts w:ascii="Times New Roman" w:hAnsi="Times New Roman"/>
      <w:sz w:val="24"/>
      <w:lang w:eastAsia="en-AU"/>
    </w:rPr>
  </w:style>
  <w:style w:type="paragraph" w:customStyle="1" w:styleId="paragraphsub">
    <w:name w:val="paragraphsub"/>
    <w:basedOn w:val="Normal"/>
    <w:rsid w:val="008E67EA"/>
    <w:pPr>
      <w:spacing w:before="100" w:beforeAutospacing="1" w:after="100" w:afterAutospacing="1"/>
    </w:pPr>
    <w:rPr>
      <w:rFonts w:ascii="Times New Roman" w:hAnsi="Times New Roman"/>
      <w:sz w:val="24"/>
      <w:lang w:eastAsia="en-AU"/>
    </w:rPr>
  </w:style>
  <w:style w:type="paragraph" w:customStyle="1" w:styleId="Leg1SecHead1">
    <w:name w:val="Leg1 Sec Head: 1."/>
    <w:aliases w:val="L1"/>
    <w:basedOn w:val="Normal"/>
    <w:uiPriority w:val="5"/>
    <w:qFormat/>
    <w:rsid w:val="008E67EA"/>
    <w:pPr>
      <w:tabs>
        <w:tab w:val="left" w:pos="425"/>
        <w:tab w:val="left" w:pos="850"/>
        <w:tab w:val="left" w:pos="1276"/>
      </w:tabs>
      <w:spacing w:before="60" w:after="60" w:line="260" w:lineRule="atLeast"/>
      <w:ind w:left="1276" w:right="567" w:hanging="850"/>
    </w:pPr>
    <w:rPr>
      <w:rFonts w:cs="Arial"/>
      <w:b/>
      <w:sz w:val="20"/>
      <w:szCs w:val="22"/>
      <w:lang w:eastAsia="en-AU"/>
    </w:rPr>
  </w:style>
  <w:style w:type="paragraph" w:customStyle="1" w:styleId="Leg4Subsec1">
    <w:name w:val="Leg4 Subsec: (1)"/>
    <w:aliases w:val="L4"/>
    <w:basedOn w:val="Normal"/>
    <w:uiPriority w:val="5"/>
    <w:qFormat/>
    <w:rsid w:val="008E67EA"/>
    <w:pPr>
      <w:spacing w:before="60" w:after="60" w:line="260" w:lineRule="atLeast"/>
      <w:ind w:left="1276" w:right="567" w:hanging="425"/>
    </w:pPr>
    <w:rPr>
      <w:rFonts w:cs="Arial"/>
      <w:sz w:val="20"/>
      <w:szCs w:val="22"/>
      <w:lang w:eastAsia="en-AU"/>
    </w:rPr>
  </w:style>
  <w:style w:type="paragraph" w:customStyle="1" w:styleId="Leg5Paraa">
    <w:name w:val="Leg5 Para: (a)"/>
    <w:aliases w:val="L5"/>
    <w:basedOn w:val="Normal"/>
    <w:uiPriority w:val="5"/>
    <w:qFormat/>
    <w:rsid w:val="008E67EA"/>
    <w:pPr>
      <w:spacing w:before="60" w:after="60" w:line="260" w:lineRule="atLeast"/>
      <w:ind w:left="1843" w:right="567" w:hanging="567"/>
    </w:pPr>
    <w:rPr>
      <w:rFonts w:cs="Arial"/>
      <w:sz w:val="20"/>
      <w:szCs w:val="22"/>
      <w:lang w:eastAsia="en-AU"/>
    </w:rPr>
  </w:style>
  <w:style w:type="paragraph" w:styleId="FootnoteText">
    <w:name w:val="footnote text"/>
    <w:aliases w:val="APVMA_Footnote,DAR001"/>
    <w:basedOn w:val="Normal"/>
    <w:link w:val="FootnoteTextChar"/>
    <w:uiPriority w:val="31"/>
    <w:rsid w:val="008E67EA"/>
    <w:pPr>
      <w:tabs>
        <w:tab w:val="left" w:pos="425"/>
      </w:tabs>
      <w:spacing w:line="259" w:lineRule="auto"/>
      <w:ind w:left="142" w:right="567" w:hanging="142"/>
    </w:pPr>
    <w:rPr>
      <w:rFonts w:cs="Arial"/>
      <w:szCs w:val="20"/>
      <w:lang w:val="en-US" w:eastAsia="en-AU"/>
    </w:rPr>
  </w:style>
  <w:style w:type="character" w:customStyle="1" w:styleId="FootnoteTextChar">
    <w:name w:val="Footnote Text Char"/>
    <w:aliases w:val="APVMA_Footnote Char,DAR001 Char"/>
    <w:basedOn w:val="DefaultParagraphFont"/>
    <w:link w:val="FootnoteText"/>
    <w:uiPriority w:val="31"/>
    <w:rsid w:val="008E67EA"/>
    <w:rPr>
      <w:rFonts w:ascii="Arial" w:eastAsia="Times New Roman" w:hAnsi="Arial" w:cs="Arial"/>
      <w:sz w:val="18"/>
      <w:szCs w:val="20"/>
      <w:lang w:val="en-US" w:eastAsia="en-AU"/>
    </w:rPr>
  </w:style>
  <w:style w:type="character" w:styleId="FootnoteReference">
    <w:name w:val="footnote reference"/>
    <w:basedOn w:val="DefaultParagraphFont"/>
    <w:uiPriority w:val="31"/>
    <w:rsid w:val="008E67EA"/>
    <w:rPr>
      <w:rFonts w:ascii="Arial" w:hAnsi="Arial" w:cs="Arial"/>
      <w:b w:val="0"/>
      <w:i w:val="0"/>
      <w:sz w:val="22"/>
      <w:vertAlign w:val="superscript"/>
    </w:rPr>
  </w:style>
  <w:style w:type="paragraph" w:customStyle="1" w:styleId="subsection2">
    <w:name w:val="subsection2"/>
    <w:basedOn w:val="Normal"/>
    <w:rsid w:val="008E67EA"/>
    <w:pPr>
      <w:spacing w:before="100" w:beforeAutospacing="1" w:after="100" w:afterAutospacing="1"/>
    </w:pPr>
    <w:rPr>
      <w:rFonts w:ascii="Times New Roman" w:hAnsi="Times New Roman"/>
      <w:sz w:val="24"/>
      <w:lang w:eastAsia="en-AU"/>
    </w:rPr>
  </w:style>
  <w:style w:type="character" w:customStyle="1" w:styleId="APVMATableTextChar">
    <w:name w:val="APVMA_TableText Char"/>
    <w:link w:val="APVMATableText"/>
    <w:uiPriority w:val="4"/>
    <w:locked/>
    <w:rsid w:val="008E67EA"/>
    <w:rPr>
      <w:rFonts w:ascii="Arial" w:eastAsia="Times New Roman" w:hAnsi="Arial" w:cs="Arial"/>
      <w:spacing w:val="6"/>
      <w:kern w:val="20"/>
      <w:sz w:val="17"/>
      <w:szCs w:val="24"/>
      <w:u w:color="000000"/>
    </w:rPr>
  </w:style>
  <w:style w:type="paragraph" w:customStyle="1" w:styleId="APVMATableText">
    <w:name w:val="APVMA_TableText"/>
    <w:basedOn w:val="Normal"/>
    <w:link w:val="APVMATableTextChar"/>
    <w:uiPriority w:val="4"/>
    <w:qFormat/>
    <w:rsid w:val="008E67EA"/>
    <w:pPr>
      <w:suppressAutoHyphens/>
      <w:spacing w:before="120" w:after="120" w:line="210" w:lineRule="exact"/>
    </w:pPr>
    <w:rPr>
      <w:rFonts w:cs="Arial"/>
      <w:spacing w:val="6"/>
      <w:kern w:val="20"/>
      <w:sz w:val="17"/>
      <w:u w:color="000000"/>
    </w:rPr>
  </w:style>
  <w:style w:type="paragraph" w:customStyle="1" w:styleId="TableHead">
    <w:name w:val="TableHead"/>
    <w:basedOn w:val="Normal"/>
    <w:uiPriority w:val="4"/>
    <w:qFormat/>
    <w:rsid w:val="008E67EA"/>
    <w:pPr>
      <w:keepNext/>
      <w:keepLines/>
      <w:suppressAutoHyphens/>
      <w:spacing w:before="60" w:after="60" w:line="240" w:lineRule="exact"/>
    </w:pPr>
    <w:rPr>
      <w:rFonts w:ascii="Franklin Gothic Medium" w:hAnsi="Franklin Gothic Medium" w:cs="Arial"/>
      <w:bCs/>
      <w:color w:val="F8F8F8"/>
      <w:spacing w:val="6"/>
      <w:kern w:val="20"/>
      <w:u w:color="000000"/>
    </w:rPr>
  </w:style>
  <w:style w:type="paragraph" w:styleId="NormalWeb">
    <w:name w:val="Normal (Web)"/>
    <w:basedOn w:val="Normal"/>
    <w:uiPriority w:val="99"/>
    <w:semiHidden/>
    <w:unhideWhenUsed/>
    <w:rsid w:val="008E67EA"/>
    <w:pPr>
      <w:spacing w:before="100" w:beforeAutospacing="1" w:after="100" w:afterAutospacing="1"/>
    </w:pPr>
    <w:rPr>
      <w:rFonts w:ascii="Times New Roman" w:hAnsi="Times New Roman"/>
      <w:sz w:val="24"/>
      <w:lang w:eastAsia="en-AU"/>
    </w:rPr>
  </w:style>
  <w:style w:type="paragraph" w:customStyle="1" w:styleId="NormalText">
    <w:name w:val="Normal Text"/>
    <w:basedOn w:val="Normal"/>
    <w:link w:val="NormalTextChar"/>
    <w:qFormat/>
    <w:rsid w:val="008E67EA"/>
    <w:pPr>
      <w:suppressAutoHyphens/>
      <w:spacing w:before="240" w:after="240" w:line="280" w:lineRule="exact"/>
    </w:pPr>
    <w:rPr>
      <w:rFonts w:eastAsiaTheme="minorHAnsi" w:cs="Arial"/>
      <w:kern w:val="20"/>
      <w:sz w:val="19"/>
      <w:szCs w:val="22"/>
      <w:u w:color="000000"/>
      <w14:ligatures w14:val="standardContextual"/>
    </w:rPr>
  </w:style>
  <w:style w:type="character" w:customStyle="1" w:styleId="NormalTextChar">
    <w:name w:val="Normal Text Char"/>
    <w:basedOn w:val="DefaultParagraphFont"/>
    <w:link w:val="NormalText"/>
    <w:rsid w:val="008E67EA"/>
    <w:rPr>
      <w:rFonts w:ascii="Arial" w:hAnsi="Arial" w:cs="Arial"/>
      <w:kern w:val="20"/>
      <w:sz w:val="19"/>
      <w:u w:color="000000"/>
      <w14:ligatures w14:val="standardContextual"/>
    </w:rPr>
  </w:style>
  <w:style w:type="table" w:customStyle="1" w:styleId="SignatureTable1">
    <w:name w:val="Signature Table1"/>
    <w:basedOn w:val="TableNormal"/>
    <w:uiPriority w:val="39"/>
    <w:rsid w:val="008E67E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E67EA"/>
    <w:pPr>
      <w:widowControl w:val="0"/>
      <w:autoSpaceDE w:val="0"/>
      <w:autoSpaceDN w:val="0"/>
      <w:ind w:left="124"/>
    </w:pPr>
    <w:rPr>
      <w:rFonts w:eastAsia="Arial" w:cs="Arial"/>
      <w:sz w:val="22"/>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8.xml" Id="rId26" /><Relationship Type="http://schemas.openxmlformats.org/officeDocument/2006/relationships/footer" Target="footer2.xml" Id="rId21" /><Relationship Type="http://schemas.openxmlformats.org/officeDocument/2006/relationships/hyperlink" Target="https://www.apvma.gov.au/registrations-and-permits/data-guidelines/risk-assessment-manuals/environment" TargetMode="External" Id="rId34" /><Relationship Type="http://schemas.openxmlformats.org/officeDocument/2006/relationships/hyperlink" Target="https://circabc.europa.eu/ui/group/e947a950-8032-4df9-a3f0-f61eefd3d81b/library/352bffd8-babc-4af8-9d0c-a1c87a3c3afc/details" TargetMode="External" Id="rId42" /><Relationship Type="http://schemas.openxmlformats.org/officeDocument/2006/relationships/hyperlink" Target="https://www.legislation.gov.au/Details/F2021L01044" TargetMode="External" Id="rId47" /><Relationship Type="http://schemas.openxmlformats.org/officeDocument/2006/relationships/hyperlink" Target="https://www.apvma.gov.au/registrations-and-permits/data-guidelines/risk-assessment-manuals/chemistry-manufacture" TargetMode="External" Id="rId50" /><Relationship Type="http://schemas.openxmlformats.org/officeDocument/2006/relationships/hyperlink" Target="https://www.apvma.gov.au/news-forms-and-publications/forms/public-submission-coversheet" TargetMode="External" Id="rId55" /><Relationship Type="http://schemas.openxmlformats.org/officeDocument/2006/relationships/hyperlink" Target="https://www.apvma.gov.au/registrations-and-permits/data-guidelines/risk-assessment-manuals/environment" TargetMode="External" Id="rId6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yperlink" Target="https://www.apvma.gov.au/chemicals-and-products/chemical-review/listing/anticoagulant-rodenticides/anticoagulant-rodenticides-data-list" TargetMode="External" Id="rId29" /><Relationship Type="http://schemas.openxmlformats.org/officeDocument/2006/relationships/hyperlink" Target="mailto:communications@apvma.gov.au" TargetMode="External" Id="rId11" /><Relationship Type="http://schemas.openxmlformats.org/officeDocument/2006/relationships/header" Target="header6.xml" Id="rId24" /><Relationship Type="http://schemas.openxmlformats.org/officeDocument/2006/relationships/hyperlink" Target="https://www.legislation.gov.au/Details/F2022L00137" TargetMode="External" Id="rId32" /><Relationship Type="http://schemas.openxmlformats.org/officeDocument/2006/relationships/hyperlink" Target="https://openknowledge.fao.org/server/api/core/bitstreams/e4bf9cc0-99c1-472b-8360-972093d4d897/content" TargetMode="External" Id="rId37" /><Relationship Type="http://schemas.openxmlformats.org/officeDocument/2006/relationships/header" Target="header11.xml" Id="rId40" /><Relationship Type="http://schemas.openxmlformats.org/officeDocument/2006/relationships/hyperlink" Target="https://www.apvma.gov.au/chemicals-and-products/chemical-review/listing/anticoagulant-rodenticides/anticoagulant-rodenticides-review-technical-report" TargetMode="External" Id="rId45" /><Relationship Type="http://schemas.openxmlformats.org/officeDocument/2006/relationships/hyperlink" Target="https://www.apvma.gov.au/registrations-and-permits/data-guidelines/risk-assessment-manuals/residues-trade" TargetMode="External" Id="rId53" /><Relationship Type="http://schemas.openxmlformats.org/officeDocument/2006/relationships/header" Target="header14.xml" Id="rId58" /><Relationship Type="http://schemas.openxmlformats.org/officeDocument/2006/relationships/theme" Target="theme/theme1.xml" Id="rId66" /><Relationship Type="http://schemas.openxmlformats.org/officeDocument/2006/relationships/settings" Target="settings.xml" Id="rId5" /><Relationship Type="http://schemas.openxmlformats.org/officeDocument/2006/relationships/hyperlink" Target="https://www.apvma.gov.au/chemicals-and-products/chemical-review/listing/anticoagulant-rodenticides/anticoagulant-rodenticides-review-technical-report" TargetMode="External" Id="rId61" /><Relationship Type="http://schemas.openxmlformats.org/officeDocument/2006/relationships/header" Target="header3.xml" Id="rId19" /><Relationship Type="http://schemas.openxmlformats.org/officeDocument/2006/relationships/hyperlink" Target="https://apvma.us2.list-manage.com/subscribe?u=f09f7f9ed2a2867a19b99e2e4&amp;id=a025640240" TargetMode="External" Id="rId14" /><Relationship Type="http://schemas.openxmlformats.org/officeDocument/2006/relationships/hyperlink" Target="https://www.apvma.gov.au/news-forms-and-publications/forms/public-submission-coversheet" TargetMode="External" Id="rId22" /><Relationship Type="http://schemas.openxmlformats.org/officeDocument/2006/relationships/footer" Target="footer3.xml" Id="rId27" /><Relationship Type="http://schemas.openxmlformats.org/officeDocument/2006/relationships/hyperlink" Target="https://www.apvma.gov.au/chemicals-and-products/chemical-review/listing/anticoagulant-rodenticides/anticoagulant-rodenticides-review-technical-report" TargetMode="External" Id="rId30" /><Relationship Type="http://schemas.openxmlformats.org/officeDocument/2006/relationships/hyperlink" Target="https://www.apvma.gov.au/registrations-and-permits/data-guidelines/risk-assessment-manuals/human-health" TargetMode="External" Id="rId35" /><Relationship Type="http://schemas.openxmlformats.org/officeDocument/2006/relationships/header" Target="header12.xml" Id="rId43" /><Relationship Type="http://schemas.openxmlformats.org/officeDocument/2006/relationships/hyperlink" Target="https://www.legislation.gov.au/Details/F2022L00137" TargetMode="External" Id="rId48" /><Relationship Type="http://schemas.openxmlformats.org/officeDocument/2006/relationships/hyperlink" Target="mailto:chemicalreview@apvma.gov.au" TargetMode="External" Id="rId56" /><Relationship Type="http://schemas.openxmlformats.org/officeDocument/2006/relationships/hyperlink" Target="https://www.apvma.gov.au/registrations-and-permits/data-guidelines/risk-assessment-manuals/human-health" TargetMode="External" Id="rId64" /><Relationship Type="http://schemas.openxmlformats.org/officeDocument/2006/relationships/endnotes" Target="endnotes.xml" Id="rId8" /><Relationship Type="http://schemas.openxmlformats.org/officeDocument/2006/relationships/hyperlink" Target="https://www.apvma.gov.au/registrations-and-permits/data-guidelines/risk-assessment-manuals/environment" TargetMode="External" Id="rId51"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header" Target="header2.xml" Id="rId17" /><Relationship Type="http://schemas.openxmlformats.org/officeDocument/2006/relationships/header" Target="header7.xml" Id="rId25" /><Relationship Type="http://schemas.openxmlformats.org/officeDocument/2006/relationships/hyperlink" Target="https://www.apvma.gov.au/registrations-and-permits/data-guidelines/risk-assessment-manuals/chemistry-manufacture" TargetMode="External" Id="rId33" /><Relationship Type="http://schemas.openxmlformats.org/officeDocument/2006/relationships/hyperlink" Target="https://www.apvma.gov.au/news-forms-and-publications/forms/public-submission-coversheet" TargetMode="External" Id="rId38" /><Relationship Type="http://schemas.openxmlformats.org/officeDocument/2006/relationships/hyperlink" Target="https://www.legislation.gov.au/Series/F2014L00850" TargetMode="External" Id="rId46" /><Relationship Type="http://schemas.openxmlformats.org/officeDocument/2006/relationships/header" Target="header15.xml" Id="rId59" /><Relationship Type="http://schemas.openxmlformats.org/officeDocument/2006/relationships/header" Target="header4.xml" Id="rId20" /><Relationship Type="http://schemas.openxmlformats.org/officeDocument/2006/relationships/hyperlink" Target="https://circabc.europa.eu/ui/group/e947a950-8032-4df9-a3f0-f61eefd3d81b/library/352bffd8-babc-4af8-9d0c-a1c87a3c3afc/details" TargetMode="External" Id="rId41" /><Relationship Type="http://schemas.openxmlformats.org/officeDocument/2006/relationships/hyperlink" Target="https://www.epa.gov/pesticide-science-and-assessing-pesticide-risks/standard-operating-procedures-residential-pesticide" TargetMode="External" Id="rId54" /><Relationship Type="http://schemas.openxmlformats.org/officeDocument/2006/relationships/hyperlink" Target="https://www.apvma.gov.au/registrations-and-permits/data-guidelines/risk-assessment-manuals/chemistry-manufacture" TargetMode="External" Id="rId62" /><Relationship Type="http://schemas.openxmlformats.org/officeDocument/2006/relationships/webSettings" Target="webSettings.xml" Id="rId6" /><Relationship Type="http://schemas.openxmlformats.org/officeDocument/2006/relationships/hyperlink" Target="https://apvma.gov.au/node/59876" TargetMode="External" Id="rId15" /><Relationship Type="http://schemas.openxmlformats.org/officeDocument/2006/relationships/header" Target="header5.xml" Id="rId23" /><Relationship Type="http://schemas.openxmlformats.org/officeDocument/2006/relationships/header" Target="header9.xml" Id="rId28" /><Relationship Type="http://schemas.openxmlformats.org/officeDocument/2006/relationships/hyperlink" Target="https://www.apvma.gov.au/registrations-and-permits/data-guidelines/risk-assessment-manuals/residues-trade" TargetMode="External" Id="rId36" /><Relationship Type="http://schemas.openxmlformats.org/officeDocument/2006/relationships/hyperlink" Target="https://www.legislation.gov.au/Details/F2022L01068" TargetMode="External" Id="rId49" /><Relationship Type="http://schemas.openxmlformats.org/officeDocument/2006/relationships/header" Target="header13.xml" Id="rId57" /><Relationship Type="http://schemas.openxmlformats.org/officeDocument/2006/relationships/image" Target="media/image2.png" Id="rId10" /><Relationship Type="http://schemas.openxmlformats.org/officeDocument/2006/relationships/hyperlink" Target="https://www.legislation.gov.au/Details/F2021L01044" TargetMode="External" Id="rId31" /><Relationship Type="http://schemas.openxmlformats.org/officeDocument/2006/relationships/hyperlink" Target="https://www.apvma.gov.au/chemicals-and-products/chemical-review/listing/anticoagulant-rodenticides/anticoagulant-rodenticides-data-list" TargetMode="External" Id="rId44" /><Relationship Type="http://schemas.openxmlformats.org/officeDocument/2006/relationships/hyperlink" Target="https://www.apvma.gov.au/registrations-and-permits/data-guidelines/risk-assessment-manuals/human-health" TargetMode="External" Id="rId52" /><Relationship Type="http://schemas.openxmlformats.org/officeDocument/2006/relationships/hyperlink" Target="https://www.apvma.gov.au/chemicals-and-products/chemical-review/listing/anticoagulant-rodenticides/anticoagulant-rodenticides-data-list" TargetMode="External" Id="rId60" /><Relationship Type="http://schemas.openxmlformats.org/officeDocument/2006/relationships/fontTable" Target="fontTable.xml" Id="rId65"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www.apvma.gov.au/news-and-publications/publications/gazette" TargetMode="External" Id="rId13" /><Relationship Type="http://schemas.openxmlformats.org/officeDocument/2006/relationships/footer" Target="footer1.xml" Id="rId18" /><Relationship Type="http://schemas.openxmlformats.org/officeDocument/2006/relationships/header" Target="header10.xml" Id="rId39" /><Relationship Type="http://schemas.openxmlformats.org/officeDocument/2006/relationships/customXml" Target="/customXML/item3.xml" Id="Ra2cf6ee1e15b4054" /></Relationships>
</file>

<file path=word/_rels/footnotes.xml.rels><?xml version="1.0" encoding="UTF-8" standalone="yes"?>
<Relationships xmlns="http://schemas.openxmlformats.org/package/2006/relationships"><Relationship Id="rId2" Type="http://schemas.openxmlformats.org/officeDocument/2006/relationships/hyperlink" Target="https://circabc.europa.eu/ui/group/e947a950-8032-4df9-a3f0-f61eefd3d81b/library/352bffd8-babc-4af8-9d0c-a1c87a3c3afc/details" TargetMode="External"/><Relationship Id="rId1" Type="http://schemas.openxmlformats.org/officeDocument/2006/relationships/hyperlink" Target="https://circabc.europa.eu/ui/group/e947a950-8032-4df9-a3f0-f61eefd3d81b/library/352bffd8-babc-4af8-9d0c-a1c87a3c3afc/detai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A3685774</value>
    </field>
    <field name="Objective-Title">
      <value order="0">APVMA Special Gazette, 16 December 2025</value>
    </field>
    <field name="Objective-Description">
      <value order="0"/>
    </field>
    <field name="Objective-CreationStamp">
      <value order="0">2025-12-10T07:30:50Z</value>
    </field>
    <field name="Objective-IsApproved">
      <value order="0">false</value>
    </field>
    <field name="Objective-IsPublished">
      <value order="0">false</value>
    </field>
    <field name="Objective-DatePublished">
      <value order="0"/>
    </field>
    <field name="Objective-ModificationStamp">
      <value order="0">2025-12-15T03:03:13Z</value>
    </field>
    <field name="Objective-Owner">
      <value order="0">Jordanna Griffin</value>
    </field>
    <field name="Objective-Path">
      <value order="0">APVMA:PUBLIC AFFAIRS AND COMMUNICATION:01 - Public Affairs and Communications - Media and External Communications:02 - Media and External Communications - Gazette - 2021-2025:2025:Special Gazettes:Special Gazette - 16 December 2025 - Rodenticides</value>
    </field>
    <field name="Objective-Parent">
      <value order="0">Special Gazette - 16 December 2025 - Rodenticides</value>
    </field>
    <field name="Objective-State">
      <value order="0">Being Drafted</value>
    </field>
    <field name="Objective-VersionId">
      <value order="0">vA5555138</value>
    </field>
    <field name="Objective-Version">
      <value order="0">0.9</value>
    </field>
    <field name="Objective-VersionNumber">
      <value order="0">9</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1</Pages>
  <Words>118644</Words>
  <Characters>676274</Characters>
  <Application>Microsoft Office Word</Application>
  <DocSecurity>0</DocSecurity>
  <Lines>5635</Lines>
  <Paragraphs>1586</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793332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Special Gazette, 16 December 2025</dc:title>
  <dc:subject/>
  <dc:creator>APVMA</dc:creator>
  <cp:keywords/>
  <dc:description/>
  <cp:lastModifiedBy>GRIFFIN, Jordanna</cp:lastModifiedBy>
  <cp:revision>22</cp:revision>
  <cp:lastPrinted>2025-12-15T03:01:00Z</cp:lastPrinted>
  <dcterms:created xsi:type="dcterms:W3CDTF">2025-12-10T04:52:00Z</dcterms:created>
  <dcterms:modified xsi:type="dcterms:W3CDTF">2025-12-15T03:03:00Z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A3685774</vt:lpwstr>
  </property>
  <property fmtid="{D5CDD505-2E9C-101B-9397-08002B2CF9AE}" pid="4" name="Objective-Title">
    <vt:lpwstr>APVMA Special Gazette, 16 December 2025</vt:lpwstr>
  </property>
  <property fmtid="{D5CDD505-2E9C-101B-9397-08002B2CF9AE}" pid="5" name="Objective-Description">
    <vt:lpwstr/>
  </property>
  <property fmtid="{D5CDD505-2E9C-101B-9397-08002B2CF9AE}" pid="6" name="Objective-CreationStamp">
    <vt:filetime>2025-12-10T07:30:50Z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2025-12-15T03:03:13Z</vt:filetime>
  </property>
  <property fmtid="{D5CDD505-2E9C-101B-9397-08002B2CF9AE}" pid="11" name="Objective-Owner">
    <vt:lpwstr>Jordanna Griffin</vt:lpwstr>
  </property>
  <property fmtid="{D5CDD505-2E9C-101B-9397-08002B2CF9AE}" pid="12" name="Objective-Path">
    <vt:lpwstr>APVMA:PUBLIC AFFAIRS AND COMMUNICATION:01 - Public Affairs and Communications - Media and External Communications:02 - Media and External Communications - Gazette - 2021-2025:2025:Special Gazettes:Special Gazette - 16 December 2025 - Rodenticides:</vt:lpwstr>
  </property>
  <property fmtid="{D5CDD505-2E9C-101B-9397-08002B2CF9AE}" pid="13" name="Objective-Parent">
    <vt:lpwstr>Special Gazette - 16 December 2025 - Rodenticides</vt:lpwstr>
  </property>
  <property fmtid="{D5CDD505-2E9C-101B-9397-08002B2CF9AE}" pid="14" name="Objective-State">
    <vt:lpwstr>Being Drafted</vt:lpwstr>
  </property>
  <property fmtid="{D5CDD505-2E9C-101B-9397-08002B2CF9AE}" pid="15" name="Objective-VersionId">
    <vt:lpwstr>vA5555138</vt:lpwstr>
  </property>
  <property fmtid="{D5CDD505-2E9C-101B-9397-08002B2CF9AE}" pid="16" name="Objective-Version">
    <vt:lpwstr>0.9</vt:lpwstr>
  </property>
  <property fmtid="{D5CDD505-2E9C-101B-9397-08002B2CF9AE}" pid="17" name="Objective-VersionNumber">
    <vt:r8>9</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