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5C1070E6">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443D5306" w:rsidR="00193533" w:rsidRPr="00193533" w:rsidRDefault="0079347D" w:rsidP="002F4591">
      <w:pPr>
        <w:pStyle w:val="CoverTitle"/>
        <w:spacing w:before="2640"/>
        <w:jc w:val="center"/>
      </w:pPr>
      <w:r>
        <w:t xml:space="preserve">Consideration of </w:t>
      </w:r>
      <w:r w:rsidR="00F64295">
        <w:t>s</w:t>
      </w:r>
      <w:r>
        <w:t xml:space="preserve">ubmissions </w:t>
      </w:r>
      <w:r w:rsidR="00F64295">
        <w:t>r</w:t>
      </w:r>
      <w:r>
        <w:t xml:space="preserve">eceived on the Proposed Suspension of </w:t>
      </w:r>
      <w:r w:rsidR="00F64295">
        <w:t>c</w:t>
      </w:r>
      <w:r>
        <w:t xml:space="preserve">ertain </w:t>
      </w:r>
      <w:r w:rsidR="00F64295">
        <w:t>d</w:t>
      </w:r>
      <w:r>
        <w:t>imethoate</w:t>
      </w:r>
      <w:r w:rsidRPr="0079347D">
        <w:t xml:space="preserve"> </w:t>
      </w:r>
      <w:r w:rsidR="00F64295">
        <w:t>p</w:t>
      </w:r>
      <w:r>
        <w:t>roducts</w:t>
      </w:r>
    </w:p>
    <w:p w14:paraId="4E4C9BC9" w14:textId="3987767F" w:rsidR="00193533" w:rsidRPr="00E41FED" w:rsidRDefault="005177F9"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November</w:t>
      </w:r>
      <w:r w:rsidR="008B550C">
        <w:t xml:space="preserve"> </w:t>
      </w:r>
      <w:r w:rsidR="0079347D">
        <w:t>2025</w:t>
      </w:r>
    </w:p>
    <w:p w14:paraId="6C014289" w14:textId="2F0C31C9" w:rsidR="00862E63" w:rsidRPr="005C0ACC" w:rsidRDefault="00862E63" w:rsidP="008B550C">
      <w:pPr>
        <w:rPr>
          <w:lang w:eastAsia="en-AU"/>
        </w:rPr>
      </w:pPr>
      <w:r w:rsidRPr="005C0ACC">
        <w:rPr>
          <w:lang w:eastAsia="en-AU"/>
        </w:rPr>
        <w:lastRenderedPageBreak/>
        <w:t xml:space="preserve">© Australian Pesticides and Veterinary Medicines Authority </w:t>
      </w:r>
      <w:r w:rsidR="00F64295" w:rsidRPr="00F64295">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C1D93A6"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0A52B5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4172F04D"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4094D" w:rsidRPr="00F4094D">
        <w:rPr>
          <w:rFonts w:cs="Arial"/>
          <w:szCs w:val="16"/>
          <w:lang w:eastAsia="en-AU"/>
        </w:rPr>
        <w:t>GPO Box 574</w:t>
      </w:r>
      <w:r w:rsidR="008B550C">
        <w:rPr>
          <w:rFonts w:cs="Arial"/>
          <w:szCs w:val="16"/>
          <w:lang w:eastAsia="en-AU"/>
        </w:rPr>
        <w:br/>
      </w:r>
      <w:r w:rsidR="00F4094D" w:rsidRPr="00F4094D">
        <w:rPr>
          <w:rFonts w:cs="Arial"/>
          <w:szCs w:val="16"/>
          <w:lang w:eastAsia="en-AU"/>
        </w:rPr>
        <w:t>Canberra, ACT, 2601, Australia</w:t>
      </w:r>
    </w:p>
    <w:p w14:paraId="10F08E3D" w14:textId="64D8B15B" w:rsidR="00862E63" w:rsidRPr="005C0ACC" w:rsidRDefault="006110AE" w:rsidP="008B550C">
      <w:pPr>
        <w:rPr>
          <w:rFonts w:cs="Arial"/>
          <w:color w:val="0000FF"/>
          <w:szCs w:val="16"/>
          <w:u w:val="single"/>
          <w:lang w:eastAsia="en-AU"/>
        </w:rPr>
      </w:pPr>
      <w:r w:rsidRPr="00F4094D">
        <w:rPr>
          <w:rFonts w:cs="Arial"/>
          <w:szCs w:val="16"/>
          <w:lang w:eastAsia="en-AU"/>
        </w:rPr>
        <w:t xml:space="preserve">Telephone: +61 2 </w:t>
      </w:r>
      <w:r w:rsidR="008545E1" w:rsidRPr="00F4094D">
        <w:rPr>
          <w:rFonts w:cs="Arial"/>
          <w:szCs w:val="16"/>
          <w:lang w:eastAsia="en-AU"/>
        </w:rPr>
        <w:t>6770 2300</w:t>
      </w:r>
      <w:r w:rsidR="00F64295">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7B88E10E"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6350AF">
      <w:pPr>
        <w:pStyle w:val="TOCH1"/>
        <w:numPr>
          <w:ilvl w:val="0"/>
          <w:numId w:val="0"/>
        </w:numPr>
        <w:rPr>
          <w:rFonts w:ascii="Arial" w:hAnsi="Arial"/>
          <w:sz w:val="18"/>
        </w:rPr>
      </w:pPr>
      <w:r w:rsidRPr="00FB0015">
        <w:lastRenderedPageBreak/>
        <w:t>Contents</w:t>
      </w:r>
    </w:p>
    <w:p w14:paraId="4CC05497" w14:textId="31E7AB54" w:rsidR="00235A61"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212631870" w:history="1">
        <w:r w:rsidR="00235A61" w:rsidRPr="001A19E9">
          <w:rPr>
            <w:rStyle w:val="Hyperlink"/>
          </w:rPr>
          <w:t>1</w:t>
        </w:r>
        <w:r w:rsidR="00235A61">
          <w:rPr>
            <w:rFonts w:asciiTheme="minorHAnsi" w:eastAsiaTheme="minorEastAsia" w:hAnsiTheme="minorHAnsi" w:cstheme="minorBidi"/>
            <w:bCs w:val="0"/>
            <w:color w:val="auto"/>
            <w:kern w:val="2"/>
            <w:sz w:val="24"/>
            <w:szCs w:val="24"/>
            <w:lang w:eastAsia="en-AU"/>
            <w14:ligatures w14:val="standardContextual"/>
          </w:rPr>
          <w:tab/>
        </w:r>
        <w:r w:rsidR="00235A61" w:rsidRPr="001A19E9">
          <w:rPr>
            <w:rStyle w:val="Hyperlink"/>
          </w:rPr>
          <w:t>Submissions received</w:t>
        </w:r>
        <w:r w:rsidR="00235A61">
          <w:rPr>
            <w:webHidden/>
          </w:rPr>
          <w:tab/>
        </w:r>
        <w:r w:rsidR="00235A61">
          <w:rPr>
            <w:webHidden/>
          </w:rPr>
          <w:fldChar w:fldCharType="begin"/>
        </w:r>
        <w:r w:rsidR="00235A61">
          <w:rPr>
            <w:webHidden/>
          </w:rPr>
          <w:instrText xml:space="preserve"> PAGEREF _Toc212631870 \h </w:instrText>
        </w:r>
        <w:r w:rsidR="00235A61">
          <w:rPr>
            <w:webHidden/>
          </w:rPr>
        </w:r>
        <w:r w:rsidR="00235A61">
          <w:rPr>
            <w:webHidden/>
          </w:rPr>
          <w:fldChar w:fldCharType="separate"/>
        </w:r>
        <w:r w:rsidR="00235A61">
          <w:rPr>
            <w:webHidden/>
          </w:rPr>
          <w:t>1</w:t>
        </w:r>
        <w:r w:rsidR="00235A61">
          <w:rPr>
            <w:webHidden/>
          </w:rPr>
          <w:fldChar w:fldCharType="end"/>
        </w:r>
      </w:hyperlink>
    </w:p>
    <w:p w14:paraId="0979F34F" w14:textId="054ABCAF" w:rsidR="00235A61" w:rsidRDefault="00235A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2631871" w:history="1">
        <w:r w:rsidRPr="001A19E9">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1A19E9">
          <w:rPr>
            <w:rStyle w:val="Hyperlink"/>
          </w:rPr>
          <w:t>APVMA’s consideration of submissions</w:t>
        </w:r>
        <w:r>
          <w:rPr>
            <w:webHidden/>
          </w:rPr>
          <w:tab/>
        </w:r>
        <w:r>
          <w:rPr>
            <w:webHidden/>
          </w:rPr>
          <w:fldChar w:fldCharType="begin"/>
        </w:r>
        <w:r>
          <w:rPr>
            <w:webHidden/>
          </w:rPr>
          <w:instrText xml:space="preserve"> PAGEREF _Toc212631871 \h </w:instrText>
        </w:r>
        <w:r>
          <w:rPr>
            <w:webHidden/>
          </w:rPr>
        </w:r>
        <w:r>
          <w:rPr>
            <w:webHidden/>
          </w:rPr>
          <w:fldChar w:fldCharType="separate"/>
        </w:r>
        <w:r>
          <w:rPr>
            <w:webHidden/>
          </w:rPr>
          <w:t>3</w:t>
        </w:r>
        <w:r>
          <w:rPr>
            <w:webHidden/>
          </w:rPr>
          <w:fldChar w:fldCharType="end"/>
        </w:r>
      </w:hyperlink>
    </w:p>
    <w:p w14:paraId="2677D7FF" w14:textId="5A195F87"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72" w:history="1">
        <w:r w:rsidRPr="001A19E9">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Submissions 1, 2, 5, 6, 10, 12, 13, 14, 15, 17, 21 and 22</w:t>
        </w:r>
        <w:r>
          <w:rPr>
            <w:webHidden/>
          </w:rPr>
          <w:tab/>
        </w:r>
        <w:r>
          <w:rPr>
            <w:webHidden/>
          </w:rPr>
          <w:fldChar w:fldCharType="begin"/>
        </w:r>
        <w:r>
          <w:rPr>
            <w:webHidden/>
          </w:rPr>
          <w:instrText xml:space="preserve"> PAGEREF _Toc212631872 \h </w:instrText>
        </w:r>
        <w:r>
          <w:rPr>
            <w:webHidden/>
          </w:rPr>
        </w:r>
        <w:r>
          <w:rPr>
            <w:webHidden/>
          </w:rPr>
          <w:fldChar w:fldCharType="separate"/>
        </w:r>
        <w:r>
          <w:rPr>
            <w:webHidden/>
          </w:rPr>
          <w:t>3</w:t>
        </w:r>
        <w:r>
          <w:rPr>
            <w:webHidden/>
          </w:rPr>
          <w:fldChar w:fldCharType="end"/>
        </w:r>
      </w:hyperlink>
    </w:p>
    <w:p w14:paraId="5EA61140" w14:textId="3C1F2968"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73" w:history="1">
        <w:r w:rsidRPr="001A19E9">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Submissions 3, 11, 18 and 20</w:t>
        </w:r>
        <w:r>
          <w:rPr>
            <w:webHidden/>
          </w:rPr>
          <w:tab/>
        </w:r>
        <w:r>
          <w:rPr>
            <w:webHidden/>
          </w:rPr>
          <w:fldChar w:fldCharType="begin"/>
        </w:r>
        <w:r>
          <w:rPr>
            <w:webHidden/>
          </w:rPr>
          <w:instrText xml:space="preserve"> PAGEREF _Toc212631873 \h </w:instrText>
        </w:r>
        <w:r>
          <w:rPr>
            <w:webHidden/>
          </w:rPr>
        </w:r>
        <w:r>
          <w:rPr>
            <w:webHidden/>
          </w:rPr>
          <w:fldChar w:fldCharType="separate"/>
        </w:r>
        <w:r>
          <w:rPr>
            <w:webHidden/>
          </w:rPr>
          <w:t>3</w:t>
        </w:r>
        <w:r>
          <w:rPr>
            <w:webHidden/>
          </w:rPr>
          <w:fldChar w:fldCharType="end"/>
        </w:r>
      </w:hyperlink>
    </w:p>
    <w:p w14:paraId="23F0A642" w14:textId="7B419753" w:rsidR="00235A61" w:rsidRDefault="00235A61">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12631874" w:history="1">
        <w:r w:rsidRPr="001A19E9">
          <w:rPr>
            <w:rStyle w:val="Hyperlink"/>
          </w:rPr>
          <w:t>2.2.1</w:t>
        </w:r>
        <w:r>
          <w:rPr>
            <w:rFonts w:asciiTheme="minorHAnsi" w:eastAsiaTheme="minorEastAsia" w:hAnsiTheme="minorHAnsi" w:cstheme="minorBidi"/>
            <w:color w:val="auto"/>
            <w:kern w:val="2"/>
            <w:sz w:val="24"/>
            <w:lang w:eastAsia="en-AU"/>
            <w14:ligatures w14:val="standardContextual"/>
          </w:rPr>
          <w:tab/>
        </w:r>
        <w:r w:rsidRPr="001A19E9">
          <w:rPr>
            <w:rStyle w:val="Hyperlink"/>
          </w:rPr>
          <w:t>APVMA response</w:t>
        </w:r>
        <w:r>
          <w:rPr>
            <w:webHidden/>
          </w:rPr>
          <w:tab/>
        </w:r>
        <w:r>
          <w:rPr>
            <w:webHidden/>
          </w:rPr>
          <w:fldChar w:fldCharType="begin"/>
        </w:r>
        <w:r>
          <w:rPr>
            <w:webHidden/>
          </w:rPr>
          <w:instrText xml:space="preserve"> PAGEREF _Toc212631874 \h </w:instrText>
        </w:r>
        <w:r>
          <w:rPr>
            <w:webHidden/>
          </w:rPr>
        </w:r>
        <w:r>
          <w:rPr>
            <w:webHidden/>
          </w:rPr>
          <w:fldChar w:fldCharType="separate"/>
        </w:r>
        <w:r>
          <w:rPr>
            <w:webHidden/>
          </w:rPr>
          <w:t>3</w:t>
        </w:r>
        <w:r>
          <w:rPr>
            <w:webHidden/>
          </w:rPr>
          <w:fldChar w:fldCharType="end"/>
        </w:r>
      </w:hyperlink>
    </w:p>
    <w:p w14:paraId="6226FBEE" w14:textId="15A7F72C"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75" w:history="1">
        <w:r w:rsidRPr="001A19E9">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Submissions 4 and 8</w:t>
        </w:r>
        <w:r>
          <w:rPr>
            <w:webHidden/>
          </w:rPr>
          <w:tab/>
        </w:r>
        <w:r>
          <w:rPr>
            <w:webHidden/>
          </w:rPr>
          <w:fldChar w:fldCharType="begin"/>
        </w:r>
        <w:r>
          <w:rPr>
            <w:webHidden/>
          </w:rPr>
          <w:instrText xml:space="preserve"> PAGEREF _Toc212631875 \h </w:instrText>
        </w:r>
        <w:r>
          <w:rPr>
            <w:webHidden/>
          </w:rPr>
        </w:r>
        <w:r>
          <w:rPr>
            <w:webHidden/>
          </w:rPr>
          <w:fldChar w:fldCharType="separate"/>
        </w:r>
        <w:r>
          <w:rPr>
            <w:webHidden/>
          </w:rPr>
          <w:t>3</w:t>
        </w:r>
        <w:r>
          <w:rPr>
            <w:webHidden/>
          </w:rPr>
          <w:fldChar w:fldCharType="end"/>
        </w:r>
      </w:hyperlink>
    </w:p>
    <w:p w14:paraId="0C9BBE05" w14:textId="19481100" w:rsidR="00235A61" w:rsidRDefault="00235A61">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12631876" w:history="1">
        <w:r w:rsidRPr="001A19E9">
          <w:rPr>
            <w:rStyle w:val="Hyperlink"/>
          </w:rPr>
          <w:t>2.3.1</w:t>
        </w:r>
        <w:r>
          <w:rPr>
            <w:rFonts w:asciiTheme="minorHAnsi" w:eastAsiaTheme="minorEastAsia" w:hAnsiTheme="minorHAnsi" w:cstheme="minorBidi"/>
            <w:color w:val="auto"/>
            <w:kern w:val="2"/>
            <w:sz w:val="24"/>
            <w:lang w:eastAsia="en-AU"/>
            <w14:ligatures w14:val="standardContextual"/>
          </w:rPr>
          <w:tab/>
        </w:r>
        <w:r w:rsidRPr="001A19E9">
          <w:rPr>
            <w:rStyle w:val="Hyperlink"/>
          </w:rPr>
          <w:t>APVMA response</w:t>
        </w:r>
        <w:r>
          <w:rPr>
            <w:webHidden/>
          </w:rPr>
          <w:tab/>
        </w:r>
        <w:r>
          <w:rPr>
            <w:webHidden/>
          </w:rPr>
          <w:fldChar w:fldCharType="begin"/>
        </w:r>
        <w:r>
          <w:rPr>
            <w:webHidden/>
          </w:rPr>
          <w:instrText xml:space="preserve"> PAGEREF _Toc212631876 \h </w:instrText>
        </w:r>
        <w:r>
          <w:rPr>
            <w:webHidden/>
          </w:rPr>
        </w:r>
        <w:r>
          <w:rPr>
            <w:webHidden/>
          </w:rPr>
          <w:fldChar w:fldCharType="separate"/>
        </w:r>
        <w:r>
          <w:rPr>
            <w:webHidden/>
          </w:rPr>
          <w:t>3</w:t>
        </w:r>
        <w:r>
          <w:rPr>
            <w:webHidden/>
          </w:rPr>
          <w:fldChar w:fldCharType="end"/>
        </w:r>
      </w:hyperlink>
    </w:p>
    <w:p w14:paraId="4DD57026" w14:textId="0E9B980E"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77" w:history="1">
        <w:r w:rsidRPr="001A19E9">
          <w:rPr>
            <w:rStyle w:val="Hyperlink"/>
          </w:rPr>
          <w:t>2.4</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Submission 7</w:t>
        </w:r>
        <w:r>
          <w:rPr>
            <w:webHidden/>
          </w:rPr>
          <w:tab/>
        </w:r>
        <w:r>
          <w:rPr>
            <w:webHidden/>
          </w:rPr>
          <w:fldChar w:fldCharType="begin"/>
        </w:r>
        <w:r>
          <w:rPr>
            <w:webHidden/>
          </w:rPr>
          <w:instrText xml:space="preserve"> PAGEREF _Toc212631877 \h </w:instrText>
        </w:r>
        <w:r>
          <w:rPr>
            <w:webHidden/>
          </w:rPr>
        </w:r>
        <w:r>
          <w:rPr>
            <w:webHidden/>
          </w:rPr>
          <w:fldChar w:fldCharType="separate"/>
        </w:r>
        <w:r>
          <w:rPr>
            <w:webHidden/>
          </w:rPr>
          <w:t>4</w:t>
        </w:r>
        <w:r>
          <w:rPr>
            <w:webHidden/>
          </w:rPr>
          <w:fldChar w:fldCharType="end"/>
        </w:r>
      </w:hyperlink>
    </w:p>
    <w:p w14:paraId="103C53B3" w14:textId="635A80E5" w:rsidR="00235A61" w:rsidRDefault="00235A61">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12631878" w:history="1">
        <w:r w:rsidRPr="001A19E9">
          <w:rPr>
            <w:rStyle w:val="Hyperlink"/>
          </w:rPr>
          <w:t>2.4.1</w:t>
        </w:r>
        <w:r>
          <w:rPr>
            <w:rFonts w:asciiTheme="minorHAnsi" w:eastAsiaTheme="minorEastAsia" w:hAnsiTheme="minorHAnsi" w:cstheme="minorBidi"/>
            <w:color w:val="auto"/>
            <w:kern w:val="2"/>
            <w:sz w:val="24"/>
            <w:lang w:eastAsia="en-AU"/>
            <w14:ligatures w14:val="standardContextual"/>
          </w:rPr>
          <w:tab/>
        </w:r>
        <w:r w:rsidRPr="001A19E9">
          <w:rPr>
            <w:rStyle w:val="Hyperlink"/>
          </w:rPr>
          <w:t>APVMA response</w:t>
        </w:r>
        <w:r>
          <w:rPr>
            <w:webHidden/>
          </w:rPr>
          <w:tab/>
        </w:r>
        <w:r>
          <w:rPr>
            <w:webHidden/>
          </w:rPr>
          <w:fldChar w:fldCharType="begin"/>
        </w:r>
        <w:r>
          <w:rPr>
            <w:webHidden/>
          </w:rPr>
          <w:instrText xml:space="preserve"> PAGEREF _Toc212631878 \h </w:instrText>
        </w:r>
        <w:r>
          <w:rPr>
            <w:webHidden/>
          </w:rPr>
        </w:r>
        <w:r>
          <w:rPr>
            <w:webHidden/>
          </w:rPr>
          <w:fldChar w:fldCharType="separate"/>
        </w:r>
        <w:r>
          <w:rPr>
            <w:webHidden/>
          </w:rPr>
          <w:t>4</w:t>
        </w:r>
        <w:r>
          <w:rPr>
            <w:webHidden/>
          </w:rPr>
          <w:fldChar w:fldCharType="end"/>
        </w:r>
      </w:hyperlink>
    </w:p>
    <w:p w14:paraId="7563B119" w14:textId="4EFBB0C0"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79" w:history="1">
        <w:r w:rsidRPr="001A19E9">
          <w:rPr>
            <w:rStyle w:val="Hyperlink"/>
          </w:rPr>
          <w:t>2.5</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Submissions 9 and 16</w:t>
        </w:r>
        <w:r>
          <w:rPr>
            <w:webHidden/>
          </w:rPr>
          <w:tab/>
        </w:r>
        <w:r>
          <w:rPr>
            <w:webHidden/>
          </w:rPr>
          <w:fldChar w:fldCharType="begin"/>
        </w:r>
        <w:r>
          <w:rPr>
            <w:webHidden/>
          </w:rPr>
          <w:instrText xml:space="preserve"> PAGEREF _Toc212631879 \h </w:instrText>
        </w:r>
        <w:r>
          <w:rPr>
            <w:webHidden/>
          </w:rPr>
        </w:r>
        <w:r>
          <w:rPr>
            <w:webHidden/>
          </w:rPr>
          <w:fldChar w:fldCharType="separate"/>
        </w:r>
        <w:r>
          <w:rPr>
            <w:webHidden/>
          </w:rPr>
          <w:t>4</w:t>
        </w:r>
        <w:r>
          <w:rPr>
            <w:webHidden/>
          </w:rPr>
          <w:fldChar w:fldCharType="end"/>
        </w:r>
      </w:hyperlink>
    </w:p>
    <w:p w14:paraId="0C8DF955" w14:textId="4ECA9E9A" w:rsidR="00235A61" w:rsidRDefault="00235A61">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12631880" w:history="1">
        <w:r w:rsidRPr="001A19E9">
          <w:rPr>
            <w:rStyle w:val="Hyperlink"/>
          </w:rPr>
          <w:t>2.5.1</w:t>
        </w:r>
        <w:r>
          <w:rPr>
            <w:rFonts w:asciiTheme="minorHAnsi" w:eastAsiaTheme="minorEastAsia" w:hAnsiTheme="minorHAnsi" w:cstheme="minorBidi"/>
            <w:color w:val="auto"/>
            <w:kern w:val="2"/>
            <w:sz w:val="24"/>
            <w:lang w:eastAsia="en-AU"/>
            <w14:ligatures w14:val="standardContextual"/>
          </w:rPr>
          <w:tab/>
        </w:r>
        <w:r w:rsidRPr="001A19E9">
          <w:rPr>
            <w:rStyle w:val="Hyperlink"/>
          </w:rPr>
          <w:t>APVMA response</w:t>
        </w:r>
        <w:r>
          <w:rPr>
            <w:webHidden/>
          </w:rPr>
          <w:tab/>
        </w:r>
        <w:r>
          <w:rPr>
            <w:webHidden/>
          </w:rPr>
          <w:fldChar w:fldCharType="begin"/>
        </w:r>
        <w:r>
          <w:rPr>
            <w:webHidden/>
          </w:rPr>
          <w:instrText xml:space="preserve"> PAGEREF _Toc212631880 \h </w:instrText>
        </w:r>
        <w:r>
          <w:rPr>
            <w:webHidden/>
          </w:rPr>
        </w:r>
        <w:r>
          <w:rPr>
            <w:webHidden/>
          </w:rPr>
          <w:fldChar w:fldCharType="separate"/>
        </w:r>
        <w:r>
          <w:rPr>
            <w:webHidden/>
          </w:rPr>
          <w:t>4</w:t>
        </w:r>
        <w:r>
          <w:rPr>
            <w:webHidden/>
          </w:rPr>
          <w:fldChar w:fldCharType="end"/>
        </w:r>
      </w:hyperlink>
    </w:p>
    <w:p w14:paraId="3DA2DF10" w14:textId="20254E96"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81" w:history="1">
        <w:r w:rsidRPr="001A19E9">
          <w:rPr>
            <w:rStyle w:val="Hyperlink"/>
          </w:rPr>
          <w:t>2.6</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Submission 19</w:t>
        </w:r>
        <w:r>
          <w:rPr>
            <w:webHidden/>
          </w:rPr>
          <w:tab/>
        </w:r>
        <w:r>
          <w:rPr>
            <w:webHidden/>
          </w:rPr>
          <w:fldChar w:fldCharType="begin"/>
        </w:r>
        <w:r>
          <w:rPr>
            <w:webHidden/>
          </w:rPr>
          <w:instrText xml:space="preserve"> PAGEREF _Toc212631881 \h </w:instrText>
        </w:r>
        <w:r>
          <w:rPr>
            <w:webHidden/>
          </w:rPr>
        </w:r>
        <w:r>
          <w:rPr>
            <w:webHidden/>
          </w:rPr>
          <w:fldChar w:fldCharType="separate"/>
        </w:r>
        <w:r>
          <w:rPr>
            <w:webHidden/>
          </w:rPr>
          <w:t>5</w:t>
        </w:r>
        <w:r>
          <w:rPr>
            <w:webHidden/>
          </w:rPr>
          <w:fldChar w:fldCharType="end"/>
        </w:r>
      </w:hyperlink>
    </w:p>
    <w:p w14:paraId="2C543098" w14:textId="298A72A3" w:rsidR="00235A61" w:rsidRDefault="00235A61">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12631882" w:history="1">
        <w:r w:rsidRPr="001A19E9">
          <w:rPr>
            <w:rStyle w:val="Hyperlink"/>
          </w:rPr>
          <w:t>2.6.1</w:t>
        </w:r>
        <w:r>
          <w:rPr>
            <w:rFonts w:asciiTheme="minorHAnsi" w:eastAsiaTheme="minorEastAsia" w:hAnsiTheme="minorHAnsi" w:cstheme="minorBidi"/>
            <w:color w:val="auto"/>
            <w:kern w:val="2"/>
            <w:sz w:val="24"/>
            <w:lang w:eastAsia="en-AU"/>
            <w14:ligatures w14:val="standardContextual"/>
          </w:rPr>
          <w:tab/>
        </w:r>
        <w:r w:rsidRPr="001A19E9">
          <w:rPr>
            <w:rStyle w:val="Hyperlink"/>
          </w:rPr>
          <w:t>APVMA response</w:t>
        </w:r>
        <w:r>
          <w:rPr>
            <w:webHidden/>
          </w:rPr>
          <w:tab/>
        </w:r>
        <w:r>
          <w:rPr>
            <w:webHidden/>
          </w:rPr>
          <w:fldChar w:fldCharType="begin"/>
        </w:r>
        <w:r>
          <w:rPr>
            <w:webHidden/>
          </w:rPr>
          <w:instrText xml:space="preserve"> PAGEREF _Toc212631882 \h </w:instrText>
        </w:r>
        <w:r>
          <w:rPr>
            <w:webHidden/>
          </w:rPr>
        </w:r>
        <w:r>
          <w:rPr>
            <w:webHidden/>
          </w:rPr>
          <w:fldChar w:fldCharType="separate"/>
        </w:r>
        <w:r>
          <w:rPr>
            <w:webHidden/>
          </w:rPr>
          <w:t>5</w:t>
        </w:r>
        <w:r>
          <w:rPr>
            <w:webHidden/>
          </w:rPr>
          <w:fldChar w:fldCharType="end"/>
        </w:r>
      </w:hyperlink>
    </w:p>
    <w:p w14:paraId="34D91182" w14:textId="6151DFA5" w:rsidR="00235A61" w:rsidRDefault="00235A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2631883" w:history="1">
        <w:r w:rsidRPr="001A19E9">
          <w:rPr>
            <w:rStyle w:val="Hyperlink"/>
          </w:rPr>
          <w:t>3</w:t>
        </w:r>
        <w:r>
          <w:rPr>
            <w:rFonts w:asciiTheme="minorHAnsi" w:eastAsiaTheme="minorEastAsia" w:hAnsiTheme="minorHAnsi" w:cstheme="minorBidi"/>
            <w:bCs w:val="0"/>
            <w:color w:val="auto"/>
            <w:kern w:val="2"/>
            <w:sz w:val="24"/>
            <w:szCs w:val="24"/>
            <w:lang w:eastAsia="en-AU"/>
            <w14:ligatures w14:val="standardContextual"/>
          </w:rPr>
          <w:tab/>
        </w:r>
        <w:r w:rsidRPr="001A19E9">
          <w:rPr>
            <w:rStyle w:val="Hyperlink"/>
          </w:rPr>
          <w:t>Excerpt from the APVMA Risk Assessment Manual, Residues and Trade</w:t>
        </w:r>
        <w:r>
          <w:rPr>
            <w:webHidden/>
          </w:rPr>
          <w:tab/>
        </w:r>
        <w:r>
          <w:rPr>
            <w:webHidden/>
          </w:rPr>
          <w:fldChar w:fldCharType="begin"/>
        </w:r>
        <w:r>
          <w:rPr>
            <w:webHidden/>
          </w:rPr>
          <w:instrText xml:space="preserve"> PAGEREF _Toc212631883 \h </w:instrText>
        </w:r>
        <w:r>
          <w:rPr>
            <w:webHidden/>
          </w:rPr>
        </w:r>
        <w:r>
          <w:rPr>
            <w:webHidden/>
          </w:rPr>
          <w:fldChar w:fldCharType="separate"/>
        </w:r>
        <w:r>
          <w:rPr>
            <w:webHidden/>
          </w:rPr>
          <w:t>6</w:t>
        </w:r>
        <w:r>
          <w:rPr>
            <w:webHidden/>
          </w:rPr>
          <w:fldChar w:fldCharType="end"/>
        </w:r>
      </w:hyperlink>
    </w:p>
    <w:p w14:paraId="06817D59" w14:textId="4AAA8481"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84" w:history="1">
        <w:r w:rsidRPr="001A19E9">
          <w:rPr>
            <w:rStyle w:val="Hyperlink"/>
          </w:rPr>
          <w:t>3.1</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Chronic dietary exposure assessment</w:t>
        </w:r>
        <w:r>
          <w:rPr>
            <w:webHidden/>
          </w:rPr>
          <w:tab/>
        </w:r>
        <w:r>
          <w:rPr>
            <w:webHidden/>
          </w:rPr>
          <w:fldChar w:fldCharType="begin"/>
        </w:r>
        <w:r>
          <w:rPr>
            <w:webHidden/>
          </w:rPr>
          <w:instrText xml:space="preserve"> PAGEREF _Toc212631884 \h </w:instrText>
        </w:r>
        <w:r>
          <w:rPr>
            <w:webHidden/>
          </w:rPr>
        </w:r>
        <w:r>
          <w:rPr>
            <w:webHidden/>
          </w:rPr>
          <w:fldChar w:fldCharType="separate"/>
        </w:r>
        <w:r>
          <w:rPr>
            <w:webHidden/>
          </w:rPr>
          <w:t>6</w:t>
        </w:r>
        <w:r>
          <w:rPr>
            <w:webHidden/>
          </w:rPr>
          <w:fldChar w:fldCharType="end"/>
        </w:r>
      </w:hyperlink>
    </w:p>
    <w:p w14:paraId="30B27FFF" w14:textId="3D5835AC" w:rsidR="00235A61" w:rsidRDefault="00235A61">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212631885" w:history="1">
        <w:r w:rsidRPr="001A19E9">
          <w:rPr>
            <w:rStyle w:val="Hyperlink"/>
          </w:rPr>
          <w:t>3.1.1</w:t>
        </w:r>
        <w:r>
          <w:rPr>
            <w:rFonts w:asciiTheme="minorHAnsi" w:eastAsiaTheme="minorEastAsia" w:hAnsiTheme="minorHAnsi" w:cstheme="minorBidi"/>
            <w:color w:val="auto"/>
            <w:kern w:val="2"/>
            <w:sz w:val="24"/>
            <w:lang w:eastAsia="en-AU"/>
            <w14:ligatures w14:val="standardContextual"/>
          </w:rPr>
          <w:tab/>
        </w:r>
        <w:r w:rsidRPr="001A19E9">
          <w:rPr>
            <w:rStyle w:val="Hyperlink"/>
          </w:rPr>
          <w:t>JECFA model diet for veterinary drug residues</w:t>
        </w:r>
        <w:r>
          <w:rPr>
            <w:webHidden/>
          </w:rPr>
          <w:tab/>
        </w:r>
        <w:r>
          <w:rPr>
            <w:webHidden/>
          </w:rPr>
          <w:fldChar w:fldCharType="begin"/>
        </w:r>
        <w:r>
          <w:rPr>
            <w:webHidden/>
          </w:rPr>
          <w:instrText xml:space="preserve"> PAGEREF _Toc212631885 \h </w:instrText>
        </w:r>
        <w:r>
          <w:rPr>
            <w:webHidden/>
          </w:rPr>
        </w:r>
        <w:r>
          <w:rPr>
            <w:webHidden/>
          </w:rPr>
          <w:fldChar w:fldCharType="separate"/>
        </w:r>
        <w:r>
          <w:rPr>
            <w:webHidden/>
          </w:rPr>
          <w:t>6</w:t>
        </w:r>
        <w:r>
          <w:rPr>
            <w:webHidden/>
          </w:rPr>
          <w:fldChar w:fldCharType="end"/>
        </w:r>
      </w:hyperlink>
    </w:p>
    <w:p w14:paraId="4AE52A1C" w14:textId="0971D140" w:rsidR="00235A61" w:rsidRDefault="00235A61">
      <w:pPr>
        <w:pStyle w:val="TOC2"/>
        <w:rPr>
          <w:rFonts w:asciiTheme="minorHAnsi" w:eastAsiaTheme="minorEastAsia" w:hAnsiTheme="minorHAnsi" w:cstheme="minorBidi"/>
          <w:b w:val="0"/>
          <w:color w:val="auto"/>
          <w:kern w:val="2"/>
          <w:sz w:val="24"/>
          <w:lang w:eastAsia="en-AU"/>
          <w14:ligatures w14:val="standardContextual"/>
        </w:rPr>
      </w:pPr>
      <w:hyperlink w:anchor="_Toc212631886" w:history="1">
        <w:r w:rsidRPr="001A19E9">
          <w:rPr>
            <w:rStyle w:val="Hyperlink"/>
          </w:rPr>
          <w:t>3.2</w:t>
        </w:r>
        <w:r>
          <w:rPr>
            <w:rFonts w:asciiTheme="minorHAnsi" w:eastAsiaTheme="minorEastAsia" w:hAnsiTheme="minorHAnsi" w:cstheme="minorBidi"/>
            <w:b w:val="0"/>
            <w:color w:val="auto"/>
            <w:kern w:val="2"/>
            <w:sz w:val="24"/>
            <w:lang w:eastAsia="en-AU"/>
            <w14:ligatures w14:val="standardContextual"/>
          </w:rPr>
          <w:tab/>
        </w:r>
        <w:r w:rsidRPr="001A19E9">
          <w:rPr>
            <w:rStyle w:val="Hyperlink"/>
          </w:rPr>
          <w:t>Acute dietary exposure assessment</w:t>
        </w:r>
        <w:r>
          <w:rPr>
            <w:webHidden/>
          </w:rPr>
          <w:tab/>
        </w:r>
        <w:r>
          <w:rPr>
            <w:webHidden/>
          </w:rPr>
          <w:fldChar w:fldCharType="begin"/>
        </w:r>
        <w:r>
          <w:rPr>
            <w:webHidden/>
          </w:rPr>
          <w:instrText xml:space="preserve"> PAGEREF _Toc212631886 \h </w:instrText>
        </w:r>
        <w:r>
          <w:rPr>
            <w:webHidden/>
          </w:rPr>
        </w:r>
        <w:r>
          <w:rPr>
            <w:webHidden/>
          </w:rPr>
          <w:fldChar w:fldCharType="separate"/>
        </w:r>
        <w:r>
          <w:rPr>
            <w:webHidden/>
          </w:rPr>
          <w:t>6</w:t>
        </w:r>
        <w:r>
          <w:rPr>
            <w:webHidden/>
          </w:rPr>
          <w:fldChar w:fldCharType="end"/>
        </w:r>
      </w:hyperlink>
    </w:p>
    <w:p w14:paraId="237E3479" w14:textId="548D5128" w:rsidR="006D0F59" w:rsidRDefault="00B05454" w:rsidP="00EF1F4F">
      <w:pPr>
        <w:pStyle w:val="TOCH1"/>
        <w:numPr>
          <w:ilvl w:val="0"/>
          <w:numId w:val="0"/>
        </w:numPr>
        <w:spacing w:before="500"/>
        <w:rPr>
          <w:noProof/>
        </w:rPr>
      </w:pPr>
      <w:r>
        <w:rPr>
          <w:rFonts w:ascii="Trebuchet MS" w:hAnsi="Trebuchet MS"/>
          <w:b/>
          <w:caps/>
          <w:noProof/>
          <w:color w:val="00747A" w:themeColor="background2"/>
          <w:szCs w:val="30"/>
        </w:rPr>
        <w:fldChar w:fldCharType="end"/>
      </w:r>
      <w:r w:rsidRPr="00FB0015">
        <w:rPr>
          <w:noProof/>
        </w:rPr>
        <w:t>List of tables</w:t>
      </w:r>
      <w:r w:rsidR="00EF1F4F">
        <w:rPr>
          <w:noProof/>
          <w:color w:val="00747A" w:themeColor="background2"/>
        </w:rPr>
        <w:fldChar w:fldCharType="begin"/>
      </w:r>
      <w:r w:rsidR="00EF1F4F">
        <w:rPr>
          <w:noProof/>
          <w:color w:val="00747A" w:themeColor="background2"/>
        </w:rPr>
        <w:instrText xml:space="preserve"> TOC \h \z \c "Table" </w:instrText>
      </w:r>
      <w:r w:rsidR="00EF1F4F">
        <w:rPr>
          <w:noProof/>
          <w:color w:val="00747A" w:themeColor="background2"/>
        </w:rPr>
        <w:fldChar w:fldCharType="separate"/>
      </w:r>
    </w:p>
    <w:p w14:paraId="3BAFD768" w14:textId="209C9055" w:rsidR="006D0F59" w:rsidRDefault="006D0F59">
      <w:pPr>
        <w:pStyle w:val="TableofFigures"/>
        <w:rPr>
          <w:rFonts w:asciiTheme="minorHAnsi" w:eastAsiaTheme="minorEastAsia" w:hAnsiTheme="minorHAnsi" w:cstheme="minorBidi"/>
          <w:color w:val="auto"/>
          <w:kern w:val="2"/>
          <w:sz w:val="24"/>
          <w:lang w:eastAsia="en-AU"/>
          <w14:ligatures w14:val="standardContextual"/>
        </w:rPr>
      </w:pPr>
      <w:hyperlink w:anchor="_Toc212131563" w:history="1">
        <w:r w:rsidRPr="00891AF6">
          <w:rPr>
            <w:rStyle w:val="Hyperlink"/>
          </w:rPr>
          <w:t>Table 1. Submissions in response to the proposed suspension of certain dimethoate chemical products</w:t>
        </w:r>
        <w:r>
          <w:rPr>
            <w:webHidden/>
          </w:rPr>
          <w:tab/>
        </w:r>
        <w:r>
          <w:rPr>
            <w:webHidden/>
          </w:rPr>
          <w:fldChar w:fldCharType="begin"/>
        </w:r>
        <w:r>
          <w:rPr>
            <w:webHidden/>
          </w:rPr>
          <w:instrText xml:space="preserve"> PAGEREF _Toc212131563 \h </w:instrText>
        </w:r>
        <w:r>
          <w:rPr>
            <w:webHidden/>
          </w:rPr>
        </w:r>
        <w:r>
          <w:rPr>
            <w:webHidden/>
          </w:rPr>
          <w:fldChar w:fldCharType="separate"/>
        </w:r>
        <w:r>
          <w:rPr>
            <w:webHidden/>
          </w:rPr>
          <w:t>1</w:t>
        </w:r>
        <w:r>
          <w:rPr>
            <w:webHidden/>
          </w:rPr>
          <w:fldChar w:fldCharType="end"/>
        </w:r>
      </w:hyperlink>
    </w:p>
    <w:p w14:paraId="747A1295" w14:textId="77777777" w:rsidR="006D0F59" w:rsidRDefault="00EF1F4F" w:rsidP="00F566F2">
      <w:pPr>
        <w:pStyle w:val="TOCH1"/>
        <w:numPr>
          <w:ilvl w:val="0"/>
          <w:numId w:val="0"/>
        </w:numPr>
        <w:rPr>
          <w:noProof/>
        </w:rPr>
        <w:sectPr w:rsidR="006D0F59" w:rsidSect="006D0F59">
          <w:headerReference w:type="default" r:id="rId18"/>
          <w:pgSz w:w="11906" w:h="16838" w:code="9"/>
          <w:pgMar w:top="2835" w:right="1134" w:bottom="1134" w:left="1134" w:header="1701" w:footer="680" w:gutter="0"/>
          <w:pgNumType w:fmt="lowerRoman"/>
          <w:cols w:space="708"/>
          <w:docGrid w:linePitch="360"/>
        </w:sectPr>
      </w:pPr>
      <w:r>
        <w:rPr>
          <w:noProof/>
        </w:rPr>
        <w:fldChar w:fldCharType="end"/>
      </w:r>
    </w:p>
    <w:p w14:paraId="6A1014FE" w14:textId="3CCBE0CE" w:rsidR="002E20AC" w:rsidRPr="00F64295" w:rsidRDefault="006D32C6" w:rsidP="00F64295">
      <w:pPr>
        <w:pStyle w:val="Heading1"/>
      </w:pPr>
      <w:bookmarkStart w:id="1" w:name="_Toc212631870"/>
      <w:r w:rsidRPr="00F64295">
        <w:lastRenderedPageBreak/>
        <w:t xml:space="preserve">Submissions </w:t>
      </w:r>
      <w:r w:rsidR="00F566F2">
        <w:t>r</w:t>
      </w:r>
      <w:r w:rsidRPr="00F64295">
        <w:t>eceived</w:t>
      </w:r>
      <w:bookmarkEnd w:id="1"/>
    </w:p>
    <w:p w14:paraId="06024293" w14:textId="6D896F25" w:rsidR="002E20AC" w:rsidRDefault="006D32C6">
      <w:pPr>
        <w:pStyle w:val="NormalText"/>
      </w:pPr>
      <w:r>
        <w:t>The A</w:t>
      </w:r>
      <w:r w:rsidR="00F64295">
        <w:t>ustralian Pesticides and Veterinary Medicines Authority (A</w:t>
      </w:r>
      <w:r>
        <w:t>PVMA</w:t>
      </w:r>
      <w:r w:rsidR="00F64295">
        <w:t>)</w:t>
      </w:r>
      <w:r>
        <w:t xml:space="preserve"> published notice of the </w:t>
      </w:r>
      <w:hyperlink r:id="rId19" w:history="1">
        <w:r w:rsidRPr="006D0F59">
          <w:rPr>
            <w:rStyle w:val="Hyperlink"/>
          </w:rPr>
          <w:t>proposed suspension of certain products containing dimethoate</w:t>
        </w:r>
      </w:hyperlink>
      <w:r>
        <w:t xml:space="preserve"> that are registered with instructions for use on blackberries, blueberries and raspberries on 5 August 2025. The APVMA invited submissions in relation to the proposed suspension between 5 August and 2 September 2025 and received 2</w:t>
      </w:r>
      <w:r w:rsidR="000642FC">
        <w:t>2</w:t>
      </w:r>
      <w:r>
        <w:t xml:space="preserve"> submissions. The APVMA was given permission to </w:t>
      </w:r>
      <w:hyperlink r:id="rId20" w:history="1">
        <w:r w:rsidRPr="007228B8">
          <w:rPr>
            <w:rStyle w:val="Hyperlink"/>
          </w:rPr>
          <w:t xml:space="preserve">publish </w:t>
        </w:r>
        <w:r w:rsidR="00877DAE" w:rsidRPr="007228B8">
          <w:rPr>
            <w:rStyle w:val="Hyperlink"/>
          </w:rPr>
          <w:t>1</w:t>
        </w:r>
        <w:r w:rsidR="00235A61" w:rsidRPr="007228B8">
          <w:rPr>
            <w:rStyle w:val="Hyperlink"/>
          </w:rPr>
          <w:t>6</w:t>
        </w:r>
        <w:r w:rsidR="00877DAE" w:rsidRPr="007228B8">
          <w:rPr>
            <w:rStyle w:val="Hyperlink"/>
          </w:rPr>
          <w:t xml:space="preserve"> o</w:t>
        </w:r>
        <w:r w:rsidRPr="007228B8">
          <w:rPr>
            <w:rStyle w:val="Hyperlink"/>
          </w:rPr>
          <w:t>f these submissions</w:t>
        </w:r>
      </w:hyperlink>
      <w:r>
        <w:t xml:space="preserve"> which are available on </w:t>
      </w:r>
      <w:r w:rsidR="00F64295">
        <w:t>apvma.gov.au</w:t>
      </w:r>
      <w:r>
        <w:t>. Submissions requested to remain confidential have been considered but are not published.</w:t>
      </w:r>
    </w:p>
    <w:p w14:paraId="374BC12D" w14:textId="185BCA23" w:rsidR="006D32C6" w:rsidRDefault="006D32C6">
      <w:pPr>
        <w:pStyle w:val="NormalText"/>
      </w:pPr>
      <w:r>
        <w:t>The submissions received</w:t>
      </w:r>
      <w:r w:rsidR="006605D3">
        <w:t xml:space="preserve"> by the APVMA</w:t>
      </w:r>
      <w:r>
        <w:t xml:space="preserve"> are listed in </w:t>
      </w:r>
      <w:r w:rsidR="00E53B8B">
        <w:t>T</w:t>
      </w:r>
      <w:r>
        <w:t>able</w:t>
      </w:r>
      <w:r w:rsidR="00E53B8B">
        <w:t xml:space="preserve"> 1</w:t>
      </w:r>
      <w:r>
        <w:t xml:space="preserve"> and the APVMA’s consideration of the information received is summarised below.</w:t>
      </w:r>
    </w:p>
    <w:p w14:paraId="091E6733" w14:textId="1527F997" w:rsidR="006605D3" w:rsidRDefault="006605D3" w:rsidP="006605D3">
      <w:pPr>
        <w:pStyle w:val="Caption"/>
      </w:pPr>
      <w:bookmarkStart w:id="2" w:name="_Toc212131563"/>
      <w:r>
        <w:t xml:space="preserve">Table </w:t>
      </w:r>
      <w:r>
        <w:fldChar w:fldCharType="begin"/>
      </w:r>
      <w:r>
        <w:instrText xml:space="preserve"> SEQ Table \* ARABIC </w:instrText>
      </w:r>
      <w:r>
        <w:fldChar w:fldCharType="separate"/>
      </w:r>
      <w:r>
        <w:rPr>
          <w:noProof/>
        </w:rPr>
        <w:t>1</w:t>
      </w:r>
      <w:r>
        <w:fldChar w:fldCharType="end"/>
      </w:r>
      <w:r>
        <w:t>. Submissions in response to the proposed suspension of certain dimethoate chemical products</w:t>
      </w:r>
      <w:bookmarkEnd w:id="2"/>
      <w:r>
        <w:t xml:space="preserve"> </w:t>
      </w:r>
    </w:p>
    <w:tbl>
      <w:tblPr>
        <w:tblW w:w="5000" w:type="pct"/>
        <w:tblLook w:val="04A0" w:firstRow="1" w:lastRow="0" w:firstColumn="1" w:lastColumn="0" w:noHBand="0" w:noVBand="1"/>
      </w:tblPr>
      <w:tblGrid>
        <w:gridCol w:w="567"/>
        <w:gridCol w:w="2128"/>
        <w:gridCol w:w="6943"/>
      </w:tblGrid>
      <w:tr w:rsidR="006605D3" w:rsidRPr="006D32C6" w14:paraId="4BFA2072" w14:textId="77777777" w:rsidTr="00ED395F">
        <w:trPr>
          <w:cantSplit/>
          <w:tblHeader/>
        </w:trPr>
        <w:tc>
          <w:tcPr>
            <w:tcW w:w="294" w:type="pct"/>
            <w:tcBorders>
              <w:top w:val="single" w:sz="4" w:space="0" w:color="auto"/>
              <w:left w:val="nil"/>
              <w:bottom w:val="single" w:sz="4" w:space="0" w:color="auto"/>
              <w:right w:val="nil"/>
            </w:tcBorders>
            <w:shd w:val="clear" w:color="auto" w:fill="5C2946"/>
          </w:tcPr>
          <w:p w14:paraId="68BEC2AF" w14:textId="77777777" w:rsidR="006605D3" w:rsidRPr="006D32C6" w:rsidRDefault="006605D3" w:rsidP="00F64295">
            <w:pPr>
              <w:pStyle w:val="TableHead"/>
            </w:pPr>
          </w:p>
        </w:tc>
        <w:tc>
          <w:tcPr>
            <w:tcW w:w="1104" w:type="pct"/>
            <w:tcBorders>
              <w:top w:val="single" w:sz="4" w:space="0" w:color="auto"/>
              <w:left w:val="nil"/>
              <w:bottom w:val="single" w:sz="4" w:space="0" w:color="auto"/>
              <w:right w:val="nil"/>
            </w:tcBorders>
            <w:shd w:val="clear" w:color="auto" w:fill="5C2946"/>
            <w:vAlign w:val="center"/>
            <w:hideMark/>
          </w:tcPr>
          <w:p w14:paraId="27BDA855" w14:textId="1D4E87DC" w:rsidR="006605D3" w:rsidRPr="006D32C6" w:rsidRDefault="006605D3" w:rsidP="00F64295">
            <w:pPr>
              <w:pStyle w:val="TableHead"/>
            </w:pPr>
            <w:r w:rsidRPr="006D32C6">
              <w:t>Submitter</w:t>
            </w:r>
          </w:p>
        </w:tc>
        <w:tc>
          <w:tcPr>
            <w:tcW w:w="3602" w:type="pct"/>
            <w:tcBorders>
              <w:top w:val="single" w:sz="4" w:space="0" w:color="auto"/>
              <w:left w:val="nil"/>
              <w:bottom w:val="single" w:sz="4" w:space="0" w:color="auto"/>
              <w:right w:val="nil"/>
            </w:tcBorders>
            <w:shd w:val="clear" w:color="auto" w:fill="5C2946"/>
            <w:vAlign w:val="center"/>
            <w:hideMark/>
          </w:tcPr>
          <w:p w14:paraId="31EF7F79" w14:textId="77777777" w:rsidR="006605D3" w:rsidRPr="006D32C6" w:rsidRDefault="006605D3" w:rsidP="00F64295">
            <w:pPr>
              <w:pStyle w:val="TableHead"/>
            </w:pPr>
            <w:r w:rsidRPr="006D32C6">
              <w:t>Comments</w:t>
            </w:r>
          </w:p>
        </w:tc>
      </w:tr>
      <w:tr w:rsidR="006605D3" w:rsidRPr="006D32C6" w14:paraId="74D21A0B" w14:textId="77777777" w:rsidTr="00ED395F">
        <w:trPr>
          <w:cantSplit/>
          <w:trHeight w:val="450"/>
        </w:trPr>
        <w:tc>
          <w:tcPr>
            <w:tcW w:w="294" w:type="pct"/>
            <w:tcBorders>
              <w:top w:val="single" w:sz="4" w:space="0" w:color="auto"/>
              <w:left w:val="nil"/>
              <w:bottom w:val="single" w:sz="4" w:space="0" w:color="auto"/>
              <w:right w:val="nil"/>
            </w:tcBorders>
          </w:tcPr>
          <w:p w14:paraId="1970E708" w14:textId="5C4FB29A" w:rsidR="006605D3" w:rsidRPr="00814632" w:rsidRDefault="006605D3" w:rsidP="00F64295">
            <w:pPr>
              <w:pStyle w:val="TableText"/>
              <w:rPr>
                <w:b/>
                <w:bCs/>
              </w:rPr>
            </w:pPr>
            <w:r w:rsidRPr="00814632">
              <w:rPr>
                <w:b/>
                <w:bCs/>
              </w:rPr>
              <w:t>1</w:t>
            </w:r>
          </w:p>
        </w:tc>
        <w:tc>
          <w:tcPr>
            <w:tcW w:w="1104" w:type="pct"/>
            <w:tcBorders>
              <w:top w:val="single" w:sz="4" w:space="0" w:color="auto"/>
              <w:left w:val="nil"/>
              <w:bottom w:val="single" w:sz="4" w:space="0" w:color="auto"/>
              <w:right w:val="nil"/>
            </w:tcBorders>
          </w:tcPr>
          <w:p w14:paraId="55BB86EF" w14:textId="44EA7D40" w:rsidR="006605D3" w:rsidRPr="006D32C6" w:rsidRDefault="006605D3" w:rsidP="00F64295">
            <w:pPr>
              <w:pStyle w:val="TableText"/>
            </w:pPr>
            <w:r>
              <w:t>Confidential</w:t>
            </w:r>
          </w:p>
        </w:tc>
        <w:tc>
          <w:tcPr>
            <w:tcW w:w="3602" w:type="pct"/>
            <w:tcBorders>
              <w:top w:val="single" w:sz="4" w:space="0" w:color="auto"/>
              <w:left w:val="nil"/>
              <w:bottom w:val="single" w:sz="4" w:space="0" w:color="auto"/>
              <w:right w:val="nil"/>
            </w:tcBorders>
          </w:tcPr>
          <w:p w14:paraId="163470A5" w14:textId="481C39DB" w:rsidR="006605D3" w:rsidRPr="006D32C6" w:rsidRDefault="002C35DD" w:rsidP="00F64295">
            <w:pPr>
              <w:pStyle w:val="TableText"/>
            </w:pPr>
            <w:r>
              <w:t>A submission calling for a total ban of dimethoate without supporting scientific information.</w:t>
            </w:r>
          </w:p>
        </w:tc>
      </w:tr>
      <w:tr w:rsidR="002C35DD" w:rsidRPr="006D32C6" w14:paraId="740D2D6F" w14:textId="77777777" w:rsidTr="00ED395F">
        <w:trPr>
          <w:cantSplit/>
          <w:trHeight w:val="450"/>
        </w:trPr>
        <w:tc>
          <w:tcPr>
            <w:tcW w:w="294" w:type="pct"/>
            <w:tcBorders>
              <w:top w:val="single" w:sz="4" w:space="0" w:color="auto"/>
              <w:left w:val="nil"/>
              <w:bottom w:val="single" w:sz="4" w:space="0" w:color="auto"/>
              <w:right w:val="nil"/>
            </w:tcBorders>
          </w:tcPr>
          <w:p w14:paraId="2E371A5C" w14:textId="78839E9A" w:rsidR="002C35DD" w:rsidRPr="00814632" w:rsidRDefault="002C35DD" w:rsidP="00F64295">
            <w:pPr>
              <w:pStyle w:val="TableText"/>
              <w:rPr>
                <w:b/>
                <w:bCs/>
              </w:rPr>
            </w:pPr>
            <w:r w:rsidRPr="00814632">
              <w:rPr>
                <w:b/>
                <w:bCs/>
              </w:rPr>
              <w:t>2</w:t>
            </w:r>
          </w:p>
        </w:tc>
        <w:tc>
          <w:tcPr>
            <w:tcW w:w="1104" w:type="pct"/>
            <w:tcBorders>
              <w:top w:val="single" w:sz="4" w:space="0" w:color="auto"/>
              <w:left w:val="nil"/>
              <w:bottom w:val="single" w:sz="4" w:space="0" w:color="auto"/>
              <w:right w:val="nil"/>
            </w:tcBorders>
          </w:tcPr>
          <w:p w14:paraId="3B3E095D" w14:textId="22E2E4A1" w:rsidR="002C35DD" w:rsidRPr="006D32C6" w:rsidRDefault="002C35DD" w:rsidP="00F64295">
            <w:pPr>
              <w:pStyle w:val="TableText"/>
            </w:pPr>
            <w:r>
              <w:t>Confidential</w:t>
            </w:r>
          </w:p>
        </w:tc>
        <w:tc>
          <w:tcPr>
            <w:tcW w:w="3602" w:type="pct"/>
            <w:tcBorders>
              <w:top w:val="single" w:sz="4" w:space="0" w:color="auto"/>
              <w:left w:val="nil"/>
              <w:bottom w:val="single" w:sz="4" w:space="0" w:color="auto"/>
              <w:right w:val="nil"/>
            </w:tcBorders>
          </w:tcPr>
          <w:p w14:paraId="55FA07E1" w14:textId="1946B1B5" w:rsidR="002C35DD" w:rsidRPr="006D32C6" w:rsidRDefault="002C35DD" w:rsidP="00F64295">
            <w:pPr>
              <w:pStyle w:val="TableText"/>
            </w:pPr>
            <w:r>
              <w:t>A submission calling for a total ban of dimethoate without supporting scientific information.</w:t>
            </w:r>
          </w:p>
        </w:tc>
      </w:tr>
      <w:tr w:rsidR="002C35DD" w:rsidRPr="006D32C6" w14:paraId="3CD3C7FC" w14:textId="77777777" w:rsidTr="00ED395F">
        <w:trPr>
          <w:cantSplit/>
          <w:trHeight w:val="450"/>
        </w:trPr>
        <w:tc>
          <w:tcPr>
            <w:tcW w:w="294" w:type="pct"/>
            <w:tcBorders>
              <w:top w:val="single" w:sz="4" w:space="0" w:color="auto"/>
              <w:left w:val="nil"/>
              <w:bottom w:val="single" w:sz="4" w:space="0" w:color="auto"/>
              <w:right w:val="nil"/>
            </w:tcBorders>
          </w:tcPr>
          <w:p w14:paraId="423B21BE" w14:textId="6C685FEC" w:rsidR="002C35DD" w:rsidRPr="00814632" w:rsidRDefault="002C35DD" w:rsidP="00F64295">
            <w:pPr>
              <w:pStyle w:val="TableText"/>
              <w:rPr>
                <w:b/>
                <w:bCs/>
              </w:rPr>
            </w:pPr>
            <w:r w:rsidRPr="00814632">
              <w:rPr>
                <w:b/>
                <w:bCs/>
              </w:rPr>
              <w:t>3</w:t>
            </w:r>
          </w:p>
        </w:tc>
        <w:tc>
          <w:tcPr>
            <w:tcW w:w="1104" w:type="pct"/>
            <w:tcBorders>
              <w:top w:val="single" w:sz="4" w:space="0" w:color="auto"/>
              <w:left w:val="nil"/>
              <w:bottom w:val="single" w:sz="4" w:space="0" w:color="auto"/>
              <w:right w:val="nil"/>
            </w:tcBorders>
          </w:tcPr>
          <w:p w14:paraId="3894EE57" w14:textId="59AC2642" w:rsidR="002C35DD" w:rsidRPr="006D32C6" w:rsidRDefault="002C35DD" w:rsidP="00F64295">
            <w:pPr>
              <w:pStyle w:val="TableText"/>
            </w:pPr>
            <w:r w:rsidRPr="002C35DD">
              <w:t>Australian Organic Limited</w:t>
            </w:r>
          </w:p>
        </w:tc>
        <w:tc>
          <w:tcPr>
            <w:tcW w:w="3602" w:type="pct"/>
            <w:tcBorders>
              <w:top w:val="single" w:sz="4" w:space="0" w:color="auto"/>
              <w:left w:val="nil"/>
              <w:bottom w:val="single" w:sz="4" w:space="0" w:color="auto"/>
              <w:right w:val="nil"/>
            </w:tcBorders>
          </w:tcPr>
          <w:p w14:paraId="1967722F" w14:textId="0415352B" w:rsidR="002C35DD" w:rsidRDefault="002C35DD" w:rsidP="00F64295">
            <w:pPr>
              <w:pStyle w:val="TableText"/>
            </w:pPr>
            <w:r>
              <w:t>The submission</w:t>
            </w:r>
            <w:r w:rsidR="005177F9">
              <w:t xml:space="preserve"> by</w:t>
            </w:r>
            <w:r>
              <w:t xml:space="preserve"> Australian Organic Limited supported the APVMA’s proposed decision and called for expansion of the scope to include all berries</w:t>
            </w:r>
            <w:r w:rsidR="005177F9">
              <w:t>,</w:t>
            </w:r>
            <w:r>
              <w:t xml:space="preserve"> and to commence a broader reconsideration leading to complete withdrawal of dimethoate.</w:t>
            </w:r>
          </w:p>
          <w:p w14:paraId="4488528D" w14:textId="777823B1" w:rsidR="002C35DD" w:rsidRPr="006D32C6" w:rsidRDefault="002C35DD" w:rsidP="00F64295">
            <w:pPr>
              <w:pStyle w:val="TableText"/>
            </w:pPr>
            <w:r>
              <w:t xml:space="preserve">The submission also called for consideration of the risks to pollinators. </w:t>
            </w:r>
          </w:p>
        </w:tc>
      </w:tr>
      <w:tr w:rsidR="002C35DD" w:rsidRPr="006D32C6" w14:paraId="0636359B" w14:textId="77777777" w:rsidTr="00ED395F">
        <w:trPr>
          <w:cantSplit/>
          <w:trHeight w:val="450"/>
        </w:trPr>
        <w:tc>
          <w:tcPr>
            <w:tcW w:w="294" w:type="pct"/>
            <w:tcBorders>
              <w:top w:val="single" w:sz="4" w:space="0" w:color="auto"/>
              <w:left w:val="nil"/>
              <w:bottom w:val="single" w:sz="4" w:space="0" w:color="auto"/>
              <w:right w:val="nil"/>
            </w:tcBorders>
          </w:tcPr>
          <w:p w14:paraId="5F410452" w14:textId="7B34C2D0" w:rsidR="002C35DD" w:rsidRPr="00814632" w:rsidRDefault="002C35DD" w:rsidP="00F64295">
            <w:pPr>
              <w:pStyle w:val="TableText"/>
              <w:rPr>
                <w:b/>
                <w:bCs/>
              </w:rPr>
            </w:pPr>
            <w:r w:rsidRPr="00814632">
              <w:rPr>
                <w:b/>
                <w:bCs/>
              </w:rPr>
              <w:t>4</w:t>
            </w:r>
          </w:p>
        </w:tc>
        <w:tc>
          <w:tcPr>
            <w:tcW w:w="1104" w:type="pct"/>
            <w:tcBorders>
              <w:top w:val="single" w:sz="4" w:space="0" w:color="auto"/>
              <w:left w:val="nil"/>
              <w:bottom w:val="single" w:sz="4" w:space="0" w:color="auto"/>
              <w:right w:val="nil"/>
            </w:tcBorders>
          </w:tcPr>
          <w:p w14:paraId="23ABE371" w14:textId="4730187A" w:rsidR="002C35DD" w:rsidRPr="0079347D" w:rsidRDefault="002C35DD" w:rsidP="00F64295">
            <w:pPr>
              <w:pStyle w:val="TableText"/>
            </w:pPr>
            <w:r w:rsidRPr="0079347D">
              <w:t>Berries Australia Limited</w:t>
            </w:r>
          </w:p>
        </w:tc>
        <w:tc>
          <w:tcPr>
            <w:tcW w:w="3602" w:type="pct"/>
            <w:tcBorders>
              <w:top w:val="single" w:sz="4" w:space="0" w:color="auto"/>
              <w:left w:val="nil"/>
              <w:bottom w:val="single" w:sz="4" w:space="0" w:color="auto"/>
              <w:right w:val="nil"/>
            </w:tcBorders>
          </w:tcPr>
          <w:p w14:paraId="0E802DB9" w14:textId="0DCFA3F9" w:rsidR="002C35DD" w:rsidRDefault="002C35DD" w:rsidP="00F64295">
            <w:pPr>
              <w:pStyle w:val="TableText"/>
            </w:pPr>
            <w:r>
              <w:t>The submission by Berries Australia opposed the proposed suspension and noted that there would be</w:t>
            </w:r>
            <w:r w:rsidR="00E03E33">
              <w:t xml:space="preserve"> commercial and practical</w:t>
            </w:r>
            <w:r>
              <w:t xml:space="preserve"> impacts on berry growing industries, particularly related to the use of dimethoate as a component of the interstate certification assurance scheme </w:t>
            </w:r>
            <w:r w:rsidR="00E03E33">
              <w:t>for control of Queensland fruit fly prior to interstate transport.</w:t>
            </w:r>
          </w:p>
          <w:p w14:paraId="38829FB8" w14:textId="477B6EA8" w:rsidR="00E03E33" w:rsidRPr="006D32C6" w:rsidRDefault="00E03E33" w:rsidP="00F64295">
            <w:pPr>
              <w:pStyle w:val="TableText"/>
            </w:pPr>
            <w:r>
              <w:t>The submission also provided residue monitoring data for dimethoate in berries.</w:t>
            </w:r>
          </w:p>
        </w:tc>
      </w:tr>
      <w:tr w:rsidR="00E03E33" w:rsidRPr="006D32C6" w14:paraId="5766F400" w14:textId="77777777" w:rsidTr="00ED395F">
        <w:trPr>
          <w:cantSplit/>
          <w:trHeight w:val="450"/>
        </w:trPr>
        <w:tc>
          <w:tcPr>
            <w:tcW w:w="294" w:type="pct"/>
            <w:tcBorders>
              <w:top w:val="single" w:sz="4" w:space="0" w:color="auto"/>
              <w:left w:val="nil"/>
              <w:bottom w:val="single" w:sz="4" w:space="0" w:color="auto"/>
              <w:right w:val="nil"/>
            </w:tcBorders>
          </w:tcPr>
          <w:p w14:paraId="66419BD9" w14:textId="071763AD" w:rsidR="00E03E33" w:rsidRPr="00814632" w:rsidRDefault="00E03E33" w:rsidP="00F64295">
            <w:pPr>
              <w:pStyle w:val="TableText"/>
              <w:rPr>
                <w:b/>
                <w:bCs/>
              </w:rPr>
            </w:pPr>
            <w:r w:rsidRPr="00814632">
              <w:rPr>
                <w:b/>
                <w:bCs/>
              </w:rPr>
              <w:t>5</w:t>
            </w:r>
          </w:p>
        </w:tc>
        <w:tc>
          <w:tcPr>
            <w:tcW w:w="1104" w:type="pct"/>
            <w:tcBorders>
              <w:top w:val="single" w:sz="4" w:space="0" w:color="auto"/>
              <w:left w:val="nil"/>
              <w:bottom w:val="single" w:sz="4" w:space="0" w:color="auto"/>
              <w:right w:val="nil"/>
            </w:tcBorders>
          </w:tcPr>
          <w:p w14:paraId="7E04D35B" w14:textId="457CA55A" w:rsidR="00E03E33" w:rsidRPr="006D32C6" w:rsidRDefault="00235A61" w:rsidP="00F64295">
            <w:pPr>
              <w:pStyle w:val="TableText"/>
            </w:pPr>
            <w:r>
              <w:t>Member of the public</w:t>
            </w:r>
          </w:p>
        </w:tc>
        <w:tc>
          <w:tcPr>
            <w:tcW w:w="3602" w:type="pct"/>
            <w:tcBorders>
              <w:top w:val="single" w:sz="4" w:space="0" w:color="auto"/>
              <w:left w:val="nil"/>
              <w:bottom w:val="single" w:sz="4" w:space="0" w:color="auto"/>
              <w:right w:val="nil"/>
            </w:tcBorders>
          </w:tcPr>
          <w:p w14:paraId="1A2D501C" w14:textId="6550ED49" w:rsidR="00E03E33" w:rsidRPr="006D32C6" w:rsidRDefault="00E03E33" w:rsidP="00F64295">
            <w:pPr>
              <w:pStyle w:val="TableText"/>
            </w:pPr>
            <w:r>
              <w:t>A submission calling for a total ban of dimethoate without supporting scientific information.</w:t>
            </w:r>
          </w:p>
        </w:tc>
      </w:tr>
      <w:tr w:rsidR="00E03E33" w:rsidRPr="006D32C6" w14:paraId="6E26231A" w14:textId="77777777" w:rsidTr="00ED395F">
        <w:trPr>
          <w:cantSplit/>
          <w:trHeight w:val="450"/>
        </w:trPr>
        <w:tc>
          <w:tcPr>
            <w:tcW w:w="294" w:type="pct"/>
            <w:tcBorders>
              <w:top w:val="single" w:sz="4" w:space="0" w:color="auto"/>
              <w:left w:val="nil"/>
              <w:bottom w:val="single" w:sz="4" w:space="0" w:color="auto"/>
              <w:right w:val="nil"/>
            </w:tcBorders>
          </w:tcPr>
          <w:p w14:paraId="23AB75D3" w14:textId="2757A4D0" w:rsidR="00E03E33" w:rsidRPr="00814632" w:rsidRDefault="00E03E33" w:rsidP="00F64295">
            <w:pPr>
              <w:pStyle w:val="TableText"/>
              <w:rPr>
                <w:b/>
                <w:bCs/>
              </w:rPr>
            </w:pPr>
            <w:r w:rsidRPr="00814632">
              <w:rPr>
                <w:b/>
                <w:bCs/>
              </w:rPr>
              <w:t>6</w:t>
            </w:r>
          </w:p>
        </w:tc>
        <w:tc>
          <w:tcPr>
            <w:tcW w:w="1104" w:type="pct"/>
            <w:tcBorders>
              <w:top w:val="single" w:sz="4" w:space="0" w:color="auto"/>
              <w:left w:val="nil"/>
              <w:bottom w:val="single" w:sz="4" w:space="0" w:color="auto"/>
              <w:right w:val="nil"/>
            </w:tcBorders>
          </w:tcPr>
          <w:p w14:paraId="03D3E09F" w14:textId="34559BB5" w:rsidR="00E03E33" w:rsidRPr="006D32C6" w:rsidRDefault="00E03E33" w:rsidP="00F64295">
            <w:pPr>
              <w:pStyle w:val="TableText"/>
            </w:pPr>
            <w:r>
              <w:t>Member of the public</w:t>
            </w:r>
          </w:p>
        </w:tc>
        <w:tc>
          <w:tcPr>
            <w:tcW w:w="3602" w:type="pct"/>
            <w:tcBorders>
              <w:top w:val="single" w:sz="4" w:space="0" w:color="auto"/>
              <w:left w:val="nil"/>
              <w:bottom w:val="single" w:sz="4" w:space="0" w:color="auto"/>
              <w:right w:val="nil"/>
            </w:tcBorders>
          </w:tcPr>
          <w:p w14:paraId="725CD361" w14:textId="71C5AC99" w:rsidR="00E03E33" w:rsidRPr="006D32C6" w:rsidRDefault="00E03E33" w:rsidP="00F64295">
            <w:pPr>
              <w:pStyle w:val="TableText"/>
            </w:pPr>
            <w:r>
              <w:t>A submission calling for a total ban of dimethoate without supporting scientific information.</w:t>
            </w:r>
          </w:p>
        </w:tc>
      </w:tr>
      <w:tr w:rsidR="00033787" w:rsidRPr="006D32C6" w14:paraId="1F5C4C5E" w14:textId="77777777" w:rsidTr="00ED395F">
        <w:trPr>
          <w:cantSplit/>
          <w:trHeight w:val="450"/>
        </w:trPr>
        <w:tc>
          <w:tcPr>
            <w:tcW w:w="294" w:type="pct"/>
            <w:tcBorders>
              <w:top w:val="single" w:sz="4" w:space="0" w:color="auto"/>
              <w:left w:val="nil"/>
              <w:bottom w:val="single" w:sz="4" w:space="0" w:color="auto"/>
              <w:right w:val="nil"/>
            </w:tcBorders>
          </w:tcPr>
          <w:p w14:paraId="481D87D1" w14:textId="685A858B" w:rsidR="00033787" w:rsidRPr="00814632" w:rsidRDefault="00033787" w:rsidP="00F64295">
            <w:pPr>
              <w:pStyle w:val="TableText"/>
              <w:rPr>
                <w:b/>
                <w:bCs/>
              </w:rPr>
            </w:pPr>
            <w:r w:rsidRPr="00814632">
              <w:rPr>
                <w:b/>
                <w:bCs/>
              </w:rPr>
              <w:t>7</w:t>
            </w:r>
          </w:p>
        </w:tc>
        <w:tc>
          <w:tcPr>
            <w:tcW w:w="1104" w:type="pct"/>
            <w:tcBorders>
              <w:top w:val="single" w:sz="4" w:space="0" w:color="auto"/>
              <w:left w:val="nil"/>
              <w:bottom w:val="single" w:sz="4" w:space="0" w:color="auto"/>
              <w:right w:val="nil"/>
            </w:tcBorders>
          </w:tcPr>
          <w:p w14:paraId="2FF04201" w14:textId="412CA117" w:rsidR="00033787" w:rsidRPr="0079347D" w:rsidRDefault="00033787" w:rsidP="00F64295">
            <w:pPr>
              <w:pStyle w:val="TableText"/>
            </w:pPr>
            <w:r w:rsidRPr="0079347D">
              <w:t>FMC</w:t>
            </w:r>
          </w:p>
        </w:tc>
        <w:tc>
          <w:tcPr>
            <w:tcW w:w="3602" w:type="pct"/>
            <w:tcBorders>
              <w:top w:val="single" w:sz="4" w:space="0" w:color="auto"/>
              <w:left w:val="nil"/>
              <w:bottom w:val="single" w:sz="4" w:space="0" w:color="auto"/>
              <w:right w:val="nil"/>
            </w:tcBorders>
          </w:tcPr>
          <w:p w14:paraId="2F20FB7A" w14:textId="3E6CDF77" w:rsidR="00ED395F" w:rsidRPr="0079347D" w:rsidRDefault="00ED395F" w:rsidP="00F64295">
            <w:pPr>
              <w:pStyle w:val="TableText"/>
            </w:pPr>
            <w:r w:rsidRPr="0079347D">
              <w:t>The submission provided by FMC Australasia Pty Ltd argued that the APVMA should use higher acute reference dose</w:t>
            </w:r>
            <w:r w:rsidR="00657B66" w:rsidRPr="0079347D">
              <w:t xml:space="preserve"> (ARfD)</w:t>
            </w:r>
            <w:r w:rsidRPr="0079347D">
              <w:t xml:space="preserve"> for risk assessment of dietary exposure, based on a physiologically based pharmacokinetic-pharmacodynamic (PBPK-PD) modelling. The submission argued that using an ARfD of 0.27 mg/kg bw, as opposed to the APVMA’s current ARfD of 0.02 mg/kg bw, would address any concerns related to dietary exposure.</w:t>
            </w:r>
          </w:p>
        </w:tc>
      </w:tr>
      <w:tr w:rsidR="00033787" w:rsidRPr="006D32C6" w14:paraId="48C4388E" w14:textId="77777777" w:rsidTr="00ED395F">
        <w:trPr>
          <w:cantSplit/>
          <w:trHeight w:val="450"/>
        </w:trPr>
        <w:tc>
          <w:tcPr>
            <w:tcW w:w="294" w:type="pct"/>
            <w:tcBorders>
              <w:top w:val="single" w:sz="4" w:space="0" w:color="auto"/>
              <w:left w:val="nil"/>
              <w:bottom w:val="single" w:sz="4" w:space="0" w:color="auto"/>
              <w:right w:val="nil"/>
            </w:tcBorders>
          </w:tcPr>
          <w:p w14:paraId="32EA6BD8" w14:textId="73C2185C" w:rsidR="00033787" w:rsidRPr="00814632" w:rsidRDefault="00033787" w:rsidP="00F64295">
            <w:pPr>
              <w:pStyle w:val="TableText"/>
              <w:rPr>
                <w:b/>
                <w:bCs/>
              </w:rPr>
            </w:pPr>
            <w:r w:rsidRPr="00814632">
              <w:rPr>
                <w:b/>
                <w:bCs/>
              </w:rPr>
              <w:t>8</w:t>
            </w:r>
          </w:p>
        </w:tc>
        <w:tc>
          <w:tcPr>
            <w:tcW w:w="1104" w:type="pct"/>
            <w:tcBorders>
              <w:top w:val="single" w:sz="4" w:space="0" w:color="auto"/>
              <w:left w:val="nil"/>
              <w:bottom w:val="single" w:sz="4" w:space="0" w:color="auto"/>
              <w:right w:val="nil"/>
            </w:tcBorders>
          </w:tcPr>
          <w:p w14:paraId="66381210" w14:textId="1B0DCF39" w:rsidR="00033787" w:rsidRPr="0079347D" w:rsidRDefault="00033787" w:rsidP="00F64295">
            <w:pPr>
              <w:pStyle w:val="TableText"/>
            </w:pPr>
            <w:r w:rsidRPr="0079347D">
              <w:t>Fresh Produce Group</w:t>
            </w:r>
          </w:p>
        </w:tc>
        <w:tc>
          <w:tcPr>
            <w:tcW w:w="3602" w:type="pct"/>
            <w:tcBorders>
              <w:top w:val="single" w:sz="4" w:space="0" w:color="auto"/>
              <w:left w:val="nil"/>
              <w:bottom w:val="single" w:sz="4" w:space="0" w:color="auto"/>
              <w:right w:val="nil"/>
            </w:tcBorders>
          </w:tcPr>
          <w:p w14:paraId="1019CC6D" w14:textId="397640CC" w:rsidR="00033787" w:rsidRPr="0079347D" w:rsidRDefault="00033787" w:rsidP="00F64295">
            <w:pPr>
              <w:pStyle w:val="TableText"/>
            </w:pPr>
            <w:r w:rsidRPr="0079347D">
              <w:t>The submission by Fresh Produce Group opposed the proposed suspension on similar grounds to Berries Australia and noted that there would be commercial and practical impacts on berry growing industries, particularly related to the use of dimethoate as a component of the interstate certification assurance scheme for control of Queensland fruit fly prior to interstate transport.</w:t>
            </w:r>
          </w:p>
        </w:tc>
      </w:tr>
      <w:tr w:rsidR="00033787" w:rsidRPr="006D32C6" w14:paraId="29E3B4F9" w14:textId="77777777" w:rsidTr="00ED395F">
        <w:trPr>
          <w:cantSplit/>
          <w:trHeight w:val="450"/>
        </w:trPr>
        <w:tc>
          <w:tcPr>
            <w:tcW w:w="294" w:type="pct"/>
            <w:tcBorders>
              <w:top w:val="single" w:sz="4" w:space="0" w:color="auto"/>
              <w:left w:val="nil"/>
              <w:bottom w:val="single" w:sz="4" w:space="0" w:color="auto"/>
              <w:right w:val="nil"/>
            </w:tcBorders>
          </w:tcPr>
          <w:p w14:paraId="229BF427" w14:textId="782D6CB7" w:rsidR="00033787" w:rsidRPr="00814632" w:rsidRDefault="00033787" w:rsidP="00F64295">
            <w:pPr>
              <w:pStyle w:val="TableText"/>
              <w:rPr>
                <w:b/>
                <w:bCs/>
              </w:rPr>
            </w:pPr>
            <w:r w:rsidRPr="00814632">
              <w:rPr>
                <w:b/>
                <w:bCs/>
              </w:rPr>
              <w:lastRenderedPageBreak/>
              <w:t>9</w:t>
            </w:r>
          </w:p>
        </w:tc>
        <w:tc>
          <w:tcPr>
            <w:tcW w:w="1104" w:type="pct"/>
            <w:tcBorders>
              <w:top w:val="single" w:sz="4" w:space="0" w:color="auto"/>
              <w:left w:val="nil"/>
              <w:bottom w:val="single" w:sz="4" w:space="0" w:color="auto"/>
              <w:right w:val="nil"/>
            </w:tcBorders>
          </w:tcPr>
          <w:p w14:paraId="53F22F45" w14:textId="7DD459C3" w:rsidR="00033787" w:rsidRPr="006D32C6" w:rsidRDefault="00033787" w:rsidP="00F64295">
            <w:pPr>
              <w:pStyle w:val="TableText"/>
            </w:pPr>
            <w:proofErr w:type="spellStart"/>
            <w:r w:rsidRPr="00E03E33">
              <w:t>GeneEthics</w:t>
            </w:r>
            <w:proofErr w:type="spellEnd"/>
          </w:p>
        </w:tc>
        <w:tc>
          <w:tcPr>
            <w:tcW w:w="3602" w:type="pct"/>
            <w:tcBorders>
              <w:top w:val="single" w:sz="4" w:space="0" w:color="auto"/>
              <w:left w:val="nil"/>
              <w:bottom w:val="single" w:sz="4" w:space="0" w:color="auto"/>
              <w:right w:val="nil"/>
            </w:tcBorders>
          </w:tcPr>
          <w:p w14:paraId="0D0C3F43" w14:textId="034663BC" w:rsidR="00033787" w:rsidRPr="006D32C6" w:rsidRDefault="00033787" w:rsidP="00F64295">
            <w:pPr>
              <w:pStyle w:val="TableText"/>
            </w:pPr>
            <w:r>
              <w:t xml:space="preserve">The submission by </w:t>
            </w:r>
            <w:proofErr w:type="spellStart"/>
            <w:r>
              <w:t>GeneEthics</w:t>
            </w:r>
            <w:proofErr w:type="spellEnd"/>
            <w:r>
              <w:t xml:space="preserve"> called for a total ban of dimethoate but did not provide information relevant to the matter of residues in berries. Additional information was provided related to organophosphate pesticides generally which is outside the scope of this proposal.</w:t>
            </w:r>
          </w:p>
        </w:tc>
      </w:tr>
      <w:tr w:rsidR="00033787" w:rsidRPr="006D32C6" w14:paraId="54DBED43" w14:textId="77777777" w:rsidTr="00ED395F">
        <w:trPr>
          <w:cantSplit/>
          <w:trHeight w:val="450"/>
        </w:trPr>
        <w:tc>
          <w:tcPr>
            <w:tcW w:w="294" w:type="pct"/>
            <w:tcBorders>
              <w:top w:val="single" w:sz="4" w:space="0" w:color="auto"/>
              <w:left w:val="nil"/>
              <w:bottom w:val="single" w:sz="4" w:space="0" w:color="auto"/>
              <w:right w:val="nil"/>
            </w:tcBorders>
          </w:tcPr>
          <w:p w14:paraId="26F5F36F" w14:textId="71E50C13" w:rsidR="00033787" w:rsidRPr="00814632" w:rsidRDefault="00033787" w:rsidP="00F64295">
            <w:pPr>
              <w:pStyle w:val="TableText"/>
              <w:rPr>
                <w:b/>
                <w:bCs/>
              </w:rPr>
            </w:pPr>
            <w:r w:rsidRPr="00814632">
              <w:rPr>
                <w:b/>
                <w:bCs/>
              </w:rPr>
              <w:t>10</w:t>
            </w:r>
          </w:p>
        </w:tc>
        <w:tc>
          <w:tcPr>
            <w:tcW w:w="1104" w:type="pct"/>
            <w:tcBorders>
              <w:top w:val="single" w:sz="4" w:space="0" w:color="auto"/>
              <w:left w:val="nil"/>
              <w:bottom w:val="single" w:sz="4" w:space="0" w:color="auto"/>
              <w:right w:val="nil"/>
            </w:tcBorders>
          </w:tcPr>
          <w:p w14:paraId="4488B484" w14:textId="371344B1" w:rsidR="00033787" w:rsidRPr="006D32C6" w:rsidRDefault="00033787" w:rsidP="00F64295">
            <w:pPr>
              <w:pStyle w:val="TableText"/>
            </w:pPr>
            <w:r>
              <w:t>Confidential</w:t>
            </w:r>
          </w:p>
        </w:tc>
        <w:tc>
          <w:tcPr>
            <w:tcW w:w="3602" w:type="pct"/>
            <w:tcBorders>
              <w:top w:val="single" w:sz="4" w:space="0" w:color="auto"/>
              <w:left w:val="nil"/>
              <w:bottom w:val="single" w:sz="4" w:space="0" w:color="auto"/>
              <w:right w:val="nil"/>
            </w:tcBorders>
          </w:tcPr>
          <w:p w14:paraId="4B81FD36" w14:textId="7467CF1B" w:rsidR="00033787" w:rsidRPr="006D32C6" w:rsidRDefault="00033787" w:rsidP="00F64295">
            <w:pPr>
              <w:pStyle w:val="TableText"/>
            </w:pPr>
            <w:r>
              <w:t>A submission calling for a total ban of dimethoate without supporting scientific information.</w:t>
            </w:r>
          </w:p>
        </w:tc>
      </w:tr>
      <w:tr w:rsidR="00033787" w:rsidRPr="006D32C6" w14:paraId="5D89E4D5" w14:textId="77777777" w:rsidTr="00ED395F">
        <w:trPr>
          <w:cantSplit/>
          <w:trHeight w:val="450"/>
        </w:trPr>
        <w:tc>
          <w:tcPr>
            <w:tcW w:w="294" w:type="pct"/>
            <w:tcBorders>
              <w:top w:val="single" w:sz="4" w:space="0" w:color="auto"/>
              <w:left w:val="nil"/>
              <w:bottom w:val="single" w:sz="4" w:space="0" w:color="auto"/>
              <w:right w:val="nil"/>
            </w:tcBorders>
          </w:tcPr>
          <w:p w14:paraId="142A0BB8" w14:textId="459E4B57" w:rsidR="00033787" w:rsidRPr="00814632" w:rsidRDefault="00033787" w:rsidP="00F64295">
            <w:pPr>
              <w:pStyle w:val="TableText"/>
              <w:rPr>
                <w:b/>
                <w:bCs/>
              </w:rPr>
            </w:pPr>
            <w:r w:rsidRPr="00814632">
              <w:rPr>
                <w:b/>
                <w:bCs/>
              </w:rPr>
              <w:t>11</w:t>
            </w:r>
          </w:p>
        </w:tc>
        <w:tc>
          <w:tcPr>
            <w:tcW w:w="1104" w:type="pct"/>
            <w:tcBorders>
              <w:top w:val="single" w:sz="4" w:space="0" w:color="auto"/>
              <w:left w:val="nil"/>
              <w:bottom w:val="single" w:sz="4" w:space="0" w:color="auto"/>
              <w:right w:val="nil"/>
            </w:tcBorders>
          </w:tcPr>
          <w:p w14:paraId="2C10464C" w14:textId="01F1F1E7" w:rsidR="00033787" w:rsidRPr="006D32C6" w:rsidRDefault="00033787" w:rsidP="00F64295">
            <w:pPr>
              <w:pStyle w:val="TableText"/>
            </w:pPr>
            <w:r>
              <w:t>Councillor Jonathan Cassel</w:t>
            </w:r>
          </w:p>
        </w:tc>
        <w:tc>
          <w:tcPr>
            <w:tcW w:w="3602" w:type="pct"/>
            <w:tcBorders>
              <w:top w:val="single" w:sz="4" w:space="0" w:color="auto"/>
              <w:left w:val="nil"/>
              <w:bottom w:val="single" w:sz="4" w:space="0" w:color="auto"/>
              <w:right w:val="nil"/>
            </w:tcBorders>
          </w:tcPr>
          <w:p w14:paraId="07658AC9" w14:textId="705B8D3D" w:rsidR="00033787" w:rsidRPr="006D32C6" w:rsidRDefault="00033787" w:rsidP="00F64295">
            <w:pPr>
              <w:pStyle w:val="TableText"/>
            </w:pPr>
            <w:r>
              <w:t>Councillor Cassel wrote in support of the proposed decision and noted additional concerns related to worker and environmental exposure.</w:t>
            </w:r>
          </w:p>
        </w:tc>
      </w:tr>
      <w:tr w:rsidR="00033787" w:rsidRPr="006D32C6" w14:paraId="4D642F56" w14:textId="77777777" w:rsidTr="00ED395F">
        <w:trPr>
          <w:cantSplit/>
          <w:trHeight w:val="450"/>
        </w:trPr>
        <w:tc>
          <w:tcPr>
            <w:tcW w:w="294" w:type="pct"/>
            <w:tcBorders>
              <w:top w:val="single" w:sz="4" w:space="0" w:color="auto"/>
              <w:left w:val="nil"/>
              <w:bottom w:val="single" w:sz="4" w:space="0" w:color="auto"/>
              <w:right w:val="nil"/>
            </w:tcBorders>
          </w:tcPr>
          <w:p w14:paraId="0E1CB8D7" w14:textId="49746357" w:rsidR="00033787" w:rsidRPr="00814632" w:rsidRDefault="00033787" w:rsidP="00F64295">
            <w:pPr>
              <w:pStyle w:val="TableText"/>
              <w:rPr>
                <w:b/>
                <w:bCs/>
              </w:rPr>
            </w:pPr>
            <w:r w:rsidRPr="00814632">
              <w:rPr>
                <w:b/>
                <w:bCs/>
              </w:rPr>
              <w:t>12</w:t>
            </w:r>
          </w:p>
        </w:tc>
        <w:tc>
          <w:tcPr>
            <w:tcW w:w="1104" w:type="pct"/>
            <w:tcBorders>
              <w:top w:val="single" w:sz="4" w:space="0" w:color="auto"/>
              <w:left w:val="nil"/>
              <w:bottom w:val="single" w:sz="4" w:space="0" w:color="auto"/>
              <w:right w:val="nil"/>
            </w:tcBorders>
          </w:tcPr>
          <w:p w14:paraId="7EEBD470" w14:textId="77778BE1" w:rsidR="00033787" w:rsidRPr="006D32C6" w:rsidRDefault="00033787" w:rsidP="00F64295">
            <w:pPr>
              <w:pStyle w:val="TableText"/>
            </w:pPr>
            <w:r>
              <w:t>Confidential</w:t>
            </w:r>
          </w:p>
        </w:tc>
        <w:tc>
          <w:tcPr>
            <w:tcW w:w="3602" w:type="pct"/>
            <w:tcBorders>
              <w:top w:val="single" w:sz="4" w:space="0" w:color="auto"/>
              <w:left w:val="nil"/>
              <w:bottom w:val="single" w:sz="4" w:space="0" w:color="auto"/>
              <w:right w:val="nil"/>
            </w:tcBorders>
          </w:tcPr>
          <w:p w14:paraId="3841BFB4" w14:textId="00205BA1" w:rsidR="00033787" w:rsidRPr="006D32C6" w:rsidRDefault="00033787" w:rsidP="00F64295">
            <w:pPr>
              <w:pStyle w:val="TableText"/>
            </w:pPr>
            <w:r>
              <w:t>A submission calling for a total ban of dimethoate without supporting scientific information.</w:t>
            </w:r>
          </w:p>
        </w:tc>
      </w:tr>
      <w:tr w:rsidR="00033787" w:rsidRPr="006D32C6" w14:paraId="2C08EBEB" w14:textId="77777777" w:rsidTr="00ED395F">
        <w:trPr>
          <w:cantSplit/>
          <w:trHeight w:val="450"/>
        </w:trPr>
        <w:tc>
          <w:tcPr>
            <w:tcW w:w="294" w:type="pct"/>
            <w:tcBorders>
              <w:top w:val="single" w:sz="4" w:space="0" w:color="auto"/>
              <w:left w:val="nil"/>
              <w:bottom w:val="single" w:sz="4" w:space="0" w:color="auto"/>
              <w:right w:val="nil"/>
            </w:tcBorders>
          </w:tcPr>
          <w:p w14:paraId="1778D302" w14:textId="434E0677" w:rsidR="00033787" w:rsidRPr="00814632" w:rsidRDefault="00033787" w:rsidP="00F64295">
            <w:pPr>
              <w:pStyle w:val="TableText"/>
              <w:rPr>
                <w:b/>
                <w:bCs/>
              </w:rPr>
            </w:pPr>
            <w:r w:rsidRPr="00814632">
              <w:rPr>
                <w:b/>
                <w:bCs/>
              </w:rPr>
              <w:t>13</w:t>
            </w:r>
          </w:p>
        </w:tc>
        <w:tc>
          <w:tcPr>
            <w:tcW w:w="1104" w:type="pct"/>
            <w:tcBorders>
              <w:top w:val="single" w:sz="4" w:space="0" w:color="auto"/>
              <w:left w:val="nil"/>
              <w:bottom w:val="single" w:sz="4" w:space="0" w:color="auto"/>
              <w:right w:val="nil"/>
            </w:tcBorders>
          </w:tcPr>
          <w:p w14:paraId="1143A243" w14:textId="2B420A95" w:rsidR="00033787" w:rsidRPr="006D32C6" w:rsidRDefault="00033787" w:rsidP="00F64295">
            <w:pPr>
              <w:pStyle w:val="TableText"/>
            </w:pPr>
            <w:r>
              <w:t>Member of the public</w:t>
            </w:r>
          </w:p>
        </w:tc>
        <w:tc>
          <w:tcPr>
            <w:tcW w:w="3602" w:type="pct"/>
            <w:tcBorders>
              <w:top w:val="single" w:sz="4" w:space="0" w:color="auto"/>
              <w:left w:val="nil"/>
              <w:bottom w:val="single" w:sz="4" w:space="0" w:color="auto"/>
              <w:right w:val="nil"/>
            </w:tcBorders>
          </w:tcPr>
          <w:p w14:paraId="6AB49018" w14:textId="61CFE8BC" w:rsidR="00033787" w:rsidRPr="006D32C6" w:rsidRDefault="00033787" w:rsidP="00F64295">
            <w:pPr>
              <w:pStyle w:val="TableText"/>
            </w:pPr>
            <w:r>
              <w:t>A submission calling for a total ban of dimethoate without supporting scientific information.</w:t>
            </w:r>
          </w:p>
        </w:tc>
      </w:tr>
      <w:tr w:rsidR="00033787" w:rsidRPr="006D32C6" w14:paraId="65F5F200" w14:textId="77777777" w:rsidTr="00ED395F">
        <w:trPr>
          <w:cantSplit/>
          <w:trHeight w:val="450"/>
        </w:trPr>
        <w:tc>
          <w:tcPr>
            <w:tcW w:w="294" w:type="pct"/>
            <w:tcBorders>
              <w:top w:val="single" w:sz="4" w:space="0" w:color="auto"/>
              <w:left w:val="nil"/>
              <w:bottom w:val="single" w:sz="4" w:space="0" w:color="auto"/>
              <w:right w:val="nil"/>
            </w:tcBorders>
          </w:tcPr>
          <w:p w14:paraId="6D4F723B" w14:textId="0026A8E8" w:rsidR="00033787" w:rsidRPr="00814632" w:rsidRDefault="00033787" w:rsidP="00F64295">
            <w:pPr>
              <w:pStyle w:val="TableText"/>
              <w:rPr>
                <w:b/>
                <w:bCs/>
              </w:rPr>
            </w:pPr>
            <w:r w:rsidRPr="00814632">
              <w:rPr>
                <w:b/>
                <w:bCs/>
              </w:rPr>
              <w:t>14</w:t>
            </w:r>
          </w:p>
        </w:tc>
        <w:tc>
          <w:tcPr>
            <w:tcW w:w="1104" w:type="pct"/>
            <w:tcBorders>
              <w:top w:val="single" w:sz="4" w:space="0" w:color="auto"/>
              <w:left w:val="nil"/>
              <w:bottom w:val="single" w:sz="4" w:space="0" w:color="auto"/>
              <w:right w:val="nil"/>
            </w:tcBorders>
          </w:tcPr>
          <w:p w14:paraId="1BDE35CD" w14:textId="5A487847" w:rsidR="00033787" w:rsidRPr="006D32C6" w:rsidRDefault="00033787" w:rsidP="00F64295">
            <w:pPr>
              <w:pStyle w:val="TableText"/>
            </w:pPr>
            <w:r>
              <w:t>Member of the public</w:t>
            </w:r>
          </w:p>
        </w:tc>
        <w:tc>
          <w:tcPr>
            <w:tcW w:w="3602" w:type="pct"/>
            <w:tcBorders>
              <w:top w:val="single" w:sz="4" w:space="0" w:color="auto"/>
              <w:left w:val="nil"/>
              <w:bottom w:val="single" w:sz="4" w:space="0" w:color="auto"/>
              <w:right w:val="nil"/>
            </w:tcBorders>
          </w:tcPr>
          <w:p w14:paraId="36C2B065" w14:textId="2526EFF2" w:rsidR="00033787" w:rsidRPr="006D32C6" w:rsidRDefault="00033787" w:rsidP="00F64295">
            <w:pPr>
              <w:pStyle w:val="TableText"/>
            </w:pPr>
            <w:r>
              <w:t>A submission calling for a total ban of dimethoate without supporting scientific information.</w:t>
            </w:r>
          </w:p>
        </w:tc>
      </w:tr>
      <w:tr w:rsidR="00033787" w:rsidRPr="006D32C6" w14:paraId="49228BAA" w14:textId="77777777" w:rsidTr="00ED395F">
        <w:trPr>
          <w:cantSplit/>
          <w:trHeight w:val="450"/>
        </w:trPr>
        <w:tc>
          <w:tcPr>
            <w:tcW w:w="294" w:type="pct"/>
            <w:tcBorders>
              <w:top w:val="single" w:sz="4" w:space="0" w:color="auto"/>
              <w:left w:val="nil"/>
              <w:bottom w:val="single" w:sz="4" w:space="0" w:color="auto"/>
              <w:right w:val="nil"/>
            </w:tcBorders>
          </w:tcPr>
          <w:p w14:paraId="2751C5A4" w14:textId="662A8B25" w:rsidR="00033787" w:rsidRPr="00814632" w:rsidRDefault="00033787" w:rsidP="00F64295">
            <w:pPr>
              <w:pStyle w:val="TableText"/>
              <w:rPr>
                <w:b/>
                <w:bCs/>
              </w:rPr>
            </w:pPr>
            <w:r w:rsidRPr="00814632">
              <w:rPr>
                <w:b/>
                <w:bCs/>
              </w:rPr>
              <w:t>15</w:t>
            </w:r>
          </w:p>
        </w:tc>
        <w:tc>
          <w:tcPr>
            <w:tcW w:w="1104" w:type="pct"/>
            <w:tcBorders>
              <w:top w:val="single" w:sz="4" w:space="0" w:color="auto"/>
              <w:left w:val="nil"/>
              <w:bottom w:val="single" w:sz="4" w:space="0" w:color="auto"/>
              <w:right w:val="nil"/>
            </w:tcBorders>
          </w:tcPr>
          <w:p w14:paraId="0717DDAD" w14:textId="5D6E7A5B" w:rsidR="00033787" w:rsidRPr="006D32C6" w:rsidRDefault="00033787" w:rsidP="00F64295">
            <w:pPr>
              <w:pStyle w:val="TableText"/>
            </w:pPr>
            <w:r w:rsidRPr="00106325">
              <w:t>Nambucca Environment Network</w:t>
            </w:r>
          </w:p>
        </w:tc>
        <w:tc>
          <w:tcPr>
            <w:tcW w:w="3602" w:type="pct"/>
            <w:tcBorders>
              <w:top w:val="single" w:sz="4" w:space="0" w:color="auto"/>
              <w:left w:val="nil"/>
              <w:bottom w:val="single" w:sz="4" w:space="0" w:color="auto"/>
              <w:right w:val="nil"/>
            </w:tcBorders>
          </w:tcPr>
          <w:p w14:paraId="399FF90F" w14:textId="251B58B5" w:rsidR="00033787" w:rsidRPr="006D32C6" w:rsidRDefault="00033787" w:rsidP="00F64295">
            <w:pPr>
              <w:pStyle w:val="TableText"/>
            </w:pPr>
            <w:r>
              <w:t>A submission calling for a total ban of dimethoate without supporting scientific information.</w:t>
            </w:r>
          </w:p>
        </w:tc>
      </w:tr>
      <w:tr w:rsidR="00033787" w:rsidRPr="006D32C6" w14:paraId="330CCD33" w14:textId="77777777" w:rsidTr="00ED395F">
        <w:trPr>
          <w:cantSplit/>
          <w:trHeight w:val="450"/>
        </w:trPr>
        <w:tc>
          <w:tcPr>
            <w:tcW w:w="294" w:type="pct"/>
            <w:tcBorders>
              <w:top w:val="single" w:sz="4" w:space="0" w:color="auto"/>
              <w:left w:val="nil"/>
              <w:bottom w:val="single" w:sz="4" w:space="0" w:color="auto"/>
              <w:right w:val="nil"/>
            </w:tcBorders>
          </w:tcPr>
          <w:p w14:paraId="4D54E315" w14:textId="031203F7" w:rsidR="00033787" w:rsidRPr="00814632" w:rsidRDefault="00033787" w:rsidP="00F64295">
            <w:pPr>
              <w:pStyle w:val="TableText"/>
              <w:rPr>
                <w:b/>
                <w:bCs/>
              </w:rPr>
            </w:pPr>
            <w:r w:rsidRPr="00814632">
              <w:rPr>
                <w:b/>
                <w:bCs/>
              </w:rPr>
              <w:t>16</w:t>
            </w:r>
          </w:p>
        </w:tc>
        <w:tc>
          <w:tcPr>
            <w:tcW w:w="1104" w:type="pct"/>
            <w:tcBorders>
              <w:top w:val="single" w:sz="4" w:space="0" w:color="auto"/>
              <w:left w:val="nil"/>
              <w:bottom w:val="single" w:sz="4" w:space="0" w:color="auto"/>
              <w:right w:val="nil"/>
            </w:tcBorders>
          </w:tcPr>
          <w:p w14:paraId="4C986CCD" w14:textId="5498B8A1" w:rsidR="00033787" w:rsidRPr="006D32C6" w:rsidRDefault="00033787" w:rsidP="00F64295">
            <w:pPr>
              <w:pStyle w:val="TableText"/>
            </w:pPr>
            <w:r w:rsidRPr="00106325">
              <w:t>Organic &amp; Regenerative Investment Cooperative (</w:t>
            </w:r>
            <w:proofErr w:type="spellStart"/>
            <w:r w:rsidRPr="00106325">
              <w:t>ORICoop</w:t>
            </w:r>
            <w:proofErr w:type="spellEnd"/>
            <w:r w:rsidRPr="00106325">
              <w:t>)</w:t>
            </w:r>
          </w:p>
        </w:tc>
        <w:tc>
          <w:tcPr>
            <w:tcW w:w="3602" w:type="pct"/>
            <w:tcBorders>
              <w:top w:val="single" w:sz="4" w:space="0" w:color="auto"/>
              <w:left w:val="nil"/>
              <w:bottom w:val="single" w:sz="4" w:space="0" w:color="auto"/>
              <w:right w:val="nil"/>
            </w:tcBorders>
          </w:tcPr>
          <w:p w14:paraId="0E92DBF4" w14:textId="4D8131AD" w:rsidR="00033787" w:rsidRPr="006D32C6" w:rsidRDefault="00033787" w:rsidP="00F64295">
            <w:pPr>
              <w:pStyle w:val="TableText"/>
            </w:pPr>
            <w:r>
              <w:t xml:space="preserve">The submission by </w:t>
            </w:r>
            <w:proofErr w:type="spellStart"/>
            <w:r>
              <w:t>ORICoop</w:t>
            </w:r>
            <w:proofErr w:type="spellEnd"/>
            <w:r>
              <w:t xml:space="preserve"> called for a total ban of dimethoate without further information relevant to this proposed decision.</w:t>
            </w:r>
          </w:p>
        </w:tc>
      </w:tr>
      <w:tr w:rsidR="00033787" w:rsidRPr="006D32C6" w14:paraId="2DDB461E" w14:textId="77777777" w:rsidTr="00ED395F">
        <w:trPr>
          <w:cantSplit/>
          <w:trHeight w:val="450"/>
        </w:trPr>
        <w:tc>
          <w:tcPr>
            <w:tcW w:w="294" w:type="pct"/>
            <w:tcBorders>
              <w:top w:val="single" w:sz="4" w:space="0" w:color="auto"/>
              <w:left w:val="nil"/>
              <w:bottom w:val="single" w:sz="4" w:space="0" w:color="auto"/>
              <w:right w:val="nil"/>
            </w:tcBorders>
          </w:tcPr>
          <w:p w14:paraId="0D28E1CA" w14:textId="4FFCF52D" w:rsidR="00033787" w:rsidRPr="00814632" w:rsidRDefault="00033787" w:rsidP="00F64295">
            <w:pPr>
              <w:pStyle w:val="TableText"/>
              <w:rPr>
                <w:b/>
                <w:bCs/>
              </w:rPr>
            </w:pPr>
            <w:r w:rsidRPr="00814632">
              <w:rPr>
                <w:b/>
                <w:bCs/>
              </w:rPr>
              <w:t>17</w:t>
            </w:r>
          </w:p>
        </w:tc>
        <w:tc>
          <w:tcPr>
            <w:tcW w:w="1104" w:type="pct"/>
            <w:tcBorders>
              <w:top w:val="single" w:sz="4" w:space="0" w:color="auto"/>
              <w:left w:val="nil"/>
              <w:bottom w:val="single" w:sz="4" w:space="0" w:color="auto"/>
              <w:right w:val="nil"/>
            </w:tcBorders>
          </w:tcPr>
          <w:p w14:paraId="746AC810" w14:textId="6B55D04D" w:rsidR="00033787" w:rsidRPr="006D32C6" w:rsidRDefault="00033787" w:rsidP="00F64295">
            <w:pPr>
              <w:pStyle w:val="TableText"/>
            </w:pPr>
            <w:r w:rsidRPr="00106325">
              <w:t>Pesticide Action Australia</w:t>
            </w:r>
          </w:p>
        </w:tc>
        <w:tc>
          <w:tcPr>
            <w:tcW w:w="3602" w:type="pct"/>
            <w:tcBorders>
              <w:top w:val="single" w:sz="4" w:space="0" w:color="auto"/>
              <w:left w:val="nil"/>
              <w:bottom w:val="single" w:sz="4" w:space="0" w:color="auto"/>
              <w:right w:val="nil"/>
            </w:tcBorders>
          </w:tcPr>
          <w:p w14:paraId="3F8A0B2B" w14:textId="7CB6B441" w:rsidR="00033787" w:rsidRPr="006D32C6" w:rsidRDefault="00033787" w:rsidP="00F64295">
            <w:pPr>
              <w:pStyle w:val="TableText"/>
            </w:pPr>
            <w:r>
              <w:t xml:space="preserve">The submission by </w:t>
            </w:r>
            <w:r w:rsidRPr="00106325">
              <w:t>Pesticide Action Australia</w:t>
            </w:r>
            <w:r>
              <w:t xml:space="preserve"> called for a total ban of dimethoate without further information relevant to this proposed decision.</w:t>
            </w:r>
          </w:p>
        </w:tc>
      </w:tr>
      <w:tr w:rsidR="00033787" w:rsidRPr="006D32C6" w14:paraId="64A0C7A1" w14:textId="77777777" w:rsidTr="00ED395F">
        <w:trPr>
          <w:cantSplit/>
          <w:trHeight w:val="450"/>
        </w:trPr>
        <w:tc>
          <w:tcPr>
            <w:tcW w:w="294" w:type="pct"/>
            <w:tcBorders>
              <w:top w:val="single" w:sz="4" w:space="0" w:color="auto"/>
              <w:left w:val="nil"/>
              <w:bottom w:val="single" w:sz="4" w:space="0" w:color="auto"/>
              <w:right w:val="nil"/>
            </w:tcBorders>
          </w:tcPr>
          <w:p w14:paraId="501DAA0A" w14:textId="35F738D0" w:rsidR="00033787" w:rsidRPr="00814632" w:rsidRDefault="00033787" w:rsidP="00F64295">
            <w:pPr>
              <w:pStyle w:val="TableText"/>
              <w:rPr>
                <w:b/>
                <w:bCs/>
              </w:rPr>
            </w:pPr>
            <w:r w:rsidRPr="00814632">
              <w:rPr>
                <w:b/>
                <w:bCs/>
              </w:rPr>
              <w:t>18</w:t>
            </w:r>
          </w:p>
        </w:tc>
        <w:tc>
          <w:tcPr>
            <w:tcW w:w="1104" w:type="pct"/>
            <w:tcBorders>
              <w:top w:val="single" w:sz="4" w:space="0" w:color="auto"/>
              <w:left w:val="nil"/>
              <w:bottom w:val="single" w:sz="4" w:space="0" w:color="auto"/>
              <w:right w:val="nil"/>
            </w:tcBorders>
          </w:tcPr>
          <w:p w14:paraId="1D1123DE" w14:textId="6784235E" w:rsidR="00033787" w:rsidRPr="006D32C6" w:rsidRDefault="00033787" w:rsidP="00F64295">
            <w:pPr>
              <w:pStyle w:val="TableText"/>
            </w:pPr>
            <w:r>
              <w:t>Confidential</w:t>
            </w:r>
          </w:p>
        </w:tc>
        <w:tc>
          <w:tcPr>
            <w:tcW w:w="3602" w:type="pct"/>
            <w:tcBorders>
              <w:top w:val="single" w:sz="4" w:space="0" w:color="auto"/>
              <w:left w:val="nil"/>
              <w:bottom w:val="single" w:sz="4" w:space="0" w:color="auto"/>
              <w:right w:val="nil"/>
            </w:tcBorders>
          </w:tcPr>
          <w:p w14:paraId="3599B425" w14:textId="6A16C03A" w:rsidR="00033787" w:rsidRPr="006D32C6" w:rsidRDefault="00033787" w:rsidP="00F64295">
            <w:pPr>
              <w:pStyle w:val="TableText"/>
            </w:pPr>
            <w:r>
              <w:t>A submission in support of the proposed suspension.</w:t>
            </w:r>
          </w:p>
        </w:tc>
      </w:tr>
      <w:tr w:rsidR="00033787" w:rsidRPr="006D32C6" w14:paraId="7A80FE95" w14:textId="77777777" w:rsidTr="00ED395F">
        <w:trPr>
          <w:cantSplit/>
          <w:trHeight w:val="450"/>
        </w:trPr>
        <w:tc>
          <w:tcPr>
            <w:tcW w:w="294" w:type="pct"/>
            <w:tcBorders>
              <w:top w:val="single" w:sz="4" w:space="0" w:color="auto"/>
              <w:left w:val="nil"/>
              <w:bottom w:val="single" w:sz="4" w:space="0" w:color="auto"/>
              <w:right w:val="nil"/>
            </w:tcBorders>
          </w:tcPr>
          <w:p w14:paraId="1FA280D0" w14:textId="2E3F8A9C" w:rsidR="00033787" w:rsidRPr="00814632" w:rsidRDefault="00033787" w:rsidP="00F64295">
            <w:pPr>
              <w:pStyle w:val="TableText"/>
              <w:rPr>
                <w:b/>
                <w:bCs/>
              </w:rPr>
            </w:pPr>
            <w:r w:rsidRPr="00814632">
              <w:rPr>
                <w:b/>
                <w:bCs/>
              </w:rPr>
              <w:t>19</w:t>
            </w:r>
          </w:p>
        </w:tc>
        <w:tc>
          <w:tcPr>
            <w:tcW w:w="1104" w:type="pct"/>
            <w:tcBorders>
              <w:top w:val="single" w:sz="4" w:space="0" w:color="auto"/>
              <w:left w:val="nil"/>
              <w:bottom w:val="single" w:sz="4" w:space="0" w:color="auto"/>
              <w:right w:val="nil"/>
            </w:tcBorders>
          </w:tcPr>
          <w:p w14:paraId="38346290" w14:textId="6708D2B0" w:rsidR="00033787" w:rsidRPr="006D32C6" w:rsidRDefault="00033787" w:rsidP="00F64295">
            <w:pPr>
              <w:pStyle w:val="TableText"/>
            </w:pPr>
            <w:r w:rsidRPr="00106325">
              <w:t>Professor Kirsten Benkendorff</w:t>
            </w:r>
          </w:p>
        </w:tc>
        <w:tc>
          <w:tcPr>
            <w:tcW w:w="3602" w:type="pct"/>
            <w:tcBorders>
              <w:top w:val="single" w:sz="4" w:space="0" w:color="auto"/>
              <w:left w:val="nil"/>
              <w:bottom w:val="single" w:sz="4" w:space="0" w:color="auto"/>
              <w:right w:val="nil"/>
            </w:tcBorders>
          </w:tcPr>
          <w:p w14:paraId="4CB5EE3A" w14:textId="38C115BB" w:rsidR="00033787" w:rsidRPr="006D32C6" w:rsidRDefault="00033787" w:rsidP="00F64295">
            <w:pPr>
              <w:pStyle w:val="TableText"/>
            </w:pPr>
            <w:r>
              <w:t xml:space="preserve">Professor </w:t>
            </w:r>
            <w:proofErr w:type="spellStart"/>
            <w:r>
              <w:t>Benkendorff</w:t>
            </w:r>
            <w:proofErr w:type="spellEnd"/>
            <w:r>
              <w:t xml:space="preserve"> provided a summary of residue testing conducted on blueberries purchased in supermarkets</w:t>
            </w:r>
            <w:r w:rsidR="00814632">
              <w:t>.</w:t>
            </w:r>
          </w:p>
        </w:tc>
      </w:tr>
      <w:tr w:rsidR="00033787" w:rsidRPr="006D32C6" w14:paraId="15702160" w14:textId="77777777" w:rsidTr="00ED395F">
        <w:trPr>
          <w:cantSplit/>
          <w:trHeight w:val="450"/>
        </w:trPr>
        <w:tc>
          <w:tcPr>
            <w:tcW w:w="294" w:type="pct"/>
            <w:tcBorders>
              <w:top w:val="single" w:sz="4" w:space="0" w:color="auto"/>
              <w:left w:val="nil"/>
              <w:bottom w:val="single" w:sz="4" w:space="0" w:color="auto"/>
              <w:right w:val="nil"/>
            </w:tcBorders>
          </w:tcPr>
          <w:p w14:paraId="41B3A053" w14:textId="035245CE" w:rsidR="00033787" w:rsidRPr="00814632" w:rsidRDefault="00033787" w:rsidP="00F64295">
            <w:pPr>
              <w:pStyle w:val="TableText"/>
              <w:rPr>
                <w:b/>
                <w:bCs/>
              </w:rPr>
            </w:pPr>
            <w:r w:rsidRPr="00814632">
              <w:rPr>
                <w:b/>
                <w:bCs/>
              </w:rPr>
              <w:t>20</w:t>
            </w:r>
          </w:p>
        </w:tc>
        <w:tc>
          <w:tcPr>
            <w:tcW w:w="1104" w:type="pct"/>
            <w:tcBorders>
              <w:top w:val="single" w:sz="4" w:space="0" w:color="auto"/>
              <w:left w:val="nil"/>
              <w:bottom w:val="single" w:sz="4" w:space="0" w:color="auto"/>
              <w:right w:val="nil"/>
            </w:tcBorders>
          </w:tcPr>
          <w:p w14:paraId="231A7648" w14:textId="626B73A9" w:rsidR="00033787" w:rsidRPr="006D32C6" w:rsidRDefault="00033787" w:rsidP="00F64295">
            <w:pPr>
              <w:pStyle w:val="TableText"/>
            </w:pPr>
            <w:r w:rsidRPr="00033787">
              <w:t>Reproductive Health Australia</w:t>
            </w:r>
          </w:p>
        </w:tc>
        <w:tc>
          <w:tcPr>
            <w:tcW w:w="3602" w:type="pct"/>
            <w:tcBorders>
              <w:top w:val="single" w:sz="4" w:space="0" w:color="auto"/>
              <w:left w:val="nil"/>
              <w:bottom w:val="single" w:sz="4" w:space="0" w:color="auto"/>
              <w:right w:val="nil"/>
            </w:tcBorders>
          </w:tcPr>
          <w:p w14:paraId="493871BC" w14:textId="631DD1B0" w:rsidR="00033787" w:rsidRPr="006D32C6" w:rsidRDefault="00033787" w:rsidP="00F64295">
            <w:pPr>
              <w:pStyle w:val="TableText"/>
            </w:pPr>
            <w:r>
              <w:t>The submission by Reproductive Health Australia supports the proposed suspension.</w:t>
            </w:r>
          </w:p>
        </w:tc>
      </w:tr>
      <w:tr w:rsidR="00033787" w:rsidRPr="006D32C6" w14:paraId="61C6DB61" w14:textId="77777777" w:rsidTr="00ED395F">
        <w:trPr>
          <w:cantSplit/>
          <w:trHeight w:val="450"/>
        </w:trPr>
        <w:tc>
          <w:tcPr>
            <w:tcW w:w="294" w:type="pct"/>
            <w:tcBorders>
              <w:top w:val="single" w:sz="4" w:space="0" w:color="auto"/>
              <w:left w:val="nil"/>
              <w:bottom w:val="single" w:sz="4" w:space="0" w:color="auto"/>
              <w:right w:val="nil"/>
            </w:tcBorders>
          </w:tcPr>
          <w:p w14:paraId="09BD1ED2" w14:textId="452205BD" w:rsidR="00033787" w:rsidRPr="00814632" w:rsidRDefault="00033787" w:rsidP="00F64295">
            <w:pPr>
              <w:pStyle w:val="TableText"/>
              <w:rPr>
                <w:b/>
                <w:bCs/>
              </w:rPr>
            </w:pPr>
            <w:r w:rsidRPr="00814632">
              <w:rPr>
                <w:b/>
                <w:bCs/>
              </w:rPr>
              <w:t>21</w:t>
            </w:r>
          </w:p>
        </w:tc>
        <w:tc>
          <w:tcPr>
            <w:tcW w:w="1104" w:type="pct"/>
            <w:tcBorders>
              <w:top w:val="single" w:sz="4" w:space="0" w:color="auto"/>
              <w:left w:val="nil"/>
              <w:bottom w:val="single" w:sz="4" w:space="0" w:color="auto"/>
              <w:right w:val="nil"/>
            </w:tcBorders>
          </w:tcPr>
          <w:p w14:paraId="37540195" w14:textId="0C3E5690" w:rsidR="00033787" w:rsidRPr="006D32C6" w:rsidRDefault="00033787" w:rsidP="00F64295">
            <w:pPr>
              <w:pStyle w:val="TableText"/>
            </w:pPr>
            <w:r>
              <w:t>Confidential</w:t>
            </w:r>
          </w:p>
        </w:tc>
        <w:tc>
          <w:tcPr>
            <w:tcW w:w="3602" w:type="pct"/>
            <w:tcBorders>
              <w:top w:val="single" w:sz="4" w:space="0" w:color="auto"/>
              <w:left w:val="nil"/>
              <w:bottom w:val="single" w:sz="4" w:space="0" w:color="auto"/>
              <w:right w:val="nil"/>
            </w:tcBorders>
          </w:tcPr>
          <w:p w14:paraId="2CCD79D0" w14:textId="0A0242E1" w:rsidR="00033787" w:rsidRPr="006D32C6" w:rsidRDefault="00033787" w:rsidP="00F64295">
            <w:pPr>
              <w:pStyle w:val="TableText"/>
            </w:pPr>
            <w:r>
              <w:t>A submission calling for a total ban of dimethoate without supporting scientific information.</w:t>
            </w:r>
          </w:p>
        </w:tc>
      </w:tr>
      <w:tr w:rsidR="00877DAE" w:rsidRPr="006D32C6" w14:paraId="17E0A3F3" w14:textId="77777777" w:rsidTr="00ED395F">
        <w:trPr>
          <w:cantSplit/>
          <w:trHeight w:val="450"/>
        </w:trPr>
        <w:tc>
          <w:tcPr>
            <w:tcW w:w="294" w:type="pct"/>
            <w:tcBorders>
              <w:top w:val="single" w:sz="4" w:space="0" w:color="auto"/>
              <w:left w:val="nil"/>
              <w:bottom w:val="single" w:sz="4" w:space="0" w:color="auto"/>
              <w:right w:val="nil"/>
            </w:tcBorders>
          </w:tcPr>
          <w:p w14:paraId="03B6AC33" w14:textId="7E9298EA" w:rsidR="00877DAE" w:rsidRPr="00814632" w:rsidRDefault="00877DAE" w:rsidP="00F64295">
            <w:pPr>
              <w:pStyle w:val="TableText"/>
              <w:rPr>
                <w:b/>
                <w:bCs/>
              </w:rPr>
            </w:pPr>
            <w:r w:rsidRPr="00814632">
              <w:rPr>
                <w:b/>
                <w:bCs/>
              </w:rPr>
              <w:t>22</w:t>
            </w:r>
          </w:p>
        </w:tc>
        <w:tc>
          <w:tcPr>
            <w:tcW w:w="1104" w:type="pct"/>
            <w:tcBorders>
              <w:top w:val="single" w:sz="4" w:space="0" w:color="auto"/>
              <w:left w:val="nil"/>
              <w:bottom w:val="single" w:sz="4" w:space="0" w:color="auto"/>
              <w:right w:val="nil"/>
            </w:tcBorders>
          </w:tcPr>
          <w:p w14:paraId="11F8C40C" w14:textId="365018DD" w:rsidR="00877DAE" w:rsidRPr="006D32C6" w:rsidRDefault="00877DAE" w:rsidP="00F64295">
            <w:pPr>
              <w:pStyle w:val="TableText"/>
            </w:pPr>
            <w:r>
              <w:t>Confidential</w:t>
            </w:r>
          </w:p>
        </w:tc>
        <w:tc>
          <w:tcPr>
            <w:tcW w:w="3602" w:type="pct"/>
            <w:tcBorders>
              <w:top w:val="single" w:sz="4" w:space="0" w:color="auto"/>
              <w:left w:val="nil"/>
              <w:bottom w:val="single" w:sz="4" w:space="0" w:color="auto"/>
              <w:right w:val="nil"/>
            </w:tcBorders>
          </w:tcPr>
          <w:p w14:paraId="0F85B796" w14:textId="5F06C0B3" w:rsidR="00877DAE" w:rsidRPr="006D32C6" w:rsidRDefault="00877DAE" w:rsidP="00F64295">
            <w:pPr>
              <w:pStyle w:val="TableText"/>
            </w:pPr>
            <w:r>
              <w:t>A submission supported the APVMA’s proposed decision without providing additional information.</w:t>
            </w:r>
          </w:p>
        </w:tc>
      </w:tr>
    </w:tbl>
    <w:p w14:paraId="3918FCE0" w14:textId="77777777" w:rsidR="006D32C6" w:rsidRDefault="006D32C6">
      <w:pPr>
        <w:pStyle w:val="NormalText"/>
      </w:pPr>
    </w:p>
    <w:p w14:paraId="473C4AF6" w14:textId="4473E2C7" w:rsidR="00020FFB" w:rsidRDefault="00020FFB" w:rsidP="00020FFB">
      <w:pPr>
        <w:pStyle w:val="Heading1"/>
      </w:pPr>
      <w:bookmarkStart w:id="3" w:name="_Toc212631871"/>
      <w:r>
        <w:lastRenderedPageBreak/>
        <w:t xml:space="preserve">APVMA’s </w:t>
      </w:r>
      <w:r w:rsidR="00F566F2">
        <w:t>c</w:t>
      </w:r>
      <w:r>
        <w:t xml:space="preserve">onsideration of </w:t>
      </w:r>
      <w:r w:rsidR="00F566F2">
        <w:t>s</w:t>
      </w:r>
      <w:r>
        <w:t>ubmissions</w:t>
      </w:r>
      <w:bookmarkEnd w:id="3"/>
    </w:p>
    <w:p w14:paraId="6EFE1BB0" w14:textId="1CDB82C3" w:rsidR="00A23710" w:rsidRDefault="00A23710" w:rsidP="00A23710">
      <w:pPr>
        <w:pStyle w:val="Heading2"/>
      </w:pPr>
      <w:bookmarkStart w:id="4" w:name="_Toc212631872"/>
      <w:r>
        <w:t>Submissions 1, 2, 5, 6, 10, 12, 13, 14, 15, 17, 21 and 22</w:t>
      </w:r>
      <w:bookmarkEnd w:id="4"/>
      <w:r>
        <w:t xml:space="preserve"> </w:t>
      </w:r>
    </w:p>
    <w:p w14:paraId="71CE4292" w14:textId="6E9A00BE" w:rsidR="00A23710" w:rsidRPr="00A23710" w:rsidRDefault="00A23710" w:rsidP="00A23710">
      <w:pPr>
        <w:rPr>
          <w:rFonts w:cs="Arial"/>
          <w:kern w:val="20"/>
          <w:sz w:val="19"/>
          <w:u w:color="000000"/>
        </w:rPr>
      </w:pPr>
      <w:r w:rsidRPr="00A23710">
        <w:rPr>
          <w:rFonts w:cs="Arial"/>
          <w:kern w:val="20"/>
          <w:sz w:val="19"/>
          <w:u w:color="000000"/>
        </w:rPr>
        <w:t>Sub</w:t>
      </w:r>
      <w:r>
        <w:rPr>
          <w:rFonts w:cs="Arial"/>
          <w:kern w:val="20"/>
          <w:sz w:val="19"/>
          <w:u w:color="000000"/>
        </w:rPr>
        <w:t>missions calling for a total ban of dimethoate without additional supporting information, both from stakeholders identified in Table 1 and from those who did not consent to publication of their submissions are noted.</w:t>
      </w:r>
    </w:p>
    <w:p w14:paraId="33210046" w14:textId="5E99F0EE" w:rsidR="00A23710" w:rsidRDefault="00A23710" w:rsidP="00A23710">
      <w:pPr>
        <w:pStyle w:val="Heading2"/>
      </w:pPr>
      <w:bookmarkStart w:id="5" w:name="_Toc212631873"/>
      <w:r>
        <w:t>Submissions 3, 11</w:t>
      </w:r>
      <w:r w:rsidR="00235A61">
        <w:t>, 18</w:t>
      </w:r>
      <w:r>
        <w:t xml:space="preserve"> and 20</w:t>
      </w:r>
      <w:bookmarkEnd w:id="5"/>
    </w:p>
    <w:p w14:paraId="68C577F9" w14:textId="454C2C8B" w:rsidR="00A23710" w:rsidRDefault="00A23710" w:rsidP="00A23710">
      <w:pPr>
        <w:pStyle w:val="NormalText"/>
      </w:pPr>
      <w:r>
        <w:t>Several submissions supported the APVMA’s proposed suspension. Submission number 3 (</w:t>
      </w:r>
      <w:r w:rsidRPr="002C35DD">
        <w:t>Australian Organic Limited</w:t>
      </w:r>
      <w:r>
        <w:t>) also called on the APVMA to commence a full reconsideration of the registration of dimethoate, including consideration of the risks to pollinators.</w:t>
      </w:r>
    </w:p>
    <w:p w14:paraId="60ED146C" w14:textId="25E939AF" w:rsidR="00A23710" w:rsidRPr="00F566F2" w:rsidRDefault="00A23710" w:rsidP="00F566F2">
      <w:pPr>
        <w:pStyle w:val="Heading3"/>
      </w:pPr>
      <w:bookmarkStart w:id="6" w:name="_Toc212631874"/>
      <w:r w:rsidRPr="00F566F2">
        <w:t xml:space="preserve">APVMA </w:t>
      </w:r>
      <w:r w:rsidR="00F566F2" w:rsidRPr="00F566F2">
        <w:t>r</w:t>
      </w:r>
      <w:r w:rsidRPr="00F566F2">
        <w:t>esponse</w:t>
      </w:r>
      <w:bookmarkEnd w:id="6"/>
    </w:p>
    <w:p w14:paraId="768C9CA5" w14:textId="1655A4A5" w:rsidR="00A23710" w:rsidRPr="00A23710" w:rsidRDefault="00A23710" w:rsidP="00A23710">
      <w:pPr>
        <w:pStyle w:val="NormalText"/>
      </w:pPr>
      <w:r>
        <w:t>Support for the APVMA’s proposed actions is noted. It is noted that dimethoate is listed</w:t>
      </w:r>
      <w:r w:rsidR="00993F7D">
        <w:t xml:space="preserve"> as a </w:t>
      </w:r>
      <w:hyperlink r:id="rId21" w:history="1">
        <w:r w:rsidR="00993F7D" w:rsidRPr="00993F7D">
          <w:rPr>
            <w:rStyle w:val="Hyperlink"/>
          </w:rPr>
          <w:t>priority for full reconsideration</w:t>
        </w:r>
      </w:hyperlink>
      <w:r w:rsidR="00993F7D">
        <w:t>.</w:t>
      </w:r>
    </w:p>
    <w:p w14:paraId="085CF668" w14:textId="0CCA19BA" w:rsidR="00A23710" w:rsidRDefault="00A23710" w:rsidP="00F566F2">
      <w:pPr>
        <w:pStyle w:val="Heading2"/>
      </w:pPr>
      <w:bookmarkStart w:id="7" w:name="_Toc212631875"/>
      <w:r w:rsidRPr="00F566F2">
        <w:t>Submissions</w:t>
      </w:r>
      <w:r>
        <w:t xml:space="preserve"> 4 and 8</w:t>
      </w:r>
      <w:bookmarkEnd w:id="7"/>
    </w:p>
    <w:p w14:paraId="11CB0288" w14:textId="6B390BC9" w:rsidR="00D573A3" w:rsidRPr="00D573A3" w:rsidRDefault="00A23710" w:rsidP="00D573A3">
      <w:pPr>
        <w:pStyle w:val="NormalText"/>
      </w:pPr>
      <w:r>
        <w:t xml:space="preserve">The submissions by </w:t>
      </w:r>
      <w:r w:rsidR="00CC2683">
        <w:t xml:space="preserve">Berries Australia and </w:t>
      </w:r>
      <w:r w:rsidR="00F31846">
        <w:t xml:space="preserve">Fresh Produce </w:t>
      </w:r>
      <w:r w:rsidR="00CC2683">
        <w:t>Group opposed the proposed suspension. Grounds for this were</w:t>
      </w:r>
      <w:r w:rsidR="00D573A3">
        <w:t xml:space="preserve"> the potential for significant financial and operational impacts for berry growers, </w:t>
      </w:r>
      <w:proofErr w:type="gramStart"/>
      <w:r w:rsidR="00D573A3">
        <w:t>in particular related</w:t>
      </w:r>
      <w:proofErr w:type="gramEnd"/>
      <w:r w:rsidR="00D573A3">
        <w:t xml:space="preserve"> to the</w:t>
      </w:r>
      <w:r w:rsidR="00D573A3">
        <w:rPr>
          <w:b/>
          <w:bCs/>
        </w:rPr>
        <w:t xml:space="preserve"> </w:t>
      </w:r>
      <w:r w:rsidR="00993F7D" w:rsidRPr="00BC3ABF">
        <w:t>t</w:t>
      </w:r>
      <w:r w:rsidR="00D573A3" w:rsidRPr="00D573A3">
        <w:t>iming of the APVMA announcement of review</w:t>
      </w:r>
      <w:r w:rsidR="0044792E">
        <w:t xml:space="preserve"> immediately prior to peak blueberry harvest</w:t>
      </w:r>
      <w:r w:rsidR="00D573A3" w:rsidRPr="0044792E">
        <w:t>, conflicts between the proposed withholding period and typical h</w:t>
      </w:r>
      <w:r w:rsidR="00D573A3">
        <w:t>arvest rotation</w:t>
      </w:r>
      <w:r w:rsidR="0044792E">
        <w:t>,</w:t>
      </w:r>
      <w:r w:rsidR="00D573A3">
        <w:t xml:space="preserve"> and limitations on interstate trade without effective treatment for Queensland fruit fly.</w:t>
      </w:r>
    </w:p>
    <w:p w14:paraId="01A39F1D" w14:textId="21D2C350" w:rsidR="00D573A3" w:rsidRDefault="0044792E" w:rsidP="00D573A3">
      <w:pPr>
        <w:pStyle w:val="NormalText"/>
      </w:pPr>
      <w:r>
        <w:t>Berries Australia also provided the results of residue monitoring testing conducted on blueberries between 2020 and 2025, indicating that residues detected, if at all, do not exceed current MRLs.</w:t>
      </w:r>
    </w:p>
    <w:p w14:paraId="0AEF0A57" w14:textId="402B706D" w:rsidR="0044792E" w:rsidRDefault="0044792E" w:rsidP="00D573A3">
      <w:pPr>
        <w:pStyle w:val="NormalText"/>
      </w:pPr>
      <w:r>
        <w:t>The submission also called for a 2-3-day harvest withholding period as an interim compromise solution to reduce the risk.</w:t>
      </w:r>
    </w:p>
    <w:p w14:paraId="09CBD59C" w14:textId="2D419EE0" w:rsidR="0044792E" w:rsidRPr="00D573A3" w:rsidRDefault="0044792E" w:rsidP="0044792E">
      <w:pPr>
        <w:pStyle w:val="Heading3"/>
        <w:tabs>
          <w:tab w:val="num" w:pos="907"/>
        </w:tabs>
      </w:pPr>
      <w:bookmarkStart w:id="8" w:name="_Toc212631876"/>
      <w:r>
        <w:t xml:space="preserve">APVMA </w:t>
      </w:r>
      <w:r w:rsidR="00F566F2">
        <w:t>r</w:t>
      </w:r>
      <w:r>
        <w:t>esponse</w:t>
      </w:r>
      <w:bookmarkEnd w:id="8"/>
    </w:p>
    <w:p w14:paraId="3F53E4FB" w14:textId="0D9ED80B" w:rsidR="0044792E" w:rsidRDefault="0044792E" w:rsidP="00A23710">
      <w:pPr>
        <w:pStyle w:val="NormalText"/>
      </w:pPr>
      <w:r>
        <w:t xml:space="preserve">The APVMA acknowledges that imposing an extended 14-day withholding period will affect the way that growers are able to use dimethoate and may have a financial impact. The APVMA </w:t>
      </w:r>
      <w:proofErr w:type="gramStart"/>
      <w:r>
        <w:t>is not able to</w:t>
      </w:r>
      <w:proofErr w:type="gramEnd"/>
      <w:r>
        <w:t xml:space="preserve"> consider these factors in determining whether a product meets the safety criteria.</w:t>
      </w:r>
    </w:p>
    <w:p w14:paraId="3AA02B41" w14:textId="7F385457" w:rsidR="0044792E" w:rsidRDefault="0044792E" w:rsidP="00A23710">
      <w:pPr>
        <w:pStyle w:val="NormalText"/>
      </w:pPr>
      <w:r>
        <w:t xml:space="preserve">Residue monitoring data </w:t>
      </w:r>
      <w:r w:rsidR="00A829ED">
        <w:t>supports the assertion that the risk posed to the consumer is low, however it is not suitable for completing a risk assessment because there is no information about essential parameters, such as whether the produce were treated with dimethoate, the rate of chemical used in any treatment and number of treatments or how long passed between treatment, harvest and sampling.</w:t>
      </w:r>
    </w:p>
    <w:p w14:paraId="7D234B47" w14:textId="7375B061" w:rsidR="00D46DBB" w:rsidRDefault="00D46DBB" w:rsidP="00D46DBB">
      <w:pPr>
        <w:pStyle w:val="Heading2"/>
      </w:pPr>
      <w:bookmarkStart w:id="9" w:name="_Toc212631877"/>
      <w:r>
        <w:lastRenderedPageBreak/>
        <w:t xml:space="preserve">Submission </w:t>
      </w:r>
      <w:r w:rsidR="00A23710" w:rsidRPr="00D46DBB">
        <w:t>7</w:t>
      </w:r>
      <w:bookmarkEnd w:id="9"/>
      <w:r w:rsidR="00A23710" w:rsidRPr="00D46DBB">
        <w:t xml:space="preserve"> </w:t>
      </w:r>
    </w:p>
    <w:p w14:paraId="5BC98141" w14:textId="24E20321" w:rsidR="00A23710" w:rsidRDefault="0079347D" w:rsidP="00A23710">
      <w:pPr>
        <w:pStyle w:val="NormalText"/>
      </w:pPr>
      <w:r w:rsidRPr="0079347D">
        <w:t xml:space="preserve">The submission provided by FMC Australasia Pty Ltd </w:t>
      </w:r>
      <w:r>
        <w:t xml:space="preserve">presented </w:t>
      </w:r>
      <w:r w:rsidR="00657B66">
        <w:t>t</w:t>
      </w:r>
      <w:r w:rsidR="00D46DBB" w:rsidRPr="00D46DBB">
        <w:t>echnical</w:t>
      </w:r>
      <w:r w:rsidR="002C1F40">
        <w:t xml:space="preserve"> information</w:t>
      </w:r>
      <w:r w:rsidR="00D46DBB" w:rsidRPr="00D46DBB">
        <w:t xml:space="preserve"> </w:t>
      </w:r>
      <w:r w:rsidR="00657B66">
        <w:t xml:space="preserve">which </w:t>
      </w:r>
      <w:r w:rsidR="00D46DBB" w:rsidRPr="00D46DBB">
        <w:t>argu</w:t>
      </w:r>
      <w:r w:rsidR="00657B66" w:rsidRPr="00ED395F">
        <w:t xml:space="preserve">ed that </w:t>
      </w:r>
      <w:r w:rsidR="00657B66">
        <w:t xml:space="preserve">the APVMA should use a higher ARfD for risk assessment of dietary exposure, based on a </w:t>
      </w:r>
      <w:r w:rsidR="00657B66" w:rsidRPr="00ED395F">
        <w:t>physiologically based pharmacokinetic-pharmacodynamic (PBPK-PD)</w:t>
      </w:r>
      <w:r w:rsidR="00657B66">
        <w:t xml:space="preserve"> modelling. The submission argued that using an ARfD of 0.27 mg/kg bw</w:t>
      </w:r>
      <w:r w:rsidR="0038439C">
        <w:t xml:space="preserve"> (milligrams per kilogram of bodyweight)</w:t>
      </w:r>
      <w:r w:rsidR="00657B66">
        <w:t>, as opposed to the APVMA’s current ARfD of 0.02 mg/kg bw, would address any concerns related to dietary exposure.</w:t>
      </w:r>
    </w:p>
    <w:p w14:paraId="033A34E9" w14:textId="36D76C81" w:rsidR="00657B66" w:rsidRPr="00657B66" w:rsidRDefault="00657B66" w:rsidP="00657B66">
      <w:pPr>
        <w:pStyle w:val="Heading3"/>
      </w:pPr>
      <w:bookmarkStart w:id="10" w:name="_Toc212631878"/>
      <w:r>
        <w:t xml:space="preserve">APVMA </w:t>
      </w:r>
      <w:r w:rsidR="00F566F2">
        <w:t>r</w:t>
      </w:r>
      <w:r>
        <w:t>esponse</w:t>
      </w:r>
      <w:bookmarkEnd w:id="10"/>
    </w:p>
    <w:p w14:paraId="21016750" w14:textId="1B7A4250" w:rsidR="00EF546C" w:rsidRDefault="00657B66" w:rsidP="00EF546C">
      <w:pPr>
        <w:pStyle w:val="NormalText"/>
      </w:pPr>
      <w:r>
        <w:t xml:space="preserve">The APVMA considered the </w:t>
      </w:r>
      <w:r w:rsidR="00EF546C">
        <w:t>argument put forward and the supporting information and reached the following conclusions.</w:t>
      </w:r>
    </w:p>
    <w:p w14:paraId="1B1389BB" w14:textId="6EE40EFA" w:rsidR="00EF546C" w:rsidRPr="00EF546C" w:rsidRDefault="00EF546C" w:rsidP="00EF546C">
      <w:pPr>
        <w:pStyle w:val="NormalText"/>
      </w:pPr>
      <w:r w:rsidRPr="00EF546C">
        <w:t>The current acute reference dose (ARfD) for dimethoate used by</w:t>
      </w:r>
      <w:r>
        <w:t xml:space="preserve"> the</w:t>
      </w:r>
      <w:r w:rsidRPr="00EF546C">
        <w:t xml:space="preserve"> APVMA </w:t>
      </w:r>
      <w:proofErr w:type="spellStart"/>
      <w:r w:rsidRPr="00EF546C">
        <w:t>i</w:t>
      </w:r>
      <w:proofErr w:type="spellEnd"/>
      <w:r w:rsidRPr="00EF546C">
        <w:rPr>
          <w:lang w:val="en-US"/>
        </w:rPr>
        <w:t xml:space="preserve">s 0.02 mg/kg </w:t>
      </w:r>
      <w:proofErr w:type="spellStart"/>
      <w:r w:rsidRPr="00EF546C">
        <w:rPr>
          <w:lang w:val="en-US"/>
        </w:rPr>
        <w:t>bw</w:t>
      </w:r>
      <w:proofErr w:type="spellEnd"/>
      <w:r w:rsidRPr="00EF546C">
        <w:rPr>
          <w:lang w:val="en-US"/>
        </w:rPr>
        <w:t xml:space="preserve"> </w:t>
      </w:r>
      <w:r>
        <w:rPr>
          <w:lang w:val="en-US"/>
        </w:rPr>
        <w:t>based on</w:t>
      </w:r>
      <w:r w:rsidRPr="00EF546C">
        <w:rPr>
          <w:lang w:val="en-US"/>
        </w:rPr>
        <w:t xml:space="preserve"> </w:t>
      </w:r>
      <w:r>
        <w:rPr>
          <w:lang w:val="en-US"/>
        </w:rPr>
        <w:t>a No Observed Adverse Effect Level (NOAEL)</w:t>
      </w:r>
      <w:r w:rsidR="0038439C">
        <w:rPr>
          <w:lang w:val="en-US"/>
        </w:rPr>
        <w:t xml:space="preserve"> of 0.2 mg/kg bw/day </w:t>
      </w:r>
      <w:r w:rsidR="00E83D6F">
        <w:rPr>
          <w:lang w:val="en-US"/>
        </w:rPr>
        <w:t>(</w:t>
      </w:r>
      <w:r w:rsidR="0038439C">
        <w:t>milligrams per kilogram of bodyweight per day)</w:t>
      </w:r>
      <w:r>
        <w:rPr>
          <w:lang w:val="en-US"/>
        </w:rPr>
        <w:t xml:space="preserve"> for </w:t>
      </w:r>
      <w:r w:rsidRPr="00EF546C">
        <w:rPr>
          <w:lang w:val="en-US"/>
        </w:rPr>
        <w:t xml:space="preserve">inhibition of cholinesterase activity in whole blood </w:t>
      </w:r>
      <w:r>
        <w:rPr>
          <w:lang w:val="en-US"/>
        </w:rPr>
        <w:t xml:space="preserve">at the next highest dose </w:t>
      </w:r>
      <w:r w:rsidRPr="00EF546C">
        <w:rPr>
          <w:lang w:val="en-US"/>
        </w:rPr>
        <w:t>in a 14</w:t>
      </w:r>
      <w:r w:rsidR="0038439C">
        <w:rPr>
          <w:lang w:val="en-US"/>
        </w:rPr>
        <w:t xml:space="preserve"> to </w:t>
      </w:r>
      <w:r w:rsidRPr="00EF546C">
        <w:rPr>
          <w:lang w:val="en-US"/>
        </w:rPr>
        <w:t>57</w:t>
      </w:r>
      <w:r>
        <w:rPr>
          <w:lang w:val="en-US"/>
        </w:rPr>
        <w:t>-</w:t>
      </w:r>
      <w:r w:rsidRPr="00EF546C">
        <w:rPr>
          <w:lang w:val="en-US"/>
        </w:rPr>
        <w:t xml:space="preserve">day human volunteer study, with a </w:t>
      </w:r>
      <w:r w:rsidRPr="00EF546C">
        <w:rPr>
          <w:b/>
          <w:bCs/>
          <w:lang w:val="en-US"/>
        </w:rPr>
        <w:t>10-fold intraspecies</w:t>
      </w:r>
      <w:r w:rsidRPr="00EF546C">
        <w:rPr>
          <w:lang w:val="en-US"/>
        </w:rPr>
        <w:t xml:space="preserve"> safety/uncertainty factor. This remains appropriate and consistent with</w:t>
      </w:r>
      <w:r w:rsidR="002C1F40">
        <w:rPr>
          <w:lang w:val="en-US"/>
        </w:rPr>
        <w:t xml:space="preserve"> the most recent</w:t>
      </w:r>
      <w:r w:rsidRPr="00EF546C">
        <w:rPr>
          <w:lang w:val="en-US"/>
        </w:rPr>
        <w:t xml:space="preserve"> </w:t>
      </w:r>
      <w:hyperlink r:id="rId22" w:history="1">
        <w:r w:rsidRPr="00EF546C">
          <w:rPr>
            <w:rStyle w:val="Hyperlink"/>
          </w:rPr>
          <w:t>JMPR assessment</w:t>
        </w:r>
      </w:hyperlink>
      <w:r w:rsidRPr="00EF546C">
        <w:t xml:space="preserve"> </w:t>
      </w:r>
      <w:r w:rsidR="00E83D6F">
        <w:t>that relies on a</w:t>
      </w:r>
      <w:r w:rsidR="00E83D6F" w:rsidRPr="00E83D6F">
        <w:t xml:space="preserve"> NOAEL of 2 mg/kg </w:t>
      </w:r>
      <w:proofErr w:type="spellStart"/>
      <w:r w:rsidR="00E83D6F" w:rsidRPr="00E83D6F">
        <w:t>bw</w:t>
      </w:r>
      <w:proofErr w:type="spellEnd"/>
      <w:r w:rsidR="00E83D6F" w:rsidRPr="00E83D6F">
        <w:t xml:space="preserve"> for </w:t>
      </w:r>
      <w:proofErr w:type="spellStart"/>
      <w:r w:rsidR="00E83D6F" w:rsidRPr="00E83D6F">
        <w:t>AChE</w:t>
      </w:r>
      <w:proofErr w:type="spellEnd"/>
      <w:r w:rsidR="00E83D6F" w:rsidRPr="00E83D6F">
        <w:t xml:space="preserve"> inhibition in studies in rats, using a safety factor of 100</w:t>
      </w:r>
      <w:r w:rsidR="00E83D6F">
        <w:t xml:space="preserve"> </w:t>
      </w:r>
      <w:r w:rsidRPr="00EF546C">
        <w:t xml:space="preserve">and </w:t>
      </w:r>
      <w:hyperlink r:id="rId23" w:history="1">
        <w:r w:rsidRPr="001C54FF">
          <w:rPr>
            <w:rStyle w:val="Hyperlink"/>
          </w:rPr>
          <w:t>PMRA Canada</w:t>
        </w:r>
      </w:hyperlink>
      <w:r w:rsidR="001C54FF">
        <w:t xml:space="preserve"> used a NOAEL of 1.3</w:t>
      </w:r>
      <w:r w:rsidR="005177F9">
        <w:t xml:space="preserve"> </w:t>
      </w:r>
      <w:r w:rsidR="001C54FF">
        <w:t>mg/kg/</w:t>
      </w:r>
      <w:proofErr w:type="spellStart"/>
      <w:r w:rsidR="001C54FF">
        <w:t>bw</w:t>
      </w:r>
      <w:proofErr w:type="spellEnd"/>
      <w:r w:rsidR="001C54FF">
        <w:t xml:space="preserve"> based on post-natal female pups from the comparative cholinesterase study was selected and applied a</w:t>
      </w:r>
      <w:r w:rsidR="005177F9">
        <w:t xml:space="preserve"> </w:t>
      </w:r>
      <w:r w:rsidR="001C54FF">
        <w:t xml:space="preserve">100 fold uncertainty factor. </w:t>
      </w:r>
    </w:p>
    <w:p w14:paraId="6CBEF273" w14:textId="7E9E478B" w:rsidR="00EF546C" w:rsidRPr="00EF546C" w:rsidRDefault="00EF546C" w:rsidP="00EF546C">
      <w:pPr>
        <w:pStyle w:val="NormalText"/>
      </w:pPr>
      <w:r>
        <w:t>T</w:t>
      </w:r>
      <w:r w:rsidRPr="00EF546C">
        <w:t>he</w:t>
      </w:r>
      <w:r>
        <w:t xml:space="preserve"> submission</w:t>
      </w:r>
      <w:r w:rsidRPr="00EF546C">
        <w:t xml:space="preserve"> </w:t>
      </w:r>
      <w:r>
        <w:t xml:space="preserve">proposed that the APVMA </w:t>
      </w:r>
      <w:r w:rsidR="0038439C">
        <w:t xml:space="preserve">should </w:t>
      </w:r>
      <w:r w:rsidRPr="00EF546C">
        <w:t xml:space="preserve">use </w:t>
      </w:r>
      <w:r>
        <w:t>a</w:t>
      </w:r>
      <w:r w:rsidRPr="00EF546C">
        <w:t xml:space="preserve"> PBPK-PD</w:t>
      </w:r>
      <w:r w:rsidR="0038439C">
        <w:t xml:space="preserve"> model</w:t>
      </w:r>
      <w:r w:rsidRPr="00EF546C">
        <w:t xml:space="preserve"> recently developed for US</w:t>
      </w:r>
      <w:r>
        <w:t xml:space="preserve"> </w:t>
      </w:r>
      <w:r w:rsidRPr="00EF546C">
        <w:t xml:space="preserve">EPA assessment. The modelling proposal </w:t>
      </w:r>
      <w:r w:rsidR="002C1F40">
        <w:t>reduces</w:t>
      </w:r>
      <w:r w:rsidRPr="00EF546C">
        <w:t xml:space="preserve"> the </w:t>
      </w:r>
      <w:r w:rsidRPr="00EF546C">
        <w:rPr>
          <w:b/>
          <w:bCs/>
        </w:rPr>
        <w:t xml:space="preserve">interspecies </w:t>
      </w:r>
      <w:r w:rsidRPr="00EF546C">
        <w:t>uncertainty factor from 10X to 1X</w:t>
      </w:r>
      <w:r w:rsidR="00160CC1">
        <w:t xml:space="preserve">. </w:t>
      </w:r>
      <w:r w:rsidR="002C1F40">
        <w:t xml:space="preserve">The model </w:t>
      </w:r>
      <w:r w:rsidR="00EE5E84">
        <w:t>estimates</w:t>
      </w:r>
      <w:r w:rsidR="00EE5E84" w:rsidRPr="00EF546C">
        <w:t xml:space="preserve"> </w:t>
      </w:r>
      <w:r w:rsidR="00EE5E84">
        <w:t xml:space="preserve">scenario and </w:t>
      </w:r>
      <w:r w:rsidRPr="00EF546C">
        <w:t xml:space="preserve">age-specific human </w:t>
      </w:r>
      <w:r w:rsidR="00EE5E84">
        <w:t>points of departure (P</w:t>
      </w:r>
      <w:r w:rsidRPr="00EF546C">
        <w:t>ODs</w:t>
      </w:r>
      <w:r w:rsidR="00EE5E84">
        <w:t>)</w:t>
      </w:r>
      <w:r w:rsidRPr="00EF546C">
        <w:t xml:space="preserve"> based on the brain </w:t>
      </w:r>
      <w:r w:rsidR="0038439C" w:rsidRPr="00EF546C">
        <w:rPr>
          <w:lang w:val="en-US"/>
        </w:rPr>
        <w:t>cholinesterase</w:t>
      </w:r>
      <w:r w:rsidRPr="00EF546C">
        <w:t xml:space="preserve"> inhibition at a maximum level of 10%.</w:t>
      </w:r>
    </w:p>
    <w:p w14:paraId="74680A1A" w14:textId="46191C96" w:rsidR="00EF546C" w:rsidRPr="00EF546C" w:rsidRDefault="0038439C" w:rsidP="00EF546C">
      <w:pPr>
        <w:pStyle w:val="NormalText"/>
      </w:pPr>
      <w:r>
        <w:t>The</w:t>
      </w:r>
      <w:r w:rsidR="00EF546C" w:rsidRPr="00EF546C">
        <w:t xml:space="preserve"> proposed ARfD of 0.27 mg/kg bw is </w:t>
      </w:r>
      <w:r>
        <w:t xml:space="preserve">over </w:t>
      </w:r>
      <w:r w:rsidR="00EF546C" w:rsidRPr="00EF546C">
        <w:t>10X higher than the</w:t>
      </w:r>
      <w:r w:rsidR="00CB7621">
        <w:t xml:space="preserve"> APVMA’s</w:t>
      </w:r>
      <w:r w:rsidR="00EF546C" w:rsidRPr="00EF546C">
        <w:t xml:space="preserve"> current ARfD and may be insufficient to protect against </w:t>
      </w:r>
      <w:r w:rsidRPr="00EF546C">
        <w:rPr>
          <w:lang w:val="en-US"/>
        </w:rPr>
        <w:t>cholinesterase</w:t>
      </w:r>
      <w:r w:rsidR="00EF546C" w:rsidRPr="00EF546C">
        <w:t xml:space="preserve"> inhibition in humans,</w:t>
      </w:r>
      <w:r w:rsidR="00E51CFE">
        <w:t xml:space="preserve"> </w:t>
      </w:r>
      <w:r w:rsidR="00EF546C" w:rsidRPr="00EF546C">
        <w:t>which has been reported at doses 0.42 mg/kg bw/d</w:t>
      </w:r>
      <w:r>
        <w:t>ay</w:t>
      </w:r>
      <w:r w:rsidR="00EF546C" w:rsidRPr="00EF546C">
        <w:t xml:space="preserve"> and higher.</w:t>
      </w:r>
    </w:p>
    <w:p w14:paraId="1E9AAE92" w14:textId="324487FE" w:rsidR="00EF546C" w:rsidRPr="00EF546C" w:rsidRDefault="00EE5E84" w:rsidP="00EF546C">
      <w:pPr>
        <w:pStyle w:val="NormalText"/>
      </w:pPr>
      <w:r>
        <w:t>Therefore</w:t>
      </w:r>
      <w:r w:rsidR="00B44AF3">
        <w:t>,</w:t>
      </w:r>
      <w:r w:rsidR="0038439C">
        <w:t xml:space="preserve"> the APVMA</w:t>
      </w:r>
      <w:r w:rsidR="00160CC1">
        <w:t xml:space="preserve"> will</w:t>
      </w:r>
      <w:r w:rsidR="0038439C">
        <w:t xml:space="preserve"> continue to use the current ARfD of </w:t>
      </w:r>
      <w:r w:rsidR="0038439C" w:rsidRPr="00EF546C">
        <w:rPr>
          <w:lang w:val="en-US"/>
        </w:rPr>
        <w:t>0.02 mg/kg bw</w:t>
      </w:r>
      <w:r w:rsidR="0038439C">
        <w:t xml:space="preserve"> to </w:t>
      </w:r>
      <w:r w:rsidR="00EF546C" w:rsidRPr="00EF546C">
        <w:t xml:space="preserve">calculate the </w:t>
      </w:r>
      <w:r w:rsidR="0038439C">
        <w:t xml:space="preserve">risk through </w:t>
      </w:r>
      <w:r w:rsidR="00EF546C" w:rsidRPr="00EF546C">
        <w:t>dietary exposure for dimethoate products.</w:t>
      </w:r>
    </w:p>
    <w:p w14:paraId="70CC766E" w14:textId="1B465175" w:rsidR="009D64B0" w:rsidRDefault="009D64B0" w:rsidP="009D64B0">
      <w:pPr>
        <w:pStyle w:val="Heading2"/>
        <w:tabs>
          <w:tab w:val="num" w:pos="907"/>
        </w:tabs>
      </w:pPr>
      <w:bookmarkStart w:id="11" w:name="_Toc212631879"/>
      <w:r>
        <w:t>Submissions 9 and 16</w:t>
      </w:r>
      <w:bookmarkEnd w:id="11"/>
    </w:p>
    <w:p w14:paraId="304E95FE" w14:textId="413EE444" w:rsidR="00163813" w:rsidRDefault="009D64B0" w:rsidP="00A23710">
      <w:pPr>
        <w:pStyle w:val="NormalText"/>
      </w:pPr>
      <w:r>
        <w:t xml:space="preserve">The submissions provided by </w:t>
      </w:r>
      <w:proofErr w:type="spellStart"/>
      <w:r>
        <w:t>GeneEthics</w:t>
      </w:r>
      <w:proofErr w:type="spellEnd"/>
      <w:r>
        <w:t xml:space="preserve"> and </w:t>
      </w:r>
      <w:r w:rsidR="00163813" w:rsidRPr="00106325">
        <w:t>Organic &amp; Regenerative Investment Cooperative (</w:t>
      </w:r>
      <w:proofErr w:type="spellStart"/>
      <w:r w:rsidR="00163813" w:rsidRPr="00106325">
        <w:t>ORICoop</w:t>
      </w:r>
      <w:proofErr w:type="spellEnd"/>
      <w:r w:rsidR="00163813" w:rsidRPr="00106325">
        <w:t>)</w:t>
      </w:r>
      <w:r w:rsidR="00163813">
        <w:t xml:space="preserve"> </w:t>
      </w:r>
      <w:r w:rsidR="00A23710" w:rsidRPr="009D64B0">
        <w:t xml:space="preserve">call for </w:t>
      </w:r>
      <w:r w:rsidR="00163813">
        <w:t xml:space="preserve">a </w:t>
      </w:r>
      <w:r w:rsidR="00A23710" w:rsidRPr="009D64B0">
        <w:t xml:space="preserve">total </w:t>
      </w:r>
      <w:r w:rsidR="00163813">
        <w:t xml:space="preserve">phaseout of all dimethoate products </w:t>
      </w:r>
      <w:r w:rsidR="00A23710">
        <w:t>and provide information related to toxicity of or</w:t>
      </w:r>
      <w:r w:rsidR="00163813">
        <w:t>g</w:t>
      </w:r>
      <w:r w:rsidR="00A23710">
        <w:t>anophosphates generally</w:t>
      </w:r>
      <w:r w:rsidR="00163813">
        <w:t>.</w:t>
      </w:r>
    </w:p>
    <w:p w14:paraId="4F777D0E" w14:textId="00591BBE" w:rsidR="00163813" w:rsidRDefault="00163813" w:rsidP="00163813">
      <w:pPr>
        <w:pStyle w:val="Heading3"/>
      </w:pPr>
      <w:bookmarkStart w:id="12" w:name="_Toc212631880"/>
      <w:r>
        <w:t xml:space="preserve">APVMA </w:t>
      </w:r>
      <w:r w:rsidR="00F566F2">
        <w:t>r</w:t>
      </w:r>
      <w:r>
        <w:t>esponse</w:t>
      </w:r>
      <w:bookmarkEnd w:id="12"/>
    </w:p>
    <w:p w14:paraId="24DB4D6C" w14:textId="4E9DB8D1" w:rsidR="00163813" w:rsidRDefault="00163813" w:rsidP="00A23710">
      <w:pPr>
        <w:pStyle w:val="NormalText"/>
      </w:pPr>
      <w:r>
        <w:t>The information provided in these submissions is not material to the proposed suspension as it does not allow refinement of the risk assessment for dietary exposure to dimethoate due to increased dietary consumption of blueberries, blackberries, and raspberries.</w:t>
      </w:r>
    </w:p>
    <w:p w14:paraId="467B3F7E" w14:textId="13C81BD2" w:rsidR="00A23710" w:rsidRDefault="00163813" w:rsidP="00A23710">
      <w:pPr>
        <w:pStyle w:val="NormalText"/>
      </w:pPr>
      <w:r>
        <w:lastRenderedPageBreak/>
        <w:t>Additional information related to organophosphate toxicity and the potential for synergistic effects will be taken into consideration as part of the APVMA’s annual reassessment of priorities for future reconsideration.</w:t>
      </w:r>
    </w:p>
    <w:p w14:paraId="1FC0B3E8" w14:textId="47DC485E" w:rsidR="002E20AC" w:rsidRDefault="00A829ED" w:rsidP="00C5527A">
      <w:pPr>
        <w:pStyle w:val="Heading2"/>
      </w:pPr>
      <w:bookmarkStart w:id="13" w:name="_Toc212631881"/>
      <w:r>
        <w:t xml:space="preserve">Submission </w:t>
      </w:r>
      <w:r w:rsidR="00A23710" w:rsidRPr="00A829ED">
        <w:t>19</w:t>
      </w:r>
      <w:bookmarkEnd w:id="13"/>
      <w:r w:rsidR="00A23710" w:rsidRPr="00A829ED">
        <w:t xml:space="preserve"> </w:t>
      </w:r>
    </w:p>
    <w:p w14:paraId="2287B58E" w14:textId="7EE0155C" w:rsidR="00A829ED" w:rsidRDefault="00A829ED" w:rsidP="00A23710">
      <w:pPr>
        <w:pStyle w:val="NormalText"/>
      </w:pPr>
      <w:r>
        <w:t xml:space="preserve">Professor </w:t>
      </w:r>
      <w:proofErr w:type="spellStart"/>
      <w:r>
        <w:t>Benkendorff</w:t>
      </w:r>
      <w:proofErr w:type="spellEnd"/>
      <w:r w:rsidR="00C5527A">
        <w:t xml:space="preserve"> supported the proposed suspension </w:t>
      </w:r>
      <w:proofErr w:type="gramStart"/>
      <w:r w:rsidR="00C5527A">
        <w:t>and also</w:t>
      </w:r>
      <w:proofErr w:type="gramEnd"/>
      <w:r w:rsidR="00C5527A">
        <w:t xml:space="preserve"> called for similar action for omethoate. Professor </w:t>
      </w:r>
      <w:proofErr w:type="spellStart"/>
      <w:r w:rsidR="00C5527A">
        <w:t>Benkendorff</w:t>
      </w:r>
      <w:proofErr w:type="spellEnd"/>
      <w:r w:rsidR="00C5527A">
        <w:t xml:space="preserve"> </w:t>
      </w:r>
      <w:r>
        <w:t xml:space="preserve">provided a summary the results of residue testing conducted on blueberries purchased in supermarkets which indicated detection of dimethoate below the current MRLs. The submission also indicates that omethoate and an unregistered chemical, </w:t>
      </w:r>
      <w:proofErr w:type="spellStart"/>
      <w:r>
        <w:t>thiometon</w:t>
      </w:r>
      <w:proofErr w:type="spellEnd"/>
      <w:r>
        <w:t>, were detected in these samples. The submission also present</w:t>
      </w:r>
      <w:r w:rsidR="00C5527A">
        <w:t>ed</w:t>
      </w:r>
      <w:r>
        <w:t xml:space="preserve"> calculations related to the acceptable daily intake</w:t>
      </w:r>
      <w:r w:rsidR="00C5527A">
        <w:t xml:space="preserve"> (ADI)</w:t>
      </w:r>
      <w:r>
        <w:t xml:space="preserve"> for dimethoate and omethoate</w:t>
      </w:r>
      <w:r w:rsidR="00C5527A">
        <w:t>.</w:t>
      </w:r>
    </w:p>
    <w:p w14:paraId="28059967" w14:textId="226F6101" w:rsidR="00C5527A" w:rsidRDefault="00C5527A" w:rsidP="00C5527A">
      <w:pPr>
        <w:pStyle w:val="Heading3"/>
      </w:pPr>
      <w:bookmarkStart w:id="14" w:name="_Toc212631882"/>
      <w:r>
        <w:t xml:space="preserve">APVMA </w:t>
      </w:r>
      <w:r w:rsidR="00F566F2">
        <w:t>r</w:t>
      </w:r>
      <w:r>
        <w:t>esponse</w:t>
      </w:r>
      <w:bookmarkEnd w:id="14"/>
    </w:p>
    <w:p w14:paraId="057124E6" w14:textId="5F97D4F1" w:rsidR="00AD0162" w:rsidRDefault="00C5527A" w:rsidP="00A23710">
      <w:pPr>
        <w:pStyle w:val="NormalText"/>
      </w:pPr>
      <w:r>
        <w:t>As discussed above</w:t>
      </w:r>
      <w:r w:rsidR="00235A61">
        <w:t xml:space="preserve"> in relation to submission 4</w:t>
      </w:r>
      <w:r>
        <w:t>, residue monitoring data is not suitable for completing a risk assessment because there is no information about essential parameters, such as whether the produce w</w:t>
      </w:r>
      <w:r w:rsidR="00B44AF3">
        <w:t>as</w:t>
      </w:r>
      <w:r>
        <w:t xml:space="preserve"> treated with dimethoate, the rate of chemical used in any treatment and number of treatments</w:t>
      </w:r>
      <w:r w:rsidR="00B44AF3">
        <w:t>,</w:t>
      </w:r>
      <w:r>
        <w:t xml:space="preserve"> or how long passed between treatment, harvest and sampling. The quantity of residues detected do not indicate exceedances of the current MRL.</w:t>
      </w:r>
    </w:p>
    <w:p w14:paraId="76DCBAC3" w14:textId="543DE5C6" w:rsidR="00AD0162" w:rsidRDefault="00AD0162" w:rsidP="00A23710">
      <w:pPr>
        <w:pStyle w:val="NormalText"/>
      </w:pPr>
      <w:r>
        <w:t>Omethoate is a metabolite</w:t>
      </w:r>
      <w:r w:rsidR="00160CC1">
        <w:t xml:space="preserve"> (breakdown product)</w:t>
      </w:r>
      <w:r>
        <w:t xml:space="preserve"> of </w:t>
      </w:r>
      <w:r w:rsidR="00B44AF3">
        <w:t>dimethoate but</w:t>
      </w:r>
      <w:r>
        <w:t xml:space="preserve"> is not registered for use on berries. </w:t>
      </w:r>
      <w:r w:rsidR="00160CC1">
        <w:t>T</w:t>
      </w:r>
      <w:r>
        <w:t xml:space="preserve">he combined toxicity of these related chemicals is </w:t>
      </w:r>
      <w:proofErr w:type="gramStart"/>
      <w:r>
        <w:t>taken into account</w:t>
      </w:r>
      <w:proofErr w:type="gramEnd"/>
      <w:r>
        <w:t xml:space="preserve"> in determining whether dietary exposure will exceed either the</w:t>
      </w:r>
      <w:r w:rsidR="00352769">
        <w:t xml:space="preserve"> </w:t>
      </w:r>
      <w:proofErr w:type="gramStart"/>
      <w:r w:rsidR="00352769">
        <w:t>short or long term</w:t>
      </w:r>
      <w:proofErr w:type="gramEnd"/>
      <w:r w:rsidR="00352769">
        <w:t xml:space="preserve"> acceptable levels</w:t>
      </w:r>
      <w:r>
        <w:t>.</w:t>
      </w:r>
    </w:p>
    <w:p w14:paraId="6E895B4D" w14:textId="3AF963CA" w:rsidR="00C5527A" w:rsidRDefault="00AD0162" w:rsidP="00A23710">
      <w:pPr>
        <w:pStyle w:val="NormalText"/>
      </w:pPr>
      <w:r>
        <w:t xml:space="preserve">The use of unregistered agricultural chemicals, such as </w:t>
      </w:r>
      <w:proofErr w:type="spellStart"/>
      <w:r>
        <w:t>thiometon</w:t>
      </w:r>
      <w:proofErr w:type="spellEnd"/>
      <w:r>
        <w:t>, without a permit is illegal.</w:t>
      </w:r>
    </w:p>
    <w:p w14:paraId="445B4089" w14:textId="329200DC" w:rsidR="00AD0162" w:rsidRDefault="00AD0162" w:rsidP="00A23710">
      <w:pPr>
        <w:pStyle w:val="NormalText"/>
      </w:pPr>
      <w:r>
        <w:t xml:space="preserve">Assessment of the risk posed to people by dietary exposure to residues of agvet chemicals considers both short-term (acute) and long-term (chronic) exposure. </w:t>
      </w:r>
      <w:r w:rsidR="00352769">
        <w:t>Short term risk is assessed against t</w:t>
      </w:r>
      <w:r>
        <w:t xml:space="preserve">he </w:t>
      </w:r>
      <w:r w:rsidR="00352769">
        <w:t>acute reference dose (ARfD), which</w:t>
      </w:r>
      <w:r>
        <w:t xml:space="preserve"> is the quantity of a chemical that may be consumed in a single sitting or within a single 24</w:t>
      </w:r>
      <w:r w:rsidR="00352769">
        <w:t>-</w:t>
      </w:r>
      <w:r>
        <w:t xml:space="preserve">hour period without appreciable risk of harm. In contrast the </w:t>
      </w:r>
      <w:r w:rsidR="00352769">
        <w:t>long-term risk is assessed against the acceptable daily intake (ADI) which is the</w:t>
      </w:r>
      <w:r>
        <w:t xml:space="preserve"> quantity </w:t>
      </w:r>
      <w:r w:rsidR="00352769">
        <w:t xml:space="preserve">of chemical </w:t>
      </w:r>
      <w:r>
        <w:t>that may be consumed every day for an entire lifetime without appreciable risk of harm.</w:t>
      </w:r>
      <w:r w:rsidR="00E51CFE">
        <w:t xml:space="preserve"> For further information on ADI and ARfD, please refer to the </w:t>
      </w:r>
      <w:hyperlink r:id="rId24" w:history="1">
        <w:r w:rsidR="00E51CFE" w:rsidRPr="00E51CFE">
          <w:rPr>
            <w:rStyle w:val="Hyperlink"/>
          </w:rPr>
          <w:t>APVMA health based guidance values.</w:t>
        </w:r>
      </w:hyperlink>
    </w:p>
    <w:p w14:paraId="3CAB31C6" w14:textId="6BD2A6C7" w:rsidR="00352769" w:rsidRDefault="00352769" w:rsidP="00A23710">
      <w:pPr>
        <w:pStyle w:val="NormalText"/>
      </w:pPr>
      <w:r>
        <w:t xml:space="preserve">The APVMA has considered both the short and long-term exposure risks related to dimethoate using the methodology described in the </w:t>
      </w:r>
      <w:hyperlink r:id="rId25" w:history="1">
        <w:r w:rsidRPr="00BB1B6B">
          <w:rPr>
            <w:rStyle w:val="Hyperlink"/>
          </w:rPr>
          <w:t>residues and trade risk assessment manual</w:t>
        </w:r>
      </w:hyperlink>
      <w:r>
        <w:t xml:space="preserve"> and </w:t>
      </w:r>
      <w:r w:rsidR="00BB1B6B">
        <w:t>excerpted</w:t>
      </w:r>
      <w:r>
        <w:t xml:space="preserve"> below for reference.</w:t>
      </w:r>
    </w:p>
    <w:p w14:paraId="79C4B1CB" w14:textId="3CE56A3B" w:rsidR="00352769" w:rsidRDefault="00352769" w:rsidP="00A23710">
      <w:pPr>
        <w:pStyle w:val="NormalText"/>
      </w:pPr>
      <w:r>
        <w:t>The</w:t>
      </w:r>
      <w:r w:rsidR="00B3240F">
        <w:t>se</w:t>
      </w:r>
      <w:r>
        <w:t xml:space="preserve"> assessment</w:t>
      </w:r>
      <w:r w:rsidR="00B3240F">
        <w:t>s</w:t>
      </w:r>
      <w:r>
        <w:t xml:space="preserve"> ha</w:t>
      </w:r>
      <w:r w:rsidR="00B3240F">
        <w:t>ve</w:t>
      </w:r>
      <w:r>
        <w:t xml:space="preserve"> </w:t>
      </w:r>
      <w:proofErr w:type="gramStart"/>
      <w:r>
        <w:t>taken into account</w:t>
      </w:r>
      <w:proofErr w:type="gramEnd"/>
      <w:r>
        <w:t xml:space="preserve"> the new information provided to the APVMA regarding consumption of </w:t>
      </w:r>
      <w:r w:rsidR="00BB1B6B">
        <w:t>blueberries, blackberries and raspberries.</w:t>
      </w:r>
    </w:p>
    <w:p w14:paraId="4C3DE9E8" w14:textId="6F813786" w:rsidR="00BB1B6B" w:rsidRDefault="00BB1B6B" w:rsidP="00A23710">
      <w:pPr>
        <w:pStyle w:val="NormalText"/>
      </w:pPr>
      <w:r>
        <w:t>The chronic (long-term) dietary exposure assessment using the</w:t>
      </w:r>
      <w:r w:rsidRPr="00BB1B6B">
        <w:t xml:space="preserve"> National Estimated Daily Intake (NEDI) calculation</w:t>
      </w:r>
      <w:r>
        <w:t xml:space="preserve"> against the ADI, which </w:t>
      </w:r>
      <w:proofErr w:type="gramStart"/>
      <w:r>
        <w:t>takes into account</w:t>
      </w:r>
      <w:proofErr w:type="gramEnd"/>
      <w:r>
        <w:t xml:space="preserve"> all potential sources of a chemical in food, found that</w:t>
      </w:r>
      <w:r w:rsidR="00657B66">
        <w:t xml:space="preserve"> the NEDI for</w:t>
      </w:r>
      <w:r>
        <w:t xml:space="preserve"> dimethoate is acceptable at approximately 58% of the ADI.</w:t>
      </w:r>
    </w:p>
    <w:p w14:paraId="208C99D1" w14:textId="77777777" w:rsidR="006D0F59" w:rsidRDefault="00BB1B6B" w:rsidP="00A23710">
      <w:pPr>
        <w:pStyle w:val="NormalText"/>
        <w:sectPr w:rsidR="006D0F59" w:rsidSect="006D0F59">
          <w:headerReference w:type="even" r:id="rId26"/>
          <w:headerReference w:type="default" r:id="rId27"/>
          <w:pgSz w:w="11906" w:h="16838" w:code="9"/>
          <w:pgMar w:top="2835" w:right="1134" w:bottom="1134" w:left="1134" w:header="1701" w:footer="680" w:gutter="0"/>
          <w:pgNumType w:start="1"/>
          <w:cols w:space="708"/>
          <w:docGrid w:linePitch="360"/>
        </w:sectPr>
      </w:pPr>
      <w:r>
        <w:t>The acute dietary exposure assessment is the reason for the proposed suspension, and indicated that consumption of blueberries, blackberries and raspberries may exceed the ARfD.</w:t>
      </w:r>
    </w:p>
    <w:p w14:paraId="07469D60" w14:textId="7B022573" w:rsidR="00BB1B6B" w:rsidRDefault="00BB1B6B" w:rsidP="002C024F">
      <w:pPr>
        <w:pStyle w:val="Heading1"/>
      </w:pPr>
      <w:bookmarkStart w:id="15" w:name="_Toc212631883"/>
      <w:bookmarkStart w:id="16" w:name="_Hlk212131466"/>
      <w:bookmarkStart w:id="17" w:name="_Toc150433458"/>
      <w:r w:rsidRPr="002C024F">
        <w:lastRenderedPageBreak/>
        <w:t xml:space="preserve">Excerpt from the APVMA Risk Assessment Manual, </w:t>
      </w:r>
      <w:r w:rsidR="0079347D" w:rsidRPr="002C024F">
        <w:t>R</w:t>
      </w:r>
      <w:r w:rsidRPr="002C024F">
        <w:t xml:space="preserve">esidues and </w:t>
      </w:r>
      <w:r w:rsidR="0079347D" w:rsidRPr="002C024F">
        <w:t>T</w:t>
      </w:r>
      <w:r w:rsidRPr="002C024F">
        <w:t>rade</w:t>
      </w:r>
      <w:bookmarkEnd w:id="15"/>
    </w:p>
    <w:p w14:paraId="1045593D" w14:textId="2108722A" w:rsidR="00731259" w:rsidRPr="00731259" w:rsidRDefault="00731259" w:rsidP="00731259">
      <w:pPr>
        <w:pStyle w:val="NormalText"/>
      </w:pPr>
      <w:r>
        <w:t xml:space="preserve">Published on the APVMA website at: </w:t>
      </w:r>
      <w:hyperlink r:id="rId28" w:history="1">
        <w:r w:rsidRPr="001C2D11">
          <w:rPr>
            <w:rStyle w:val="Hyperlink"/>
          </w:rPr>
          <w:t>https://www.apvma.gov.au/registrations-and-permits/data-guidelines/risk-assessment-manuals/residues-trade</w:t>
        </w:r>
      </w:hyperlink>
    </w:p>
    <w:p w14:paraId="34EAC51D" w14:textId="28956B6B" w:rsidR="00BB1B6B" w:rsidRPr="002C024F" w:rsidRDefault="00BB1B6B" w:rsidP="002C024F">
      <w:pPr>
        <w:pStyle w:val="Heading2"/>
      </w:pPr>
      <w:bookmarkStart w:id="18" w:name="_Toc212631884"/>
      <w:bookmarkEnd w:id="16"/>
      <w:r w:rsidRPr="002C024F">
        <w:t>Chronic dietary exposure assessment</w:t>
      </w:r>
      <w:bookmarkEnd w:id="17"/>
      <w:bookmarkEnd w:id="18"/>
    </w:p>
    <w:p w14:paraId="2D98C998" w14:textId="77777777" w:rsidR="00BB1B6B" w:rsidRPr="00BB1B6B" w:rsidRDefault="00BB1B6B" w:rsidP="002C024F">
      <w:pPr>
        <w:pStyle w:val="NormalText"/>
      </w:pPr>
      <w:r w:rsidRPr="00BB1B6B">
        <w:t>The chronic dietary exposure to the active is estimated by the National Estimated Daily Intake (NEDI) calculation encompassing all registered/temporary uses of the active and the mean daily dietary consumption data derived primarily from the 2011–12 National Nutritional and Physical Activity Survey. The NEDI calculation is made in</w:t>
      </w:r>
      <w:bookmarkStart w:id="19" w:name="_Ref63661283"/>
      <w:r w:rsidRPr="00BB1B6B">
        <w:t xml:space="preserve"> accordance with WHO Guidelines</w:t>
      </w:r>
      <w:bookmarkEnd w:id="19"/>
      <w:r w:rsidRPr="00BB1B6B">
        <w:t xml:space="preserve"> (IEDI) and is a conservative estimate of chronic dietary exposure to chemical residues in food.</w:t>
      </w:r>
    </w:p>
    <w:p w14:paraId="597AA0D0" w14:textId="28CC629B" w:rsidR="00BB1B6B" w:rsidRPr="00BB1B6B" w:rsidRDefault="00BB1B6B" w:rsidP="002C024F">
      <w:pPr>
        <w:pStyle w:val="NormalText"/>
      </w:pPr>
      <w:r w:rsidRPr="00BB1B6B">
        <w:t>Assessment is made as to whether the chronic dietary exposure is acceptable, where a NEDI calculation less than 100 per cent of the ADI indicates that chronic dietary exposure is acceptable.</w:t>
      </w:r>
    </w:p>
    <w:p w14:paraId="5078282C" w14:textId="28CC629B" w:rsidR="00BB1B6B" w:rsidRPr="00BB1B6B" w:rsidRDefault="00BB1B6B" w:rsidP="002C024F">
      <w:pPr>
        <w:pStyle w:val="Heading3"/>
      </w:pPr>
      <w:bookmarkStart w:id="20" w:name="_Toc150433459"/>
      <w:bookmarkStart w:id="21" w:name="_Toc212631885"/>
      <w:r w:rsidRPr="00BB1B6B">
        <w:t>JECFA model diet for veterinary drug residues</w:t>
      </w:r>
      <w:bookmarkEnd w:id="20"/>
      <w:bookmarkEnd w:id="21"/>
    </w:p>
    <w:p w14:paraId="2CAA0D4E" w14:textId="77777777" w:rsidR="00BB1B6B" w:rsidRPr="00BB1B6B" w:rsidRDefault="00BB1B6B" w:rsidP="002C024F">
      <w:pPr>
        <w:pStyle w:val="NormalText"/>
      </w:pPr>
      <w:r w:rsidRPr="00BB1B6B">
        <w:t>For veterinary drugs, an additional method of chronic exposure assessment is undertaken. A model diet intended to cover high consumers of animal products is used by JECFA to determine that proposed MRLs for veterinary medicine residues would not result in the ADI being exceeded. The APVMA also uses the Estimated Dietary Intake (EDI) approach for chronic dietary exposure, which considers the median of residue distribution, when considering new MRLs for veterinary chemical products.</w:t>
      </w:r>
    </w:p>
    <w:p w14:paraId="12CD43B4" w14:textId="77777777" w:rsidR="00BB1B6B" w:rsidRPr="00BB1B6B" w:rsidRDefault="00BB1B6B" w:rsidP="002C024F">
      <w:pPr>
        <w:pStyle w:val="Heading2"/>
      </w:pPr>
      <w:bookmarkStart w:id="22" w:name="_Toc150433460"/>
      <w:bookmarkStart w:id="23" w:name="_Toc212631886"/>
      <w:r w:rsidRPr="00BB1B6B">
        <w:t>Acute dietary exposure assessment</w:t>
      </w:r>
      <w:bookmarkEnd w:id="22"/>
      <w:bookmarkEnd w:id="23"/>
    </w:p>
    <w:p w14:paraId="67AB061D" w14:textId="77777777" w:rsidR="00BB1B6B" w:rsidRPr="00BB1B6B" w:rsidRDefault="00BB1B6B" w:rsidP="002C024F">
      <w:pPr>
        <w:pStyle w:val="NormalText"/>
      </w:pPr>
      <w:r w:rsidRPr="00BB1B6B">
        <w:t xml:space="preserve">The acute dietary exposure is estimated by the National Estimated </w:t>
      </w:r>
      <w:proofErr w:type="gramStart"/>
      <w:r w:rsidRPr="00BB1B6B">
        <w:t>Short Term</w:t>
      </w:r>
      <w:proofErr w:type="gramEnd"/>
      <w:r w:rsidRPr="00BB1B6B">
        <w:t xml:space="preserve"> Intake (NESTI) calculation. The NESTI calculations are made in accordance with the deterministic method used by the JMPR (IESTI) with 97.5th percentile food consumption data derived primarily from the 2011–12 National Nutritional and Physical Activity Survey. NESTI calculations are conservative estimates of short-term exposure (</w:t>
      </w:r>
      <w:proofErr w:type="gramStart"/>
      <w:r w:rsidRPr="00BB1B6B">
        <w:t>24 hour</w:t>
      </w:r>
      <w:proofErr w:type="gramEnd"/>
      <w:r w:rsidRPr="00BB1B6B">
        <w:t xml:space="preserve"> period) to chemical residues in food.</w:t>
      </w:r>
    </w:p>
    <w:p w14:paraId="27166971" w14:textId="77777777" w:rsidR="00BB1B6B" w:rsidRPr="00BB1B6B" w:rsidRDefault="00BB1B6B" w:rsidP="002C024F">
      <w:pPr>
        <w:pStyle w:val="NormalText"/>
      </w:pPr>
      <w:r w:rsidRPr="00BB1B6B">
        <w:t xml:space="preserve">A NESTI calculation is required when an ARfD has been established in Australia (or by JMPR, if it has not been considered in Australia) and the acute (short-term) exposure calculation should include the relevant commodities associated with the proposed MRLs. A separate calculation is conducted for children (two to six years) and the general population (two plus years). If an ARfD is only set for women of childbearing </w:t>
      </w:r>
      <w:proofErr w:type="gramStart"/>
      <w:r w:rsidRPr="00BB1B6B">
        <w:t>age</w:t>
      </w:r>
      <w:proofErr w:type="gramEnd"/>
      <w:r w:rsidRPr="00BB1B6B">
        <w:t xml:space="preserve"> then only one calculation for that cohort is conducted.</w:t>
      </w:r>
    </w:p>
    <w:p w14:paraId="33E426ED" w14:textId="05C17D9F" w:rsidR="00BB1B6B" w:rsidRDefault="00BB1B6B" w:rsidP="002C024F">
      <w:pPr>
        <w:pStyle w:val="NormalText"/>
      </w:pPr>
      <w:r w:rsidRPr="00BB1B6B">
        <w:t>Assessment is made as to whether the acute dietary exposure is acceptable where a NESTI calculation is less than 100 per cent of the ARfD the acute dietary exposure is deemed acceptable for each commodity associated with the application.</w:t>
      </w:r>
    </w:p>
    <w:sectPr w:rsidR="00BB1B6B" w:rsidSect="006D0F59">
      <w:headerReference w:type="even" r:id="rId29"/>
      <w:headerReference w:type="default" r:id="rId3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2023" w14:textId="77777777" w:rsidR="007C698C" w:rsidRDefault="007C698C">
      <w:r>
        <w:separator/>
      </w:r>
    </w:p>
    <w:p w14:paraId="1E53D448" w14:textId="77777777" w:rsidR="007C698C" w:rsidRDefault="007C698C"/>
    <w:p w14:paraId="11038169" w14:textId="77777777" w:rsidR="007C698C" w:rsidRDefault="007C698C"/>
  </w:endnote>
  <w:endnote w:type="continuationSeparator" w:id="0">
    <w:p w14:paraId="5F54B165" w14:textId="77777777" w:rsidR="007C698C" w:rsidRDefault="007C698C">
      <w:r>
        <w:continuationSeparator/>
      </w:r>
    </w:p>
    <w:p w14:paraId="4F266328" w14:textId="77777777" w:rsidR="007C698C" w:rsidRDefault="007C698C"/>
    <w:p w14:paraId="0EB6CBDA" w14:textId="77777777" w:rsidR="007C698C" w:rsidRDefault="007C6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A1E7" w14:textId="77777777" w:rsidR="007C698C" w:rsidRDefault="007C698C">
      <w:r>
        <w:separator/>
      </w:r>
    </w:p>
  </w:footnote>
  <w:footnote w:type="continuationSeparator" w:id="0">
    <w:p w14:paraId="57BFEBB2" w14:textId="77777777" w:rsidR="007C698C" w:rsidRDefault="007C698C">
      <w:pPr>
        <w:spacing w:line="180" w:lineRule="exact"/>
      </w:pPr>
      <w:r>
        <w:continuationSeparator/>
      </w:r>
    </w:p>
    <w:p w14:paraId="78C1F323" w14:textId="77777777" w:rsidR="007C698C" w:rsidRDefault="007C698C"/>
    <w:p w14:paraId="43997FFF" w14:textId="77777777" w:rsidR="007C698C" w:rsidRDefault="007C698C"/>
  </w:footnote>
  <w:footnote w:type="continuationNotice" w:id="1">
    <w:p w14:paraId="3AD78406" w14:textId="77777777" w:rsidR="007C698C" w:rsidRDefault="007C698C"/>
    <w:p w14:paraId="78F0B151" w14:textId="77777777" w:rsidR="007C698C" w:rsidRDefault="007C698C"/>
    <w:p w14:paraId="44CF7A25" w14:textId="77777777" w:rsidR="007C698C" w:rsidRDefault="007C6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2F759801" w:rsidR="00D23D6A" w:rsidRPr="006D0F59" w:rsidRDefault="006D0F59" w:rsidP="006D0F59">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rPr>
      <w:t>iii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915" w14:textId="3C0B4B1A" w:rsidR="006D0F59" w:rsidRPr="006D0F59" w:rsidRDefault="006D0F59" w:rsidP="006D0F59">
    <w:pPr>
      <w:pStyle w:val="OddHeader"/>
      <w:tabs>
        <w:tab w:val="clear" w:pos="9072"/>
        <w:tab w:val="right" w:pos="2410"/>
      </w:tabs>
      <w:jc w:val="right"/>
    </w:pPr>
    <w:r w:rsidRPr="006D0F59">
      <w:t>Submissions received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3</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2926" w14:textId="5D85AF15" w:rsidR="006D0F59" w:rsidRDefault="006D0F59" w:rsidP="006D0F5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Pr="006D0F59">
      <w:t>Consideration of submissions received on the Proposed Suspension of certain dimethoate products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37ED" w14:textId="1D31065D" w:rsidR="006D0F59" w:rsidRPr="006D0F59" w:rsidRDefault="006D0F59" w:rsidP="006D0F59">
    <w:pPr>
      <w:pStyle w:val="OddHeader"/>
      <w:tabs>
        <w:tab w:val="clear" w:pos="9072"/>
        <w:tab w:val="right" w:pos="6663"/>
      </w:tabs>
      <w:jc w:val="right"/>
    </w:pPr>
    <w:r w:rsidRPr="006D0F59">
      <w:t>Excerpt from the APVMA Risk Assessment Manual, 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DE6C" w14:textId="77777777" w:rsidR="006D0F59" w:rsidRPr="006D0F59" w:rsidRDefault="006D0F59" w:rsidP="006D0F59">
    <w:pPr>
      <w:pStyle w:val="OddHeader"/>
      <w:tabs>
        <w:tab w:val="clear" w:pos="9072"/>
        <w:tab w:val="right" w:pos="2410"/>
      </w:tabs>
      <w:jc w:val="right"/>
    </w:pPr>
    <w:r w:rsidRPr="006D0F59">
      <w:t>Submissions received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4</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2452F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80594"/>
    <w:multiLevelType w:val="hybridMultilevel"/>
    <w:tmpl w:val="3D6EF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20"/>
  </w:num>
  <w:num w:numId="2" w16cid:durableId="1250195658">
    <w:abstractNumId w:val="20"/>
  </w:num>
  <w:num w:numId="3" w16cid:durableId="970331678">
    <w:abstractNumId w:val="17"/>
  </w:num>
  <w:num w:numId="4" w16cid:durableId="1139961449">
    <w:abstractNumId w:val="18"/>
  </w:num>
  <w:num w:numId="5" w16cid:durableId="1287195516">
    <w:abstractNumId w:val="17"/>
  </w:num>
  <w:num w:numId="6" w16cid:durableId="595360487">
    <w:abstractNumId w:val="22"/>
  </w:num>
  <w:num w:numId="7" w16cid:durableId="168184807">
    <w:abstractNumId w:val="19"/>
  </w:num>
  <w:num w:numId="8" w16cid:durableId="335302058">
    <w:abstractNumId w:val="11"/>
  </w:num>
  <w:num w:numId="9" w16cid:durableId="1151363089">
    <w:abstractNumId w:val="10"/>
  </w:num>
  <w:num w:numId="10" w16cid:durableId="1905488232">
    <w:abstractNumId w:val="14"/>
  </w:num>
  <w:num w:numId="11" w16cid:durableId="1458797406">
    <w:abstractNumId w:val="16"/>
  </w:num>
  <w:num w:numId="12" w16cid:durableId="1774547164">
    <w:abstractNumId w:val="22"/>
  </w:num>
  <w:num w:numId="13" w16cid:durableId="211576392">
    <w:abstractNumId w:val="22"/>
  </w:num>
  <w:num w:numId="14" w16cid:durableId="741297798">
    <w:abstractNumId w:val="17"/>
  </w:num>
  <w:num w:numId="15" w16cid:durableId="1971395528">
    <w:abstractNumId w:val="11"/>
  </w:num>
  <w:num w:numId="16" w16cid:durableId="491216777">
    <w:abstractNumId w:val="18"/>
  </w:num>
  <w:num w:numId="17" w16cid:durableId="1143350196">
    <w:abstractNumId w:val="10"/>
  </w:num>
  <w:num w:numId="18" w16cid:durableId="507911398">
    <w:abstractNumId w:val="14"/>
  </w:num>
  <w:num w:numId="19" w16cid:durableId="195391456">
    <w:abstractNumId w:val="20"/>
  </w:num>
  <w:num w:numId="20" w16cid:durableId="209610050">
    <w:abstractNumId w:val="24"/>
  </w:num>
  <w:num w:numId="21" w16cid:durableId="6300715">
    <w:abstractNumId w:val="12"/>
  </w:num>
  <w:num w:numId="22" w16cid:durableId="999503747">
    <w:abstractNumId w:val="22"/>
  </w:num>
  <w:num w:numId="23" w16cid:durableId="2136679703">
    <w:abstractNumId w:val="22"/>
  </w:num>
  <w:num w:numId="24" w16cid:durableId="1673606266">
    <w:abstractNumId w:val="22"/>
  </w:num>
  <w:num w:numId="25" w16cid:durableId="1612786442">
    <w:abstractNumId w:val="22"/>
  </w:num>
  <w:num w:numId="26" w16cid:durableId="1634365545">
    <w:abstractNumId w:val="22"/>
  </w:num>
  <w:num w:numId="27" w16cid:durableId="10427515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5"/>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5"/>
  </w:num>
  <w:num w:numId="40" w16cid:durableId="646785712">
    <w:abstractNumId w:val="23"/>
  </w:num>
  <w:num w:numId="41" w16cid:durableId="169874366">
    <w:abstractNumId w:val="13"/>
  </w:num>
  <w:num w:numId="42" w16cid:durableId="2089111108">
    <w:abstractNumId w:val="21"/>
  </w:num>
  <w:num w:numId="43" w16cid:durableId="357436102">
    <w:abstractNumId w:val="13"/>
  </w:num>
  <w:num w:numId="44" w16cid:durableId="1211573860">
    <w:abstractNumId w:val="13"/>
  </w:num>
  <w:num w:numId="45" w16cid:durableId="10730877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20FFB"/>
    <w:rsid w:val="00033787"/>
    <w:rsid w:val="000642FC"/>
    <w:rsid w:val="00067828"/>
    <w:rsid w:val="000765C1"/>
    <w:rsid w:val="0008350E"/>
    <w:rsid w:val="00096163"/>
    <w:rsid w:val="000A6CED"/>
    <w:rsid w:val="000A7EF6"/>
    <w:rsid w:val="000C273D"/>
    <w:rsid w:val="000C2C1B"/>
    <w:rsid w:val="000D045A"/>
    <w:rsid w:val="000D49ED"/>
    <w:rsid w:val="000E2A41"/>
    <w:rsid w:val="000E372E"/>
    <w:rsid w:val="00106325"/>
    <w:rsid w:val="00120E00"/>
    <w:rsid w:val="001425AD"/>
    <w:rsid w:val="001468C9"/>
    <w:rsid w:val="001534D8"/>
    <w:rsid w:val="00160CC1"/>
    <w:rsid w:val="00163813"/>
    <w:rsid w:val="00167BB3"/>
    <w:rsid w:val="00174E15"/>
    <w:rsid w:val="0018044F"/>
    <w:rsid w:val="00184190"/>
    <w:rsid w:val="00193533"/>
    <w:rsid w:val="001B335C"/>
    <w:rsid w:val="001C54FF"/>
    <w:rsid w:val="001C6607"/>
    <w:rsid w:val="001D3257"/>
    <w:rsid w:val="001D722B"/>
    <w:rsid w:val="00235A61"/>
    <w:rsid w:val="00243C28"/>
    <w:rsid w:val="0025418F"/>
    <w:rsid w:val="00263AA9"/>
    <w:rsid w:val="0026493F"/>
    <w:rsid w:val="00272BD3"/>
    <w:rsid w:val="00272DCD"/>
    <w:rsid w:val="00280720"/>
    <w:rsid w:val="00282A32"/>
    <w:rsid w:val="002A3239"/>
    <w:rsid w:val="002A394F"/>
    <w:rsid w:val="002A69DD"/>
    <w:rsid w:val="002B5703"/>
    <w:rsid w:val="002C024F"/>
    <w:rsid w:val="002C1082"/>
    <w:rsid w:val="002C1F40"/>
    <w:rsid w:val="002C35DD"/>
    <w:rsid w:val="002D7779"/>
    <w:rsid w:val="002E20AC"/>
    <w:rsid w:val="002F1FAB"/>
    <w:rsid w:val="002F4591"/>
    <w:rsid w:val="0030255E"/>
    <w:rsid w:val="0031487D"/>
    <w:rsid w:val="00322AAF"/>
    <w:rsid w:val="00346134"/>
    <w:rsid w:val="00347883"/>
    <w:rsid w:val="003506C5"/>
    <w:rsid w:val="00352769"/>
    <w:rsid w:val="00381544"/>
    <w:rsid w:val="0038439C"/>
    <w:rsid w:val="00393E2F"/>
    <w:rsid w:val="003A558F"/>
    <w:rsid w:val="003C0891"/>
    <w:rsid w:val="004070E1"/>
    <w:rsid w:val="0041228F"/>
    <w:rsid w:val="00412703"/>
    <w:rsid w:val="0041559F"/>
    <w:rsid w:val="00444045"/>
    <w:rsid w:val="00444FF1"/>
    <w:rsid w:val="0044792E"/>
    <w:rsid w:val="004616C8"/>
    <w:rsid w:val="00461D26"/>
    <w:rsid w:val="00470304"/>
    <w:rsid w:val="00473575"/>
    <w:rsid w:val="00473874"/>
    <w:rsid w:val="0049603E"/>
    <w:rsid w:val="004D2C4F"/>
    <w:rsid w:val="005064D5"/>
    <w:rsid w:val="00515F30"/>
    <w:rsid w:val="005177F9"/>
    <w:rsid w:val="00520963"/>
    <w:rsid w:val="00522E27"/>
    <w:rsid w:val="005527B9"/>
    <w:rsid w:val="00553501"/>
    <w:rsid w:val="00556804"/>
    <w:rsid w:val="00560E83"/>
    <w:rsid w:val="00563297"/>
    <w:rsid w:val="00566590"/>
    <w:rsid w:val="00572131"/>
    <w:rsid w:val="00572D44"/>
    <w:rsid w:val="00581F92"/>
    <w:rsid w:val="005D1A47"/>
    <w:rsid w:val="006110AE"/>
    <w:rsid w:val="0062466B"/>
    <w:rsid w:val="0062653F"/>
    <w:rsid w:val="006350AF"/>
    <w:rsid w:val="00643052"/>
    <w:rsid w:val="0064579C"/>
    <w:rsid w:val="00657A28"/>
    <w:rsid w:val="00657B66"/>
    <w:rsid w:val="006605D3"/>
    <w:rsid w:val="006740FD"/>
    <w:rsid w:val="00684F5A"/>
    <w:rsid w:val="006942D4"/>
    <w:rsid w:val="006B2FDE"/>
    <w:rsid w:val="006C08BC"/>
    <w:rsid w:val="006D0F59"/>
    <w:rsid w:val="006D32C6"/>
    <w:rsid w:val="006E2753"/>
    <w:rsid w:val="006E33F7"/>
    <w:rsid w:val="00700C27"/>
    <w:rsid w:val="00702B7D"/>
    <w:rsid w:val="007228B8"/>
    <w:rsid w:val="007275CF"/>
    <w:rsid w:val="00731259"/>
    <w:rsid w:val="00734103"/>
    <w:rsid w:val="00746DF6"/>
    <w:rsid w:val="00770B96"/>
    <w:rsid w:val="00780FD3"/>
    <w:rsid w:val="0079347D"/>
    <w:rsid w:val="00794B71"/>
    <w:rsid w:val="0079772A"/>
    <w:rsid w:val="007A27EB"/>
    <w:rsid w:val="007C698C"/>
    <w:rsid w:val="007D2FA8"/>
    <w:rsid w:val="007D7D8D"/>
    <w:rsid w:val="007E13F3"/>
    <w:rsid w:val="007E420B"/>
    <w:rsid w:val="007F0146"/>
    <w:rsid w:val="00814632"/>
    <w:rsid w:val="00832D38"/>
    <w:rsid w:val="008362F6"/>
    <w:rsid w:val="008366A3"/>
    <w:rsid w:val="00847050"/>
    <w:rsid w:val="008545E1"/>
    <w:rsid w:val="00860B66"/>
    <w:rsid w:val="00862E63"/>
    <w:rsid w:val="00877DAE"/>
    <w:rsid w:val="00892292"/>
    <w:rsid w:val="008B550C"/>
    <w:rsid w:val="008C5C0D"/>
    <w:rsid w:val="008C6B9D"/>
    <w:rsid w:val="008E4ED4"/>
    <w:rsid w:val="008F14C4"/>
    <w:rsid w:val="0095250D"/>
    <w:rsid w:val="0095647E"/>
    <w:rsid w:val="00972247"/>
    <w:rsid w:val="00993F7D"/>
    <w:rsid w:val="009A4448"/>
    <w:rsid w:val="009A6D14"/>
    <w:rsid w:val="009A7614"/>
    <w:rsid w:val="009B6ACE"/>
    <w:rsid w:val="009D0E59"/>
    <w:rsid w:val="009D452E"/>
    <w:rsid w:val="009D64B0"/>
    <w:rsid w:val="009E2AD6"/>
    <w:rsid w:val="009F16FF"/>
    <w:rsid w:val="00A15176"/>
    <w:rsid w:val="00A23710"/>
    <w:rsid w:val="00A23729"/>
    <w:rsid w:val="00A2448D"/>
    <w:rsid w:val="00A3145F"/>
    <w:rsid w:val="00A35765"/>
    <w:rsid w:val="00A6283D"/>
    <w:rsid w:val="00A66116"/>
    <w:rsid w:val="00A70FD5"/>
    <w:rsid w:val="00A77CE7"/>
    <w:rsid w:val="00A829ED"/>
    <w:rsid w:val="00A87101"/>
    <w:rsid w:val="00A967F5"/>
    <w:rsid w:val="00AB659C"/>
    <w:rsid w:val="00AD0162"/>
    <w:rsid w:val="00AF232A"/>
    <w:rsid w:val="00B05454"/>
    <w:rsid w:val="00B15647"/>
    <w:rsid w:val="00B27675"/>
    <w:rsid w:val="00B3240F"/>
    <w:rsid w:val="00B44AF3"/>
    <w:rsid w:val="00B50074"/>
    <w:rsid w:val="00BB1B6B"/>
    <w:rsid w:val="00BC3ABF"/>
    <w:rsid w:val="00BC5423"/>
    <w:rsid w:val="00BD021C"/>
    <w:rsid w:val="00BD2289"/>
    <w:rsid w:val="00BD4C76"/>
    <w:rsid w:val="00BD55DB"/>
    <w:rsid w:val="00BD70E8"/>
    <w:rsid w:val="00C105FA"/>
    <w:rsid w:val="00C252B5"/>
    <w:rsid w:val="00C36537"/>
    <w:rsid w:val="00C45627"/>
    <w:rsid w:val="00C501FF"/>
    <w:rsid w:val="00C53C96"/>
    <w:rsid w:val="00C5527A"/>
    <w:rsid w:val="00C667BC"/>
    <w:rsid w:val="00C73D24"/>
    <w:rsid w:val="00C95323"/>
    <w:rsid w:val="00C9656F"/>
    <w:rsid w:val="00CA17DC"/>
    <w:rsid w:val="00CA44DB"/>
    <w:rsid w:val="00CB7621"/>
    <w:rsid w:val="00CC2683"/>
    <w:rsid w:val="00CC6A6F"/>
    <w:rsid w:val="00CD6650"/>
    <w:rsid w:val="00CE456A"/>
    <w:rsid w:val="00CE7F45"/>
    <w:rsid w:val="00CF0504"/>
    <w:rsid w:val="00D10F59"/>
    <w:rsid w:val="00D13F04"/>
    <w:rsid w:val="00D23D6A"/>
    <w:rsid w:val="00D3519B"/>
    <w:rsid w:val="00D4143D"/>
    <w:rsid w:val="00D46DBB"/>
    <w:rsid w:val="00D505AD"/>
    <w:rsid w:val="00D573A3"/>
    <w:rsid w:val="00D67788"/>
    <w:rsid w:val="00D80534"/>
    <w:rsid w:val="00D86C44"/>
    <w:rsid w:val="00D874AA"/>
    <w:rsid w:val="00D9318E"/>
    <w:rsid w:val="00D942C8"/>
    <w:rsid w:val="00DB3BF5"/>
    <w:rsid w:val="00DC0AD7"/>
    <w:rsid w:val="00DC4DE0"/>
    <w:rsid w:val="00DD08E2"/>
    <w:rsid w:val="00E03E33"/>
    <w:rsid w:val="00E25066"/>
    <w:rsid w:val="00E30533"/>
    <w:rsid w:val="00E318E3"/>
    <w:rsid w:val="00E33D53"/>
    <w:rsid w:val="00E35DE7"/>
    <w:rsid w:val="00E41FED"/>
    <w:rsid w:val="00E51CFE"/>
    <w:rsid w:val="00E53B8B"/>
    <w:rsid w:val="00E70840"/>
    <w:rsid w:val="00E73380"/>
    <w:rsid w:val="00E83D6F"/>
    <w:rsid w:val="00E9163E"/>
    <w:rsid w:val="00E91D75"/>
    <w:rsid w:val="00E97570"/>
    <w:rsid w:val="00EA511C"/>
    <w:rsid w:val="00ED1A23"/>
    <w:rsid w:val="00ED395F"/>
    <w:rsid w:val="00EE297E"/>
    <w:rsid w:val="00EE5B09"/>
    <w:rsid w:val="00EE5E84"/>
    <w:rsid w:val="00EF1F4F"/>
    <w:rsid w:val="00EF546C"/>
    <w:rsid w:val="00F0383D"/>
    <w:rsid w:val="00F30BDA"/>
    <w:rsid w:val="00F31846"/>
    <w:rsid w:val="00F4094D"/>
    <w:rsid w:val="00F51AA7"/>
    <w:rsid w:val="00F566F2"/>
    <w:rsid w:val="00F56C76"/>
    <w:rsid w:val="00F64295"/>
    <w:rsid w:val="00F6733A"/>
    <w:rsid w:val="00F902E4"/>
    <w:rsid w:val="00F916A0"/>
    <w:rsid w:val="00F92A4A"/>
    <w:rsid w:val="00FB0015"/>
    <w:rsid w:val="00FC09D2"/>
    <w:rsid w:val="00FC198C"/>
    <w:rsid w:val="00FD344F"/>
    <w:rsid w:val="00FE37B4"/>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numPr>
        <w:numId w:val="41"/>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numPr>
        <w:ilvl w:val="5"/>
        <w:numId w:val="41"/>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41"/>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41"/>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4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BB1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060">
      <w:bodyDiv w:val="1"/>
      <w:marLeft w:val="0"/>
      <w:marRight w:val="0"/>
      <w:marTop w:val="0"/>
      <w:marBottom w:val="0"/>
      <w:divBdr>
        <w:top w:val="none" w:sz="0" w:space="0" w:color="auto"/>
        <w:left w:val="none" w:sz="0" w:space="0" w:color="auto"/>
        <w:bottom w:val="none" w:sz="0" w:space="0" w:color="auto"/>
        <w:right w:val="none" w:sz="0" w:space="0" w:color="auto"/>
      </w:divBdr>
    </w:div>
    <w:div w:id="511577432">
      <w:bodyDiv w:val="1"/>
      <w:marLeft w:val="0"/>
      <w:marRight w:val="0"/>
      <w:marTop w:val="0"/>
      <w:marBottom w:val="0"/>
      <w:divBdr>
        <w:top w:val="none" w:sz="0" w:space="0" w:color="auto"/>
        <w:left w:val="none" w:sz="0" w:space="0" w:color="auto"/>
        <w:bottom w:val="none" w:sz="0" w:space="0" w:color="auto"/>
        <w:right w:val="none" w:sz="0" w:space="0" w:color="auto"/>
      </w:divBdr>
    </w:div>
    <w:div w:id="614406134">
      <w:bodyDiv w:val="1"/>
      <w:marLeft w:val="0"/>
      <w:marRight w:val="0"/>
      <w:marTop w:val="0"/>
      <w:marBottom w:val="0"/>
      <w:divBdr>
        <w:top w:val="none" w:sz="0" w:space="0" w:color="auto"/>
        <w:left w:val="none" w:sz="0" w:space="0" w:color="auto"/>
        <w:bottom w:val="none" w:sz="0" w:space="0" w:color="auto"/>
        <w:right w:val="none" w:sz="0" w:space="0" w:color="auto"/>
      </w:divBdr>
    </w:div>
    <w:div w:id="76600122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887570223">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75997092">
      <w:bodyDiv w:val="1"/>
      <w:marLeft w:val="0"/>
      <w:marRight w:val="0"/>
      <w:marTop w:val="0"/>
      <w:marBottom w:val="0"/>
      <w:divBdr>
        <w:top w:val="none" w:sz="0" w:space="0" w:color="auto"/>
        <w:left w:val="none" w:sz="0" w:space="0" w:color="auto"/>
        <w:bottom w:val="none" w:sz="0" w:space="0" w:color="auto"/>
        <w:right w:val="none" w:sz="0" w:space="0" w:color="auto"/>
      </w:divBdr>
    </w:div>
    <w:div w:id="1456830717">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58747602">
      <w:bodyDiv w:val="1"/>
      <w:marLeft w:val="0"/>
      <w:marRight w:val="0"/>
      <w:marTop w:val="0"/>
      <w:marBottom w:val="0"/>
      <w:divBdr>
        <w:top w:val="none" w:sz="0" w:space="0" w:color="auto"/>
        <w:left w:val="none" w:sz="0" w:space="0" w:color="auto"/>
        <w:bottom w:val="none" w:sz="0" w:space="0" w:color="auto"/>
        <w:right w:val="none" w:sz="0" w:space="0" w:color="auto"/>
      </w:divBdr>
    </w:div>
    <w:div w:id="183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2.xml" Id="rId26" /><Relationship Type="http://schemas.openxmlformats.org/officeDocument/2006/relationships/numbering" Target="numbering.xml" Id="rId3" /><Relationship Type="http://schemas.openxmlformats.org/officeDocument/2006/relationships/hyperlink" Target="https://www.apvma.gov.au/regulation/chemical-review/listing-chemical-reviews/chemicals-prioritised-reconsideration"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www.apvma.gov.au/registrations-and-permits/data-guidelines/risk-assessment-manuals/residues-trade" TargetMode="External" Id="rId25"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yperlink" Target="https://www.apvma.gov.au/news-and-publications/public-consultations/proposed-suspension-of-dimethoate-products-submissions-received" TargetMode="External" Id="rId20" /><Relationship Type="http://schemas.openxmlformats.org/officeDocument/2006/relationships/header" Target="header4.xml" Id="rId29"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www.apvma.gov.au/chemicals-and-products/health-based-guidance-values"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s://publications.gc.ca/collections/collection_2011/sc-hc/H113-27-2011-12-eng.pdf" TargetMode="External" Id="rId23" /><Relationship Type="http://schemas.openxmlformats.org/officeDocument/2006/relationships/hyperlink" Target="https://www.apvma.gov.au/registrations-and-permits/data-guidelines/risk-assessment-manuals/residues-trade" TargetMode="External" Id="rId28" /><Relationship Type="http://schemas.openxmlformats.org/officeDocument/2006/relationships/image" Target="media/image2.png" Id="rId10" /><Relationship Type="http://schemas.openxmlformats.org/officeDocument/2006/relationships/hyperlink" Target="https://www.apvma.gov.au/news-and-publications/news/proposed-suspension-specific-dimethoate-products-0" TargetMode="Externa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yperlink" Target="https://apps.who.int/pesticide-residues-jmpr-database/pesticide?name=DIMETHOATE" TargetMode="External" Id="rId22" /><Relationship Type="http://schemas.openxmlformats.org/officeDocument/2006/relationships/header" Target="header3.xml" Id="rId27" /><Relationship Type="http://schemas.openxmlformats.org/officeDocument/2006/relationships/header" Target="header5.xml" Id="rId30" /><Relationship Type="http://schemas.openxmlformats.org/officeDocument/2006/relationships/customXml" Target="/customXML/item3.xml" Id="R053b476f47344bb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A3634402</value>
    </field>
    <field name="Objective-Title">
      <value order="0">Attachment C - 2025 - Dimethoate consideration of submissions</value>
    </field>
    <field name="Objective-Description">
      <value order="0"/>
    </field>
    <field name="Objective-CreationStamp">
      <value order="0">2025-09-30T09:34:32Z</value>
    </field>
    <field name="Objective-IsApproved">
      <value order="0">false</value>
    </field>
    <field name="Objective-IsPublished">
      <value order="0">false</value>
    </field>
    <field name="Objective-DatePublished">
      <value order="0"/>
    </field>
    <field name="Objective-ModificationStamp">
      <value order="0">2025-11-06T22:59:41Z</value>
    </field>
    <field name="Objective-Owner">
      <value order="0">Nial Gursanscky</value>
    </field>
    <field name="Objective-Path">
      <value order="0">APVMA:SCIENCE AND ASSURANCE:02 - Science and Assurance - Chemical Review:Scientific Assessment - Chemical Review - Products and Actives:Scientific Assessment - Chemical Review - Products and Actives - D:Chemical Review - Dimethoate - 2025:07-Consultation</value>
    </field>
    <field name="Objective-Parent">
      <value order="0">07-Consultation</value>
    </field>
    <field name="Objective-State">
      <value order="0">Being Drafted</value>
    </field>
    <field name="Objective-VersionId">
      <value order="0">vA5513233</value>
    </field>
    <field name="Objective-Version">
      <value order="0">0.13</value>
    </field>
    <field name="Objective-VersionNumber">
      <value order="0">13</value>
    </field>
    <field name="Objective-VersionComment">
      <value order="0"/>
    </field>
    <field name="Objective-FileNumber">
      <value order="0">2025\3131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4614</TotalTime>
  <Pages>10</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Consideration of submissions received on the Proposed Suspension of certain dimethoate products</vt:lpstr>
    </vt:vector>
  </TitlesOfParts>
  <Manager/>
  <Company>Australian Pesticides and Veterinary Medicines Authority</Company>
  <LinksUpToDate>false</LinksUpToDate>
  <CharactersWithSpaces>20998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 of submissions received on the Proposed Suspension of certain dimethoate products</dc:title>
  <dc:subject/>
  <dc:creator>APVMA</dc:creator>
  <cp:keywords/>
  <dc:description/>
  <cp:lastModifiedBy>SHEARSTON, Kate</cp:lastModifiedBy>
  <cp:revision>31</cp:revision>
  <cp:lastPrinted>2020-11-12T03:52:00Z</cp:lastPrinted>
  <dcterms:created xsi:type="dcterms:W3CDTF">2025-03-06T02:21:00Z</dcterms:created>
  <dcterms:modified xsi:type="dcterms:W3CDTF">2025-11-06T22:59:00Z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A3634402</vt:lpwstr>
  </property>
  <property fmtid="{D5CDD505-2E9C-101B-9397-08002B2CF9AE}" pid="4" name="Objective-Title">
    <vt:lpwstr>Attachment C - 2025 - Dimethoate consideration of submissions</vt:lpwstr>
  </property>
  <property fmtid="{D5CDD505-2E9C-101B-9397-08002B2CF9AE}" pid="5" name="Objective-Comment">
    <vt:lpwstr/>
  </property>
  <property fmtid="{D5CDD505-2E9C-101B-9397-08002B2CF9AE}" pid="6" name="Objective-CreationStamp">
    <vt:filetime>2025-09-30T09:34:32Z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2025-11-06T22:59:41Z</vt:filetime>
  </property>
  <property fmtid="{D5CDD505-2E9C-101B-9397-08002B2CF9AE}" pid="11" name="Objective-Owner">
    <vt:lpwstr>Nial Gursanscky</vt:lpwstr>
  </property>
  <property fmtid="{D5CDD505-2E9C-101B-9397-08002B2CF9AE}" pid="12" name="Objective-Path">
    <vt:lpwstr>APVMA:SCIENCE AND ASSURANCE:02 - Science and Assurance - Chemical Review:Scientific Assessment - Chemical Review - Products and Actives:Scientific Assessment - Chemical Review - Products and Actives - D:Chemical Review - Dimethoate - 2025:07-Consultation:</vt:lpwstr>
  </property>
  <property fmtid="{D5CDD505-2E9C-101B-9397-08002B2CF9AE}" pid="13" name="Objective-Parent">
    <vt:lpwstr>07-Consultation</vt:lpwstr>
  </property>
  <property fmtid="{D5CDD505-2E9C-101B-9397-08002B2CF9AE}" pid="14" name="Objective-State">
    <vt:lpwstr>Being Drafted</vt:lpwstr>
  </property>
  <property fmtid="{D5CDD505-2E9C-101B-9397-08002B2CF9AE}" pid="15" name="Objective-Version">
    <vt:lpwstr>0.13</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vA5513233</vt:lpwstr>
  </property>
  <property fmtid="{D5CDD505-2E9C-101B-9397-08002B2CF9AE}" pid="23" name="Objective-Connect Creator">
    <vt:lpwstr/>
  </property>
</Properties>
</file>